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AFFDE6">
      <w:pPr>
        <w:spacing w:before="8" w:line="360" w:lineRule="auto"/>
        <w:ind w:left="3232"/>
        <w:rPr>
          <w:rFonts w:ascii="黑体" w:eastAsia="黑体"/>
          <w:sz w:val="64"/>
          <w:highlight w:val="none"/>
        </w:rPr>
      </w:pPr>
    </w:p>
    <w:p w14:paraId="2D21063D">
      <w:pPr>
        <w:spacing w:before="8" w:line="360" w:lineRule="auto"/>
        <w:ind w:left="3232"/>
        <w:rPr>
          <w:rFonts w:ascii="黑体" w:eastAsia="黑体"/>
          <w:sz w:val="72"/>
          <w:szCs w:val="72"/>
          <w:highlight w:val="none"/>
        </w:rPr>
      </w:pPr>
    </w:p>
    <w:p w14:paraId="4198C10A">
      <w:pPr>
        <w:spacing w:line="360" w:lineRule="auto"/>
        <w:jc w:val="center"/>
        <w:rPr>
          <w:rFonts w:ascii="方正小标宋简体" w:eastAsia="方正小标宋简体"/>
          <w:b/>
          <w:bCs/>
          <w:spacing w:val="-3"/>
          <w:sz w:val="72"/>
          <w:szCs w:val="72"/>
          <w:highlight w:val="none"/>
        </w:rPr>
      </w:pPr>
      <w:r>
        <w:rPr>
          <w:rFonts w:hint="eastAsia" w:ascii="方正小标宋简体" w:eastAsia="方正小标宋简体"/>
          <w:b/>
          <w:bCs/>
          <w:spacing w:val="-3"/>
          <w:sz w:val="72"/>
          <w:szCs w:val="72"/>
          <w:highlight w:val="none"/>
        </w:rPr>
        <w:t>公开招标文件</w:t>
      </w:r>
    </w:p>
    <w:p w14:paraId="3F2F3C24">
      <w:pPr>
        <w:pStyle w:val="9"/>
        <w:spacing w:line="360" w:lineRule="auto"/>
        <w:rPr>
          <w:highlight w:val="none"/>
        </w:rPr>
      </w:pPr>
    </w:p>
    <w:p w14:paraId="01C91852">
      <w:pPr>
        <w:pStyle w:val="9"/>
        <w:spacing w:line="360" w:lineRule="auto"/>
        <w:rPr>
          <w:highlight w:val="none"/>
        </w:rPr>
      </w:pPr>
    </w:p>
    <w:p w14:paraId="66F3C7D0">
      <w:pPr>
        <w:spacing w:line="360" w:lineRule="auto"/>
        <w:jc w:val="center"/>
        <w:rPr>
          <w:rFonts w:ascii="黑体" w:eastAsia="黑体"/>
          <w:sz w:val="36"/>
          <w:szCs w:val="36"/>
          <w:highlight w:val="none"/>
          <w:lang w:val="en-US"/>
        </w:rPr>
      </w:pPr>
      <w:r>
        <w:rPr>
          <w:rFonts w:hint="eastAsia" w:ascii="黑体" w:eastAsia="黑体"/>
          <w:sz w:val="36"/>
          <w:szCs w:val="36"/>
          <w:highlight w:val="none"/>
        </w:rPr>
        <w:t>项目编号：JSZC-320000-JYCS-G2026-0002</w:t>
      </w:r>
    </w:p>
    <w:p w14:paraId="3893D852">
      <w:pPr>
        <w:adjustRightInd w:val="0"/>
        <w:snapToGrid w:val="0"/>
        <w:spacing w:line="360" w:lineRule="auto"/>
        <w:jc w:val="center"/>
        <w:rPr>
          <w:rFonts w:ascii="黑体" w:eastAsia="黑体"/>
          <w:sz w:val="36"/>
          <w:szCs w:val="36"/>
          <w:highlight w:val="none"/>
          <w:lang w:val="en-US"/>
        </w:rPr>
      </w:pPr>
      <w:r>
        <w:rPr>
          <w:rFonts w:hint="eastAsia" w:ascii="黑体" w:eastAsia="黑体"/>
          <w:sz w:val="36"/>
          <w:szCs w:val="36"/>
          <w:highlight w:val="none"/>
        </w:rPr>
        <w:t>项目名称：厅交管总队指挥中心、会议室及相关通信支撑系统维保</w:t>
      </w:r>
      <w:r>
        <w:rPr>
          <w:rFonts w:hint="eastAsia" w:ascii="黑体" w:eastAsia="黑体"/>
          <w:sz w:val="36"/>
          <w:szCs w:val="36"/>
          <w:highlight w:val="none"/>
          <w:lang w:val="en-US"/>
        </w:rPr>
        <w:t>服务</w:t>
      </w:r>
      <w:r>
        <w:rPr>
          <w:rFonts w:hint="eastAsia" w:ascii="黑体" w:eastAsia="黑体"/>
          <w:sz w:val="36"/>
          <w:szCs w:val="36"/>
          <w:highlight w:val="none"/>
        </w:rPr>
        <w:t>采购项目</w:t>
      </w:r>
    </w:p>
    <w:p w14:paraId="05E9C59D">
      <w:pPr>
        <w:spacing w:line="360" w:lineRule="auto"/>
        <w:jc w:val="center"/>
        <w:rPr>
          <w:rFonts w:ascii="黑体" w:eastAsia="黑体"/>
          <w:sz w:val="36"/>
          <w:szCs w:val="36"/>
          <w:highlight w:val="none"/>
          <w:lang w:val="en-US"/>
        </w:rPr>
      </w:pPr>
    </w:p>
    <w:p w14:paraId="1CDCE0B3">
      <w:pPr>
        <w:spacing w:line="360" w:lineRule="auto"/>
        <w:jc w:val="center"/>
        <w:rPr>
          <w:rFonts w:ascii="黑体" w:eastAsia="黑体"/>
          <w:sz w:val="36"/>
          <w:szCs w:val="36"/>
          <w:highlight w:val="none"/>
          <w:lang w:val="en-US"/>
        </w:rPr>
      </w:pPr>
      <w:r>
        <w:rPr>
          <w:rFonts w:hint="eastAsia" w:ascii="黑体" w:eastAsia="黑体"/>
          <w:sz w:val="36"/>
          <w:szCs w:val="36"/>
          <w:highlight w:val="none"/>
          <w:lang w:val="en-US"/>
        </w:rPr>
        <w:t>采购人：江苏省公安厅交通管理总队</w:t>
      </w:r>
    </w:p>
    <w:p w14:paraId="47244FC9">
      <w:pPr>
        <w:spacing w:line="360" w:lineRule="auto"/>
        <w:jc w:val="center"/>
        <w:rPr>
          <w:rFonts w:ascii="黑体" w:eastAsia="黑体"/>
          <w:sz w:val="36"/>
          <w:szCs w:val="36"/>
          <w:highlight w:val="none"/>
          <w:u w:val="single"/>
          <w:lang w:val="en-US"/>
        </w:rPr>
      </w:pPr>
      <w:r>
        <w:rPr>
          <w:rFonts w:hint="eastAsia" w:ascii="黑体" w:eastAsia="黑体"/>
          <w:sz w:val="36"/>
          <w:szCs w:val="36"/>
          <w:highlight w:val="none"/>
          <w:lang w:val="en-US"/>
        </w:rPr>
        <w:t>采购类别：服务类</w:t>
      </w:r>
    </w:p>
    <w:p w14:paraId="402D9AC2">
      <w:pPr>
        <w:pStyle w:val="9"/>
        <w:spacing w:line="360" w:lineRule="auto"/>
        <w:rPr>
          <w:highlight w:val="none"/>
        </w:rPr>
      </w:pPr>
    </w:p>
    <w:p w14:paraId="72B2E3C0">
      <w:pPr>
        <w:pStyle w:val="9"/>
        <w:spacing w:line="360" w:lineRule="auto"/>
        <w:rPr>
          <w:highlight w:val="none"/>
        </w:rPr>
      </w:pPr>
    </w:p>
    <w:p w14:paraId="36F76C4E">
      <w:pPr>
        <w:pStyle w:val="9"/>
        <w:spacing w:line="360" w:lineRule="auto"/>
        <w:rPr>
          <w:highlight w:val="none"/>
        </w:rPr>
      </w:pPr>
    </w:p>
    <w:p w14:paraId="52946203">
      <w:pPr>
        <w:spacing w:line="360" w:lineRule="auto"/>
        <w:jc w:val="center"/>
        <w:rPr>
          <w:rFonts w:ascii="方正小标宋简体" w:eastAsia="方正小标宋简体"/>
          <w:spacing w:val="-3"/>
          <w:w w:val="90"/>
          <w:sz w:val="44"/>
          <w:szCs w:val="44"/>
          <w:highlight w:val="none"/>
          <w:lang w:val="en-US"/>
        </w:rPr>
      </w:pPr>
    </w:p>
    <w:p w14:paraId="3D0DD87E">
      <w:pPr>
        <w:spacing w:line="360" w:lineRule="auto"/>
        <w:jc w:val="center"/>
        <w:rPr>
          <w:rFonts w:ascii="黑体" w:eastAsia="黑体"/>
          <w:sz w:val="32"/>
          <w:szCs w:val="32"/>
          <w:highlight w:val="none"/>
          <w:lang w:val="en-US"/>
        </w:rPr>
      </w:pPr>
      <w:r>
        <w:rPr>
          <w:rFonts w:hint="eastAsia" w:ascii="黑体" w:eastAsia="黑体"/>
          <w:sz w:val="32"/>
          <w:szCs w:val="32"/>
          <w:highlight w:val="none"/>
          <w:lang w:val="en-US"/>
        </w:rPr>
        <w:t>江苏金永诚建设投资管理咨询有限公司</w:t>
      </w:r>
    </w:p>
    <w:p w14:paraId="2135AF3F">
      <w:pPr>
        <w:spacing w:line="360" w:lineRule="auto"/>
        <w:jc w:val="center"/>
        <w:rPr>
          <w:rFonts w:ascii="黑体" w:eastAsia="黑体"/>
          <w:sz w:val="32"/>
          <w:szCs w:val="32"/>
          <w:highlight w:val="none"/>
        </w:rPr>
        <w:sectPr>
          <w:headerReference r:id="rId3" w:type="default"/>
          <w:footerReference r:id="rId4" w:type="default"/>
          <w:pgSz w:w="11906" w:h="16838"/>
          <w:pgMar w:top="1440" w:right="1423" w:bottom="1440" w:left="1423" w:header="851" w:footer="680" w:gutter="0"/>
          <w:pgNumType w:start="1"/>
          <w:cols w:space="720" w:num="1"/>
          <w:titlePg/>
          <w:docGrid w:linePitch="290" w:charSpace="0"/>
        </w:sectPr>
      </w:pPr>
      <w:r>
        <w:rPr>
          <w:rFonts w:hint="eastAsia" w:ascii="黑体" w:eastAsia="黑体"/>
          <w:sz w:val="32"/>
          <w:szCs w:val="32"/>
          <w:highlight w:val="none"/>
        </w:rPr>
        <w:t>二</w:t>
      </w:r>
      <w:r>
        <w:rPr>
          <w:rFonts w:hint="eastAsia" w:ascii="黑体" w:eastAsia="黑体"/>
          <w:sz w:val="32"/>
          <w:szCs w:val="32"/>
          <w:highlight w:val="none"/>
          <w:lang w:val="en-US"/>
        </w:rPr>
        <w:t>〇</w:t>
      </w:r>
      <w:r>
        <w:rPr>
          <w:rFonts w:hint="eastAsia" w:ascii="黑体" w:eastAsia="黑体"/>
          <w:sz w:val="32"/>
          <w:szCs w:val="32"/>
          <w:highlight w:val="none"/>
        </w:rPr>
        <w:t>二</w:t>
      </w:r>
      <w:r>
        <w:rPr>
          <w:rFonts w:hint="eastAsia" w:ascii="黑体" w:eastAsia="黑体"/>
          <w:sz w:val="32"/>
          <w:szCs w:val="32"/>
          <w:highlight w:val="none"/>
          <w:lang w:val="en-US"/>
        </w:rPr>
        <w:t>六</w:t>
      </w:r>
      <w:r>
        <w:rPr>
          <w:rFonts w:hint="eastAsia" w:ascii="黑体" w:eastAsia="黑体"/>
          <w:sz w:val="32"/>
          <w:szCs w:val="32"/>
          <w:highlight w:val="none"/>
        </w:rPr>
        <w:t>年</w:t>
      </w:r>
      <w:r>
        <w:rPr>
          <w:rFonts w:hint="eastAsia" w:ascii="黑体" w:eastAsia="黑体"/>
          <w:sz w:val="32"/>
          <w:szCs w:val="32"/>
          <w:highlight w:val="none"/>
          <w:lang w:val="en-US" w:eastAsia="zh-CN"/>
        </w:rPr>
        <w:t>五</w:t>
      </w:r>
      <w:r>
        <w:rPr>
          <w:rFonts w:hint="eastAsia" w:ascii="黑体" w:eastAsia="黑体"/>
          <w:sz w:val="32"/>
          <w:szCs w:val="32"/>
          <w:highlight w:val="none"/>
        </w:rPr>
        <w:t>月</w:t>
      </w:r>
    </w:p>
    <w:sdt>
      <w:sdtPr>
        <w:rPr>
          <w:sz w:val="21"/>
          <w:highlight w:val="none"/>
        </w:rPr>
        <w:id w:val="1218524711"/>
        <w:docPartObj>
          <w:docPartGallery w:val="Table of Contents"/>
          <w:docPartUnique/>
        </w:docPartObj>
      </w:sdtPr>
      <w:sdtEndPr>
        <w:rPr>
          <w:rFonts w:hint="eastAsia" w:ascii="黑体" w:eastAsia="黑体"/>
          <w:sz w:val="22"/>
          <w:highlight w:val="none"/>
          <w:lang w:val="en-US"/>
        </w:rPr>
      </w:sdtEndPr>
      <w:sdtContent>
        <w:p w14:paraId="3D4ABA2F">
          <w:pPr>
            <w:spacing w:line="360" w:lineRule="auto"/>
            <w:jc w:val="center"/>
            <w:rPr>
              <w:sz w:val="24"/>
              <w:szCs w:val="24"/>
              <w:highlight w:val="none"/>
            </w:rPr>
          </w:pPr>
          <w:r>
            <w:rPr>
              <w:b/>
              <w:bCs/>
              <w:sz w:val="24"/>
              <w:szCs w:val="24"/>
              <w:highlight w:val="none"/>
            </w:rPr>
            <w:t>目</w:t>
          </w:r>
          <w:r>
            <w:rPr>
              <w:rFonts w:hint="eastAsia"/>
              <w:b/>
              <w:bCs/>
              <w:sz w:val="24"/>
              <w:szCs w:val="24"/>
              <w:highlight w:val="none"/>
              <w:lang w:val="en-US"/>
            </w:rPr>
            <w:t xml:space="preserve"> </w:t>
          </w:r>
          <w:r>
            <w:rPr>
              <w:b/>
              <w:bCs/>
              <w:sz w:val="24"/>
              <w:szCs w:val="24"/>
              <w:highlight w:val="none"/>
            </w:rPr>
            <w:t>录</w:t>
          </w:r>
        </w:p>
        <w:p w14:paraId="0ACB7DFC">
          <w:pPr>
            <w:pStyle w:val="16"/>
            <w:tabs>
              <w:tab w:val="left" w:pos="960"/>
              <w:tab w:val="right" w:leader="dot" w:pos="9054"/>
            </w:tabs>
            <w:adjustRightInd w:val="0"/>
            <w:snapToGrid w:val="0"/>
            <w:spacing w:before="0" w:line="380" w:lineRule="exact"/>
            <w:ind w:left="0"/>
            <w:rPr>
              <w:rFonts w:asciiTheme="minorHAnsi" w:hAnsiTheme="minorHAnsi" w:eastAsiaTheme="minorEastAsia" w:cstheme="minorBidi"/>
              <w:b w:val="0"/>
              <w:bCs w:val="0"/>
              <w:kern w:val="2"/>
              <w:sz w:val="21"/>
              <w:szCs w:val="22"/>
              <w:highlight w:val="none"/>
              <w:lang w:val="en-US" w:bidi="ar-SA"/>
            </w:rPr>
          </w:pPr>
          <w:r>
            <w:rPr>
              <w:rFonts w:hint="eastAsia" w:ascii="黑体" w:eastAsia="黑体"/>
              <w:highlight w:val="none"/>
              <w:lang w:val="en-US"/>
            </w:rPr>
            <w:fldChar w:fldCharType="begin"/>
          </w:r>
          <w:r>
            <w:rPr>
              <w:rFonts w:hint="eastAsia" w:ascii="黑体" w:eastAsia="黑体"/>
              <w:highlight w:val="none"/>
              <w:lang w:val="en-US"/>
            </w:rPr>
            <w:instrText xml:space="preserve">TOC \o "1-2" \h \u </w:instrText>
          </w:r>
          <w:r>
            <w:rPr>
              <w:rFonts w:hint="eastAsia" w:ascii="黑体" w:eastAsia="黑体"/>
              <w:highlight w:val="none"/>
              <w:lang w:val="en-US"/>
            </w:rPr>
            <w:fldChar w:fldCharType="separate"/>
          </w:r>
          <w:r>
            <w:rPr>
              <w:highlight w:val="none"/>
            </w:rPr>
            <w:fldChar w:fldCharType="begin"/>
          </w:r>
          <w:r>
            <w:rPr>
              <w:highlight w:val="none"/>
            </w:rPr>
            <w:instrText xml:space="preserve"> HYPERLINK \l "_Toc225524654" </w:instrText>
          </w:r>
          <w:r>
            <w:rPr>
              <w:highlight w:val="none"/>
            </w:rPr>
            <w:fldChar w:fldCharType="separate"/>
          </w:r>
          <w:r>
            <w:rPr>
              <w:rStyle w:val="24"/>
              <w:rFonts w:hint="eastAsia" w:ascii="黑体" w:hAnsi="黑体" w:eastAsia="黑体" w:cs="黑体"/>
              <w:highlight w:val="none"/>
            </w:rPr>
            <w:t>第一章</w:t>
          </w:r>
          <w:r>
            <w:rPr>
              <w:rFonts w:asciiTheme="minorHAnsi" w:hAnsiTheme="minorHAnsi" w:eastAsiaTheme="minorEastAsia" w:cstheme="minorBidi"/>
              <w:b w:val="0"/>
              <w:bCs w:val="0"/>
              <w:kern w:val="2"/>
              <w:sz w:val="21"/>
              <w:szCs w:val="22"/>
              <w:highlight w:val="none"/>
              <w:lang w:val="en-US" w:bidi="ar-SA"/>
            </w:rPr>
            <w:tab/>
          </w:r>
          <w:r>
            <w:rPr>
              <w:rStyle w:val="24"/>
              <w:rFonts w:hint="eastAsia" w:ascii="黑体" w:hAnsi="黑体" w:eastAsia="黑体" w:cs="黑体"/>
              <w:highlight w:val="none"/>
            </w:rPr>
            <w:t>招标公告</w:t>
          </w:r>
          <w:r>
            <w:rPr>
              <w:highlight w:val="none"/>
            </w:rPr>
            <w:tab/>
          </w:r>
          <w:r>
            <w:rPr>
              <w:highlight w:val="none"/>
            </w:rPr>
            <w:fldChar w:fldCharType="begin"/>
          </w:r>
          <w:r>
            <w:rPr>
              <w:highlight w:val="none"/>
            </w:rPr>
            <w:instrText xml:space="preserve"> PAGEREF _Toc225524654 \h </w:instrText>
          </w:r>
          <w:r>
            <w:rPr>
              <w:highlight w:val="none"/>
            </w:rPr>
            <w:fldChar w:fldCharType="separate"/>
          </w:r>
          <w:r>
            <w:rPr>
              <w:highlight w:val="none"/>
            </w:rPr>
            <w:t>3</w:t>
          </w:r>
          <w:r>
            <w:rPr>
              <w:highlight w:val="none"/>
            </w:rPr>
            <w:fldChar w:fldCharType="end"/>
          </w:r>
          <w:r>
            <w:rPr>
              <w:highlight w:val="none"/>
            </w:rPr>
            <w:fldChar w:fldCharType="end"/>
          </w:r>
        </w:p>
        <w:p w14:paraId="2096B168">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"_Toc225524655" </w:instrText>
          </w:r>
          <w:r>
            <w:rPr>
              <w:highlight w:val="none"/>
            </w:rPr>
            <w:fldChar w:fldCharType="separate"/>
          </w:r>
          <w:r>
            <w:rPr>
              <w:rStyle w:val="24"/>
              <w:rFonts w:hint="eastAsia"/>
              <w:highlight w:val="none"/>
            </w:rPr>
            <w:t>一、项目基本情况</w:t>
          </w:r>
          <w:r>
            <w:rPr>
              <w:highlight w:val="none"/>
            </w:rPr>
            <w:tab/>
          </w:r>
          <w:r>
            <w:rPr>
              <w:highlight w:val="none"/>
            </w:rPr>
            <w:fldChar w:fldCharType="begin"/>
          </w:r>
          <w:r>
            <w:rPr>
              <w:highlight w:val="none"/>
            </w:rPr>
            <w:instrText xml:space="preserve"> PAGEREF _Toc225524655 \h </w:instrText>
          </w:r>
          <w:r>
            <w:rPr>
              <w:highlight w:val="none"/>
            </w:rPr>
            <w:fldChar w:fldCharType="separate"/>
          </w:r>
          <w:r>
            <w:rPr>
              <w:highlight w:val="none"/>
            </w:rPr>
            <w:t>3</w:t>
          </w:r>
          <w:r>
            <w:rPr>
              <w:highlight w:val="none"/>
            </w:rPr>
            <w:fldChar w:fldCharType="end"/>
          </w:r>
          <w:r>
            <w:rPr>
              <w:highlight w:val="none"/>
            </w:rPr>
            <w:fldChar w:fldCharType="end"/>
          </w:r>
        </w:p>
        <w:p w14:paraId="4A602F3F">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"_Toc225524656" </w:instrText>
          </w:r>
          <w:r>
            <w:rPr>
              <w:highlight w:val="none"/>
            </w:rPr>
            <w:fldChar w:fldCharType="separate"/>
          </w:r>
          <w:r>
            <w:rPr>
              <w:rStyle w:val="24"/>
              <w:rFonts w:hint="eastAsia"/>
              <w:highlight w:val="none"/>
            </w:rPr>
            <w:t>二、申请人的资格要求</w:t>
          </w:r>
          <w:r>
            <w:rPr>
              <w:highlight w:val="none"/>
            </w:rPr>
            <w:tab/>
          </w:r>
          <w:r>
            <w:rPr>
              <w:highlight w:val="none"/>
            </w:rPr>
            <w:fldChar w:fldCharType="begin"/>
          </w:r>
          <w:r>
            <w:rPr>
              <w:highlight w:val="none"/>
            </w:rPr>
            <w:instrText xml:space="preserve"> PAGEREF _Toc225524656 \h </w:instrText>
          </w:r>
          <w:r>
            <w:rPr>
              <w:highlight w:val="none"/>
            </w:rPr>
            <w:fldChar w:fldCharType="separate"/>
          </w:r>
          <w:r>
            <w:rPr>
              <w:highlight w:val="none"/>
            </w:rPr>
            <w:t>3</w:t>
          </w:r>
          <w:r>
            <w:rPr>
              <w:highlight w:val="none"/>
            </w:rPr>
            <w:fldChar w:fldCharType="end"/>
          </w:r>
          <w:r>
            <w:rPr>
              <w:highlight w:val="none"/>
            </w:rPr>
            <w:fldChar w:fldCharType="end"/>
          </w:r>
        </w:p>
        <w:p w14:paraId="75028004">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"_Toc225524657" </w:instrText>
          </w:r>
          <w:r>
            <w:rPr>
              <w:highlight w:val="none"/>
            </w:rPr>
            <w:fldChar w:fldCharType="separate"/>
          </w:r>
          <w:r>
            <w:rPr>
              <w:rStyle w:val="24"/>
              <w:rFonts w:hint="eastAsia"/>
              <w:highlight w:val="none"/>
            </w:rPr>
            <w:t>三、获取招标文件</w:t>
          </w:r>
          <w:r>
            <w:rPr>
              <w:highlight w:val="none"/>
            </w:rPr>
            <w:tab/>
          </w:r>
          <w:r>
            <w:rPr>
              <w:highlight w:val="none"/>
            </w:rPr>
            <w:fldChar w:fldCharType="begin"/>
          </w:r>
          <w:r>
            <w:rPr>
              <w:highlight w:val="none"/>
            </w:rPr>
            <w:instrText xml:space="preserve"> PAGEREF _Toc225524657 \h </w:instrText>
          </w:r>
          <w:r>
            <w:rPr>
              <w:highlight w:val="none"/>
            </w:rPr>
            <w:fldChar w:fldCharType="separate"/>
          </w:r>
          <w:r>
            <w:rPr>
              <w:highlight w:val="none"/>
            </w:rPr>
            <w:t>4</w:t>
          </w:r>
          <w:r>
            <w:rPr>
              <w:highlight w:val="none"/>
            </w:rPr>
            <w:fldChar w:fldCharType="end"/>
          </w:r>
          <w:r>
            <w:rPr>
              <w:highlight w:val="none"/>
            </w:rPr>
            <w:fldChar w:fldCharType="end"/>
          </w:r>
        </w:p>
        <w:p w14:paraId="26F99CA9">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"_Toc225524658" </w:instrText>
          </w:r>
          <w:r>
            <w:rPr>
              <w:highlight w:val="none"/>
            </w:rPr>
            <w:fldChar w:fldCharType="separate"/>
          </w:r>
          <w:r>
            <w:rPr>
              <w:rStyle w:val="24"/>
              <w:rFonts w:hint="eastAsia"/>
              <w:highlight w:val="none"/>
            </w:rPr>
            <w:t>五、公告期限</w:t>
          </w:r>
          <w:r>
            <w:rPr>
              <w:highlight w:val="none"/>
            </w:rPr>
            <w:tab/>
          </w:r>
          <w:r>
            <w:rPr>
              <w:highlight w:val="none"/>
            </w:rPr>
            <w:fldChar w:fldCharType="begin"/>
          </w:r>
          <w:r>
            <w:rPr>
              <w:highlight w:val="none"/>
            </w:rPr>
            <w:instrText xml:space="preserve"> PAGEREF _Toc225524658 \h </w:instrText>
          </w:r>
          <w:r>
            <w:rPr>
              <w:highlight w:val="none"/>
            </w:rPr>
            <w:fldChar w:fldCharType="separate"/>
          </w:r>
          <w:r>
            <w:rPr>
              <w:highlight w:val="none"/>
            </w:rPr>
            <w:t>5</w:t>
          </w:r>
          <w:r>
            <w:rPr>
              <w:highlight w:val="none"/>
            </w:rPr>
            <w:fldChar w:fldCharType="end"/>
          </w:r>
          <w:r>
            <w:rPr>
              <w:highlight w:val="none"/>
            </w:rPr>
            <w:fldChar w:fldCharType="end"/>
          </w:r>
        </w:p>
        <w:p w14:paraId="1C42131C">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"_Toc225524659" </w:instrText>
          </w:r>
          <w:r>
            <w:rPr>
              <w:highlight w:val="none"/>
            </w:rPr>
            <w:fldChar w:fldCharType="separate"/>
          </w:r>
          <w:r>
            <w:rPr>
              <w:rStyle w:val="24"/>
              <w:rFonts w:hint="eastAsia"/>
              <w:highlight w:val="none"/>
            </w:rPr>
            <w:t>六、其他补充事宜</w:t>
          </w:r>
          <w:r>
            <w:rPr>
              <w:highlight w:val="none"/>
            </w:rPr>
            <w:tab/>
          </w:r>
          <w:r>
            <w:rPr>
              <w:highlight w:val="none"/>
            </w:rPr>
            <w:fldChar w:fldCharType="begin"/>
          </w:r>
          <w:r>
            <w:rPr>
              <w:highlight w:val="none"/>
            </w:rPr>
            <w:instrText xml:space="preserve"> PAGEREF _Toc225524659 \h </w:instrText>
          </w:r>
          <w:r>
            <w:rPr>
              <w:highlight w:val="none"/>
            </w:rPr>
            <w:fldChar w:fldCharType="separate"/>
          </w:r>
          <w:r>
            <w:rPr>
              <w:highlight w:val="none"/>
            </w:rPr>
            <w:t>5</w:t>
          </w:r>
          <w:r>
            <w:rPr>
              <w:highlight w:val="none"/>
            </w:rPr>
            <w:fldChar w:fldCharType="end"/>
          </w:r>
          <w:r>
            <w:rPr>
              <w:highlight w:val="none"/>
            </w:rPr>
            <w:fldChar w:fldCharType="end"/>
          </w:r>
        </w:p>
        <w:p w14:paraId="303C4848">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"_Toc225524660" </w:instrText>
          </w:r>
          <w:r>
            <w:rPr>
              <w:highlight w:val="none"/>
            </w:rPr>
            <w:fldChar w:fldCharType="separate"/>
          </w:r>
          <w:r>
            <w:rPr>
              <w:rStyle w:val="24"/>
              <w:rFonts w:hint="eastAsia"/>
              <w:highlight w:val="none"/>
            </w:rPr>
            <w:t>七、对本次招标提出询问，请按以下方式联系。</w:t>
          </w:r>
          <w:r>
            <w:rPr>
              <w:highlight w:val="none"/>
            </w:rPr>
            <w:tab/>
          </w:r>
          <w:r>
            <w:rPr>
              <w:highlight w:val="none"/>
            </w:rPr>
            <w:fldChar w:fldCharType="begin"/>
          </w:r>
          <w:r>
            <w:rPr>
              <w:highlight w:val="none"/>
            </w:rPr>
            <w:instrText xml:space="preserve"> PAGEREF _Toc225524660 \h </w:instrText>
          </w:r>
          <w:r>
            <w:rPr>
              <w:highlight w:val="none"/>
            </w:rPr>
            <w:fldChar w:fldCharType="separate"/>
          </w:r>
          <w:r>
            <w:rPr>
              <w:highlight w:val="none"/>
            </w:rPr>
            <w:t>5</w:t>
          </w:r>
          <w:r>
            <w:rPr>
              <w:highlight w:val="none"/>
            </w:rPr>
            <w:fldChar w:fldCharType="end"/>
          </w:r>
          <w:r>
            <w:rPr>
              <w:highlight w:val="none"/>
            </w:rPr>
            <w:fldChar w:fldCharType="end"/>
          </w:r>
        </w:p>
        <w:p w14:paraId="423E3FE7">
          <w:pPr>
            <w:pStyle w:val="16"/>
            <w:tabs>
              <w:tab w:val="left" w:pos="960"/>
              <w:tab w:val="right" w:leader="dot" w:pos="9054"/>
            </w:tabs>
            <w:adjustRightInd w:val="0"/>
            <w:snapToGrid w:val="0"/>
            <w:spacing w:before="0" w:line="380" w:lineRule="exact"/>
            <w:ind w:left="0"/>
            <w:rPr>
              <w:rFonts w:asciiTheme="minorHAnsi" w:hAnsiTheme="minorHAnsi" w:eastAsiaTheme="minorEastAsia" w:cstheme="minorBidi"/>
              <w:b w:val="0"/>
              <w:bCs w:val="0"/>
              <w:kern w:val="2"/>
              <w:sz w:val="21"/>
              <w:szCs w:val="22"/>
              <w:highlight w:val="none"/>
              <w:lang w:val="en-US" w:bidi="ar-SA"/>
            </w:rPr>
          </w:pPr>
          <w:r>
            <w:rPr>
              <w:highlight w:val="none"/>
            </w:rPr>
            <w:fldChar w:fldCharType="begin"/>
          </w:r>
          <w:r>
            <w:rPr>
              <w:highlight w:val="none"/>
            </w:rPr>
            <w:instrText xml:space="preserve"> HYPERLINK \l "_Toc225524661" </w:instrText>
          </w:r>
          <w:r>
            <w:rPr>
              <w:highlight w:val="none"/>
            </w:rPr>
            <w:fldChar w:fldCharType="separate"/>
          </w:r>
          <w:r>
            <w:rPr>
              <w:rStyle w:val="24"/>
              <w:rFonts w:hint="eastAsia" w:ascii="黑体" w:eastAsia="黑体"/>
              <w:highlight w:val="none"/>
            </w:rPr>
            <w:t>第二章</w:t>
          </w:r>
          <w:r>
            <w:rPr>
              <w:rFonts w:asciiTheme="minorHAnsi" w:hAnsiTheme="minorHAnsi" w:eastAsiaTheme="minorEastAsia" w:cstheme="minorBidi"/>
              <w:b w:val="0"/>
              <w:bCs w:val="0"/>
              <w:kern w:val="2"/>
              <w:sz w:val="21"/>
              <w:szCs w:val="22"/>
              <w:highlight w:val="none"/>
              <w:lang w:val="en-US" w:bidi="ar-SA"/>
            </w:rPr>
            <w:tab/>
          </w:r>
          <w:r>
            <w:rPr>
              <w:rStyle w:val="24"/>
              <w:rFonts w:hint="eastAsia" w:ascii="黑体" w:eastAsia="黑体"/>
              <w:highlight w:val="none"/>
            </w:rPr>
            <w:t>投标人须知</w:t>
          </w:r>
          <w:r>
            <w:rPr>
              <w:highlight w:val="none"/>
            </w:rPr>
            <w:tab/>
          </w:r>
          <w:r>
            <w:rPr>
              <w:highlight w:val="none"/>
            </w:rPr>
            <w:fldChar w:fldCharType="begin"/>
          </w:r>
          <w:r>
            <w:rPr>
              <w:highlight w:val="none"/>
            </w:rPr>
            <w:instrText xml:space="preserve"> PAGEREF _Toc225524661 \h </w:instrText>
          </w:r>
          <w:r>
            <w:rPr>
              <w:highlight w:val="none"/>
            </w:rPr>
            <w:fldChar w:fldCharType="separate"/>
          </w:r>
          <w:r>
            <w:rPr>
              <w:highlight w:val="none"/>
            </w:rPr>
            <w:t>7</w:t>
          </w:r>
          <w:r>
            <w:rPr>
              <w:highlight w:val="none"/>
            </w:rPr>
            <w:fldChar w:fldCharType="end"/>
          </w:r>
          <w:r>
            <w:rPr>
              <w:highlight w:val="none"/>
            </w:rPr>
            <w:fldChar w:fldCharType="end"/>
          </w:r>
        </w:p>
        <w:p w14:paraId="5E2DD17A">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"_Toc225524662" </w:instrText>
          </w:r>
          <w:r>
            <w:rPr>
              <w:highlight w:val="none"/>
            </w:rPr>
            <w:fldChar w:fldCharType="separate"/>
          </w:r>
          <w:r>
            <w:rPr>
              <w:rStyle w:val="24"/>
              <w:rFonts w:hint="eastAsia" w:ascii="黑体" w:eastAsia="黑体"/>
              <w:highlight w:val="none"/>
              <w:lang w:val="en-US"/>
            </w:rPr>
            <w:t>投标须知前附表</w:t>
          </w:r>
          <w:r>
            <w:rPr>
              <w:highlight w:val="none"/>
            </w:rPr>
            <w:tab/>
          </w:r>
          <w:r>
            <w:rPr>
              <w:highlight w:val="none"/>
            </w:rPr>
            <w:fldChar w:fldCharType="begin"/>
          </w:r>
          <w:r>
            <w:rPr>
              <w:highlight w:val="none"/>
            </w:rPr>
            <w:instrText xml:space="preserve"> PAGEREF _Toc225524662 \h </w:instrText>
          </w:r>
          <w:r>
            <w:rPr>
              <w:highlight w:val="none"/>
            </w:rPr>
            <w:fldChar w:fldCharType="separate"/>
          </w:r>
          <w:r>
            <w:rPr>
              <w:highlight w:val="none"/>
            </w:rPr>
            <w:t>7</w:t>
          </w:r>
          <w:r>
            <w:rPr>
              <w:highlight w:val="none"/>
            </w:rPr>
            <w:fldChar w:fldCharType="end"/>
          </w:r>
          <w:r>
            <w:rPr>
              <w:highlight w:val="none"/>
            </w:rPr>
            <w:fldChar w:fldCharType="end"/>
          </w:r>
        </w:p>
        <w:p w14:paraId="19C84A3C">
          <w:pPr>
            <w:pStyle w:val="17"/>
            <w:tabs>
              <w:tab w:val="left" w:pos="1470"/>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"_Toc225524663" </w:instrText>
          </w:r>
          <w:r>
            <w:rPr>
              <w:highlight w:val="none"/>
            </w:rPr>
            <w:fldChar w:fldCharType="separate"/>
          </w:r>
          <w:r>
            <w:rPr>
              <w:rStyle w:val="24"/>
              <w:rFonts w:hint="eastAsia"/>
              <w:highlight w:val="none"/>
            </w:rPr>
            <w:t>一、总</w:t>
          </w:r>
          <w:r>
            <w:rPr>
              <w:rFonts w:asciiTheme="minorHAnsi" w:hAnsiTheme="minorHAnsi" w:eastAsiaTheme="minorEastAsia" w:cstheme="minorBidi"/>
              <w:kern w:val="2"/>
              <w:sz w:val="21"/>
              <w:highlight w:val="none"/>
              <w:lang w:val="en-US" w:bidi="ar-SA"/>
            </w:rPr>
            <w:tab/>
          </w:r>
          <w:r>
            <w:rPr>
              <w:rStyle w:val="24"/>
              <w:rFonts w:hint="eastAsia"/>
              <w:highlight w:val="none"/>
            </w:rPr>
            <w:t>则</w:t>
          </w:r>
          <w:r>
            <w:rPr>
              <w:highlight w:val="none"/>
            </w:rPr>
            <w:tab/>
          </w:r>
          <w:r>
            <w:rPr>
              <w:highlight w:val="none"/>
            </w:rPr>
            <w:fldChar w:fldCharType="begin"/>
          </w:r>
          <w:r>
            <w:rPr>
              <w:highlight w:val="none"/>
            </w:rPr>
            <w:instrText xml:space="preserve"> PAGEREF _Toc225524663 \h </w:instrText>
          </w:r>
          <w:r>
            <w:rPr>
              <w:highlight w:val="none"/>
            </w:rPr>
            <w:fldChar w:fldCharType="separate"/>
          </w:r>
          <w:r>
            <w:rPr>
              <w:highlight w:val="none"/>
            </w:rPr>
            <w:t>10</w:t>
          </w:r>
          <w:r>
            <w:rPr>
              <w:highlight w:val="none"/>
            </w:rPr>
            <w:fldChar w:fldCharType="end"/>
          </w:r>
          <w:r>
            <w:rPr>
              <w:highlight w:val="none"/>
            </w:rPr>
            <w:fldChar w:fldCharType="end"/>
          </w:r>
        </w:p>
        <w:p w14:paraId="0C862D7B">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"_Toc225524664" </w:instrText>
          </w:r>
          <w:r>
            <w:rPr>
              <w:highlight w:val="none"/>
            </w:rPr>
            <w:fldChar w:fldCharType="separate"/>
          </w:r>
          <w:r>
            <w:rPr>
              <w:rStyle w:val="24"/>
              <w:rFonts w:hint="eastAsia"/>
              <w:highlight w:val="none"/>
            </w:rPr>
            <w:t>二、招标文件构成</w:t>
          </w:r>
          <w:r>
            <w:rPr>
              <w:highlight w:val="none"/>
            </w:rPr>
            <w:tab/>
          </w:r>
          <w:r>
            <w:rPr>
              <w:highlight w:val="none"/>
            </w:rPr>
            <w:fldChar w:fldCharType="begin"/>
          </w:r>
          <w:r>
            <w:rPr>
              <w:highlight w:val="none"/>
            </w:rPr>
            <w:instrText xml:space="preserve"> PAGEREF _Toc225524664 \h </w:instrText>
          </w:r>
          <w:r>
            <w:rPr>
              <w:highlight w:val="none"/>
            </w:rPr>
            <w:fldChar w:fldCharType="separate"/>
          </w:r>
          <w:r>
            <w:rPr>
              <w:highlight w:val="none"/>
            </w:rPr>
            <w:t>12</w:t>
          </w:r>
          <w:r>
            <w:rPr>
              <w:highlight w:val="none"/>
            </w:rPr>
            <w:fldChar w:fldCharType="end"/>
          </w:r>
          <w:r>
            <w:rPr>
              <w:highlight w:val="none"/>
            </w:rPr>
            <w:fldChar w:fldCharType="end"/>
          </w:r>
        </w:p>
        <w:p w14:paraId="60527898">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"_Toc225524665" </w:instrText>
          </w:r>
          <w:r>
            <w:rPr>
              <w:highlight w:val="none"/>
            </w:rPr>
            <w:fldChar w:fldCharType="separate"/>
          </w:r>
          <w:r>
            <w:rPr>
              <w:rStyle w:val="24"/>
              <w:rFonts w:hint="eastAsia"/>
              <w:highlight w:val="none"/>
            </w:rPr>
            <w:t>三、投标</w:t>
          </w:r>
          <w:r>
            <w:rPr>
              <w:highlight w:val="none"/>
            </w:rPr>
            <w:tab/>
          </w:r>
          <w:r>
            <w:rPr>
              <w:highlight w:val="none"/>
            </w:rPr>
            <w:fldChar w:fldCharType="begin"/>
          </w:r>
          <w:r>
            <w:rPr>
              <w:highlight w:val="none"/>
            </w:rPr>
            <w:instrText xml:space="preserve"> PAGEREF _Toc225524665 \h </w:instrText>
          </w:r>
          <w:r>
            <w:rPr>
              <w:highlight w:val="none"/>
            </w:rPr>
            <w:fldChar w:fldCharType="separate"/>
          </w:r>
          <w:r>
            <w:rPr>
              <w:highlight w:val="none"/>
            </w:rPr>
            <w:t>12</w:t>
          </w:r>
          <w:r>
            <w:rPr>
              <w:highlight w:val="none"/>
            </w:rPr>
            <w:fldChar w:fldCharType="end"/>
          </w:r>
          <w:r>
            <w:rPr>
              <w:highlight w:val="none"/>
            </w:rPr>
            <w:fldChar w:fldCharType="end"/>
          </w:r>
        </w:p>
        <w:p w14:paraId="1EBDCB92">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"_Toc225524666" </w:instrText>
          </w:r>
          <w:r>
            <w:rPr>
              <w:highlight w:val="none"/>
            </w:rPr>
            <w:fldChar w:fldCharType="separate"/>
          </w:r>
          <w:r>
            <w:rPr>
              <w:rStyle w:val="24"/>
              <w:rFonts w:hint="eastAsia"/>
              <w:highlight w:val="none"/>
              <w:lang w:val="en-US"/>
            </w:rPr>
            <w:t>四、投标文件的接收、开标、评标与确定中标人</w:t>
          </w:r>
          <w:r>
            <w:rPr>
              <w:highlight w:val="none"/>
            </w:rPr>
            <w:tab/>
          </w:r>
          <w:r>
            <w:rPr>
              <w:highlight w:val="none"/>
            </w:rPr>
            <w:fldChar w:fldCharType="begin"/>
          </w:r>
          <w:r>
            <w:rPr>
              <w:highlight w:val="none"/>
            </w:rPr>
            <w:instrText xml:space="preserve"> PAGEREF _Toc225524666 \h </w:instrText>
          </w:r>
          <w:r>
            <w:rPr>
              <w:highlight w:val="none"/>
            </w:rPr>
            <w:fldChar w:fldCharType="separate"/>
          </w:r>
          <w:r>
            <w:rPr>
              <w:highlight w:val="none"/>
            </w:rPr>
            <w:t>16</w:t>
          </w:r>
          <w:r>
            <w:rPr>
              <w:highlight w:val="none"/>
            </w:rPr>
            <w:fldChar w:fldCharType="end"/>
          </w:r>
          <w:r>
            <w:rPr>
              <w:highlight w:val="none"/>
            </w:rPr>
            <w:fldChar w:fldCharType="end"/>
          </w:r>
        </w:p>
        <w:p w14:paraId="2B3DB168">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"_Toc225524667" </w:instrText>
          </w:r>
          <w:r>
            <w:rPr>
              <w:highlight w:val="none"/>
            </w:rPr>
            <w:fldChar w:fldCharType="separate"/>
          </w:r>
          <w:r>
            <w:rPr>
              <w:rStyle w:val="24"/>
              <w:rFonts w:hint="eastAsia"/>
              <w:highlight w:val="none"/>
            </w:rPr>
            <w:t>五、签订合同</w:t>
          </w:r>
          <w:r>
            <w:rPr>
              <w:highlight w:val="none"/>
            </w:rPr>
            <w:tab/>
          </w:r>
          <w:r>
            <w:rPr>
              <w:highlight w:val="none"/>
            </w:rPr>
            <w:fldChar w:fldCharType="begin"/>
          </w:r>
          <w:r>
            <w:rPr>
              <w:highlight w:val="none"/>
            </w:rPr>
            <w:instrText xml:space="preserve"> PAGEREF _Toc225524667 \h </w:instrText>
          </w:r>
          <w:r>
            <w:rPr>
              <w:highlight w:val="none"/>
            </w:rPr>
            <w:fldChar w:fldCharType="separate"/>
          </w:r>
          <w:r>
            <w:rPr>
              <w:highlight w:val="none"/>
            </w:rPr>
            <w:t>19</w:t>
          </w:r>
          <w:r>
            <w:rPr>
              <w:highlight w:val="none"/>
            </w:rPr>
            <w:fldChar w:fldCharType="end"/>
          </w:r>
          <w:r>
            <w:rPr>
              <w:highlight w:val="none"/>
            </w:rPr>
            <w:fldChar w:fldCharType="end"/>
          </w:r>
        </w:p>
        <w:p w14:paraId="2BD07470">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"_Toc225524668" </w:instrText>
          </w:r>
          <w:r>
            <w:rPr>
              <w:highlight w:val="none"/>
            </w:rPr>
            <w:fldChar w:fldCharType="separate"/>
          </w:r>
          <w:r>
            <w:rPr>
              <w:rStyle w:val="24"/>
              <w:rFonts w:hint="eastAsia"/>
              <w:highlight w:val="none"/>
            </w:rPr>
            <w:t>六、询问、质疑、投诉和诚实信用</w:t>
          </w:r>
          <w:r>
            <w:rPr>
              <w:highlight w:val="none"/>
            </w:rPr>
            <w:tab/>
          </w:r>
          <w:r>
            <w:rPr>
              <w:highlight w:val="none"/>
            </w:rPr>
            <w:fldChar w:fldCharType="begin"/>
          </w:r>
          <w:r>
            <w:rPr>
              <w:highlight w:val="none"/>
            </w:rPr>
            <w:instrText xml:space="preserve"> PAGEREF _Toc225524668 \h </w:instrText>
          </w:r>
          <w:r>
            <w:rPr>
              <w:highlight w:val="none"/>
            </w:rPr>
            <w:fldChar w:fldCharType="separate"/>
          </w:r>
          <w:r>
            <w:rPr>
              <w:highlight w:val="none"/>
            </w:rPr>
            <w:t>20</w:t>
          </w:r>
          <w:r>
            <w:rPr>
              <w:highlight w:val="none"/>
            </w:rPr>
            <w:fldChar w:fldCharType="end"/>
          </w:r>
          <w:r>
            <w:rPr>
              <w:highlight w:val="none"/>
            </w:rPr>
            <w:fldChar w:fldCharType="end"/>
          </w:r>
        </w:p>
        <w:p w14:paraId="701203E5">
          <w:pPr>
            <w:pStyle w:val="16"/>
            <w:tabs>
              <w:tab w:val="left" w:pos="960"/>
              <w:tab w:val="right" w:leader="dot" w:pos="9054"/>
            </w:tabs>
            <w:adjustRightInd w:val="0"/>
            <w:snapToGrid w:val="0"/>
            <w:spacing w:before="0" w:line="380" w:lineRule="exact"/>
            <w:ind w:left="0"/>
            <w:rPr>
              <w:rFonts w:asciiTheme="minorHAnsi" w:hAnsiTheme="minorHAnsi" w:eastAsiaTheme="minorEastAsia" w:cstheme="minorBidi"/>
              <w:b w:val="0"/>
              <w:bCs w:val="0"/>
              <w:kern w:val="2"/>
              <w:sz w:val="21"/>
              <w:szCs w:val="22"/>
              <w:highlight w:val="none"/>
              <w:lang w:val="en-US" w:bidi="ar-SA"/>
            </w:rPr>
          </w:pPr>
          <w:r>
            <w:rPr>
              <w:highlight w:val="none"/>
            </w:rPr>
            <w:fldChar w:fldCharType="begin"/>
          </w:r>
          <w:r>
            <w:rPr>
              <w:highlight w:val="none"/>
            </w:rPr>
            <w:instrText xml:space="preserve"> HYPERLINK \l "_Toc225524669" </w:instrText>
          </w:r>
          <w:r>
            <w:rPr>
              <w:highlight w:val="none"/>
            </w:rPr>
            <w:fldChar w:fldCharType="separate"/>
          </w:r>
          <w:r>
            <w:rPr>
              <w:rStyle w:val="24"/>
              <w:rFonts w:hint="eastAsia" w:ascii="黑体" w:eastAsia="黑体"/>
              <w:highlight w:val="none"/>
            </w:rPr>
            <w:t>第三章</w:t>
          </w:r>
          <w:r>
            <w:rPr>
              <w:rFonts w:asciiTheme="minorHAnsi" w:hAnsiTheme="minorHAnsi" w:eastAsiaTheme="minorEastAsia" w:cstheme="minorBidi"/>
              <w:b w:val="0"/>
              <w:bCs w:val="0"/>
              <w:kern w:val="2"/>
              <w:sz w:val="21"/>
              <w:szCs w:val="22"/>
              <w:highlight w:val="none"/>
              <w:lang w:val="en-US" w:bidi="ar-SA"/>
            </w:rPr>
            <w:tab/>
          </w:r>
          <w:r>
            <w:rPr>
              <w:rStyle w:val="24"/>
              <w:rFonts w:hint="eastAsia" w:ascii="黑体" w:eastAsia="黑体"/>
              <w:highlight w:val="none"/>
            </w:rPr>
            <w:t>纪律和职责</w:t>
          </w:r>
          <w:r>
            <w:rPr>
              <w:highlight w:val="none"/>
            </w:rPr>
            <w:tab/>
          </w:r>
          <w:r>
            <w:rPr>
              <w:highlight w:val="none"/>
            </w:rPr>
            <w:fldChar w:fldCharType="begin"/>
          </w:r>
          <w:r>
            <w:rPr>
              <w:highlight w:val="none"/>
            </w:rPr>
            <w:instrText xml:space="preserve"> PAGEREF _Toc225524669 \h </w:instrText>
          </w:r>
          <w:r>
            <w:rPr>
              <w:highlight w:val="none"/>
            </w:rPr>
            <w:fldChar w:fldCharType="separate"/>
          </w:r>
          <w:r>
            <w:rPr>
              <w:highlight w:val="none"/>
            </w:rPr>
            <w:t>23</w:t>
          </w:r>
          <w:r>
            <w:rPr>
              <w:highlight w:val="none"/>
            </w:rPr>
            <w:fldChar w:fldCharType="end"/>
          </w:r>
          <w:r>
            <w:rPr>
              <w:highlight w:val="none"/>
            </w:rPr>
            <w:fldChar w:fldCharType="end"/>
          </w:r>
        </w:p>
        <w:p w14:paraId="19081616">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"_Toc225524670" </w:instrText>
          </w:r>
          <w:r>
            <w:rPr>
              <w:highlight w:val="none"/>
            </w:rPr>
            <w:fldChar w:fldCharType="separate"/>
          </w:r>
          <w:r>
            <w:rPr>
              <w:rStyle w:val="24"/>
              <w:rFonts w:hint="eastAsia"/>
              <w:bCs/>
              <w:highlight w:val="none"/>
            </w:rPr>
            <w:t>一、</w:t>
          </w:r>
          <w:r>
            <w:rPr>
              <w:rStyle w:val="24"/>
              <w:rFonts w:hint="eastAsia"/>
              <w:bCs/>
              <w:highlight w:val="none"/>
              <w:lang w:val="en-US"/>
            </w:rPr>
            <w:t>采购代理机构</w:t>
          </w:r>
          <w:r>
            <w:rPr>
              <w:rStyle w:val="24"/>
              <w:rFonts w:hint="eastAsia"/>
              <w:bCs/>
              <w:highlight w:val="none"/>
            </w:rPr>
            <w:t>负责组织评标工作，并履行下列职责：</w:t>
          </w:r>
          <w:r>
            <w:rPr>
              <w:highlight w:val="none"/>
            </w:rPr>
            <w:tab/>
          </w:r>
          <w:r>
            <w:rPr>
              <w:highlight w:val="none"/>
            </w:rPr>
            <w:fldChar w:fldCharType="begin"/>
          </w:r>
          <w:r>
            <w:rPr>
              <w:highlight w:val="none"/>
            </w:rPr>
            <w:instrText xml:space="preserve"> PAGEREF _Toc225524670 \h </w:instrText>
          </w:r>
          <w:r>
            <w:rPr>
              <w:highlight w:val="none"/>
            </w:rPr>
            <w:fldChar w:fldCharType="separate"/>
          </w:r>
          <w:r>
            <w:rPr>
              <w:highlight w:val="none"/>
            </w:rPr>
            <w:t>23</w:t>
          </w:r>
          <w:r>
            <w:rPr>
              <w:highlight w:val="none"/>
            </w:rPr>
            <w:fldChar w:fldCharType="end"/>
          </w:r>
          <w:r>
            <w:rPr>
              <w:highlight w:val="none"/>
            </w:rPr>
            <w:fldChar w:fldCharType="end"/>
          </w:r>
        </w:p>
        <w:p w14:paraId="763ED628">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"_Toc225524671" </w:instrText>
          </w:r>
          <w:r>
            <w:rPr>
              <w:highlight w:val="none"/>
            </w:rPr>
            <w:fldChar w:fldCharType="separate"/>
          </w:r>
          <w:r>
            <w:rPr>
              <w:rStyle w:val="24"/>
              <w:rFonts w:hint="eastAsia"/>
              <w:highlight w:val="none"/>
            </w:rPr>
            <w:t>二、评标委员会及其成员不得有下列行为：</w:t>
          </w:r>
          <w:r>
            <w:rPr>
              <w:highlight w:val="none"/>
            </w:rPr>
            <w:tab/>
          </w:r>
          <w:r>
            <w:rPr>
              <w:highlight w:val="none"/>
            </w:rPr>
            <w:fldChar w:fldCharType="begin"/>
          </w:r>
          <w:r>
            <w:rPr>
              <w:highlight w:val="none"/>
            </w:rPr>
            <w:instrText xml:space="preserve"> PAGEREF _Toc225524671 \h </w:instrText>
          </w:r>
          <w:r>
            <w:rPr>
              <w:highlight w:val="none"/>
            </w:rPr>
            <w:fldChar w:fldCharType="separate"/>
          </w:r>
          <w:r>
            <w:rPr>
              <w:highlight w:val="none"/>
            </w:rPr>
            <w:t>23</w:t>
          </w:r>
          <w:r>
            <w:rPr>
              <w:highlight w:val="none"/>
            </w:rPr>
            <w:fldChar w:fldCharType="end"/>
          </w:r>
          <w:r>
            <w:rPr>
              <w:highlight w:val="none"/>
            </w:rPr>
            <w:fldChar w:fldCharType="end"/>
          </w:r>
        </w:p>
        <w:p w14:paraId="367D670D">
          <w:pPr>
            <w:pStyle w:val="16"/>
            <w:tabs>
              <w:tab w:val="left" w:pos="1792"/>
              <w:tab w:val="right" w:leader="dot" w:pos="9054"/>
            </w:tabs>
            <w:adjustRightInd w:val="0"/>
            <w:snapToGrid w:val="0"/>
            <w:spacing w:before="0" w:line="380" w:lineRule="exact"/>
            <w:ind w:left="0"/>
            <w:rPr>
              <w:rFonts w:asciiTheme="minorHAnsi" w:hAnsiTheme="minorHAnsi" w:eastAsiaTheme="minorEastAsia" w:cstheme="minorBidi"/>
              <w:b w:val="0"/>
              <w:bCs w:val="0"/>
              <w:kern w:val="2"/>
              <w:sz w:val="21"/>
              <w:szCs w:val="22"/>
              <w:highlight w:val="none"/>
              <w:lang w:val="en-US" w:bidi="ar-SA"/>
            </w:rPr>
          </w:pPr>
          <w:r>
            <w:rPr>
              <w:highlight w:val="none"/>
            </w:rPr>
            <w:fldChar w:fldCharType="begin"/>
          </w:r>
          <w:r>
            <w:rPr>
              <w:highlight w:val="none"/>
            </w:rPr>
            <w:instrText xml:space="preserve"> HYPERLINK \l "_Toc225524672" </w:instrText>
          </w:r>
          <w:r>
            <w:rPr>
              <w:highlight w:val="none"/>
            </w:rPr>
            <w:fldChar w:fldCharType="separate"/>
          </w:r>
          <w:r>
            <w:rPr>
              <w:rStyle w:val="24"/>
              <w:rFonts w:hint="eastAsia" w:ascii="黑体" w:eastAsia="黑体"/>
              <w:highlight w:val="none"/>
            </w:rPr>
            <w:t>第四章</w:t>
          </w:r>
          <w:r>
            <w:rPr>
              <w:rStyle w:val="24"/>
              <w:rFonts w:ascii="黑体" w:eastAsia="黑体"/>
              <w:highlight w:val="none"/>
            </w:rPr>
            <w:t xml:space="preserve">  </w:t>
          </w:r>
          <w:r>
            <w:rPr>
              <w:rStyle w:val="24"/>
              <w:rFonts w:hint="eastAsia" w:ascii="黑体" w:eastAsia="黑体"/>
              <w:highlight w:val="none"/>
            </w:rPr>
            <w:t>评标办法及标准</w:t>
          </w:r>
          <w:r>
            <w:rPr>
              <w:highlight w:val="none"/>
            </w:rPr>
            <w:tab/>
          </w:r>
          <w:r>
            <w:rPr>
              <w:highlight w:val="none"/>
            </w:rPr>
            <w:fldChar w:fldCharType="begin"/>
          </w:r>
          <w:r>
            <w:rPr>
              <w:highlight w:val="none"/>
            </w:rPr>
            <w:instrText xml:space="preserve"> PAGEREF _Toc225524672 \h </w:instrText>
          </w:r>
          <w:r>
            <w:rPr>
              <w:highlight w:val="none"/>
            </w:rPr>
            <w:fldChar w:fldCharType="separate"/>
          </w:r>
          <w:r>
            <w:rPr>
              <w:highlight w:val="none"/>
            </w:rPr>
            <w:t>24</w:t>
          </w:r>
          <w:r>
            <w:rPr>
              <w:highlight w:val="none"/>
            </w:rPr>
            <w:fldChar w:fldCharType="end"/>
          </w:r>
          <w:r>
            <w:rPr>
              <w:highlight w:val="none"/>
            </w:rPr>
            <w:fldChar w:fldCharType="end"/>
          </w:r>
        </w:p>
        <w:p w14:paraId="2521FE34">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"_Toc225524673" </w:instrText>
          </w:r>
          <w:r>
            <w:rPr>
              <w:highlight w:val="none"/>
            </w:rPr>
            <w:fldChar w:fldCharType="separate"/>
          </w:r>
          <w:r>
            <w:rPr>
              <w:rStyle w:val="24"/>
              <w:rFonts w:hint="eastAsia"/>
              <w:bCs/>
              <w:highlight w:val="none"/>
            </w:rPr>
            <w:t>一、评标办法</w:t>
          </w:r>
          <w:r>
            <w:rPr>
              <w:highlight w:val="none"/>
            </w:rPr>
            <w:tab/>
          </w:r>
          <w:r>
            <w:rPr>
              <w:highlight w:val="none"/>
            </w:rPr>
            <w:fldChar w:fldCharType="begin"/>
          </w:r>
          <w:r>
            <w:rPr>
              <w:highlight w:val="none"/>
            </w:rPr>
            <w:instrText xml:space="preserve"> PAGEREF _Toc225524673 \h </w:instrText>
          </w:r>
          <w:r>
            <w:rPr>
              <w:highlight w:val="none"/>
            </w:rPr>
            <w:fldChar w:fldCharType="separate"/>
          </w:r>
          <w:r>
            <w:rPr>
              <w:highlight w:val="none"/>
            </w:rPr>
            <w:t>24</w:t>
          </w:r>
          <w:r>
            <w:rPr>
              <w:highlight w:val="none"/>
            </w:rPr>
            <w:fldChar w:fldCharType="end"/>
          </w:r>
          <w:r>
            <w:rPr>
              <w:highlight w:val="none"/>
            </w:rPr>
            <w:fldChar w:fldCharType="end"/>
          </w:r>
        </w:p>
        <w:p w14:paraId="0082E871">
          <w:pPr>
            <w:pStyle w:val="17"/>
            <w:tabs>
              <w:tab w:val="left" w:pos="1260"/>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"_Toc225524674" </w:instrText>
          </w:r>
          <w:r>
            <w:rPr>
              <w:highlight w:val="none"/>
            </w:rPr>
            <w:fldChar w:fldCharType="separate"/>
          </w:r>
          <w:r>
            <w:rPr>
              <w:rStyle w:val="24"/>
              <w:rFonts w:hint="eastAsia"/>
              <w:bCs/>
              <w:highlight w:val="none"/>
            </w:rPr>
            <w:t>二、资格性审查方法及标准</w:t>
          </w:r>
          <w:r>
            <w:rPr>
              <w:highlight w:val="none"/>
            </w:rPr>
            <w:tab/>
          </w:r>
          <w:r>
            <w:rPr>
              <w:highlight w:val="none"/>
            </w:rPr>
            <w:fldChar w:fldCharType="begin"/>
          </w:r>
          <w:r>
            <w:rPr>
              <w:highlight w:val="none"/>
            </w:rPr>
            <w:instrText xml:space="preserve"> PAGEREF _Toc225524674 \h </w:instrText>
          </w:r>
          <w:r>
            <w:rPr>
              <w:highlight w:val="none"/>
            </w:rPr>
            <w:fldChar w:fldCharType="separate"/>
          </w:r>
          <w:r>
            <w:rPr>
              <w:highlight w:val="none"/>
            </w:rPr>
            <w:t>24</w:t>
          </w:r>
          <w:r>
            <w:rPr>
              <w:highlight w:val="none"/>
            </w:rPr>
            <w:fldChar w:fldCharType="end"/>
          </w:r>
          <w:r>
            <w:rPr>
              <w:highlight w:val="none"/>
            </w:rPr>
            <w:fldChar w:fldCharType="end"/>
          </w:r>
        </w:p>
        <w:p w14:paraId="7A4B0C47">
          <w:pPr>
            <w:pStyle w:val="17"/>
            <w:tabs>
              <w:tab w:val="left" w:pos="1260"/>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"_Toc225524675" </w:instrText>
          </w:r>
          <w:r>
            <w:rPr>
              <w:highlight w:val="none"/>
            </w:rPr>
            <w:fldChar w:fldCharType="separate"/>
          </w:r>
          <w:r>
            <w:rPr>
              <w:rStyle w:val="24"/>
              <w:rFonts w:hint="eastAsia"/>
              <w:bCs/>
              <w:highlight w:val="none"/>
            </w:rPr>
            <w:t>三、符合性审查方法及标准</w:t>
          </w:r>
          <w:r>
            <w:rPr>
              <w:highlight w:val="none"/>
            </w:rPr>
            <w:tab/>
          </w:r>
          <w:r>
            <w:rPr>
              <w:highlight w:val="none"/>
            </w:rPr>
            <w:fldChar w:fldCharType="begin"/>
          </w:r>
          <w:r>
            <w:rPr>
              <w:highlight w:val="none"/>
            </w:rPr>
            <w:instrText xml:space="preserve"> PAGEREF _Toc225524675 \h </w:instrText>
          </w:r>
          <w:r>
            <w:rPr>
              <w:highlight w:val="none"/>
            </w:rPr>
            <w:fldChar w:fldCharType="separate"/>
          </w:r>
          <w:r>
            <w:rPr>
              <w:highlight w:val="none"/>
            </w:rPr>
            <w:t>28</w:t>
          </w:r>
          <w:r>
            <w:rPr>
              <w:highlight w:val="none"/>
            </w:rPr>
            <w:fldChar w:fldCharType="end"/>
          </w:r>
          <w:r>
            <w:rPr>
              <w:highlight w:val="none"/>
            </w:rPr>
            <w:fldChar w:fldCharType="end"/>
          </w:r>
        </w:p>
        <w:p w14:paraId="5061047B">
          <w:pPr>
            <w:pStyle w:val="17"/>
            <w:tabs>
              <w:tab w:val="left" w:pos="1260"/>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"_Toc225524676" </w:instrText>
          </w:r>
          <w:r>
            <w:rPr>
              <w:highlight w:val="none"/>
            </w:rPr>
            <w:fldChar w:fldCharType="separate"/>
          </w:r>
          <w:r>
            <w:rPr>
              <w:rStyle w:val="24"/>
              <w:rFonts w:hint="eastAsia"/>
              <w:bCs/>
              <w:highlight w:val="none"/>
            </w:rPr>
            <w:t>四、评分标准</w:t>
          </w:r>
          <w:r>
            <w:rPr>
              <w:highlight w:val="none"/>
            </w:rPr>
            <w:tab/>
          </w:r>
          <w:r>
            <w:rPr>
              <w:highlight w:val="none"/>
            </w:rPr>
            <w:fldChar w:fldCharType="begin"/>
          </w:r>
          <w:r>
            <w:rPr>
              <w:highlight w:val="none"/>
            </w:rPr>
            <w:instrText xml:space="preserve"> PAGEREF _Toc225524676 \h </w:instrText>
          </w:r>
          <w:r>
            <w:rPr>
              <w:highlight w:val="none"/>
            </w:rPr>
            <w:fldChar w:fldCharType="separate"/>
          </w:r>
          <w:r>
            <w:rPr>
              <w:highlight w:val="none"/>
            </w:rPr>
            <w:t>29</w:t>
          </w:r>
          <w:r>
            <w:rPr>
              <w:highlight w:val="none"/>
            </w:rPr>
            <w:fldChar w:fldCharType="end"/>
          </w:r>
          <w:r>
            <w:rPr>
              <w:highlight w:val="none"/>
            </w:rPr>
            <w:fldChar w:fldCharType="end"/>
          </w:r>
        </w:p>
        <w:p w14:paraId="5294F60D">
          <w:pPr>
            <w:pStyle w:val="16"/>
            <w:tabs>
              <w:tab w:val="right" w:leader="dot" w:pos="9054"/>
            </w:tabs>
            <w:adjustRightInd w:val="0"/>
            <w:snapToGrid w:val="0"/>
            <w:spacing w:before="0" w:line="380" w:lineRule="exact"/>
            <w:ind w:left="0"/>
            <w:rPr>
              <w:rFonts w:asciiTheme="minorHAnsi" w:hAnsiTheme="minorHAnsi" w:eastAsiaTheme="minorEastAsia" w:cstheme="minorBidi"/>
              <w:b w:val="0"/>
              <w:bCs w:val="0"/>
              <w:kern w:val="2"/>
              <w:sz w:val="21"/>
              <w:szCs w:val="22"/>
              <w:highlight w:val="none"/>
              <w:lang w:val="en-US" w:bidi="ar-SA"/>
            </w:rPr>
          </w:pPr>
          <w:r>
            <w:rPr>
              <w:highlight w:val="none"/>
            </w:rPr>
            <w:fldChar w:fldCharType="begin"/>
          </w:r>
          <w:r>
            <w:rPr>
              <w:highlight w:val="none"/>
            </w:rPr>
            <w:instrText xml:space="preserve"> HYPERLINK \l "_Toc225524677" </w:instrText>
          </w:r>
          <w:r>
            <w:rPr>
              <w:highlight w:val="none"/>
            </w:rPr>
            <w:fldChar w:fldCharType="separate"/>
          </w:r>
          <w:r>
            <w:rPr>
              <w:rStyle w:val="24"/>
              <w:rFonts w:hint="eastAsia" w:ascii="黑体" w:eastAsia="黑体"/>
              <w:highlight w:val="none"/>
            </w:rPr>
            <w:t>第五章</w:t>
          </w:r>
          <w:r>
            <w:rPr>
              <w:rStyle w:val="24"/>
              <w:rFonts w:ascii="黑体" w:eastAsia="黑体"/>
              <w:highlight w:val="none"/>
            </w:rPr>
            <w:t xml:space="preserve">  </w:t>
          </w:r>
          <w:r>
            <w:rPr>
              <w:rStyle w:val="24"/>
              <w:rFonts w:hint="eastAsia" w:ascii="黑体" w:eastAsia="黑体"/>
              <w:highlight w:val="none"/>
            </w:rPr>
            <w:t>公开招标项目需求</w:t>
          </w:r>
          <w:r>
            <w:rPr>
              <w:highlight w:val="none"/>
            </w:rPr>
            <w:tab/>
          </w:r>
          <w:r>
            <w:rPr>
              <w:highlight w:val="none"/>
            </w:rPr>
            <w:fldChar w:fldCharType="begin"/>
          </w:r>
          <w:r>
            <w:rPr>
              <w:highlight w:val="none"/>
            </w:rPr>
            <w:instrText xml:space="preserve"> PAGEREF _Toc225524677 \h </w:instrText>
          </w:r>
          <w:r>
            <w:rPr>
              <w:highlight w:val="none"/>
            </w:rPr>
            <w:fldChar w:fldCharType="separate"/>
          </w:r>
          <w:r>
            <w:rPr>
              <w:highlight w:val="none"/>
            </w:rPr>
            <w:t>34</w:t>
          </w:r>
          <w:r>
            <w:rPr>
              <w:highlight w:val="none"/>
            </w:rPr>
            <w:fldChar w:fldCharType="end"/>
          </w:r>
          <w:r>
            <w:rPr>
              <w:highlight w:val="none"/>
            </w:rPr>
            <w:fldChar w:fldCharType="end"/>
          </w:r>
        </w:p>
        <w:p w14:paraId="38B70871">
          <w:pPr>
            <w:pStyle w:val="16"/>
            <w:tabs>
              <w:tab w:val="left" w:pos="1792"/>
              <w:tab w:val="right" w:leader="dot" w:pos="9054"/>
            </w:tabs>
            <w:adjustRightInd w:val="0"/>
            <w:snapToGrid w:val="0"/>
            <w:spacing w:before="0" w:line="380" w:lineRule="exact"/>
            <w:ind w:left="0"/>
            <w:rPr>
              <w:rFonts w:asciiTheme="minorHAnsi" w:hAnsiTheme="minorHAnsi" w:eastAsiaTheme="minorEastAsia" w:cstheme="minorBidi"/>
              <w:b w:val="0"/>
              <w:bCs w:val="0"/>
              <w:kern w:val="2"/>
              <w:sz w:val="21"/>
              <w:szCs w:val="22"/>
              <w:highlight w:val="none"/>
              <w:lang w:val="en-US" w:bidi="ar-SA"/>
            </w:rPr>
          </w:pPr>
          <w:r>
            <w:rPr>
              <w:highlight w:val="none"/>
            </w:rPr>
            <w:fldChar w:fldCharType="begin"/>
          </w:r>
          <w:r>
            <w:rPr>
              <w:highlight w:val="none"/>
            </w:rPr>
            <w:instrText xml:space="preserve"> HYPERLINK \l "_Toc225524678" </w:instrText>
          </w:r>
          <w:r>
            <w:rPr>
              <w:highlight w:val="none"/>
            </w:rPr>
            <w:fldChar w:fldCharType="separate"/>
          </w:r>
          <w:r>
            <w:rPr>
              <w:rStyle w:val="24"/>
              <w:rFonts w:hint="eastAsia" w:ascii="黑体" w:eastAsia="黑体"/>
              <w:highlight w:val="none"/>
            </w:rPr>
            <w:t>第六章</w:t>
          </w:r>
          <w:r>
            <w:rPr>
              <w:rStyle w:val="24"/>
              <w:rFonts w:ascii="黑体" w:eastAsia="黑体"/>
              <w:highlight w:val="none"/>
            </w:rPr>
            <w:t xml:space="preserve"> </w:t>
          </w:r>
          <w:r>
            <w:rPr>
              <w:rStyle w:val="24"/>
              <w:rFonts w:hint="eastAsia" w:ascii="黑体" w:eastAsia="黑体"/>
              <w:highlight w:val="none"/>
            </w:rPr>
            <w:t xml:space="preserve"> 合同主要条款及格式</w:t>
          </w:r>
          <w:r>
            <w:rPr>
              <w:highlight w:val="none"/>
            </w:rPr>
            <w:tab/>
          </w:r>
          <w:r>
            <w:rPr>
              <w:highlight w:val="none"/>
            </w:rPr>
            <w:fldChar w:fldCharType="begin"/>
          </w:r>
          <w:r>
            <w:rPr>
              <w:highlight w:val="none"/>
            </w:rPr>
            <w:instrText xml:space="preserve"> PAGEREF _Toc225524678 \h </w:instrText>
          </w:r>
          <w:r>
            <w:rPr>
              <w:highlight w:val="none"/>
            </w:rPr>
            <w:fldChar w:fldCharType="separate"/>
          </w:r>
          <w:r>
            <w:rPr>
              <w:highlight w:val="none"/>
            </w:rPr>
            <w:t>61</w:t>
          </w:r>
          <w:r>
            <w:rPr>
              <w:highlight w:val="none"/>
            </w:rPr>
            <w:fldChar w:fldCharType="end"/>
          </w:r>
          <w:r>
            <w:rPr>
              <w:highlight w:val="none"/>
            </w:rPr>
            <w:fldChar w:fldCharType="end"/>
          </w:r>
        </w:p>
        <w:p w14:paraId="2034B3FF">
          <w:pPr>
            <w:pStyle w:val="16"/>
            <w:tabs>
              <w:tab w:val="right" w:leader="dot" w:pos="9054"/>
            </w:tabs>
            <w:adjustRightInd w:val="0"/>
            <w:snapToGrid w:val="0"/>
            <w:spacing w:before="0" w:line="380" w:lineRule="exact"/>
            <w:ind w:left="0"/>
            <w:rPr>
              <w:rFonts w:asciiTheme="minorHAnsi" w:hAnsiTheme="minorHAnsi" w:eastAsiaTheme="minorEastAsia" w:cstheme="minorBidi"/>
              <w:b w:val="0"/>
              <w:bCs w:val="0"/>
              <w:kern w:val="2"/>
              <w:sz w:val="21"/>
              <w:szCs w:val="22"/>
              <w:highlight w:val="none"/>
              <w:lang w:val="en-US" w:bidi="ar-SA"/>
            </w:rPr>
          </w:pPr>
          <w:r>
            <w:rPr>
              <w:highlight w:val="none"/>
            </w:rPr>
            <w:fldChar w:fldCharType="begin"/>
          </w:r>
          <w:r>
            <w:rPr>
              <w:highlight w:val="none"/>
            </w:rPr>
            <w:instrText xml:space="preserve"> HYPERLINK \l "_Toc225524679" </w:instrText>
          </w:r>
          <w:r>
            <w:rPr>
              <w:highlight w:val="none"/>
            </w:rPr>
            <w:fldChar w:fldCharType="separate"/>
          </w:r>
          <w:r>
            <w:rPr>
              <w:rStyle w:val="24"/>
              <w:rFonts w:hint="eastAsia" w:ascii="黑体" w:eastAsia="黑体"/>
              <w:highlight w:val="none"/>
            </w:rPr>
            <w:t>第七章</w:t>
          </w:r>
          <w:r>
            <w:rPr>
              <w:rStyle w:val="24"/>
              <w:rFonts w:ascii="黑体" w:eastAsia="黑体"/>
              <w:highlight w:val="none"/>
            </w:rPr>
            <w:t xml:space="preserve">  </w:t>
          </w:r>
          <w:r>
            <w:rPr>
              <w:rStyle w:val="24"/>
              <w:rFonts w:hint="eastAsia" w:ascii="黑体" w:eastAsia="黑体"/>
              <w:highlight w:val="none"/>
            </w:rPr>
            <w:t>投标文件格式</w:t>
          </w:r>
          <w:r>
            <w:rPr>
              <w:highlight w:val="none"/>
            </w:rPr>
            <w:tab/>
          </w:r>
          <w:r>
            <w:rPr>
              <w:highlight w:val="none"/>
            </w:rPr>
            <w:fldChar w:fldCharType="begin"/>
          </w:r>
          <w:r>
            <w:rPr>
              <w:highlight w:val="none"/>
            </w:rPr>
            <w:instrText xml:space="preserve"> PAGEREF _Toc225524679 \h </w:instrText>
          </w:r>
          <w:r>
            <w:rPr>
              <w:highlight w:val="none"/>
            </w:rPr>
            <w:fldChar w:fldCharType="separate"/>
          </w:r>
          <w:r>
            <w:rPr>
              <w:highlight w:val="none"/>
            </w:rPr>
            <w:t>77</w:t>
          </w:r>
          <w:r>
            <w:rPr>
              <w:highlight w:val="none"/>
            </w:rPr>
            <w:fldChar w:fldCharType="end"/>
          </w:r>
          <w:r>
            <w:rPr>
              <w:highlight w:val="none"/>
            </w:rPr>
            <w:fldChar w:fldCharType="end"/>
          </w:r>
        </w:p>
        <w:p w14:paraId="5146A480">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"_Toc225524680" </w:instrText>
          </w:r>
          <w:r>
            <w:rPr>
              <w:highlight w:val="none"/>
            </w:rPr>
            <w:fldChar w:fldCharType="separate"/>
          </w:r>
          <w:r>
            <w:rPr>
              <w:rStyle w:val="24"/>
              <w:rFonts w:hint="eastAsia"/>
              <w:highlight w:val="none"/>
              <w:lang w:val="en-US"/>
            </w:rPr>
            <w:t>封面样式：</w:t>
          </w:r>
          <w:r>
            <w:rPr>
              <w:highlight w:val="none"/>
            </w:rPr>
            <w:tab/>
          </w:r>
          <w:r>
            <w:rPr>
              <w:highlight w:val="none"/>
            </w:rPr>
            <w:fldChar w:fldCharType="begin"/>
          </w:r>
          <w:r>
            <w:rPr>
              <w:highlight w:val="none"/>
            </w:rPr>
            <w:instrText xml:space="preserve"> PAGEREF _Toc225524680 \h </w:instrText>
          </w:r>
          <w:r>
            <w:rPr>
              <w:highlight w:val="none"/>
            </w:rPr>
            <w:fldChar w:fldCharType="separate"/>
          </w:r>
          <w:r>
            <w:rPr>
              <w:highlight w:val="none"/>
            </w:rPr>
            <w:t>77</w:t>
          </w:r>
          <w:r>
            <w:rPr>
              <w:highlight w:val="none"/>
            </w:rPr>
            <w:fldChar w:fldCharType="end"/>
          </w:r>
          <w:r>
            <w:rPr>
              <w:highlight w:val="none"/>
            </w:rPr>
            <w:fldChar w:fldCharType="end"/>
          </w:r>
        </w:p>
        <w:p w14:paraId="4080E5B3">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"_Toc225524681" </w:instrText>
          </w:r>
          <w:r>
            <w:rPr>
              <w:highlight w:val="none"/>
            </w:rPr>
            <w:fldChar w:fldCharType="separate"/>
          </w:r>
          <w:r>
            <w:rPr>
              <w:rStyle w:val="24"/>
              <w:rFonts w:hint="eastAsia" w:ascii="黑体" w:eastAsia="黑体"/>
              <w:highlight w:val="none"/>
              <w:lang w:val="en-US"/>
            </w:rPr>
            <w:t>投标文件</w:t>
          </w:r>
          <w:r>
            <w:rPr>
              <w:highlight w:val="none"/>
            </w:rPr>
            <w:tab/>
          </w:r>
          <w:r>
            <w:rPr>
              <w:highlight w:val="none"/>
            </w:rPr>
            <w:fldChar w:fldCharType="begin"/>
          </w:r>
          <w:r>
            <w:rPr>
              <w:highlight w:val="none"/>
            </w:rPr>
            <w:instrText xml:space="preserve"> PAGEREF _Toc225524681 \h </w:instrText>
          </w:r>
          <w:r>
            <w:rPr>
              <w:highlight w:val="none"/>
            </w:rPr>
            <w:fldChar w:fldCharType="separate"/>
          </w:r>
          <w:r>
            <w:rPr>
              <w:highlight w:val="none"/>
            </w:rPr>
            <w:t>77</w:t>
          </w:r>
          <w:r>
            <w:rPr>
              <w:highlight w:val="none"/>
            </w:rPr>
            <w:fldChar w:fldCharType="end"/>
          </w:r>
          <w:r>
            <w:rPr>
              <w:highlight w:val="none"/>
            </w:rPr>
            <w:fldChar w:fldCharType="end"/>
          </w:r>
        </w:p>
        <w:p w14:paraId="04EC083E">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"_Toc225524682" </w:instrText>
          </w:r>
          <w:r>
            <w:rPr>
              <w:highlight w:val="none"/>
            </w:rPr>
            <w:fldChar w:fldCharType="separate"/>
          </w:r>
          <w:r>
            <w:rPr>
              <w:rStyle w:val="24"/>
              <w:rFonts w:hint="eastAsia"/>
              <w:highlight w:val="none"/>
              <w:lang w:val="en-US"/>
            </w:rPr>
            <w:t>目录样式（请根据实际情况定制目录）：</w:t>
          </w:r>
          <w:r>
            <w:rPr>
              <w:highlight w:val="none"/>
            </w:rPr>
            <w:tab/>
          </w:r>
          <w:r>
            <w:rPr>
              <w:highlight w:val="none"/>
            </w:rPr>
            <w:fldChar w:fldCharType="begin"/>
          </w:r>
          <w:r>
            <w:rPr>
              <w:highlight w:val="none"/>
            </w:rPr>
            <w:instrText xml:space="preserve"> PAGEREF _Toc225524682 \h </w:instrText>
          </w:r>
          <w:r>
            <w:rPr>
              <w:highlight w:val="none"/>
            </w:rPr>
            <w:fldChar w:fldCharType="separate"/>
          </w:r>
          <w:r>
            <w:rPr>
              <w:highlight w:val="none"/>
            </w:rPr>
            <w:t>78</w:t>
          </w:r>
          <w:r>
            <w:rPr>
              <w:highlight w:val="none"/>
            </w:rPr>
            <w:fldChar w:fldCharType="end"/>
          </w:r>
          <w:r>
            <w:rPr>
              <w:highlight w:val="none"/>
            </w:rPr>
            <w:fldChar w:fldCharType="end"/>
          </w:r>
        </w:p>
        <w:p w14:paraId="14949C44">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"_Toc225524683" </w:instrText>
          </w:r>
          <w:r>
            <w:rPr>
              <w:highlight w:val="none"/>
            </w:rPr>
            <w:fldChar w:fldCharType="separate"/>
          </w:r>
          <w:r>
            <w:rPr>
              <w:rStyle w:val="24"/>
              <w:rFonts w:hint="eastAsia"/>
              <w:highlight w:val="none"/>
              <w:lang w:val="en-US"/>
            </w:rPr>
            <w:t>一、资格索引表：</w:t>
          </w:r>
          <w:r>
            <w:rPr>
              <w:highlight w:val="none"/>
            </w:rPr>
            <w:tab/>
          </w:r>
          <w:r>
            <w:rPr>
              <w:highlight w:val="none"/>
            </w:rPr>
            <w:fldChar w:fldCharType="begin"/>
          </w:r>
          <w:r>
            <w:rPr>
              <w:highlight w:val="none"/>
            </w:rPr>
            <w:instrText xml:space="preserve"> PAGEREF _Toc225524683 \h </w:instrText>
          </w:r>
          <w:r>
            <w:rPr>
              <w:highlight w:val="none"/>
            </w:rPr>
            <w:fldChar w:fldCharType="separate"/>
          </w:r>
          <w:r>
            <w:rPr>
              <w:highlight w:val="none"/>
            </w:rPr>
            <w:t>79</w:t>
          </w:r>
          <w:r>
            <w:rPr>
              <w:highlight w:val="none"/>
            </w:rPr>
            <w:fldChar w:fldCharType="end"/>
          </w:r>
          <w:r>
            <w:rPr>
              <w:highlight w:val="none"/>
            </w:rPr>
            <w:fldChar w:fldCharType="end"/>
          </w:r>
        </w:p>
        <w:p w14:paraId="02BB0D24">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"_Toc225524684" </w:instrText>
          </w:r>
          <w:r>
            <w:rPr>
              <w:highlight w:val="none"/>
            </w:rPr>
            <w:fldChar w:fldCharType="separate"/>
          </w:r>
          <w:r>
            <w:rPr>
              <w:rStyle w:val="24"/>
              <w:rFonts w:hint="eastAsia"/>
              <w:highlight w:val="none"/>
              <w:lang w:val="en-US"/>
            </w:rPr>
            <w:t>二、评分索引表</w:t>
          </w:r>
          <w:r>
            <w:rPr>
              <w:highlight w:val="none"/>
            </w:rPr>
            <w:tab/>
          </w:r>
          <w:r>
            <w:rPr>
              <w:highlight w:val="none"/>
            </w:rPr>
            <w:fldChar w:fldCharType="begin"/>
          </w:r>
          <w:r>
            <w:rPr>
              <w:highlight w:val="none"/>
            </w:rPr>
            <w:instrText xml:space="preserve"> PAGEREF _Toc225524684 \h </w:instrText>
          </w:r>
          <w:r>
            <w:rPr>
              <w:highlight w:val="none"/>
            </w:rPr>
            <w:fldChar w:fldCharType="separate"/>
          </w:r>
          <w:r>
            <w:rPr>
              <w:highlight w:val="none"/>
            </w:rPr>
            <w:t>80</w:t>
          </w:r>
          <w:r>
            <w:rPr>
              <w:highlight w:val="none"/>
            </w:rPr>
            <w:fldChar w:fldCharType="end"/>
          </w:r>
          <w:r>
            <w:rPr>
              <w:highlight w:val="none"/>
            </w:rPr>
            <w:fldChar w:fldCharType="end"/>
          </w:r>
        </w:p>
        <w:p w14:paraId="7D083C63">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"_Toc225524685" </w:instrText>
          </w:r>
          <w:r>
            <w:rPr>
              <w:highlight w:val="none"/>
            </w:rPr>
            <w:fldChar w:fldCharType="separate"/>
          </w:r>
          <w:r>
            <w:rPr>
              <w:rStyle w:val="24"/>
              <w:rFonts w:hint="eastAsia"/>
              <w:highlight w:val="none"/>
              <w:lang w:val="en-US"/>
            </w:rPr>
            <w:t>三、商务部分</w:t>
          </w:r>
          <w:r>
            <w:rPr>
              <w:highlight w:val="none"/>
            </w:rPr>
            <w:tab/>
          </w:r>
          <w:r>
            <w:rPr>
              <w:highlight w:val="none"/>
            </w:rPr>
            <w:fldChar w:fldCharType="begin"/>
          </w:r>
          <w:r>
            <w:rPr>
              <w:highlight w:val="none"/>
            </w:rPr>
            <w:instrText xml:space="preserve"> PAGEREF _Toc225524685 \h </w:instrText>
          </w:r>
          <w:r>
            <w:rPr>
              <w:highlight w:val="none"/>
            </w:rPr>
            <w:fldChar w:fldCharType="separate"/>
          </w:r>
          <w:r>
            <w:rPr>
              <w:highlight w:val="none"/>
            </w:rPr>
            <w:t>81</w:t>
          </w:r>
          <w:r>
            <w:rPr>
              <w:highlight w:val="none"/>
            </w:rPr>
            <w:fldChar w:fldCharType="end"/>
          </w:r>
          <w:r>
            <w:rPr>
              <w:highlight w:val="none"/>
            </w:rPr>
            <w:fldChar w:fldCharType="end"/>
          </w:r>
        </w:p>
        <w:p w14:paraId="77F7621E">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"_Toc225524686" </w:instrText>
          </w:r>
          <w:r>
            <w:rPr>
              <w:highlight w:val="none"/>
            </w:rPr>
            <w:fldChar w:fldCharType="separate"/>
          </w:r>
          <w:r>
            <w:rPr>
              <w:rStyle w:val="24"/>
              <w:rFonts w:hint="eastAsia"/>
              <w:highlight w:val="none"/>
              <w:lang w:val="en-US"/>
            </w:rPr>
            <w:t>四、技术部分</w:t>
          </w:r>
          <w:r>
            <w:rPr>
              <w:highlight w:val="none"/>
            </w:rPr>
            <w:tab/>
          </w:r>
          <w:r>
            <w:rPr>
              <w:highlight w:val="none"/>
            </w:rPr>
            <w:fldChar w:fldCharType="begin"/>
          </w:r>
          <w:r>
            <w:rPr>
              <w:highlight w:val="none"/>
            </w:rPr>
            <w:instrText xml:space="preserve"> PAGEREF _Toc225524686 \h </w:instrText>
          </w:r>
          <w:r>
            <w:rPr>
              <w:highlight w:val="none"/>
            </w:rPr>
            <w:fldChar w:fldCharType="separate"/>
          </w:r>
          <w:r>
            <w:rPr>
              <w:highlight w:val="none"/>
            </w:rPr>
            <w:t>87</w:t>
          </w:r>
          <w:r>
            <w:rPr>
              <w:highlight w:val="none"/>
            </w:rPr>
            <w:fldChar w:fldCharType="end"/>
          </w:r>
          <w:r>
            <w:rPr>
              <w:highlight w:val="none"/>
            </w:rPr>
            <w:fldChar w:fldCharType="end"/>
          </w:r>
        </w:p>
        <w:p w14:paraId="7CDEC5FB">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"_Toc225524687" </w:instrText>
          </w:r>
          <w:r>
            <w:rPr>
              <w:highlight w:val="none"/>
            </w:rPr>
            <w:fldChar w:fldCharType="separate"/>
          </w:r>
          <w:r>
            <w:rPr>
              <w:rStyle w:val="24"/>
              <w:rFonts w:hint="eastAsia"/>
              <w:highlight w:val="none"/>
              <w:lang w:val="en-US"/>
            </w:rPr>
            <w:t>五、价格部分</w:t>
          </w:r>
          <w:r>
            <w:rPr>
              <w:highlight w:val="none"/>
            </w:rPr>
            <w:tab/>
          </w:r>
          <w:r>
            <w:rPr>
              <w:highlight w:val="none"/>
            </w:rPr>
            <w:fldChar w:fldCharType="begin"/>
          </w:r>
          <w:r>
            <w:rPr>
              <w:highlight w:val="none"/>
            </w:rPr>
            <w:instrText xml:space="preserve"> PAGEREF _Toc225524687 \h </w:instrText>
          </w:r>
          <w:r>
            <w:rPr>
              <w:highlight w:val="none"/>
            </w:rPr>
            <w:fldChar w:fldCharType="separate"/>
          </w:r>
          <w:r>
            <w:rPr>
              <w:highlight w:val="none"/>
            </w:rPr>
            <w:t>91</w:t>
          </w:r>
          <w:r>
            <w:rPr>
              <w:highlight w:val="none"/>
            </w:rPr>
            <w:fldChar w:fldCharType="end"/>
          </w:r>
          <w:r>
            <w:rPr>
              <w:highlight w:val="none"/>
            </w:rPr>
            <w:fldChar w:fldCharType="end"/>
          </w:r>
        </w:p>
        <w:p w14:paraId="02933757">
          <w:pPr>
            <w:pStyle w:val="17"/>
            <w:tabs>
              <w:tab w:val="right" w:leader="dot" w:pos="9054"/>
            </w:tabs>
            <w:adjustRightInd w:val="0"/>
            <w:snapToGrid w:val="0"/>
            <w:spacing w:line="380" w:lineRule="exact"/>
            <w:ind w:left="0" w:leftChars="0"/>
            <w:rPr>
              <w:rFonts w:asciiTheme="minorHAnsi" w:hAnsiTheme="minorHAnsi" w:eastAsiaTheme="minorEastAsia" w:cstheme="minorBidi"/>
              <w:kern w:val="2"/>
              <w:sz w:val="21"/>
              <w:highlight w:val="none"/>
              <w:lang w:val="en-US" w:bidi="ar-SA"/>
            </w:rPr>
          </w:pPr>
          <w:r>
            <w:rPr>
              <w:highlight w:val="none"/>
            </w:rPr>
            <w:fldChar w:fldCharType="begin"/>
          </w:r>
          <w:r>
            <w:rPr>
              <w:highlight w:val="none"/>
            </w:rPr>
            <w:instrText xml:space="preserve"> HYPERLINK \l "_Toc225524688" </w:instrText>
          </w:r>
          <w:r>
            <w:rPr>
              <w:highlight w:val="none"/>
            </w:rPr>
            <w:fldChar w:fldCharType="separate"/>
          </w:r>
          <w:r>
            <w:rPr>
              <w:rStyle w:val="24"/>
              <w:rFonts w:hint="eastAsia"/>
              <w:highlight w:val="none"/>
              <w:lang w:val="en-US"/>
            </w:rPr>
            <w:t>六、其他部分</w:t>
          </w:r>
          <w:r>
            <w:rPr>
              <w:highlight w:val="none"/>
            </w:rPr>
            <w:tab/>
          </w:r>
          <w:r>
            <w:rPr>
              <w:highlight w:val="none"/>
            </w:rPr>
            <w:fldChar w:fldCharType="begin"/>
          </w:r>
          <w:r>
            <w:rPr>
              <w:highlight w:val="none"/>
            </w:rPr>
            <w:instrText xml:space="preserve"> PAGEREF _Toc225524688 \h </w:instrText>
          </w:r>
          <w:r>
            <w:rPr>
              <w:highlight w:val="none"/>
            </w:rPr>
            <w:fldChar w:fldCharType="separate"/>
          </w:r>
          <w:r>
            <w:rPr>
              <w:highlight w:val="none"/>
            </w:rPr>
            <w:t>95</w:t>
          </w:r>
          <w:r>
            <w:rPr>
              <w:highlight w:val="none"/>
            </w:rPr>
            <w:fldChar w:fldCharType="end"/>
          </w:r>
          <w:r>
            <w:rPr>
              <w:highlight w:val="none"/>
            </w:rPr>
            <w:fldChar w:fldCharType="end"/>
          </w:r>
        </w:p>
        <w:p w14:paraId="72B87931">
          <w:pPr>
            <w:spacing w:line="360" w:lineRule="auto"/>
            <w:rPr>
              <w:rFonts w:ascii="黑体" w:eastAsia="黑体"/>
              <w:highlight w:val="none"/>
              <w:lang w:val="en-US"/>
            </w:rPr>
          </w:pPr>
          <w:r>
            <w:rPr>
              <w:rFonts w:hint="eastAsia" w:ascii="黑体" w:eastAsia="黑体"/>
              <w:szCs w:val="24"/>
              <w:highlight w:val="none"/>
              <w:lang w:val="en-US"/>
            </w:rPr>
            <w:fldChar w:fldCharType="end"/>
          </w:r>
        </w:p>
      </w:sdtContent>
    </w:sdt>
    <w:p w14:paraId="5E1F0F99">
      <w:pPr>
        <w:jc w:val="center"/>
        <w:outlineLvl w:val="0"/>
        <w:rPr>
          <w:rFonts w:ascii="黑体" w:hAnsi="黑体" w:eastAsia="黑体" w:cs="黑体"/>
          <w:sz w:val="32"/>
          <w:szCs w:val="32"/>
          <w:highlight w:val="none"/>
        </w:rPr>
      </w:pPr>
      <w:bookmarkStart w:id="0" w:name="_Toc225524654"/>
      <w:r>
        <w:rPr>
          <w:rFonts w:hint="eastAsia" w:ascii="黑体" w:hAnsi="黑体" w:eastAsia="黑体" w:cs="黑体"/>
          <w:sz w:val="32"/>
          <w:szCs w:val="32"/>
          <w:highlight w:val="none"/>
        </w:rPr>
        <w:t>第一章</w:t>
      </w:r>
      <w:r>
        <w:rPr>
          <w:rFonts w:hint="eastAsia" w:ascii="黑体" w:hAnsi="黑体" w:eastAsia="黑体" w:cs="黑体"/>
          <w:sz w:val="32"/>
          <w:szCs w:val="32"/>
          <w:highlight w:val="none"/>
        </w:rPr>
        <w:tab/>
      </w:r>
      <w:r>
        <w:rPr>
          <w:rFonts w:hint="eastAsia" w:ascii="黑体" w:hAnsi="黑体" w:eastAsia="黑体" w:cs="黑体"/>
          <w:sz w:val="32"/>
          <w:szCs w:val="32"/>
          <w:highlight w:val="none"/>
        </w:rPr>
        <w:t xml:space="preserve">  招标公告</w:t>
      </w:r>
      <w:bookmarkEnd w:id="0"/>
    </w:p>
    <w:p w14:paraId="419B61A4">
      <w:pPr>
        <w:wordWrap w:val="0"/>
        <w:adjustRightInd w:val="0"/>
        <w:snapToGrid w:val="0"/>
        <w:spacing w:line="360" w:lineRule="auto"/>
        <w:ind w:firstLine="422" w:firstLineChars="200"/>
        <w:rPr>
          <w:b/>
          <w:bCs/>
          <w:sz w:val="21"/>
          <w:szCs w:val="21"/>
          <w:highlight w:val="none"/>
          <w:u w:val="single"/>
          <w:lang w:val="en-US"/>
        </w:rPr>
      </w:pPr>
      <w:bookmarkStart w:id="1" w:name="____江苏省华厦工程项目管理有限公司（以下简称“采购代理机构”）受南京市高淳区"/>
      <w:bookmarkEnd w:id="1"/>
    </w:p>
    <w:p w14:paraId="6E966DBB">
      <w:pPr>
        <w:wordWrap w:val="0"/>
        <w:adjustRightInd w:val="0"/>
        <w:snapToGrid w:val="0"/>
        <w:spacing w:line="360" w:lineRule="auto"/>
        <w:ind w:firstLine="480" w:firstLineChars="200"/>
        <w:rPr>
          <w:sz w:val="24"/>
          <w:szCs w:val="24"/>
          <w:highlight w:val="none"/>
        </w:rPr>
      </w:pPr>
      <w:r>
        <w:rPr>
          <w:rFonts w:hint="eastAsia"/>
          <w:sz w:val="24"/>
          <w:szCs w:val="24"/>
          <w:highlight w:val="none"/>
          <w:u w:val="single"/>
        </w:rPr>
        <w:t>厅交管总队指挥中心、会议室及相关通信支撑系统维保服务采购项目</w:t>
      </w:r>
      <w:r>
        <w:rPr>
          <w:rFonts w:hint="eastAsia"/>
          <w:sz w:val="24"/>
          <w:szCs w:val="24"/>
          <w:highlight w:val="none"/>
        </w:rPr>
        <w:t>的潜在投标人应在</w:t>
      </w:r>
      <w:r>
        <w:rPr>
          <w:rFonts w:hint="eastAsia"/>
          <w:sz w:val="24"/>
          <w:szCs w:val="24"/>
          <w:highlight w:val="none"/>
          <w:u w:val="single"/>
        </w:rPr>
        <w:t>江苏政府采购网</w:t>
      </w:r>
      <w:r>
        <w:rPr>
          <w:rFonts w:hint="eastAsia"/>
          <w:sz w:val="24"/>
          <w:szCs w:val="24"/>
          <w:highlight w:val="none"/>
        </w:rPr>
        <w:t>获取招标文件，并于</w:t>
      </w:r>
      <w:r>
        <w:rPr>
          <w:rFonts w:hint="eastAsia"/>
          <w:sz w:val="24"/>
          <w:szCs w:val="24"/>
          <w:highlight w:val="none"/>
          <w:u w:val="single"/>
        </w:rPr>
        <w:t>202</w:t>
      </w:r>
      <w:r>
        <w:rPr>
          <w:rFonts w:hint="eastAsia"/>
          <w:sz w:val="24"/>
          <w:szCs w:val="24"/>
          <w:highlight w:val="none"/>
          <w:u w:val="single"/>
          <w:lang w:val="en-US"/>
        </w:rPr>
        <w:t>6</w:t>
      </w:r>
      <w:r>
        <w:rPr>
          <w:rFonts w:hint="eastAsia"/>
          <w:bCs/>
          <w:sz w:val="24"/>
          <w:szCs w:val="24"/>
          <w:highlight w:val="none"/>
          <w:u w:val="single"/>
        </w:rPr>
        <w:t>年</w:t>
      </w:r>
      <w:r>
        <w:rPr>
          <w:rFonts w:hint="eastAsia"/>
          <w:bCs/>
          <w:sz w:val="24"/>
          <w:szCs w:val="24"/>
          <w:highlight w:val="none"/>
          <w:u w:val="single"/>
          <w:lang w:val="en-US" w:eastAsia="zh-CN"/>
        </w:rPr>
        <w:t>6</w:t>
      </w:r>
      <w:r>
        <w:rPr>
          <w:rFonts w:hint="eastAsia"/>
          <w:bCs/>
          <w:sz w:val="24"/>
          <w:szCs w:val="24"/>
          <w:highlight w:val="none"/>
          <w:u w:val="single"/>
        </w:rPr>
        <w:t>月</w:t>
      </w:r>
      <w:r>
        <w:rPr>
          <w:rFonts w:hint="eastAsia"/>
          <w:bCs/>
          <w:sz w:val="24"/>
          <w:szCs w:val="24"/>
          <w:highlight w:val="none"/>
          <w:u w:val="single"/>
          <w:lang w:val="en-US" w:eastAsia="zh-CN"/>
        </w:rPr>
        <w:t>1</w:t>
      </w:r>
      <w:r>
        <w:rPr>
          <w:rFonts w:hint="eastAsia"/>
          <w:bCs/>
          <w:sz w:val="24"/>
          <w:szCs w:val="24"/>
          <w:highlight w:val="none"/>
          <w:u w:val="single"/>
        </w:rPr>
        <w:t>日</w:t>
      </w:r>
      <w:r>
        <w:rPr>
          <w:rFonts w:hint="eastAsia"/>
          <w:bCs/>
          <w:sz w:val="24"/>
          <w:szCs w:val="24"/>
          <w:highlight w:val="none"/>
          <w:u w:val="single"/>
          <w:lang w:val="en-US"/>
        </w:rPr>
        <w:t>14</w:t>
      </w:r>
      <w:r>
        <w:rPr>
          <w:rFonts w:hint="eastAsia"/>
          <w:bCs/>
          <w:sz w:val="24"/>
          <w:szCs w:val="24"/>
          <w:highlight w:val="none"/>
          <w:u w:val="single"/>
        </w:rPr>
        <w:t>点</w:t>
      </w:r>
      <w:r>
        <w:rPr>
          <w:rFonts w:hint="eastAsia"/>
          <w:bCs/>
          <w:sz w:val="24"/>
          <w:szCs w:val="24"/>
          <w:highlight w:val="none"/>
          <w:u w:val="single"/>
          <w:lang w:val="en-US"/>
        </w:rPr>
        <w:t>00</w:t>
      </w:r>
      <w:r>
        <w:rPr>
          <w:rFonts w:hint="eastAsia"/>
          <w:bCs/>
          <w:sz w:val="24"/>
          <w:szCs w:val="24"/>
          <w:highlight w:val="none"/>
          <w:u w:val="single"/>
        </w:rPr>
        <w:t>分（</w:t>
      </w:r>
      <w:r>
        <w:rPr>
          <w:rFonts w:hint="eastAsia"/>
          <w:bCs/>
          <w:sz w:val="24"/>
          <w:szCs w:val="24"/>
          <w:highlight w:val="none"/>
        </w:rPr>
        <w:t>北京时间）前提交投标文件。</w:t>
      </w:r>
    </w:p>
    <w:p w14:paraId="2753AE63">
      <w:pPr>
        <w:pStyle w:val="3"/>
        <w:adjustRightInd w:val="0"/>
        <w:snapToGrid w:val="0"/>
        <w:spacing w:line="360" w:lineRule="auto"/>
        <w:ind w:left="0" w:right="0" w:firstLine="0"/>
        <w:jc w:val="left"/>
        <w:rPr>
          <w:sz w:val="24"/>
          <w:szCs w:val="24"/>
          <w:highlight w:val="none"/>
          <w:u w:val="none"/>
        </w:rPr>
      </w:pPr>
      <w:bookmarkStart w:id="2" w:name="_Toc225524655"/>
      <w:r>
        <w:rPr>
          <w:rFonts w:hint="eastAsia"/>
          <w:sz w:val="24"/>
          <w:szCs w:val="24"/>
          <w:highlight w:val="none"/>
          <w:u w:val="none"/>
        </w:rPr>
        <w:t>一、项目基本情况</w:t>
      </w:r>
      <w:bookmarkEnd w:id="2"/>
    </w:p>
    <w:p w14:paraId="6C506869">
      <w:pPr>
        <w:adjustRightInd w:val="0"/>
        <w:snapToGrid w:val="0"/>
        <w:spacing w:line="360" w:lineRule="auto"/>
        <w:ind w:firstLine="482" w:firstLineChars="200"/>
        <w:rPr>
          <w:b w:val="0"/>
          <w:bCs w:val="0"/>
          <w:sz w:val="24"/>
          <w:szCs w:val="24"/>
          <w:highlight w:val="none"/>
          <w:lang w:val="en-US"/>
        </w:rPr>
      </w:pPr>
      <w:r>
        <w:rPr>
          <w:rFonts w:hint="eastAsia"/>
          <w:b/>
          <w:bCs/>
          <w:sz w:val="24"/>
          <w:szCs w:val="24"/>
          <w:highlight w:val="none"/>
        </w:rPr>
        <w:t>1.项目编号：</w:t>
      </w:r>
      <w:r>
        <w:rPr>
          <w:rFonts w:hint="eastAsia"/>
          <w:b w:val="0"/>
          <w:bCs w:val="0"/>
          <w:sz w:val="24"/>
          <w:szCs w:val="24"/>
          <w:highlight w:val="none"/>
        </w:rPr>
        <w:t>JSZC-320000-JYCS-G2026-0002</w:t>
      </w:r>
    </w:p>
    <w:p w14:paraId="498990F7">
      <w:pPr>
        <w:adjustRightInd w:val="0"/>
        <w:snapToGrid w:val="0"/>
        <w:spacing w:line="360" w:lineRule="auto"/>
        <w:ind w:firstLine="482" w:firstLineChars="200"/>
        <w:rPr>
          <w:b/>
          <w:bCs/>
          <w:sz w:val="24"/>
          <w:szCs w:val="24"/>
          <w:highlight w:val="none"/>
        </w:rPr>
      </w:pPr>
      <w:r>
        <w:rPr>
          <w:rFonts w:hint="eastAsia"/>
          <w:b/>
          <w:bCs/>
          <w:sz w:val="24"/>
          <w:szCs w:val="24"/>
          <w:highlight w:val="none"/>
        </w:rPr>
        <w:t>2.项目名称：</w:t>
      </w:r>
      <w:r>
        <w:rPr>
          <w:rFonts w:hint="eastAsia"/>
          <w:sz w:val="24"/>
          <w:szCs w:val="24"/>
          <w:highlight w:val="none"/>
        </w:rPr>
        <w:t>厅交管总队指挥中心、会议室及相关通信支撑系统维保服务采购</w:t>
      </w:r>
    </w:p>
    <w:p w14:paraId="030DB96C">
      <w:pPr>
        <w:adjustRightInd w:val="0"/>
        <w:snapToGrid w:val="0"/>
        <w:spacing w:line="360" w:lineRule="auto"/>
        <w:ind w:firstLine="482" w:firstLineChars="200"/>
        <w:rPr>
          <w:b/>
          <w:bCs/>
          <w:sz w:val="24"/>
          <w:szCs w:val="24"/>
          <w:highlight w:val="none"/>
        </w:rPr>
      </w:pPr>
      <w:r>
        <w:rPr>
          <w:rFonts w:hint="eastAsia"/>
          <w:b/>
          <w:bCs/>
          <w:sz w:val="24"/>
          <w:szCs w:val="24"/>
          <w:highlight w:val="none"/>
        </w:rPr>
        <w:t>3.采购方式：</w:t>
      </w:r>
      <w:r>
        <w:rPr>
          <w:rFonts w:hint="eastAsia"/>
          <w:sz w:val="24"/>
          <w:szCs w:val="24"/>
          <w:highlight w:val="none"/>
        </w:rPr>
        <w:t>公开招标</w:t>
      </w:r>
    </w:p>
    <w:p w14:paraId="78EB4D9D">
      <w:pPr>
        <w:adjustRightInd w:val="0"/>
        <w:snapToGrid w:val="0"/>
        <w:spacing w:line="360" w:lineRule="auto"/>
        <w:ind w:firstLine="482" w:firstLineChars="200"/>
        <w:rPr>
          <w:b/>
          <w:bCs/>
          <w:sz w:val="24"/>
          <w:szCs w:val="24"/>
          <w:highlight w:val="none"/>
          <w:lang w:val="en-US"/>
        </w:rPr>
      </w:pPr>
      <w:r>
        <w:rPr>
          <w:rFonts w:hint="eastAsia"/>
          <w:b/>
          <w:bCs/>
          <w:sz w:val="24"/>
          <w:szCs w:val="24"/>
          <w:highlight w:val="none"/>
        </w:rPr>
        <w:t>4.项目预算：</w:t>
      </w:r>
      <w:r>
        <w:rPr>
          <w:rFonts w:hint="eastAsia"/>
          <w:sz w:val="24"/>
          <w:szCs w:val="24"/>
          <w:highlight w:val="none"/>
          <w:lang w:val="en-US" w:eastAsia="zh-CN"/>
        </w:rPr>
        <w:t>三年总计</w:t>
      </w:r>
      <w:r>
        <w:rPr>
          <w:rFonts w:hint="eastAsia"/>
          <w:sz w:val="24"/>
          <w:szCs w:val="24"/>
          <w:highlight w:val="none"/>
        </w:rPr>
        <w:t>人民币489.1794万元</w:t>
      </w:r>
    </w:p>
    <w:p w14:paraId="7405ABCF">
      <w:pPr>
        <w:adjustRightInd w:val="0"/>
        <w:snapToGrid w:val="0"/>
        <w:spacing w:line="360" w:lineRule="auto"/>
        <w:ind w:firstLine="482" w:firstLineChars="200"/>
        <w:rPr>
          <w:rFonts w:hint="default" w:eastAsia="宋体"/>
          <w:b/>
          <w:bCs/>
          <w:sz w:val="24"/>
          <w:szCs w:val="24"/>
          <w:highlight w:val="none"/>
          <w:lang w:val="en-US" w:eastAsia="zh-CN"/>
        </w:rPr>
      </w:pPr>
      <w:r>
        <w:rPr>
          <w:rFonts w:hint="eastAsia"/>
          <w:b/>
          <w:bCs/>
          <w:sz w:val="24"/>
          <w:szCs w:val="24"/>
          <w:highlight w:val="none"/>
          <w:lang w:val="en-US"/>
        </w:rPr>
        <w:t>5.</w:t>
      </w:r>
      <w:r>
        <w:rPr>
          <w:rFonts w:hint="eastAsia"/>
          <w:b/>
          <w:bCs/>
          <w:sz w:val="24"/>
          <w:szCs w:val="24"/>
          <w:highlight w:val="none"/>
        </w:rPr>
        <w:t>最高限价：</w:t>
      </w:r>
      <w:r>
        <w:rPr>
          <w:rFonts w:hint="eastAsia"/>
          <w:sz w:val="24"/>
          <w:szCs w:val="24"/>
          <w:highlight w:val="none"/>
        </w:rPr>
        <w:t>人民币153</w:t>
      </w:r>
      <w:r>
        <w:rPr>
          <w:rFonts w:hint="eastAsia"/>
          <w:sz w:val="24"/>
          <w:szCs w:val="24"/>
          <w:highlight w:val="none"/>
          <w:lang w:val="en-US"/>
        </w:rPr>
        <w:t>.</w:t>
      </w:r>
      <w:r>
        <w:rPr>
          <w:rFonts w:hint="eastAsia"/>
          <w:sz w:val="24"/>
          <w:szCs w:val="24"/>
          <w:highlight w:val="none"/>
        </w:rPr>
        <w:t>1576</w:t>
      </w:r>
      <w:r>
        <w:rPr>
          <w:rFonts w:hint="eastAsia"/>
          <w:sz w:val="24"/>
          <w:szCs w:val="24"/>
          <w:highlight w:val="none"/>
          <w:lang w:val="en-US"/>
        </w:rPr>
        <w:t>万</w:t>
      </w:r>
      <w:r>
        <w:rPr>
          <w:rFonts w:hint="eastAsia"/>
          <w:sz w:val="24"/>
          <w:szCs w:val="24"/>
          <w:highlight w:val="none"/>
        </w:rPr>
        <w:t>元</w:t>
      </w:r>
      <w:r>
        <w:rPr>
          <w:rFonts w:hint="eastAsia"/>
          <w:sz w:val="24"/>
          <w:szCs w:val="24"/>
          <w:highlight w:val="none"/>
          <w:lang w:val="en-US"/>
        </w:rPr>
        <w:t>/年（三年共459.4728万元）</w:t>
      </w:r>
      <w:r>
        <w:rPr>
          <w:rFonts w:hint="eastAsia"/>
          <w:sz w:val="24"/>
          <w:szCs w:val="24"/>
          <w:highlight w:val="none"/>
          <w:lang w:val="en-US" w:eastAsia="zh-CN"/>
        </w:rPr>
        <w:t>，</w:t>
      </w:r>
      <w:r>
        <w:rPr>
          <w:rFonts w:hint="eastAsia"/>
          <w:kern w:val="2"/>
          <w:sz w:val="24"/>
          <w:szCs w:val="24"/>
          <w:highlight w:val="none"/>
          <w:lang w:val="en-US"/>
        </w:rPr>
        <w:t>投标报价超过最高限价</w:t>
      </w:r>
      <w:r>
        <w:rPr>
          <w:rFonts w:hint="eastAsia"/>
          <w:kern w:val="2"/>
          <w:sz w:val="24"/>
          <w:szCs w:val="24"/>
          <w:highlight w:val="none"/>
          <w:lang w:val="en-US" w:eastAsia="zh-CN"/>
        </w:rPr>
        <w:t>的投标无效。</w:t>
      </w:r>
    </w:p>
    <w:p w14:paraId="086392A2">
      <w:pPr>
        <w:adjustRightInd w:val="0"/>
        <w:snapToGrid w:val="0"/>
        <w:spacing w:line="360" w:lineRule="auto"/>
        <w:ind w:firstLine="482" w:firstLineChars="200"/>
        <w:rPr>
          <w:sz w:val="24"/>
          <w:szCs w:val="24"/>
          <w:highlight w:val="none"/>
          <w:lang w:val="en-US"/>
        </w:rPr>
      </w:pPr>
      <w:r>
        <w:rPr>
          <w:rFonts w:hint="eastAsia"/>
          <w:b/>
          <w:bCs/>
          <w:sz w:val="24"/>
          <w:szCs w:val="24"/>
          <w:highlight w:val="none"/>
          <w:lang w:val="en-US"/>
        </w:rPr>
        <w:t>6</w:t>
      </w:r>
      <w:r>
        <w:rPr>
          <w:rFonts w:hint="eastAsia"/>
          <w:b/>
          <w:bCs/>
          <w:sz w:val="24"/>
          <w:szCs w:val="24"/>
          <w:highlight w:val="none"/>
        </w:rPr>
        <w:t>.采购需求：</w:t>
      </w:r>
      <w:r>
        <w:rPr>
          <w:rFonts w:hint="eastAsia"/>
          <w:sz w:val="24"/>
          <w:szCs w:val="24"/>
          <w:highlight w:val="none"/>
        </w:rPr>
        <w:t>为确保厅交管总队指挥中心、会议室及相关通信支撑系统正常使用，保障各类过保的系统设备稳定运行和交管总队日常指挥调度、应急实战指挥工作有效开展及各类视频会议正常召开，对相关系统及设备的专业维保服务</w:t>
      </w:r>
      <w:r>
        <w:rPr>
          <w:rFonts w:hint="eastAsia"/>
          <w:sz w:val="24"/>
          <w:szCs w:val="24"/>
          <w:highlight w:val="none"/>
          <w:lang w:val="en-US"/>
        </w:rPr>
        <w:t>进行采购，纳入维保服务范围的主要涉及指挥中心大屏显示系统，指挥中心、会议室及其他支撑系统，人员驻场值守服务，安全设备升级服务等4个部分；具体详见招标文件第五章“项目需求”</w:t>
      </w:r>
    </w:p>
    <w:p w14:paraId="32FBD2FD">
      <w:pPr>
        <w:adjustRightInd w:val="0"/>
        <w:snapToGrid w:val="0"/>
        <w:spacing w:line="360" w:lineRule="auto"/>
        <w:ind w:firstLine="482" w:firstLineChars="200"/>
        <w:rPr>
          <w:b/>
          <w:bCs/>
          <w:sz w:val="24"/>
          <w:szCs w:val="24"/>
          <w:highlight w:val="none"/>
          <w:lang w:val="en-US"/>
        </w:rPr>
      </w:pPr>
      <w:r>
        <w:rPr>
          <w:rFonts w:hint="eastAsia"/>
          <w:b/>
          <w:bCs/>
          <w:sz w:val="24"/>
          <w:szCs w:val="24"/>
          <w:highlight w:val="none"/>
          <w:lang w:val="en-US"/>
        </w:rPr>
        <w:t>7</w:t>
      </w:r>
      <w:r>
        <w:rPr>
          <w:rFonts w:hint="eastAsia"/>
          <w:b/>
          <w:bCs/>
          <w:sz w:val="24"/>
          <w:szCs w:val="24"/>
          <w:highlight w:val="none"/>
        </w:rPr>
        <w:t>.合同履行期限：</w:t>
      </w:r>
      <w:r>
        <w:rPr>
          <w:rFonts w:hint="eastAsia"/>
          <w:sz w:val="24"/>
          <w:szCs w:val="24"/>
          <w:highlight w:val="none"/>
          <w:lang w:val="en-US"/>
        </w:rPr>
        <w:t>整体服务期3年，合同一签三年</w:t>
      </w:r>
    </w:p>
    <w:p w14:paraId="49923975">
      <w:pPr>
        <w:adjustRightInd w:val="0"/>
        <w:snapToGrid w:val="0"/>
        <w:spacing w:line="360" w:lineRule="auto"/>
        <w:ind w:firstLine="482" w:firstLineChars="200"/>
        <w:rPr>
          <w:b/>
          <w:bCs/>
          <w:sz w:val="24"/>
          <w:szCs w:val="24"/>
          <w:highlight w:val="none"/>
          <w:lang w:val="en-US"/>
        </w:rPr>
      </w:pPr>
      <w:r>
        <w:rPr>
          <w:rFonts w:hint="eastAsia"/>
          <w:b/>
          <w:bCs/>
          <w:sz w:val="24"/>
          <w:szCs w:val="24"/>
          <w:highlight w:val="none"/>
          <w:lang w:val="en-US"/>
        </w:rPr>
        <w:t>8</w:t>
      </w:r>
      <w:r>
        <w:rPr>
          <w:rFonts w:hint="eastAsia"/>
          <w:b/>
          <w:bCs/>
          <w:sz w:val="24"/>
          <w:szCs w:val="24"/>
          <w:highlight w:val="none"/>
        </w:rPr>
        <w:t>.本项目（是/否）接受联合体投标：</w:t>
      </w:r>
      <w:r>
        <w:rPr>
          <w:rFonts w:hint="eastAsia"/>
          <w:sz w:val="24"/>
          <w:szCs w:val="24"/>
          <w:highlight w:val="none"/>
        </w:rPr>
        <w:t>否</w:t>
      </w:r>
    </w:p>
    <w:p w14:paraId="462F1136">
      <w:pPr>
        <w:adjustRightInd w:val="0"/>
        <w:snapToGrid w:val="0"/>
        <w:spacing w:line="360" w:lineRule="auto"/>
        <w:ind w:firstLine="482" w:firstLineChars="200"/>
        <w:rPr>
          <w:b/>
          <w:bCs/>
          <w:sz w:val="24"/>
          <w:szCs w:val="24"/>
          <w:highlight w:val="none"/>
        </w:rPr>
      </w:pPr>
      <w:r>
        <w:rPr>
          <w:rFonts w:hint="eastAsia"/>
          <w:b/>
          <w:bCs/>
          <w:sz w:val="24"/>
          <w:szCs w:val="24"/>
          <w:highlight w:val="none"/>
          <w:lang w:val="en-US"/>
        </w:rPr>
        <w:t>9</w:t>
      </w:r>
      <w:r>
        <w:rPr>
          <w:rFonts w:hint="eastAsia"/>
          <w:b/>
          <w:bCs/>
          <w:sz w:val="24"/>
          <w:szCs w:val="24"/>
          <w:highlight w:val="none"/>
        </w:rPr>
        <w:t>.本项目采购标的所属行业为：</w:t>
      </w:r>
      <w:r>
        <w:rPr>
          <w:rFonts w:hint="eastAsia"/>
          <w:sz w:val="24"/>
          <w:szCs w:val="24"/>
          <w:highlight w:val="none"/>
          <w:lang w:val="en-US"/>
        </w:rPr>
        <w:t>软件和信息技术服务</w:t>
      </w:r>
      <w:r>
        <w:rPr>
          <w:rFonts w:hint="eastAsia"/>
          <w:sz w:val="24"/>
          <w:szCs w:val="24"/>
          <w:highlight w:val="none"/>
        </w:rPr>
        <w:t>业</w:t>
      </w:r>
    </w:p>
    <w:p w14:paraId="6B8F5B0C">
      <w:pPr>
        <w:pStyle w:val="3"/>
        <w:adjustRightInd w:val="0"/>
        <w:snapToGrid w:val="0"/>
        <w:spacing w:line="360" w:lineRule="auto"/>
        <w:ind w:left="0" w:right="0" w:firstLine="0"/>
        <w:jc w:val="left"/>
        <w:rPr>
          <w:sz w:val="24"/>
          <w:szCs w:val="24"/>
          <w:highlight w:val="none"/>
          <w:u w:val="none"/>
        </w:rPr>
      </w:pPr>
      <w:bookmarkStart w:id="3" w:name="_Toc225524656"/>
      <w:r>
        <w:rPr>
          <w:rFonts w:hint="eastAsia"/>
          <w:sz w:val="24"/>
          <w:szCs w:val="24"/>
          <w:highlight w:val="none"/>
          <w:u w:val="none"/>
        </w:rPr>
        <w:t>二、申请人的资格要求</w:t>
      </w:r>
      <w:bookmarkEnd w:id="3"/>
    </w:p>
    <w:p w14:paraId="29D43C71">
      <w:pPr>
        <w:adjustRightInd w:val="0"/>
        <w:snapToGrid w:val="0"/>
        <w:spacing w:line="360" w:lineRule="auto"/>
        <w:ind w:firstLine="482" w:firstLineChars="200"/>
        <w:rPr>
          <w:b/>
          <w:bCs/>
          <w:sz w:val="24"/>
          <w:szCs w:val="24"/>
          <w:highlight w:val="none"/>
        </w:rPr>
      </w:pPr>
      <w:r>
        <w:rPr>
          <w:rFonts w:hint="eastAsia"/>
          <w:b/>
          <w:bCs/>
          <w:sz w:val="24"/>
          <w:szCs w:val="24"/>
          <w:highlight w:val="none"/>
        </w:rPr>
        <w:t>1.满足《中华人民共和国政府采购法》第二十二条规定；</w:t>
      </w:r>
    </w:p>
    <w:p w14:paraId="5CDBB29F">
      <w:pPr>
        <w:tabs>
          <w:tab w:val="left" w:pos="1464"/>
        </w:tabs>
        <w:adjustRightInd w:val="0"/>
        <w:snapToGrid w:val="0"/>
        <w:spacing w:line="360" w:lineRule="auto"/>
        <w:ind w:firstLine="480" w:firstLineChars="200"/>
        <w:rPr>
          <w:sz w:val="24"/>
          <w:szCs w:val="24"/>
          <w:highlight w:val="none"/>
        </w:rPr>
      </w:pPr>
      <w:r>
        <w:rPr>
          <w:rFonts w:hint="eastAsia"/>
          <w:sz w:val="24"/>
          <w:szCs w:val="24"/>
          <w:highlight w:val="none"/>
        </w:rPr>
        <w:t>(1)具有独立承担民事责任的能力，提供法人或其他组织的营业执照等证明文件，加盖公章（经总公司授权，其省级分公司可以代表总公司参与投标。</w:t>
      </w:r>
      <w:r>
        <w:rPr>
          <w:rFonts w:hint="eastAsia"/>
          <w:kern w:val="2"/>
          <w:sz w:val="24"/>
          <w:szCs w:val="24"/>
          <w:highlight w:val="none"/>
          <w:lang w:val="en-US"/>
        </w:rPr>
        <w:t>须提供总公司授权书及营业执照</w:t>
      </w:r>
      <w:r>
        <w:rPr>
          <w:rFonts w:hint="eastAsia"/>
          <w:sz w:val="24"/>
          <w:szCs w:val="24"/>
          <w:highlight w:val="none"/>
        </w:rPr>
        <w:t>）；</w:t>
      </w:r>
    </w:p>
    <w:p w14:paraId="33A2CC04">
      <w:pPr>
        <w:tabs>
          <w:tab w:val="left" w:pos="1464"/>
        </w:tabs>
        <w:adjustRightInd w:val="0"/>
        <w:snapToGrid w:val="0"/>
        <w:spacing w:line="360" w:lineRule="auto"/>
        <w:ind w:firstLine="480" w:firstLineChars="200"/>
        <w:rPr>
          <w:sz w:val="24"/>
          <w:szCs w:val="24"/>
          <w:highlight w:val="none"/>
        </w:rPr>
      </w:pPr>
      <w:r>
        <w:rPr>
          <w:rFonts w:hint="eastAsia"/>
          <w:sz w:val="24"/>
          <w:szCs w:val="24"/>
          <w:highlight w:val="none"/>
        </w:rPr>
        <w:t>(2)具有良好的商业信誉和健全的财务会计制度</w:t>
      </w:r>
      <w:r>
        <w:rPr>
          <w:sz w:val="24"/>
          <w:szCs w:val="24"/>
          <w:highlight w:val="none"/>
        </w:rPr>
        <w:t>（</w:t>
      </w:r>
      <w:r>
        <w:rPr>
          <w:rFonts w:hint="eastAsia"/>
          <w:sz w:val="24"/>
          <w:szCs w:val="24"/>
          <w:highlight w:val="none"/>
        </w:rPr>
        <w:t>提供距投标文件提交截止时间六个月内任意一月份的财务状况报告（至少包括资产负债表和利润表）（法人或者其他组织成立未满三个月的可以不提供）或银行出具的资信证书（</w:t>
      </w:r>
      <w:r>
        <w:rPr>
          <w:rFonts w:hint="eastAsia"/>
          <w:sz w:val="24"/>
          <w:szCs w:val="24"/>
          <w:highlight w:val="none"/>
          <w:lang w:val="en-US"/>
        </w:rPr>
        <w:t>扫描件</w:t>
      </w:r>
      <w:r>
        <w:rPr>
          <w:rFonts w:hint="eastAsia"/>
          <w:sz w:val="24"/>
          <w:szCs w:val="24"/>
          <w:highlight w:val="none"/>
        </w:rPr>
        <w:t>）（投标截止时间前六个月内）</w:t>
      </w:r>
      <w:r>
        <w:rPr>
          <w:rFonts w:hint="eastAsia"/>
          <w:sz w:val="24"/>
          <w:szCs w:val="24"/>
          <w:highlight w:val="none"/>
          <w:lang w:val="en-US"/>
        </w:rPr>
        <w:t>或上</w:t>
      </w:r>
      <w:r>
        <w:rPr>
          <w:sz w:val="24"/>
          <w:szCs w:val="24"/>
          <w:highlight w:val="none"/>
        </w:rPr>
        <w:t>年</w:t>
      </w:r>
      <w:r>
        <w:rPr>
          <w:rFonts w:hint="eastAsia"/>
          <w:sz w:val="24"/>
          <w:szCs w:val="24"/>
          <w:highlight w:val="none"/>
        </w:rPr>
        <w:t>度（</w:t>
      </w:r>
      <w:r>
        <w:rPr>
          <w:rFonts w:hint="eastAsia"/>
          <w:sz w:val="24"/>
          <w:szCs w:val="24"/>
          <w:highlight w:val="none"/>
          <w:lang w:val="en-US"/>
        </w:rPr>
        <w:t>2024或2025</w:t>
      </w:r>
      <w:r>
        <w:rPr>
          <w:rFonts w:hint="eastAsia"/>
          <w:sz w:val="24"/>
          <w:szCs w:val="24"/>
          <w:highlight w:val="none"/>
        </w:rPr>
        <w:t>）财务报告</w:t>
      </w:r>
      <w:r>
        <w:rPr>
          <w:rFonts w:hint="eastAsia"/>
          <w:sz w:val="24"/>
          <w:szCs w:val="24"/>
          <w:highlight w:val="none"/>
          <w:lang w:val="en-US"/>
        </w:rPr>
        <w:t>扫描件</w:t>
      </w:r>
      <w:r>
        <w:rPr>
          <w:sz w:val="24"/>
          <w:szCs w:val="24"/>
          <w:highlight w:val="none"/>
        </w:rPr>
        <w:t>）</w:t>
      </w:r>
      <w:r>
        <w:rPr>
          <w:rFonts w:hint="eastAsia"/>
          <w:sz w:val="24"/>
          <w:szCs w:val="24"/>
          <w:highlight w:val="none"/>
        </w:rPr>
        <w:t>；</w:t>
      </w:r>
    </w:p>
    <w:p w14:paraId="58696BE9">
      <w:pPr>
        <w:tabs>
          <w:tab w:val="left" w:pos="1464"/>
        </w:tabs>
        <w:adjustRightInd w:val="0"/>
        <w:snapToGrid w:val="0"/>
        <w:spacing w:line="360" w:lineRule="auto"/>
        <w:ind w:firstLine="480" w:firstLineChars="200"/>
        <w:rPr>
          <w:sz w:val="24"/>
          <w:szCs w:val="24"/>
          <w:highlight w:val="none"/>
        </w:rPr>
      </w:pPr>
      <w:r>
        <w:rPr>
          <w:rFonts w:hint="eastAsia"/>
          <w:sz w:val="24"/>
          <w:szCs w:val="24"/>
          <w:highlight w:val="none"/>
        </w:rPr>
        <w:t>(3)具有履行合同所必需的设备和专业技术能力（根据项目需求提供履行合同所必需的设备和专业技术能力的</w:t>
      </w:r>
      <w:r>
        <w:rPr>
          <w:rFonts w:hint="eastAsia"/>
          <w:sz w:val="24"/>
          <w:szCs w:val="24"/>
          <w:highlight w:val="none"/>
          <w:lang w:val="en-US"/>
        </w:rPr>
        <w:t>证明或者</w:t>
      </w:r>
      <w:r>
        <w:rPr>
          <w:rFonts w:hint="eastAsia"/>
          <w:sz w:val="24"/>
          <w:szCs w:val="24"/>
          <w:highlight w:val="none"/>
        </w:rPr>
        <w:t>书面声明材料）；</w:t>
      </w:r>
    </w:p>
    <w:p w14:paraId="71F07F2F">
      <w:pPr>
        <w:tabs>
          <w:tab w:val="left" w:pos="1464"/>
        </w:tabs>
        <w:adjustRightInd w:val="0"/>
        <w:snapToGrid w:val="0"/>
        <w:spacing w:line="360" w:lineRule="auto"/>
        <w:ind w:firstLine="480" w:firstLineChars="200"/>
        <w:rPr>
          <w:sz w:val="24"/>
          <w:szCs w:val="24"/>
          <w:highlight w:val="none"/>
        </w:rPr>
      </w:pPr>
      <w:r>
        <w:rPr>
          <w:rFonts w:hint="eastAsia"/>
          <w:sz w:val="24"/>
          <w:szCs w:val="24"/>
          <w:highlight w:val="none"/>
        </w:rPr>
        <w:t>(4)有依法缴纳税收和社会保障资金的良好记录，提供参加本次政府采购活动近六个月（至少一个月）依法缴纳税收和社会保障资金的相关材料（根据国家相关政策免缴或迟缴的需提供相关证明材料）；</w:t>
      </w:r>
    </w:p>
    <w:p w14:paraId="51435E7E">
      <w:pPr>
        <w:tabs>
          <w:tab w:val="left" w:pos="1464"/>
        </w:tabs>
        <w:adjustRightInd w:val="0"/>
        <w:snapToGrid w:val="0"/>
        <w:spacing w:line="360" w:lineRule="auto"/>
        <w:ind w:firstLine="480" w:firstLineChars="200"/>
        <w:rPr>
          <w:sz w:val="24"/>
          <w:szCs w:val="24"/>
          <w:highlight w:val="none"/>
        </w:rPr>
      </w:pPr>
      <w:r>
        <w:rPr>
          <w:rFonts w:hint="eastAsia"/>
          <w:sz w:val="24"/>
          <w:szCs w:val="24"/>
          <w:highlight w:val="none"/>
        </w:rPr>
        <w:t>(5)参加政府采购活动前三年内，在经营活动中没有重大违法记录（提供参加本次政府采购活动前3年内在经营活动中没有重大违法记录的书面声明）；</w:t>
      </w:r>
    </w:p>
    <w:p w14:paraId="0D1D95D2">
      <w:pPr>
        <w:tabs>
          <w:tab w:val="left" w:pos="1464"/>
        </w:tabs>
        <w:adjustRightInd w:val="0"/>
        <w:snapToGrid w:val="0"/>
        <w:spacing w:line="360" w:lineRule="auto"/>
        <w:ind w:firstLine="480" w:firstLineChars="200"/>
        <w:rPr>
          <w:rFonts w:hint="eastAsia"/>
          <w:sz w:val="24"/>
          <w:szCs w:val="24"/>
          <w:highlight w:val="none"/>
        </w:rPr>
      </w:pPr>
      <w:r>
        <w:rPr>
          <w:rFonts w:hint="eastAsia"/>
          <w:sz w:val="24"/>
          <w:szCs w:val="24"/>
          <w:highlight w:val="none"/>
        </w:rPr>
        <w:t>(6)法律、行政法规规定的其他条件。</w:t>
      </w:r>
    </w:p>
    <w:p w14:paraId="61A9E899">
      <w:pPr>
        <w:adjustRightInd w:val="0"/>
        <w:snapToGrid w:val="0"/>
        <w:spacing w:line="360" w:lineRule="auto"/>
        <w:ind w:firstLine="482" w:firstLineChars="200"/>
        <w:rPr>
          <w:b/>
          <w:bCs/>
          <w:sz w:val="24"/>
          <w:szCs w:val="24"/>
          <w:highlight w:val="none"/>
        </w:rPr>
      </w:pPr>
      <w:r>
        <w:rPr>
          <w:rFonts w:hint="eastAsia"/>
          <w:b/>
          <w:bCs/>
          <w:sz w:val="24"/>
          <w:szCs w:val="24"/>
          <w:highlight w:val="none"/>
          <w:lang w:eastAsia="zh-CN"/>
        </w:rPr>
        <w:t>（</w:t>
      </w:r>
      <w:r>
        <w:rPr>
          <w:rFonts w:hint="eastAsia"/>
          <w:b/>
          <w:bCs/>
          <w:sz w:val="24"/>
          <w:szCs w:val="24"/>
          <w:highlight w:val="none"/>
          <w:lang w:val="en-US" w:eastAsia="zh-CN"/>
        </w:rPr>
        <w:t>7</w:t>
      </w:r>
      <w:r>
        <w:rPr>
          <w:rFonts w:hint="eastAsia"/>
          <w:b/>
          <w:bCs/>
          <w:sz w:val="24"/>
          <w:szCs w:val="24"/>
          <w:highlight w:val="none"/>
          <w:lang w:eastAsia="zh-CN"/>
        </w:rPr>
        <w:t>）</w:t>
      </w:r>
      <w:r>
        <w:rPr>
          <w:rFonts w:hint="eastAsia"/>
          <w:b/>
          <w:bCs/>
          <w:sz w:val="24"/>
          <w:szCs w:val="24"/>
          <w:highlight w:val="none"/>
        </w:rPr>
        <w:t>有下列情形之一的，不得参加本次采购活动：（</w:t>
      </w:r>
      <w:r>
        <w:rPr>
          <w:rFonts w:hint="eastAsia"/>
          <w:b/>
          <w:bCs/>
          <w:sz w:val="24"/>
          <w:szCs w:val="24"/>
          <w:highlight w:val="none"/>
          <w:lang w:val="en-US"/>
        </w:rPr>
        <w:t>提供</w:t>
      </w:r>
      <w:r>
        <w:rPr>
          <w:rFonts w:hint="eastAsia"/>
          <w:b/>
          <w:bCs/>
          <w:sz w:val="24"/>
          <w:szCs w:val="24"/>
          <w:highlight w:val="none"/>
        </w:rPr>
        <w:t>书面承诺函</w:t>
      </w:r>
      <w:r>
        <w:rPr>
          <w:rFonts w:hint="eastAsia"/>
          <w:b/>
          <w:bCs/>
          <w:sz w:val="24"/>
          <w:szCs w:val="24"/>
          <w:highlight w:val="none"/>
          <w:lang w:val="en-US"/>
        </w:rPr>
        <w:t>加盖公章</w:t>
      </w:r>
      <w:r>
        <w:rPr>
          <w:rFonts w:hint="eastAsia"/>
          <w:b/>
          <w:bCs/>
          <w:sz w:val="24"/>
          <w:szCs w:val="24"/>
          <w:highlight w:val="none"/>
        </w:rPr>
        <w:t>）</w:t>
      </w:r>
    </w:p>
    <w:p w14:paraId="5367E092">
      <w:pPr>
        <w:tabs>
          <w:tab w:val="left" w:pos="1281"/>
        </w:tabs>
        <w:adjustRightInd w:val="0"/>
        <w:snapToGrid w:val="0"/>
        <w:spacing w:line="360" w:lineRule="auto"/>
        <w:ind w:firstLine="480" w:firstLineChars="200"/>
        <w:rPr>
          <w:sz w:val="24"/>
          <w:szCs w:val="24"/>
          <w:highlight w:val="none"/>
        </w:rPr>
      </w:pPr>
      <w:r>
        <w:rPr>
          <w:rFonts w:hint="eastAsia"/>
          <w:sz w:val="24"/>
          <w:szCs w:val="24"/>
          <w:highlight w:val="none"/>
        </w:rPr>
        <w:t>(1)被信用中国网站、中国政府采购网站列入失信被执行人名单、重大税收违法案件当事人名单、政府采购严重违法失信行为记录名单；</w:t>
      </w:r>
    </w:p>
    <w:p w14:paraId="56D13481">
      <w:pPr>
        <w:tabs>
          <w:tab w:val="left" w:pos="1281"/>
        </w:tabs>
        <w:adjustRightInd w:val="0"/>
        <w:snapToGrid w:val="0"/>
        <w:spacing w:line="360" w:lineRule="auto"/>
        <w:ind w:firstLine="480" w:firstLineChars="200"/>
        <w:rPr>
          <w:sz w:val="24"/>
          <w:szCs w:val="24"/>
          <w:highlight w:val="none"/>
        </w:rPr>
      </w:pPr>
      <w:r>
        <w:rPr>
          <w:rFonts w:hint="eastAsia"/>
          <w:sz w:val="24"/>
          <w:szCs w:val="24"/>
          <w:highlight w:val="none"/>
        </w:rPr>
        <w:t>(</w:t>
      </w:r>
      <w:r>
        <w:rPr>
          <w:rFonts w:hint="eastAsia"/>
          <w:sz w:val="24"/>
          <w:szCs w:val="24"/>
          <w:highlight w:val="none"/>
          <w:lang w:val="en-US"/>
        </w:rPr>
        <w:t>2</w:t>
      </w:r>
      <w:r>
        <w:rPr>
          <w:rFonts w:hint="eastAsia"/>
          <w:sz w:val="24"/>
          <w:szCs w:val="24"/>
          <w:highlight w:val="none"/>
        </w:rPr>
        <w:t>)为本采购项目提供整体设计、规范编制，以及项目管理、监理、检测等服务；</w:t>
      </w:r>
    </w:p>
    <w:p w14:paraId="058819C0">
      <w:pPr>
        <w:tabs>
          <w:tab w:val="left" w:pos="1281"/>
        </w:tabs>
        <w:adjustRightInd w:val="0"/>
        <w:snapToGrid w:val="0"/>
        <w:spacing w:line="360" w:lineRule="auto"/>
        <w:ind w:firstLine="480" w:firstLineChars="200"/>
        <w:rPr>
          <w:sz w:val="24"/>
          <w:szCs w:val="24"/>
          <w:highlight w:val="none"/>
        </w:rPr>
      </w:pPr>
      <w:r>
        <w:rPr>
          <w:rFonts w:hint="eastAsia"/>
          <w:sz w:val="24"/>
          <w:szCs w:val="24"/>
          <w:highlight w:val="none"/>
        </w:rPr>
        <w:t>(</w:t>
      </w:r>
      <w:r>
        <w:rPr>
          <w:rFonts w:hint="eastAsia"/>
          <w:sz w:val="24"/>
          <w:szCs w:val="24"/>
          <w:highlight w:val="none"/>
          <w:lang w:val="en-US"/>
        </w:rPr>
        <w:t>3</w:t>
      </w:r>
      <w:r>
        <w:rPr>
          <w:rFonts w:hint="eastAsia"/>
          <w:sz w:val="24"/>
          <w:szCs w:val="24"/>
          <w:highlight w:val="none"/>
        </w:rPr>
        <w:t>)参加本次采购活动不同投标人的法定代表人或委托代理人有夫妻、直系血亲关系的；</w:t>
      </w:r>
    </w:p>
    <w:p w14:paraId="30C87AB7">
      <w:pPr>
        <w:tabs>
          <w:tab w:val="left" w:pos="1464"/>
        </w:tabs>
        <w:adjustRightInd w:val="0"/>
        <w:snapToGrid w:val="0"/>
        <w:spacing w:line="360" w:lineRule="auto"/>
        <w:ind w:firstLine="480" w:firstLineChars="200"/>
        <w:rPr>
          <w:rFonts w:hint="eastAsia"/>
          <w:sz w:val="24"/>
          <w:szCs w:val="24"/>
          <w:highlight w:val="none"/>
        </w:rPr>
      </w:pPr>
      <w:r>
        <w:rPr>
          <w:rFonts w:hint="eastAsia"/>
          <w:sz w:val="24"/>
          <w:szCs w:val="24"/>
          <w:highlight w:val="none"/>
        </w:rPr>
        <w:t>(</w:t>
      </w:r>
      <w:r>
        <w:rPr>
          <w:rFonts w:hint="eastAsia"/>
          <w:sz w:val="24"/>
          <w:szCs w:val="24"/>
          <w:highlight w:val="none"/>
          <w:lang w:val="en-US"/>
        </w:rPr>
        <w:t>4</w:t>
      </w:r>
      <w:r>
        <w:rPr>
          <w:rFonts w:hint="eastAsia"/>
          <w:sz w:val="24"/>
          <w:szCs w:val="24"/>
          <w:highlight w:val="none"/>
        </w:rPr>
        <w:t>)参加本次采购活动不同投标人的负责人为同一人，或不同投标人之间存在直接控股、管理关系的；</w:t>
      </w:r>
    </w:p>
    <w:p w14:paraId="48EE29CF">
      <w:pPr>
        <w:tabs>
          <w:tab w:val="left" w:pos="1464"/>
        </w:tabs>
        <w:adjustRightInd w:val="0"/>
        <w:snapToGrid w:val="0"/>
        <w:spacing w:line="360" w:lineRule="auto"/>
        <w:ind w:firstLine="482" w:firstLineChars="200"/>
        <w:rPr>
          <w:sz w:val="24"/>
          <w:szCs w:val="24"/>
          <w:highlight w:val="none"/>
        </w:rPr>
      </w:pPr>
      <w:r>
        <w:rPr>
          <w:rFonts w:hint="eastAsia"/>
          <w:b/>
          <w:bCs/>
          <w:sz w:val="24"/>
          <w:szCs w:val="24"/>
          <w:highlight w:val="none"/>
        </w:rPr>
        <w:t>2.落实政府采购政策需满足的资格要求：</w:t>
      </w:r>
      <w:r>
        <w:rPr>
          <w:rFonts w:hint="eastAsia"/>
          <w:sz w:val="24"/>
          <w:szCs w:val="24"/>
          <w:highlight w:val="none"/>
        </w:rPr>
        <w:t>本项目采用以下第</w:t>
      </w:r>
      <w:r>
        <w:rPr>
          <w:rFonts w:hint="eastAsia"/>
          <w:b/>
          <w:bCs/>
          <w:sz w:val="24"/>
          <w:szCs w:val="24"/>
          <w:highlight w:val="none"/>
          <w:u w:val="single"/>
        </w:rPr>
        <w:t>（4）</w:t>
      </w:r>
      <w:r>
        <w:rPr>
          <w:rFonts w:hint="eastAsia"/>
          <w:sz w:val="24"/>
          <w:szCs w:val="24"/>
          <w:highlight w:val="none"/>
        </w:rPr>
        <w:t>种方式落实政府采购促进中小企业发展的要求：</w:t>
      </w:r>
    </w:p>
    <w:p w14:paraId="2FE7AE96">
      <w:pPr>
        <w:tabs>
          <w:tab w:val="left" w:pos="1464"/>
        </w:tabs>
        <w:adjustRightInd w:val="0"/>
        <w:snapToGrid w:val="0"/>
        <w:spacing w:line="360" w:lineRule="auto"/>
        <w:ind w:firstLine="480" w:firstLineChars="200"/>
        <w:rPr>
          <w:sz w:val="24"/>
          <w:szCs w:val="24"/>
          <w:highlight w:val="none"/>
        </w:rPr>
      </w:pPr>
      <w:r>
        <w:rPr>
          <w:rFonts w:hint="eastAsia"/>
          <w:sz w:val="24"/>
          <w:szCs w:val="24"/>
          <w:highlight w:val="none"/>
        </w:rPr>
        <w:t>（1）本项目整体专门面向中小企业采购工程（以中小企业声明函为准）。</w:t>
      </w:r>
    </w:p>
    <w:p w14:paraId="3DE89B3C">
      <w:pPr>
        <w:tabs>
          <w:tab w:val="left" w:pos="1464"/>
        </w:tabs>
        <w:adjustRightInd w:val="0"/>
        <w:snapToGrid w:val="0"/>
        <w:spacing w:line="360" w:lineRule="auto"/>
        <w:ind w:firstLine="480" w:firstLineChars="200"/>
        <w:rPr>
          <w:sz w:val="24"/>
          <w:szCs w:val="24"/>
          <w:highlight w:val="none"/>
        </w:rPr>
      </w:pPr>
      <w:r>
        <w:rPr>
          <w:rFonts w:hint="eastAsia"/>
          <w:sz w:val="24"/>
          <w:szCs w:val="24"/>
          <w:highlight w:val="none"/>
        </w:rPr>
        <w:t>（2）本项目整体专门面向小微企业采购工程。</w:t>
      </w:r>
    </w:p>
    <w:p w14:paraId="4F0F0A44">
      <w:pPr>
        <w:tabs>
          <w:tab w:val="left" w:pos="1464"/>
        </w:tabs>
        <w:adjustRightInd w:val="0"/>
        <w:snapToGrid w:val="0"/>
        <w:spacing w:line="360" w:lineRule="auto"/>
        <w:ind w:firstLine="480" w:firstLineChars="200"/>
        <w:rPr>
          <w:sz w:val="24"/>
          <w:szCs w:val="24"/>
          <w:highlight w:val="none"/>
        </w:rPr>
      </w:pPr>
      <w:r>
        <w:rPr>
          <w:rFonts w:hint="eastAsia"/>
          <w:sz w:val="24"/>
          <w:szCs w:val="24"/>
          <w:highlight w:val="none"/>
        </w:rPr>
        <w:t>（3）本项目通过以下第（）种方式预留部分采购份额采购中小企业工程：</w:t>
      </w:r>
    </w:p>
    <w:p w14:paraId="5D362DD3">
      <w:pPr>
        <w:tabs>
          <w:tab w:val="left" w:pos="1464"/>
        </w:tabs>
        <w:adjustRightInd w:val="0"/>
        <w:snapToGrid w:val="0"/>
        <w:spacing w:line="360" w:lineRule="auto"/>
        <w:ind w:firstLine="480" w:firstLineChars="200"/>
        <w:rPr>
          <w:sz w:val="24"/>
          <w:szCs w:val="24"/>
          <w:highlight w:val="none"/>
        </w:rPr>
      </w:pPr>
      <w:r>
        <w:rPr>
          <w:rFonts w:hint="eastAsia"/>
          <w:sz w:val="24"/>
          <w:szCs w:val="24"/>
          <w:highlight w:val="none"/>
        </w:rPr>
        <w:t>①本项目要求供应商以联合体形式参加，中小企业合同金额应当达到的比例为%。</w:t>
      </w:r>
    </w:p>
    <w:p w14:paraId="02033831">
      <w:pPr>
        <w:tabs>
          <w:tab w:val="left" w:pos="1464"/>
        </w:tabs>
        <w:adjustRightInd w:val="0"/>
        <w:snapToGrid w:val="0"/>
        <w:spacing w:line="360" w:lineRule="auto"/>
        <w:ind w:firstLine="480" w:firstLineChars="200"/>
        <w:rPr>
          <w:sz w:val="24"/>
          <w:szCs w:val="24"/>
          <w:highlight w:val="none"/>
        </w:rPr>
      </w:pPr>
      <w:r>
        <w:rPr>
          <w:rFonts w:hint="eastAsia"/>
          <w:sz w:val="24"/>
          <w:szCs w:val="24"/>
          <w:highlight w:val="none"/>
        </w:rPr>
        <w:t>②本项目要求供应商进行合同分包，中小企业合同金额应当达到的比例为%。</w:t>
      </w:r>
    </w:p>
    <w:p w14:paraId="0C32018B">
      <w:pPr>
        <w:tabs>
          <w:tab w:val="left" w:pos="1464"/>
        </w:tabs>
        <w:adjustRightInd w:val="0"/>
        <w:snapToGrid w:val="0"/>
        <w:spacing w:line="360" w:lineRule="auto"/>
        <w:ind w:firstLine="482" w:firstLineChars="200"/>
        <w:rPr>
          <w:b/>
          <w:bCs/>
          <w:sz w:val="24"/>
          <w:szCs w:val="24"/>
          <w:highlight w:val="none"/>
        </w:rPr>
      </w:pPr>
      <w:r>
        <w:rPr>
          <w:rFonts w:hint="eastAsia"/>
          <w:b/>
          <w:bCs/>
          <w:sz w:val="24"/>
          <w:szCs w:val="24"/>
          <w:highlight w:val="none"/>
        </w:rPr>
        <w:t>（4）本项目为非预留份额的采购项目或采购包，执行价格扣除优惠政策，具体详见第</w:t>
      </w:r>
      <w:r>
        <w:rPr>
          <w:rFonts w:hint="eastAsia"/>
          <w:b/>
          <w:bCs/>
          <w:sz w:val="24"/>
          <w:szCs w:val="24"/>
          <w:highlight w:val="none"/>
          <w:lang w:val="en-US"/>
        </w:rPr>
        <w:t>四</w:t>
      </w:r>
      <w:r>
        <w:rPr>
          <w:rFonts w:hint="eastAsia"/>
          <w:b/>
          <w:bCs/>
          <w:sz w:val="24"/>
          <w:szCs w:val="24"/>
          <w:highlight w:val="none"/>
        </w:rPr>
        <w:t>章评标办法</w:t>
      </w:r>
      <w:r>
        <w:rPr>
          <w:rFonts w:hint="eastAsia"/>
          <w:b/>
          <w:bCs/>
          <w:sz w:val="24"/>
          <w:szCs w:val="24"/>
          <w:highlight w:val="none"/>
          <w:lang w:val="en-US"/>
        </w:rPr>
        <w:t>及</w:t>
      </w:r>
      <w:r>
        <w:rPr>
          <w:rFonts w:hint="eastAsia"/>
          <w:b/>
          <w:bCs/>
          <w:sz w:val="24"/>
          <w:szCs w:val="24"/>
          <w:highlight w:val="none"/>
        </w:rPr>
        <w:t>标准。</w:t>
      </w:r>
    </w:p>
    <w:p w14:paraId="62B71285">
      <w:pPr>
        <w:adjustRightInd w:val="0"/>
        <w:snapToGrid w:val="0"/>
        <w:spacing w:line="360" w:lineRule="auto"/>
        <w:ind w:firstLine="482" w:firstLineChars="200"/>
        <w:rPr>
          <w:rFonts w:hint="eastAsia" w:eastAsia="宋体"/>
          <w:b/>
          <w:bCs/>
          <w:sz w:val="24"/>
          <w:szCs w:val="24"/>
          <w:highlight w:val="none"/>
          <w:lang w:val="en-US" w:eastAsia="zh-CN"/>
        </w:rPr>
      </w:pPr>
      <w:r>
        <w:rPr>
          <w:rFonts w:hint="eastAsia"/>
          <w:b/>
          <w:bCs/>
          <w:sz w:val="24"/>
          <w:szCs w:val="24"/>
          <w:highlight w:val="none"/>
        </w:rPr>
        <w:t>3.本项目的特定资格要求：</w:t>
      </w:r>
      <w:r>
        <w:rPr>
          <w:rFonts w:hint="eastAsia"/>
          <w:b/>
          <w:bCs/>
          <w:sz w:val="24"/>
          <w:szCs w:val="24"/>
          <w:highlight w:val="none"/>
          <w:lang w:val="en-US" w:eastAsia="zh-CN"/>
        </w:rPr>
        <w:t>无。</w:t>
      </w:r>
    </w:p>
    <w:p w14:paraId="25E8D59F">
      <w:pPr>
        <w:pStyle w:val="3"/>
        <w:adjustRightInd w:val="0"/>
        <w:snapToGrid w:val="0"/>
        <w:spacing w:line="360" w:lineRule="auto"/>
        <w:ind w:left="0" w:right="0" w:firstLine="0"/>
        <w:jc w:val="left"/>
        <w:rPr>
          <w:sz w:val="24"/>
          <w:szCs w:val="24"/>
          <w:highlight w:val="none"/>
          <w:u w:val="none"/>
        </w:rPr>
      </w:pPr>
      <w:bookmarkStart w:id="4" w:name="_Toc35393792"/>
      <w:bookmarkStart w:id="5" w:name="_Toc225524657"/>
      <w:bookmarkStart w:id="6" w:name="_Toc35393623"/>
      <w:r>
        <w:rPr>
          <w:rFonts w:hint="eastAsia"/>
          <w:sz w:val="24"/>
          <w:szCs w:val="24"/>
          <w:highlight w:val="none"/>
          <w:u w:val="none"/>
        </w:rPr>
        <w:t>三、获取招标文件</w:t>
      </w:r>
      <w:bookmarkEnd w:id="4"/>
      <w:bookmarkEnd w:id="5"/>
      <w:bookmarkEnd w:id="6"/>
    </w:p>
    <w:p w14:paraId="2272429B">
      <w:pPr>
        <w:adjustRightInd w:val="0"/>
        <w:snapToGrid w:val="0"/>
        <w:spacing w:line="360" w:lineRule="auto"/>
        <w:ind w:firstLine="480" w:firstLineChars="200"/>
        <w:rPr>
          <w:sz w:val="24"/>
          <w:szCs w:val="24"/>
          <w:highlight w:val="none"/>
        </w:rPr>
      </w:pPr>
      <w:r>
        <w:rPr>
          <w:rFonts w:hint="eastAsia"/>
          <w:sz w:val="24"/>
          <w:szCs w:val="24"/>
          <w:highlight w:val="none"/>
        </w:rPr>
        <w:t>1.时间：自招标公告发布之日起5个工作日。</w:t>
      </w:r>
    </w:p>
    <w:p w14:paraId="38705A7A">
      <w:pPr>
        <w:adjustRightInd w:val="0"/>
        <w:snapToGrid w:val="0"/>
        <w:spacing w:line="360" w:lineRule="auto"/>
        <w:ind w:firstLine="480" w:firstLineChars="200"/>
        <w:rPr>
          <w:sz w:val="24"/>
          <w:szCs w:val="24"/>
          <w:highlight w:val="none"/>
        </w:rPr>
      </w:pPr>
      <w:r>
        <w:rPr>
          <w:rFonts w:hint="eastAsia"/>
          <w:sz w:val="24"/>
          <w:szCs w:val="24"/>
          <w:highlight w:val="none"/>
        </w:rPr>
        <w:t>2.地点：江苏政府采购网。</w:t>
      </w:r>
    </w:p>
    <w:p w14:paraId="0B326546">
      <w:pPr>
        <w:adjustRightInd w:val="0"/>
        <w:snapToGrid w:val="0"/>
        <w:spacing w:line="360" w:lineRule="auto"/>
        <w:ind w:firstLine="480" w:firstLineChars="200"/>
        <w:rPr>
          <w:sz w:val="24"/>
          <w:szCs w:val="24"/>
          <w:highlight w:val="none"/>
        </w:rPr>
      </w:pPr>
      <w:r>
        <w:rPr>
          <w:rFonts w:hint="eastAsia"/>
          <w:sz w:val="24"/>
          <w:szCs w:val="24"/>
          <w:highlight w:val="none"/>
          <w:lang w:val="en-US"/>
        </w:rPr>
        <w:t>3.</w:t>
      </w:r>
      <w:r>
        <w:rPr>
          <w:rFonts w:hint="eastAsia"/>
          <w:sz w:val="24"/>
          <w:szCs w:val="24"/>
          <w:highlight w:val="none"/>
        </w:rPr>
        <w:t>方式：网上下载。</w:t>
      </w:r>
    </w:p>
    <w:p w14:paraId="46470702">
      <w:pPr>
        <w:adjustRightInd w:val="0"/>
        <w:snapToGrid w:val="0"/>
        <w:spacing w:line="360" w:lineRule="auto"/>
        <w:ind w:firstLine="480" w:firstLineChars="200"/>
        <w:rPr>
          <w:sz w:val="24"/>
          <w:szCs w:val="24"/>
          <w:highlight w:val="none"/>
        </w:rPr>
      </w:pPr>
      <w:r>
        <w:rPr>
          <w:rFonts w:hint="eastAsia"/>
          <w:sz w:val="24"/>
          <w:szCs w:val="24"/>
          <w:highlight w:val="none"/>
          <w:lang w:val="en-US"/>
        </w:rPr>
        <w:t>4.售价</w:t>
      </w:r>
      <w:r>
        <w:rPr>
          <w:rFonts w:hint="eastAsia"/>
          <w:sz w:val="24"/>
          <w:szCs w:val="24"/>
          <w:highlight w:val="none"/>
        </w:rPr>
        <w:t>：</w:t>
      </w:r>
      <w:r>
        <w:rPr>
          <w:rFonts w:hint="eastAsia"/>
          <w:sz w:val="24"/>
          <w:szCs w:val="24"/>
          <w:highlight w:val="none"/>
          <w:lang w:val="en-US"/>
        </w:rPr>
        <w:t>0元</w:t>
      </w:r>
      <w:r>
        <w:rPr>
          <w:rFonts w:hint="eastAsia"/>
          <w:sz w:val="24"/>
          <w:szCs w:val="24"/>
          <w:highlight w:val="none"/>
        </w:rPr>
        <w:t>。</w:t>
      </w:r>
    </w:p>
    <w:p w14:paraId="2D1FD663">
      <w:pPr>
        <w:adjustRightInd w:val="0"/>
        <w:snapToGrid w:val="0"/>
        <w:spacing w:line="360" w:lineRule="auto"/>
        <w:rPr>
          <w:b/>
          <w:bCs/>
          <w:sz w:val="24"/>
          <w:szCs w:val="24"/>
          <w:highlight w:val="none"/>
        </w:rPr>
      </w:pPr>
      <w:bookmarkStart w:id="7" w:name="_Toc28359005"/>
      <w:bookmarkStart w:id="8" w:name="_Toc28359082"/>
      <w:bookmarkStart w:id="9" w:name="_Toc35393624"/>
      <w:bookmarkStart w:id="10" w:name="_Toc35393793"/>
      <w:r>
        <w:rPr>
          <w:rFonts w:hint="eastAsia"/>
          <w:b/>
          <w:bCs/>
          <w:sz w:val="24"/>
          <w:szCs w:val="24"/>
          <w:highlight w:val="none"/>
        </w:rPr>
        <w:t>四、提交投标文件</w:t>
      </w:r>
      <w:bookmarkEnd w:id="7"/>
      <w:bookmarkEnd w:id="8"/>
      <w:r>
        <w:rPr>
          <w:rFonts w:hint="eastAsia"/>
          <w:b/>
          <w:bCs/>
          <w:sz w:val="24"/>
          <w:szCs w:val="24"/>
          <w:highlight w:val="none"/>
        </w:rPr>
        <w:t>截止时间、开标时间和地点</w:t>
      </w:r>
      <w:bookmarkEnd w:id="9"/>
      <w:bookmarkEnd w:id="10"/>
    </w:p>
    <w:p w14:paraId="1392DDF8">
      <w:pPr>
        <w:tabs>
          <w:tab w:val="left" w:pos="312"/>
        </w:tabs>
        <w:adjustRightInd w:val="0"/>
        <w:snapToGrid w:val="0"/>
        <w:spacing w:line="360" w:lineRule="auto"/>
        <w:ind w:firstLine="480" w:firstLineChars="200"/>
        <w:rPr>
          <w:sz w:val="24"/>
          <w:szCs w:val="24"/>
          <w:highlight w:val="none"/>
        </w:rPr>
      </w:pPr>
      <w:r>
        <w:rPr>
          <w:rFonts w:hint="eastAsia"/>
          <w:sz w:val="24"/>
          <w:szCs w:val="24"/>
          <w:highlight w:val="none"/>
        </w:rPr>
        <w:t>截止时间：202</w:t>
      </w:r>
      <w:r>
        <w:rPr>
          <w:rFonts w:hint="eastAsia"/>
          <w:sz w:val="24"/>
          <w:szCs w:val="24"/>
          <w:highlight w:val="none"/>
          <w:lang w:val="en-US"/>
        </w:rPr>
        <w:t>6</w:t>
      </w:r>
      <w:r>
        <w:rPr>
          <w:rFonts w:hint="eastAsia"/>
          <w:sz w:val="24"/>
          <w:szCs w:val="24"/>
          <w:highlight w:val="none"/>
        </w:rPr>
        <w:t>年</w:t>
      </w:r>
      <w:r>
        <w:rPr>
          <w:rFonts w:hint="eastAsia"/>
          <w:sz w:val="24"/>
          <w:szCs w:val="24"/>
          <w:highlight w:val="none"/>
          <w:lang w:val="en-US" w:eastAsia="zh-CN"/>
        </w:rPr>
        <w:t>6</w:t>
      </w:r>
      <w:r>
        <w:rPr>
          <w:rFonts w:hint="eastAsia"/>
          <w:sz w:val="24"/>
          <w:szCs w:val="24"/>
          <w:highlight w:val="none"/>
        </w:rPr>
        <w:t>月</w:t>
      </w:r>
      <w:r>
        <w:rPr>
          <w:rFonts w:hint="eastAsia"/>
          <w:sz w:val="24"/>
          <w:szCs w:val="24"/>
          <w:highlight w:val="none"/>
          <w:lang w:val="en-US" w:eastAsia="zh-CN"/>
        </w:rPr>
        <w:t>1</w:t>
      </w:r>
      <w:r>
        <w:rPr>
          <w:rFonts w:hint="eastAsia"/>
          <w:sz w:val="24"/>
          <w:szCs w:val="24"/>
          <w:highlight w:val="none"/>
        </w:rPr>
        <w:t>日</w:t>
      </w:r>
      <w:r>
        <w:rPr>
          <w:rFonts w:hint="eastAsia"/>
          <w:sz w:val="24"/>
          <w:szCs w:val="24"/>
          <w:highlight w:val="none"/>
          <w:lang w:val="en-US"/>
        </w:rPr>
        <w:t>14</w:t>
      </w:r>
      <w:r>
        <w:rPr>
          <w:rFonts w:hint="eastAsia"/>
          <w:sz w:val="24"/>
          <w:szCs w:val="24"/>
          <w:highlight w:val="none"/>
        </w:rPr>
        <w:t>点</w:t>
      </w:r>
      <w:r>
        <w:rPr>
          <w:rFonts w:hint="eastAsia"/>
          <w:sz w:val="24"/>
          <w:szCs w:val="24"/>
          <w:highlight w:val="none"/>
          <w:lang w:val="en-US"/>
        </w:rPr>
        <w:t>00</w:t>
      </w:r>
      <w:r>
        <w:rPr>
          <w:rFonts w:hint="eastAsia"/>
          <w:sz w:val="24"/>
          <w:szCs w:val="24"/>
          <w:highlight w:val="none"/>
        </w:rPr>
        <w:t xml:space="preserve">分（北京时间） </w:t>
      </w:r>
    </w:p>
    <w:p w14:paraId="6D245D1A">
      <w:pPr>
        <w:tabs>
          <w:tab w:val="left" w:pos="312"/>
        </w:tabs>
        <w:adjustRightInd w:val="0"/>
        <w:snapToGrid w:val="0"/>
        <w:spacing w:line="360" w:lineRule="auto"/>
        <w:ind w:firstLine="480" w:firstLineChars="200"/>
        <w:rPr>
          <w:sz w:val="24"/>
          <w:szCs w:val="24"/>
          <w:highlight w:val="none"/>
        </w:rPr>
      </w:pPr>
      <w:r>
        <w:rPr>
          <w:rFonts w:hint="eastAsia"/>
          <w:sz w:val="24"/>
          <w:szCs w:val="24"/>
          <w:highlight w:val="none"/>
        </w:rPr>
        <w:t>地点：“苏采云”网上开标大厅</w:t>
      </w:r>
    </w:p>
    <w:p w14:paraId="0FD59F10">
      <w:pPr>
        <w:tabs>
          <w:tab w:val="left" w:pos="312"/>
        </w:tabs>
        <w:adjustRightInd w:val="0"/>
        <w:snapToGrid w:val="0"/>
        <w:spacing w:line="360" w:lineRule="auto"/>
        <w:ind w:firstLine="480" w:firstLineChars="200"/>
        <w:rPr>
          <w:sz w:val="24"/>
          <w:szCs w:val="24"/>
          <w:highlight w:val="none"/>
        </w:rPr>
      </w:pPr>
      <w:r>
        <w:rPr>
          <w:rFonts w:hint="eastAsia"/>
          <w:sz w:val="24"/>
          <w:szCs w:val="24"/>
          <w:highlight w:val="none"/>
        </w:rPr>
        <w:t>开</w:t>
      </w:r>
      <w:r>
        <w:rPr>
          <w:rFonts w:hint="eastAsia"/>
          <w:sz w:val="24"/>
          <w:szCs w:val="24"/>
          <w:highlight w:val="none"/>
          <w:lang w:val="en-US"/>
        </w:rPr>
        <w:t>标</w:t>
      </w:r>
      <w:r>
        <w:rPr>
          <w:rFonts w:hint="eastAsia"/>
          <w:sz w:val="24"/>
          <w:szCs w:val="24"/>
          <w:highlight w:val="none"/>
        </w:rPr>
        <w:t>时间：202</w:t>
      </w:r>
      <w:r>
        <w:rPr>
          <w:rFonts w:hint="eastAsia"/>
          <w:sz w:val="24"/>
          <w:szCs w:val="24"/>
          <w:highlight w:val="none"/>
          <w:lang w:val="en-US"/>
        </w:rPr>
        <w:t>6</w:t>
      </w:r>
      <w:r>
        <w:rPr>
          <w:rFonts w:hint="eastAsia"/>
          <w:sz w:val="24"/>
          <w:szCs w:val="24"/>
          <w:highlight w:val="none"/>
        </w:rPr>
        <w:t>年</w:t>
      </w:r>
      <w:r>
        <w:rPr>
          <w:rFonts w:hint="eastAsia"/>
          <w:sz w:val="24"/>
          <w:szCs w:val="24"/>
          <w:highlight w:val="none"/>
          <w:lang w:val="en-US" w:eastAsia="zh-CN"/>
        </w:rPr>
        <w:t>6</w:t>
      </w:r>
      <w:r>
        <w:rPr>
          <w:rFonts w:hint="eastAsia"/>
          <w:sz w:val="24"/>
          <w:szCs w:val="24"/>
          <w:highlight w:val="none"/>
        </w:rPr>
        <w:t>月</w:t>
      </w:r>
      <w:r>
        <w:rPr>
          <w:rFonts w:hint="eastAsia"/>
          <w:sz w:val="24"/>
          <w:szCs w:val="24"/>
          <w:highlight w:val="none"/>
          <w:lang w:val="en-US" w:eastAsia="zh-CN"/>
        </w:rPr>
        <w:t>1</w:t>
      </w:r>
      <w:r>
        <w:rPr>
          <w:rFonts w:hint="eastAsia"/>
          <w:sz w:val="24"/>
          <w:szCs w:val="24"/>
          <w:highlight w:val="none"/>
          <w:lang w:val="en-US"/>
        </w:rPr>
        <w:t>日14</w:t>
      </w:r>
      <w:r>
        <w:rPr>
          <w:rFonts w:hint="eastAsia"/>
          <w:sz w:val="24"/>
          <w:szCs w:val="24"/>
          <w:highlight w:val="none"/>
        </w:rPr>
        <w:t>点</w:t>
      </w:r>
      <w:r>
        <w:rPr>
          <w:rFonts w:hint="eastAsia"/>
          <w:sz w:val="24"/>
          <w:szCs w:val="24"/>
          <w:highlight w:val="none"/>
          <w:lang w:val="en-US"/>
        </w:rPr>
        <w:t>00</w:t>
      </w:r>
      <w:r>
        <w:rPr>
          <w:rFonts w:hint="eastAsia"/>
          <w:sz w:val="24"/>
          <w:szCs w:val="24"/>
          <w:highlight w:val="none"/>
        </w:rPr>
        <w:t>分（北京时间）</w:t>
      </w:r>
    </w:p>
    <w:p w14:paraId="34F0786A">
      <w:pPr>
        <w:tabs>
          <w:tab w:val="left" w:pos="312"/>
        </w:tabs>
        <w:adjustRightInd w:val="0"/>
        <w:snapToGrid w:val="0"/>
        <w:spacing w:line="360" w:lineRule="auto"/>
        <w:ind w:firstLine="480" w:firstLineChars="200"/>
        <w:rPr>
          <w:sz w:val="24"/>
          <w:szCs w:val="24"/>
          <w:highlight w:val="none"/>
        </w:rPr>
      </w:pPr>
      <w:r>
        <w:rPr>
          <w:rFonts w:hint="eastAsia"/>
          <w:sz w:val="24"/>
          <w:szCs w:val="24"/>
          <w:highlight w:val="none"/>
        </w:rPr>
        <w:t>地点：“苏采云”网上开标大厅</w:t>
      </w:r>
    </w:p>
    <w:p w14:paraId="2D26A44A">
      <w:pPr>
        <w:pStyle w:val="3"/>
        <w:adjustRightInd w:val="0"/>
        <w:snapToGrid w:val="0"/>
        <w:spacing w:line="360" w:lineRule="auto"/>
        <w:ind w:left="0" w:right="0" w:firstLine="0"/>
        <w:jc w:val="left"/>
        <w:rPr>
          <w:sz w:val="24"/>
          <w:szCs w:val="24"/>
          <w:highlight w:val="none"/>
          <w:u w:val="none"/>
        </w:rPr>
      </w:pPr>
      <w:bookmarkStart w:id="11" w:name="_Toc35393625"/>
      <w:bookmarkStart w:id="12" w:name="_Toc225524658"/>
      <w:bookmarkStart w:id="13" w:name="_Toc28359084"/>
      <w:bookmarkStart w:id="14" w:name="_Toc35393794"/>
      <w:bookmarkStart w:id="15" w:name="_Toc28359007"/>
      <w:r>
        <w:rPr>
          <w:rFonts w:hint="eastAsia"/>
          <w:sz w:val="24"/>
          <w:szCs w:val="24"/>
          <w:highlight w:val="none"/>
          <w:u w:val="none"/>
        </w:rPr>
        <w:t>五、公告期限</w:t>
      </w:r>
      <w:bookmarkEnd w:id="11"/>
      <w:bookmarkEnd w:id="12"/>
      <w:bookmarkEnd w:id="13"/>
      <w:bookmarkEnd w:id="14"/>
      <w:bookmarkEnd w:id="15"/>
    </w:p>
    <w:p w14:paraId="3EF30D58">
      <w:pPr>
        <w:adjustRightInd w:val="0"/>
        <w:snapToGrid w:val="0"/>
        <w:spacing w:line="360" w:lineRule="auto"/>
        <w:ind w:firstLine="480" w:firstLineChars="200"/>
        <w:rPr>
          <w:sz w:val="24"/>
          <w:szCs w:val="24"/>
          <w:highlight w:val="none"/>
        </w:rPr>
      </w:pPr>
      <w:r>
        <w:rPr>
          <w:rFonts w:hint="eastAsia"/>
          <w:sz w:val="24"/>
          <w:szCs w:val="24"/>
          <w:highlight w:val="none"/>
        </w:rPr>
        <w:t>自本公告发布之日起5个工作日。</w:t>
      </w:r>
    </w:p>
    <w:p w14:paraId="6D740594">
      <w:pPr>
        <w:pStyle w:val="3"/>
        <w:adjustRightInd w:val="0"/>
        <w:snapToGrid w:val="0"/>
        <w:spacing w:line="360" w:lineRule="auto"/>
        <w:ind w:left="0" w:right="0" w:firstLine="0"/>
        <w:jc w:val="left"/>
        <w:rPr>
          <w:sz w:val="24"/>
          <w:szCs w:val="24"/>
          <w:highlight w:val="none"/>
          <w:u w:val="none"/>
        </w:rPr>
      </w:pPr>
      <w:bookmarkStart w:id="16" w:name="_Toc225524659"/>
      <w:bookmarkStart w:id="17" w:name="_Toc35393626"/>
      <w:bookmarkStart w:id="18" w:name="_Toc35393795"/>
      <w:r>
        <w:rPr>
          <w:rFonts w:hint="eastAsia"/>
          <w:sz w:val="24"/>
          <w:szCs w:val="24"/>
          <w:highlight w:val="none"/>
          <w:u w:val="none"/>
        </w:rPr>
        <w:t>六、其他补充事宜</w:t>
      </w:r>
      <w:bookmarkEnd w:id="16"/>
      <w:bookmarkEnd w:id="17"/>
      <w:bookmarkEnd w:id="18"/>
    </w:p>
    <w:p w14:paraId="42598E4C">
      <w:pPr>
        <w:adjustRightInd w:val="0"/>
        <w:snapToGrid w:val="0"/>
        <w:spacing w:line="360" w:lineRule="auto"/>
        <w:ind w:firstLine="482" w:firstLineChars="200"/>
        <w:rPr>
          <w:b/>
          <w:bCs/>
          <w:sz w:val="24"/>
          <w:szCs w:val="24"/>
          <w:highlight w:val="none"/>
        </w:rPr>
      </w:pPr>
      <w:r>
        <w:rPr>
          <w:rFonts w:hint="eastAsia"/>
          <w:b/>
          <w:bCs/>
          <w:sz w:val="24"/>
          <w:szCs w:val="24"/>
          <w:highlight w:val="none"/>
          <w:lang w:val="en-US"/>
        </w:rPr>
        <w:t>1</w:t>
      </w:r>
      <w:r>
        <w:rPr>
          <w:rFonts w:hint="eastAsia"/>
          <w:b/>
          <w:bCs/>
          <w:sz w:val="24"/>
          <w:szCs w:val="24"/>
          <w:highlight w:val="none"/>
        </w:rPr>
        <w:t>.集中现场考察或答疑：</w:t>
      </w:r>
    </w:p>
    <w:p w14:paraId="6D38903D">
      <w:pPr>
        <w:pStyle w:val="9"/>
        <w:spacing w:line="360" w:lineRule="auto"/>
        <w:ind w:firstLine="482" w:firstLineChars="200"/>
        <w:jc w:val="left"/>
        <w:rPr>
          <w:highlight w:val="none"/>
        </w:rPr>
      </w:pPr>
      <w:r>
        <w:rPr>
          <w:rFonts w:hint="eastAsia"/>
          <w:highlight w:val="none"/>
        </w:rPr>
        <w:t>采购人不组织，投标人可自行联系采购人。未考察现场或考察工作不详细的投标人成交后，不得以不完全了解现场情况为理由而向采购人提出任何索赔或其他要求，对此采购人不承担任何责任并将不作任何答复。</w:t>
      </w:r>
    </w:p>
    <w:p w14:paraId="2EA81DF8">
      <w:pPr>
        <w:adjustRightInd w:val="0"/>
        <w:snapToGrid w:val="0"/>
        <w:spacing w:line="360" w:lineRule="auto"/>
        <w:ind w:firstLine="482" w:firstLineChars="200"/>
        <w:rPr>
          <w:b/>
          <w:bCs/>
          <w:sz w:val="24"/>
          <w:szCs w:val="24"/>
          <w:highlight w:val="none"/>
        </w:rPr>
      </w:pPr>
      <w:r>
        <w:rPr>
          <w:rFonts w:hint="eastAsia"/>
          <w:b/>
          <w:bCs/>
          <w:sz w:val="24"/>
          <w:szCs w:val="24"/>
          <w:highlight w:val="none"/>
          <w:lang w:val="en-US"/>
        </w:rPr>
        <w:t>2</w:t>
      </w:r>
      <w:r>
        <w:rPr>
          <w:rFonts w:hint="eastAsia"/>
          <w:b/>
          <w:bCs/>
          <w:sz w:val="24"/>
          <w:szCs w:val="24"/>
          <w:highlight w:val="none"/>
        </w:rPr>
        <w:t>.公告媒体</w:t>
      </w:r>
    </w:p>
    <w:p w14:paraId="34DD836F">
      <w:pPr>
        <w:adjustRightInd w:val="0"/>
        <w:snapToGrid w:val="0"/>
        <w:spacing w:line="360" w:lineRule="auto"/>
        <w:ind w:firstLine="480" w:firstLineChars="200"/>
        <w:rPr>
          <w:sz w:val="24"/>
          <w:szCs w:val="24"/>
          <w:highlight w:val="none"/>
          <w:lang w:val="en-US"/>
        </w:rPr>
      </w:pPr>
      <w:r>
        <w:rPr>
          <w:rFonts w:hint="eastAsia"/>
          <w:sz w:val="24"/>
          <w:szCs w:val="24"/>
          <w:highlight w:val="none"/>
          <w:lang w:val="en-US"/>
        </w:rPr>
        <w:t>(1)公告发布媒介：江苏政府采购网（http：//www.ccgp-jiangsu.gov.cn/），敬请各投标人关注；</w:t>
      </w:r>
    </w:p>
    <w:p w14:paraId="1944AAC5">
      <w:pPr>
        <w:adjustRightInd w:val="0"/>
        <w:snapToGrid w:val="0"/>
        <w:spacing w:line="360" w:lineRule="auto"/>
        <w:ind w:firstLine="480" w:firstLineChars="200"/>
        <w:rPr>
          <w:sz w:val="24"/>
          <w:szCs w:val="24"/>
          <w:highlight w:val="none"/>
          <w:lang w:val="en-US"/>
        </w:rPr>
      </w:pPr>
      <w:r>
        <w:rPr>
          <w:rFonts w:hint="eastAsia"/>
          <w:sz w:val="24"/>
          <w:szCs w:val="24"/>
          <w:highlight w:val="none"/>
          <w:lang w:val="en-US"/>
        </w:rPr>
        <w:t>(2)有关本招标的事项若存在变动或修改，敬请及时关注“江苏政府采购网（http：//www.ccgp-jiangsu.gov.cn/）”发布的信息更正公告。若因供应商未及时关注网站公告导致误投标，其责任由供应商自行承担。</w:t>
      </w:r>
    </w:p>
    <w:p w14:paraId="128FE82B">
      <w:pPr>
        <w:adjustRightInd w:val="0"/>
        <w:snapToGrid w:val="0"/>
        <w:spacing w:line="360" w:lineRule="auto"/>
        <w:ind w:firstLine="482" w:firstLineChars="200"/>
        <w:rPr>
          <w:b/>
          <w:bCs/>
          <w:sz w:val="24"/>
          <w:szCs w:val="24"/>
          <w:highlight w:val="none"/>
        </w:rPr>
      </w:pPr>
      <w:r>
        <w:rPr>
          <w:rFonts w:hint="eastAsia"/>
          <w:b/>
          <w:bCs/>
          <w:sz w:val="24"/>
          <w:szCs w:val="24"/>
          <w:highlight w:val="none"/>
          <w:lang w:val="en-US"/>
        </w:rPr>
        <w:t>3</w:t>
      </w:r>
      <w:r>
        <w:rPr>
          <w:rFonts w:hint="eastAsia"/>
          <w:b/>
          <w:bCs/>
          <w:sz w:val="24"/>
          <w:szCs w:val="24"/>
          <w:highlight w:val="none"/>
        </w:rPr>
        <w:t>.采购项目需要落实的政府采购政策：</w:t>
      </w:r>
    </w:p>
    <w:p w14:paraId="69C81EFE">
      <w:pPr>
        <w:spacing w:line="360" w:lineRule="auto"/>
        <w:ind w:firstLine="480" w:firstLineChars="200"/>
        <w:rPr>
          <w:sz w:val="24"/>
          <w:szCs w:val="24"/>
          <w:highlight w:val="none"/>
        </w:rPr>
      </w:pPr>
      <w:r>
        <w:rPr>
          <w:rFonts w:hint="eastAsia"/>
          <w:sz w:val="24"/>
          <w:szCs w:val="24"/>
          <w:highlight w:val="none"/>
        </w:rPr>
        <w:t>(1)政府采购促进中小企业发展</w:t>
      </w:r>
    </w:p>
    <w:p w14:paraId="468698C5">
      <w:pPr>
        <w:spacing w:line="360" w:lineRule="auto"/>
        <w:ind w:firstLine="480" w:firstLineChars="200"/>
        <w:rPr>
          <w:sz w:val="24"/>
          <w:szCs w:val="24"/>
          <w:highlight w:val="none"/>
        </w:rPr>
      </w:pPr>
      <w:r>
        <w:rPr>
          <w:rFonts w:hint="eastAsia"/>
          <w:sz w:val="24"/>
          <w:szCs w:val="24"/>
          <w:highlight w:val="none"/>
        </w:rPr>
        <w:t>(2)政府采购支持监狱企业发展</w:t>
      </w:r>
    </w:p>
    <w:p w14:paraId="75734D15">
      <w:pPr>
        <w:spacing w:line="360" w:lineRule="auto"/>
        <w:ind w:firstLine="480" w:firstLineChars="200"/>
        <w:rPr>
          <w:sz w:val="24"/>
          <w:szCs w:val="24"/>
          <w:highlight w:val="none"/>
        </w:rPr>
      </w:pPr>
      <w:r>
        <w:rPr>
          <w:rFonts w:hint="eastAsia"/>
          <w:sz w:val="24"/>
          <w:szCs w:val="24"/>
          <w:highlight w:val="none"/>
        </w:rPr>
        <w:t>(3)政府采购促进残疾人就业</w:t>
      </w:r>
    </w:p>
    <w:p w14:paraId="6762A3D6">
      <w:pPr>
        <w:spacing w:line="360" w:lineRule="auto"/>
        <w:ind w:firstLine="482" w:firstLineChars="200"/>
        <w:rPr>
          <w:b/>
          <w:bCs/>
          <w:sz w:val="24"/>
          <w:szCs w:val="24"/>
          <w:highlight w:val="none"/>
          <w:lang w:val="en-US"/>
        </w:rPr>
      </w:pPr>
      <w:r>
        <w:rPr>
          <w:rFonts w:hint="eastAsia"/>
          <w:b/>
          <w:bCs/>
          <w:sz w:val="24"/>
          <w:szCs w:val="24"/>
          <w:highlight w:val="none"/>
          <w:lang w:val="en-US"/>
        </w:rPr>
        <w:t>4.</w:t>
      </w:r>
      <w:r>
        <w:rPr>
          <w:rFonts w:hint="eastAsia"/>
          <w:sz w:val="24"/>
          <w:szCs w:val="24"/>
          <w:highlight w:val="none"/>
          <w:lang w:val="en-US"/>
        </w:rPr>
        <w:t>投标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p>
    <w:p w14:paraId="10149EBA">
      <w:pPr>
        <w:pStyle w:val="3"/>
        <w:adjustRightInd w:val="0"/>
        <w:snapToGrid w:val="0"/>
        <w:spacing w:line="360" w:lineRule="auto"/>
        <w:ind w:left="0" w:right="0" w:firstLine="0"/>
        <w:jc w:val="left"/>
        <w:rPr>
          <w:sz w:val="24"/>
          <w:szCs w:val="24"/>
          <w:highlight w:val="none"/>
          <w:u w:val="none"/>
        </w:rPr>
      </w:pPr>
      <w:bookmarkStart w:id="19" w:name="_Toc28359008"/>
      <w:bookmarkStart w:id="20" w:name="_Toc225524660"/>
      <w:bookmarkStart w:id="21" w:name="_Toc35393796"/>
      <w:bookmarkStart w:id="22" w:name="_Toc35393627"/>
      <w:bookmarkStart w:id="23" w:name="_Toc28359085"/>
      <w:r>
        <w:rPr>
          <w:rFonts w:hint="eastAsia"/>
          <w:sz w:val="24"/>
          <w:szCs w:val="24"/>
          <w:highlight w:val="none"/>
          <w:u w:val="none"/>
        </w:rPr>
        <w:t>七、</w:t>
      </w:r>
      <w:bookmarkStart w:id="24" w:name="_Hlk36132310"/>
      <w:r>
        <w:rPr>
          <w:rFonts w:hint="eastAsia"/>
          <w:sz w:val="24"/>
          <w:szCs w:val="24"/>
          <w:highlight w:val="none"/>
          <w:u w:val="none"/>
        </w:rPr>
        <w:t>对本次招标提出询问，请按以下方式联系。</w:t>
      </w:r>
      <w:bookmarkEnd w:id="19"/>
      <w:bookmarkEnd w:id="20"/>
      <w:bookmarkEnd w:id="21"/>
      <w:bookmarkEnd w:id="22"/>
      <w:bookmarkEnd w:id="23"/>
      <w:bookmarkEnd w:id="24"/>
    </w:p>
    <w:p w14:paraId="67C07616">
      <w:pPr>
        <w:adjustRightInd w:val="0"/>
        <w:snapToGrid w:val="0"/>
        <w:spacing w:line="360" w:lineRule="auto"/>
        <w:ind w:firstLine="482" w:firstLineChars="200"/>
        <w:rPr>
          <w:b/>
          <w:bCs/>
          <w:sz w:val="24"/>
          <w:szCs w:val="24"/>
          <w:highlight w:val="none"/>
        </w:rPr>
      </w:pPr>
      <w:r>
        <w:rPr>
          <w:rFonts w:hint="eastAsia"/>
          <w:b/>
          <w:bCs/>
          <w:sz w:val="24"/>
          <w:szCs w:val="24"/>
          <w:highlight w:val="none"/>
        </w:rPr>
        <w:t>1.采购人信息</w:t>
      </w:r>
    </w:p>
    <w:p w14:paraId="00881156">
      <w:pPr>
        <w:pStyle w:val="9"/>
        <w:spacing w:line="360" w:lineRule="auto"/>
        <w:ind w:firstLine="482" w:firstLineChars="200"/>
        <w:jc w:val="left"/>
        <w:rPr>
          <w:highlight w:val="none"/>
          <w:lang w:val="en-US"/>
        </w:rPr>
      </w:pPr>
      <w:r>
        <w:rPr>
          <w:rFonts w:hint="eastAsia"/>
          <w:highlight w:val="none"/>
        </w:rPr>
        <w:t>采购单位名称：</w:t>
      </w:r>
      <w:r>
        <w:rPr>
          <w:rFonts w:hint="eastAsia"/>
          <w:b w:val="0"/>
          <w:bCs/>
          <w:highlight w:val="none"/>
        </w:rPr>
        <w:t>江苏省公安厅交通管理总队</w:t>
      </w:r>
    </w:p>
    <w:p w14:paraId="46A00449">
      <w:pPr>
        <w:pStyle w:val="9"/>
        <w:spacing w:line="360" w:lineRule="auto"/>
        <w:ind w:firstLine="482" w:firstLineChars="200"/>
        <w:jc w:val="left"/>
        <w:rPr>
          <w:b w:val="0"/>
          <w:highlight w:val="none"/>
          <w:lang w:val="en-US"/>
        </w:rPr>
      </w:pPr>
      <w:r>
        <w:rPr>
          <w:highlight w:val="none"/>
        </w:rPr>
        <w:t>地址：</w:t>
      </w:r>
      <w:r>
        <w:rPr>
          <w:rFonts w:hint="eastAsia"/>
          <w:b w:val="0"/>
          <w:highlight w:val="none"/>
        </w:rPr>
        <w:t>南京市栖霞区仙林大道8号</w:t>
      </w:r>
    </w:p>
    <w:p w14:paraId="149C568A">
      <w:pPr>
        <w:pStyle w:val="9"/>
        <w:spacing w:line="360" w:lineRule="auto"/>
        <w:ind w:firstLine="482" w:firstLineChars="200"/>
        <w:jc w:val="left"/>
        <w:rPr>
          <w:b w:val="0"/>
          <w:bCs/>
          <w:highlight w:val="none"/>
          <w:lang w:val="en-US"/>
        </w:rPr>
      </w:pPr>
      <w:r>
        <w:rPr>
          <w:rFonts w:hint="eastAsia"/>
          <w:highlight w:val="none"/>
        </w:rPr>
        <w:t>联系人：</w:t>
      </w:r>
      <w:r>
        <w:rPr>
          <w:rFonts w:hint="eastAsia"/>
          <w:b w:val="0"/>
          <w:bCs/>
          <w:highlight w:val="none"/>
        </w:rPr>
        <w:t>仲警官</w:t>
      </w:r>
    </w:p>
    <w:p w14:paraId="2F997CD6">
      <w:pPr>
        <w:pStyle w:val="9"/>
        <w:spacing w:line="360" w:lineRule="auto"/>
        <w:ind w:firstLine="482" w:firstLineChars="200"/>
        <w:jc w:val="left"/>
        <w:rPr>
          <w:b w:val="0"/>
          <w:bCs/>
          <w:highlight w:val="none"/>
          <w:lang w:val="en-US"/>
        </w:rPr>
      </w:pPr>
      <w:r>
        <w:rPr>
          <w:highlight w:val="none"/>
        </w:rPr>
        <w:t>联系方式：</w:t>
      </w:r>
      <w:r>
        <w:rPr>
          <w:rFonts w:hint="eastAsia"/>
          <w:b w:val="0"/>
          <w:bCs/>
          <w:highlight w:val="none"/>
        </w:rPr>
        <w:t>15152429199</w:t>
      </w:r>
    </w:p>
    <w:p w14:paraId="702B99FC">
      <w:pPr>
        <w:adjustRightInd w:val="0"/>
        <w:snapToGrid w:val="0"/>
        <w:spacing w:line="360" w:lineRule="auto"/>
        <w:ind w:firstLine="482" w:firstLineChars="200"/>
        <w:rPr>
          <w:b/>
          <w:bCs/>
          <w:sz w:val="24"/>
          <w:szCs w:val="24"/>
          <w:highlight w:val="none"/>
        </w:rPr>
      </w:pPr>
      <w:r>
        <w:rPr>
          <w:rFonts w:hint="eastAsia"/>
          <w:b/>
          <w:bCs/>
          <w:sz w:val="24"/>
          <w:szCs w:val="24"/>
          <w:highlight w:val="none"/>
        </w:rPr>
        <w:t>2.采购代理机构信息</w:t>
      </w:r>
    </w:p>
    <w:p w14:paraId="3ACC760F">
      <w:pPr>
        <w:tabs>
          <w:tab w:val="left" w:pos="2415"/>
        </w:tabs>
        <w:adjustRightInd w:val="0"/>
        <w:snapToGrid w:val="0"/>
        <w:spacing w:line="360" w:lineRule="auto"/>
        <w:ind w:firstLine="480" w:firstLineChars="200"/>
        <w:rPr>
          <w:sz w:val="24"/>
          <w:szCs w:val="24"/>
          <w:highlight w:val="none"/>
        </w:rPr>
      </w:pPr>
      <w:r>
        <w:rPr>
          <w:rFonts w:hint="eastAsia"/>
          <w:sz w:val="24"/>
          <w:szCs w:val="24"/>
          <w:highlight w:val="none"/>
        </w:rPr>
        <w:t>名称：江苏金永诚建设投资管理咨询有限公司</w:t>
      </w:r>
    </w:p>
    <w:p w14:paraId="16572C5B">
      <w:pPr>
        <w:tabs>
          <w:tab w:val="left" w:pos="2415"/>
        </w:tabs>
        <w:adjustRightInd w:val="0"/>
        <w:snapToGrid w:val="0"/>
        <w:spacing w:line="360" w:lineRule="auto"/>
        <w:ind w:firstLine="480" w:firstLineChars="200"/>
        <w:rPr>
          <w:sz w:val="24"/>
          <w:szCs w:val="24"/>
          <w:highlight w:val="none"/>
        </w:rPr>
      </w:pPr>
      <w:r>
        <w:rPr>
          <w:rFonts w:hint="eastAsia"/>
          <w:sz w:val="24"/>
          <w:szCs w:val="24"/>
          <w:highlight w:val="none"/>
        </w:rPr>
        <w:t>联系人：</w:t>
      </w:r>
      <w:r>
        <w:rPr>
          <w:rFonts w:hint="eastAsia"/>
          <w:sz w:val="24"/>
          <w:szCs w:val="24"/>
          <w:highlight w:val="none"/>
          <w:lang w:val="en-US"/>
        </w:rPr>
        <w:t>李工、姜工</w:t>
      </w:r>
    </w:p>
    <w:p w14:paraId="478DC8AF">
      <w:pPr>
        <w:tabs>
          <w:tab w:val="left" w:pos="2415"/>
        </w:tabs>
        <w:adjustRightInd w:val="0"/>
        <w:snapToGrid w:val="0"/>
        <w:spacing w:line="360" w:lineRule="auto"/>
        <w:ind w:firstLine="480" w:firstLineChars="200"/>
        <w:rPr>
          <w:sz w:val="24"/>
          <w:szCs w:val="24"/>
          <w:highlight w:val="none"/>
        </w:rPr>
      </w:pPr>
      <w:r>
        <w:rPr>
          <w:sz w:val="24"/>
          <w:szCs w:val="24"/>
          <w:highlight w:val="none"/>
        </w:rPr>
        <w:t>联系电话：</w:t>
      </w:r>
      <w:r>
        <w:rPr>
          <w:rFonts w:hint="eastAsia"/>
          <w:sz w:val="24"/>
          <w:szCs w:val="24"/>
          <w:highlight w:val="none"/>
        </w:rPr>
        <w:t>025-86209787</w:t>
      </w:r>
    </w:p>
    <w:p w14:paraId="6071CFAD">
      <w:pPr>
        <w:tabs>
          <w:tab w:val="left" w:pos="2415"/>
        </w:tabs>
        <w:adjustRightInd w:val="0"/>
        <w:snapToGrid w:val="0"/>
        <w:spacing w:line="360" w:lineRule="auto"/>
        <w:ind w:firstLine="480" w:firstLineChars="200"/>
        <w:rPr>
          <w:sz w:val="24"/>
          <w:szCs w:val="24"/>
          <w:highlight w:val="none"/>
          <w:lang w:val="en-US"/>
        </w:rPr>
      </w:pPr>
      <w:r>
        <w:rPr>
          <w:sz w:val="24"/>
          <w:szCs w:val="24"/>
          <w:highlight w:val="none"/>
        </w:rPr>
        <w:t>联系邮箱：</w:t>
      </w:r>
      <w:r>
        <w:rPr>
          <w:rFonts w:hint="eastAsia"/>
          <w:sz w:val="24"/>
          <w:szCs w:val="24"/>
          <w:highlight w:val="none"/>
          <w:lang w:val="en-US"/>
        </w:rPr>
        <w:t>jinyczb@163.com</w:t>
      </w:r>
    </w:p>
    <w:p w14:paraId="17407B1F">
      <w:pPr>
        <w:tabs>
          <w:tab w:val="left" w:pos="2415"/>
        </w:tabs>
        <w:adjustRightInd w:val="0"/>
        <w:snapToGrid w:val="0"/>
        <w:spacing w:line="360" w:lineRule="auto"/>
        <w:ind w:firstLine="480" w:firstLineChars="200"/>
        <w:rPr>
          <w:sz w:val="24"/>
          <w:szCs w:val="24"/>
          <w:highlight w:val="none"/>
        </w:rPr>
      </w:pPr>
      <w:r>
        <w:rPr>
          <w:rFonts w:hint="eastAsia"/>
          <w:sz w:val="24"/>
          <w:szCs w:val="24"/>
          <w:highlight w:val="none"/>
        </w:rPr>
        <w:t>地址：南京市建邺区云龙山路1号建邺科技创新产业园B1栋五楼</w:t>
      </w:r>
    </w:p>
    <w:p w14:paraId="484800F0">
      <w:pPr>
        <w:tabs>
          <w:tab w:val="left" w:pos="2415"/>
        </w:tabs>
        <w:adjustRightInd w:val="0"/>
        <w:snapToGrid w:val="0"/>
        <w:spacing w:line="360" w:lineRule="auto"/>
        <w:ind w:firstLine="480" w:firstLineChars="200"/>
        <w:rPr>
          <w:sz w:val="24"/>
          <w:szCs w:val="24"/>
          <w:highlight w:val="none"/>
          <w:lang w:val="en-US"/>
        </w:rPr>
      </w:pPr>
      <w:r>
        <w:rPr>
          <w:rFonts w:hint="eastAsia"/>
          <w:sz w:val="24"/>
          <w:szCs w:val="24"/>
          <w:highlight w:val="none"/>
        </w:rPr>
        <w:t>邮编：2100</w:t>
      </w:r>
      <w:r>
        <w:rPr>
          <w:rFonts w:hint="eastAsia"/>
          <w:sz w:val="24"/>
          <w:szCs w:val="24"/>
          <w:highlight w:val="none"/>
          <w:lang w:val="en-US"/>
        </w:rPr>
        <w:t>00</w:t>
      </w:r>
    </w:p>
    <w:p w14:paraId="2EAF356D">
      <w:pPr>
        <w:pStyle w:val="9"/>
        <w:spacing w:line="360" w:lineRule="auto"/>
        <w:ind w:firstLine="482" w:firstLineChars="200"/>
        <w:jc w:val="left"/>
        <w:rPr>
          <w:highlight w:val="none"/>
        </w:rPr>
      </w:pPr>
      <w:r>
        <w:rPr>
          <w:highlight w:val="none"/>
        </w:rPr>
        <w:br w:type="page"/>
      </w:r>
    </w:p>
    <w:p w14:paraId="6A9416D6">
      <w:pPr>
        <w:spacing w:line="360" w:lineRule="auto"/>
        <w:jc w:val="center"/>
        <w:outlineLvl w:val="0"/>
        <w:rPr>
          <w:rFonts w:ascii="黑体" w:eastAsia="黑体"/>
          <w:sz w:val="32"/>
          <w:highlight w:val="none"/>
        </w:rPr>
      </w:pPr>
      <w:bookmarkStart w:id="25" w:name="_Toc225524661"/>
      <w:r>
        <w:rPr>
          <w:rFonts w:hint="eastAsia" w:ascii="黑体" w:eastAsia="黑体"/>
          <w:sz w:val="32"/>
          <w:highlight w:val="none"/>
        </w:rPr>
        <w:t>第二章</w:t>
      </w:r>
      <w:r>
        <w:rPr>
          <w:rFonts w:hint="eastAsia" w:ascii="黑体" w:eastAsia="黑体"/>
          <w:sz w:val="32"/>
          <w:highlight w:val="none"/>
        </w:rPr>
        <w:tab/>
      </w:r>
      <w:r>
        <w:rPr>
          <w:rFonts w:ascii="黑体" w:eastAsia="黑体"/>
          <w:sz w:val="32"/>
          <w:highlight w:val="none"/>
        </w:rPr>
        <w:t xml:space="preserve">  </w:t>
      </w:r>
      <w:r>
        <w:rPr>
          <w:rFonts w:hint="eastAsia" w:ascii="黑体" w:eastAsia="黑体"/>
          <w:sz w:val="32"/>
          <w:highlight w:val="none"/>
        </w:rPr>
        <w:t>投标人须知</w:t>
      </w:r>
      <w:bookmarkEnd w:id="25"/>
    </w:p>
    <w:p w14:paraId="6F1745A4">
      <w:pPr>
        <w:pStyle w:val="11"/>
        <w:spacing w:line="360" w:lineRule="auto"/>
        <w:ind w:left="0" w:leftChars="0"/>
        <w:jc w:val="center"/>
        <w:outlineLvl w:val="1"/>
        <w:rPr>
          <w:rFonts w:ascii="黑体" w:eastAsia="黑体"/>
          <w:sz w:val="24"/>
          <w:szCs w:val="24"/>
          <w:highlight w:val="none"/>
          <w:lang w:val="en-US"/>
        </w:rPr>
      </w:pPr>
      <w:bookmarkStart w:id="26" w:name="_Toc225524662"/>
      <w:r>
        <w:rPr>
          <w:rFonts w:hint="eastAsia" w:ascii="黑体" w:eastAsia="黑体"/>
          <w:sz w:val="24"/>
          <w:szCs w:val="24"/>
          <w:highlight w:val="none"/>
          <w:lang w:val="en-US"/>
        </w:rPr>
        <w:t>投标须知前附表</w:t>
      </w:r>
      <w:bookmarkEnd w:id="26"/>
    </w:p>
    <w:p w14:paraId="331E5D58">
      <w:pPr>
        <w:spacing w:line="360" w:lineRule="auto"/>
        <w:jc w:val="center"/>
        <w:rPr>
          <w:sz w:val="24"/>
          <w:szCs w:val="24"/>
          <w:highlight w:val="none"/>
          <w:lang w:val="en-US"/>
        </w:rPr>
      </w:pPr>
      <w:r>
        <w:rPr>
          <w:rFonts w:hint="eastAsia" w:ascii="黑体" w:eastAsia="黑体" w:cs="黑体"/>
          <w:sz w:val="24"/>
          <w:szCs w:val="24"/>
          <w:highlight w:val="none"/>
          <w:lang w:val="en-US"/>
        </w:rPr>
        <w:t>如有投标人须知正文条款与投标人须知前附表不一致，以投标人须知前附表为准</w:t>
      </w:r>
    </w:p>
    <w:tbl>
      <w:tblPr>
        <w:tblStyle w:val="21"/>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650"/>
        <w:gridCol w:w="7612"/>
      </w:tblGrid>
      <w:tr w14:paraId="59070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Borders>
              <w:top w:val="single" w:color="auto" w:sz="4" w:space="0"/>
              <w:left w:val="single" w:color="auto" w:sz="4" w:space="0"/>
              <w:bottom w:val="single" w:color="auto" w:sz="4" w:space="0"/>
              <w:right w:val="single" w:color="auto" w:sz="4" w:space="0"/>
            </w:tcBorders>
            <w:noWrap/>
            <w:vAlign w:val="center"/>
          </w:tcPr>
          <w:p w14:paraId="0EA07482">
            <w:pPr>
              <w:spacing w:line="360" w:lineRule="auto"/>
              <w:ind w:left="-55" w:leftChars="-25" w:right="-29" w:rightChars="-13"/>
              <w:jc w:val="center"/>
              <w:rPr>
                <w:kern w:val="2"/>
                <w:sz w:val="24"/>
                <w:szCs w:val="24"/>
                <w:highlight w:val="none"/>
              </w:rPr>
            </w:pPr>
            <w:r>
              <w:rPr>
                <w:rFonts w:hint="eastAsia"/>
                <w:kern w:val="2"/>
                <w:sz w:val="24"/>
                <w:szCs w:val="24"/>
                <w:highlight w:val="none"/>
              </w:rPr>
              <w:t>序号</w:t>
            </w:r>
          </w:p>
        </w:tc>
        <w:tc>
          <w:tcPr>
            <w:tcW w:w="1650" w:type="dxa"/>
            <w:tcBorders>
              <w:top w:val="single" w:color="auto" w:sz="4" w:space="0"/>
              <w:left w:val="single" w:color="auto" w:sz="4" w:space="0"/>
              <w:bottom w:val="single" w:color="auto" w:sz="4" w:space="0"/>
              <w:right w:val="single" w:color="auto" w:sz="4" w:space="0"/>
            </w:tcBorders>
            <w:noWrap/>
            <w:vAlign w:val="center"/>
          </w:tcPr>
          <w:p w14:paraId="0C8DAD0A">
            <w:pPr>
              <w:spacing w:line="360" w:lineRule="auto"/>
              <w:ind w:right="-11"/>
              <w:jc w:val="center"/>
              <w:rPr>
                <w:kern w:val="2"/>
                <w:sz w:val="24"/>
                <w:szCs w:val="24"/>
                <w:highlight w:val="none"/>
              </w:rPr>
            </w:pPr>
            <w:r>
              <w:rPr>
                <w:rFonts w:hint="eastAsia"/>
                <w:kern w:val="2"/>
                <w:sz w:val="24"/>
                <w:szCs w:val="24"/>
                <w:highlight w:val="none"/>
              </w:rPr>
              <w:t>名  称</w:t>
            </w:r>
          </w:p>
        </w:tc>
        <w:tc>
          <w:tcPr>
            <w:tcW w:w="7612" w:type="dxa"/>
            <w:tcBorders>
              <w:top w:val="single" w:color="auto" w:sz="4" w:space="0"/>
              <w:left w:val="single" w:color="auto" w:sz="4" w:space="0"/>
              <w:bottom w:val="single" w:color="auto" w:sz="4" w:space="0"/>
              <w:right w:val="single" w:color="auto" w:sz="4" w:space="0"/>
            </w:tcBorders>
            <w:noWrap/>
            <w:vAlign w:val="center"/>
          </w:tcPr>
          <w:p w14:paraId="79344FA1">
            <w:pPr>
              <w:spacing w:line="360" w:lineRule="auto"/>
              <w:ind w:left="57" w:right="57" w:firstLine="482" w:firstLineChars="201"/>
              <w:jc w:val="center"/>
              <w:rPr>
                <w:kern w:val="2"/>
                <w:sz w:val="24"/>
                <w:szCs w:val="24"/>
                <w:highlight w:val="none"/>
              </w:rPr>
            </w:pPr>
            <w:r>
              <w:rPr>
                <w:rFonts w:hint="eastAsia"/>
                <w:kern w:val="2"/>
                <w:sz w:val="24"/>
                <w:szCs w:val="24"/>
                <w:highlight w:val="none"/>
              </w:rPr>
              <w:t>内           容</w:t>
            </w:r>
          </w:p>
        </w:tc>
      </w:tr>
      <w:tr w14:paraId="78D56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Borders>
              <w:top w:val="single" w:color="auto" w:sz="4" w:space="0"/>
              <w:left w:val="single" w:color="auto" w:sz="4" w:space="0"/>
              <w:bottom w:val="single" w:color="auto" w:sz="4" w:space="0"/>
              <w:right w:val="single" w:color="auto" w:sz="4" w:space="0"/>
            </w:tcBorders>
            <w:noWrap/>
            <w:vAlign w:val="center"/>
          </w:tcPr>
          <w:p w14:paraId="0EFA598A">
            <w:pPr>
              <w:tabs>
                <w:tab w:val="left" w:pos="0"/>
                <w:tab w:val="left" w:pos="130"/>
              </w:tabs>
              <w:spacing w:line="360" w:lineRule="auto"/>
              <w:ind w:right="57"/>
              <w:jc w:val="center"/>
              <w:rPr>
                <w:kern w:val="2"/>
                <w:sz w:val="24"/>
                <w:szCs w:val="24"/>
                <w:highlight w:val="none"/>
              </w:rPr>
            </w:pPr>
            <w:r>
              <w:rPr>
                <w:rFonts w:hint="eastAsia"/>
                <w:kern w:val="2"/>
                <w:sz w:val="24"/>
                <w:szCs w:val="24"/>
                <w:highlight w:val="none"/>
              </w:rPr>
              <w:t>1</w:t>
            </w:r>
          </w:p>
        </w:tc>
        <w:tc>
          <w:tcPr>
            <w:tcW w:w="1650" w:type="dxa"/>
            <w:tcBorders>
              <w:top w:val="single" w:color="auto" w:sz="4" w:space="0"/>
              <w:left w:val="single" w:color="auto" w:sz="4" w:space="0"/>
              <w:bottom w:val="single" w:color="auto" w:sz="4" w:space="0"/>
              <w:right w:val="single" w:color="auto" w:sz="4" w:space="0"/>
            </w:tcBorders>
            <w:noWrap/>
            <w:vAlign w:val="center"/>
          </w:tcPr>
          <w:p w14:paraId="392D2240">
            <w:pPr>
              <w:spacing w:line="360" w:lineRule="auto"/>
              <w:jc w:val="center"/>
              <w:rPr>
                <w:kern w:val="2"/>
                <w:sz w:val="24"/>
                <w:szCs w:val="24"/>
                <w:highlight w:val="none"/>
              </w:rPr>
            </w:pPr>
            <w:r>
              <w:rPr>
                <w:rFonts w:hint="eastAsia"/>
                <w:kern w:val="2"/>
                <w:sz w:val="24"/>
                <w:szCs w:val="24"/>
                <w:highlight w:val="none"/>
              </w:rPr>
              <w:t>投标保证金</w:t>
            </w:r>
          </w:p>
        </w:tc>
        <w:tc>
          <w:tcPr>
            <w:tcW w:w="7612" w:type="dxa"/>
            <w:tcBorders>
              <w:top w:val="single" w:color="auto" w:sz="4" w:space="0"/>
              <w:left w:val="single" w:color="auto" w:sz="4" w:space="0"/>
              <w:bottom w:val="single" w:color="auto" w:sz="4" w:space="0"/>
              <w:right w:val="single" w:color="auto" w:sz="4" w:space="0"/>
            </w:tcBorders>
            <w:noWrap/>
            <w:vAlign w:val="center"/>
          </w:tcPr>
          <w:p w14:paraId="2DDA9B71">
            <w:pPr>
              <w:spacing w:line="360" w:lineRule="auto"/>
              <w:rPr>
                <w:b/>
                <w:bCs/>
                <w:kern w:val="2"/>
                <w:sz w:val="24"/>
                <w:szCs w:val="24"/>
                <w:highlight w:val="none"/>
                <w:lang w:val="en-US"/>
              </w:rPr>
            </w:pPr>
            <w:r>
              <w:rPr>
                <w:rFonts w:hint="eastAsia"/>
                <w:b/>
                <w:bCs/>
                <w:kern w:val="2"/>
                <w:sz w:val="24"/>
                <w:szCs w:val="24"/>
                <w:highlight w:val="none"/>
                <w:lang w:val="en-US"/>
              </w:rPr>
              <w:t>本项目不设投标保证金</w:t>
            </w:r>
          </w:p>
        </w:tc>
      </w:tr>
      <w:tr w14:paraId="22925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Borders>
              <w:top w:val="single" w:color="auto" w:sz="4" w:space="0"/>
              <w:left w:val="single" w:color="auto" w:sz="4" w:space="0"/>
              <w:bottom w:val="single" w:color="auto" w:sz="4" w:space="0"/>
              <w:right w:val="single" w:color="auto" w:sz="4" w:space="0"/>
            </w:tcBorders>
            <w:noWrap/>
            <w:vAlign w:val="center"/>
          </w:tcPr>
          <w:p w14:paraId="062FBAF6">
            <w:pPr>
              <w:tabs>
                <w:tab w:val="left" w:pos="0"/>
                <w:tab w:val="left" w:pos="130"/>
              </w:tabs>
              <w:spacing w:line="360" w:lineRule="auto"/>
              <w:ind w:right="57"/>
              <w:jc w:val="center"/>
              <w:rPr>
                <w:kern w:val="2"/>
                <w:sz w:val="24"/>
                <w:szCs w:val="24"/>
                <w:highlight w:val="none"/>
              </w:rPr>
            </w:pPr>
            <w:r>
              <w:rPr>
                <w:rFonts w:hint="eastAsia"/>
                <w:kern w:val="2"/>
                <w:sz w:val="24"/>
                <w:szCs w:val="24"/>
                <w:highlight w:val="none"/>
              </w:rPr>
              <w:t>2</w:t>
            </w:r>
          </w:p>
        </w:tc>
        <w:tc>
          <w:tcPr>
            <w:tcW w:w="1650" w:type="dxa"/>
            <w:tcBorders>
              <w:top w:val="single" w:color="auto" w:sz="4" w:space="0"/>
              <w:left w:val="single" w:color="auto" w:sz="4" w:space="0"/>
              <w:bottom w:val="single" w:color="auto" w:sz="4" w:space="0"/>
              <w:right w:val="single" w:color="auto" w:sz="4" w:space="0"/>
            </w:tcBorders>
            <w:noWrap/>
            <w:vAlign w:val="center"/>
          </w:tcPr>
          <w:p w14:paraId="4A3253B9">
            <w:pPr>
              <w:spacing w:line="360" w:lineRule="auto"/>
              <w:jc w:val="center"/>
              <w:rPr>
                <w:kern w:val="2"/>
                <w:sz w:val="24"/>
                <w:szCs w:val="24"/>
                <w:highlight w:val="none"/>
                <w:lang w:val="en-US"/>
              </w:rPr>
            </w:pPr>
            <w:r>
              <w:rPr>
                <w:rFonts w:hint="eastAsia"/>
                <w:kern w:val="2"/>
                <w:sz w:val="24"/>
                <w:szCs w:val="24"/>
                <w:highlight w:val="none"/>
              </w:rPr>
              <w:t>投标文件</w:t>
            </w:r>
          </w:p>
        </w:tc>
        <w:tc>
          <w:tcPr>
            <w:tcW w:w="7612" w:type="dxa"/>
            <w:tcBorders>
              <w:top w:val="single" w:color="auto" w:sz="4" w:space="0"/>
              <w:left w:val="single" w:color="auto" w:sz="4" w:space="0"/>
              <w:bottom w:val="single" w:color="auto" w:sz="4" w:space="0"/>
              <w:right w:val="single" w:color="auto" w:sz="4" w:space="0"/>
            </w:tcBorders>
            <w:noWrap/>
            <w:vAlign w:val="center"/>
          </w:tcPr>
          <w:p w14:paraId="313479ED">
            <w:pPr>
              <w:snapToGrid w:val="0"/>
              <w:spacing w:line="360" w:lineRule="auto"/>
              <w:rPr>
                <w:kern w:val="2"/>
                <w:sz w:val="24"/>
                <w:szCs w:val="24"/>
                <w:highlight w:val="none"/>
              </w:rPr>
            </w:pPr>
            <w:r>
              <w:rPr>
                <w:rFonts w:hint="eastAsia"/>
                <w:kern w:val="2"/>
                <w:sz w:val="24"/>
                <w:szCs w:val="24"/>
                <w:highlight w:val="none"/>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p>
        </w:tc>
      </w:tr>
      <w:tr w14:paraId="4B6DC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Borders>
              <w:top w:val="single" w:color="auto" w:sz="4" w:space="0"/>
              <w:left w:val="single" w:color="auto" w:sz="4" w:space="0"/>
              <w:bottom w:val="single" w:color="auto" w:sz="4" w:space="0"/>
              <w:right w:val="single" w:color="auto" w:sz="4" w:space="0"/>
            </w:tcBorders>
            <w:noWrap/>
            <w:vAlign w:val="center"/>
          </w:tcPr>
          <w:p w14:paraId="166BBC4D">
            <w:pPr>
              <w:tabs>
                <w:tab w:val="left" w:pos="0"/>
                <w:tab w:val="left" w:pos="130"/>
              </w:tabs>
              <w:spacing w:line="360" w:lineRule="auto"/>
              <w:ind w:right="57"/>
              <w:jc w:val="center"/>
              <w:rPr>
                <w:kern w:val="2"/>
                <w:sz w:val="24"/>
                <w:szCs w:val="24"/>
                <w:highlight w:val="none"/>
              </w:rPr>
            </w:pPr>
            <w:r>
              <w:rPr>
                <w:rFonts w:hint="eastAsia"/>
                <w:kern w:val="2"/>
                <w:sz w:val="24"/>
                <w:szCs w:val="24"/>
                <w:highlight w:val="none"/>
              </w:rPr>
              <w:t>3</w:t>
            </w:r>
          </w:p>
        </w:tc>
        <w:tc>
          <w:tcPr>
            <w:tcW w:w="1650" w:type="dxa"/>
            <w:tcBorders>
              <w:top w:val="single" w:color="auto" w:sz="4" w:space="0"/>
              <w:left w:val="single" w:color="auto" w:sz="4" w:space="0"/>
              <w:bottom w:val="single" w:color="auto" w:sz="4" w:space="0"/>
              <w:right w:val="single" w:color="auto" w:sz="4" w:space="0"/>
            </w:tcBorders>
            <w:noWrap/>
            <w:vAlign w:val="center"/>
          </w:tcPr>
          <w:p w14:paraId="2704CF4A">
            <w:pPr>
              <w:spacing w:line="360" w:lineRule="auto"/>
              <w:jc w:val="center"/>
              <w:rPr>
                <w:kern w:val="2"/>
                <w:sz w:val="24"/>
                <w:szCs w:val="24"/>
                <w:highlight w:val="none"/>
              </w:rPr>
            </w:pPr>
            <w:r>
              <w:rPr>
                <w:rFonts w:hint="eastAsia"/>
                <w:kern w:val="2"/>
                <w:sz w:val="24"/>
                <w:szCs w:val="24"/>
                <w:highlight w:val="none"/>
              </w:rPr>
              <w:t>投标文件的编制、</w:t>
            </w:r>
            <w:r>
              <w:rPr>
                <w:rFonts w:hint="eastAsia"/>
                <w:kern w:val="2"/>
                <w:sz w:val="24"/>
                <w:szCs w:val="24"/>
                <w:highlight w:val="none"/>
                <w:lang w:val="en-US"/>
              </w:rPr>
              <w:t>签署</w:t>
            </w:r>
            <w:r>
              <w:rPr>
                <w:rFonts w:hint="eastAsia"/>
                <w:kern w:val="2"/>
                <w:sz w:val="24"/>
                <w:szCs w:val="24"/>
                <w:highlight w:val="none"/>
              </w:rPr>
              <w:t>、递交</w:t>
            </w:r>
          </w:p>
        </w:tc>
        <w:tc>
          <w:tcPr>
            <w:tcW w:w="7612" w:type="dxa"/>
            <w:tcBorders>
              <w:top w:val="single" w:color="auto" w:sz="4" w:space="0"/>
              <w:left w:val="single" w:color="auto" w:sz="4" w:space="0"/>
              <w:bottom w:val="single" w:color="auto" w:sz="4" w:space="0"/>
              <w:right w:val="single" w:color="auto" w:sz="4" w:space="0"/>
            </w:tcBorders>
            <w:noWrap/>
            <w:vAlign w:val="center"/>
          </w:tcPr>
          <w:p w14:paraId="084121AD">
            <w:pPr>
              <w:numPr>
                <w:ilvl w:val="0"/>
                <w:numId w:val="2"/>
              </w:numPr>
              <w:spacing w:line="360" w:lineRule="auto"/>
              <w:rPr>
                <w:kern w:val="2"/>
                <w:sz w:val="24"/>
                <w:szCs w:val="24"/>
                <w:highlight w:val="none"/>
                <w:lang w:val="en-US"/>
              </w:rPr>
            </w:pPr>
            <w:r>
              <w:rPr>
                <w:rFonts w:hint="eastAsia"/>
                <w:b/>
                <w:bCs/>
                <w:kern w:val="2"/>
                <w:sz w:val="24"/>
                <w:szCs w:val="24"/>
                <w:highlight w:val="none"/>
                <w:lang w:val="en-US"/>
              </w:rPr>
              <w:t>文件签署：</w:t>
            </w:r>
            <w:r>
              <w:rPr>
                <w:rFonts w:hint="eastAsia"/>
                <w:kern w:val="2"/>
                <w:sz w:val="24"/>
                <w:szCs w:val="24"/>
                <w:highlight w:val="none"/>
                <w:lang w:val="en-US"/>
              </w:rPr>
              <w:t>由投标人法定代表人或经正式授权并对投标人有约束力的委托代理人签署。</w:t>
            </w:r>
          </w:p>
          <w:p w14:paraId="52481012">
            <w:pPr>
              <w:numPr>
                <w:ilvl w:val="0"/>
                <w:numId w:val="2"/>
              </w:numPr>
              <w:spacing w:line="360" w:lineRule="auto"/>
              <w:rPr>
                <w:b/>
                <w:bCs/>
                <w:kern w:val="2"/>
                <w:sz w:val="24"/>
                <w:szCs w:val="24"/>
                <w:highlight w:val="none"/>
                <w:lang w:val="en-US"/>
              </w:rPr>
            </w:pPr>
            <w:r>
              <w:rPr>
                <w:rFonts w:hint="eastAsia"/>
                <w:b/>
                <w:bCs/>
                <w:kern w:val="2"/>
                <w:sz w:val="24"/>
                <w:szCs w:val="24"/>
                <w:highlight w:val="none"/>
                <w:lang w:val="en-US"/>
              </w:rPr>
              <w:t>文件编制：</w:t>
            </w:r>
            <w:r>
              <w:rPr>
                <w:rFonts w:hint="eastAsia"/>
                <w:kern w:val="2"/>
                <w:sz w:val="24"/>
                <w:szCs w:val="24"/>
                <w:highlight w:val="none"/>
                <w:lang w:val="en-US"/>
              </w:rPr>
              <w:t>投标文件的编制应按照招标文件统一规定的格式</w:t>
            </w:r>
            <w:r>
              <w:rPr>
                <w:rFonts w:hint="eastAsia"/>
                <w:b/>
                <w:bCs/>
                <w:kern w:val="2"/>
                <w:sz w:val="24"/>
                <w:szCs w:val="24"/>
                <w:highlight w:val="none"/>
                <w:lang w:val="en-US"/>
              </w:rPr>
              <w:t>（规定格式中要求盖章或签字的，则必须盖章或签字）</w:t>
            </w:r>
            <w:r>
              <w:rPr>
                <w:rFonts w:hint="eastAsia"/>
                <w:kern w:val="2"/>
                <w:sz w:val="24"/>
                <w:szCs w:val="24"/>
                <w:highlight w:val="none"/>
                <w:lang w:val="en-US"/>
              </w:rPr>
              <w:t>，投标人可根据自身实际情况进行添加调整；投标人应在投标文件中写清相应的项目编号、项目名称、投标人全称、地址、电话等。</w:t>
            </w:r>
            <w:r>
              <w:rPr>
                <w:rFonts w:hint="eastAsia"/>
                <w:b/>
                <w:bCs/>
                <w:kern w:val="2"/>
                <w:sz w:val="24"/>
                <w:szCs w:val="24"/>
                <w:highlight w:val="none"/>
                <w:lang w:val="en-US"/>
              </w:rPr>
              <w:t>如标书制作工具中格式和内容与“江苏政府采购网”发布的招标文件不一致，以“江苏政府采购网”发布的招标文件为准。</w:t>
            </w:r>
          </w:p>
          <w:p w14:paraId="00962B58">
            <w:pPr>
              <w:numPr>
                <w:ilvl w:val="0"/>
                <w:numId w:val="2"/>
              </w:numPr>
              <w:spacing w:line="360" w:lineRule="auto"/>
              <w:rPr>
                <w:kern w:val="2"/>
                <w:sz w:val="24"/>
                <w:szCs w:val="24"/>
                <w:highlight w:val="none"/>
              </w:rPr>
            </w:pPr>
            <w:r>
              <w:rPr>
                <w:rFonts w:hint="eastAsia"/>
                <w:b/>
                <w:bCs/>
                <w:kern w:val="2"/>
                <w:sz w:val="24"/>
                <w:szCs w:val="24"/>
                <w:highlight w:val="none"/>
                <w:lang w:val="en-US"/>
              </w:rPr>
              <w:t>文件递交：</w:t>
            </w:r>
            <w:r>
              <w:rPr>
                <w:rFonts w:hint="eastAsia"/>
                <w:kern w:val="2"/>
                <w:sz w:val="24"/>
                <w:szCs w:val="24"/>
                <w:highlight w:val="none"/>
                <w:lang w:val="en-US"/>
              </w:rPr>
              <w:t>①投标人应当按照《操作手册》规定，在招标公告规定的投标截止时间前制作并上传电子投标文件。②投标人应充分考虑网络环境、网络带宽等因素可能对投标产生的影响，如因投标人自身原因造成的电子投标文件上传不成功的，按照本表第5条规定做无效投标处理。③代理机构有权通过修改招标文件酌情延长投标截止时间，在此情况下，投标人的所有权利和义务均以延长后新的截止时间为准。</w:t>
            </w:r>
          </w:p>
          <w:p w14:paraId="497E2D43">
            <w:pPr>
              <w:numPr>
                <w:ilvl w:val="0"/>
                <w:numId w:val="2"/>
              </w:numPr>
              <w:spacing w:line="360" w:lineRule="auto"/>
              <w:rPr>
                <w:kern w:val="2"/>
                <w:sz w:val="24"/>
                <w:szCs w:val="24"/>
                <w:highlight w:val="none"/>
              </w:rPr>
            </w:pPr>
            <w:r>
              <w:rPr>
                <w:rFonts w:hint="eastAsia"/>
                <w:b/>
                <w:bCs/>
                <w:kern w:val="2"/>
                <w:sz w:val="24"/>
                <w:szCs w:val="24"/>
                <w:highlight w:val="none"/>
                <w:lang w:val="en-US"/>
              </w:rPr>
              <w:t>文件修改：</w:t>
            </w:r>
            <w:r>
              <w:rPr>
                <w:rFonts w:hint="eastAsia"/>
                <w:kern w:val="2"/>
                <w:sz w:val="24"/>
                <w:szCs w:val="24"/>
                <w:highlight w:val="none"/>
                <w:lang w:val="en-US"/>
              </w:rPr>
              <w:t>投标文件不应有涂改、增删之处，如必须修改时，修改处必须有投标人公章或投标人法定代表人或授权代表签字。</w:t>
            </w:r>
          </w:p>
        </w:tc>
      </w:tr>
      <w:tr w14:paraId="4231C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Borders>
              <w:top w:val="single" w:color="auto" w:sz="4" w:space="0"/>
              <w:left w:val="single" w:color="auto" w:sz="4" w:space="0"/>
              <w:bottom w:val="single" w:color="auto" w:sz="4" w:space="0"/>
              <w:right w:val="single" w:color="auto" w:sz="4" w:space="0"/>
            </w:tcBorders>
            <w:noWrap/>
            <w:vAlign w:val="center"/>
          </w:tcPr>
          <w:p w14:paraId="0DC55C53">
            <w:pPr>
              <w:tabs>
                <w:tab w:val="left" w:pos="0"/>
                <w:tab w:val="left" w:pos="130"/>
              </w:tabs>
              <w:spacing w:line="360" w:lineRule="auto"/>
              <w:ind w:right="57"/>
              <w:jc w:val="center"/>
              <w:rPr>
                <w:kern w:val="2"/>
                <w:sz w:val="24"/>
                <w:szCs w:val="24"/>
                <w:highlight w:val="none"/>
              </w:rPr>
            </w:pPr>
            <w:r>
              <w:rPr>
                <w:rFonts w:hint="eastAsia"/>
                <w:kern w:val="2"/>
                <w:sz w:val="24"/>
                <w:szCs w:val="24"/>
                <w:highlight w:val="none"/>
              </w:rPr>
              <w:t>4</w:t>
            </w:r>
          </w:p>
        </w:tc>
        <w:tc>
          <w:tcPr>
            <w:tcW w:w="1650" w:type="dxa"/>
            <w:tcBorders>
              <w:top w:val="single" w:color="auto" w:sz="4" w:space="0"/>
              <w:left w:val="single" w:color="auto" w:sz="4" w:space="0"/>
              <w:bottom w:val="single" w:color="auto" w:sz="4" w:space="0"/>
              <w:right w:val="single" w:color="auto" w:sz="4" w:space="0"/>
            </w:tcBorders>
            <w:noWrap/>
            <w:vAlign w:val="center"/>
          </w:tcPr>
          <w:p w14:paraId="27D8C129">
            <w:pPr>
              <w:spacing w:line="360" w:lineRule="auto"/>
              <w:jc w:val="center"/>
              <w:rPr>
                <w:kern w:val="2"/>
                <w:sz w:val="24"/>
                <w:szCs w:val="24"/>
                <w:highlight w:val="none"/>
                <w:lang w:val="en-US"/>
              </w:rPr>
            </w:pPr>
            <w:r>
              <w:rPr>
                <w:rFonts w:hint="eastAsia"/>
                <w:kern w:val="2"/>
                <w:sz w:val="24"/>
                <w:szCs w:val="24"/>
                <w:highlight w:val="none"/>
                <w:lang w:val="en-US"/>
              </w:rPr>
              <w:t>投标文件拒收情形</w:t>
            </w:r>
          </w:p>
        </w:tc>
        <w:tc>
          <w:tcPr>
            <w:tcW w:w="7612" w:type="dxa"/>
            <w:tcBorders>
              <w:top w:val="single" w:color="auto" w:sz="4" w:space="0"/>
              <w:left w:val="single" w:color="auto" w:sz="4" w:space="0"/>
              <w:bottom w:val="single" w:color="auto" w:sz="4" w:space="0"/>
              <w:right w:val="single" w:color="auto" w:sz="4" w:space="0"/>
            </w:tcBorders>
            <w:noWrap/>
            <w:vAlign w:val="center"/>
          </w:tcPr>
          <w:p w14:paraId="01583A34">
            <w:pPr>
              <w:numPr>
                <w:ilvl w:val="0"/>
                <w:numId w:val="3"/>
              </w:numPr>
              <w:spacing w:line="360" w:lineRule="auto"/>
              <w:rPr>
                <w:kern w:val="2"/>
                <w:sz w:val="24"/>
                <w:szCs w:val="24"/>
                <w:highlight w:val="none"/>
                <w:lang w:val="en-US"/>
              </w:rPr>
            </w:pPr>
            <w:r>
              <w:rPr>
                <w:rFonts w:hint="eastAsia"/>
                <w:kern w:val="2"/>
                <w:sz w:val="24"/>
                <w:szCs w:val="24"/>
                <w:highlight w:val="none"/>
                <w:lang w:val="en-US"/>
              </w:rPr>
              <w:t>在招标文件要求提交投标文件的截止时间之后上传的。</w:t>
            </w:r>
          </w:p>
        </w:tc>
      </w:tr>
      <w:tr w14:paraId="444DA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Borders>
              <w:top w:val="single" w:color="auto" w:sz="4" w:space="0"/>
              <w:left w:val="single" w:color="auto" w:sz="4" w:space="0"/>
              <w:bottom w:val="single" w:color="auto" w:sz="4" w:space="0"/>
              <w:right w:val="single" w:color="auto" w:sz="4" w:space="0"/>
            </w:tcBorders>
            <w:noWrap/>
            <w:vAlign w:val="center"/>
          </w:tcPr>
          <w:p w14:paraId="0613E270">
            <w:pPr>
              <w:tabs>
                <w:tab w:val="left" w:pos="0"/>
                <w:tab w:val="left" w:pos="130"/>
              </w:tabs>
              <w:spacing w:line="360" w:lineRule="auto"/>
              <w:ind w:right="57"/>
              <w:jc w:val="center"/>
              <w:rPr>
                <w:kern w:val="2"/>
                <w:sz w:val="24"/>
                <w:szCs w:val="24"/>
                <w:highlight w:val="none"/>
              </w:rPr>
            </w:pPr>
            <w:r>
              <w:rPr>
                <w:rFonts w:hint="eastAsia"/>
                <w:kern w:val="2"/>
                <w:sz w:val="24"/>
                <w:szCs w:val="24"/>
                <w:highlight w:val="none"/>
                <w:lang w:val="en-US"/>
              </w:rPr>
              <w:t>5</w:t>
            </w:r>
          </w:p>
        </w:tc>
        <w:tc>
          <w:tcPr>
            <w:tcW w:w="1650" w:type="dxa"/>
            <w:tcBorders>
              <w:top w:val="single" w:color="auto" w:sz="4" w:space="0"/>
              <w:left w:val="single" w:color="auto" w:sz="4" w:space="0"/>
              <w:bottom w:val="single" w:color="auto" w:sz="4" w:space="0"/>
              <w:right w:val="single" w:color="auto" w:sz="4" w:space="0"/>
            </w:tcBorders>
            <w:noWrap/>
            <w:vAlign w:val="center"/>
          </w:tcPr>
          <w:p w14:paraId="467B234C">
            <w:pPr>
              <w:spacing w:line="360" w:lineRule="auto"/>
              <w:jc w:val="center"/>
              <w:rPr>
                <w:kern w:val="2"/>
                <w:sz w:val="24"/>
                <w:szCs w:val="24"/>
                <w:highlight w:val="none"/>
                <w:lang w:val="en-US"/>
              </w:rPr>
            </w:pPr>
            <w:r>
              <w:rPr>
                <w:rFonts w:hint="eastAsia"/>
                <w:kern w:val="2"/>
                <w:sz w:val="24"/>
                <w:szCs w:val="24"/>
                <w:highlight w:val="none"/>
                <w:lang w:val="en-US"/>
              </w:rPr>
              <w:t>投标无效情形</w:t>
            </w:r>
          </w:p>
        </w:tc>
        <w:tc>
          <w:tcPr>
            <w:tcW w:w="7612" w:type="dxa"/>
            <w:tcBorders>
              <w:top w:val="single" w:color="auto" w:sz="4" w:space="0"/>
              <w:left w:val="single" w:color="auto" w:sz="4" w:space="0"/>
              <w:bottom w:val="single" w:color="auto" w:sz="4" w:space="0"/>
              <w:right w:val="single" w:color="auto" w:sz="4" w:space="0"/>
            </w:tcBorders>
            <w:noWrap/>
            <w:vAlign w:val="center"/>
          </w:tcPr>
          <w:p w14:paraId="015FD35F">
            <w:pPr>
              <w:numPr>
                <w:ilvl w:val="0"/>
                <w:numId w:val="4"/>
              </w:numPr>
              <w:spacing w:line="360" w:lineRule="auto"/>
              <w:rPr>
                <w:b/>
                <w:bCs/>
                <w:kern w:val="2"/>
                <w:sz w:val="24"/>
                <w:szCs w:val="24"/>
                <w:highlight w:val="none"/>
                <w:lang w:val="en-US"/>
              </w:rPr>
            </w:pPr>
            <w:r>
              <w:rPr>
                <w:rFonts w:hint="eastAsia"/>
                <w:b/>
                <w:bCs/>
                <w:kern w:val="2"/>
                <w:sz w:val="24"/>
                <w:szCs w:val="24"/>
                <w:highlight w:val="none"/>
                <w:lang w:val="en-US"/>
              </w:rPr>
              <w:t>针对本章“三、投标”中的“5、投标文件的商务部分”和“6、投标文件的技术部分”加</w:t>
            </w:r>
            <w:r>
              <w:rPr>
                <w:rFonts w:hint="eastAsia"/>
                <w:b/>
                <w:bCs/>
                <w:kern w:val="2"/>
                <w:sz w:val="24"/>
                <w:szCs w:val="24"/>
                <w:highlight w:val="none"/>
              </w:rPr>
              <w:t>★</w:t>
            </w:r>
            <w:r>
              <w:rPr>
                <w:rFonts w:hint="eastAsia"/>
                <w:b/>
                <w:bCs/>
                <w:kern w:val="2"/>
                <w:sz w:val="24"/>
                <w:szCs w:val="24"/>
                <w:highlight w:val="none"/>
                <w:lang w:val="en-US"/>
              </w:rPr>
              <w:t>项要求，投标文件提供的证明材料缺失或无效的；</w:t>
            </w:r>
          </w:p>
          <w:p w14:paraId="728298A2">
            <w:pPr>
              <w:numPr>
                <w:ilvl w:val="0"/>
                <w:numId w:val="4"/>
              </w:numPr>
              <w:spacing w:line="360" w:lineRule="auto"/>
              <w:rPr>
                <w:kern w:val="2"/>
                <w:sz w:val="24"/>
                <w:szCs w:val="24"/>
                <w:highlight w:val="none"/>
                <w:lang w:val="en-US"/>
              </w:rPr>
            </w:pPr>
            <w:r>
              <w:rPr>
                <w:rFonts w:hint="eastAsia"/>
                <w:kern w:val="2"/>
                <w:sz w:val="24"/>
                <w:szCs w:val="24"/>
                <w:highlight w:val="none"/>
                <w:lang w:val="en-US"/>
              </w:rPr>
              <w:t>投标文件未按照招标文件规定要求</w:t>
            </w:r>
            <w:r>
              <w:rPr>
                <w:rFonts w:hint="eastAsia"/>
                <w:b/>
                <w:bCs/>
                <w:kern w:val="2"/>
                <w:sz w:val="24"/>
                <w:szCs w:val="24"/>
                <w:highlight w:val="none"/>
                <w:lang w:val="en-US"/>
              </w:rPr>
              <w:t>签署、盖章</w:t>
            </w:r>
            <w:r>
              <w:rPr>
                <w:rFonts w:hint="eastAsia"/>
                <w:kern w:val="2"/>
                <w:sz w:val="24"/>
                <w:szCs w:val="24"/>
                <w:highlight w:val="none"/>
                <w:lang w:val="en-US"/>
              </w:rPr>
              <w:t>的，以及没有《开标一览表》或《开标一览表》没有按照招标文件要求</w:t>
            </w:r>
            <w:r>
              <w:rPr>
                <w:rFonts w:hint="eastAsia"/>
                <w:b/>
                <w:bCs/>
                <w:kern w:val="2"/>
                <w:sz w:val="24"/>
                <w:szCs w:val="24"/>
                <w:highlight w:val="none"/>
                <w:lang w:val="en-US"/>
              </w:rPr>
              <w:t>盖章的</w:t>
            </w:r>
            <w:r>
              <w:rPr>
                <w:rFonts w:hint="eastAsia"/>
                <w:kern w:val="2"/>
                <w:sz w:val="24"/>
                <w:szCs w:val="24"/>
                <w:highlight w:val="none"/>
                <w:lang w:val="en-US"/>
              </w:rPr>
              <w:t>；</w:t>
            </w:r>
          </w:p>
          <w:p w14:paraId="34297C53">
            <w:pPr>
              <w:numPr>
                <w:ilvl w:val="0"/>
                <w:numId w:val="4"/>
              </w:numPr>
              <w:spacing w:line="360" w:lineRule="auto"/>
              <w:rPr>
                <w:kern w:val="2"/>
                <w:sz w:val="24"/>
                <w:szCs w:val="24"/>
                <w:highlight w:val="none"/>
                <w:lang w:val="en-US"/>
              </w:rPr>
            </w:pPr>
            <w:r>
              <w:rPr>
                <w:rFonts w:hint="eastAsia"/>
                <w:kern w:val="2"/>
                <w:sz w:val="24"/>
                <w:szCs w:val="24"/>
                <w:highlight w:val="none"/>
                <w:lang w:val="en-US"/>
              </w:rPr>
              <w:t>投标文件未响应采购项目需求中规定的实质性要求的；</w:t>
            </w:r>
          </w:p>
          <w:p w14:paraId="75509760">
            <w:pPr>
              <w:numPr>
                <w:ilvl w:val="0"/>
                <w:numId w:val="4"/>
              </w:numPr>
              <w:spacing w:line="360" w:lineRule="auto"/>
              <w:rPr>
                <w:kern w:val="2"/>
                <w:sz w:val="24"/>
                <w:szCs w:val="24"/>
                <w:highlight w:val="none"/>
                <w:lang w:val="en-US"/>
              </w:rPr>
            </w:pPr>
            <w:r>
              <w:rPr>
                <w:rFonts w:hint="eastAsia"/>
                <w:kern w:val="2"/>
                <w:sz w:val="24"/>
                <w:szCs w:val="24"/>
                <w:highlight w:val="none"/>
                <w:lang w:val="en-US"/>
              </w:rPr>
              <w:t>投标总报价超过项目预算金额或最高限价；</w:t>
            </w:r>
          </w:p>
          <w:p w14:paraId="466CBE68">
            <w:pPr>
              <w:numPr>
                <w:ilvl w:val="0"/>
                <w:numId w:val="4"/>
              </w:numPr>
              <w:spacing w:line="360" w:lineRule="auto"/>
              <w:rPr>
                <w:kern w:val="2"/>
                <w:sz w:val="24"/>
                <w:szCs w:val="24"/>
                <w:highlight w:val="none"/>
                <w:lang w:val="en-US"/>
              </w:rPr>
            </w:pPr>
            <w:r>
              <w:rPr>
                <w:rFonts w:hint="eastAsia"/>
                <w:kern w:val="2"/>
                <w:sz w:val="24"/>
                <w:szCs w:val="24"/>
                <w:highlight w:val="none"/>
              </w:rPr>
              <w:t>评标委员会认为投标人的报价明显低于其他通过符合性审查投标人的报价，有可能影响服务质量或者不能诚信履约的，投标人</w:t>
            </w:r>
            <w:r>
              <w:rPr>
                <w:rFonts w:hint="eastAsia"/>
                <w:kern w:val="2"/>
                <w:sz w:val="24"/>
                <w:szCs w:val="24"/>
                <w:highlight w:val="none"/>
                <w:lang w:val="en-US"/>
              </w:rPr>
              <w:t>未在</w:t>
            </w:r>
            <w:r>
              <w:rPr>
                <w:rFonts w:hint="eastAsia"/>
                <w:kern w:val="2"/>
                <w:sz w:val="24"/>
                <w:szCs w:val="24"/>
                <w:highlight w:val="none"/>
              </w:rPr>
              <w:t>评标现场合理的时间内提供书面说明</w:t>
            </w:r>
            <w:r>
              <w:rPr>
                <w:rFonts w:hint="eastAsia"/>
                <w:kern w:val="2"/>
                <w:sz w:val="24"/>
                <w:szCs w:val="24"/>
                <w:highlight w:val="none"/>
                <w:lang w:val="en-US"/>
              </w:rPr>
              <w:t>或相关证明材料，</w:t>
            </w:r>
            <w:r>
              <w:rPr>
                <w:rFonts w:hint="eastAsia"/>
                <w:kern w:val="2"/>
                <w:sz w:val="24"/>
                <w:szCs w:val="24"/>
                <w:highlight w:val="none"/>
              </w:rPr>
              <w:t>不能证明其报价合理性的；</w:t>
            </w:r>
          </w:p>
          <w:p w14:paraId="011ECFC0">
            <w:pPr>
              <w:numPr>
                <w:ilvl w:val="0"/>
                <w:numId w:val="4"/>
              </w:numPr>
              <w:spacing w:line="360" w:lineRule="auto"/>
              <w:rPr>
                <w:kern w:val="2"/>
                <w:sz w:val="24"/>
                <w:szCs w:val="24"/>
                <w:highlight w:val="none"/>
                <w:lang w:val="en-US"/>
              </w:rPr>
            </w:pPr>
            <w:r>
              <w:rPr>
                <w:rFonts w:hint="eastAsia"/>
                <w:kern w:val="2"/>
                <w:sz w:val="24"/>
                <w:szCs w:val="24"/>
                <w:highlight w:val="none"/>
                <w:lang w:val="en-US"/>
              </w:rPr>
              <w:t>投标文件含有采购人不能接受的附加条件的；</w:t>
            </w:r>
          </w:p>
          <w:p w14:paraId="1BE2BE0C">
            <w:pPr>
              <w:numPr>
                <w:ilvl w:val="0"/>
                <w:numId w:val="4"/>
              </w:numPr>
              <w:spacing w:line="360" w:lineRule="auto"/>
              <w:rPr>
                <w:kern w:val="2"/>
                <w:sz w:val="24"/>
                <w:szCs w:val="24"/>
                <w:highlight w:val="none"/>
                <w:lang w:val="en-US"/>
              </w:rPr>
            </w:pPr>
            <w:r>
              <w:rPr>
                <w:rFonts w:hint="eastAsia"/>
                <w:kern w:val="2"/>
                <w:sz w:val="24"/>
                <w:szCs w:val="24"/>
                <w:highlight w:val="none"/>
                <w:lang w:val="en-US"/>
              </w:rPr>
              <w:t>不同投标人的投标文件由同一单位或者个人编制；</w:t>
            </w:r>
          </w:p>
          <w:p w14:paraId="603C6718">
            <w:pPr>
              <w:numPr>
                <w:ilvl w:val="0"/>
                <w:numId w:val="4"/>
              </w:numPr>
              <w:spacing w:line="360" w:lineRule="auto"/>
              <w:rPr>
                <w:kern w:val="2"/>
                <w:sz w:val="24"/>
                <w:szCs w:val="24"/>
                <w:highlight w:val="none"/>
                <w:lang w:val="en-US"/>
              </w:rPr>
            </w:pPr>
            <w:r>
              <w:rPr>
                <w:rFonts w:hint="eastAsia"/>
                <w:kern w:val="2"/>
                <w:sz w:val="24"/>
                <w:szCs w:val="24"/>
                <w:highlight w:val="none"/>
                <w:lang w:val="en-US"/>
              </w:rPr>
              <w:t>不同投标人委托同一单位或者个人办理投标事宜；</w:t>
            </w:r>
          </w:p>
          <w:p w14:paraId="23D2FA0D">
            <w:pPr>
              <w:numPr>
                <w:ilvl w:val="0"/>
                <w:numId w:val="4"/>
              </w:numPr>
              <w:spacing w:line="360" w:lineRule="auto"/>
              <w:rPr>
                <w:kern w:val="2"/>
                <w:sz w:val="24"/>
                <w:szCs w:val="24"/>
                <w:highlight w:val="none"/>
                <w:lang w:val="en-US"/>
              </w:rPr>
            </w:pPr>
            <w:r>
              <w:rPr>
                <w:rFonts w:hint="eastAsia"/>
                <w:kern w:val="2"/>
                <w:sz w:val="24"/>
                <w:szCs w:val="24"/>
                <w:highlight w:val="none"/>
                <w:lang w:val="en-US"/>
              </w:rPr>
              <w:t>不同投标人的投标文件载明的项目管理成员或联系人员为同一人；</w:t>
            </w:r>
          </w:p>
          <w:p w14:paraId="0CC2A0BE">
            <w:pPr>
              <w:numPr>
                <w:ilvl w:val="0"/>
                <w:numId w:val="4"/>
              </w:numPr>
              <w:spacing w:line="360" w:lineRule="auto"/>
              <w:rPr>
                <w:kern w:val="2"/>
                <w:sz w:val="24"/>
                <w:szCs w:val="24"/>
                <w:highlight w:val="none"/>
                <w:lang w:val="en-US"/>
              </w:rPr>
            </w:pPr>
            <w:r>
              <w:rPr>
                <w:rFonts w:hint="eastAsia"/>
                <w:kern w:val="2"/>
                <w:sz w:val="24"/>
                <w:szCs w:val="24"/>
                <w:highlight w:val="none"/>
                <w:lang w:val="en-US"/>
              </w:rPr>
              <w:t>不同投标人的投标文件异常一致或者投标报价呈规律性差异；</w:t>
            </w:r>
          </w:p>
          <w:p w14:paraId="2F41565A">
            <w:pPr>
              <w:numPr>
                <w:ilvl w:val="0"/>
                <w:numId w:val="4"/>
              </w:numPr>
              <w:spacing w:line="360" w:lineRule="auto"/>
              <w:rPr>
                <w:kern w:val="2"/>
                <w:sz w:val="24"/>
                <w:szCs w:val="24"/>
                <w:highlight w:val="none"/>
                <w:lang w:val="en-US"/>
              </w:rPr>
            </w:pPr>
            <w:r>
              <w:rPr>
                <w:rFonts w:hint="eastAsia"/>
                <w:kern w:val="2"/>
                <w:sz w:val="24"/>
                <w:szCs w:val="24"/>
                <w:highlight w:val="none"/>
                <w:lang w:val="en-US"/>
              </w:rPr>
              <w:t>不同投标人的投标文件相互混装；</w:t>
            </w:r>
          </w:p>
          <w:p w14:paraId="3827E4B8">
            <w:pPr>
              <w:numPr>
                <w:ilvl w:val="0"/>
                <w:numId w:val="4"/>
              </w:numPr>
              <w:spacing w:line="360" w:lineRule="auto"/>
              <w:rPr>
                <w:kern w:val="2"/>
                <w:sz w:val="24"/>
                <w:szCs w:val="24"/>
                <w:highlight w:val="none"/>
                <w:lang w:val="en-US"/>
              </w:rPr>
            </w:pPr>
            <w:r>
              <w:rPr>
                <w:rFonts w:hint="eastAsia"/>
                <w:kern w:val="2"/>
                <w:sz w:val="24"/>
                <w:szCs w:val="24"/>
                <w:highlight w:val="none"/>
                <w:lang w:val="en-US"/>
              </w:rPr>
              <w:t>为本采购项目提供整体设计、规范编制，以及项目管理、监理、检测等服务的投标人；</w:t>
            </w:r>
          </w:p>
          <w:p w14:paraId="03BD7AFA">
            <w:pPr>
              <w:numPr>
                <w:ilvl w:val="0"/>
                <w:numId w:val="4"/>
              </w:numPr>
              <w:spacing w:line="360" w:lineRule="auto"/>
              <w:rPr>
                <w:kern w:val="2"/>
                <w:sz w:val="24"/>
                <w:szCs w:val="24"/>
                <w:highlight w:val="none"/>
                <w:lang w:val="en-US"/>
              </w:rPr>
            </w:pPr>
            <w:r>
              <w:rPr>
                <w:rFonts w:hint="eastAsia"/>
                <w:kern w:val="2"/>
                <w:sz w:val="24"/>
                <w:szCs w:val="24"/>
                <w:highlight w:val="none"/>
                <w:lang w:val="en-US"/>
              </w:rPr>
              <w:t>不同投标人的法定代表人或委托代理人有夫妻、直系血亲关系；</w:t>
            </w:r>
          </w:p>
          <w:p w14:paraId="7EBEA163">
            <w:pPr>
              <w:numPr>
                <w:ilvl w:val="0"/>
                <w:numId w:val="4"/>
              </w:numPr>
              <w:spacing w:line="360" w:lineRule="auto"/>
              <w:rPr>
                <w:kern w:val="2"/>
                <w:sz w:val="24"/>
                <w:szCs w:val="24"/>
                <w:highlight w:val="none"/>
                <w:lang w:val="en-US"/>
              </w:rPr>
            </w:pPr>
            <w:r>
              <w:rPr>
                <w:rFonts w:hint="eastAsia"/>
                <w:kern w:val="2"/>
                <w:sz w:val="24"/>
                <w:szCs w:val="24"/>
                <w:highlight w:val="none"/>
                <w:lang w:val="en-US"/>
              </w:rPr>
              <w:t>不同投标人的负责人为同一人或者存在控股、管理关系的；</w:t>
            </w:r>
          </w:p>
          <w:p w14:paraId="07279D58">
            <w:pPr>
              <w:numPr>
                <w:ilvl w:val="0"/>
                <w:numId w:val="4"/>
              </w:numPr>
              <w:spacing w:line="360" w:lineRule="auto"/>
              <w:rPr>
                <w:kern w:val="2"/>
                <w:sz w:val="24"/>
                <w:szCs w:val="24"/>
                <w:highlight w:val="none"/>
                <w:lang w:val="en-US"/>
              </w:rPr>
            </w:pPr>
            <w:r>
              <w:rPr>
                <w:rFonts w:hint="eastAsia"/>
                <w:kern w:val="2"/>
                <w:sz w:val="24"/>
                <w:szCs w:val="24"/>
                <w:highlight w:val="none"/>
              </w:rPr>
              <w:t>被信用中国网站、中国政府采购网站列入失信被执行人名单、重大税收违法案件当事人名单、政府采购严重违法失信行为记录名单</w:t>
            </w:r>
            <w:r>
              <w:rPr>
                <w:rFonts w:hint="eastAsia"/>
                <w:kern w:val="2"/>
                <w:sz w:val="24"/>
                <w:szCs w:val="24"/>
                <w:highlight w:val="none"/>
                <w:lang w:val="en-US"/>
              </w:rPr>
              <w:t>；如本项目接受联合体投标，联合体成员存在不良信用记录的，视同联合体存在不良信用记录；</w:t>
            </w:r>
          </w:p>
          <w:p w14:paraId="2F7752E2">
            <w:pPr>
              <w:numPr>
                <w:ilvl w:val="0"/>
                <w:numId w:val="4"/>
              </w:numPr>
              <w:spacing w:line="360" w:lineRule="auto"/>
              <w:rPr>
                <w:kern w:val="2"/>
                <w:sz w:val="24"/>
                <w:szCs w:val="24"/>
                <w:highlight w:val="none"/>
                <w:lang w:val="en-US"/>
              </w:rPr>
            </w:pPr>
            <w:r>
              <w:rPr>
                <w:rFonts w:hint="eastAsia"/>
                <w:kern w:val="2"/>
                <w:sz w:val="24"/>
                <w:szCs w:val="24"/>
                <w:highlight w:val="none"/>
                <w:lang w:val="en-US"/>
              </w:rPr>
              <w:t>投标人未按照招标文件要求上传电子投标文件。</w:t>
            </w:r>
          </w:p>
          <w:p w14:paraId="687BB23F">
            <w:pPr>
              <w:numPr>
                <w:ilvl w:val="0"/>
                <w:numId w:val="4"/>
              </w:numPr>
              <w:spacing w:line="360" w:lineRule="auto"/>
              <w:rPr>
                <w:kern w:val="2"/>
                <w:sz w:val="24"/>
                <w:szCs w:val="24"/>
                <w:highlight w:val="none"/>
                <w:lang w:val="en-US"/>
              </w:rPr>
            </w:pPr>
            <w:r>
              <w:rPr>
                <w:rFonts w:hint="eastAsia"/>
                <w:kern w:val="2"/>
                <w:sz w:val="24"/>
                <w:szCs w:val="24"/>
                <w:highlight w:val="none"/>
                <w:lang w:val="en-US"/>
              </w:rPr>
              <w:t>同一投标人提交两个（含两个）以上不同的投标报价。</w:t>
            </w:r>
          </w:p>
          <w:p w14:paraId="30143983">
            <w:pPr>
              <w:numPr>
                <w:ilvl w:val="0"/>
                <w:numId w:val="4"/>
              </w:numPr>
              <w:spacing w:line="360" w:lineRule="auto"/>
              <w:rPr>
                <w:kern w:val="2"/>
                <w:sz w:val="24"/>
                <w:szCs w:val="24"/>
                <w:highlight w:val="none"/>
                <w:lang w:val="en-US"/>
              </w:rPr>
            </w:pPr>
            <w:r>
              <w:rPr>
                <w:rFonts w:hint="eastAsia"/>
                <w:kern w:val="2"/>
                <w:sz w:val="24"/>
                <w:szCs w:val="24"/>
                <w:highlight w:val="none"/>
                <w:lang w:val="en-US"/>
              </w:rPr>
              <w:t>投标人在苏采云系统规定的时间内未成功解密电子投标文件。</w:t>
            </w:r>
          </w:p>
          <w:p w14:paraId="5F305D5D">
            <w:pPr>
              <w:numPr>
                <w:ilvl w:val="0"/>
                <w:numId w:val="4"/>
              </w:numPr>
              <w:spacing w:line="360" w:lineRule="auto"/>
              <w:rPr>
                <w:highlight w:val="none"/>
                <w:lang w:val="en-US"/>
              </w:rPr>
            </w:pPr>
            <w:r>
              <w:rPr>
                <w:rFonts w:hint="eastAsia"/>
                <w:kern w:val="2"/>
                <w:sz w:val="24"/>
                <w:szCs w:val="24"/>
                <w:highlight w:val="none"/>
                <w:lang w:val="en-US"/>
              </w:rPr>
              <w:t>法律、法规和招标文件规定的其他无效情形。</w:t>
            </w:r>
          </w:p>
        </w:tc>
      </w:tr>
      <w:tr w14:paraId="534B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Borders>
              <w:top w:val="single" w:color="auto" w:sz="4" w:space="0"/>
              <w:left w:val="single" w:color="auto" w:sz="4" w:space="0"/>
              <w:bottom w:val="single" w:color="auto" w:sz="4" w:space="0"/>
              <w:right w:val="single" w:color="auto" w:sz="4" w:space="0"/>
            </w:tcBorders>
            <w:noWrap/>
            <w:vAlign w:val="center"/>
          </w:tcPr>
          <w:p w14:paraId="190EE229">
            <w:pPr>
              <w:tabs>
                <w:tab w:val="left" w:pos="0"/>
                <w:tab w:val="left" w:pos="130"/>
              </w:tabs>
              <w:spacing w:line="360" w:lineRule="auto"/>
              <w:ind w:right="57"/>
              <w:jc w:val="center"/>
              <w:rPr>
                <w:kern w:val="2"/>
                <w:sz w:val="24"/>
                <w:szCs w:val="24"/>
                <w:highlight w:val="none"/>
              </w:rPr>
            </w:pPr>
            <w:r>
              <w:rPr>
                <w:rFonts w:hint="eastAsia"/>
                <w:kern w:val="2"/>
                <w:sz w:val="24"/>
                <w:szCs w:val="24"/>
                <w:highlight w:val="none"/>
                <w:lang w:val="en-US"/>
              </w:rPr>
              <w:t>6</w:t>
            </w:r>
          </w:p>
        </w:tc>
        <w:tc>
          <w:tcPr>
            <w:tcW w:w="1650" w:type="dxa"/>
            <w:tcBorders>
              <w:top w:val="single" w:color="auto" w:sz="4" w:space="0"/>
              <w:left w:val="single" w:color="auto" w:sz="4" w:space="0"/>
              <w:bottom w:val="single" w:color="auto" w:sz="4" w:space="0"/>
              <w:right w:val="single" w:color="auto" w:sz="4" w:space="0"/>
            </w:tcBorders>
            <w:noWrap/>
            <w:vAlign w:val="center"/>
          </w:tcPr>
          <w:p w14:paraId="2361E9F1">
            <w:pPr>
              <w:spacing w:line="360" w:lineRule="auto"/>
              <w:jc w:val="center"/>
              <w:rPr>
                <w:kern w:val="2"/>
                <w:sz w:val="24"/>
                <w:szCs w:val="24"/>
                <w:highlight w:val="none"/>
                <w:lang w:val="en-US"/>
              </w:rPr>
            </w:pPr>
            <w:r>
              <w:rPr>
                <w:rFonts w:hint="eastAsia"/>
                <w:kern w:val="2"/>
                <w:sz w:val="24"/>
                <w:szCs w:val="24"/>
                <w:highlight w:val="none"/>
                <w:lang w:val="en-US"/>
              </w:rPr>
              <w:t>废标情形</w:t>
            </w:r>
          </w:p>
        </w:tc>
        <w:tc>
          <w:tcPr>
            <w:tcW w:w="7612" w:type="dxa"/>
            <w:tcBorders>
              <w:top w:val="single" w:color="auto" w:sz="4" w:space="0"/>
              <w:left w:val="single" w:color="auto" w:sz="4" w:space="0"/>
              <w:bottom w:val="single" w:color="auto" w:sz="4" w:space="0"/>
              <w:right w:val="single" w:color="auto" w:sz="4" w:space="0"/>
            </w:tcBorders>
            <w:noWrap/>
            <w:vAlign w:val="center"/>
          </w:tcPr>
          <w:p w14:paraId="4E0F1A06">
            <w:pPr>
              <w:numPr>
                <w:ilvl w:val="0"/>
                <w:numId w:val="5"/>
              </w:numPr>
              <w:spacing w:line="360" w:lineRule="auto"/>
              <w:rPr>
                <w:kern w:val="2"/>
                <w:sz w:val="24"/>
                <w:szCs w:val="24"/>
                <w:highlight w:val="none"/>
                <w:lang w:val="en-US"/>
              </w:rPr>
            </w:pPr>
            <w:r>
              <w:rPr>
                <w:rFonts w:hint="eastAsia"/>
                <w:kern w:val="2"/>
                <w:sz w:val="24"/>
                <w:szCs w:val="24"/>
                <w:highlight w:val="none"/>
                <w:lang w:val="en-US"/>
              </w:rPr>
              <w:t>符合专业条件的投标人或者对招标文件作实质响应的投标人不足三家的；</w:t>
            </w:r>
          </w:p>
          <w:p w14:paraId="40BC0A27">
            <w:pPr>
              <w:numPr>
                <w:ilvl w:val="0"/>
                <w:numId w:val="5"/>
              </w:numPr>
              <w:spacing w:line="360" w:lineRule="auto"/>
              <w:rPr>
                <w:kern w:val="2"/>
                <w:sz w:val="24"/>
                <w:szCs w:val="24"/>
                <w:highlight w:val="none"/>
                <w:lang w:val="en-US"/>
              </w:rPr>
            </w:pPr>
            <w:r>
              <w:rPr>
                <w:rFonts w:hint="eastAsia"/>
                <w:kern w:val="2"/>
                <w:sz w:val="24"/>
                <w:szCs w:val="24"/>
                <w:highlight w:val="none"/>
                <w:lang w:val="en-US"/>
              </w:rPr>
              <w:t>出现影响采购公正的违法、违规行为的；</w:t>
            </w:r>
          </w:p>
          <w:p w14:paraId="49E66254">
            <w:pPr>
              <w:numPr>
                <w:ilvl w:val="0"/>
                <w:numId w:val="5"/>
              </w:numPr>
              <w:spacing w:line="360" w:lineRule="auto"/>
              <w:rPr>
                <w:kern w:val="2"/>
                <w:sz w:val="24"/>
                <w:szCs w:val="24"/>
                <w:highlight w:val="none"/>
                <w:lang w:val="en-US"/>
              </w:rPr>
            </w:pPr>
            <w:r>
              <w:rPr>
                <w:rFonts w:hint="eastAsia"/>
                <w:kern w:val="2"/>
                <w:sz w:val="24"/>
                <w:szCs w:val="24"/>
                <w:highlight w:val="none"/>
                <w:lang w:val="en-US"/>
              </w:rPr>
              <w:t>投标人的报价均超过了采购预算，采购人不能支付的；</w:t>
            </w:r>
          </w:p>
          <w:p w14:paraId="1985C384">
            <w:pPr>
              <w:numPr>
                <w:ilvl w:val="0"/>
                <w:numId w:val="5"/>
              </w:numPr>
              <w:spacing w:line="360" w:lineRule="auto"/>
              <w:rPr>
                <w:kern w:val="2"/>
                <w:sz w:val="24"/>
                <w:szCs w:val="24"/>
                <w:highlight w:val="none"/>
                <w:lang w:val="en-US"/>
              </w:rPr>
            </w:pPr>
            <w:r>
              <w:rPr>
                <w:rFonts w:hint="eastAsia"/>
                <w:kern w:val="2"/>
                <w:sz w:val="24"/>
                <w:szCs w:val="24"/>
                <w:highlight w:val="none"/>
                <w:lang w:val="en-US"/>
              </w:rPr>
              <w:t>因重大变故，采购任务取消的。</w:t>
            </w:r>
          </w:p>
        </w:tc>
      </w:tr>
      <w:tr w14:paraId="5ECA0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637" w:type="dxa"/>
            <w:tcBorders>
              <w:top w:val="single" w:color="auto" w:sz="4" w:space="0"/>
              <w:left w:val="single" w:color="auto" w:sz="4" w:space="0"/>
              <w:bottom w:val="single" w:color="auto" w:sz="4" w:space="0"/>
              <w:right w:val="single" w:color="auto" w:sz="4" w:space="0"/>
            </w:tcBorders>
            <w:noWrap/>
            <w:vAlign w:val="center"/>
          </w:tcPr>
          <w:p w14:paraId="38639F4C">
            <w:pPr>
              <w:tabs>
                <w:tab w:val="left" w:pos="0"/>
                <w:tab w:val="left" w:pos="130"/>
              </w:tabs>
              <w:spacing w:line="360" w:lineRule="auto"/>
              <w:ind w:right="57"/>
              <w:jc w:val="center"/>
              <w:rPr>
                <w:kern w:val="2"/>
                <w:sz w:val="24"/>
                <w:szCs w:val="24"/>
                <w:highlight w:val="none"/>
              </w:rPr>
            </w:pPr>
            <w:r>
              <w:rPr>
                <w:rFonts w:hint="eastAsia"/>
                <w:kern w:val="2"/>
                <w:sz w:val="24"/>
                <w:szCs w:val="24"/>
                <w:highlight w:val="none"/>
                <w:lang w:val="en-US"/>
              </w:rPr>
              <w:t>7</w:t>
            </w:r>
          </w:p>
        </w:tc>
        <w:tc>
          <w:tcPr>
            <w:tcW w:w="1650" w:type="dxa"/>
            <w:tcBorders>
              <w:top w:val="single" w:color="auto" w:sz="4" w:space="0"/>
              <w:left w:val="single" w:color="auto" w:sz="4" w:space="0"/>
              <w:bottom w:val="single" w:color="auto" w:sz="4" w:space="0"/>
              <w:right w:val="single" w:color="auto" w:sz="4" w:space="0"/>
            </w:tcBorders>
            <w:noWrap/>
            <w:vAlign w:val="center"/>
          </w:tcPr>
          <w:p w14:paraId="697D5D9A">
            <w:pPr>
              <w:spacing w:line="360" w:lineRule="auto"/>
              <w:jc w:val="center"/>
              <w:rPr>
                <w:kern w:val="2"/>
                <w:sz w:val="24"/>
                <w:szCs w:val="24"/>
                <w:highlight w:val="none"/>
              </w:rPr>
            </w:pPr>
            <w:r>
              <w:rPr>
                <w:rFonts w:hint="eastAsia"/>
                <w:kern w:val="2"/>
                <w:sz w:val="24"/>
                <w:szCs w:val="24"/>
                <w:highlight w:val="none"/>
              </w:rPr>
              <w:t>盖章要求</w:t>
            </w:r>
          </w:p>
        </w:tc>
        <w:tc>
          <w:tcPr>
            <w:tcW w:w="7612" w:type="dxa"/>
            <w:tcBorders>
              <w:top w:val="single" w:color="auto" w:sz="4" w:space="0"/>
              <w:left w:val="single" w:color="auto" w:sz="4" w:space="0"/>
              <w:bottom w:val="single" w:color="auto" w:sz="4" w:space="0"/>
              <w:right w:val="single" w:color="auto" w:sz="4" w:space="0"/>
            </w:tcBorders>
            <w:noWrap/>
            <w:vAlign w:val="center"/>
          </w:tcPr>
          <w:p w14:paraId="67FE3CAD">
            <w:pPr>
              <w:spacing w:line="360" w:lineRule="auto"/>
              <w:rPr>
                <w:kern w:val="2"/>
                <w:sz w:val="24"/>
                <w:szCs w:val="24"/>
                <w:highlight w:val="none"/>
                <w:lang w:val="en-US"/>
              </w:rPr>
            </w:pPr>
            <w:r>
              <w:rPr>
                <w:rFonts w:hint="eastAsia"/>
                <w:b/>
                <w:bCs/>
                <w:kern w:val="2"/>
                <w:sz w:val="24"/>
                <w:szCs w:val="24"/>
                <w:highlight w:val="none"/>
              </w:rPr>
              <w:t>投标人投标文件中</w:t>
            </w:r>
            <w:r>
              <w:rPr>
                <w:rFonts w:hint="eastAsia"/>
                <w:b/>
                <w:bCs/>
                <w:kern w:val="2"/>
                <w:sz w:val="24"/>
                <w:szCs w:val="24"/>
                <w:highlight w:val="none"/>
                <w:lang w:val="en-US"/>
              </w:rPr>
              <w:t>签署</w:t>
            </w:r>
            <w:r>
              <w:rPr>
                <w:rFonts w:hint="eastAsia"/>
                <w:b/>
                <w:bCs/>
                <w:kern w:val="2"/>
                <w:sz w:val="24"/>
                <w:szCs w:val="24"/>
                <w:highlight w:val="none"/>
              </w:rPr>
              <w:t>的公章仅能使用与投标人名称一致的标准公章</w:t>
            </w:r>
            <w:r>
              <w:rPr>
                <w:rFonts w:hint="eastAsia"/>
                <w:kern w:val="2"/>
                <w:sz w:val="24"/>
                <w:szCs w:val="24"/>
                <w:highlight w:val="none"/>
              </w:rPr>
              <w:t>，不得使用其他形式（如带有“专用章”、“合同章”、“财务章”、“业务章”等字样）的印章；</w:t>
            </w:r>
            <w:r>
              <w:rPr>
                <w:rFonts w:hint="eastAsia"/>
                <w:b/>
                <w:bCs/>
                <w:kern w:val="2"/>
                <w:sz w:val="24"/>
                <w:szCs w:val="24"/>
                <w:highlight w:val="none"/>
              </w:rPr>
              <w:t>否则，按无效投标处理。</w:t>
            </w:r>
          </w:p>
        </w:tc>
      </w:tr>
      <w:tr w14:paraId="5B250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637" w:type="dxa"/>
            <w:tcBorders>
              <w:top w:val="single" w:color="auto" w:sz="4" w:space="0"/>
              <w:left w:val="single" w:color="auto" w:sz="4" w:space="0"/>
              <w:bottom w:val="single" w:color="auto" w:sz="4" w:space="0"/>
              <w:right w:val="single" w:color="auto" w:sz="4" w:space="0"/>
            </w:tcBorders>
            <w:noWrap/>
            <w:vAlign w:val="center"/>
          </w:tcPr>
          <w:p w14:paraId="7484DA3B">
            <w:pPr>
              <w:tabs>
                <w:tab w:val="left" w:pos="0"/>
                <w:tab w:val="left" w:pos="130"/>
              </w:tabs>
              <w:spacing w:line="360" w:lineRule="auto"/>
              <w:ind w:right="57"/>
              <w:jc w:val="center"/>
              <w:rPr>
                <w:kern w:val="2"/>
                <w:sz w:val="24"/>
                <w:szCs w:val="24"/>
                <w:highlight w:val="none"/>
                <w:lang w:val="en-US"/>
              </w:rPr>
            </w:pPr>
            <w:r>
              <w:rPr>
                <w:rFonts w:hint="eastAsia"/>
                <w:kern w:val="2"/>
                <w:sz w:val="24"/>
                <w:szCs w:val="24"/>
                <w:highlight w:val="none"/>
                <w:lang w:val="en-US"/>
              </w:rPr>
              <w:t>8</w:t>
            </w:r>
          </w:p>
        </w:tc>
        <w:tc>
          <w:tcPr>
            <w:tcW w:w="1650" w:type="dxa"/>
            <w:tcBorders>
              <w:top w:val="single" w:color="auto" w:sz="4" w:space="0"/>
              <w:left w:val="single" w:color="auto" w:sz="4" w:space="0"/>
              <w:bottom w:val="single" w:color="auto" w:sz="4" w:space="0"/>
              <w:right w:val="single" w:color="auto" w:sz="4" w:space="0"/>
            </w:tcBorders>
            <w:noWrap/>
            <w:vAlign w:val="center"/>
          </w:tcPr>
          <w:p w14:paraId="1F41DDB4">
            <w:pPr>
              <w:spacing w:line="360" w:lineRule="auto"/>
              <w:jc w:val="center"/>
              <w:rPr>
                <w:kern w:val="2"/>
                <w:sz w:val="24"/>
                <w:szCs w:val="24"/>
                <w:highlight w:val="none"/>
                <w:lang w:val="en-US"/>
              </w:rPr>
            </w:pPr>
            <w:r>
              <w:rPr>
                <w:rFonts w:hint="eastAsia"/>
                <w:kern w:val="2"/>
                <w:sz w:val="24"/>
                <w:szCs w:val="24"/>
                <w:highlight w:val="none"/>
                <w:lang w:val="en-US"/>
              </w:rPr>
              <w:t>本项目所属行业</w:t>
            </w:r>
          </w:p>
        </w:tc>
        <w:tc>
          <w:tcPr>
            <w:tcW w:w="7612" w:type="dxa"/>
            <w:tcBorders>
              <w:top w:val="single" w:color="auto" w:sz="4" w:space="0"/>
              <w:left w:val="single" w:color="auto" w:sz="4" w:space="0"/>
              <w:bottom w:val="single" w:color="auto" w:sz="4" w:space="0"/>
              <w:right w:val="single" w:color="auto" w:sz="4" w:space="0"/>
            </w:tcBorders>
            <w:noWrap/>
            <w:vAlign w:val="center"/>
          </w:tcPr>
          <w:p w14:paraId="78B821BD">
            <w:pPr>
              <w:spacing w:line="360" w:lineRule="auto"/>
              <w:rPr>
                <w:b/>
                <w:bCs/>
                <w:kern w:val="2"/>
                <w:sz w:val="24"/>
                <w:szCs w:val="24"/>
                <w:highlight w:val="none"/>
              </w:rPr>
            </w:pPr>
            <w:r>
              <w:rPr>
                <w:rFonts w:hint="eastAsia"/>
                <w:sz w:val="24"/>
                <w:szCs w:val="24"/>
                <w:highlight w:val="none"/>
                <w:lang w:val="en-US"/>
              </w:rPr>
              <w:t>软件和信息技术服务</w:t>
            </w:r>
            <w:r>
              <w:rPr>
                <w:rFonts w:hint="eastAsia"/>
                <w:bCs/>
                <w:kern w:val="2"/>
                <w:sz w:val="24"/>
                <w:szCs w:val="24"/>
                <w:highlight w:val="none"/>
              </w:rPr>
              <w:t>业</w:t>
            </w:r>
          </w:p>
        </w:tc>
      </w:tr>
    </w:tbl>
    <w:p w14:paraId="35872041">
      <w:pPr>
        <w:spacing w:line="360" w:lineRule="auto"/>
        <w:rPr>
          <w:sz w:val="24"/>
          <w:szCs w:val="24"/>
          <w:highlight w:val="none"/>
        </w:rPr>
      </w:pPr>
      <w:r>
        <w:rPr>
          <w:rFonts w:hint="eastAsia"/>
          <w:sz w:val="24"/>
          <w:szCs w:val="24"/>
          <w:highlight w:val="none"/>
        </w:rPr>
        <w:br w:type="page"/>
      </w:r>
    </w:p>
    <w:p w14:paraId="14695A0B">
      <w:pPr>
        <w:pStyle w:val="3"/>
        <w:adjustRightInd w:val="0"/>
        <w:snapToGrid w:val="0"/>
        <w:spacing w:line="360" w:lineRule="auto"/>
        <w:ind w:left="0" w:right="0" w:firstLine="0"/>
        <w:jc w:val="left"/>
        <w:rPr>
          <w:sz w:val="24"/>
          <w:szCs w:val="24"/>
          <w:highlight w:val="none"/>
          <w:u w:val="none"/>
        </w:rPr>
      </w:pPr>
      <w:bookmarkStart w:id="27" w:name="_Toc225524663"/>
      <w:r>
        <w:rPr>
          <w:rFonts w:hint="eastAsia"/>
          <w:sz w:val="24"/>
          <w:szCs w:val="24"/>
          <w:highlight w:val="none"/>
          <w:u w:val="none"/>
        </w:rPr>
        <w:t>一、总</w:t>
      </w:r>
      <w:r>
        <w:rPr>
          <w:rFonts w:hint="eastAsia"/>
          <w:sz w:val="24"/>
          <w:szCs w:val="24"/>
          <w:highlight w:val="none"/>
          <w:u w:val="none"/>
        </w:rPr>
        <w:tab/>
      </w:r>
      <w:r>
        <w:rPr>
          <w:rFonts w:hint="eastAsia"/>
          <w:sz w:val="24"/>
          <w:szCs w:val="24"/>
          <w:highlight w:val="none"/>
          <w:u w:val="none"/>
        </w:rPr>
        <w:t>则</w:t>
      </w:r>
      <w:bookmarkEnd w:id="27"/>
    </w:p>
    <w:p w14:paraId="23EE0B7C">
      <w:pPr>
        <w:pStyle w:val="4"/>
        <w:adjustRightInd w:val="0"/>
        <w:snapToGrid w:val="0"/>
        <w:spacing w:line="360" w:lineRule="auto"/>
        <w:ind w:firstLine="482" w:firstLineChars="200"/>
        <w:jc w:val="left"/>
        <w:rPr>
          <w:rFonts w:ascii="宋体" w:eastAsia="宋体" w:cs="宋体"/>
          <w:b/>
          <w:bCs/>
          <w:sz w:val="24"/>
          <w:szCs w:val="24"/>
          <w:highlight w:val="none"/>
        </w:rPr>
      </w:pPr>
      <w:bookmarkStart w:id="28" w:name="__1、适用法律"/>
      <w:bookmarkEnd w:id="28"/>
      <w:r>
        <w:rPr>
          <w:rFonts w:hint="eastAsia" w:ascii="宋体" w:eastAsia="宋体" w:cs="宋体"/>
          <w:b/>
          <w:bCs/>
          <w:sz w:val="24"/>
          <w:szCs w:val="24"/>
          <w:highlight w:val="none"/>
        </w:rPr>
        <w:t>1、适用法律</w:t>
      </w:r>
    </w:p>
    <w:p w14:paraId="3668D45C">
      <w:pPr>
        <w:adjustRightInd w:val="0"/>
        <w:snapToGrid w:val="0"/>
        <w:spacing w:line="360" w:lineRule="auto"/>
        <w:ind w:firstLine="480" w:firstLineChars="200"/>
        <w:rPr>
          <w:sz w:val="24"/>
          <w:szCs w:val="24"/>
          <w:highlight w:val="none"/>
        </w:rPr>
      </w:pPr>
      <w:r>
        <w:rPr>
          <w:rFonts w:hint="eastAsia"/>
          <w:sz w:val="24"/>
          <w:szCs w:val="24"/>
          <w:highlight w:val="none"/>
        </w:rPr>
        <w:t>1.1国家、江苏省、南京市有关法律、规章和规定。</w:t>
      </w:r>
    </w:p>
    <w:p w14:paraId="48448CA4">
      <w:pPr>
        <w:pStyle w:val="4"/>
        <w:adjustRightInd w:val="0"/>
        <w:snapToGrid w:val="0"/>
        <w:spacing w:line="360" w:lineRule="auto"/>
        <w:ind w:firstLine="482" w:firstLineChars="200"/>
        <w:jc w:val="left"/>
        <w:rPr>
          <w:rFonts w:ascii="宋体" w:eastAsia="宋体" w:cs="宋体"/>
          <w:b/>
          <w:bCs/>
          <w:sz w:val="24"/>
          <w:szCs w:val="24"/>
          <w:highlight w:val="none"/>
        </w:rPr>
      </w:pPr>
      <w:bookmarkStart w:id="29" w:name="__2、定义"/>
      <w:bookmarkEnd w:id="29"/>
      <w:r>
        <w:rPr>
          <w:rFonts w:hint="eastAsia" w:ascii="宋体" w:eastAsia="宋体" w:cs="宋体"/>
          <w:b/>
          <w:bCs/>
          <w:sz w:val="24"/>
          <w:szCs w:val="24"/>
          <w:highlight w:val="none"/>
        </w:rPr>
        <w:t>2、定义</w:t>
      </w:r>
    </w:p>
    <w:p w14:paraId="6209A0A9">
      <w:pPr>
        <w:adjustRightInd w:val="0"/>
        <w:snapToGrid w:val="0"/>
        <w:spacing w:line="360" w:lineRule="auto"/>
        <w:ind w:firstLine="480" w:firstLineChars="200"/>
        <w:rPr>
          <w:sz w:val="24"/>
          <w:szCs w:val="24"/>
          <w:highlight w:val="none"/>
        </w:rPr>
      </w:pPr>
      <w:r>
        <w:rPr>
          <w:rFonts w:hint="eastAsia"/>
          <w:sz w:val="24"/>
          <w:szCs w:val="24"/>
          <w:highlight w:val="none"/>
        </w:rPr>
        <w:t>2</w:t>
      </w:r>
      <w:r>
        <w:rPr>
          <w:sz w:val="24"/>
          <w:szCs w:val="24"/>
          <w:highlight w:val="none"/>
          <w:lang w:val="en-US"/>
        </w:rPr>
        <w:t>.1</w:t>
      </w:r>
      <w:r>
        <w:rPr>
          <w:rFonts w:hint="eastAsia"/>
          <w:sz w:val="24"/>
          <w:szCs w:val="24"/>
          <w:highlight w:val="none"/>
        </w:rPr>
        <w:t>“投标人”是指响应招标、参加投标竞争的法人、其他组织或者自然人。</w:t>
      </w:r>
    </w:p>
    <w:p w14:paraId="6A9C638E">
      <w:pPr>
        <w:adjustRightInd w:val="0"/>
        <w:snapToGrid w:val="0"/>
        <w:spacing w:line="360" w:lineRule="auto"/>
        <w:ind w:firstLine="480" w:firstLineChars="200"/>
        <w:rPr>
          <w:sz w:val="24"/>
          <w:szCs w:val="24"/>
          <w:highlight w:val="none"/>
        </w:rPr>
      </w:pPr>
      <w:r>
        <w:rPr>
          <w:rFonts w:hint="eastAsia"/>
          <w:sz w:val="24"/>
          <w:szCs w:val="24"/>
          <w:highlight w:val="none"/>
        </w:rPr>
        <w:t>2</w:t>
      </w:r>
      <w:r>
        <w:rPr>
          <w:sz w:val="24"/>
          <w:szCs w:val="24"/>
          <w:highlight w:val="none"/>
          <w:lang w:val="en-US"/>
        </w:rPr>
        <w:t>.2</w:t>
      </w:r>
      <w:r>
        <w:rPr>
          <w:rFonts w:hint="eastAsia"/>
          <w:sz w:val="24"/>
          <w:szCs w:val="24"/>
          <w:highlight w:val="none"/>
        </w:rPr>
        <w:t>“货物和服务”指本采购文件中所述产品及相关服务。</w:t>
      </w:r>
    </w:p>
    <w:p w14:paraId="530A2611">
      <w:pPr>
        <w:adjustRightInd w:val="0"/>
        <w:snapToGrid w:val="0"/>
        <w:spacing w:line="360" w:lineRule="auto"/>
        <w:ind w:firstLine="480" w:firstLineChars="200"/>
        <w:rPr>
          <w:sz w:val="24"/>
          <w:szCs w:val="24"/>
          <w:highlight w:val="none"/>
        </w:rPr>
      </w:pPr>
      <w:r>
        <w:rPr>
          <w:rFonts w:hint="eastAsia"/>
          <w:sz w:val="24"/>
          <w:szCs w:val="24"/>
          <w:highlight w:val="none"/>
        </w:rPr>
        <w:t>2</w:t>
      </w:r>
      <w:r>
        <w:rPr>
          <w:sz w:val="24"/>
          <w:szCs w:val="24"/>
          <w:highlight w:val="none"/>
          <w:lang w:val="en-US"/>
        </w:rPr>
        <w:t>.3</w:t>
      </w:r>
      <w:r>
        <w:rPr>
          <w:rFonts w:hint="eastAsia"/>
          <w:sz w:val="24"/>
          <w:szCs w:val="24"/>
          <w:highlight w:val="none"/>
        </w:rPr>
        <w:t>“用户或使用单位”是指本项目采购人。</w:t>
      </w:r>
    </w:p>
    <w:p w14:paraId="48A37F70">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rPr>
        <w:t>3、政策功能</w:t>
      </w:r>
    </w:p>
    <w:p w14:paraId="09BD1F89">
      <w:pPr>
        <w:pStyle w:val="26"/>
        <w:numPr>
          <w:ilvl w:val="1"/>
          <w:numId w:val="6"/>
        </w:numPr>
        <w:adjustRightInd w:val="0"/>
        <w:snapToGrid w:val="0"/>
        <w:spacing w:line="360" w:lineRule="auto"/>
        <w:ind w:left="0" w:firstLine="482" w:firstLineChars="200"/>
        <w:rPr>
          <w:b/>
          <w:bCs/>
          <w:sz w:val="24"/>
          <w:szCs w:val="24"/>
          <w:highlight w:val="none"/>
        </w:rPr>
      </w:pPr>
      <w:r>
        <w:rPr>
          <w:rFonts w:hint="eastAsia"/>
          <w:b/>
          <w:bCs/>
          <w:sz w:val="24"/>
          <w:szCs w:val="24"/>
          <w:highlight w:val="none"/>
        </w:rPr>
        <w:t>中小企业政策</w:t>
      </w:r>
    </w:p>
    <w:p w14:paraId="5EFE6A47">
      <w:pPr>
        <w:numPr>
          <w:ilvl w:val="0"/>
          <w:numId w:val="7"/>
        </w:numPr>
        <w:spacing w:line="360" w:lineRule="auto"/>
        <w:ind w:firstLine="480" w:firstLineChars="200"/>
        <w:rPr>
          <w:sz w:val="24"/>
          <w:szCs w:val="24"/>
          <w:highlight w:val="none"/>
          <w:lang w:val="en-US"/>
        </w:rPr>
      </w:pPr>
      <w:bookmarkStart w:id="30" w:name="_Hlk66864185"/>
      <w:r>
        <w:rPr>
          <w:rFonts w:hint="eastAsia"/>
          <w:sz w:val="24"/>
          <w:szCs w:val="24"/>
          <w:highlight w:val="none"/>
          <w:lang w:val="en-US"/>
        </w:rPr>
        <w:t>中小企业（含中型、小型、微型企业）应当符合《政府采购促进中小企业发展管理办法》（财库〔</w:t>
      </w:r>
      <w:r>
        <w:rPr>
          <w:sz w:val="24"/>
          <w:szCs w:val="24"/>
          <w:highlight w:val="none"/>
          <w:lang w:val="en-US"/>
        </w:rPr>
        <w:t>2020〕46号）</w:t>
      </w:r>
      <w:r>
        <w:rPr>
          <w:rFonts w:hint="eastAsia"/>
          <w:sz w:val="24"/>
          <w:szCs w:val="24"/>
          <w:highlight w:val="none"/>
          <w:lang w:val="en-US"/>
        </w:rPr>
        <w:t>第二条、《关于政府采购支持监狱企业发展有关问题的通知》（财库〔2014〕68号）第一条或《关于促进残疾人就业政府采购政策的通知》（财库〔2017〕141 号）第一条的规定。</w:t>
      </w:r>
    </w:p>
    <w:p w14:paraId="0230755B">
      <w:pPr>
        <w:numPr>
          <w:ilvl w:val="0"/>
          <w:numId w:val="7"/>
        </w:numPr>
        <w:spacing w:line="360" w:lineRule="auto"/>
        <w:ind w:firstLine="480" w:firstLineChars="200"/>
        <w:rPr>
          <w:sz w:val="24"/>
          <w:szCs w:val="24"/>
          <w:highlight w:val="none"/>
          <w:lang w:val="en-US"/>
        </w:rPr>
      </w:pPr>
      <w:r>
        <w:rPr>
          <w:rFonts w:hint="eastAsia"/>
          <w:sz w:val="24"/>
          <w:szCs w:val="24"/>
          <w:highlight w:val="none"/>
          <w:lang w:val="en-US"/>
        </w:rPr>
        <w:t>参加政府采购活动的中小企业应当提供《中小企业声明函》、由省级以上监狱管理局戒毒管理局(含新疆生产建设兵团)出具的属于监狱企业的证明文件或《残疾人福利性单位声明函》。</w:t>
      </w:r>
    </w:p>
    <w:p w14:paraId="76D42264">
      <w:pPr>
        <w:numPr>
          <w:ilvl w:val="0"/>
          <w:numId w:val="7"/>
        </w:numPr>
        <w:spacing w:line="360" w:lineRule="auto"/>
        <w:ind w:firstLine="480" w:firstLineChars="200"/>
        <w:rPr>
          <w:sz w:val="24"/>
          <w:szCs w:val="24"/>
          <w:highlight w:val="none"/>
          <w:lang w:val="en-US"/>
        </w:rPr>
      </w:pPr>
      <w:r>
        <w:rPr>
          <w:rFonts w:hint="eastAsia"/>
          <w:sz w:val="24"/>
          <w:szCs w:val="24"/>
          <w:highlight w:val="none"/>
          <w:lang w:val="en-US"/>
        </w:rPr>
        <w:t>对于接受投标人以联合体形式参加采购活动的项目，小微型企业联合体应当符合《政府采购促进中小企业发展管理办法》（财库〔</w:t>
      </w:r>
      <w:r>
        <w:rPr>
          <w:sz w:val="24"/>
          <w:szCs w:val="24"/>
          <w:highlight w:val="none"/>
          <w:lang w:val="en-US"/>
        </w:rPr>
        <w:t>2020〕46号）</w:t>
      </w:r>
      <w:r>
        <w:rPr>
          <w:rFonts w:hint="eastAsia"/>
          <w:sz w:val="24"/>
          <w:szCs w:val="24"/>
          <w:highlight w:val="none"/>
          <w:lang w:val="en-US"/>
        </w:rPr>
        <w:t>第九条的规定。对于联合</w:t>
      </w:r>
      <w:r>
        <w:rPr>
          <w:sz w:val="24"/>
          <w:szCs w:val="24"/>
          <w:highlight w:val="none"/>
          <w:lang w:val="en-US"/>
        </w:rPr>
        <w:t>协议或者分包意向协议约定小微企业的合同份额占到合同总金额30%以上的</w:t>
      </w:r>
      <w:r>
        <w:rPr>
          <w:rFonts w:hint="eastAsia"/>
          <w:sz w:val="24"/>
          <w:szCs w:val="24"/>
          <w:highlight w:val="none"/>
          <w:lang w:val="en-US"/>
        </w:rPr>
        <w:t>，给予联合体2%的价格扣除。</w:t>
      </w:r>
    </w:p>
    <w:p w14:paraId="792939E0">
      <w:pPr>
        <w:numPr>
          <w:ilvl w:val="0"/>
          <w:numId w:val="7"/>
        </w:numPr>
        <w:spacing w:line="360" w:lineRule="auto"/>
        <w:ind w:firstLine="480" w:firstLineChars="200"/>
        <w:rPr>
          <w:sz w:val="24"/>
          <w:szCs w:val="24"/>
          <w:highlight w:val="none"/>
          <w:lang w:val="en-US"/>
        </w:rPr>
      </w:pPr>
      <w:r>
        <w:rPr>
          <w:rFonts w:hint="eastAsia"/>
          <w:sz w:val="24"/>
          <w:szCs w:val="24"/>
          <w:highlight w:val="none"/>
          <w:lang w:val="en-US"/>
        </w:rPr>
        <w:t>中小企业依据《政府采购促进中小企业发展管理办法》（财库〔</w:t>
      </w:r>
      <w:r>
        <w:rPr>
          <w:sz w:val="24"/>
          <w:szCs w:val="24"/>
          <w:highlight w:val="none"/>
          <w:lang w:val="en-US"/>
        </w:rPr>
        <w:t>2020〕46号）</w:t>
      </w:r>
      <w:r>
        <w:rPr>
          <w:rFonts w:hint="eastAsia"/>
          <w:sz w:val="24"/>
          <w:szCs w:val="24"/>
          <w:highlight w:val="none"/>
          <w:lang w:val="en-US"/>
        </w:rPr>
        <w:t>规定的政策获取政府采购合同后，小型、微型企业不得分包或转包给大型、中型企业，中型企业不得分包或转包给大型企业。</w:t>
      </w:r>
    </w:p>
    <w:p w14:paraId="6C5D1785">
      <w:pPr>
        <w:numPr>
          <w:ilvl w:val="0"/>
          <w:numId w:val="7"/>
        </w:numPr>
        <w:spacing w:line="360" w:lineRule="auto"/>
        <w:ind w:firstLine="480" w:firstLineChars="200"/>
        <w:rPr>
          <w:sz w:val="24"/>
          <w:szCs w:val="24"/>
          <w:highlight w:val="none"/>
          <w:lang w:val="en-US"/>
        </w:rPr>
      </w:pPr>
      <w:r>
        <w:rPr>
          <w:rFonts w:hint="eastAsia"/>
          <w:sz w:val="24"/>
          <w:szCs w:val="24"/>
          <w:highlight w:val="none"/>
          <w:lang w:val="en-US"/>
        </w:rPr>
        <w:t>未按要求提供相关材料的，不享受相关政策。</w:t>
      </w:r>
    </w:p>
    <w:bookmarkEnd w:id="30"/>
    <w:p w14:paraId="12702CB1">
      <w:pPr>
        <w:pStyle w:val="26"/>
        <w:numPr>
          <w:ilvl w:val="1"/>
          <w:numId w:val="6"/>
        </w:numPr>
        <w:adjustRightInd w:val="0"/>
        <w:snapToGrid w:val="0"/>
        <w:spacing w:line="360" w:lineRule="auto"/>
        <w:ind w:left="0" w:firstLine="482" w:firstLineChars="200"/>
        <w:rPr>
          <w:b/>
          <w:bCs/>
          <w:sz w:val="24"/>
          <w:szCs w:val="24"/>
          <w:highlight w:val="none"/>
        </w:rPr>
      </w:pPr>
      <w:r>
        <w:rPr>
          <w:rFonts w:hint="eastAsia"/>
          <w:b/>
          <w:bCs/>
          <w:sz w:val="24"/>
          <w:szCs w:val="24"/>
          <w:highlight w:val="none"/>
          <w:lang w:val="en-US"/>
        </w:rPr>
        <w:t>信息安全产品政策</w:t>
      </w:r>
    </w:p>
    <w:p w14:paraId="179DEBA0">
      <w:pPr>
        <w:numPr>
          <w:ilvl w:val="0"/>
          <w:numId w:val="8"/>
        </w:numPr>
        <w:spacing w:line="360" w:lineRule="auto"/>
        <w:ind w:firstLine="480" w:firstLineChars="200"/>
        <w:rPr>
          <w:sz w:val="24"/>
          <w:szCs w:val="24"/>
          <w:highlight w:val="none"/>
          <w:lang w:val="en-US"/>
        </w:rPr>
      </w:pPr>
      <w:r>
        <w:rPr>
          <w:rFonts w:hint="eastAsia"/>
          <w:sz w:val="24"/>
          <w:szCs w:val="24"/>
          <w:highlight w:val="none"/>
          <w:lang w:val="en-US"/>
        </w:rPr>
        <w:t>信息安全产品是指列入国家质检总局、国家认监委《信息安全产品强制性认证目录》，并获得强制性产品认证证书的产品。</w:t>
      </w:r>
    </w:p>
    <w:p w14:paraId="4ECDEF26">
      <w:pPr>
        <w:numPr>
          <w:ilvl w:val="0"/>
          <w:numId w:val="8"/>
        </w:numPr>
        <w:spacing w:line="360" w:lineRule="auto"/>
        <w:ind w:firstLine="480" w:firstLineChars="200"/>
        <w:rPr>
          <w:sz w:val="24"/>
          <w:szCs w:val="24"/>
          <w:highlight w:val="none"/>
          <w:lang w:val="en-US"/>
        </w:rPr>
      </w:pPr>
      <w:r>
        <w:rPr>
          <w:rFonts w:hint="eastAsia"/>
          <w:sz w:val="24"/>
          <w:szCs w:val="24"/>
          <w:highlight w:val="none"/>
          <w:lang w:val="en-US"/>
        </w:rPr>
        <w:t>提供的产品属于信息安全产品的，投标人应当选择经国家认证的信息安全产品投标，</w:t>
      </w:r>
      <w:r>
        <w:rPr>
          <w:rFonts w:hint="eastAsia"/>
          <w:b/>
          <w:bCs/>
          <w:sz w:val="24"/>
          <w:szCs w:val="24"/>
          <w:highlight w:val="none"/>
          <w:lang w:val="en-US"/>
        </w:rPr>
        <w:t>并提供由中国信息安全认证中心按国家标准认证颁发的有效认证证书扫描件</w:t>
      </w:r>
      <w:r>
        <w:rPr>
          <w:rFonts w:hint="eastAsia"/>
          <w:sz w:val="24"/>
          <w:szCs w:val="24"/>
          <w:highlight w:val="none"/>
          <w:lang w:val="en-US"/>
        </w:rPr>
        <w:t>。</w:t>
      </w:r>
    </w:p>
    <w:p w14:paraId="2DCC419A">
      <w:pPr>
        <w:pStyle w:val="26"/>
        <w:numPr>
          <w:ilvl w:val="1"/>
          <w:numId w:val="6"/>
        </w:numPr>
        <w:adjustRightInd w:val="0"/>
        <w:snapToGrid w:val="0"/>
        <w:spacing w:line="360" w:lineRule="auto"/>
        <w:ind w:left="0" w:firstLine="482" w:firstLineChars="200"/>
        <w:rPr>
          <w:b/>
          <w:bCs/>
          <w:sz w:val="24"/>
          <w:szCs w:val="24"/>
          <w:highlight w:val="none"/>
        </w:rPr>
      </w:pPr>
      <w:r>
        <w:rPr>
          <w:rFonts w:hint="eastAsia"/>
          <w:b/>
          <w:bCs/>
          <w:sz w:val="24"/>
          <w:szCs w:val="24"/>
          <w:highlight w:val="none"/>
        </w:rPr>
        <w:t>节能产品政策</w:t>
      </w:r>
    </w:p>
    <w:p w14:paraId="11BE2B98">
      <w:pPr>
        <w:numPr>
          <w:ilvl w:val="0"/>
          <w:numId w:val="9"/>
        </w:numPr>
        <w:spacing w:line="360" w:lineRule="auto"/>
        <w:ind w:firstLine="480" w:firstLineChars="200"/>
        <w:rPr>
          <w:sz w:val="24"/>
          <w:szCs w:val="24"/>
          <w:highlight w:val="none"/>
          <w:lang w:val="en-US"/>
        </w:rPr>
      </w:pPr>
      <w:r>
        <w:rPr>
          <w:rFonts w:hint="eastAsia"/>
          <w:sz w:val="24"/>
          <w:szCs w:val="24"/>
          <w:highlight w:val="none"/>
          <w:lang w:val="en-US"/>
        </w:rPr>
        <w:t>节能产品是指列入财政部、国家发展和改革委员会制定的节能产品品目政府采购清单，且经过认证的节能产品；</w:t>
      </w:r>
    </w:p>
    <w:p w14:paraId="5657E964">
      <w:pPr>
        <w:numPr>
          <w:ilvl w:val="0"/>
          <w:numId w:val="9"/>
        </w:numPr>
        <w:spacing w:line="360" w:lineRule="auto"/>
        <w:ind w:firstLine="480" w:firstLineChars="200"/>
        <w:rPr>
          <w:sz w:val="24"/>
          <w:szCs w:val="24"/>
          <w:highlight w:val="none"/>
          <w:lang w:val="en-US"/>
        </w:rPr>
      </w:pPr>
      <w:r>
        <w:rPr>
          <w:rFonts w:hint="eastAsia"/>
          <w:sz w:val="24"/>
          <w:szCs w:val="24"/>
          <w:highlight w:val="none"/>
          <w:lang w:val="en-US"/>
        </w:rPr>
        <w:t>拟采购产品属于节能产品政府采购清单规定必须强制采购的，实行强制采购。</w:t>
      </w:r>
    </w:p>
    <w:p w14:paraId="023189E5">
      <w:pPr>
        <w:numPr>
          <w:ilvl w:val="0"/>
          <w:numId w:val="9"/>
        </w:numPr>
        <w:spacing w:line="360" w:lineRule="auto"/>
        <w:ind w:firstLine="480" w:firstLineChars="200"/>
        <w:rPr>
          <w:sz w:val="24"/>
          <w:szCs w:val="24"/>
          <w:highlight w:val="none"/>
          <w:lang w:val="en-US"/>
        </w:rPr>
      </w:pPr>
      <w:r>
        <w:rPr>
          <w:rFonts w:hint="eastAsia"/>
          <w:sz w:val="24"/>
          <w:szCs w:val="24"/>
          <w:highlight w:val="none"/>
          <w:lang w:val="en-US"/>
        </w:rPr>
        <w:t>拟采购产品属于节能产品政府采购清单规定优先采购的，在技术、服务等指标同等条件下，实行优先采购，优先采购的要求详见第四章评标标准说明内容。</w:t>
      </w:r>
    </w:p>
    <w:p w14:paraId="40C53338">
      <w:pPr>
        <w:numPr>
          <w:ilvl w:val="0"/>
          <w:numId w:val="9"/>
        </w:numPr>
        <w:spacing w:line="360" w:lineRule="auto"/>
        <w:ind w:firstLine="480" w:firstLineChars="200"/>
        <w:rPr>
          <w:sz w:val="24"/>
          <w:szCs w:val="24"/>
          <w:highlight w:val="none"/>
          <w:lang w:val="en-US"/>
        </w:rPr>
      </w:pPr>
      <w:r>
        <w:rPr>
          <w:rFonts w:hint="eastAsia"/>
          <w:sz w:val="24"/>
          <w:szCs w:val="24"/>
          <w:highlight w:val="none"/>
          <w:lang w:val="en-US"/>
        </w:rPr>
        <w:t>参加政府采购活动的节能产品投标人应当提供有效的节能产品认证证书扫描件。</w:t>
      </w:r>
    </w:p>
    <w:p w14:paraId="1D2E8DC1">
      <w:pPr>
        <w:numPr>
          <w:ilvl w:val="0"/>
          <w:numId w:val="9"/>
        </w:numPr>
        <w:spacing w:line="360" w:lineRule="auto"/>
        <w:ind w:firstLine="480" w:firstLineChars="200"/>
        <w:rPr>
          <w:sz w:val="24"/>
          <w:szCs w:val="24"/>
          <w:highlight w:val="none"/>
          <w:lang w:val="en-US"/>
        </w:rPr>
      </w:pPr>
      <w:r>
        <w:rPr>
          <w:rFonts w:hint="eastAsia"/>
          <w:sz w:val="24"/>
          <w:szCs w:val="24"/>
          <w:highlight w:val="none"/>
          <w:lang w:val="en-US"/>
        </w:rPr>
        <w:t>未按要求提供相关材料的，不享受相关政策。</w:t>
      </w:r>
    </w:p>
    <w:p w14:paraId="1D18073C">
      <w:pPr>
        <w:pStyle w:val="26"/>
        <w:numPr>
          <w:ilvl w:val="1"/>
          <w:numId w:val="6"/>
        </w:numPr>
        <w:adjustRightInd w:val="0"/>
        <w:snapToGrid w:val="0"/>
        <w:spacing w:line="360" w:lineRule="auto"/>
        <w:ind w:left="0" w:firstLine="482" w:firstLineChars="200"/>
        <w:rPr>
          <w:b/>
          <w:bCs/>
          <w:sz w:val="24"/>
          <w:szCs w:val="24"/>
          <w:highlight w:val="none"/>
        </w:rPr>
      </w:pPr>
      <w:r>
        <w:rPr>
          <w:rFonts w:hint="eastAsia"/>
          <w:b/>
          <w:bCs/>
          <w:sz w:val="24"/>
          <w:szCs w:val="24"/>
          <w:highlight w:val="none"/>
        </w:rPr>
        <w:t>环境标志产品政策</w:t>
      </w:r>
    </w:p>
    <w:p w14:paraId="7EE609C9">
      <w:pPr>
        <w:numPr>
          <w:ilvl w:val="0"/>
          <w:numId w:val="10"/>
        </w:numPr>
        <w:spacing w:line="360" w:lineRule="auto"/>
        <w:ind w:firstLine="480" w:firstLineChars="200"/>
        <w:rPr>
          <w:sz w:val="24"/>
          <w:szCs w:val="24"/>
          <w:highlight w:val="none"/>
          <w:lang w:val="en-US"/>
        </w:rPr>
      </w:pPr>
      <w:r>
        <w:rPr>
          <w:rFonts w:hint="eastAsia"/>
          <w:sz w:val="24"/>
          <w:szCs w:val="24"/>
          <w:highlight w:val="none"/>
          <w:lang w:val="en-US"/>
        </w:rPr>
        <w:t>环境标志产品是指列入财政部、生态环境部制定的环境标志产品品目政府采购清单，且经过认证的环境标志产品；</w:t>
      </w:r>
    </w:p>
    <w:p w14:paraId="618143D2">
      <w:pPr>
        <w:numPr>
          <w:ilvl w:val="0"/>
          <w:numId w:val="10"/>
        </w:numPr>
        <w:spacing w:line="360" w:lineRule="auto"/>
        <w:ind w:firstLine="480" w:firstLineChars="200"/>
        <w:rPr>
          <w:sz w:val="24"/>
          <w:szCs w:val="24"/>
          <w:highlight w:val="none"/>
          <w:lang w:val="en-US"/>
        </w:rPr>
      </w:pPr>
      <w:r>
        <w:rPr>
          <w:rFonts w:hint="eastAsia"/>
          <w:sz w:val="24"/>
          <w:szCs w:val="24"/>
          <w:highlight w:val="none"/>
          <w:lang w:val="en-US"/>
        </w:rPr>
        <w:t>拟采购产品属于环境标志产品政府采购清单规定优先采购的，在性能、技术、服务等指标同等条件下，实行优先采购，优先采购的要求详见第四章评标标准说明内容。</w:t>
      </w:r>
    </w:p>
    <w:p w14:paraId="4E669CAF">
      <w:pPr>
        <w:numPr>
          <w:ilvl w:val="0"/>
          <w:numId w:val="10"/>
        </w:numPr>
        <w:spacing w:line="360" w:lineRule="auto"/>
        <w:ind w:firstLine="480" w:firstLineChars="200"/>
        <w:rPr>
          <w:sz w:val="24"/>
          <w:szCs w:val="24"/>
          <w:highlight w:val="none"/>
          <w:lang w:val="en-US"/>
        </w:rPr>
      </w:pPr>
      <w:r>
        <w:rPr>
          <w:rFonts w:hint="eastAsia"/>
          <w:sz w:val="24"/>
          <w:szCs w:val="24"/>
          <w:highlight w:val="none"/>
          <w:lang w:val="en-US"/>
        </w:rPr>
        <w:t>参加政府采购活动的环境标志产品应当提供有效的环境标志产品认证证书扫描件。</w:t>
      </w:r>
    </w:p>
    <w:p w14:paraId="336BAAF3">
      <w:pPr>
        <w:numPr>
          <w:ilvl w:val="0"/>
          <w:numId w:val="10"/>
        </w:numPr>
        <w:spacing w:line="360" w:lineRule="auto"/>
        <w:ind w:firstLine="480" w:firstLineChars="200"/>
        <w:rPr>
          <w:sz w:val="24"/>
          <w:szCs w:val="24"/>
          <w:highlight w:val="none"/>
          <w:lang w:val="en-US"/>
        </w:rPr>
      </w:pPr>
      <w:r>
        <w:rPr>
          <w:rFonts w:hint="eastAsia"/>
          <w:sz w:val="24"/>
          <w:szCs w:val="24"/>
          <w:highlight w:val="none"/>
          <w:lang w:val="en-US"/>
        </w:rPr>
        <w:t>未按要求提供相关材料的，不享受相关政策。</w:t>
      </w:r>
    </w:p>
    <w:p w14:paraId="613EC662">
      <w:pPr>
        <w:pStyle w:val="26"/>
        <w:numPr>
          <w:ilvl w:val="1"/>
          <w:numId w:val="6"/>
        </w:numPr>
        <w:adjustRightInd w:val="0"/>
        <w:snapToGrid w:val="0"/>
        <w:spacing w:line="360" w:lineRule="auto"/>
        <w:ind w:left="0" w:firstLine="482" w:firstLineChars="200"/>
        <w:rPr>
          <w:b/>
          <w:bCs/>
          <w:sz w:val="24"/>
          <w:szCs w:val="24"/>
          <w:highlight w:val="none"/>
        </w:rPr>
      </w:pPr>
      <w:r>
        <w:rPr>
          <w:rFonts w:hint="eastAsia"/>
          <w:b/>
          <w:bCs/>
          <w:sz w:val="24"/>
          <w:szCs w:val="24"/>
          <w:highlight w:val="none"/>
        </w:rPr>
        <w:t>进口产品政策</w:t>
      </w:r>
    </w:p>
    <w:p w14:paraId="342FDBE7">
      <w:pPr>
        <w:numPr>
          <w:ilvl w:val="0"/>
          <w:numId w:val="11"/>
        </w:numPr>
        <w:spacing w:line="360" w:lineRule="auto"/>
        <w:ind w:firstLine="480" w:firstLineChars="200"/>
        <w:rPr>
          <w:sz w:val="24"/>
          <w:szCs w:val="24"/>
          <w:highlight w:val="none"/>
          <w:lang w:val="en-US"/>
        </w:rPr>
      </w:pPr>
      <w:r>
        <w:rPr>
          <w:rFonts w:hint="eastAsia"/>
          <w:sz w:val="24"/>
          <w:szCs w:val="24"/>
          <w:highlight w:val="none"/>
          <w:lang w:val="en-US"/>
        </w:rPr>
        <w:t>除第一章招标公告另有规定外，不允许进口产品参加。进口产品认定依照《财政部关于政府采购进口产品管理有关问题的通知》（财办库〔2008〕248 号）的规定。</w:t>
      </w:r>
    </w:p>
    <w:p w14:paraId="0BF06B37">
      <w:pPr>
        <w:numPr>
          <w:ilvl w:val="0"/>
          <w:numId w:val="11"/>
        </w:numPr>
        <w:spacing w:line="360" w:lineRule="auto"/>
        <w:ind w:firstLine="480" w:firstLineChars="200"/>
        <w:rPr>
          <w:sz w:val="24"/>
          <w:szCs w:val="24"/>
          <w:highlight w:val="none"/>
          <w:lang w:val="en-US"/>
        </w:rPr>
      </w:pPr>
      <w:r>
        <w:rPr>
          <w:rFonts w:hint="eastAsia"/>
          <w:sz w:val="24"/>
          <w:szCs w:val="24"/>
          <w:highlight w:val="none"/>
          <w:lang w:val="en-US"/>
        </w:rPr>
        <w:t>允许进口产品参加的，满足需求的国内产品可以参加。</w:t>
      </w:r>
    </w:p>
    <w:p w14:paraId="45F3B126">
      <w:pPr>
        <w:numPr>
          <w:ilvl w:val="0"/>
          <w:numId w:val="11"/>
        </w:numPr>
        <w:spacing w:line="360" w:lineRule="auto"/>
        <w:ind w:firstLine="480" w:firstLineChars="200"/>
        <w:rPr>
          <w:sz w:val="24"/>
          <w:szCs w:val="24"/>
          <w:highlight w:val="none"/>
          <w:lang w:val="en-US"/>
        </w:rPr>
      </w:pPr>
      <w:r>
        <w:rPr>
          <w:rFonts w:hint="eastAsia"/>
          <w:sz w:val="24"/>
          <w:szCs w:val="24"/>
          <w:highlight w:val="none"/>
          <w:lang w:val="en-US"/>
        </w:rPr>
        <w:t>允许进口产品参加的，优先采购向我国企业转让技术、与我国企业签订消化吸收再创新方案的投标人的进口产品。</w:t>
      </w:r>
    </w:p>
    <w:p w14:paraId="469D5326">
      <w:pPr>
        <w:numPr>
          <w:ilvl w:val="0"/>
          <w:numId w:val="11"/>
        </w:numPr>
        <w:spacing w:line="360" w:lineRule="auto"/>
        <w:ind w:firstLine="480" w:firstLineChars="200"/>
        <w:rPr>
          <w:sz w:val="24"/>
          <w:szCs w:val="24"/>
          <w:highlight w:val="none"/>
          <w:lang w:val="en-US"/>
        </w:rPr>
      </w:pPr>
      <w:r>
        <w:rPr>
          <w:rFonts w:hint="eastAsia"/>
          <w:sz w:val="24"/>
          <w:szCs w:val="24"/>
          <w:highlight w:val="none"/>
          <w:lang w:val="en-US"/>
        </w:rPr>
        <w:t>未按要求提供相关材料的，不享受相关政策。</w:t>
      </w:r>
    </w:p>
    <w:p w14:paraId="0BB577E5">
      <w:pPr>
        <w:pStyle w:val="26"/>
        <w:numPr>
          <w:ilvl w:val="1"/>
          <w:numId w:val="6"/>
        </w:numPr>
        <w:adjustRightInd w:val="0"/>
        <w:snapToGrid w:val="0"/>
        <w:spacing w:line="360" w:lineRule="auto"/>
        <w:ind w:left="0" w:firstLine="482" w:firstLineChars="200"/>
        <w:rPr>
          <w:b/>
          <w:bCs/>
          <w:sz w:val="24"/>
          <w:szCs w:val="24"/>
          <w:highlight w:val="none"/>
        </w:rPr>
      </w:pPr>
      <w:r>
        <w:rPr>
          <w:rFonts w:hint="eastAsia"/>
          <w:b/>
          <w:bCs/>
          <w:sz w:val="24"/>
          <w:szCs w:val="24"/>
          <w:highlight w:val="none"/>
        </w:rPr>
        <w:t>投标担保政策</w:t>
      </w:r>
    </w:p>
    <w:p w14:paraId="2673E8FA">
      <w:pPr>
        <w:numPr>
          <w:ilvl w:val="0"/>
          <w:numId w:val="12"/>
        </w:numPr>
        <w:spacing w:line="360" w:lineRule="auto"/>
        <w:ind w:firstLine="480" w:firstLineChars="200"/>
        <w:rPr>
          <w:sz w:val="24"/>
          <w:szCs w:val="24"/>
          <w:highlight w:val="none"/>
          <w:lang w:val="en-US"/>
        </w:rPr>
      </w:pPr>
      <w:r>
        <w:rPr>
          <w:rFonts w:hint="eastAsia"/>
          <w:sz w:val="24"/>
          <w:szCs w:val="24"/>
          <w:highlight w:val="none"/>
          <w:lang w:val="en-US"/>
        </w:rPr>
        <w:t>投标人投标保证金可以用担保形式递交，保函要求详见关于开展政府采购信用担保试点工作的通知(财库[2011]124 号)。</w:t>
      </w:r>
    </w:p>
    <w:p w14:paraId="791E9E2D">
      <w:pPr>
        <w:pStyle w:val="26"/>
        <w:numPr>
          <w:ilvl w:val="1"/>
          <w:numId w:val="6"/>
        </w:numPr>
        <w:adjustRightInd w:val="0"/>
        <w:snapToGrid w:val="0"/>
        <w:spacing w:line="360" w:lineRule="auto"/>
        <w:ind w:left="0" w:firstLine="482" w:firstLineChars="200"/>
        <w:rPr>
          <w:b/>
          <w:bCs/>
          <w:sz w:val="24"/>
          <w:szCs w:val="24"/>
          <w:highlight w:val="none"/>
        </w:rPr>
      </w:pPr>
      <w:r>
        <w:rPr>
          <w:rFonts w:hint="eastAsia"/>
          <w:b/>
          <w:bCs/>
          <w:sz w:val="24"/>
          <w:szCs w:val="24"/>
          <w:highlight w:val="none"/>
        </w:rPr>
        <w:t>投标人信用信息查询</w:t>
      </w:r>
    </w:p>
    <w:p w14:paraId="45C04FFB">
      <w:pPr>
        <w:numPr>
          <w:ilvl w:val="0"/>
          <w:numId w:val="13"/>
        </w:numPr>
        <w:spacing w:line="360" w:lineRule="auto"/>
        <w:ind w:firstLine="480" w:firstLineChars="200"/>
        <w:rPr>
          <w:sz w:val="24"/>
          <w:szCs w:val="24"/>
          <w:highlight w:val="none"/>
          <w:lang w:val="en-US"/>
        </w:rPr>
      </w:pPr>
      <w:r>
        <w:rPr>
          <w:rFonts w:hint="eastAsia"/>
          <w:sz w:val="24"/>
          <w:szCs w:val="24"/>
          <w:highlight w:val="none"/>
          <w:lang w:val="en-US"/>
        </w:rPr>
        <w:t>采购人或采购代理机构将在“信用中国”（www.creditchina.gov.cn）、“中国政府采购网”（www.ccgp.gov.cn）对投标人进行信用信息查询，并将网站查询有关记录留存（财库[2016]125 号）。</w:t>
      </w:r>
    </w:p>
    <w:p w14:paraId="3F657882">
      <w:pPr>
        <w:numPr>
          <w:ilvl w:val="0"/>
          <w:numId w:val="13"/>
        </w:numPr>
        <w:spacing w:line="360" w:lineRule="auto"/>
        <w:ind w:firstLine="480" w:firstLineChars="200"/>
        <w:rPr>
          <w:sz w:val="24"/>
          <w:szCs w:val="24"/>
          <w:highlight w:val="none"/>
          <w:lang w:val="en-US"/>
        </w:rPr>
      </w:pPr>
      <w:r>
        <w:rPr>
          <w:rFonts w:hint="eastAsia"/>
          <w:sz w:val="24"/>
          <w:szCs w:val="24"/>
          <w:highlight w:val="none"/>
          <w:lang w:val="en-US"/>
        </w:rPr>
        <w:t>查询截止时间：投标截止时间前。</w:t>
      </w:r>
    </w:p>
    <w:p w14:paraId="5ADE3C5D">
      <w:pPr>
        <w:numPr>
          <w:ilvl w:val="0"/>
          <w:numId w:val="13"/>
        </w:numPr>
        <w:spacing w:line="360" w:lineRule="auto"/>
        <w:ind w:firstLine="480" w:firstLineChars="200"/>
        <w:rPr>
          <w:sz w:val="24"/>
          <w:szCs w:val="24"/>
          <w:highlight w:val="none"/>
          <w:lang w:val="en-US"/>
        </w:rPr>
      </w:pPr>
      <w:r>
        <w:rPr>
          <w:rFonts w:hint="eastAsia"/>
          <w:sz w:val="24"/>
          <w:szCs w:val="24"/>
          <w:highlight w:val="none"/>
          <w:lang w:val="en-US"/>
        </w:rPr>
        <w:t>投标人信用查询记录不符合要求的，采购人或采购代理机构将依法拒绝投标人参加本次采购活动。</w:t>
      </w:r>
    </w:p>
    <w:p w14:paraId="5A8057B6">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rPr>
        <w:t>4、招标文件的约束力</w:t>
      </w:r>
    </w:p>
    <w:p w14:paraId="31E55E5F">
      <w:pPr>
        <w:pStyle w:val="9"/>
        <w:spacing w:line="360" w:lineRule="auto"/>
        <w:ind w:firstLine="482" w:firstLineChars="200"/>
        <w:jc w:val="left"/>
        <w:rPr>
          <w:highlight w:val="none"/>
        </w:rPr>
      </w:pPr>
      <w:r>
        <w:rPr>
          <w:rFonts w:hint="eastAsia"/>
          <w:highlight w:val="none"/>
        </w:rPr>
        <w:t>投标人一旦领取了本招标文件并参加投标，即被认为接受了本招标文件中的所有条件和规定。</w:t>
      </w:r>
    </w:p>
    <w:p w14:paraId="3B4E4421">
      <w:pPr>
        <w:pStyle w:val="3"/>
        <w:adjustRightInd w:val="0"/>
        <w:snapToGrid w:val="0"/>
        <w:spacing w:line="360" w:lineRule="auto"/>
        <w:ind w:left="0" w:right="0" w:firstLine="0"/>
        <w:jc w:val="left"/>
        <w:rPr>
          <w:sz w:val="24"/>
          <w:szCs w:val="24"/>
          <w:highlight w:val="none"/>
          <w:u w:val="none"/>
        </w:rPr>
      </w:pPr>
      <w:bookmarkStart w:id="31" w:name="_Toc225524664"/>
      <w:r>
        <w:rPr>
          <w:rFonts w:hint="eastAsia"/>
          <w:sz w:val="24"/>
          <w:szCs w:val="24"/>
          <w:highlight w:val="none"/>
          <w:u w:val="none"/>
        </w:rPr>
        <w:t>二、招标文件构成</w:t>
      </w:r>
      <w:bookmarkEnd w:id="31"/>
    </w:p>
    <w:p w14:paraId="30B4E4F5">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lang w:val="en-US"/>
        </w:rPr>
        <w:t>1</w:t>
      </w:r>
      <w:r>
        <w:rPr>
          <w:rFonts w:hint="eastAsia" w:ascii="宋体" w:eastAsia="宋体" w:cs="宋体"/>
          <w:b/>
          <w:bCs/>
          <w:sz w:val="24"/>
          <w:szCs w:val="24"/>
          <w:highlight w:val="none"/>
        </w:rPr>
        <w:t>、招标文件组成</w:t>
      </w:r>
    </w:p>
    <w:p w14:paraId="404DAC0F">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1.1</w:t>
      </w:r>
      <w:r>
        <w:rPr>
          <w:rFonts w:hint="eastAsia"/>
          <w:sz w:val="24"/>
          <w:szCs w:val="24"/>
          <w:highlight w:val="none"/>
        </w:rPr>
        <w:t>招标公告</w:t>
      </w:r>
    </w:p>
    <w:p w14:paraId="6145CFB8">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1.2</w:t>
      </w:r>
      <w:r>
        <w:rPr>
          <w:rFonts w:hint="eastAsia"/>
          <w:sz w:val="24"/>
          <w:szCs w:val="24"/>
          <w:highlight w:val="none"/>
        </w:rPr>
        <w:t>投标人须知</w:t>
      </w:r>
    </w:p>
    <w:p w14:paraId="1C280D7A">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1.3</w:t>
      </w:r>
      <w:r>
        <w:rPr>
          <w:rFonts w:hint="eastAsia"/>
          <w:sz w:val="24"/>
          <w:szCs w:val="24"/>
          <w:highlight w:val="none"/>
        </w:rPr>
        <w:t>纪律和职责</w:t>
      </w:r>
    </w:p>
    <w:p w14:paraId="160CA505">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1.4</w:t>
      </w:r>
      <w:r>
        <w:rPr>
          <w:rFonts w:hint="eastAsia"/>
          <w:sz w:val="24"/>
          <w:szCs w:val="24"/>
          <w:highlight w:val="none"/>
        </w:rPr>
        <w:t>评标</w:t>
      </w:r>
      <w:r>
        <w:rPr>
          <w:rFonts w:hint="eastAsia"/>
          <w:sz w:val="24"/>
          <w:szCs w:val="24"/>
          <w:highlight w:val="none"/>
          <w:lang w:val="en-US"/>
        </w:rPr>
        <w:t>办法及</w:t>
      </w:r>
      <w:r>
        <w:rPr>
          <w:rFonts w:hint="eastAsia"/>
          <w:sz w:val="24"/>
          <w:szCs w:val="24"/>
          <w:highlight w:val="none"/>
        </w:rPr>
        <w:t>标准</w:t>
      </w:r>
    </w:p>
    <w:p w14:paraId="32ABFC9C">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1.5公开招标项目</w:t>
      </w:r>
      <w:r>
        <w:rPr>
          <w:rFonts w:hint="eastAsia"/>
          <w:sz w:val="24"/>
          <w:szCs w:val="24"/>
          <w:highlight w:val="none"/>
        </w:rPr>
        <w:t>需求</w:t>
      </w:r>
    </w:p>
    <w:p w14:paraId="43695A8D">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1.6</w:t>
      </w:r>
      <w:r>
        <w:rPr>
          <w:rFonts w:hint="eastAsia"/>
          <w:sz w:val="24"/>
          <w:szCs w:val="24"/>
          <w:highlight w:val="none"/>
        </w:rPr>
        <w:t>合同主要条款及格式</w:t>
      </w:r>
    </w:p>
    <w:p w14:paraId="222497B4">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1.7</w:t>
      </w:r>
      <w:r>
        <w:rPr>
          <w:rFonts w:hint="eastAsia"/>
          <w:sz w:val="24"/>
          <w:szCs w:val="24"/>
          <w:highlight w:val="none"/>
        </w:rPr>
        <w:t>投标文件格式</w:t>
      </w:r>
    </w:p>
    <w:p w14:paraId="5E645D92">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lang w:val="en-US"/>
        </w:rPr>
        <w:t>2</w:t>
      </w:r>
      <w:r>
        <w:rPr>
          <w:rFonts w:hint="eastAsia" w:ascii="宋体" w:eastAsia="宋体" w:cs="宋体"/>
          <w:b/>
          <w:bCs/>
          <w:sz w:val="24"/>
          <w:szCs w:val="24"/>
          <w:highlight w:val="none"/>
        </w:rPr>
        <w:t>、招标文件的澄清、补充或修改</w:t>
      </w:r>
    </w:p>
    <w:p w14:paraId="1C361E00">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2.1采购代理机构</w:t>
      </w:r>
      <w:r>
        <w:rPr>
          <w:rFonts w:hint="eastAsia"/>
          <w:sz w:val="24"/>
          <w:szCs w:val="24"/>
          <w:highlight w:val="none"/>
        </w:rPr>
        <w:t>对已发出的招标文件进行必要澄清、补充或者修改的，将在招标文件要求投标截止时间 15 日前，在原招标公告媒体发布更正公告；不足15日的，</w:t>
      </w:r>
      <w:r>
        <w:rPr>
          <w:rFonts w:hint="eastAsia"/>
          <w:sz w:val="24"/>
          <w:szCs w:val="24"/>
          <w:highlight w:val="none"/>
          <w:lang w:val="en-US"/>
        </w:rPr>
        <w:t>采购代理机构</w:t>
      </w:r>
      <w:r>
        <w:rPr>
          <w:rFonts w:hint="eastAsia"/>
          <w:sz w:val="24"/>
          <w:szCs w:val="24"/>
          <w:highlight w:val="none"/>
        </w:rPr>
        <w:t>将顺延提交投标文件的截止时间。该澄清、补充或者修改的内容为招标文件的组成部分。</w:t>
      </w:r>
    </w:p>
    <w:p w14:paraId="6138F43D">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2.2</w:t>
      </w:r>
      <w:r>
        <w:rPr>
          <w:rFonts w:hint="eastAsia"/>
          <w:sz w:val="24"/>
          <w:szCs w:val="24"/>
          <w:highlight w:val="none"/>
        </w:rPr>
        <w:t>投标人应在投标截止时间前关注原采购信息发布媒体上有关本招标项目有无变更公告。</w:t>
      </w:r>
    </w:p>
    <w:p w14:paraId="0F5C6AF2">
      <w:pPr>
        <w:pStyle w:val="3"/>
        <w:adjustRightInd w:val="0"/>
        <w:snapToGrid w:val="0"/>
        <w:spacing w:line="360" w:lineRule="auto"/>
        <w:ind w:left="0" w:right="0" w:firstLine="0"/>
        <w:jc w:val="left"/>
        <w:rPr>
          <w:sz w:val="24"/>
          <w:szCs w:val="24"/>
          <w:highlight w:val="none"/>
          <w:u w:val="none"/>
        </w:rPr>
      </w:pPr>
      <w:bookmarkStart w:id="32" w:name="_Toc225524665"/>
      <w:r>
        <w:rPr>
          <w:rFonts w:hint="eastAsia"/>
          <w:sz w:val="24"/>
          <w:szCs w:val="24"/>
          <w:highlight w:val="none"/>
          <w:u w:val="none"/>
        </w:rPr>
        <w:t>三、投标</w:t>
      </w:r>
      <w:bookmarkEnd w:id="32"/>
    </w:p>
    <w:p w14:paraId="73330F41">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lang w:val="en-US"/>
        </w:rPr>
        <w:t>1</w:t>
      </w:r>
      <w:r>
        <w:rPr>
          <w:rFonts w:hint="eastAsia" w:ascii="宋体" w:eastAsia="宋体" w:cs="宋体"/>
          <w:b/>
          <w:bCs/>
          <w:sz w:val="24"/>
          <w:szCs w:val="24"/>
          <w:highlight w:val="none"/>
        </w:rPr>
        <w:t>、投标文件的语言、计量单位、货币</w:t>
      </w:r>
    </w:p>
    <w:p w14:paraId="3B8C61C7">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1.1</w:t>
      </w:r>
      <w:r>
        <w:rPr>
          <w:rFonts w:hint="eastAsia"/>
          <w:sz w:val="24"/>
          <w:szCs w:val="24"/>
          <w:highlight w:val="none"/>
        </w:rPr>
        <w:t>投标人提交的投标文件、技术文件和资料，包括相关说明，以及投标人与</w:t>
      </w:r>
      <w:r>
        <w:rPr>
          <w:rFonts w:hint="eastAsia"/>
          <w:sz w:val="24"/>
          <w:szCs w:val="24"/>
          <w:highlight w:val="none"/>
          <w:lang w:val="en-US"/>
        </w:rPr>
        <w:t>采购代理机构</w:t>
      </w:r>
      <w:r>
        <w:rPr>
          <w:rFonts w:hint="eastAsia"/>
          <w:sz w:val="24"/>
          <w:szCs w:val="24"/>
          <w:highlight w:val="none"/>
        </w:rPr>
        <w:t>就有关投标的所有来往函电均应使用中文。投标文件中若有英文或其他语言文字的资料，应提供相应的中文翻译资料。对不同文本投标文件的解释发生异议的，以中文文本为准。</w:t>
      </w:r>
    </w:p>
    <w:p w14:paraId="1E910228">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1.2</w:t>
      </w:r>
      <w:r>
        <w:rPr>
          <w:rFonts w:hint="eastAsia"/>
          <w:sz w:val="24"/>
          <w:szCs w:val="24"/>
          <w:highlight w:val="none"/>
        </w:rPr>
        <w:t>投标人所使用的计量单位应为国家法定计量单位。</w:t>
      </w:r>
    </w:p>
    <w:p w14:paraId="37C06F57">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1.3</w:t>
      </w:r>
      <w:r>
        <w:rPr>
          <w:rFonts w:hint="eastAsia"/>
          <w:sz w:val="24"/>
          <w:szCs w:val="24"/>
          <w:highlight w:val="none"/>
        </w:rPr>
        <w:t>投标人应用人民币报价。</w:t>
      </w:r>
    </w:p>
    <w:p w14:paraId="6EAC6480">
      <w:pPr>
        <w:pStyle w:val="4"/>
        <w:adjustRightInd w:val="0"/>
        <w:snapToGrid w:val="0"/>
        <w:spacing w:line="360" w:lineRule="auto"/>
        <w:ind w:firstLine="482" w:firstLineChars="200"/>
        <w:jc w:val="left"/>
        <w:rPr>
          <w:rFonts w:ascii="宋体" w:eastAsia="宋体" w:cs="宋体"/>
          <w:b/>
          <w:bCs/>
          <w:sz w:val="24"/>
          <w:szCs w:val="24"/>
          <w:highlight w:val="none"/>
        </w:rPr>
      </w:pPr>
      <w:bookmarkStart w:id="33" w:name="__9、投标费用"/>
      <w:bookmarkEnd w:id="33"/>
      <w:r>
        <w:rPr>
          <w:rFonts w:hint="eastAsia" w:ascii="宋体" w:eastAsia="宋体" w:cs="宋体"/>
          <w:b/>
          <w:bCs/>
          <w:sz w:val="24"/>
          <w:szCs w:val="24"/>
          <w:highlight w:val="none"/>
          <w:lang w:val="en-US"/>
        </w:rPr>
        <w:t>2</w:t>
      </w:r>
      <w:r>
        <w:rPr>
          <w:rFonts w:hint="eastAsia" w:ascii="宋体" w:eastAsia="宋体" w:cs="宋体"/>
          <w:b/>
          <w:bCs/>
          <w:sz w:val="24"/>
          <w:szCs w:val="24"/>
          <w:highlight w:val="none"/>
        </w:rPr>
        <w:t>、联合投标（本项目</w:t>
      </w:r>
      <w:r>
        <w:rPr>
          <w:rFonts w:hint="eastAsia" w:ascii="宋体" w:eastAsia="宋体" w:cs="宋体"/>
          <w:b/>
          <w:bCs/>
          <w:sz w:val="24"/>
          <w:szCs w:val="24"/>
          <w:highlight w:val="none"/>
          <w:lang w:val="en-US"/>
        </w:rPr>
        <w:t>不</w:t>
      </w:r>
      <w:r>
        <w:rPr>
          <w:rFonts w:hint="eastAsia" w:ascii="宋体" w:eastAsia="宋体" w:cs="宋体"/>
          <w:b/>
          <w:bCs/>
          <w:sz w:val="24"/>
          <w:szCs w:val="24"/>
          <w:highlight w:val="none"/>
        </w:rPr>
        <w:t>接受）</w:t>
      </w:r>
    </w:p>
    <w:p w14:paraId="496E2754">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2.1</w:t>
      </w:r>
      <w:r>
        <w:rPr>
          <w:rFonts w:hint="eastAsia"/>
          <w:sz w:val="24"/>
          <w:szCs w:val="24"/>
          <w:highlight w:val="none"/>
        </w:rPr>
        <w:t>两个以上的自然人、法人或者其他组织可以组成一个联合体，以一个投标人的身份共同参加政府采购。</w:t>
      </w:r>
    </w:p>
    <w:p w14:paraId="4783E40D">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2.2</w:t>
      </w:r>
      <w:r>
        <w:rPr>
          <w:rFonts w:hint="eastAsia"/>
          <w:sz w:val="24"/>
          <w:szCs w:val="24"/>
          <w:highlight w:val="none"/>
        </w:rPr>
        <w:t>鼓励大中型企业和其他自然人、法人或者其他组织与小型、微型企业组成联合体共同参加非专门面向中小企业的政府采购活动。</w:t>
      </w:r>
    </w:p>
    <w:p w14:paraId="5DFD85F5">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2.3</w:t>
      </w:r>
      <w:r>
        <w:rPr>
          <w:rFonts w:hint="eastAsia"/>
          <w:sz w:val="24"/>
          <w:szCs w:val="24"/>
          <w:highlight w:val="none"/>
        </w:rPr>
        <w:t>以联合体形式参加投标的，联合体各方均应当符合政府采购法第二十二条第一款规定的条件；采购人根据</w:t>
      </w:r>
      <w:r>
        <w:rPr>
          <w:rFonts w:hint="eastAsia"/>
          <w:sz w:val="24"/>
          <w:szCs w:val="24"/>
          <w:highlight w:val="none"/>
          <w:lang w:val="en-US"/>
        </w:rPr>
        <w:t>采购项目</w:t>
      </w:r>
      <w:r>
        <w:rPr>
          <w:rFonts w:hint="eastAsia"/>
          <w:sz w:val="24"/>
          <w:szCs w:val="24"/>
          <w:highlight w:val="none"/>
        </w:rPr>
        <w:t>的特殊要求规定投标人特定条件的，联合体各方中至少应当有一方符合采购人规定的特定条件。由同一专业的投标人组成的联合体，联合体中有同类资质的投标人按照联合体分工承担相同工作的，按照资质等级较低的投标人确定资质等级， 并以投标全权代表方的应答材料作为商务评审的依据。由不同专业的投标人组成联合体，首先以投标全权代表方的应答材料作为认定资质以及商务评审的依据，涉及行业专属的资质，按照所属行业对应的投标人的应答材料确定。</w:t>
      </w:r>
    </w:p>
    <w:p w14:paraId="7A56145A">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2.4</w:t>
      </w:r>
      <w:r>
        <w:rPr>
          <w:rFonts w:hint="eastAsia"/>
          <w:sz w:val="24"/>
          <w:szCs w:val="24"/>
          <w:highlight w:val="none"/>
        </w:rPr>
        <w:t>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p>
    <w:p w14:paraId="1C016680">
      <w:pPr>
        <w:pStyle w:val="4"/>
        <w:adjustRightInd w:val="0"/>
        <w:snapToGrid w:val="0"/>
        <w:spacing w:line="360" w:lineRule="auto"/>
        <w:ind w:firstLine="482" w:firstLineChars="200"/>
        <w:jc w:val="left"/>
        <w:rPr>
          <w:rFonts w:ascii="宋体" w:eastAsia="宋体" w:cs="宋体"/>
          <w:sz w:val="24"/>
          <w:szCs w:val="24"/>
          <w:highlight w:val="none"/>
        </w:rPr>
      </w:pPr>
      <w:r>
        <w:rPr>
          <w:rFonts w:hint="eastAsia" w:ascii="宋体" w:eastAsia="宋体" w:cs="宋体"/>
          <w:b/>
          <w:bCs/>
          <w:sz w:val="24"/>
          <w:szCs w:val="24"/>
          <w:highlight w:val="none"/>
          <w:lang w:val="en-US"/>
        </w:rPr>
        <w:t>3</w:t>
      </w:r>
      <w:r>
        <w:rPr>
          <w:rFonts w:hint="eastAsia" w:ascii="宋体" w:eastAsia="宋体" w:cs="宋体"/>
          <w:b/>
          <w:bCs/>
          <w:sz w:val="24"/>
          <w:szCs w:val="24"/>
          <w:highlight w:val="none"/>
        </w:rPr>
        <w:t>、投标费用</w:t>
      </w:r>
    </w:p>
    <w:p w14:paraId="0715DDF8">
      <w:pPr>
        <w:pStyle w:val="26"/>
        <w:adjustRightInd w:val="0"/>
        <w:snapToGrid w:val="0"/>
        <w:spacing w:line="360" w:lineRule="auto"/>
        <w:ind w:left="0" w:firstLine="480" w:firstLineChars="200"/>
        <w:rPr>
          <w:b/>
          <w:bCs/>
          <w:sz w:val="24"/>
          <w:szCs w:val="24"/>
          <w:highlight w:val="none"/>
        </w:rPr>
      </w:pPr>
      <w:r>
        <w:rPr>
          <w:rFonts w:hint="eastAsia"/>
          <w:sz w:val="24"/>
          <w:szCs w:val="24"/>
          <w:highlight w:val="none"/>
          <w:lang w:val="en-US"/>
        </w:rPr>
        <w:t>3.1</w:t>
      </w:r>
      <w:r>
        <w:rPr>
          <w:rFonts w:hint="eastAsia"/>
          <w:sz w:val="24"/>
          <w:szCs w:val="24"/>
          <w:highlight w:val="none"/>
        </w:rPr>
        <w:t>投标人应承担所有与准备和参加投标有关的费用，无论采购结果如何，</w:t>
      </w:r>
      <w:r>
        <w:rPr>
          <w:rFonts w:hint="eastAsia"/>
          <w:sz w:val="24"/>
          <w:szCs w:val="24"/>
          <w:highlight w:val="none"/>
          <w:lang w:val="en-US"/>
        </w:rPr>
        <w:t>采购代理机构</w:t>
      </w:r>
      <w:r>
        <w:rPr>
          <w:rFonts w:hint="eastAsia"/>
          <w:sz w:val="24"/>
          <w:szCs w:val="24"/>
          <w:highlight w:val="none"/>
        </w:rPr>
        <w:t>和采购人在任何情况下均无义务和责任承担这些费用。</w:t>
      </w:r>
    </w:p>
    <w:p w14:paraId="1851F4AC">
      <w:pPr>
        <w:pStyle w:val="26"/>
        <w:widowControl/>
        <w:adjustRightInd w:val="0"/>
        <w:snapToGrid w:val="0"/>
        <w:spacing w:line="360" w:lineRule="auto"/>
        <w:ind w:left="0" w:firstLine="482" w:firstLineChars="200"/>
        <w:rPr>
          <w:b/>
          <w:bCs/>
          <w:sz w:val="24"/>
          <w:szCs w:val="24"/>
          <w:highlight w:val="none"/>
        </w:rPr>
      </w:pPr>
      <w:r>
        <w:rPr>
          <w:rFonts w:hint="eastAsia"/>
          <w:b/>
          <w:bCs/>
          <w:sz w:val="24"/>
          <w:szCs w:val="24"/>
          <w:highlight w:val="none"/>
          <w:lang w:val="en-US"/>
        </w:rPr>
        <w:t>3.2本</w:t>
      </w:r>
      <w:r>
        <w:rPr>
          <w:rFonts w:hint="eastAsia"/>
          <w:b/>
          <w:bCs/>
          <w:sz w:val="24"/>
          <w:szCs w:val="24"/>
          <w:highlight w:val="none"/>
        </w:rPr>
        <w:t>项目</w:t>
      </w:r>
      <w:r>
        <w:rPr>
          <w:rFonts w:hint="eastAsia"/>
          <w:b/>
          <w:bCs/>
          <w:sz w:val="24"/>
          <w:szCs w:val="24"/>
          <w:highlight w:val="none"/>
          <w:lang w:val="en-US"/>
        </w:rPr>
        <w:t>采购代理服务费收费标准：</w:t>
      </w:r>
      <w:r>
        <w:rPr>
          <w:rFonts w:hint="eastAsia"/>
          <w:sz w:val="24"/>
          <w:szCs w:val="24"/>
          <w:highlight w:val="none"/>
          <w:lang w:val="en-US"/>
        </w:rPr>
        <w:t>本次采购代理服务费</w:t>
      </w:r>
      <w:r>
        <w:rPr>
          <w:rFonts w:hint="eastAsia"/>
          <w:sz w:val="24"/>
          <w:highlight w:val="none"/>
        </w:rPr>
        <w:t>以中标总金额为基础，</w:t>
      </w:r>
      <w:r>
        <w:rPr>
          <w:rFonts w:hint="eastAsia"/>
          <w:sz w:val="24"/>
          <w:szCs w:val="24"/>
          <w:highlight w:val="none"/>
          <w:lang w:val="en-US"/>
        </w:rPr>
        <w:t>参照计价格【2002】1980号文件收费标准的70%计取，由中标人向招标代理支付招标代理费。上述费用请供应商综合考虑在投标报价中，后期采购人不单独列支，必须在领取中标通知书前向招标代理支付</w:t>
      </w:r>
      <w:r>
        <w:rPr>
          <w:rFonts w:hint="eastAsia"/>
          <w:sz w:val="24"/>
          <w:szCs w:val="24"/>
          <w:highlight w:val="none"/>
        </w:rPr>
        <w:t>。</w:t>
      </w:r>
    </w:p>
    <w:p w14:paraId="0E875AFF">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lang w:val="en-US"/>
        </w:rPr>
        <w:t>4</w:t>
      </w:r>
      <w:r>
        <w:rPr>
          <w:rFonts w:hint="eastAsia" w:ascii="宋体" w:eastAsia="宋体" w:cs="宋体"/>
          <w:b/>
          <w:bCs/>
          <w:sz w:val="24"/>
          <w:szCs w:val="24"/>
          <w:highlight w:val="none"/>
        </w:rPr>
        <w:t>、投标文件组成</w:t>
      </w:r>
    </w:p>
    <w:p w14:paraId="2F9635ED">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4.1</w:t>
      </w:r>
      <w:r>
        <w:rPr>
          <w:rFonts w:hint="eastAsia"/>
          <w:sz w:val="24"/>
          <w:szCs w:val="24"/>
          <w:highlight w:val="none"/>
        </w:rPr>
        <w:t>投标人应当根据招标文件要求编制投标文件，投标文件应对招标文件提出的要求和条件作出实质性响应，并在《商务条款偏离表》和《技术条款偏离表》等处逐条标明满足与否。</w:t>
      </w:r>
    </w:p>
    <w:p w14:paraId="7E428C31">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4.2</w:t>
      </w:r>
      <w:r>
        <w:rPr>
          <w:rFonts w:hint="eastAsia"/>
          <w:sz w:val="24"/>
          <w:szCs w:val="24"/>
          <w:highlight w:val="none"/>
        </w:rPr>
        <w:t>投标人根据招标文件的规定和项目名称的实际情况，拟在中标后将中标项目的非主体、非关键性工作分包的，应当在投标文件中载明分包承担主体，分包承担主体应当具备相应资质条件且不得再次分包。</w:t>
      </w:r>
    </w:p>
    <w:p w14:paraId="1BE8BBB4">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4.3</w:t>
      </w:r>
      <w:r>
        <w:rPr>
          <w:rFonts w:hint="eastAsia"/>
          <w:sz w:val="24"/>
          <w:szCs w:val="24"/>
          <w:highlight w:val="none"/>
        </w:rPr>
        <w:t>投标文件由商务部分、技术部分、价格部分，以及其他部分组成。</w:t>
      </w:r>
    </w:p>
    <w:p w14:paraId="5E707F14">
      <w:pPr>
        <w:pStyle w:val="4"/>
        <w:adjustRightInd w:val="0"/>
        <w:snapToGrid w:val="0"/>
        <w:spacing w:line="360" w:lineRule="auto"/>
        <w:ind w:firstLine="482" w:firstLineChars="200"/>
        <w:jc w:val="left"/>
        <w:rPr>
          <w:rFonts w:ascii="宋体" w:eastAsia="宋体" w:cs="宋体"/>
          <w:sz w:val="24"/>
          <w:szCs w:val="24"/>
          <w:highlight w:val="none"/>
        </w:rPr>
      </w:pPr>
      <w:r>
        <w:rPr>
          <w:rFonts w:hint="eastAsia" w:ascii="宋体" w:eastAsia="宋体" w:cs="宋体"/>
          <w:b/>
          <w:bCs/>
          <w:sz w:val="24"/>
          <w:szCs w:val="24"/>
          <w:highlight w:val="none"/>
          <w:lang w:val="en-US"/>
        </w:rPr>
        <w:t>5</w:t>
      </w:r>
      <w:r>
        <w:rPr>
          <w:rFonts w:hint="eastAsia" w:ascii="宋体" w:eastAsia="宋体" w:cs="宋体"/>
          <w:b/>
          <w:bCs/>
          <w:sz w:val="24"/>
          <w:szCs w:val="24"/>
          <w:highlight w:val="none"/>
        </w:rPr>
        <w:t>、投标文件的商务部分</w:t>
      </w:r>
    </w:p>
    <w:p w14:paraId="095DCC69">
      <w:pPr>
        <w:pStyle w:val="9"/>
        <w:spacing w:line="360" w:lineRule="auto"/>
        <w:rPr>
          <w:highlight w:val="none"/>
        </w:rPr>
      </w:pPr>
      <w:r>
        <w:rPr>
          <w:rFonts w:hint="eastAsia"/>
          <w:highlight w:val="none"/>
          <w:lang w:val="en-US"/>
        </w:rPr>
        <w:t xml:space="preserve">    5</w:t>
      </w:r>
      <w:r>
        <w:rPr>
          <w:rFonts w:hint="eastAsia"/>
          <w:highlight w:val="none"/>
        </w:rPr>
        <w:t>.1商务部分是证明投标人有资格参加投标和中标后有能力履行合同的文件，这些文件应能满足招标的要求，包括但不限于下列文件，其中加★项目不得有缺失或无效：</w:t>
      </w:r>
    </w:p>
    <w:p w14:paraId="25D39E3F">
      <w:pPr>
        <w:numPr>
          <w:ilvl w:val="0"/>
          <w:numId w:val="14"/>
        </w:numPr>
        <w:spacing w:line="360" w:lineRule="auto"/>
        <w:ind w:firstLine="482" w:firstLineChars="200"/>
        <w:rPr>
          <w:b/>
          <w:bCs/>
          <w:sz w:val="24"/>
          <w:szCs w:val="24"/>
          <w:highlight w:val="none"/>
          <w:lang w:val="en-US"/>
        </w:rPr>
      </w:pPr>
      <w:r>
        <w:rPr>
          <w:rFonts w:hint="eastAsia"/>
          <w:b/>
          <w:bCs/>
          <w:sz w:val="24"/>
          <w:szCs w:val="24"/>
          <w:highlight w:val="none"/>
          <w:lang w:val="en-US"/>
        </w:rPr>
        <w:t>★投标函；</w:t>
      </w:r>
    </w:p>
    <w:p w14:paraId="6E584CD5">
      <w:pPr>
        <w:numPr>
          <w:ilvl w:val="0"/>
          <w:numId w:val="14"/>
        </w:numPr>
        <w:spacing w:line="360" w:lineRule="auto"/>
        <w:ind w:firstLine="482" w:firstLineChars="200"/>
        <w:rPr>
          <w:b/>
          <w:bCs/>
          <w:sz w:val="24"/>
          <w:szCs w:val="24"/>
          <w:highlight w:val="none"/>
          <w:lang w:val="en-US"/>
        </w:rPr>
      </w:pPr>
      <w:r>
        <w:rPr>
          <w:rFonts w:hint="eastAsia"/>
          <w:b/>
          <w:bCs/>
          <w:sz w:val="24"/>
          <w:szCs w:val="24"/>
          <w:highlight w:val="none"/>
          <w:lang w:val="en-US"/>
        </w:rPr>
        <w:t>★法定代表人授权委托书及委托代理人的身份证明文件的扫描件；</w:t>
      </w:r>
    </w:p>
    <w:p w14:paraId="37DC9F70">
      <w:pPr>
        <w:numPr>
          <w:ilvl w:val="0"/>
          <w:numId w:val="14"/>
        </w:numPr>
        <w:spacing w:line="360" w:lineRule="auto"/>
        <w:ind w:firstLine="482" w:firstLineChars="200"/>
        <w:rPr>
          <w:b/>
          <w:bCs/>
          <w:sz w:val="24"/>
          <w:szCs w:val="24"/>
          <w:highlight w:val="none"/>
          <w:lang w:val="en-US"/>
        </w:rPr>
      </w:pPr>
      <w:r>
        <w:rPr>
          <w:rFonts w:hint="eastAsia"/>
          <w:b/>
          <w:bCs/>
          <w:sz w:val="24"/>
          <w:szCs w:val="24"/>
          <w:highlight w:val="none"/>
          <w:lang w:val="en-US"/>
        </w:rPr>
        <w:t>★第一章招标公告中“1.满足《中华人民共和国政府采购法》第二十二条规定”的证明文件；</w:t>
      </w:r>
    </w:p>
    <w:p w14:paraId="61BE29BC">
      <w:pPr>
        <w:numPr>
          <w:ilvl w:val="0"/>
          <w:numId w:val="14"/>
        </w:numPr>
        <w:spacing w:line="360" w:lineRule="auto"/>
        <w:ind w:firstLine="482" w:firstLineChars="200"/>
        <w:rPr>
          <w:b/>
          <w:bCs/>
          <w:sz w:val="24"/>
          <w:szCs w:val="24"/>
          <w:highlight w:val="none"/>
          <w:lang w:val="en-US"/>
        </w:rPr>
      </w:pPr>
      <w:r>
        <w:rPr>
          <w:rFonts w:hint="eastAsia"/>
          <w:b/>
          <w:bCs/>
          <w:sz w:val="24"/>
          <w:szCs w:val="24"/>
          <w:highlight w:val="none"/>
          <w:lang w:val="en-US"/>
        </w:rPr>
        <w:t>第一章招标公告中“2.落实政府采购政策需满足的资格要求”的证明文件；</w:t>
      </w:r>
    </w:p>
    <w:p w14:paraId="340102EC">
      <w:pPr>
        <w:numPr>
          <w:ilvl w:val="0"/>
          <w:numId w:val="14"/>
        </w:numPr>
        <w:spacing w:line="360" w:lineRule="auto"/>
        <w:ind w:firstLine="482" w:firstLineChars="200"/>
        <w:rPr>
          <w:b/>
          <w:bCs/>
          <w:sz w:val="24"/>
          <w:szCs w:val="24"/>
          <w:highlight w:val="none"/>
          <w:lang w:val="en-US"/>
        </w:rPr>
      </w:pPr>
      <w:r>
        <w:rPr>
          <w:rFonts w:hint="eastAsia"/>
          <w:b/>
          <w:bCs/>
          <w:sz w:val="24"/>
          <w:szCs w:val="24"/>
          <w:highlight w:val="none"/>
          <w:lang w:val="en-US"/>
        </w:rPr>
        <w:t>第一章招标公告中“3.本项目的特定资格要求”的证明文件；</w:t>
      </w:r>
    </w:p>
    <w:p w14:paraId="5BF22EAA">
      <w:pPr>
        <w:numPr>
          <w:ilvl w:val="0"/>
          <w:numId w:val="14"/>
        </w:numPr>
        <w:spacing w:line="360" w:lineRule="auto"/>
        <w:ind w:firstLine="482" w:firstLineChars="200"/>
        <w:rPr>
          <w:b/>
          <w:bCs/>
          <w:sz w:val="24"/>
          <w:szCs w:val="24"/>
          <w:highlight w:val="none"/>
          <w:lang w:val="en-US"/>
        </w:rPr>
      </w:pPr>
      <w:r>
        <w:rPr>
          <w:rFonts w:hint="eastAsia"/>
          <w:b/>
          <w:bCs/>
          <w:sz w:val="24"/>
          <w:szCs w:val="24"/>
          <w:highlight w:val="none"/>
          <w:lang w:val="en-US"/>
        </w:rPr>
        <w:t>★《开标一览表》</w:t>
      </w:r>
    </w:p>
    <w:p w14:paraId="27362C1E">
      <w:pPr>
        <w:numPr>
          <w:ilvl w:val="0"/>
          <w:numId w:val="14"/>
        </w:numPr>
        <w:spacing w:line="360" w:lineRule="auto"/>
        <w:ind w:firstLine="480" w:firstLineChars="200"/>
        <w:rPr>
          <w:sz w:val="24"/>
          <w:szCs w:val="24"/>
          <w:highlight w:val="none"/>
          <w:lang w:val="en-US"/>
        </w:rPr>
      </w:pPr>
      <w:r>
        <w:rPr>
          <w:rFonts w:hint="eastAsia"/>
          <w:sz w:val="24"/>
          <w:szCs w:val="24"/>
          <w:highlight w:val="none"/>
          <w:lang w:val="en-US"/>
        </w:rPr>
        <w:t>投标人认为需要提供的其他资格证明文件和商务资料；</w:t>
      </w:r>
    </w:p>
    <w:p w14:paraId="4A55D074">
      <w:pPr>
        <w:numPr>
          <w:ilvl w:val="0"/>
          <w:numId w:val="14"/>
        </w:numPr>
        <w:spacing w:line="360" w:lineRule="auto"/>
        <w:ind w:firstLine="482" w:firstLineChars="200"/>
        <w:rPr>
          <w:b/>
          <w:bCs/>
          <w:sz w:val="24"/>
          <w:szCs w:val="24"/>
          <w:highlight w:val="none"/>
          <w:lang w:val="en-US"/>
        </w:rPr>
      </w:pPr>
      <w:r>
        <w:rPr>
          <w:rFonts w:hint="eastAsia"/>
          <w:b/>
          <w:bCs/>
          <w:sz w:val="24"/>
          <w:szCs w:val="24"/>
          <w:highlight w:val="none"/>
          <w:lang w:val="en-US"/>
        </w:rPr>
        <w:t>★《商务条款偏离表》。</w:t>
      </w:r>
    </w:p>
    <w:p w14:paraId="75BD1500">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lang w:val="en-US"/>
        </w:rPr>
        <w:t>6</w:t>
      </w:r>
      <w:r>
        <w:rPr>
          <w:rFonts w:hint="eastAsia" w:ascii="宋体" w:eastAsia="宋体" w:cs="宋体"/>
          <w:b/>
          <w:bCs/>
          <w:sz w:val="24"/>
          <w:szCs w:val="24"/>
          <w:highlight w:val="none"/>
        </w:rPr>
        <w:t>、投标文件的技术部分</w:t>
      </w:r>
    </w:p>
    <w:p w14:paraId="0D16CF1B">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6.1</w:t>
      </w:r>
      <w:r>
        <w:rPr>
          <w:rFonts w:hint="eastAsia"/>
          <w:sz w:val="24"/>
          <w:szCs w:val="24"/>
          <w:highlight w:val="none"/>
        </w:rPr>
        <w:t>技术部分是证明投标人提供的货物</w:t>
      </w:r>
      <w:r>
        <w:rPr>
          <w:rFonts w:hint="eastAsia"/>
          <w:sz w:val="24"/>
          <w:szCs w:val="24"/>
          <w:highlight w:val="none"/>
          <w:lang w:val="en-US"/>
        </w:rPr>
        <w:t>或服务</w:t>
      </w:r>
      <w:r>
        <w:rPr>
          <w:rFonts w:hint="eastAsia"/>
          <w:sz w:val="24"/>
          <w:szCs w:val="24"/>
          <w:highlight w:val="none"/>
        </w:rPr>
        <w:t>是合格的、并符合招标文件要求的证明文件，以及对投标报价表中的货物</w:t>
      </w:r>
      <w:r>
        <w:rPr>
          <w:rFonts w:hint="eastAsia"/>
          <w:sz w:val="24"/>
          <w:szCs w:val="24"/>
          <w:highlight w:val="none"/>
          <w:lang w:val="en-US"/>
        </w:rPr>
        <w:t>或服务</w:t>
      </w:r>
      <w:r>
        <w:rPr>
          <w:rFonts w:hint="eastAsia"/>
          <w:sz w:val="24"/>
          <w:szCs w:val="24"/>
          <w:highlight w:val="none"/>
        </w:rPr>
        <w:t>的详细说明，这些文件可以是文字资料、图纸（表）和数据等。</w:t>
      </w:r>
    </w:p>
    <w:p w14:paraId="73ED8FB3">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6.2</w:t>
      </w:r>
      <w:r>
        <w:rPr>
          <w:rFonts w:hint="eastAsia"/>
          <w:sz w:val="24"/>
          <w:szCs w:val="24"/>
          <w:highlight w:val="none"/>
        </w:rPr>
        <w:t>若技术性能无特殊说明，则按国家有关部门最新颁布的标准及规范为准；</w:t>
      </w:r>
    </w:p>
    <w:p w14:paraId="605C281D">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6.3</w:t>
      </w:r>
      <w:r>
        <w:rPr>
          <w:rFonts w:hint="eastAsia"/>
          <w:sz w:val="24"/>
          <w:szCs w:val="24"/>
          <w:highlight w:val="none"/>
        </w:rPr>
        <w:t>提供的货物</w:t>
      </w:r>
      <w:r>
        <w:rPr>
          <w:rFonts w:hint="eastAsia"/>
          <w:sz w:val="24"/>
          <w:szCs w:val="24"/>
          <w:highlight w:val="none"/>
          <w:lang w:val="en-US"/>
        </w:rPr>
        <w:t>或服务</w:t>
      </w:r>
      <w:r>
        <w:rPr>
          <w:rFonts w:hint="eastAsia"/>
          <w:sz w:val="24"/>
          <w:szCs w:val="24"/>
          <w:highlight w:val="none"/>
        </w:rPr>
        <w:t>如与招标文件要求有不符之处，应说明其差别之所在，并在《技术条款偏离表》中逐条予以说明。</w:t>
      </w:r>
    </w:p>
    <w:p w14:paraId="5FD34C08">
      <w:pPr>
        <w:pStyle w:val="26"/>
        <w:adjustRightInd w:val="0"/>
        <w:snapToGrid w:val="0"/>
        <w:spacing w:line="360" w:lineRule="auto"/>
        <w:ind w:left="0" w:firstLine="480" w:firstLineChars="200"/>
        <w:rPr>
          <w:b/>
          <w:sz w:val="24"/>
          <w:szCs w:val="24"/>
          <w:highlight w:val="none"/>
        </w:rPr>
      </w:pPr>
      <w:r>
        <w:rPr>
          <w:rFonts w:hint="eastAsia"/>
          <w:sz w:val="24"/>
          <w:szCs w:val="24"/>
          <w:highlight w:val="none"/>
          <w:lang w:val="en-US"/>
        </w:rPr>
        <w:t>6.4</w:t>
      </w:r>
      <w:r>
        <w:rPr>
          <w:rFonts w:hint="eastAsia"/>
          <w:sz w:val="24"/>
          <w:szCs w:val="24"/>
          <w:highlight w:val="none"/>
        </w:rPr>
        <w:t>投标文件应按照招标文件要求提供技术资料、文件和有关证明，包括但不限于下列文件，</w:t>
      </w:r>
      <w:r>
        <w:rPr>
          <w:rFonts w:hint="eastAsia"/>
          <w:b/>
          <w:sz w:val="24"/>
          <w:szCs w:val="24"/>
          <w:highlight w:val="none"/>
        </w:rPr>
        <w:t>其中加★项目不得有缺失或无效：</w:t>
      </w:r>
    </w:p>
    <w:p w14:paraId="3D243B5C">
      <w:pPr>
        <w:numPr>
          <w:ilvl w:val="0"/>
          <w:numId w:val="15"/>
        </w:numPr>
        <w:spacing w:line="360" w:lineRule="auto"/>
        <w:ind w:firstLine="482" w:firstLineChars="200"/>
        <w:rPr>
          <w:b/>
          <w:bCs/>
          <w:sz w:val="24"/>
          <w:szCs w:val="24"/>
          <w:highlight w:val="none"/>
          <w:lang w:val="en-US"/>
        </w:rPr>
      </w:pPr>
      <w:r>
        <w:rPr>
          <w:rFonts w:hint="eastAsia"/>
          <w:b/>
          <w:bCs/>
          <w:sz w:val="24"/>
          <w:szCs w:val="24"/>
          <w:highlight w:val="none"/>
          <w:lang w:val="en-US"/>
        </w:rPr>
        <w:t>★《技术条款偏离表》；</w:t>
      </w:r>
    </w:p>
    <w:p w14:paraId="17B068ED">
      <w:pPr>
        <w:numPr>
          <w:ilvl w:val="0"/>
          <w:numId w:val="15"/>
        </w:numPr>
        <w:spacing w:line="360" w:lineRule="auto"/>
        <w:ind w:firstLine="480" w:firstLineChars="200"/>
        <w:rPr>
          <w:sz w:val="24"/>
          <w:szCs w:val="24"/>
          <w:highlight w:val="none"/>
          <w:lang w:val="en-US"/>
        </w:rPr>
      </w:pPr>
      <w:r>
        <w:rPr>
          <w:rFonts w:hint="eastAsia"/>
          <w:sz w:val="24"/>
          <w:szCs w:val="24"/>
          <w:highlight w:val="none"/>
          <w:lang w:val="en-US"/>
        </w:rPr>
        <w:t>服务实施方案；</w:t>
      </w:r>
    </w:p>
    <w:p w14:paraId="793D5A03">
      <w:pPr>
        <w:numPr>
          <w:ilvl w:val="0"/>
          <w:numId w:val="15"/>
        </w:numPr>
        <w:spacing w:line="360" w:lineRule="auto"/>
        <w:ind w:firstLine="480" w:firstLineChars="200"/>
        <w:rPr>
          <w:sz w:val="24"/>
          <w:szCs w:val="24"/>
          <w:highlight w:val="none"/>
          <w:lang w:val="en-US"/>
        </w:rPr>
      </w:pPr>
      <w:r>
        <w:rPr>
          <w:rFonts w:hint="eastAsia"/>
          <w:sz w:val="24"/>
          <w:szCs w:val="24"/>
          <w:highlight w:val="none"/>
          <w:lang w:val="en-US"/>
        </w:rPr>
        <w:t>服务承诺；</w:t>
      </w:r>
    </w:p>
    <w:p w14:paraId="551D0DD1">
      <w:pPr>
        <w:numPr>
          <w:ilvl w:val="0"/>
          <w:numId w:val="15"/>
        </w:numPr>
        <w:spacing w:line="360" w:lineRule="auto"/>
        <w:ind w:firstLine="480" w:firstLineChars="200"/>
        <w:rPr>
          <w:sz w:val="24"/>
          <w:szCs w:val="24"/>
          <w:highlight w:val="none"/>
          <w:lang w:val="en-US"/>
        </w:rPr>
      </w:pPr>
      <w:r>
        <w:rPr>
          <w:rFonts w:hint="eastAsia"/>
          <w:sz w:val="24"/>
          <w:szCs w:val="24"/>
          <w:highlight w:val="none"/>
          <w:lang w:val="en-US"/>
        </w:rPr>
        <w:t>投标人认为需要提供的其他技术资料等；</w:t>
      </w:r>
    </w:p>
    <w:p w14:paraId="4F19B8B3">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lang w:val="en-US"/>
        </w:rPr>
        <w:t>7</w:t>
      </w:r>
      <w:r>
        <w:rPr>
          <w:rFonts w:hint="eastAsia" w:ascii="宋体" w:eastAsia="宋体" w:cs="宋体"/>
          <w:b/>
          <w:bCs/>
          <w:sz w:val="24"/>
          <w:szCs w:val="24"/>
          <w:highlight w:val="none"/>
        </w:rPr>
        <w:t>、投标文件的价格部分</w:t>
      </w:r>
    </w:p>
    <w:p w14:paraId="2B043AC8">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7.1</w:t>
      </w:r>
      <w:r>
        <w:rPr>
          <w:rFonts w:hint="eastAsia"/>
          <w:sz w:val="24"/>
          <w:szCs w:val="24"/>
          <w:highlight w:val="none"/>
        </w:rPr>
        <w:t>价格部分是对投标货物和服务价格构成的说明，每一项货物</w:t>
      </w:r>
      <w:r>
        <w:rPr>
          <w:rFonts w:hint="eastAsia"/>
          <w:sz w:val="24"/>
          <w:szCs w:val="24"/>
          <w:highlight w:val="none"/>
          <w:lang w:val="en-US"/>
        </w:rPr>
        <w:t>或服务</w:t>
      </w:r>
      <w:r>
        <w:rPr>
          <w:rFonts w:hint="eastAsia"/>
          <w:sz w:val="24"/>
          <w:szCs w:val="24"/>
          <w:highlight w:val="none"/>
        </w:rPr>
        <w:t>仅接受一个价格。</w:t>
      </w:r>
    </w:p>
    <w:p w14:paraId="4A7D3535">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7.2本项目报价为全包费用报价，报价应是本招标文件所包含确定的全部工作内容及本招标文件未说明但完成该项目必须包含的所有全包费用的价格体现。</w:t>
      </w:r>
      <w:r>
        <w:rPr>
          <w:rFonts w:hint="eastAsia"/>
          <w:sz w:val="24"/>
          <w:szCs w:val="24"/>
          <w:highlight w:val="none"/>
        </w:rPr>
        <w:t>供应商的任何错漏、优惠、竞争性报价不得作为减轻责任、减少服务、增加收费、降低质量的理由。在项目验收过程中，如发现有漏项、缺件，卖方应无条件、无偿补齐，所发生的一切费用，视为已包含在卖方的最终投标报价中。</w:t>
      </w:r>
    </w:p>
    <w:p w14:paraId="6ED8D393">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7.3</w:t>
      </w:r>
      <w:r>
        <w:rPr>
          <w:rFonts w:hint="eastAsia"/>
          <w:sz w:val="24"/>
          <w:szCs w:val="24"/>
          <w:highlight w:val="none"/>
        </w:rPr>
        <w:t>投标人应充分考虑到市场价格变动，以及项目实施过程中的不可预见因素，一旦成交，总价不变。如果有漏项，视同让利。</w:t>
      </w:r>
    </w:p>
    <w:p w14:paraId="3DE27525">
      <w:pPr>
        <w:pStyle w:val="26"/>
        <w:adjustRightInd w:val="0"/>
        <w:snapToGrid w:val="0"/>
        <w:spacing w:line="360" w:lineRule="auto"/>
        <w:ind w:left="0" w:firstLine="482" w:firstLineChars="200"/>
        <w:rPr>
          <w:b/>
          <w:bCs/>
          <w:sz w:val="24"/>
          <w:szCs w:val="24"/>
          <w:highlight w:val="none"/>
        </w:rPr>
      </w:pPr>
      <w:r>
        <w:rPr>
          <w:rFonts w:hint="eastAsia"/>
          <w:b/>
          <w:bCs/>
          <w:sz w:val="24"/>
          <w:szCs w:val="24"/>
          <w:highlight w:val="none"/>
          <w:lang w:val="en-US"/>
        </w:rPr>
        <w:t>7.4</w:t>
      </w:r>
      <w:r>
        <w:rPr>
          <w:rFonts w:hint="eastAsia"/>
          <w:b/>
          <w:bCs/>
          <w:sz w:val="24"/>
          <w:szCs w:val="24"/>
          <w:highlight w:val="none"/>
        </w:rPr>
        <w:t>投标人应在《开标一览表》标明提供货物</w:t>
      </w:r>
      <w:r>
        <w:rPr>
          <w:rFonts w:hint="eastAsia"/>
          <w:b/>
          <w:bCs/>
          <w:sz w:val="24"/>
          <w:szCs w:val="24"/>
          <w:highlight w:val="none"/>
          <w:lang w:val="en-US"/>
        </w:rPr>
        <w:t>或服务</w:t>
      </w:r>
      <w:r>
        <w:rPr>
          <w:rFonts w:hint="eastAsia"/>
          <w:b/>
          <w:bCs/>
          <w:sz w:val="24"/>
          <w:szCs w:val="24"/>
          <w:highlight w:val="none"/>
        </w:rPr>
        <w:t>的总价。</w:t>
      </w:r>
    </w:p>
    <w:p w14:paraId="4744EED8">
      <w:pPr>
        <w:pStyle w:val="26"/>
        <w:adjustRightInd w:val="0"/>
        <w:snapToGrid w:val="0"/>
        <w:spacing w:line="360" w:lineRule="auto"/>
        <w:ind w:left="0" w:firstLine="482" w:firstLineChars="200"/>
        <w:outlineLvl w:val="2"/>
        <w:rPr>
          <w:sz w:val="24"/>
          <w:szCs w:val="24"/>
          <w:highlight w:val="none"/>
        </w:rPr>
      </w:pPr>
      <w:r>
        <w:rPr>
          <w:rFonts w:hint="eastAsia"/>
          <w:b/>
          <w:bCs/>
          <w:sz w:val="24"/>
          <w:szCs w:val="24"/>
          <w:highlight w:val="none"/>
          <w:lang w:val="en-US"/>
        </w:rPr>
        <w:t>8</w:t>
      </w:r>
      <w:r>
        <w:rPr>
          <w:rFonts w:hint="eastAsia"/>
          <w:b/>
          <w:bCs/>
          <w:sz w:val="24"/>
          <w:szCs w:val="24"/>
          <w:highlight w:val="none"/>
        </w:rPr>
        <w:t>、投标文件的其他部分</w:t>
      </w:r>
    </w:p>
    <w:p w14:paraId="4F86D83B">
      <w:pPr>
        <w:pStyle w:val="9"/>
        <w:spacing w:line="360" w:lineRule="auto"/>
        <w:ind w:firstLine="482" w:firstLineChars="200"/>
        <w:jc w:val="both"/>
        <w:rPr>
          <w:highlight w:val="none"/>
        </w:rPr>
      </w:pPr>
      <w:r>
        <w:rPr>
          <w:rFonts w:hint="eastAsia"/>
          <w:highlight w:val="none"/>
          <w:lang w:val="en-US"/>
        </w:rPr>
        <w:t>8.1</w:t>
      </w:r>
      <w:r>
        <w:rPr>
          <w:rFonts w:hint="eastAsia"/>
          <w:highlight w:val="none"/>
        </w:rPr>
        <w:t>其他部分由投标人根据编制投标文件需要提供的其他相关文件。</w:t>
      </w:r>
    </w:p>
    <w:p w14:paraId="543930C6">
      <w:pPr>
        <w:pStyle w:val="4"/>
        <w:adjustRightInd w:val="0"/>
        <w:snapToGrid w:val="0"/>
        <w:spacing w:line="360" w:lineRule="auto"/>
        <w:ind w:firstLine="482" w:firstLineChars="200"/>
        <w:jc w:val="left"/>
        <w:rPr>
          <w:rFonts w:ascii="宋体" w:eastAsia="宋体" w:cs="宋体"/>
          <w:sz w:val="24"/>
          <w:szCs w:val="24"/>
          <w:highlight w:val="none"/>
        </w:rPr>
      </w:pPr>
      <w:r>
        <w:rPr>
          <w:rFonts w:hint="eastAsia" w:ascii="宋体" w:eastAsia="宋体" w:cs="宋体"/>
          <w:b/>
          <w:bCs/>
          <w:sz w:val="24"/>
          <w:szCs w:val="24"/>
          <w:highlight w:val="none"/>
          <w:lang w:val="en-US"/>
        </w:rPr>
        <w:t>9</w:t>
      </w:r>
      <w:r>
        <w:rPr>
          <w:rFonts w:hint="eastAsia" w:ascii="宋体" w:eastAsia="宋体" w:cs="宋体"/>
          <w:b/>
          <w:bCs/>
          <w:sz w:val="24"/>
          <w:szCs w:val="24"/>
          <w:highlight w:val="none"/>
        </w:rPr>
        <w:t>、投标保证金：</w:t>
      </w:r>
      <w:r>
        <w:rPr>
          <w:rFonts w:hint="eastAsia" w:ascii="宋体" w:eastAsia="宋体" w:cs="宋体"/>
          <w:b/>
          <w:bCs/>
          <w:sz w:val="24"/>
          <w:szCs w:val="24"/>
          <w:highlight w:val="none"/>
          <w:lang w:val="en-US"/>
        </w:rPr>
        <w:t>本项目不设投标保证金</w:t>
      </w:r>
      <w:r>
        <w:rPr>
          <w:rFonts w:hint="eastAsia" w:ascii="宋体" w:eastAsia="宋体" w:cs="宋体"/>
          <w:sz w:val="24"/>
          <w:szCs w:val="24"/>
          <w:highlight w:val="none"/>
        </w:rPr>
        <w:t>。</w:t>
      </w:r>
    </w:p>
    <w:p w14:paraId="11B111F7">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rPr>
        <w:t>1</w:t>
      </w:r>
      <w:r>
        <w:rPr>
          <w:rFonts w:hint="eastAsia" w:ascii="宋体" w:eastAsia="宋体" w:cs="宋体"/>
          <w:b/>
          <w:bCs/>
          <w:sz w:val="24"/>
          <w:szCs w:val="24"/>
          <w:highlight w:val="none"/>
          <w:lang w:val="en-US"/>
        </w:rPr>
        <w:t>0</w:t>
      </w:r>
      <w:r>
        <w:rPr>
          <w:rFonts w:hint="eastAsia" w:ascii="宋体" w:eastAsia="宋体" w:cs="宋体"/>
          <w:b/>
          <w:bCs/>
          <w:sz w:val="24"/>
          <w:szCs w:val="24"/>
          <w:highlight w:val="none"/>
        </w:rPr>
        <w:t>、投标有效期</w:t>
      </w:r>
    </w:p>
    <w:p w14:paraId="140C5136">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10.1</w:t>
      </w:r>
      <w:r>
        <w:rPr>
          <w:rFonts w:hint="eastAsia"/>
          <w:sz w:val="24"/>
          <w:szCs w:val="24"/>
          <w:highlight w:val="none"/>
        </w:rPr>
        <w:t>自提交投标文件截止之日起90日。</w:t>
      </w:r>
    </w:p>
    <w:p w14:paraId="60B05CB2">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10.2</w:t>
      </w:r>
      <w:r>
        <w:rPr>
          <w:rFonts w:hint="eastAsia"/>
          <w:sz w:val="24"/>
          <w:szCs w:val="24"/>
          <w:highlight w:val="none"/>
        </w:rPr>
        <w:t>在特殊情况下，在原投标有效期截止之前，</w:t>
      </w:r>
      <w:r>
        <w:rPr>
          <w:rFonts w:hint="eastAsia"/>
          <w:sz w:val="24"/>
          <w:szCs w:val="24"/>
          <w:highlight w:val="none"/>
          <w:lang w:val="en-US"/>
        </w:rPr>
        <w:t>采购代理机构</w:t>
      </w:r>
      <w:r>
        <w:rPr>
          <w:rFonts w:hint="eastAsia"/>
          <w:sz w:val="24"/>
          <w:szCs w:val="24"/>
          <w:highlight w:val="none"/>
        </w:rPr>
        <w:t>可要求投标人同意延长投标有效期，这种要求与答复均以书面形式提交，投标人可拒绝这种要求。</w:t>
      </w:r>
    </w:p>
    <w:p w14:paraId="76C56F12">
      <w:pPr>
        <w:pStyle w:val="4"/>
        <w:adjustRightInd w:val="0"/>
        <w:snapToGrid w:val="0"/>
        <w:spacing w:line="360" w:lineRule="auto"/>
        <w:ind w:firstLine="482" w:firstLineChars="200"/>
        <w:jc w:val="left"/>
        <w:rPr>
          <w:rFonts w:ascii="宋体" w:eastAsia="宋体" w:cs="宋体"/>
          <w:sz w:val="24"/>
          <w:szCs w:val="24"/>
          <w:highlight w:val="none"/>
        </w:rPr>
      </w:pPr>
      <w:r>
        <w:rPr>
          <w:rFonts w:hint="eastAsia" w:ascii="宋体" w:eastAsia="宋体" w:cs="宋体"/>
          <w:b/>
          <w:bCs/>
          <w:sz w:val="24"/>
          <w:szCs w:val="24"/>
          <w:highlight w:val="none"/>
          <w:lang w:val="en-US"/>
        </w:rPr>
        <w:t>11</w:t>
      </w:r>
      <w:r>
        <w:rPr>
          <w:rFonts w:hint="eastAsia" w:ascii="宋体" w:eastAsia="宋体" w:cs="宋体"/>
          <w:b/>
          <w:bCs/>
          <w:sz w:val="24"/>
          <w:szCs w:val="24"/>
          <w:highlight w:val="none"/>
        </w:rPr>
        <w:t>、投标文件签署</w:t>
      </w:r>
    </w:p>
    <w:p w14:paraId="4DAF277B">
      <w:pPr>
        <w:pStyle w:val="9"/>
        <w:spacing w:line="360" w:lineRule="auto"/>
        <w:ind w:firstLine="480" w:firstLineChars="200"/>
        <w:jc w:val="left"/>
        <w:rPr>
          <w:b w:val="0"/>
          <w:bCs/>
          <w:highlight w:val="none"/>
        </w:rPr>
      </w:pPr>
      <w:r>
        <w:rPr>
          <w:rFonts w:hint="eastAsia"/>
          <w:b w:val="0"/>
          <w:bCs/>
          <w:highlight w:val="none"/>
          <w:lang w:val="en-US"/>
        </w:rPr>
        <w:t>11.1由投标人法定代表人或经正式授权并对投标人有约束力的委托代理人签署。除供应商对错处做必要修改外，投标文件不得行间插字、涂改或增删。如有修改错漏处，必须由投标文件签署人签字或加盖电子公章。</w:t>
      </w:r>
    </w:p>
    <w:p w14:paraId="2DAA2BC6">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rPr>
        <w:t>1</w:t>
      </w:r>
      <w:r>
        <w:rPr>
          <w:rFonts w:hint="eastAsia" w:ascii="宋体" w:eastAsia="宋体" w:cs="宋体"/>
          <w:b/>
          <w:bCs/>
          <w:sz w:val="24"/>
          <w:szCs w:val="24"/>
          <w:highlight w:val="none"/>
          <w:lang w:val="en-US"/>
        </w:rPr>
        <w:t>2</w:t>
      </w:r>
      <w:r>
        <w:rPr>
          <w:rFonts w:hint="eastAsia" w:ascii="宋体" w:eastAsia="宋体" w:cs="宋体"/>
          <w:b/>
          <w:bCs/>
          <w:sz w:val="24"/>
          <w:szCs w:val="24"/>
          <w:highlight w:val="none"/>
        </w:rPr>
        <w:t>、投标文件的编制、递交</w:t>
      </w:r>
    </w:p>
    <w:p w14:paraId="34961261">
      <w:pPr>
        <w:spacing w:line="360" w:lineRule="auto"/>
        <w:ind w:firstLine="480" w:firstLineChars="200"/>
        <w:rPr>
          <w:kern w:val="2"/>
          <w:sz w:val="24"/>
          <w:szCs w:val="24"/>
          <w:highlight w:val="none"/>
          <w:lang w:val="en-US"/>
        </w:rPr>
      </w:pPr>
      <w:r>
        <w:rPr>
          <w:rFonts w:hint="eastAsia"/>
          <w:kern w:val="2"/>
          <w:sz w:val="24"/>
          <w:szCs w:val="24"/>
          <w:highlight w:val="none"/>
          <w:lang w:val="en-US"/>
        </w:rPr>
        <w:t>12.1投标文件的编制应按照招标文件统一规定的格式</w:t>
      </w:r>
      <w:r>
        <w:rPr>
          <w:rFonts w:hint="eastAsia"/>
          <w:b/>
          <w:bCs/>
          <w:kern w:val="2"/>
          <w:sz w:val="24"/>
          <w:szCs w:val="24"/>
          <w:highlight w:val="none"/>
          <w:lang w:val="en-US"/>
        </w:rPr>
        <w:t>（规定格式中要求盖章或签字的，则必须盖章或签字）</w:t>
      </w:r>
      <w:r>
        <w:rPr>
          <w:rFonts w:hint="eastAsia"/>
          <w:kern w:val="2"/>
          <w:sz w:val="24"/>
          <w:szCs w:val="24"/>
          <w:highlight w:val="none"/>
          <w:lang w:val="en-US"/>
        </w:rPr>
        <w:t>，投标人可根据自身实际情况进行添加调整；投标人应在投标文件中写清相应的项目编号、项目名称、投标人全称、地址、电话等。</w:t>
      </w:r>
    </w:p>
    <w:p w14:paraId="1AB467DB">
      <w:pPr>
        <w:spacing w:line="360" w:lineRule="auto"/>
        <w:ind w:firstLine="480" w:firstLineChars="200"/>
        <w:rPr>
          <w:b/>
          <w:bCs/>
          <w:kern w:val="2"/>
          <w:sz w:val="24"/>
          <w:szCs w:val="24"/>
          <w:highlight w:val="none"/>
          <w:lang w:val="en-US"/>
        </w:rPr>
      </w:pPr>
      <w:r>
        <w:rPr>
          <w:rFonts w:hint="eastAsia"/>
          <w:kern w:val="2"/>
          <w:sz w:val="24"/>
          <w:szCs w:val="24"/>
          <w:highlight w:val="none"/>
          <w:lang w:val="en-US"/>
        </w:rPr>
        <w:t>12.2</w:t>
      </w:r>
      <w:r>
        <w:rPr>
          <w:rFonts w:hint="eastAsia"/>
          <w:b/>
          <w:bCs/>
          <w:kern w:val="2"/>
          <w:sz w:val="24"/>
          <w:szCs w:val="24"/>
          <w:highlight w:val="none"/>
          <w:lang w:val="en-US"/>
        </w:rPr>
        <w:t>如标书制作工具中格式和内容与“江苏政府采购网”发布的招标文件不一致，以“江苏政府采购网”发布的招标文件为准。</w:t>
      </w:r>
    </w:p>
    <w:p w14:paraId="68FF73BB">
      <w:pPr>
        <w:spacing w:line="360" w:lineRule="auto"/>
        <w:ind w:firstLine="480" w:firstLineChars="200"/>
        <w:rPr>
          <w:kern w:val="2"/>
          <w:sz w:val="24"/>
          <w:szCs w:val="24"/>
          <w:highlight w:val="none"/>
          <w:lang w:val="en-US"/>
        </w:rPr>
      </w:pPr>
      <w:r>
        <w:rPr>
          <w:rFonts w:hint="eastAsia"/>
          <w:kern w:val="2"/>
          <w:sz w:val="24"/>
          <w:szCs w:val="24"/>
          <w:highlight w:val="none"/>
          <w:lang w:val="en-US"/>
        </w:rPr>
        <w:t>12.3投标人应当按照《操作手册》规定，在招标公告规定的投标截止时间前制作并上传电子投标文件。</w:t>
      </w:r>
    </w:p>
    <w:p w14:paraId="18E2EEDC">
      <w:pPr>
        <w:spacing w:line="360" w:lineRule="auto"/>
        <w:ind w:firstLine="480" w:firstLineChars="200"/>
        <w:rPr>
          <w:kern w:val="2"/>
          <w:sz w:val="24"/>
          <w:szCs w:val="24"/>
          <w:highlight w:val="none"/>
          <w:lang w:val="en-US"/>
        </w:rPr>
      </w:pPr>
      <w:r>
        <w:rPr>
          <w:rFonts w:hint="eastAsia"/>
          <w:kern w:val="2"/>
          <w:sz w:val="24"/>
          <w:szCs w:val="24"/>
          <w:highlight w:val="none"/>
          <w:lang w:val="en-US"/>
        </w:rPr>
        <w:t>12.4投标人应充分考虑网络环境、网络带宽等因素可能对投标产生的影响，如因投标人自身原因造成的电子投标文件上传不成功的，按照无效投标处理。</w:t>
      </w:r>
    </w:p>
    <w:p w14:paraId="3D5791AC">
      <w:pPr>
        <w:spacing w:line="360" w:lineRule="auto"/>
        <w:ind w:firstLine="480" w:firstLineChars="200"/>
        <w:rPr>
          <w:kern w:val="2"/>
          <w:sz w:val="24"/>
          <w:szCs w:val="24"/>
          <w:highlight w:val="none"/>
        </w:rPr>
      </w:pPr>
      <w:r>
        <w:rPr>
          <w:rFonts w:hint="eastAsia"/>
          <w:kern w:val="2"/>
          <w:sz w:val="24"/>
          <w:szCs w:val="24"/>
          <w:highlight w:val="none"/>
          <w:lang w:val="en-US"/>
        </w:rPr>
        <w:t>12.5代理机构有权通过修改招标文件酌情延长投标截止时间，在此情况下，投标人的所有权利和义务均以延长后新的截止时间为准。</w:t>
      </w:r>
    </w:p>
    <w:p w14:paraId="6A4248E6">
      <w:pPr>
        <w:pStyle w:val="4"/>
        <w:adjustRightInd w:val="0"/>
        <w:snapToGrid w:val="0"/>
        <w:spacing w:line="360" w:lineRule="auto"/>
        <w:ind w:firstLine="482" w:firstLineChars="200"/>
        <w:jc w:val="left"/>
        <w:rPr>
          <w:rFonts w:ascii="宋体" w:eastAsia="宋体" w:cs="宋体"/>
          <w:sz w:val="24"/>
          <w:szCs w:val="24"/>
          <w:highlight w:val="none"/>
        </w:rPr>
      </w:pPr>
      <w:r>
        <w:rPr>
          <w:rFonts w:hint="eastAsia" w:ascii="宋体" w:eastAsia="宋体" w:cs="宋体"/>
          <w:b/>
          <w:bCs/>
          <w:sz w:val="24"/>
          <w:szCs w:val="24"/>
          <w:highlight w:val="none"/>
        </w:rPr>
        <w:t>1</w:t>
      </w:r>
      <w:r>
        <w:rPr>
          <w:rFonts w:hint="eastAsia" w:ascii="宋体" w:eastAsia="宋体" w:cs="宋体"/>
          <w:b/>
          <w:bCs/>
          <w:sz w:val="24"/>
          <w:szCs w:val="24"/>
          <w:highlight w:val="none"/>
          <w:lang w:val="en-US"/>
        </w:rPr>
        <w:t>3</w:t>
      </w:r>
      <w:r>
        <w:rPr>
          <w:rFonts w:hint="eastAsia" w:ascii="宋体" w:eastAsia="宋体" w:cs="宋体"/>
          <w:b/>
          <w:bCs/>
          <w:sz w:val="24"/>
          <w:szCs w:val="24"/>
          <w:highlight w:val="none"/>
        </w:rPr>
        <w:t>、有下列情形之一的投标文件将拒收：</w:t>
      </w:r>
    </w:p>
    <w:p w14:paraId="38CE28CD">
      <w:pPr>
        <w:adjustRightInd w:val="0"/>
        <w:snapToGrid w:val="0"/>
        <w:spacing w:line="360" w:lineRule="auto"/>
        <w:ind w:firstLine="482" w:firstLineChars="200"/>
        <w:rPr>
          <w:b/>
          <w:bCs/>
          <w:sz w:val="24"/>
          <w:szCs w:val="24"/>
          <w:highlight w:val="none"/>
        </w:rPr>
      </w:pPr>
      <w:r>
        <w:rPr>
          <w:rFonts w:hint="eastAsia"/>
          <w:b/>
          <w:bCs/>
          <w:sz w:val="24"/>
          <w:szCs w:val="24"/>
          <w:highlight w:val="none"/>
          <w:lang w:val="en-US"/>
        </w:rPr>
        <w:t>13.1在招标文件要求提交投标文件的截止时间之后上传的。</w:t>
      </w:r>
    </w:p>
    <w:p w14:paraId="6C4BDF9B">
      <w:pPr>
        <w:pStyle w:val="26"/>
        <w:adjustRightInd w:val="0"/>
        <w:snapToGrid w:val="0"/>
        <w:spacing w:line="360" w:lineRule="auto"/>
        <w:ind w:left="0" w:firstLine="482" w:firstLineChars="200"/>
        <w:rPr>
          <w:b/>
          <w:bCs/>
          <w:sz w:val="24"/>
          <w:szCs w:val="24"/>
          <w:highlight w:val="none"/>
          <w:lang w:val="en-US"/>
        </w:rPr>
      </w:pPr>
      <w:r>
        <w:rPr>
          <w:rFonts w:hint="eastAsia"/>
          <w:b/>
          <w:bCs/>
          <w:sz w:val="24"/>
          <w:szCs w:val="24"/>
          <w:highlight w:val="none"/>
          <w:lang w:val="en-US"/>
        </w:rPr>
        <w:t>14、投标文件的修改和撤回</w:t>
      </w:r>
    </w:p>
    <w:p w14:paraId="69A04D6F">
      <w:pPr>
        <w:pStyle w:val="26"/>
        <w:adjustRightInd w:val="0"/>
        <w:snapToGrid w:val="0"/>
        <w:spacing w:line="360" w:lineRule="auto"/>
        <w:ind w:left="0" w:firstLine="480" w:firstLineChars="200"/>
        <w:rPr>
          <w:sz w:val="24"/>
          <w:szCs w:val="24"/>
          <w:highlight w:val="none"/>
        </w:rPr>
      </w:pPr>
      <w:bookmarkStart w:id="34" w:name="_Toc225524666"/>
      <w:r>
        <w:rPr>
          <w:rFonts w:hint="eastAsia"/>
          <w:sz w:val="24"/>
          <w:szCs w:val="24"/>
          <w:highlight w:val="none"/>
          <w:lang w:val="en-US"/>
        </w:rPr>
        <w:t>14</w:t>
      </w:r>
      <w:r>
        <w:rPr>
          <w:rFonts w:hint="eastAsia"/>
          <w:sz w:val="24"/>
          <w:szCs w:val="24"/>
          <w:highlight w:val="none"/>
        </w:rPr>
        <w:t>.</w:t>
      </w:r>
      <w:r>
        <w:rPr>
          <w:rFonts w:hint="eastAsia"/>
          <w:sz w:val="24"/>
          <w:szCs w:val="24"/>
          <w:highlight w:val="none"/>
          <w:lang w:val="en-US"/>
        </w:rPr>
        <w:t>1</w:t>
      </w:r>
      <w:r>
        <w:rPr>
          <w:rFonts w:hint="eastAsia"/>
          <w:sz w:val="24"/>
          <w:szCs w:val="24"/>
          <w:highlight w:val="none"/>
        </w:rPr>
        <w:t xml:space="preserve"> 投标文件的修改</w:t>
      </w:r>
    </w:p>
    <w:p w14:paraId="0E55FD0F">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14</w:t>
      </w:r>
      <w:r>
        <w:rPr>
          <w:rFonts w:hint="eastAsia"/>
          <w:sz w:val="24"/>
          <w:szCs w:val="24"/>
          <w:highlight w:val="none"/>
        </w:rPr>
        <w:t>.</w:t>
      </w:r>
      <w:r>
        <w:rPr>
          <w:rFonts w:hint="eastAsia"/>
          <w:sz w:val="24"/>
          <w:szCs w:val="24"/>
          <w:highlight w:val="none"/>
          <w:lang w:val="en-US"/>
        </w:rPr>
        <w:t>1</w:t>
      </w:r>
      <w:r>
        <w:rPr>
          <w:rFonts w:hint="eastAsia"/>
          <w:sz w:val="24"/>
          <w:szCs w:val="24"/>
          <w:highlight w:val="none"/>
        </w:rPr>
        <w:t>.1</w:t>
      </w:r>
      <w:r>
        <w:rPr>
          <w:rFonts w:hint="eastAsia"/>
          <w:sz w:val="24"/>
          <w:szCs w:val="24"/>
          <w:highlight w:val="none"/>
          <w:lang w:val="en-US"/>
        </w:rPr>
        <w:t xml:space="preserve"> </w:t>
      </w:r>
      <w:r>
        <w:rPr>
          <w:rFonts w:hint="eastAsia"/>
          <w:sz w:val="24"/>
          <w:szCs w:val="24"/>
          <w:highlight w:val="none"/>
        </w:rPr>
        <w:t>投标人可在投标截止时间前对其电子投标文件进行修改，具体操作方法见《操作手册》。</w:t>
      </w:r>
    </w:p>
    <w:p w14:paraId="1E11BFB5">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14</w:t>
      </w:r>
      <w:r>
        <w:rPr>
          <w:rFonts w:hint="eastAsia"/>
          <w:sz w:val="24"/>
          <w:szCs w:val="24"/>
          <w:highlight w:val="none"/>
        </w:rPr>
        <w:t>.</w:t>
      </w:r>
      <w:r>
        <w:rPr>
          <w:rFonts w:hint="eastAsia"/>
          <w:sz w:val="24"/>
          <w:szCs w:val="24"/>
          <w:highlight w:val="none"/>
          <w:lang w:val="en-US"/>
        </w:rPr>
        <w:t>1</w:t>
      </w:r>
      <w:r>
        <w:rPr>
          <w:rFonts w:hint="eastAsia"/>
          <w:sz w:val="24"/>
          <w:szCs w:val="24"/>
          <w:highlight w:val="none"/>
        </w:rPr>
        <w:t>.2</w:t>
      </w:r>
      <w:r>
        <w:rPr>
          <w:rFonts w:hint="eastAsia"/>
          <w:sz w:val="24"/>
          <w:szCs w:val="24"/>
          <w:highlight w:val="none"/>
          <w:lang w:val="en-US"/>
        </w:rPr>
        <w:t xml:space="preserve"> </w:t>
      </w:r>
      <w:r>
        <w:rPr>
          <w:rFonts w:hint="eastAsia"/>
          <w:sz w:val="24"/>
          <w:szCs w:val="24"/>
          <w:highlight w:val="none"/>
        </w:rPr>
        <w:t>投标截止时间之后，投标人不得对其电子投标文件作任何修改。</w:t>
      </w:r>
    </w:p>
    <w:p w14:paraId="68D551D7">
      <w:pPr>
        <w:pStyle w:val="26"/>
        <w:adjustRightInd w:val="0"/>
        <w:snapToGrid w:val="0"/>
        <w:spacing w:line="360" w:lineRule="auto"/>
        <w:ind w:left="0" w:firstLine="480" w:firstLineChars="200"/>
        <w:rPr>
          <w:sz w:val="24"/>
          <w:szCs w:val="24"/>
          <w:highlight w:val="none"/>
          <w:lang w:val="en-US"/>
        </w:rPr>
      </w:pPr>
      <w:r>
        <w:rPr>
          <w:rFonts w:hint="eastAsia"/>
          <w:sz w:val="24"/>
          <w:szCs w:val="24"/>
          <w:highlight w:val="none"/>
          <w:lang w:val="en-US"/>
        </w:rPr>
        <w:t>14.2 投标文件的撤回</w:t>
      </w:r>
    </w:p>
    <w:p w14:paraId="71F5698B">
      <w:pPr>
        <w:pStyle w:val="26"/>
        <w:adjustRightInd w:val="0"/>
        <w:snapToGrid w:val="0"/>
        <w:spacing w:line="360" w:lineRule="auto"/>
        <w:ind w:left="0" w:firstLine="480" w:firstLineChars="200"/>
        <w:rPr>
          <w:sz w:val="24"/>
          <w:szCs w:val="24"/>
          <w:highlight w:val="none"/>
          <w:lang w:val="en-US"/>
        </w:rPr>
      </w:pPr>
      <w:r>
        <w:rPr>
          <w:rFonts w:hint="eastAsia"/>
          <w:sz w:val="24"/>
          <w:szCs w:val="24"/>
          <w:highlight w:val="none"/>
          <w:lang w:val="en-US"/>
        </w:rPr>
        <w:t>14.2.1 投标人可在投标截止时间前撤回其电子投标文件，具体操作方法见《操作手册》。</w:t>
      </w:r>
    </w:p>
    <w:p w14:paraId="6D13A08D">
      <w:pPr>
        <w:pStyle w:val="26"/>
        <w:adjustRightInd w:val="0"/>
        <w:snapToGrid w:val="0"/>
        <w:spacing w:line="360" w:lineRule="auto"/>
        <w:ind w:left="0" w:firstLine="480" w:firstLineChars="200"/>
        <w:rPr>
          <w:sz w:val="24"/>
          <w:szCs w:val="24"/>
          <w:highlight w:val="none"/>
          <w:lang w:val="en-US"/>
        </w:rPr>
      </w:pPr>
      <w:r>
        <w:rPr>
          <w:rFonts w:hint="eastAsia"/>
          <w:sz w:val="24"/>
          <w:szCs w:val="24"/>
          <w:highlight w:val="none"/>
          <w:lang w:val="en-US"/>
        </w:rPr>
        <w:t>14.2.2 投标人撤回电子投标文件，则认为其不再参与本项目投标活动。</w:t>
      </w:r>
    </w:p>
    <w:p w14:paraId="3D613348">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14</w:t>
      </w:r>
      <w:r>
        <w:rPr>
          <w:rFonts w:hint="eastAsia"/>
          <w:sz w:val="24"/>
          <w:szCs w:val="24"/>
          <w:highlight w:val="none"/>
        </w:rPr>
        <w:t>.</w:t>
      </w:r>
      <w:r>
        <w:rPr>
          <w:rFonts w:hint="eastAsia"/>
          <w:sz w:val="24"/>
          <w:szCs w:val="24"/>
          <w:highlight w:val="none"/>
          <w:lang w:val="en-US"/>
        </w:rPr>
        <w:t>2.</w:t>
      </w:r>
      <w:r>
        <w:rPr>
          <w:rFonts w:hint="eastAsia"/>
          <w:sz w:val="24"/>
          <w:szCs w:val="24"/>
          <w:highlight w:val="none"/>
        </w:rPr>
        <w:t>3 在投标截止时间至招标文件中规定的投标有效期满之间的这段时间内，投标人不得撤回其投标。</w:t>
      </w:r>
      <w:bookmarkStart w:id="35" w:name="_Toc20823301"/>
      <w:bookmarkEnd w:id="35"/>
      <w:bookmarkStart w:id="36" w:name="_Toc513029229"/>
      <w:bookmarkEnd w:id="36"/>
      <w:bookmarkStart w:id="37" w:name="_Toc120614218"/>
      <w:bookmarkEnd w:id="37"/>
      <w:bookmarkStart w:id="38" w:name="_Toc16938545"/>
      <w:bookmarkEnd w:id="38"/>
    </w:p>
    <w:p w14:paraId="352F3680">
      <w:pPr>
        <w:pStyle w:val="3"/>
        <w:adjustRightInd w:val="0"/>
        <w:snapToGrid w:val="0"/>
        <w:spacing w:line="360" w:lineRule="auto"/>
        <w:ind w:left="0" w:firstLine="0"/>
        <w:jc w:val="left"/>
        <w:rPr>
          <w:sz w:val="24"/>
          <w:szCs w:val="24"/>
          <w:highlight w:val="none"/>
          <w:u w:val="none"/>
          <w:lang w:val="en-US"/>
        </w:rPr>
      </w:pPr>
      <w:r>
        <w:rPr>
          <w:rFonts w:hint="eastAsia"/>
          <w:sz w:val="24"/>
          <w:szCs w:val="24"/>
          <w:highlight w:val="none"/>
          <w:u w:val="none"/>
          <w:lang w:val="en-US"/>
        </w:rPr>
        <w:t>四、开标、评标与确定中标人</w:t>
      </w:r>
      <w:bookmarkEnd w:id="34"/>
    </w:p>
    <w:p w14:paraId="242CEA8D">
      <w:pPr>
        <w:pStyle w:val="4"/>
        <w:adjustRightInd w:val="0"/>
        <w:snapToGrid w:val="0"/>
        <w:spacing w:line="360" w:lineRule="auto"/>
        <w:ind w:firstLine="482" w:firstLineChars="200"/>
        <w:jc w:val="left"/>
        <w:rPr>
          <w:rFonts w:ascii="宋体" w:eastAsia="宋体" w:cs="宋体"/>
          <w:b/>
          <w:bCs/>
          <w:sz w:val="24"/>
          <w:szCs w:val="24"/>
          <w:highlight w:val="none"/>
        </w:rPr>
      </w:pPr>
      <w:bookmarkStart w:id="39" w:name="__21、投标文件的接收"/>
      <w:bookmarkEnd w:id="39"/>
      <w:r>
        <w:rPr>
          <w:rFonts w:hint="eastAsia" w:ascii="宋体" w:eastAsia="宋体" w:cs="宋体"/>
          <w:b/>
          <w:bCs/>
          <w:sz w:val="24"/>
          <w:szCs w:val="24"/>
          <w:highlight w:val="none"/>
          <w:lang w:val="en-US"/>
        </w:rPr>
        <w:t>1、</w:t>
      </w:r>
      <w:r>
        <w:rPr>
          <w:rFonts w:hint="eastAsia" w:ascii="宋体" w:eastAsia="宋体" w:cs="宋体"/>
          <w:b/>
          <w:bCs/>
          <w:sz w:val="24"/>
          <w:szCs w:val="24"/>
          <w:highlight w:val="none"/>
        </w:rPr>
        <w:t>开标</w:t>
      </w:r>
    </w:p>
    <w:p w14:paraId="69E5F583">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1.1代理机构将在招标文件确定的时间和地点进行公开开标。投标人按照《操作手册》规定参加开标活动，并在苏采云系统规定的时间内对投标文件进行解密。苏采云系统公布各投标人名称和投标价格。</w:t>
      </w:r>
    </w:p>
    <w:p w14:paraId="346B7440">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w:t>
      </w:r>
      <w:r>
        <w:rPr>
          <w:rFonts w:hint="eastAsia"/>
          <w:sz w:val="24"/>
          <w:szCs w:val="24"/>
          <w:highlight w:val="none"/>
        </w:rPr>
        <w:t>.2 投标人在开标过程中涉及到的投标文件解密、开标结果确认等工作，应按照《操作手册》规定执行。</w:t>
      </w:r>
    </w:p>
    <w:p w14:paraId="640E785C">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w:t>
      </w:r>
      <w:r>
        <w:rPr>
          <w:rFonts w:hint="eastAsia"/>
          <w:sz w:val="24"/>
          <w:szCs w:val="24"/>
          <w:highlight w:val="none"/>
        </w:rPr>
        <w:t>.3 投标人如果对开标过程和开标结果有疑义，应当根据《操作手册》规定提出，苏采云系统中《开标记录表》公布后5分钟内未提出的，视同认可开标结果。</w:t>
      </w:r>
    </w:p>
    <w:p w14:paraId="2E5A64DA">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1.4</w:t>
      </w:r>
      <w:r>
        <w:rPr>
          <w:rFonts w:hint="eastAsia"/>
          <w:sz w:val="24"/>
          <w:szCs w:val="24"/>
          <w:highlight w:val="none"/>
        </w:rPr>
        <w:t>投标文件报价出现前后不一致的，按照下列规定修正：</w:t>
      </w:r>
    </w:p>
    <w:p w14:paraId="51E75527">
      <w:pPr>
        <w:numPr>
          <w:ilvl w:val="0"/>
          <w:numId w:val="16"/>
        </w:numPr>
        <w:spacing w:line="360" w:lineRule="auto"/>
        <w:ind w:firstLine="480" w:firstLineChars="200"/>
        <w:rPr>
          <w:sz w:val="24"/>
          <w:szCs w:val="24"/>
          <w:highlight w:val="none"/>
          <w:lang w:val="en-US"/>
        </w:rPr>
      </w:pPr>
      <w:r>
        <w:rPr>
          <w:rFonts w:hint="eastAsia"/>
          <w:sz w:val="24"/>
          <w:szCs w:val="24"/>
          <w:highlight w:val="none"/>
          <w:lang w:val="en-US"/>
        </w:rPr>
        <w:t>开标一览表内容与投标文件中相应内容不一致的，以开标一览表为准；</w:t>
      </w:r>
    </w:p>
    <w:p w14:paraId="0AC1B37F">
      <w:pPr>
        <w:numPr>
          <w:ilvl w:val="0"/>
          <w:numId w:val="16"/>
        </w:numPr>
        <w:spacing w:line="360" w:lineRule="auto"/>
        <w:ind w:firstLine="480" w:firstLineChars="200"/>
        <w:rPr>
          <w:sz w:val="24"/>
          <w:szCs w:val="24"/>
          <w:highlight w:val="none"/>
          <w:lang w:val="en-US"/>
        </w:rPr>
      </w:pPr>
      <w:r>
        <w:rPr>
          <w:rFonts w:hint="eastAsia"/>
          <w:sz w:val="24"/>
          <w:szCs w:val="24"/>
          <w:highlight w:val="none"/>
          <w:lang w:val="en-US"/>
        </w:rPr>
        <w:t>大写金额和小写金额不一致的，以大写金额为准；</w:t>
      </w:r>
    </w:p>
    <w:p w14:paraId="78696DC8">
      <w:pPr>
        <w:numPr>
          <w:ilvl w:val="0"/>
          <w:numId w:val="16"/>
        </w:numPr>
        <w:spacing w:line="360" w:lineRule="auto"/>
        <w:ind w:firstLine="480" w:firstLineChars="200"/>
        <w:rPr>
          <w:sz w:val="24"/>
          <w:szCs w:val="24"/>
          <w:highlight w:val="none"/>
          <w:lang w:val="en-US"/>
        </w:rPr>
      </w:pPr>
      <w:r>
        <w:rPr>
          <w:rFonts w:hint="eastAsia"/>
          <w:sz w:val="24"/>
          <w:szCs w:val="24"/>
          <w:highlight w:val="none"/>
          <w:lang w:val="en-US"/>
        </w:rPr>
        <w:t>单价金额小数点或者百分比有明显错位的，以开标一览表的总价为准，并修改单价；</w:t>
      </w:r>
    </w:p>
    <w:p w14:paraId="018D8687">
      <w:pPr>
        <w:numPr>
          <w:ilvl w:val="0"/>
          <w:numId w:val="16"/>
        </w:numPr>
        <w:spacing w:line="360" w:lineRule="auto"/>
        <w:ind w:firstLine="480" w:firstLineChars="200"/>
        <w:rPr>
          <w:sz w:val="24"/>
          <w:szCs w:val="24"/>
          <w:highlight w:val="none"/>
          <w:lang w:val="en-US"/>
        </w:rPr>
      </w:pPr>
      <w:r>
        <w:rPr>
          <w:rFonts w:hint="eastAsia"/>
          <w:sz w:val="24"/>
          <w:szCs w:val="24"/>
          <w:highlight w:val="none"/>
          <w:lang w:val="en-US"/>
        </w:rPr>
        <w:t>总价金额与按单价汇总金额不一致的，以单价金额计算结果为准；</w:t>
      </w:r>
    </w:p>
    <w:p w14:paraId="7292C928">
      <w:pPr>
        <w:numPr>
          <w:ilvl w:val="0"/>
          <w:numId w:val="16"/>
        </w:numPr>
        <w:spacing w:line="360" w:lineRule="auto"/>
        <w:ind w:firstLine="480" w:firstLineChars="200"/>
        <w:rPr>
          <w:sz w:val="24"/>
          <w:szCs w:val="24"/>
          <w:highlight w:val="none"/>
          <w:lang w:val="en-US"/>
        </w:rPr>
      </w:pPr>
      <w:r>
        <w:rPr>
          <w:rFonts w:hint="eastAsia"/>
          <w:sz w:val="24"/>
          <w:szCs w:val="24"/>
          <w:highlight w:val="none"/>
          <w:lang w:val="en-US"/>
        </w:rPr>
        <w:t>同时出现两种以上不一致的，按照前款规定的顺序修正。修正后的报价按照本章要求的规定经投标人确认后产生约束力，投标人不确认的，其投标无效。</w:t>
      </w:r>
    </w:p>
    <w:p w14:paraId="4F20C6C7">
      <w:pPr>
        <w:adjustRightInd w:val="0"/>
        <w:snapToGrid w:val="0"/>
        <w:spacing w:line="360" w:lineRule="auto"/>
        <w:ind w:firstLine="482" w:firstLineChars="200"/>
        <w:rPr>
          <w:b/>
          <w:bCs/>
          <w:sz w:val="24"/>
          <w:szCs w:val="24"/>
          <w:highlight w:val="none"/>
        </w:rPr>
      </w:pPr>
      <w:r>
        <w:rPr>
          <w:rFonts w:hint="eastAsia"/>
          <w:b/>
          <w:bCs/>
          <w:sz w:val="24"/>
          <w:szCs w:val="24"/>
          <w:highlight w:val="none"/>
          <w:lang w:val="en-US"/>
        </w:rPr>
        <w:t>2、</w:t>
      </w:r>
      <w:r>
        <w:rPr>
          <w:rFonts w:hint="eastAsia"/>
          <w:b/>
          <w:bCs/>
          <w:sz w:val="24"/>
          <w:szCs w:val="24"/>
          <w:highlight w:val="none"/>
        </w:rPr>
        <w:t>投标截止时间结束后参加投标的投标人不足三家或者通过资格审查或符合性审查的投标人不足三家的，除采购任务取消情形外，</w:t>
      </w:r>
      <w:r>
        <w:rPr>
          <w:rFonts w:hint="eastAsia"/>
          <w:b/>
          <w:bCs/>
          <w:sz w:val="24"/>
          <w:szCs w:val="24"/>
          <w:highlight w:val="none"/>
          <w:lang w:val="en-US"/>
        </w:rPr>
        <w:t>重新招标或者采购人履行审批手续后可以改为其他采购方式</w:t>
      </w:r>
      <w:r>
        <w:rPr>
          <w:rFonts w:hint="eastAsia"/>
          <w:b/>
          <w:bCs/>
          <w:sz w:val="24"/>
          <w:szCs w:val="24"/>
          <w:highlight w:val="none"/>
        </w:rPr>
        <w:t>。</w:t>
      </w:r>
    </w:p>
    <w:p w14:paraId="421C10F4">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lang w:val="en-US"/>
        </w:rPr>
        <w:t>3、</w:t>
      </w:r>
      <w:r>
        <w:rPr>
          <w:rFonts w:hint="eastAsia" w:ascii="宋体" w:eastAsia="宋体" w:cs="宋体"/>
          <w:b/>
          <w:bCs/>
          <w:sz w:val="24"/>
          <w:szCs w:val="24"/>
          <w:highlight w:val="none"/>
        </w:rPr>
        <w:t>评标</w:t>
      </w:r>
    </w:p>
    <w:p w14:paraId="32539250">
      <w:pPr>
        <w:pStyle w:val="5"/>
        <w:adjustRightInd w:val="0"/>
        <w:snapToGrid w:val="0"/>
        <w:spacing w:line="360" w:lineRule="auto"/>
        <w:ind w:left="0" w:firstLine="482" w:firstLineChars="200"/>
        <w:rPr>
          <w:highlight w:val="none"/>
        </w:rPr>
      </w:pPr>
      <w:r>
        <w:rPr>
          <w:rFonts w:hint="eastAsia"/>
          <w:highlight w:val="none"/>
          <w:lang w:val="en-US"/>
        </w:rPr>
        <w:t>3.1</w:t>
      </w:r>
      <w:r>
        <w:rPr>
          <w:rFonts w:hint="eastAsia"/>
          <w:highlight w:val="none"/>
        </w:rPr>
        <w:t>评标组织</w:t>
      </w:r>
    </w:p>
    <w:p w14:paraId="407732AA">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3.1.1</w:t>
      </w:r>
      <w:r>
        <w:rPr>
          <w:rFonts w:hint="eastAsia"/>
          <w:sz w:val="24"/>
          <w:szCs w:val="24"/>
          <w:highlight w:val="none"/>
        </w:rPr>
        <w:t>评标工作由</w:t>
      </w:r>
      <w:r>
        <w:rPr>
          <w:rFonts w:hint="eastAsia"/>
          <w:sz w:val="24"/>
          <w:szCs w:val="24"/>
          <w:highlight w:val="none"/>
          <w:lang w:val="en-US"/>
        </w:rPr>
        <w:t>采购代理机构</w:t>
      </w:r>
      <w:r>
        <w:rPr>
          <w:rFonts w:hint="eastAsia"/>
          <w:sz w:val="24"/>
          <w:szCs w:val="24"/>
          <w:highlight w:val="none"/>
        </w:rPr>
        <w:t>负责组织，具体评标事务由依法组建的评标委员会负责，并独立履行下列职责：</w:t>
      </w:r>
    </w:p>
    <w:p w14:paraId="52EFBBC3">
      <w:pPr>
        <w:numPr>
          <w:ilvl w:val="0"/>
          <w:numId w:val="17"/>
        </w:numPr>
        <w:spacing w:line="360" w:lineRule="auto"/>
        <w:ind w:firstLine="480" w:firstLineChars="200"/>
        <w:rPr>
          <w:sz w:val="24"/>
          <w:szCs w:val="24"/>
          <w:highlight w:val="none"/>
          <w:lang w:val="en-US"/>
        </w:rPr>
      </w:pPr>
      <w:r>
        <w:rPr>
          <w:rFonts w:hint="eastAsia"/>
          <w:sz w:val="24"/>
          <w:szCs w:val="24"/>
          <w:highlight w:val="none"/>
          <w:lang w:val="en-US"/>
        </w:rPr>
        <w:t>审查、评价投标文件是否符合招标文件的商务、技术等实质性要求；</w:t>
      </w:r>
    </w:p>
    <w:p w14:paraId="757B8711">
      <w:pPr>
        <w:numPr>
          <w:ilvl w:val="0"/>
          <w:numId w:val="17"/>
        </w:numPr>
        <w:spacing w:line="360" w:lineRule="auto"/>
        <w:ind w:firstLine="480" w:firstLineChars="200"/>
        <w:rPr>
          <w:sz w:val="24"/>
          <w:szCs w:val="24"/>
          <w:highlight w:val="none"/>
          <w:lang w:val="en-US"/>
        </w:rPr>
      </w:pPr>
      <w:r>
        <w:rPr>
          <w:rFonts w:hint="eastAsia"/>
          <w:sz w:val="24"/>
          <w:szCs w:val="24"/>
          <w:highlight w:val="none"/>
          <w:lang w:val="en-US"/>
        </w:rPr>
        <w:t>要求投标人对投标文件有关事项作出澄清或者说明；</w:t>
      </w:r>
    </w:p>
    <w:p w14:paraId="751C69CF">
      <w:pPr>
        <w:numPr>
          <w:ilvl w:val="0"/>
          <w:numId w:val="17"/>
        </w:numPr>
        <w:spacing w:line="360" w:lineRule="auto"/>
        <w:ind w:firstLine="480" w:firstLineChars="200"/>
        <w:rPr>
          <w:sz w:val="24"/>
          <w:szCs w:val="24"/>
          <w:highlight w:val="none"/>
          <w:lang w:val="en-US"/>
        </w:rPr>
      </w:pPr>
      <w:r>
        <w:rPr>
          <w:rFonts w:hint="eastAsia"/>
          <w:sz w:val="24"/>
          <w:szCs w:val="24"/>
          <w:highlight w:val="none"/>
          <w:lang w:val="en-US"/>
        </w:rPr>
        <w:t>对投标文件进行比较和评价；</w:t>
      </w:r>
    </w:p>
    <w:p w14:paraId="79155585">
      <w:pPr>
        <w:numPr>
          <w:ilvl w:val="0"/>
          <w:numId w:val="17"/>
        </w:numPr>
        <w:spacing w:line="360" w:lineRule="auto"/>
        <w:ind w:firstLine="480" w:firstLineChars="200"/>
        <w:rPr>
          <w:sz w:val="24"/>
          <w:szCs w:val="24"/>
          <w:highlight w:val="none"/>
          <w:lang w:val="en-US"/>
        </w:rPr>
      </w:pPr>
      <w:r>
        <w:rPr>
          <w:rFonts w:hint="eastAsia"/>
          <w:sz w:val="24"/>
          <w:szCs w:val="24"/>
          <w:highlight w:val="none"/>
          <w:lang w:val="en-US"/>
        </w:rPr>
        <w:t>确定中标候选人名单，以及根据采购人委托直接确定中标人；</w:t>
      </w:r>
    </w:p>
    <w:p w14:paraId="1E1AF630">
      <w:pPr>
        <w:numPr>
          <w:ilvl w:val="0"/>
          <w:numId w:val="17"/>
        </w:numPr>
        <w:spacing w:line="360" w:lineRule="auto"/>
        <w:ind w:firstLine="480" w:firstLineChars="200"/>
        <w:rPr>
          <w:sz w:val="24"/>
          <w:szCs w:val="24"/>
          <w:highlight w:val="none"/>
          <w:lang w:val="en-US"/>
        </w:rPr>
      </w:pPr>
      <w:r>
        <w:rPr>
          <w:rFonts w:hint="eastAsia"/>
          <w:sz w:val="24"/>
          <w:szCs w:val="24"/>
          <w:highlight w:val="none"/>
          <w:lang w:val="en-US"/>
        </w:rPr>
        <w:t>向采购人、采购代理机构或者有关部门报告评标中发现的违法行为。</w:t>
      </w:r>
    </w:p>
    <w:p w14:paraId="22DCF100">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3.1.2</w:t>
      </w:r>
      <w:r>
        <w:rPr>
          <w:rFonts w:hint="eastAsia"/>
          <w:sz w:val="24"/>
          <w:szCs w:val="24"/>
          <w:highlight w:val="none"/>
        </w:rPr>
        <w:t>评标委员会由财政部门设立的政府采购评审专家库中随机方式抽取的评审专家及采购人代表组成，独立开展评审工作。</w:t>
      </w:r>
    </w:p>
    <w:p w14:paraId="564FDABA">
      <w:pPr>
        <w:pStyle w:val="5"/>
        <w:adjustRightInd w:val="0"/>
        <w:snapToGrid w:val="0"/>
        <w:spacing w:line="360" w:lineRule="auto"/>
        <w:ind w:left="0" w:firstLine="482" w:firstLineChars="200"/>
        <w:rPr>
          <w:highlight w:val="none"/>
        </w:rPr>
      </w:pPr>
      <w:r>
        <w:rPr>
          <w:rFonts w:hint="eastAsia"/>
          <w:highlight w:val="none"/>
          <w:lang w:val="en-US"/>
        </w:rPr>
        <w:t>3.2</w:t>
      </w:r>
      <w:r>
        <w:rPr>
          <w:rFonts w:hint="eastAsia"/>
          <w:highlight w:val="none"/>
        </w:rPr>
        <w:t>评标程序</w:t>
      </w:r>
    </w:p>
    <w:p w14:paraId="31DAD800">
      <w:pPr>
        <w:pStyle w:val="26"/>
        <w:adjustRightInd w:val="0"/>
        <w:snapToGrid w:val="0"/>
        <w:spacing w:line="360" w:lineRule="auto"/>
        <w:ind w:left="0" w:firstLine="482" w:firstLineChars="200"/>
        <w:rPr>
          <w:b/>
          <w:sz w:val="24"/>
          <w:szCs w:val="24"/>
          <w:highlight w:val="none"/>
          <w:lang w:val="en-US"/>
        </w:rPr>
      </w:pPr>
      <w:r>
        <w:rPr>
          <w:rFonts w:hint="eastAsia"/>
          <w:b/>
          <w:sz w:val="24"/>
          <w:szCs w:val="24"/>
          <w:highlight w:val="none"/>
          <w:lang w:val="en-US"/>
        </w:rPr>
        <w:t>3.2.1</w:t>
      </w:r>
      <w:r>
        <w:rPr>
          <w:rFonts w:hint="eastAsia"/>
          <w:b/>
          <w:sz w:val="24"/>
          <w:szCs w:val="24"/>
          <w:highlight w:val="none"/>
        </w:rPr>
        <w:t>投标文件的资格性检查。</w:t>
      </w:r>
      <w:r>
        <w:rPr>
          <w:rFonts w:hint="eastAsia"/>
          <w:sz w:val="24"/>
          <w:szCs w:val="24"/>
          <w:highlight w:val="none"/>
        </w:rPr>
        <w:t>开标结束后，采购人代表</w:t>
      </w:r>
      <w:r>
        <w:rPr>
          <w:rFonts w:hint="eastAsia"/>
          <w:sz w:val="24"/>
          <w:szCs w:val="24"/>
          <w:highlight w:val="none"/>
          <w:lang w:val="en-US"/>
        </w:rPr>
        <w:t>或者招标代理机构</w:t>
      </w:r>
      <w:r>
        <w:rPr>
          <w:rFonts w:hint="eastAsia"/>
          <w:sz w:val="24"/>
          <w:szCs w:val="24"/>
          <w:highlight w:val="none"/>
        </w:rPr>
        <w:t>依法对供应商的资格进行审查，以确定投标人是否具备投标资格。</w:t>
      </w:r>
      <w:r>
        <w:rPr>
          <w:rFonts w:hint="eastAsia"/>
          <w:b/>
          <w:sz w:val="24"/>
          <w:szCs w:val="24"/>
          <w:highlight w:val="none"/>
        </w:rPr>
        <w:t>资格性审查详见</w:t>
      </w:r>
      <w:r>
        <w:rPr>
          <w:rFonts w:hint="eastAsia"/>
          <w:b/>
          <w:sz w:val="24"/>
          <w:szCs w:val="24"/>
          <w:highlight w:val="none"/>
          <w:lang w:val="en-US"/>
        </w:rPr>
        <w:t>第四章</w:t>
      </w:r>
      <w:r>
        <w:rPr>
          <w:rFonts w:hint="eastAsia"/>
          <w:b/>
          <w:sz w:val="24"/>
          <w:szCs w:val="24"/>
          <w:highlight w:val="none"/>
        </w:rPr>
        <w:t>《资格性审查方法及标准》。</w:t>
      </w:r>
    </w:p>
    <w:p w14:paraId="385A6A5A">
      <w:pPr>
        <w:adjustRightInd w:val="0"/>
        <w:snapToGrid w:val="0"/>
        <w:spacing w:line="360" w:lineRule="auto"/>
        <w:ind w:firstLine="482" w:firstLineChars="200"/>
        <w:rPr>
          <w:sz w:val="24"/>
          <w:szCs w:val="24"/>
          <w:highlight w:val="none"/>
        </w:rPr>
      </w:pPr>
      <w:r>
        <w:rPr>
          <w:rFonts w:hint="eastAsia"/>
          <w:b/>
          <w:sz w:val="24"/>
          <w:szCs w:val="24"/>
          <w:highlight w:val="none"/>
          <w:lang w:val="en-US"/>
        </w:rPr>
        <w:t>3.2.2</w:t>
      </w:r>
      <w:r>
        <w:rPr>
          <w:rFonts w:hint="eastAsia"/>
          <w:b/>
          <w:sz w:val="24"/>
          <w:szCs w:val="24"/>
          <w:highlight w:val="none"/>
        </w:rPr>
        <w:t>投标文件的符合性检查</w:t>
      </w:r>
      <w:r>
        <w:rPr>
          <w:rFonts w:hint="eastAsia"/>
          <w:sz w:val="24"/>
          <w:szCs w:val="24"/>
          <w:highlight w:val="none"/>
        </w:rPr>
        <w:t>。评标委员会应当对符合资格的投标人的投标文件进行符合性审查，以确定其是否满足招标文件的实质性要求</w:t>
      </w:r>
      <w:r>
        <w:rPr>
          <w:rFonts w:hint="eastAsia"/>
          <w:b/>
          <w:sz w:val="24"/>
          <w:szCs w:val="24"/>
          <w:highlight w:val="none"/>
        </w:rPr>
        <w:t>。</w:t>
      </w:r>
      <w:r>
        <w:rPr>
          <w:rFonts w:hint="eastAsia"/>
          <w:b/>
          <w:sz w:val="24"/>
          <w:szCs w:val="24"/>
          <w:highlight w:val="none"/>
          <w:lang w:val="en-US"/>
        </w:rPr>
        <w:t>符合性</w:t>
      </w:r>
      <w:r>
        <w:rPr>
          <w:rFonts w:hint="eastAsia"/>
          <w:b/>
          <w:sz w:val="24"/>
          <w:szCs w:val="24"/>
          <w:highlight w:val="none"/>
        </w:rPr>
        <w:t>审查详见</w:t>
      </w:r>
      <w:r>
        <w:rPr>
          <w:rFonts w:hint="eastAsia"/>
          <w:b/>
          <w:sz w:val="24"/>
          <w:szCs w:val="24"/>
          <w:highlight w:val="none"/>
          <w:lang w:val="en-US"/>
        </w:rPr>
        <w:t>第四章</w:t>
      </w:r>
      <w:r>
        <w:rPr>
          <w:rFonts w:hint="eastAsia"/>
          <w:b/>
          <w:sz w:val="24"/>
          <w:szCs w:val="24"/>
          <w:highlight w:val="none"/>
        </w:rPr>
        <w:t>《</w:t>
      </w:r>
      <w:r>
        <w:rPr>
          <w:rFonts w:hint="eastAsia"/>
          <w:b/>
          <w:sz w:val="24"/>
          <w:szCs w:val="24"/>
          <w:highlight w:val="none"/>
          <w:lang w:val="en-US"/>
        </w:rPr>
        <w:t>符合</w:t>
      </w:r>
      <w:r>
        <w:rPr>
          <w:rFonts w:hint="eastAsia"/>
          <w:b/>
          <w:sz w:val="24"/>
          <w:szCs w:val="24"/>
          <w:highlight w:val="none"/>
        </w:rPr>
        <w:t>性审查方法及标准》</w:t>
      </w:r>
      <w:r>
        <w:rPr>
          <w:rFonts w:hint="eastAsia"/>
          <w:bCs/>
          <w:sz w:val="24"/>
          <w:szCs w:val="24"/>
          <w:highlight w:val="none"/>
        </w:rPr>
        <w:t>。</w:t>
      </w:r>
    </w:p>
    <w:p w14:paraId="732A4BCE">
      <w:pPr>
        <w:pStyle w:val="9"/>
        <w:spacing w:line="360" w:lineRule="auto"/>
        <w:ind w:firstLine="482" w:firstLineChars="200"/>
        <w:jc w:val="left"/>
        <w:rPr>
          <w:highlight w:val="none"/>
        </w:rPr>
      </w:pPr>
      <w:r>
        <w:rPr>
          <w:rFonts w:hint="eastAsia"/>
          <w:highlight w:val="none"/>
          <w:lang w:val="en-US"/>
        </w:rPr>
        <w:t>3.2.3</w:t>
      </w:r>
      <w:r>
        <w:rPr>
          <w:rFonts w:hint="eastAsia"/>
          <w:highlight w:val="none"/>
        </w:rPr>
        <w:t>在评标期间，出现符合专业条件的投标人或者对招标文件作出实质性响应的投标人不足三家情形的，比照本章四、开标、评标与确定中标人</w:t>
      </w:r>
      <w:r>
        <w:rPr>
          <w:rFonts w:hint="eastAsia"/>
          <w:highlight w:val="none"/>
          <w:lang w:val="en-US"/>
        </w:rPr>
        <w:t>1</w:t>
      </w:r>
      <w:r>
        <w:rPr>
          <w:rFonts w:hint="eastAsia"/>
          <w:highlight w:val="none"/>
        </w:rPr>
        <w:t>.</w:t>
      </w:r>
      <w:r>
        <w:rPr>
          <w:rFonts w:hint="eastAsia"/>
          <w:highlight w:val="none"/>
          <w:lang w:val="en-US"/>
        </w:rPr>
        <w:t>5</w:t>
      </w:r>
      <w:r>
        <w:rPr>
          <w:rFonts w:hint="eastAsia"/>
          <w:highlight w:val="none"/>
        </w:rPr>
        <w:t>规定要求执行。</w:t>
      </w:r>
    </w:p>
    <w:p w14:paraId="289190FB">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3.2.4</w:t>
      </w:r>
      <w:r>
        <w:rPr>
          <w:rFonts w:hint="eastAsia"/>
          <w:sz w:val="24"/>
          <w:szCs w:val="24"/>
          <w:highlight w:val="none"/>
        </w:rPr>
        <w:t>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p>
    <w:p w14:paraId="6A626FFE">
      <w:pPr>
        <w:pStyle w:val="26"/>
        <w:adjustRightInd w:val="0"/>
        <w:snapToGrid w:val="0"/>
        <w:spacing w:line="360" w:lineRule="auto"/>
        <w:ind w:left="0" w:firstLine="480" w:firstLineChars="200"/>
        <w:rPr>
          <w:sz w:val="24"/>
          <w:szCs w:val="24"/>
          <w:highlight w:val="none"/>
          <w:lang w:val="en-US"/>
        </w:rPr>
      </w:pPr>
      <w:r>
        <w:rPr>
          <w:rFonts w:hint="eastAsia"/>
          <w:sz w:val="24"/>
          <w:szCs w:val="24"/>
          <w:highlight w:val="none"/>
          <w:lang w:val="en-US"/>
        </w:rPr>
        <w:t>3.2.5比较与评价。评标委员会应当按照招标文件中规定的评标方法和标准，对符合性审查合格的投标文件进行商务和技术评估，综合比较与评价。</w:t>
      </w:r>
    </w:p>
    <w:p w14:paraId="20339FFB">
      <w:pPr>
        <w:pStyle w:val="26"/>
        <w:adjustRightInd w:val="0"/>
        <w:snapToGrid w:val="0"/>
        <w:spacing w:line="360" w:lineRule="auto"/>
        <w:ind w:left="0" w:firstLine="480" w:firstLineChars="200"/>
        <w:rPr>
          <w:sz w:val="24"/>
          <w:szCs w:val="24"/>
          <w:highlight w:val="none"/>
          <w:lang w:val="en-US"/>
        </w:rPr>
      </w:pPr>
      <w:r>
        <w:rPr>
          <w:rFonts w:hint="eastAsia"/>
          <w:sz w:val="24"/>
          <w:szCs w:val="24"/>
          <w:highlight w:val="none"/>
          <w:lang w:val="en-US"/>
        </w:rPr>
        <w:t>3.2.6投标人在开、评标全过程中应保持通讯畅通，及时登录苏采云系统查阅、答复相关信息，并安排专人与代理机构及评委会联系。</w:t>
      </w:r>
    </w:p>
    <w:p w14:paraId="56C91DE4">
      <w:pPr>
        <w:pStyle w:val="26"/>
        <w:adjustRightInd w:val="0"/>
        <w:snapToGrid w:val="0"/>
        <w:spacing w:line="360" w:lineRule="auto"/>
        <w:ind w:left="0" w:firstLine="482" w:firstLineChars="200"/>
        <w:rPr>
          <w:b/>
          <w:bCs/>
          <w:sz w:val="24"/>
          <w:szCs w:val="24"/>
          <w:highlight w:val="none"/>
          <w:lang w:val="en-US"/>
        </w:rPr>
      </w:pPr>
      <w:r>
        <w:rPr>
          <w:rFonts w:hint="eastAsia"/>
          <w:b/>
          <w:bCs/>
          <w:sz w:val="24"/>
          <w:szCs w:val="24"/>
          <w:highlight w:val="none"/>
          <w:lang w:val="en-US"/>
        </w:rPr>
        <w:t>3.2.7关于异常低价的审查</w:t>
      </w:r>
    </w:p>
    <w:p w14:paraId="2CA6C565">
      <w:pPr>
        <w:pStyle w:val="26"/>
        <w:adjustRightInd w:val="0"/>
        <w:snapToGrid w:val="0"/>
        <w:spacing w:line="360" w:lineRule="auto"/>
        <w:ind w:left="0" w:firstLine="480" w:firstLineChars="200"/>
        <w:rPr>
          <w:sz w:val="24"/>
          <w:szCs w:val="24"/>
          <w:highlight w:val="none"/>
          <w:lang w:val="en-US"/>
        </w:rPr>
      </w:pPr>
      <w:r>
        <w:rPr>
          <w:rFonts w:hint="eastAsia"/>
          <w:sz w:val="24"/>
          <w:szCs w:val="24"/>
          <w:highlight w:val="none"/>
          <w:lang w:val="en-US"/>
        </w:rPr>
        <w:t xml:space="preserve">3.2.7.1评审过程中出现下列情形之一的，评审委员会应当启动异常低价投标（响应）审查程序： </w:t>
      </w:r>
    </w:p>
    <w:p w14:paraId="59764049">
      <w:pPr>
        <w:pStyle w:val="26"/>
        <w:adjustRightInd w:val="0"/>
        <w:snapToGrid w:val="0"/>
        <w:spacing w:line="360" w:lineRule="auto"/>
        <w:ind w:left="0" w:firstLine="480" w:firstLineChars="200"/>
        <w:rPr>
          <w:sz w:val="24"/>
          <w:szCs w:val="24"/>
          <w:highlight w:val="none"/>
          <w:lang w:val="en-US"/>
        </w:rPr>
      </w:pPr>
      <w:r>
        <w:rPr>
          <w:rFonts w:hint="eastAsia"/>
          <w:sz w:val="24"/>
          <w:szCs w:val="24"/>
          <w:highlight w:val="none"/>
          <w:lang w:val="en-US"/>
        </w:rPr>
        <w:t xml:space="preserve">①投标（响应）报价低于全部通过符合性审查供应商投标（响应）报价平均值50%的，即投标（响应）报价&lt;全部通过符合性审查供应商投标（响应）报价平均值×50%； </w:t>
      </w:r>
    </w:p>
    <w:p w14:paraId="073C1AF3">
      <w:pPr>
        <w:pStyle w:val="26"/>
        <w:adjustRightInd w:val="0"/>
        <w:snapToGrid w:val="0"/>
        <w:spacing w:line="360" w:lineRule="auto"/>
        <w:ind w:left="0" w:firstLine="480" w:firstLineChars="200"/>
        <w:rPr>
          <w:sz w:val="24"/>
          <w:szCs w:val="24"/>
          <w:highlight w:val="none"/>
          <w:lang w:val="en-US"/>
        </w:rPr>
      </w:pPr>
      <w:r>
        <w:rPr>
          <w:rFonts w:hint="eastAsia"/>
          <w:sz w:val="24"/>
          <w:szCs w:val="24"/>
          <w:highlight w:val="none"/>
          <w:lang w:val="en-US"/>
        </w:rPr>
        <w:t xml:space="preserve">②投标（响应）报价低于通过符合性审查的次低报价供应商投标（响应）报价50%的，即投标（响应）报价&lt;通过符合性审查的次低报价供应商投标（响应）报价×50%； </w:t>
      </w:r>
    </w:p>
    <w:p w14:paraId="0C8624AB">
      <w:pPr>
        <w:pStyle w:val="26"/>
        <w:adjustRightInd w:val="0"/>
        <w:snapToGrid w:val="0"/>
        <w:spacing w:line="360" w:lineRule="auto"/>
        <w:ind w:left="0" w:firstLine="480" w:firstLineChars="200"/>
        <w:rPr>
          <w:sz w:val="24"/>
          <w:szCs w:val="24"/>
          <w:highlight w:val="none"/>
          <w:lang w:val="en-US"/>
        </w:rPr>
      </w:pPr>
      <w:r>
        <w:rPr>
          <w:rFonts w:hint="eastAsia"/>
          <w:sz w:val="24"/>
          <w:szCs w:val="24"/>
          <w:highlight w:val="none"/>
          <w:lang w:val="en-US"/>
        </w:rPr>
        <w:t xml:space="preserve">③投标（响应）报价低于采购项目最高限价45%的，即投标（响应）报价&lt;采购项目最高限价×45%； </w:t>
      </w:r>
    </w:p>
    <w:p w14:paraId="49986308">
      <w:pPr>
        <w:pStyle w:val="26"/>
        <w:adjustRightInd w:val="0"/>
        <w:snapToGrid w:val="0"/>
        <w:spacing w:line="360" w:lineRule="auto"/>
        <w:ind w:left="0" w:firstLine="480" w:firstLineChars="200"/>
        <w:rPr>
          <w:sz w:val="24"/>
          <w:szCs w:val="24"/>
          <w:highlight w:val="none"/>
          <w:lang w:val="en-US"/>
        </w:rPr>
      </w:pPr>
      <w:r>
        <w:rPr>
          <w:rFonts w:hint="eastAsia"/>
          <w:sz w:val="24"/>
          <w:szCs w:val="24"/>
          <w:highlight w:val="none"/>
          <w:lang w:val="en-US"/>
        </w:rPr>
        <w:t>④评审委员会基于专业判断，认为供应商报价过低，有可能影响产品质量或者不能诚信履约的其他情形。</w:t>
      </w:r>
    </w:p>
    <w:p w14:paraId="6A887BB3">
      <w:pPr>
        <w:pStyle w:val="26"/>
        <w:adjustRightInd w:val="0"/>
        <w:snapToGrid w:val="0"/>
        <w:spacing w:line="360" w:lineRule="auto"/>
        <w:ind w:left="0" w:firstLine="480" w:firstLineChars="200"/>
        <w:rPr>
          <w:sz w:val="24"/>
          <w:szCs w:val="24"/>
          <w:highlight w:val="none"/>
          <w:lang w:val="en-US"/>
        </w:rPr>
      </w:pPr>
      <w:r>
        <w:rPr>
          <w:rFonts w:hint="eastAsia"/>
          <w:sz w:val="24"/>
          <w:szCs w:val="24"/>
          <w:highlight w:val="none"/>
          <w:lang w:val="en-US"/>
        </w:rPr>
        <w:t>3.2.7.2启动异常低价投标（响应）审查后，评审委员会应当要求相关供应商在评标现场合理的时间内，对投标（响应）价格作出解释，提供项目具体成本测算等与报价合理性相关的书面说明及必要的证明材料，包括但不限于原材料成本、人工成本、制造费用等，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并在评审报告中进行记录。</w:t>
      </w:r>
    </w:p>
    <w:p w14:paraId="39947FE0">
      <w:pPr>
        <w:pStyle w:val="5"/>
        <w:adjustRightInd w:val="0"/>
        <w:snapToGrid w:val="0"/>
        <w:spacing w:line="360" w:lineRule="auto"/>
        <w:ind w:left="0" w:firstLine="482" w:firstLineChars="200"/>
        <w:rPr>
          <w:highlight w:val="none"/>
        </w:rPr>
      </w:pPr>
      <w:r>
        <w:rPr>
          <w:rFonts w:hint="eastAsia"/>
          <w:highlight w:val="none"/>
          <w:lang w:val="en-US"/>
        </w:rPr>
        <w:t>3.3</w:t>
      </w:r>
      <w:r>
        <w:rPr>
          <w:rFonts w:hint="eastAsia"/>
          <w:highlight w:val="none"/>
        </w:rPr>
        <w:t>评标方法和标准</w:t>
      </w:r>
    </w:p>
    <w:p w14:paraId="3B617BC9">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3.3.1</w:t>
      </w:r>
      <w:r>
        <w:rPr>
          <w:rFonts w:hint="eastAsia"/>
          <w:sz w:val="24"/>
          <w:szCs w:val="24"/>
          <w:highlight w:val="none"/>
        </w:rPr>
        <w:t>采用综合评分法。即投标文件满足招标文件全部实质性要求，且按照评审因素的量化指标评审得分最高的投标人为中标候选人的评标方法。</w:t>
      </w:r>
    </w:p>
    <w:p w14:paraId="292BDFC9">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3.3.2</w:t>
      </w:r>
      <w:r>
        <w:rPr>
          <w:rFonts w:hint="eastAsia"/>
          <w:sz w:val="24"/>
          <w:szCs w:val="24"/>
          <w:highlight w:val="none"/>
        </w:rPr>
        <w:t>评标标准及评审因素详见</w:t>
      </w:r>
      <w:r>
        <w:rPr>
          <w:rFonts w:hint="eastAsia"/>
          <w:sz w:val="24"/>
          <w:szCs w:val="24"/>
          <w:highlight w:val="none"/>
          <w:lang w:val="en-US"/>
        </w:rPr>
        <w:t>招标</w:t>
      </w:r>
      <w:r>
        <w:rPr>
          <w:rFonts w:hint="eastAsia"/>
          <w:sz w:val="24"/>
          <w:szCs w:val="24"/>
          <w:highlight w:val="none"/>
        </w:rPr>
        <w:t>文件第四章。</w:t>
      </w:r>
    </w:p>
    <w:p w14:paraId="5C1056A2">
      <w:pPr>
        <w:pStyle w:val="5"/>
        <w:adjustRightInd w:val="0"/>
        <w:snapToGrid w:val="0"/>
        <w:spacing w:line="360" w:lineRule="auto"/>
        <w:ind w:left="0" w:firstLine="482" w:firstLineChars="200"/>
        <w:rPr>
          <w:highlight w:val="none"/>
        </w:rPr>
      </w:pPr>
      <w:r>
        <w:rPr>
          <w:rFonts w:hint="eastAsia"/>
          <w:highlight w:val="none"/>
          <w:lang w:val="en-US"/>
        </w:rPr>
        <w:t>3.4</w:t>
      </w:r>
      <w:r>
        <w:rPr>
          <w:rFonts w:hint="eastAsia"/>
          <w:highlight w:val="none"/>
        </w:rPr>
        <w:t>特别说明</w:t>
      </w:r>
    </w:p>
    <w:p w14:paraId="6F629D92">
      <w:pPr>
        <w:adjustRightInd w:val="0"/>
        <w:snapToGrid w:val="0"/>
        <w:spacing w:line="360" w:lineRule="auto"/>
        <w:ind w:firstLine="480" w:firstLineChars="200"/>
        <w:rPr>
          <w:sz w:val="24"/>
          <w:szCs w:val="24"/>
          <w:highlight w:val="none"/>
        </w:rPr>
      </w:pPr>
      <w:r>
        <w:rPr>
          <w:rFonts w:hint="eastAsia"/>
          <w:sz w:val="24"/>
          <w:szCs w:val="24"/>
          <w:highlight w:val="none"/>
          <w:lang w:val="en-US"/>
        </w:rPr>
        <w:t>3.4.1</w:t>
      </w:r>
      <w:r>
        <w:rPr>
          <w:rFonts w:hint="eastAsia"/>
          <w:sz w:val="24"/>
          <w:szCs w:val="24"/>
          <w:highlight w:val="none"/>
        </w:rPr>
        <w:t>评标委员会认为投标人的报价明显低于其他通过符合性审查投标人的报价，有可能影响服务质量或者不能诚信履约的，投标人应在评标现场合理的时间内提供书面说明，必要时提交相关证明材料；投标人不能证明其报价合理性的，评标委员会将其作为无效投标处理。</w:t>
      </w:r>
    </w:p>
    <w:p w14:paraId="675DCD9C">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3.4.2</w:t>
      </w:r>
      <w:r>
        <w:rPr>
          <w:rFonts w:hint="eastAsia"/>
          <w:sz w:val="24"/>
          <w:szCs w:val="24"/>
          <w:highlight w:val="none"/>
        </w:rPr>
        <w:t>如发生上述情形的，投标人应保持其投标文件上联系方式的通讯畅通；投标人法定代表人或授权代表也可以直接在开标大厅等候。如</w:t>
      </w:r>
      <w:r>
        <w:rPr>
          <w:rFonts w:hint="eastAsia"/>
          <w:sz w:val="24"/>
          <w:szCs w:val="24"/>
          <w:highlight w:val="none"/>
          <w:lang w:val="en-US"/>
        </w:rPr>
        <w:t>采购代理机构</w:t>
      </w:r>
      <w:r>
        <w:rPr>
          <w:rFonts w:hint="eastAsia"/>
          <w:sz w:val="24"/>
          <w:szCs w:val="24"/>
          <w:highlight w:val="none"/>
        </w:rPr>
        <w:t>或评标委员会联系未果（在十分钟内联系五次）或者投标人在二十分钟内未按时提交书面说明，则视为投标人放弃上述权利，评标委员会将其作为无效投标处理。</w:t>
      </w:r>
    </w:p>
    <w:p w14:paraId="77E5C815">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rPr>
        <w:t>4、确定中标候选人</w:t>
      </w:r>
    </w:p>
    <w:p w14:paraId="6060C6D2">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4.1</w:t>
      </w:r>
      <w:r>
        <w:rPr>
          <w:rFonts w:hint="eastAsia"/>
          <w:sz w:val="24"/>
          <w:szCs w:val="24"/>
          <w:highlight w:val="none"/>
        </w:rPr>
        <w:t>评标时，评标委员会各成员将独立对每个投标人的投标文件进行评价，并汇总每个投标人的得分。</w:t>
      </w:r>
    </w:p>
    <w:p w14:paraId="5F01CDEA">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4.2</w:t>
      </w:r>
      <w:r>
        <w:rPr>
          <w:rFonts w:hint="eastAsia"/>
          <w:sz w:val="24"/>
          <w:szCs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B444963">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4.3</w:t>
      </w:r>
      <w:r>
        <w:rPr>
          <w:rFonts w:hint="eastAsia"/>
          <w:sz w:val="24"/>
          <w:szCs w:val="24"/>
          <w:highlight w:val="none"/>
        </w:rPr>
        <w:t>评标委员会根据全体评标成员签字的原始评标记录和评标结果编写评标报告。</w:t>
      </w:r>
    </w:p>
    <w:p w14:paraId="1BB32B68">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rPr>
        <w:t>5、确定中标人</w:t>
      </w:r>
    </w:p>
    <w:p w14:paraId="4C908D09">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5.1</w:t>
      </w:r>
      <w:r>
        <w:rPr>
          <w:rFonts w:hint="eastAsia"/>
          <w:sz w:val="24"/>
          <w:szCs w:val="24"/>
          <w:highlight w:val="none"/>
        </w:rPr>
        <w:t>评标结果确定后，采购人在评标现场可根据中标候选人名单委托直接确定中标人。</w:t>
      </w:r>
    </w:p>
    <w:p w14:paraId="69F836D1">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5.2</w:t>
      </w:r>
      <w:r>
        <w:rPr>
          <w:rFonts w:hint="eastAsia"/>
          <w:sz w:val="24"/>
          <w:szCs w:val="24"/>
          <w:highlight w:val="none"/>
        </w:rPr>
        <w:t>采购人如未委托直接确定中标人的，</w:t>
      </w:r>
      <w:r>
        <w:rPr>
          <w:rFonts w:hint="eastAsia"/>
          <w:sz w:val="24"/>
          <w:szCs w:val="24"/>
          <w:highlight w:val="none"/>
          <w:lang w:val="en-US"/>
        </w:rPr>
        <w:t>采购代理机构</w:t>
      </w:r>
      <w:r>
        <w:rPr>
          <w:rFonts w:hint="eastAsia"/>
          <w:sz w:val="24"/>
          <w:szCs w:val="24"/>
          <w:highlight w:val="none"/>
        </w:rPr>
        <w:t>在评标结束后 2 个工作日内将评标报告送采购人。采购人在收到评标报告 5 个工作日内，在评标报告确定的中标候选人名单中按顺序确定中标人。中标候选人并列的，由采购人或者采购人委托评标委员会按照随机抽取的方式确定。</w:t>
      </w:r>
    </w:p>
    <w:p w14:paraId="1875062F">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5.3采购代理机构</w:t>
      </w:r>
      <w:r>
        <w:rPr>
          <w:rFonts w:hint="eastAsia"/>
          <w:sz w:val="24"/>
          <w:szCs w:val="24"/>
          <w:highlight w:val="none"/>
        </w:rPr>
        <w:t>自中标人确定之日起 2 个工作日内，将中标结果在原招标公告发布媒体进行公示，</w:t>
      </w:r>
      <w:r>
        <w:rPr>
          <w:rFonts w:hint="eastAsia"/>
          <w:sz w:val="24"/>
          <w:szCs w:val="24"/>
          <w:highlight w:val="none"/>
          <w:lang w:val="en-US"/>
        </w:rPr>
        <w:t>公告期限</w:t>
      </w:r>
      <w:r>
        <w:rPr>
          <w:rFonts w:hint="eastAsia"/>
          <w:sz w:val="24"/>
          <w:szCs w:val="24"/>
          <w:highlight w:val="none"/>
        </w:rPr>
        <w:t>为</w:t>
      </w:r>
      <w:r>
        <w:rPr>
          <w:rFonts w:hint="eastAsia"/>
          <w:sz w:val="24"/>
          <w:szCs w:val="24"/>
          <w:highlight w:val="none"/>
          <w:lang w:val="en-US"/>
        </w:rPr>
        <w:t>1</w:t>
      </w:r>
      <w:r>
        <w:rPr>
          <w:rFonts w:hint="eastAsia"/>
          <w:sz w:val="24"/>
          <w:szCs w:val="24"/>
          <w:highlight w:val="none"/>
        </w:rPr>
        <w:t>个工作日，</w:t>
      </w:r>
      <w:r>
        <w:rPr>
          <w:rFonts w:hint="eastAsia"/>
          <w:sz w:val="24"/>
          <w:szCs w:val="24"/>
          <w:highlight w:val="none"/>
          <w:lang w:val="en-US"/>
        </w:rPr>
        <w:t>公告</w:t>
      </w:r>
      <w:r>
        <w:rPr>
          <w:rFonts w:hint="eastAsia"/>
          <w:sz w:val="24"/>
          <w:szCs w:val="24"/>
          <w:highlight w:val="none"/>
        </w:rPr>
        <w:t>的同时向中标人发出中标通知书。</w:t>
      </w:r>
    </w:p>
    <w:p w14:paraId="1CF9C62D">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5.4</w:t>
      </w:r>
      <w:r>
        <w:rPr>
          <w:rFonts w:hint="eastAsia"/>
          <w:sz w:val="24"/>
          <w:szCs w:val="24"/>
          <w:highlight w:val="none"/>
        </w:rPr>
        <w:t>所有投标文件都将作为档案保存，不论中标与否，</w:t>
      </w:r>
      <w:r>
        <w:rPr>
          <w:rFonts w:hint="eastAsia"/>
          <w:sz w:val="24"/>
          <w:szCs w:val="24"/>
          <w:highlight w:val="none"/>
          <w:lang w:val="en-US"/>
        </w:rPr>
        <w:t>采购代理机构</w:t>
      </w:r>
      <w:r>
        <w:rPr>
          <w:rFonts w:hint="eastAsia"/>
          <w:sz w:val="24"/>
          <w:szCs w:val="24"/>
          <w:highlight w:val="none"/>
        </w:rPr>
        <w:t>均不退回。</w:t>
      </w:r>
    </w:p>
    <w:p w14:paraId="64FF74DF">
      <w:pPr>
        <w:pStyle w:val="4"/>
        <w:adjustRightInd w:val="0"/>
        <w:snapToGrid w:val="0"/>
        <w:spacing w:line="360" w:lineRule="auto"/>
        <w:ind w:firstLine="482" w:firstLineChars="200"/>
        <w:jc w:val="left"/>
        <w:rPr>
          <w:rFonts w:ascii="宋体" w:eastAsia="宋体" w:cs="宋体"/>
          <w:sz w:val="24"/>
          <w:szCs w:val="24"/>
          <w:highlight w:val="none"/>
        </w:rPr>
      </w:pPr>
      <w:r>
        <w:rPr>
          <w:rFonts w:hint="eastAsia" w:ascii="宋体" w:eastAsia="宋体" w:cs="宋体"/>
          <w:b/>
          <w:bCs/>
          <w:sz w:val="24"/>
          <w:szCs w:val="24"/>
          <w:highlight w:val="none"/>
        </w:rPr>
        <w:t>6、评标过程的保密性</w:t>
      </w:r>
    </w:p>
    <w:p w14:paraId="69572126">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6.1采购代理机构</w:t>
      </w:r>
      <w:r>
        <w:rPr>
          <w:rFonts w:hint="eastAsia"/>
          <w:sz w:val="24"/>
          <w:szCs w:val="24"/>
          <w:highlight w:val="none"/>
        </w:rPr>
        <w:t>将采取必要措施，保证评标在严格保密的情况下进行。</w:t>
      </w:r>
    </w:p>
    <w:p w14:paraId="4800EFFC">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6.2</w:t>
      </w:r>
      <w:r>
        <w:rPr>
          <w:rFonts w:hint="eastAsia"/>
          <w:sz w:val="24"/>
          <w:szCs w:val="24"/>
          <w:highlight w:val="none"/>
        </w:rPr>
        <w:t>除采购人代表、评标现场组织人员外，采购人的其他工作人员以及与评标工作无关的人员不得进入评标现场。</w:t>
      </w:r>
    </w:p>
    <w:p w14:paraId="3DA35B25">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6.3</w:t>
      </w:r>
      <w:r>
        <w:rPr>
          <w:rFonts w:hint="eastAsia"/>
          <w:sz w:val="24"/>
          <w:szCs w:val="24"/>
          <w:highlight w:val="none"/>
        </w:rPr>
        <w:t>有关人员对评标情况以及在评标过程中获悉的国家秘密、商业秘密负有保密责任。</w:t>
      </w:r>
    </w:p>
    <w:p w14:paraId="63DC4B7E">
      <w:pPr>
        <w:pStyle w:val="3"/>
        <w:adjustRightInd w:val="0"/>
        <w:snapToGrid w:val="0"/>
        <w:spacing w:line="360" w:lineRule="auto"/>
        <w:ind w:left="0" w:right="0" w:firstLine="0"/>
        <w:jc w:val="left"/>
        <w:rPr>
          <w:sz w:val="24"/>
          <w:szCs w:val="24"/>
          <w:highlight w:val="none"/>
          <w:u w:val="none"/>
        </w:rPr>
      </w:pPr>
      <w:bookmarkStart w:id="40" w:name="_Toc225524667"/>
      <w:r>
        <w:rPr>
          <w:rFonts w:hint="eastAsia"/>
          <w:sz w:val="24"/>
          <w:szCs w:val="24"/>
          <w:highlight w:val="none"/>
          <w:u w:val="none"/>
        </w:rPr>
        <w:t>五、签订合同</w:t>
      </w:r>
      <w:bookmarkEnd w:id="40"/>
    </w:p>
    <w:p w14:paraId="4C5F4962">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lang w:val="en-US"/>
        </w:rPr>
        <w:t>1</w:t>
      </w:r>
      <w:r>
        <w:rPr>
          <w:rFonts w:hint="eastAsia" w:ascii="宋体" w:eastAsia="宋体" w:cs="宋体"/>
          <w:b/>
          <w:bCs/>
          <w:sz w:val="24"/>
          <w:szCs w:val="24"/>
          <w:highlight w:val="none"/>
        </w:rPr>
        <w:t>、签订合同</w:t>
      </w:r>
    </w:p>
    <w:p w14:paraId="2D290E06">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1.1</w:t>
      </w:r>
      <w:r>
        <w:rPr>
          <w:rFonts w:hint="eastAsia"/>
          <w:sz w:val="24"/>
          <w:szCs w:val="24"/>
          <w:highlight w:val="none"/>
        </w:rPr>
        <w:t>中标人应当自中标通知书发出之日起30日内，按照招标文件和其投标文件的规定，与采购人签订政府采购合同。所签订的合同不得对招标文件确定的事项和中标人投标文件作实质性修改。</w:t>
      </w:r>
    </w:p>
    <w:p w14:paraId="220AE5AA">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1.2</w:t>
      </w:r>
      <w:r>
        <w:rPr>
          <w:rFonts w:hint="eastAsia"/>
          <w:sz w:val="24"/>
          <w:szCs w:val="24"/>
          <w:highlight w:val="none"/>
        </w:rPr>
        <w:t>中标通知书对采购人和中标人均具有法律效力。</w:t>
      </w:r>
    </w:p>
    <w:p w14:paraId="17516A92">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1.3</w:t>
      </w:r>
      <w:r>
        <w:rPr>
          <w:rFonts w:hint="eastAsia"/>
          <w:sz w:val="24"/>
          <w:szCs w:val="24"/>
          <w:highlight w:val="none"/>
        </w:rPr>
        <w:t>采购人不得向中标人提出任何不合理的要求作为签订合同的条件。</w:t>
      </w:r>
    </w:p>
    <w:p w14:paraId="5492083B">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1.4</w:t>
      </w:r>
      <w:r>
        <w:rPr>
          <w:rFonts w:hint="eastAsia"/>
          <w:sz w:val="24"/>
          <w:szCs w:val="24"/>
          <w:highlight w:val="none"/>
        </w:rPr>
        <w:t>中标人拒绝与采购人签订合同的，采购人可以按照评审报告推荐的中标候选人名单排序，确定下一候选人为中标人，也可以重新开展政府采购活动。</w:t>
      </w:r>
    </w:p>
    <w:p w14:paraId="633D37C7">
      <w:pPr>
        <w:adjustRightInd w:val="0"/>
        <w:snapToGrid w:val="0"/>
        <w:spacing w:line="360" w:lineRule="auto"/>
        <w:ind w:firstLine="482" w:firstLineChars="200"/>
        <w:rPr>
          <w:b/>
          <w:bCs/>
          <w:sz w:val="24"/>
          <w:szCs w:val="24"/>
          <w:highlight w:val="none"/>
        </w:rPr>
      </w:pPr>
      <w:r>
        <w:rPr>
          <w:rFonts w:hint="eastAsia"/>
          <w:b/>
          <w:bCs/>
          <w:sz w:val="24"/>
          <w:szCs w:val="24"/>
          <w:highlight w:val="none"/>
          <w:lang w:val="en-US"/>
        </w:rPr>
        <w:t>1.5</w:t>
      </w:r>
      <w:r>
        <w:rPr>
          <w:rFonts w:hint="eastAsia"/>
          <w:b/>
          <w:bCs/>
          <w:sz w:val="24"/>
          <w:szCs w:val="24"/>
          <w:highlight w:val="none"/>
        </w:rPr>
        <w:t>中标通知书发出后，中标人无正当理由拒绝与采购人签订合同的，情节严重的，财政部门将其列入不良行为记录名单，</w:t>
      </w:r>
      <w:r>
        <w:rPr>
          <w:rFonts w:hint="eastAsia"/>
          <w:b/>
          <w:sz w:val="24"/>
          <w:szCs w:val="24"/>
          <w:highlight w:val="none"/>
        </w:rPr>
        <w:t>在一至三年内不得参加</w:t>
      </w:r>
      <w:r>
        <w:rPr>
          <w:rFonts w:hint="eastAsia"/>
          <w:b/>
          <w:sz w:val="24"/>
          <w:szCs w:val="24"/>
          <w:highlight w:val="none"/>
          <w:lang w:val="en-US"/>
        </w:rPr>
        <w:t>江苏省公安厅</w:t>
      </w:r>
      <w:r>
        <w:rPr>
          <w:rFonts w:hint="eastAsia"/>
          <w:b/>
          <w:sz w:val="24"/>
          <w:szCs w:val="24"/>
          <w:highlight w:val="none"/>
        </w:rPr>
        <w:t>采购活动，并予以通报</w:t>
      </w:r>
      <w:r>
        <w:rPr>
          <w:rFonts w:hint="eastAsia"/>
          <w:b/>
          <w:bCs/>
          <w:sz w:val="24"/>
          <w:szCs w:val="24"/>
          <w:highlight w:val="none"/>
        </w:rPr>
        <w:t>。</w:t>
      </w:r>
    </w:p>
    <w:p w14:paraId="070421A8">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1.6</w:t>
      </w:r>
      <w:r>
        <w:rPr>
          <w:rFonts w:hint="eastAsia"/>
          <w:sz w:val="24"/>
          <w:szCs w:val="24"/>
          <w:highlight w:val="none"/>
        </w:rPr>
        <w:t>政府采购合同履行中，采购人需追加与合同标的相同的货物的，在不改变合同其他条款的前提下，可以与投标人协商签订补充合同，但所有补充合同的采购金额不得超过原合同采购金额的百分之十。</w:t>
      </w:r>
    </w:p>
    <w:p w14:paraId="136E19C4">
      <w:pPr>
        <w:pStyle w:val="3"/>
        <w:adjustRightInd w:val="0"/>
        <w:snapToGrid w:val="0"/>
        <w:spacing w:line="360" w:lineRule="auto"/>
        <w:ind w:left="0" w:right="0" w:firstLine="0"/>
        <w:jc w:val="left"/>
        <w:rPr>
          <w:sz w:val="24"/>
          <w:szCs w:val="24"/>
          <w:highlight w:val="none"/>
          <w:u w:val="none"/>
        </w:rPr>
      </w:pPr>
      <w:bookmarkStart w:id="41" w:name="_Toc225524668"/>
      <w:r>
        <w:rPr>
          <w:rFonts w:hint="eastAsia"/>
          <w:sz w:val="24"/>
          <w:szCs w:val="24"/>
          <w:highlight w:val="none"/>
          <w:u w:val="none"/>
        </w:rPr>
        <w:t>六、询问、质疑、投诉和诚实信用</w:t>
      </w:r>
      <w:bookmarkEnd w:id="41"/>
    </w:p>
    <w:p w14:paraId="3DCD5F57">
      <w:pPr>
        <w:pStyle w:val="4"/>
        <w:adjustRightInd w:val="0"/>
        <w:snapToGrid w:val="0"/>
        <w:spacing w:line="360" w:lineRule="auto"/>
        <w:ind w:firstLine="482" w:firstLineChars="200"/>
        <w:jc w:val="left"/>
        <w:rPr>
          <w:rFonts w:ascii="宋体" w:eastAsia="宋体" w:cs="宋体"/>
          <w:sz w:val="24"/>
          <w:szCs w:val="24"/>
          <w:highlight w:val="none"/>
        </w:rPr>
      </w:pPr>
      <w:r>
        <w:rPr>
          <w:rFonts w:hint="eastAsia" w:ascii="宋体" w:eastAsia="宋体" w:cs="宋体"/>
          <w:b/>
          <w:bCs/>
          <w:sz w:val="24"/>
          <w:szCs w:val="24"/>
          <w:highlight w:val="none"/>
          <w:lang w:val="en-US"/>
        </w:rPr>
        <w:t>1、</w:t>
      </w:r>
      <w:r>
        <w:rPr>
          <w:rFonts w:hint="eastAsia" w:ascii="宋体" w:eastAsia="宋体" w:cs="宋体"/>
          <w:b/>
          <w:bCs/>
          <w:sz w:val="24"/>
          <w:szCs w:val="24"/>
          <w:highlight w:val="none"/>
        </w:rPr>
        <w:t>询问</w:t>
      </w:r>
    </w:p>
    <w:p w14:paraId="0573E6FD">
      <w:pPr>
        <w:pStyle w:val="9"/>
        <w:spacing w:line="360" w:lineRule="auto"/>
        <w:ind w:firstLine="482" w:firstLineChars="200"/>
        <w:jc w:val="left"/>
        <w:rPr>
          <w:highlight w:val="none"/>
        </w:rPr>
      </w:pPr>
      <w:r>
        <w:rPr>
          <w:rFonts w:hint="eastAsia"/>
          <w:highlight w:val="none"/>
          <w:lang w:val="en-US"/>
        </w:rPr>
        <w:t>1.1</w:t>
      </w:r>
      <w:r>
        <w:rPr>
          <w:rFonts w:hint="eastAsia"/>
          <w:highlight w:val="none"/>
        </w:rPr>
        <w:t>投标人对招标活动事项有疑问的，可以依法向</w:t>
      </w:r>
      <w:r>
        <w:rPr>
          <w:rFonts w:hint="eastAsia"/>
          <w:highlight w:val="none"/>
          <w:lang w:val="en-US"/>
        </w:rPr>
        <w:t>采购代理机构</w:t>
      </w:r>
      <w:r>
        <w:rPr>
          <w:rFonts w:hint="eastAsia"/>
          <w:highlight w:val="none"/>
        </w:rPr>
        <w:t>、采购人提出询问， 采购人、</w:t>
      </w:r>
      <w:r>
        <w:rPr>
          <w:rFonts w:hint="eastAsia"/>
          <w:highlight w:val="none"/>
          <w:lang w:val="en-US"/>
        </w:rPr>
        <w:t>采购代理机构</w:t>
      </w:r>
      <w:r>
        <w:rPr>
          <w:rFonts w:hint="eastAsia"/>
          <w:highlight w:val="none"/>
        </w:rPr>
        <w:t>在三个工作日内对投标人依法提出的询问作出答复，但答复的内容不涉及商业秘密。</w:t>
      </w:r>
    </w:p>
    <w:p w14:paraId="571B387E">
      <w:pPr>
        <w:pStyle w:val="4"/>
        <w:adjustRightInd w:val="0"/>
        <w:snapToGrid w:val="0"/>
        <w:spacing w:line="360" w:lineRule="auto"/>
        <w:ind w:firstLine="482" w:firstLineChars="200"/>
        <w:jc w:val="left"/>
        <w:rPr>
          <w:rFonts w:ascii="宋体" w:eastAsia="宋体" w:cs="宋体"/>
          <w:sz w:val="24"/>
          <w:szCs w:val="24"/>
          <w:highlight w:val="none"/>
        </w:rPr>
      </w:pPr>
      <w:r>
        <w:rPr>
          <w:rFonts w:hint="eastAsia" w:ascii="宋体" w:eastAsia="宋体" w:cs="宋体"/>
          <w:b/>
          <w:bCs/>
          <w:sz w:val="24"/>
          <w:szCs w:val="24"/>
          <w:highlight w:val="none"/>
        </w:rPr>
        <w:t>2、质疑</w:t>
      </w:r>
    </w:p>
    <w:p w14:paraId="6AB55DDD">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2.1</w:t>
      </w:r>
      <w:r>
        <w:rPr>
          <w:rFonts w:hint="eastAsia"/>
          <w:sz w:val="24"/>
          <w:szCs w:val="24"/>
          <w:highlight w:val="none"/>
        </w:rPr>
        <w:t>投标人认为采购文件、采购过程、中标结果使自己的权益受到损害的，可以在知道或者应知其权益受到损害之日起七个工作日内，以书面形式向采购人、</w:t>
      </w:r>
      <w:r>
        <w:rPr>
          <w:rFonts w:hint="eastAsia"/>
          <w:sz w:val="24"/>
          <w:szCs w:val="24"/>
          <w:highlight w:val="none"/>
          <w:lang w:val="en-US"/>
        </w:rPr>
        <w:t>采购代理机构</w:t>
      </w:r>
      <w:r>
        <w:rPr>
          <w:rFonts w:hint="eastAsia"/>
          <w:sz w:val="24"/>
          <w:szCs w:val="24"/>
          <w:highlight w:val="none"/>
        </w:rPr>
        <w:t>提出质疑。质疑的投标人是参与所质疑项目采购活动的投标人，</w:t>
      </w:r>
      <w:r>
        <w:rPr>
          <w:rFonts w:hint="eastAsia"/>
          <w:sz w:val="24"/>
          <w:szCs w:val="24"/>
          <w:highlight w:val="none"/>
          <w:lang w:val="en-US"/>
        </w:rPr>
        <w:t>并</w:t>
      </w:r>
      <w:r>
        <w:rPr>
          <w:rFonts w:hint="eastAsia"/>
          <w:sz w:val="24"/>
          <w:szCs w:val="24"/>
          <w:highlight w:val="none"/>
        </w:rPr>
        <w:t>应在法定质疑期内一次性提出针对同一采购程序环节的质疑。</w:t>
      </w:r>
    </w:p>
    <w:p w14:paraId="06AAF601">
      <w:pPr>
        <w:pStyle w:val="26"/>
        <w:adjustRightInd w:val="0"/>
        <w:snapToGrid w:val="0"/>
        <w:spacing w:line="360" w:lineRule="auto"/>
        <w:ind w:left="0" w:firstLine="482" w:firstLineChars="200"/>
        <w:rPr>
          <w:b/>
          <w:bCs/>
          <w:sz w:val="24"/>
          <w:szCs w:val="24"/>
          <w:highlight w:val="none"/>
          <w:lang w:val="en-US"/>
        </w:rPr>
      </w:pPr>
      <w:r>
        <w:rPr>
          <w:rFonts w:hint="eastAsia"/>
          <w:b/>
          <w:bCs/>
          <w:sz w:val="24"/>
          <w:szCs w:val="24"/>
          <w:highlight w:val="none"/>
          <w:lang w:val="en-US"/>
        </w:rPr>
        <w:t>2.2</w:t>
      </w:r>
      <w:r>
        <w:rPr>
          <w:rFonts w:hint="eastAsia"/>
          <w:b/>
          <w:bCs/>
          <w:sz w:val="24"/>
          <w:szCs w:val="24"/>
          <w:highlight w:val="none"/>
        </w:rPr>
        <w:t>上述“知道或者应知其权益受到损害之日起七个工作日内”是指：</w:t>
      </w:r>
    </w:p>
    <w:p w14:paraId="7242E12B">
      <w:pPr>
        <w:numPr>
          <w:ilvl w:val="0"/>
          <w:numId w:val="18"/>
        </w:numPr>
        <w:spacing w:line="360" w:lineRule="auto"/>
        <w:ind w:firstLine="480" w:firstLineChars="200"/>
        <w:rPr>
          <w:sz w:val="24"/>
          <w:szCs w:val="24"/>
          <w:highlight w:val="none"/>
          <w:lang w:val="en-US"/>
        </w:rPr>
      </w:pPr>
      <w:r>
        <w:rPr>
          <w:rFonts w:hint="eastAsia"/>
          <w:sz w:val="24"/>
          <w:szCs w:val="24"/>
          <w:highlight w:val="none"/>
          <w:lang w:val="en-US"/>
        </w:rPr>
        <w:t>对招标文件提出质疑的，应当在招标文件公告期限届满之日起7个工作日内提出；</w:t>
      </w:r>
    </w:p>
    <w:p w14:paraId="371429E6">
      <w:pPr>
        <w:numPr>
          <w:ilvl w:val="0"/>
          <w:numId w:val="18"/>
        </w:numPr>
        <w:spacing w:line="360" w:lineRule="auto"/>
        <w:ind w:firstLine="480" w:firstLineChars="200"/>
        <w:rPr>
          <w:sz w:val="24"/>
          <w:szCs w:val="24"/>
          <w:highlight w:val="none"/>
          <w:lang w:val="en-US"/>
        </w:rPr>
      </w:pPr>
      <w:r>
        <w:rPr>
          <w:rFonts w:hint="eastAsia"/>
          <w:sz w:val="24"/>
          <w:szCs w:val="24"/>
          <w:highlight w:val="none"/>
          <w:lang w:val="en-US"/>
        </w:rPr>
        <w:t>对采购过程提出质疑的，应当在采购程序环节结束之日起7个工作日内提出；</w:t>
      </w:r>
    </w:p>
    <w:p w14:paraId="2080E1C4">
      <w:pPr>
        <w:numPr>
          <w:ilvl w:val="0"/>
          <w:numId w:val="18"/>
        </w:numPr>
        <w:spacing w:line="360" w:lineRule="auto"/>
        <w:ind w:firstLine="480" w:firstLineChars="200"/>
        <w:rPr>
          <w:sz w:val="24"/>
          <w:szCs w:val="24"/>
          <w:highlight w:val="none"/>
          <w:lang w:val="en-US"/>
        </w:rPr>
      </w:pPr>
      <w:r>
        <w:rPr>
          <w:rFonts w:hint="eastAsia"/>
          <w:sz w:val="24"/>
          <w:szCs w:val="24"/>
          <w:highlight w:val="none"/>
          <w:lang w:val="en-US"/>
        </w:rPr>
        <w:t>对中标结果提出质疑的，应当在中标结果公告期限届满之日起7个工作日内提出。</w:t>
      </w:r>
    </w:p>
    <w:p w14:paraId="7D81D622">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2.3</w:t>
      </w:r>
      <w:r>
        <w:rPr>
          <w:rFonts w:hint="eastAsia"/>
          <w:sz w:val="24"/>
          <w:szCs w:val="24"/>
          <w:highlight w:val="none"/>
        </w:rPr>
        <w:t>质疑文件接收信息：</w:t>
      </w:r>
    </w:p>
    <w:p w14:paraId="49848896">
      <w:pPr>
        <w:numPr>
          <w:ilvl w:val="0"/>
          <w:numId w:val="19"/>
        </w:numPr>
        <w:spacing w:line="360" w:lineRule="auto"/>
        <w:ind w:firstLine="480" w:firstLineChars="200"/>
        <w:rPr>
          <w:sz w:val="24"/>
          <w:szCs w:val="24"/>
          <w:highlight w:val="none"/>
          <w:lang w:val="en-US"/>
        </w:rPr>
      </w:pPr>
      <w:r>
        <w:rPr>
          <w:rFonts w:hint="eastAsia"/>
          <w:sz w:val="24"/>
          <w:szCs w:val="24"/>
          <w:highlight w:val="none"/>
          <w:lang w:val="en-US"/>
        </w:rPr>
        <w:t>接收单位：江苏金永诚建设投资管理咨询有限公司</w:t>
      </w:r>
    </w:p>
    <w:p w14:paraId="2B7FF1FE">
      <w:pPr>
        <w:numPr>
          <w:ilvl w:val="0"/>
          <w:numId w:val="19"/>
        </w:numPr>
        <w:spacing w:line="360" w:lineRule="auto"/>
        <w:ind w:firstLine="480" w:firstLineChars="200"/>
        <w:rPr>
          <w:sz w:val="24"/>
          <w:szCs w:val="24"/>
          <w:highlight w:val="none"/>
          <w:lang w:val="en-US"/>
        </w:rPr>
      </w:pPr>
      <w:r>
        <w:rPr>
          <w:rFonts w:hint="eastAsia"/>
          <w:sz w:val="24"/>
          <w:szCs w:val="24"/>
          <w:highlight w:val="none"/>
          <w:lang w:val="en-US"/>
        </w:rPr>
        <w:t>联系人：</w:t>
      </w:r>
      <w:r>
        <w:rPr>
          <w:rFonts w:hint="eastAsia"/>
          <w:kern w:val="2"/>
          <w:sz w:val="24"/>
          <w:szCs w:val="24"/>
          <w:highlight w:val="none"/>
          <w:lang w:val="en-US"/>
        </w:rPr>
        <w:t>李工</w:t>
      </w:r>
    </w:p>
    <w:p w14:paraId="16ADEFC9">
      <w:pPr>
        <w:numPr>
          <w:ilvl w:val="0"/>
          <w:numId w:val="19"/>
        </w:numPr>
        <w:spacing w:line="360" w:lineRule="auto"/>
        <w:ind w:firstLine="480" w:firstLineChars="200"/>
        <w:rPr>
          <w:sz w:val="24"/>
          <w:szCs w:val="24"/>
          <w:highlight w:val="none"/>
          <w:lang w:val="en-US"/>
        </w:rPr>
      </w:pPr>
      <w:r>
        <w:rPr>
          <w:sz w:val="24"/>
          <w:szCs w:val="24"/>
          <w:highlight w:val="none"/>
          <w:lang w:val="en-US"/>
        </w:rPr>
        <w:t>联系电话：</w:t>
      </w:r>
      <w:r>
        <w:rPr>
          <w:rFonts w:hint="eastAsia"/>
          <w:kern w:val="2"/>
          <w:sz w:val="24"/>
          <w:szCs w:val="24"/>
          <w:highlight w:val="none"/>
          <w:lang w:val="en-US"/>
        </w:rPr>
        <w:t>025-86209787</w:t>
      </w:r>
    </w:p>
    <w:p w14:paraId="41CA57F0">
      <w:pPr>
        <w:numPr>
          <w:ilvl w:val="0"/>
          <w:numId w:val="19"/>
        </w:numPr>
        <w:spacing w:line="360" w:lineRule="auto"/>
        <w:ind w:firstLine="480" w:firstLineChars="200"/>
        <w:rPr>
          <w:sz w:val="24"/>
          <w:szCs w:val="24"/>
          <w:highlight w:val="none"/>
          <w:lang w:val="en-US"/>
        </w:rPr>
      </w:pPr>
      <w:r>
        <w:rPr>
          <w:sz w:val="24"/>
          <w:szCs w:val="24"/>
          <w:highlight w:val="none"/>
          <w:lang w:val="en-US"/>
        </w:rPr>
        <w:t>联系邮箱：</w:t>
      </w:r>
      <w:r>
        <w:rPr>
          <w:rFonts w:hint="eastAsia"/>
          <w:sz w:val="24"/>
          <w:szCs w:val="24"/>
          <w:highlight w:val="none"/>
          <w:lang w:val="en-US"/>
        </w:rPr>
        <w:t>jinyczb@163.com</w:t>
      </w:r>
    </w:p>
    <w:p w14:paraId="654B81CA">
      <w:pPr>
        <w:numPr>
          <w:ilvl w:val="0"/>
          <w:numId w:val="19"/>
        </w:numPr>
        <w:spacing w:line="360" w:lineRule="auto"/>
        <w:ind w:firstLine="480" w:firstLineChars="200"/>
        <w:rPr>
          <w:sz w:val="24"/>
          <w:szCs w:val="24"/>
          <w:highlight w:val="none"/>
          <w:lang w:val="en-US"/>
        </w:rPr>
      </w:pPr>
      <w:r>
        <w:rPr>
          <w:rFonts w:hint="eastAsia"/>
          <w:sz w:val="24"/>
          <w:szCs w:val="24"/>
          <w:highlight w:val="none"/>
          <w:lang w:val="en-US"/>
        </w:rPr>
        <w:t>接收地址：南京市建邺区云龙山路1号建邺科技创新产业园B1栋五楼</w:t>
      </w:r>
    </w:p>
    <w:p w14:paraId="29099125">
      <w:pPr>
        <w:numPr>
          <w:ilvl w:val="0"/>
          <w:numId w:val="19"/>
        </w:numPr>
        <w:spacing w:line="360" w:lineRule="auto"/>
        <w:ind w:firstLine="480" w:firstLineChars="200"/>
        <w:rPr>
          <w:sz w:val="24"/>
          <w:szCs w:val="24"/>
          <w:highlight w:val="none"/>
          <w:lang w:val="en-US"/>
        </w:rPr>
      </w:pPr>
      <w:r>
        <w:rPr>
          <w:rFonts w:hint="eastAsia"/>
          <w:sz w:val="24"/>
          <w:szCs w:val="24"/>
          <w:highlight w:val="none"/>
          <w:lang w:val="en-US"/>
        </w:rPr>
        <w:t>邮</w:t>
      </w:r>
      <w:r>
        <w:rPr>
          <w:rFonts w:hint="eastAsia"/>
          <w:sz w:val="24"/>
          <w:szCs w:val="24"/>
          <w:highlight w:val="none"/>
          <w:lang w:val="en-US"/>
        </w:rPr>
        <w:tab/>
      </w:r>
      <w:r>
        <w:rPr>
          <w:rFonts w:hint="eastAsia"/>
          <w:sz w:val="24"/>
          <w:szCs w:val="24"/>
          <w:highlight w:val="none"/>
          <w:lang w:val="en-US"/>
        </w:rPr>
        <w:t>编：210000</w:t>
      </w:r>
    </w:p>
    <w:p w14:paraId="53C78981">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2.4</w:t>
      </w:r>
      <w:r>
        <w:rPr>
          <w:rFonts w:hint="eastAsia"/>
          <w:sz w:val="24"/>
          <w:szCs w:val="24"/>
          <w:highlight w:val="none"/>
        </w:rPr>
        <w:t>质疑文件应包括以下主要内容，否则，</w:t>
      </w:r>
      <w:r>
        <w:rPr>
          <w:rFonts w:hint="eastAsia"/>
          <w:sz w:val="24"/>
          <w:szCs w:val="24"/>
          <w:highlight w:val="none"/>
          <w:lang w:val="en-US"/>
        </w:rPr>
        <w:t>采购代理机构</w:t>
      </w:r>
      <w:r>
        <w:rPr>
          <w:rFonts w:hint="eastAsia"/>
          <w:sz w:val="24"/>
          <w:szCs w:val="24"/>
          <w:highlight w:val="none"/>
        </w:rPr>
        <w:t>不予受理：</w:t>
      </w:r>
    </w:p>
    <w:p w14:paraId="53CCF8B2">
      <w:pPr>
        <w:numPr>
          <w:ilvl w:val="0"/>
          <w:numId w:val="20"/>
        </w:numPr>
        <w:spacing w:line="360" w:lineRule="auto"/>
        <w:ind w:firstLine="480" w:firstLineChars="200"/>
        <w:rPr>
          <w:sz w:val="24"/>
          <w:szCs w:val="24"/>
          <w:highlight w:val="none"/>
          <w:lang w:val="en-US"/>
        </w:rPr>
      </w:pPr>
      <w:r>
        <w:rPr>
          <w:rFonts w:hint="eastAsia"/>
          <w:sz w:val="24"/>
          <w:szCs w:val="24"/>
          <w:highlight w:val="none"/>
          <w:lang w:val="en-US"/>
        </w:rPr>
        <w:t>质疑投标人的姓名或者名称、地址、邮编、联系人及联系电话；</w:t>
      </w:r>
    </w:p>
    <w:p w14:paraId="351C81B7">
      <w:pPr>
        <w:numPr>
          <w:ilvl w:val="0"/>
          <w:numId w:val="20"/>
        </w:numPr>
        <w:spacing w:line="360" w:lineRule="auto"/>
        <w:ind w:firstLine="480" w:firstLineChars="200"/>
        <w:rPr>
          <w:sz w:val="24"/>
          <w:szCs w:val="24"/>
          <w:highlight w:val="none"/>
          <w:lang w:val="en-US"/>
        </w:rPr>
      </w:pPr>
      <w:r>
        <w:rPr>
          <w:rFonts w:hint="eastAsia"/>
          <w:sz w:val="24"/>
          <w:szCs w:val="24"/>
          <w:highlight w:val="none"/>
          <w:lang w:val="en-US"/>
        </w:rPr>
        <w:t>质疑项目的名称、编号</w:t>
      </w:r>
    </w:p>
    <w:p w14:paraId="60EF2EB1">
      <w:pPr>
        <w:numPr>
          <w:ilvl w:val="0"/>
          <w:numId w:val="20"/>
        </w:numPr>
        <w:spacing w:line="360" w:lineRule="auto"/>
        <w:ind w:firstLine="480" w:firstLineChars="200"/>
        <w:rPr>
          <w:sz w:val="24"/>
          <w:szCs w:val="24"/>
          <w:highlight w:val="none"/>
          <w:lang w:val="en-US"/>
        </w:rPr>
      </w:pPr>
      <w:r>
        <w:rPr>
          <w:rFonts w:hint="eastAsia"/>
          <w:sz w:val="24"/>
          <w:szCs w:val="24"/>
          <w:highlight w:val="none"/>
          <w:lang w:val="en-US"/>
        </w:rPr>
        <w:t>具体、明确的质疑事项和与质疑事项相关的请求；</w:t>
      </w:r>
    </w:p>
    <w:p w14:paraId="480D23C7">
      <w:pPr>
        <w:numPr>
          <w:ilvl w:val="0"/>
          <w:numId w:val="20"/>
        </w:numPr>
        <w:spacing w:line="360" w:lineRule="auto"/>
        <w:ind w:firstLine="480" w:firstLineChars="200"/>
        <w:rPr>
          <w:sz w:val="24"/>
          <w:szCs w:val="24"/>
          <w:highlight w:val="none"/>
          <w:lang w:val="en-US"/>
        </w:rPr>
      </w:pPr>
      <w:r>
        <w:rPr>
          <w:rFonts w:hint="eastAsia"/>
          <w:sz w:val="24"/>
          <w:szCs w:val="24"/>
          <w:highlight w:val="none"/>
          <w:lang w:val="en-US"/>
        </w:rPr>
        <w:t>事实依据；</w:t>
      </w:r>
    </w:p>
    <w:p w14:paraId="67ABEF98">
      <w:pPr>
        <w:numPr>
          <w:ilvl w:val="0"/>
          <w:numId w:val="20"/>
        </w:numPr>
        <w:spacing w:line="360" w:lineRule="auto"/>
        <w:ind w:firstLine="480" w:firstLineChars="200"/>
        <w:rPr>
          <w:sz w:val="24"/>
          <w:szCs w:val="24"/>
          <w:highlight w:val="none"/>
          <w:lang w:val="en-US"/>
        </w:rPr>
      </w:pPr>
      <w:r>
        <w:rPr>
          <w:rFonts w:hint="eastAsia"/>
          <w:sz w:val="24"/>
          <w:szCs w:val="24"/>
          <w:highlight w:val="none"/>
          <w:lang w:val="en-US"/>
        </w:rPr>
        <w:t>必要的法律依据；</w:t>
      </w:r>
    </w:p>
    <w:p w14:paraId="5655014E">
      <w:pPr>
        <w:numPr>
          <w:ilvl w:val="0"/>
          <w:numId w:val="20"/>
        </w:numPr>
        <w:spacing w:line="360" w:lineRule="auto"/>
        <w:ind w:firstLine="480" w:firstLineChars="200"/>
        <w:rPr>
          <w:sz w:val="24"/>
          <w:szCs w:val="24"/>
          <w:highlight w:val="none"/>
          <w:lang w:val="en-US"/>
        </w:rPr>
      </w:pPr>
      <w:r>
        <w:rPr>
          <w:rFonts w:hint="eastAsia"/>
          <w:sz w:val="24"/>
          <w:szCs w:val="24"/>
          <w:highlight w:val="none"/>
          <w:lang w:val="en-US"/>
        </w:rPr>
        <w:t>提出质疑的日期。</w:t>
      </w:r>
    </w:p>
    <w:p w14:paraId="5CB979EE">
      <w:pPr>
        <w:numPr>
          <w:ilvl w:val="0"/>
          <w:numId w:val="20"/>
        </w:numPr>
        <w:spacing w:line="360" w:lineRule="auto"/>
        <w:ind w:firstLine="480" w:firstLineChars="200"/>
        <w:rPr>
          <w:sz w:val="24"/>
          <w:szCs w:val="24"/>
          <w:highlight w:val="none"/>
          <w:lang w:val="en-US"/>
        </w:rPr>
      </w:pPr>
      <w:r>
        <w:rPr>
          <w:rFonts w:hint="eastAsia"/>
          <w:sz w:val="24"/>
          <w:szCs w:val="24"/>
          <w:highlight w:val="none"/>
          <w:lang w:val="en-US"/>
        </w:rPr>
        <w:t>质疑投标人可以委托代理人进行质疑和投诉。其授权委托书应当载明代理人的姓名或者名称、代理事项、具体权限、期限和相关事项，代理人提出质疑和投诉，应当提交质疑投标人签署的授权委托书。</w:t>
      </w:r>
    </w:p>
    <w:p w14:paraId="7DA8D67F">
      <w:pPr>
        <w:numPr>
          <w:ilvl w:val="0"/>
          <w:numId w:val="20"/>
        </w:numPr>
        <w:spacing w:line="360" w:lineRule="auto"/>
        <w:ind w:firstLine="480" w:firstLineChars="200"/>
        <w:rPr>
          <w:sz w:val="24"/>
          <w:szCs w:val="24"/>
          <w:highlight w:val="none"/>
          <w:lang w:val="en-US"/>
        </w:rPr>
      </w:pPr>
      <w:r>
        <w:rPr>
          <w:rFonts w:hint="eastAsia"/>
          <w:sz w:val="24"/>
          <w:szCs w:val="24"/>
          <w:highlight w:val="none"/>
          <w:lang w:val="en-US"/>
        </w:rPr>
        <w:t>质疑投标人为自然人的，应当由本人签字；投标人为法人或者其他组织的，应当由法定代表人、主要负责人，或者其授权代表签字或者盖章，并加盖公章。</w:t>
      </w:r>
    </w:p>
    <w:p w14:paraId="68B64B46">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2.5</w:t>
      </w:r>
      <w:r>
        <w:rPr>
          <w:rFonts w:hint="eastAsia"/>
          <w:sz w:val="24"/>
          <w:szCs w:val="24"/>
          <w:highlight w:val="none"/>
        </w:rPr>
        <w:t>投标人提出的询问或者质疑超出采购人对</w:t>
      </w:r>
      <w:r>
        <w:rPr>
          <w:rFonts w:hint="eastAsia"/>
          <w:sz w:val="24"/>
          <w:szCs w:val="24"/>
          <w:highlight w:val="none"/>
          <w:lang w:val="en-US"/>
        </w:rPr>
        <w:t>采购代理机构</w:t>
      </w:r>
      <w:r>
        <w:rPr>
          <w:rFonts w:hint="eastAsia"/>
          <w:sz w:val="24"/>
          <w:szCs w:val="24"/>
          <w:highlight w:val="none"/>
        </w:rPr>
        <w:t>委托授权范围的，投标人应向采购人提出。</w:t>
      </w:r>
    </w:p>
    <w:p w14:paraId="7B672D92">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2.6</w:t>
      </w:r>
      <w:r>
        <w:rPr>
          <w:rFonts w:hint="eastAsia"/>
          <w:sz w:val="24"/>
          <w:szCs w:val="24"/>
          <w:highlight w:val="none"/>
        </w:rPr>
        <w:t>投标人不得虚假质疑和恶意质疑，并对质疑内容的真实性承担责任。投标人或者其他利害关系人通过捏造事实、伪造证明材料等方式提出异议或投诉，阻碍政府采购活动正常进行的，属于严重不良行为，</w:t>
      </w:r>
      <w:r>
        <w:rPr>
          <w:rFonts w:hint="eastAsia"/>
          <w:sz w:val="24"/>
          <w:szCs w:val="24"/>
          <w:highlight w:val="none"/>
          <w:lang w:val="en-US"/>
        </w:rPr>
        <w:t>采购代理机构</w:t>
      </w:r>
      <w:r>
        <w:rPr>
          <w:rFonts w:hint="eastAsia"/>
          <w:sz w:val="24"/>
          <w:szCs w:val="24"/>
          <w:highlight w:val="none"/>
        </w:rPr>
        <w:t>将提请财政部门将其列入不良行为记录名单，并依法予以处罚。</w:t>
      </w:r>
    </w:p>
    <w:p w14:paraId="5ACCD36E">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2.7采购代理机构</w:t>
      </w:r>
      <w:r>
        <w:rPr>
          <w:rFonts w:hint="eastAsia"/>
          <w:sz w:val="24"/>
          <w:szCs w:val="24"/>
          <w:highlight w:val="none"/>
        </w:rPr>
        <w:t>在收到投标人的书面质疑后将及时组织调查核实，在七个工作日内作出答复，并以书面或电子邮件形式通知质疑投标人和其他有关投标人，答复的内容不涉及商业秘密。</w:t>
      </w:r>
      <w:r>
        <w:rPr>
          <w:rFonts w:hint="eastAsia"/>
          <w:sz w:val="24"/>
          <w:szCs w:val="24"/>
          <w:highlight w:val="none"/>
          <w:lang w:val="en-US"/>
        </w:rPr>
        <w:t>采购代理机构</w:t>
      </w:r>
      <w:r>
        <w:rPr>
          <w:rFonts w:hint="eastAsia"/>
          <w:sz w:val="24"/>
          <w:szCs w:val="24"/>
          <w:highlight w:val="none"/>
        </w:rPr>
        <w:t>遵循“谁过错谁负担”的原则，有过错的一方承担调查论证费用。</w:t>
      </w:r>
    </w:p>
    <w:p w14:paraId="765994E8">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rPr>
        <w:t>3、投诉</w:t>
      </w:r>
    </w:p>
    <w:p w14:paraId="66AB1B96">
      <w:pPr>
        <w:pStyle w:val="9"/>
        <w:spacing w:line="360" w:lineRule="auto"/>
        <w:ind w:firstLine="482" w:firstLineChars="200"/>
        <w:jc w:val="left"/>
        <w:rPr>
          <w:highlight w:val="none"/>
        </w:rPr>
      </w:pPr>
      <w:r>
        <w:rPr>
          <w:rFonts w:hint="eastAsia"/>
          <w:highlight w:val="none"/>
        </w:rPr>
        <w:t>3.1质疑投标人对采购人、</w:t>
      </w:r>
      <w:r>
        <w:rPr>
          <w:rFonts w:hint="eastAsia"/>
          <w:highlight w:val="none"/>
          <w:lang w:val="en-US"/>
        </w:rPr>
        <w:t>采购代理机构</w:t>
      </w:r>
      <w:r>
        <w:rPr>
          <w:rFonts w:hint="eastAsia"/>
          <w:highlight w:val="none"/>
        </w:rPr>
        <w:t>的答复不满意或者采购人、</w:t>
      </w:r>
      <w:r>
        <w:rPr>
          <w:rFonts w:hint="eastAsia"/>
          <w:highlight w:val="none"/>
          <w:lang w:val="en-US"/>
        </w:rPr>
        <w:t>采购代理机构</w:t>
      </w:r>
      <w:r>
        <w:rPr>
          <w:rFonts w:hint="eastAsia"/>
          <w:highlight w:val="none"/>
        </w:rPr>
        <w:t>未在规定的时间内作出答复的，可以在答复期满后十五个工作日内向同级政府采购监督管理部门投诉。</w:t>
      </w:r>
    </w:p>
    <w:p w14:paraId="52157D0C">
      <w:pPr>
        <w:pStyle w:val="4"/>
        <w:adjustRightInd w:val="0"/>
        <w:snapToGrid w:val="0"/>
        <w:spacing w:line="360" w:lineRule="auto"/>
        <w:ind w:firstLine="482" w:firstLineChars="200"/>
        <w:jc w:val="left"/>
        <w:rPr>
          <w:rFonts w:ascii="宋体" w:eastAsia="宋体" w:cs="宋体"/>
          <w:b/>
          <w:bCs/>
          <w:sz w:val="24"/>
          <w:szCs w:val="24"/>
          <w:highlight w:val="none"/>
        </w:rPr>
      </w:pPr>
      <w:r>
        <w:rPr>
          <w:rFonts w:hint="eastAsia" w:ascii="宋体" w:eastAsia="宋体" w:cs="宋体"/>
          <w:b/>
          <w:bCs/>
          <w:sz w:val="24"/>
          <w:szCs w:val="24"/>
          <w:highlight w:val="none"/>
          <w:lang w:val="en-US"/>
        </w:rPr>
        <w:t>4</w:t>
      </w:r>
      <w:r>
        <w:rPr>
          <w:rFonts w:hint="eastAsia" w:ascii="宋体" w:eastAsia="宋体" w:cs="宋体"/>
          <w:b/>
          <w:bCs/>
          <w:sz w:val="24"/>
          <w:szCs w:val="24"/>
          <w:highlight w:val="none"/>
        </w:rPr>
        <w:t>、诚实信用</w:t>
      </w:r>
    </w:p>
    <w:p w14:paraId="01BAAB87">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4.1</w:t>
      </w:r>
      <w:r>
        <w:rPr>
          <w:rFonts w:hint="eastAsia"/>
          <w:sz w:val="24"/>
          <w:szCs w:val="24"/>
          <w:highlight w:val="none"/>
        </w:rPr>
        <w:t>投标人之间不得相互串通投标报价，不得妨碍其他投标人的公平竞争，不得损害采购人和其他投标人的合法权益。</w:t>
      </w:r>
    </w:p>
    <w:p w14:paraId="3DFA5297">
      <w:pPr>
        <w:pStyle w:val="26"/>
        <w:adjustRightInd w:val="0"/>
        <w:snapToGrid w:val="0"/>
        <w:spacing w:line="360" w:lineRule="auto"/>
        <w:ind w:left="0" w:firstLine="480" w:firstLineChars="200"/>
        <w:rPr>
          <w:sz w:val="24"/>
          <w:szCs w:val="24"/>
          <w:highlight w:val="none"/>
        </w:rPr>
      </w:pPr>
      <w:r>
        <w:rPr>
          <w:rFonts w:hint="eastAsia"/>
          <w:sz w:val="24"/>
          <w:szCs w:val="24"/>
          <w:highlight w:val="none"/>
          <w:lang w:val="en-US"/>
        </w:rPr>
        <w:t>4.2</w:t>
      </w:r>
      <w:r>
        <w:rPr>
          <w:rFonts w:hint="eastAsia"/>
          <w:sz w:val="24"/>
          <w:szCs w:val="24"/>
          <w:highlight w:val="none"/>
        </w:rPr>
        <w:t>投标人不得以向</w:t>
      </w:r>
      <w:r>
        <w:rPr>
          <w:rFonts w:hint="eastAsia"/>
          <w:sz w:val="24"/>
          <w:szCs w:val="24"/>
          <w:highlight w:val="none"/>
          <w:lang w:val="en-US"/>
        </w:rPr>
        <w:t>采购代理机构</w:t>
      </w:r>
      <w:r>
        <w:rPr>
          <w:rFonts w:hint="eastAsia"/>
          <w:sz w:val="24"/>
          <w:szCs w:val="24"/>
          <w:highlight w:val="none"/>
        </w:rPr>
        <w:t>工作人员、评标委员会成员行贿或者采取其他不正当手段谋取中标。经查实投标人有此行为的，将提请政府采购监督管理部门将投标人列入不良行为记录名单，按照政府采购法有关规定处理。</w:t>
      </w:r>
    </w:p>
    <w:p w14:paraId="02BAEDE7">
      <w:pPr>
        <w:pStyle w:val="26"/>
        <w:adjustRightInd w:val="0"/>
        <w:snapToGrid w:val="0"/>
        <w:spacing w:line="360" w:lineRule="auto"/>
        <w:ind w:left="0" w:firstLine="480" w:firstLineChars="200"/>
        <w:rPr>
          <w:sz w:val="24"/>
          <w:szCs w:val="24"/>
          <w:highlight w:val="none"/>
          <w:lang w:val="en-US"/>
        </w:rPr>
      </w:pPr>
      <w:r>
        <w:rPr>
          <w:rFonts w:hint="eastAsia"/>
          <w:sz w:val="24"/>
          <w:szCs w:val="24"/>
          <w:highlight w:val="none"/>
          <w:lang w:val="en-US"/>
        </w:rPr>
        <w:t>4.3 投标人不得虚假质疑和恶意质疑，并对质疑内容的真实性承担责任。投标人或者其他利害关系人通过捏造事实、伪造证明材料等方式提出异议或投诉，阻碍招投标活动正常进行的，属于严重不良行为，将提请财政部门将其列入不良行为记录名单，并依法予以处罚。</w:t>
      </w:r>
    </w:p>
    <w:p w14:paraId="14A082F8">
      <w:pPr>
        <w:pStyle w:val="26"/>
        <w:adjustRightInd w:val="0"/>
        <w:snapToGrid w:val="0"/>
        <w:spacing w:line="360" w:lineRule="auto"/>
        <w:ind w:left="0" w:firstLine="480" w:firstLineChars="200"/>
        <w:rPr>
          <w:sz w:val="21"/>
          <w:szCs w:val="21"/>
          <w:highlight w:val="none"/>
        </w:rPr>
      </w:pPr>
      <w:r>
        <w:rPr>
          <w:rFonts w:hint="eastAsia"/>
          <w:sz w:val="24"/>
          <w:szCs w:val="24"/>
          <w:highlight w:val="none"/>
          <w:lang w:val="en-US"/>
        </w:rPr>
        <w:t>4.4</w:t>
      </w:r>
      <w:r>
        <w:rPr>
          <w:rFonts w:hint="eastAsia"/>
          <w:sz w:val="24"/>
          <w:szCs w:val="24"/>
          <w:highlight w:val="none"/>
        </w:rPr>
        <w:t>投标人不得虚假承诺，否则，按照提供虚假材料谋取中标成交处理。</w:t>
      </w:r>
    </w:p>
    <w:p w14:paraId="1730CA59">
      <w:pPr>
        <w:spacing w:line="360" w:lineRule="auto"/>
        <w:jc w:val="center"/>
        <w:outlineLvl w:val="0"/>
        <w:rPr>
          <w:rFonts w:ascii="黑体" w:eastAsia="黑体"/>
          <w:sz w:val="32"/>
          <w:highlight w:val="none"/>
        </w:rPr>
      </w:pPr>
      <w:bookmarkStart w:id="42" w:name="_TOC_250003"/>
      <w:bookmarkEnd w:id="42"/>
    </w:p>
    <w:p w14:paraId="43BBBD0C">
      <w:pPr>
        <w:spacing w:line="360" w:lineRule="auto"/>
        <w:rPr>
          <w:rFonts w:ascii="黑体" w:eastAsia="黑体"/>
          <w:sz w:val="32"/>
          <w:highlight w:val="none"/>
        </w:rPr>
      </w:pPr>
      <w:r>
        <w:rPr>
          <w:rFonts w:ascii="黑体" w:eastAsia="黑体"/>
          <w:sz w:val="32"/>
          <w:highlight w:val="none"/>
        </w:rPr>
        <w:br w:type="page"/>
      </w:r>
    </w:p>
    <w:p w14:paraId="6234F6D6">
      <w:pPr>
        <w:spacing w:line="360" w:lineRule="auto"/>
        <w:jc w:val="center"/>
        <w:outlineLvl w:val="0"/>
        <w:rPr>
          <w:rFonts w:ascii="黑体" w:eastAsia="黑体"/>
          <w:sz w:val="32"/>
          <w:highlight w:val="none"/>
        </w:rPr>
      </w:pPr>
      <w:bookmarkStart w:id="43" w:name="_Toc225524669"/>
      <w:r>
        <w:rPr>
          <w:rFonts w:ascii="黑体" w:eastAsia="黑体"/>
          <w:sz w:val="32"/>
          <w:highlight w:val="none"/>
        </w:rPr>
        <w:t>第三章</w:t>
      </w:r>
      <w:r>
        <w:rPr>
          <w:rFonts w:ascii="黑体" w:eastAsia="黑体"/>
          <w:sz w:val="32"/>
          <w:highlight w:val="none"/>
        </w:rPr>
        <w:tab/>
      </w:r>
      <w:r>
        <w:rPr>
          <w:rFonts w:ascii="黑体" w:eastAsia="黑体"/>
          <w:sz w:val="32"/>
          <w:highlight w:val="none"/>
        </w:rPr>
        <w:t xml:space="preserve">  纪律和职责</w:t>
      </w:r>
      <w:bookmarkEnd w:id="43"/>
    </w:p>
    <w:p w14:paraId="7BCC378A">
      <w:pPr>
        <w:spacing w:line="360" w:lineRule="auto"/>
        <w:ind w:firstLine="482" w:firstLineChars="200"/>
        <w:outlineLvl w:val="1"/>
        <w:rPr>
          <w:b/>
          <w:bCs/>
          <w:sz w:val="24"/>
          <w:szCs w:val="24"/>
          <w:highlight w:val="none"/>
        </w:rPr>
      </w:pPr>
    </w:p>
    <w:p w14:paraId="1B1AD979">
      <w:pPr>
        <w:spacing w:line="360" w:lineRule="auto"/>
        <w:ind w:firstLine="482" w:firstLineChars="200"/>
        <w:outlineLvl w:val="1"/>
        <w:rPr>
          <w:b/>
          <w:bCs/>
          <w:sz w:val="24"/>
          <w:szCs w:val="24"/>
          <w:highlight w:val="none"/>
        </w:rPr>
      </w:pPr>
      <w:bookmarkStart w:id="44" w:name="_Toc225524670"/>
      <w:r>
        <w:rPr>
          <w:b/>
          <w:bCs/>
          <w:sz w:val="24"/>
          <w:szCs w:val="24"/>
          <w:highlight w:val="none"/>
        </w:rPr>
        <w:t>一、</w:t>
      </w:r>
      <w:r>
        <w:rPr>
          <w:rFonts w:hint="eastAsia"/>
          <w:b/>
          <w:bCs/>
          <w:sz w:val="24"/>
          <w:szCs w:val="24"/>
          <w:highlight w:val="none"/>
          <w:lang w:val="en-US"/>
        </w:rPr>
        <w:t>采购代理机构</w:t>
      </w:r>
      <w:r>
        <w:rPr>
          <w:b/>
          <w:bCs/>
          <w:sz w:val="24"/>
          <w:szCs w:val="24"/>
          <w:highlight w:val="none"/>
        </w:rPr>
        <w:t>负责组织评标工作，并履行下列职责：</w:t>
      </w:r>
      <w:bookmarkEnd w:id="44"/>
    </w:p>
    <w:p w14:paraId="5F1F9358">
      <w:pPr>
        <w:pStyle w:val="9"/>
        <w:spacing w:line="360" w:lineRule="auto"/>
        <w:ind w:firstLine="482" w:firstLineChars="200"/>
        <w:jc w:val="left"/>
        <w:rPr>
          <w:highlight w:val="none"/>
        </w:rPr>
      </w:pPr>
      <w:r>
        <w:rPr>
          <w:highlight w:val="none"/>
        </w:rPr>
        <w:t>（一）核对评审专家身份和采购人代表授权函，对评审专家在政府采购活动中的职责履行情况予以记录，并及时将有关违法违规行为向财政部门报告；</w:t>
      </w:r>
    </w:p>
    <w:p w14:paraId="72B5DB23">
      <w:pPr>
        <w:pStyle w:val="9"/>
        <w:spacing w:line="360" w:lineRule="auto"/>
        <w:ind w:firstLine="482" w:firstLineChars="200"/>
        <w:jc w:val="left"/>
        <w:rPr>
          <w:highlight w:val="none"/>
        </w:rPr>
      </w:pPr>
      <w:r>
        <w:rPr>
          <w:highlight w:val="none"/>
        </w:rPr>
        <w:t>（二）宣布评标纪律；</w:t>
      </w:r>
    </w:p>
    <w:p w14:paraId="75F2614F">
      <w:pPr>
        <w:pStyle w:val="9"/>
        <w:spacing w:line="360" w:lineRule="auto"/>
        <w:ind w:firstLine="482" w:firstLineChars="200"/>
        <w:jc w:val="left"/>
        <w:rPr>
          <w:highlight w:val="none"/>
        </w:rPr>
      </w:pPr>
      <w:r>
        <w:rPr>
          <w:highlight w:val="none"/>
        </w:rPr>
        <w:t>（三）公布</w:t>
      </w:r>
      <w:r>
        <w:rPr>
          <w:rFonts w:hint="eastAsia"/>
          <w:highlight w:val="none"/>
        </w:rPr>
        <w:t>投标人</w:t>
      </w:r>
      <w:r>
        <w:rPr>
          <w:highlight w:val="none"/>
        </w:rPr>
        <w:t>名单，告知评审专家应当回避的情形；</w:t>
      </w:r>
    </w:p>
    <w:p w14:paraId="477778B9">
      <w:pPr>
        <w:pStyle w:val="9"/>
        <w:spacing w:line="360" w:lineRule="auto"/>
        <w:ind w:firstLine="482" w:firstLineChars="200"/>
        <w:jc w:val="left"/>
        <w:rPr>
          <w:highlight w:val="none"/>
        </w:rPr>
      </w:pPr>
      <w:r>
        <w:rPr>
          <w:highlight w:val="none"/>
        </w:rPr>
        <w:t>（四）组织评标委员会推选评标组长，采购人代表不得担任组长；</w:t>
      </w:r>
    </w:p>
    <w:p w14:paraId="7E8B3ECD">
      <w:pPr>
        <w:pStyle w:val="9"/>
        <w:spacing w:line="360" w:lineRule="auto"/>
        <w:ind w:firstLine="482" w:firstLineChars="200"/>
        <w:jc w:val="left"/>
        <w:rPr>
          <w:highlight w:val="none"/>
        </w:rPr>
      </w:pPr>
      <w:r>
        <w:rPr>
          <w:highlight w:val="none"/>
        </w:rPr>
        <w:t>（五）在评标期间采取必要的通讯管理措施，保证评标活动不受外界干扰；</w:t>
      </w:r>
    </w:p>
    <w:p w14:paraId="5DD28D46">
      <w:pPr>
        <w:pStyle w:val="9"/>
        <w:spacing w:line="360" w:lineRule="auto"/>
        <w:ind w:firstLine="482" w:firstLineChars="200"/>
        <w:jc w:val="left"/>
        <w:rPr>
          <w:highlight w:val="none"/>
        </w:rPr>
      </w:pPr>
      <w:r>
        <w:rPr>
          <w:highlight w:val="none"/>
        </w:rPr>
        <w:t>（六）根据评标委员会的要求介绍政府采购相关政策法规、招标文件；</w:t>
      </w:r>
    </w:p>
    <w:p w14:paraId="30A43808">
      <w:pPr>
        <w:pStyle w:val="9"/>
        <w:spacing w:line="360" w:lineRule="auto"/>
        <w:ind w:firstLine="482" w:firstLineChars="200"/>
        <w:jc w:val="left"/>
        <w:rPr>
          <w:highlight w:val="none"/>
        </w:rPr>
      </w:pPr>
      <w:r>
        <w:rPr>
          <w:highlight w:val="none"/>
        </w:rPr>
        <w:t>（七）维护评标秩序，监督评标委员会依照招标文件规定的评标程序、方法和标准进行独立评审，及时制止和纠正采购人代表、评审专家的倾向性言论或者违法违规行为；</w:t>
      </w:r>
    </w:p>
    <w:p w14:paraId="4D082200">
      <w:pPr>
        <w:pStyle w:val="9"/>
        <w:spacing w:line="360" w:lineRule="auto"/>
        <w:ind w:firstLine="482" w:firstLineChars="200"/>
        <w:jc w:val="left"/>
        <w:rPr>
          <w:highlight w:val="none"/>
        </w:rPr>
      </w:pPr>
      <w:r>
        <w:rPr>
          <w:highlight w:val="none"/>
        </w:rPr>
        <w:t>（八）核对评标结果，如出现《政府采购货物和服务招标投标管理办法》第六十四条</w:t>
      </w:r>
      <w:r>
        <w:rPr>
          <w:spacing w:val="-12"/>
          <w:highlight w:val="none"/>
        </w:rPr>
        <w:t>关于评标结果修正情形的，要求评标委员会复核或者书面说明理由，评标委员会拒绝的，</w:t>
      </w:r>
      <w:r>
        <w:rPr>
          <w:highlight w:val="none"/>
        </w:rPr>
        <w:t>应予记录并向财政部门报告；</w:t>
      </w:r>
    </w:p>
    <w:p w14:paraId="22FCC91A">
      <w:pPr>
        <w:pStyle w:val="9"/>
        <w:spacing w:line="360" w:lineRule="auto"/>
        <w:ind w:firstLine="482" w:firstLineChars="200"/>
        <w:jc w:val="left"/>
        <w:rPr>
          <w:highlight w:val="none"/>
        </w:rPr>
      </w:pPr>
      <w:r>
        <w:rPr>
          <w:highlight w:val="none"/>
        </w:rPr>
        <w:t>（九）评审工作完成后，按照规定向评审专家支付劳务报酬和异地评审差旅费，不得向评审专家以外的其他人员支付评审劳务报酬；</w:t>
      </w:r>
    </w:p>
    <w:p w14:paraId="39E10C66">
      <w:pPr>
        <w:pStyle w:val="9"/>
        <w:spacing w:line="360" w:lineRule="auto"/>
        <w:ind w:firstLine="482" w:firstLineChars="200"/>
        <w:jc w:val="left"/>
        <w:rPr>
          <w:highlight w:val="none"/>
        </w:rPr>
      </w:pPr>
      <w:r>
        <w:rPr>
          <w:highlight w:val="none"/>
        </w:rPr>
        <w:t>（十）处理与评标有关的其他事项；</w:t>
      </w:r>
    </w:p>
    <w:p w14:paraId="242A5FF6">
      <w:pPr>
        <w:pStyle w:val="3"/>
        <w:spacing w:line="360" w:lineRule="auto"/>
        <w:ind w:left="0" w:right="0" w:firstLine="482" w:firstLineChars="200"/>
        <w:jc w:val="left"/>
        <w:rPr>
          <w:sz w:val="24"/>
          <w:szCs w:val="24"/>
          <w:highlight w:val="none"/>
          <w:u w:val="none"/>
        </w:rPr>
      </w:pPr>
      <w:bookmarkStart w:id="45" w:name="_Toc225524671"/>
      <w:r>
        <w:rPr>
          <w:sz w:val="24"/>
          <w:szCs w:val="24"/>
          <w:highlight w:val="none"/>
          <w:u w:val="none"/>
        </w:rPr>
        <w:t>二、评标委员会及其成员不得有下列行为：</w:t>
      </w:r>
      <w:bookmarkEnd w:id="45"/>
    </w:p>
    <w:p w14:paraId="0ABAF55B">
      <w:pPr>
        <w:pStyle w:val="9"/>
        <w:spacing w:line="360" w:lineRule="auto"/>
        <w:ind w:firstLine="482" w:firstLineChars="200"/>
        <w:jc w:val="left"/>
        <w:rPr>
          <w:highlight w:val="none"/>
        </w:rPr>
      </w:pPr>
      <w:r>
        <w:rPr>
          <w:highlight w:val="none"/>
        </w:rPr>
        <w:t>（一）确定参与评标至评标结束前私自接触</w:t>
      </w:r>
      <w:r>
        <w:rPr>
          <w:rFonts w:hint="eastAsia"/>
          <w:highlight w:val="none"/>
        </w:rPr>
        <w:t>投标人</w:t>
      </w:r>
      <w:r>
        <w:rPr>
          <w:highlight w:val="none"/>
        </w:rPr>
        <w:t>；</w:t>
      </w:r>
    </w:p>
    <w:p w14:paraId="29CD9935">
      <w:pPr>
        <w:pStyle w:val="9"/>
        <w:spacing w:line="360" w:lineRule="auto"/>
        <w:ind w:firstLine="482" w:firstLineChars="200"/>
        <w:jc w:val="left"/>
        <w:rPr>
          <w:highlight w:val="none"/>
        </w:rPr>
      </w:pPr>
      <w:r>
        <w:rPr>
          <w:highlight w:val="none"/>
        </w:rPr>
        <w:t>（二</w:t>
      </w:r>
      <w:r>
        <w:rPr>
          <w:spacing w:val="-27"/>
          <w:highlight w:val="none"/>
        </w:rPr>
        <w:t>）</w:t>
      </w:r>
      <w:r>
        <w:rPr>
          <w:highlight w:val="none"/>
        </w:rPr>
        <w:t>接受</w:t>
      </w:r>
      <w:r>
        <w:rPr>
          <w:rFonts w:hint="eastAsia"/>
          <w:highlight w:val="none"/>
        </w:rPr>
        <w:t>投标人</w:t>
      </w:r>
      <w:r>
        <w:rPr>
          <w:highlight w:val="none"/>
        </w:rPr>
        <w:t>提出的与投标文件不一致的澄清或者说明，第二章</w:t>
      </w:r>
      <w:r>
        <w:rPr>
          <w:rFonts w:hint="eastAsia"/>
          <w:highlight w:val="none"/>
        </w:rPr>
        <w:t>“四、开标、评标与确定中标人</w:t>
      </w:r>
      <w:r>
        <w:rPr>
          <w:rFonts w:hint="eastAsia"/>
          <w:highlight w:val="none"/>
          <w:lang w:val="en-US"/>
        </w:rPr>
        <w:t>3.2.4</w:t>
      </w:r>
      <w:r>
        <w:rPr>
          <w:rFonts w:hint="eastAsia"/>
          <w:highlight w:val="none"/>
        </w:rPr>
        <w:t>”</w:t>
      </w:r>
      <w:r>
        <w:rPr>
          <w:spacing w:val="-16"/>
          <w:highlight w:val="none"/>
        </w:rPr>
        <w:t>规定的情</w:t>
      </w:r>
      <w:r>
        <w:rPr>
          <w:highlight w:val="none"/>
        </w:rPr>
        <w:t>形除外；</w:t>
      </w:r>
    </w:p>
    <w:p w14:paraId="353DE318">
      <w:pPr>
        <w:pStyle w:val="9"/>
        <w:spacing w:line="360" w:lineRule="auto"/>
        <w:ind w:firstLine="482" w:firstLineChars="200"/>
        <w:jc w:val="left"/>
        <w:rPr>
          <w:highlight w:val="none"/>
        </w:rPr>
      </w:pPr>
      <w:r>
        <w:rPr>
          <w:highlight w:val="none"/>
        </w:rPr>
        <w:t>（三）违反评标纪律发表倾向性意见或者征询采购人的倾向性意见；</w:t>
      </w:r>
    </w:p>
    <w:p w14:paraId="44A63125">
      <w:pPr>
        <w:pStyle w:val="9"/>
        <w:spacing w:line="360" w:lineRule="auto"/>
        <w:ind w:firstLine="482" w:firstLineChars="200"/>
        <w:jc w:val="left"/>
        <w:rPr>
          <w:highlight w:val="none"/>
        </w:rPr>
      </w:pPr>
      <w:r>
        <w:rPr>
          <w:highlight w:val="none"/>
        </w:rPr>
        <w:t>（四）对需要专业判断的主观评审因素协商评分；</w:t>
      </w:r>
    </w:p>
    <w:p w14:paraId="38968A5A">
      <w:pPr>
        <w:pStyle w:val="9"/>
        <w:spacing w:line="360" w:lineRule="auto"/>
        <w:ind w:firstLine="482" w:firstLineChars="200"/>
        <w:jc w:val="left"/>
        <w:rPr>
          <w:highlight w:val="none"/>
        </w:rPr>
      </w:pPr>
      <w:r>
        <w:rPr>
          <w:highlight w:val="none"/>
        </w:rPr>
        <w:t>（五）在评标过程中擅离职守，影响评标程序正常进行的；</w:t>
      </w:r>
    </w:p>
    <w:p w14:paraId="6148EBF0">
      <w:pPr>
        <w:pStyle w:val="9"/>
        <w:spacing w:line="360" w:lineRule="auto"/>
        <w:ind w:firstLine="482" w:firstLineChars="200"/>
        <w:jc w:val="left"/>
        <w:rPr>
          <w:highlight w:val="none"/>
        </w:rPr>
      </w:pPr>
      <w:r>
        <w:rPr>
          <w:highlight w:val="none"/>
        </w:rPr>
        <w:t>（六）记录、复制或者带走任何评标资料；</w:t>
      </w:r>
    </w:p>
    <w:p w14:paraId="4F8A795F">
      <w:pPr>
        <w:pStyle w:val="9"/>
        <w:spacing w:line="360" w:lineRule="auto"/>
        <w:ind w:firstLine="482" w:firstLineChars="200"/>
        <w:jc w:val="left"/>
        <w:rPr>
          <w:sz w:val="21"/>
          <w:szCs w:val="21"/>
          <w:highlight w:val="none"/>
        </w:rPr>
      </w:pPr>
      <w:r>
        <w:rPr>
          <w:highlight w:val="none"/>
        </w:rPr>
        <w:t>（七）其他不遵守评标纪律的行为。</w:t>
      </w:r>
    </w:p>
    <w:p w14:paraId="21039308">
      <w:pPr>
        <w:spacing w:line="360" w:lineRule="auto"/>
        <w:ind w:firstLine="440" w:firstLineChars="200"/>
        <w:rPr>
          <w:highlight w:val="none"/>
        </w:rPr>
        <w:sectPr>
          <w:headerReference r:id="rId5" w:type="default"/>
          <w:footerReference r:id="rId6" w:type="default"/>
          <w:pgSz w:w="11910" w:h="16840"/>
          <w:pgMar w:top="1460" w:right="1423" w:bottom="920" w:left="1423" w:header="492" w:footer="726" w:gutter="0"/>
          <w:cols w:space="720" w:num="1"/>
          <w:docGrid w:linePitch="312" w:charSpace="0"/>
        </w:sectPr>
      </w:pPr>
    </w:p>
    <w:p w14:paraId="1E8B1AC3">
      <w:pPr>
        <w:spacing w:line="360" w:lineRule="auto"/>
        <w:jc w:val="center"/>
        <w:outlineLvl w:val="0"/>
        <w:rPr>
          <w:rFonts w:ascii="黑体" w:eastAsia="黑体"/>
          <w:sz w:val="32"/>
          <w:highlight w:val="none"/>
        </w:rPr>
      </w:pPr>
      <w:bookmarkStart w:id="46" w:name="_TOC_250002"/>
      <w:bookmarkEnd w:id="46"/>
      <w:bookmarkStart w:id="47" w:name="_Toc225524672"/>
      <w:r>
        <w:rPr>
          <w:rFonts w:ascii="黑体" w:eastAsia="黑体"/>
          <w:sz w:val="32"/>
          <w:highlight w:val="none"/>
        </w:rPr>
        <w:t>第四章</w:t>
      </w:r>
      <w:r>
        <w:rPr>
          <w:rFonts w:hint="eastAsia" w:ascii="黑体" w:eastAsia="黑体"/>
          <w:sz w:val="32"/>
          <w:highlight w:val="none"/>
        </w:rPr>
        <w:t xml:space="preserve"> </w:t>
      </w:r>
      <w:r>
        <w:rPr>
          <w:rFonts w:ascii="黑体" w:eastAsia="黑体"/>
          <w:sz w:val="32"/>
          <w:highlight w:val="none"/>
        </w:rPr>
        <w:t xml:space="preserve"> </w:t>
      </w:r>
      <w:r>
        <w:rPr>
          <w:rFonts w:ascii="黑体" w:eastAsia="黑体"/>
          <w:sz w:val="32"/>
          <w:highlight w:val="none"/>
        </w:rPr>
        <w:tab/>
      </w:r>
      <w:r>
        <w:rPr>
          <w:rFonts w:hint="eastAsia" w:ascii="黑体" w:eastAsia="黑体"/>
          <w:sz w:val="32"/>
          <w:highlight w:val="none"/>
        </w:rPr>
        <w:t>评标办法及标准</w:t>
      </w:r>
      <w:bookmarkEnd w:id="47"/>
    </w:p>
    <w:p w14:paraId="328D9EBE">
      <w:pPr>
        <w:pStyle w:val="26"/>
        <w:numPr>
          <w:ilvl w:val="0"/>
          <w:numId w:val="21"/>
        </w:numPr>
        <w:adjustRightInd w:val="0"/>
        <w:snapToGrid w:val="0"/>
        <w:spacing w:line="360" w:lineRule="auto"/>
        <w:ind w:left="0" w:firstLine="0"/>
        <w:outlineLvl w:val="1"/>
        <w:rPr>
          <w:b/>
          <w:bCs/>
          <w:sz w:val="24"/>
          <w:szCs w:val="24"/>
          <w:highlight w:val="none"/>
        </w:rPr>
      </w:pPr>
      <w:bookmarkStart w:id="48" w:name="_Toc1518"/>
      <w:bookmarkStart w:id="49" w:name="_Toc225524673"/>
      <w:r>
        <w:rPr>
          <w:rFonts w:hint="eastAsia"/>
          <w:b/>
          <w:bCs/>
          <w:sz w:val="24"/>
          <w:szCs w:val="24"/>
          <w:highlight w:val="none"/>
        </w:rPr>
        <w:t>评标办法</w:t>
      </w:r>
      <w:bookmarkEnd w:id="48"/>
      <w:bookmarkEnd w:id="49"/>
    </w:p>
    <w:p w14:paraId="097CADB7">
      <w:pPr>
        <w:adjustRightInd w:val="0"/>
        <w:snapToGrid w:val="0"/>
        <w:spacing w:line="360" w:lineRule="auto"/>
        <w:ind w:firstLine="480" w:firstLineChars="200"/>
        <w:rPr>
          <w:sz w:val="24"/>
          <w:szCs w:val="24"/>
          <w:highlight w:val="none"/>
        </w:rPr>
      </w:pPr>
      <w:r>
        <w:rPr>
          <w:rFonts w:hint="eastAsia"/>
          <w:sz w:val="24"/>
          <w:szCs w:val="24"/>
          <w:highlight w:val="none"/>
          <w:lang w:val="en-US"/>
        </w:rPr>
        <w:t>1.1</w:t>
      </w:r>
      <w:r>
        <w:rPr>
          <w:rFonts w:hint="eastAsia"/>
          <w:sz w:val="24"/>
          <w:szCs w:val="24"/>
          <w:highlight w:val="none"/>
        </w:rPr>
        <w:t>评标委员会将对确定为实质性响应招标文件要求的投标文件进行评价和比较，评标采用综合评分法。</w:t>
      </w:r>
    </w:p>
    <w:p w14:paraId="0A48A7ED">
      <w:pPr>
        <w:adjustRightInd w:val="0"/>
        <w:snapToGrid w:val="0"/>
        <w:spacing w:line="360" w:lineRule="auto"/>
        <w:ind w:firstLine="480" w:firstLineChars="200"/>
        <w:rPr>
          <w:sz w:val="24"/>
          <w:szCs w:val="24"/>
          <w:highlight w:val="none"/>
        </w:rPr>
      </w:pPr>
      <w:r>
        <w:rPr>
          <w:rFonts w:hint="eastAsia"/>
          <w:sz w:val="24"/>
          <w:szCs w:val="24"/>
          <w:highlight w:val="none"/>
          <w:lang w:val="en-US"/>
        </w:rPr>
        <w:t>1.2</w:t>
      </w:r>
      <w:r>
        <w:rPr>
          <w:rFonts w:hint="eastAsia"/>
          <w:sz w:val="24"/>
          <w:szCs w:val="24"/>
          <w:highlight w:val="none"/>
        </w:rPr>
        <w:t>评标委员会根据供应商综合评审得分，从高到低排序，依次推荐不超过三名中标候选人。综合得分最高者为第一名，依次类推确定得分排名顺序，若出现二家供应商得分相同，则以报价较低者为排名较前的中标候选人，若综合得分且投标报价相同的，由评标委员会按抽签顺序排列。</w:t>
      </w:r>
    </w:p>
    <w:p w14:paraId="3BED150F">
      <w:pPr>
        <w:adjustRightInd w:val="0"/>
        <w:snapToGrid w:val="0"/>
        <w:spacing w:line="360" w:lineRule="auto"/>
        <w:ind w:firstLine="480" w:firstLineChars="200"/>
        <w:rPr>
          <w:sz w:val="24"/>
          <w:szCs w:val="24"/>
          <w:highlight w:val="none"/>
        </w:rPr>
      </w:pPr>
      <w:r>
        <w:rPr>
          <w:rFonts w:hint="eastAsia"/>
          <w:sz w:val="24"/>
          <w:szCs w:val="24"/>
          <w:highlight w:val="none"/>
          <w:lang w:val="en-US"/>
        </w:rPr>
        <w:t>1.3</w:t>
      </w:r>
      <w:r>
        <w:rPr>
          <w:rFonts w:hint="eastAsia"/>
          <w:sz w:val="24"/>
          <w:szCs w:val="24"/>
          <w:highlight w:val="none"/>
        </w:rPr>
        <w:t>采购人按照评标委员会的推荐确定第一中标候选人为中标人，若确定中标的中标候选人放弃中标或者因不可抗力提出不能履行合同的，采购人可以依序确定其他中标候选人为中标人，签订合同或者组织重新招标。</w:t>
      </w:r>
    </w:p>
    <w:p w14:paraId="62F81EC4">
      <w:pPr>
        <w:pStyle w:val="26"/>
        <w:numPr>
          <w:ilvl w:val="0"/>
          <w:numId w:val="21"/>
        </w:numPr>
        <w:adjustRightInd w:val="0"/>
        <w:snapToGrid w:val="0"/>
        <w:spacing w:line="360" w:lineRule="auto"/>
        <w:ind w:left="0" w:firstLine="0"/>
        <w:outlineLvl w:val="1"/>
        <w:rPr>
          <w:b/>
          <w:bCs/>
          <w:sz w:val="24"/>
          <w:szCs w:val="24"/>
          <w:highlight w:val="none"/>
        </w:rPr>
      </w:pPr>
      <w:bookmarkStart w:id="50" w:name="_Toc28248"/>
      <w:bookmarkStart w:id="51" w:name="_Toc29145"/>
      <w:bookmarkStart w:id="52" w:name="_Toc49171543"/>
      <w:bookmarkStart w:id="53" w:name="_Toc225524674"/>
      <w:r>
        <w:rPr>
          <w:rFonts w:hint="eastAsia"/>
          <w:b/>
          <w:bCs/>
          <w:sz w:val="24"/>
          <w:szCs w:val="24"/>
          <w:highlight w:val="none"/>
        </w:rPr>
        <w:t>资格性审查方法及标准</w:t>
      </w:r>
      <w:bookmarkEnd w:id="50"/>
      <w:bookmarkEnd w:id="51"/>
      <w:bookmarkEnd w:id="52"/>
      <w:bookmarkEnd w:id="53"/>
    </w:p>
    <w:p w14:paraId="518976FC">
      <w:pPr>
        <w:pStyle w:val="4"/>
        <w:adjustRightInd w:val="0"/>
        <w:snapToGrid w:val="0"/>
        <w:spacing w:line="360" w:lineRule="auto"/>
        <w:ind w:firstLine="480" w:firstLineChars="200"/>
        <w:jc w:val="left"/>
        <w:rPr>
          <w:rFonts w:ascii="宋体" w:eastAsia="宋体" w:cs="宋体"/>
          <w:sz w:val="24"/>
          <w:szCs w:val="24"/>
          <w:highlight w:val="none"/>
        </w:rPr>
      </w:pPr>
      <w:bookmarkStart w:id="54" w:name="_Toc49171544"/>
      <w:bookmarkStart w:id="55" w:name="_Toc3593"/>
      <w:bookmarkStart w:id="56" w:name="_Toc26080"/>
      <w:r>
        <w:rPr>
          <w:rFonts w:hint="eastAsia" w:ascii="宋体" w:eastAsia="宋体" w:cs="宋体"/>
          <w:sz w:val="24"/>
          <w:szCs w:val="24"/>
          <w:highlight w:val="none"/>
        </w:rPr>
        <w:t>2.1资格审查方法</w:t>
      </w:r>
      <w:bookmarkEnd w:id="54"/>
      <w:bookmarkEnd w:id="55"/>
      <w:bookmarkEnd w:id="56"/>
    </w:p>
    <w:p w14:paraId="75E7B08D">
      <w:pPr>
        <w:adjustRightInd w:val="0"/>
        <w:snapToGrid w:val="0"/>
        <w:spacing w:line="360" w:lineRule="auto"/>
        <w:ind w:firstLine="480" w:firstLineChars="200"/>
        <w:rPr>
          <w:sz w:val="24"/>
          <w:szCs w:val="24"/>
          <w:highlight w:val="none"/>
        </w:rPr>
      </w:pPr>
      <w:r>
        <w:rPr>
          <w:rFonts w:hint="eastAsia"/>
          <w:sz w:val="24"/>
          <w:szCs w:val="24"/>
          <w:highlight w:val="none"/>
        </w:rPr>
        <w:t>公开招标采购项目开标结束后，</w:t>
      </w:r>
      <w:r>
        <w:rPr>
          <w:rFonts w:hint="eastAsia"/>
          <w:sz w:val="24"/>
          <w:szCs w:val="24"/>
          <w:highlight w:val="none"/>
          <w:lang w:val="en-US"/>
        </w:rPr>
        <w:t>采购人或采购代理机构</w:t>
      </w:r>
      <w:r>
        <w:rPr>
          <w:rFonts w:hint="eastAsia"/>
          <w:sz w:val="24"/>
          <w:szCs w:val="24"/>
          <w:highlight w:val="none"/>
        </w:rPr>
        <w:t>依据法律、法规及招标文件的规定，对投标人的资格进行审查，以确定投标人资格是否合格。</w:t>
      </w:r>
    </w:p>
    <w:p w14:paraId="578E50CB">
      <w:pPr>
        <w:pStyle w:val="4"/>
        <w:adjustRightInd w:val="0"/>
        <w:snapToGrid w:val="0"/>
        <w:spacing w:line="360" w:lineRule="auto"/>
        <w:ind w:firstLine="480" w:firstLineChars="200"/>
        <w:jc w:val="left"/>
        <w:rPr>
          <w:rFonts w:ascii="宋体" w:eastAsia="宋体" w:cs="宋体"/>
          <w:sz w:val="24"/>
          <w:szCs w:val="24"/>
          <w:highlight w:val="none"/>
        </w:rPr>
      </w:pPr>
      <w:bookmarkStart w:id="57" w:name="_Toc30692"/>
      <w:bookmarkStart w:id="58" w:name="_Toc49171545"/>
      <w:bookmarkStart w:id="59" w:name="_Toc25973"/>
      <w:r>
        <w:rPr>
          <w:rFonts w:hint="eastAsia" w:ascii="宋体" w:eastAsia="宋体" w:cs="宋体"/>
          <w:sz w:val="24"/>
          <w:szCs w:val="24"/>
          <w:highlight w:val="none"/>
        </w:rPr>
        <w:t>2.2资格审查标准</w:t>
      </w:r>
      <w:bookmarkEnd w:id="57"/>
      <w:bookmarkEnd w:id="58"/>
      <w:bookmarkEnd w:id="59"/>
    </w:p>
    <w:tbl>
      <w:tblPr>
        <w:tblStyle w:val="21"/>
        <w:tblW w:w="9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2932"/>
        <w:gridCol w:w="5981"/>
      </w:tblGrid>
      <w:tr w14:paraId="1497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15AAC015">
            <w:pPr>
              <w:adjustRightInd w:val="0"/>
              <w:snapToGrid w:val="0"/>
              <w:spacing w:line="360" w:lineRule="auto"/>
              <w:jc w:val="both"/>
              <w:rPr>
                <w:b/>
                <w:bCs/>
                <w:kern w:val="2"/>
                <w:sz w:val="24"/>
                <w:szCs w:val="24"/>
                <w:highlight w:val="none"/>
              </w:rPr>
            </w:pPr>
            <w:r>
              <w:rPr>
                <w:rFonts w:hint="eastAsia"/>
                <w:b/>
                <w:bCs/>
                <w:kern w:val="2"/>
                <w:sz w:val="24"/>
                <w:szCs w:val="24"/>
                <w:highlight w:val="none"/>
              </w:rPr>
              <w:t>序号</w:t>
            </w:r>
          </w:p>
        </w:tc>
        <w:tc>
          <w:tcPr>
            <w:tcW w:w="2932" w:type="dxa"/>
            <w:tcBorders>
              <w:top w:val="single" w:color="auto" w:sz="4" w:space="0"/>
              <w:left w:val="single" w:color="auto" w:sz="4" w:space="0"/>
              <w:bottom w:val="single" w:color="auto" w:sz="4" w:space="0"/>
              <w:right w:val="single" w:color="auto" w:sz="4" w:space="0"/>
            </w:tcBorders>
            <w:noWrap/>
            <w:vAlign w:val="center"/>
          </w:tcPr>
          <w:p w14:paraId="32B5A5DF">
            <w:pPr>
              <w:adjustRightInd w:val="0"/>
              <w:snapToGrid w:val="0"/>
              <w:spacing w:line="360" w:lineRule="auto"/>
              <w:jc w:val="both"/>
              <w:rPr>
                <w:b/>
                <w:bCs/>
                <w:kern w:val="2"/>
                <w:sz w:val="24"/>
                <w:szCs w:val="24"/>
                <w:highlight w:val="none"/>
              </w:rPr>
            </w:pPr>
            <w:r>
              <w:rPr>
                <w:rFonts w:hint="eastAsia"/>
                <w:b/>
                <w:bCs/>
                <w:kern w:val="2"/>
                <w:sz w:val="24"/>
                <w:szCs w:val="24"/>
                <w:highlight w:val="none"/>
              </w:rPr>
              <w:t>资格条件</w:t>
            </w:r>
          </w:p>
        </w:tc>
        <w:tc>
          <w:tcPr>
            <w:tcW w:w="5981" w:type="dxa"/>
            <w:tcBorders>
              <w:top w:val="single" w:color="auto" w:sz="4" w:space="0"/>
              <w:left w:val="single" w:color="auto" w:sz="4" w:space="0"/>
              <w:bottom w:val="single" w:color="auto" w:sz="4" w:space="0"/>
              <w:right w:val="single" w:color="auto" w:sz="4" w:space="0"/>
            </w:tcBorders>
            <w:noWrap/>
            <w:vAlign w:val="center"/>
          </w:tcPr>
          <w:p w14:paraId="4123D0D3">
            <w:pPr>
              <w:adjustRightInd w:val="0"/>
              <w:snapToGrid w:val="0"/>
              <w:spacing w:line="360" w:lineRule="auto"/>
              <w:jc w:val="both"/>
              <w:rPr>
                <w:b/>
                <w:bCs/>
                <w:kern w:val="2"/>
                <w:sz w:val="24"/>
                <w:szCs w:val="24"/>
                <w:highlight w:val="none"/>
              </w:rPr>
            </w:pPr>
            <w:r>
              <w:rPr>
                <w:rFonts w:hint="eastAsia"/>
                <w:b/>
                <w:bCs/>
                <w:kern w:val="2"/>
                <w:sz w:val="24"/>
                <w:szCs w:val="24"/>
                <w:highlight w:val="none"/>
              </w:rPr>
              <w:t>审查内容和审查标准</w:t>
            </w:r>
          </w:p>
        </w:tc>
      </w:tr>
      <w:tr w14:paraId="243FC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6DEB63A3">
            <w:pPr>
              <w:adjustRightInd w:val="0"/>
              <w:snapToGrid w:val="0"/>
              <w:spacing w:line="360" w:lineRule="auto"/>
              <w:jc w:val="both"/>
              <w:rPr>
                <w:kern w:val="2"/>
                <w:sz w:val="24"/>
                <w:szCs w:val="24"/>
                <w:highlight w:val="none"/>
              </w:rPr>
            </w:pPr>
            <w:r>
              <w:rPr>
                <w:rFonts w:hint="eastAsia"/>
                <w:kern w:val="2"/>
                <w:sz w:val="24"/>
                <w:szCs w:val="24"/>
                <w:highlight w:val="none"/>
              </w:rPr>
              <w:t>（一）</w:t>
            </w:r>
          </w:p>
        </w:tc>
        <w:tc>
          <w:tcPr>
            <w:tcW w:w="2932" w:type="dxa"/>
            <w:tcBorders>
              <w:top w:val="single" w:color="auto" w:sz="4" w:space="0"/>
              <w:left w:val="single" w:color="auto" w:sz="4" w:space="0"/>
              <w:bottom w:val="single" w:color="auto" w:sz="4" w:space="0"/>
              <w:right w:val="single" w:color="auto" w:sz="4" w:space="0"/>
            </w:tcBorders>
            <w:noWrap/>
            <w:vAlign w:val="center"/>
          </w:tcPr>
          <w:p w14:paraId="5B82B255">
            <w:pPr>
              <w:adjustRightInd w:val="0"/>
              <w:snapToGrid w:val="0"/>
              <w:spacing w:line="360" w:lineRule="auto"/>
              <w:jc w:val="both"/>
              <w:rPr>
                <w:kern w:val="2"/>
                <w:sz w:val="24"/>
                <w:szCs w:val="24"/>
                <w:highlight w:val="none"/>
              </w:rPr>
            </w:pPr>
            <w:r>
              <w:rPr>
                <w:rFonts w:hint="eastAsia"/>
                <w:kern w:val="2"/>
                <w:sz w:val="24"/>
                <w:szCs w:val="24"/>
                <w:highlight w:val="none"/>
                <w:lang w:val="en-US"/>
              </w:rPr>
              <w:t>投标函</w:t>
            </w:r>
          </w:p>
        </w:tc>
        <w:tc>
          <w:tcPr>
            <w:tcW w:w="5981" w:type="dxa"/>
            <w:tcBorders>
              <w:top w:val="single" w:color="auto" w:sz="4" w:space="0"/>
              <w:left w:val="single" w:color="auto" w:sz="4" w:space="0"/>
              <w:bottom w:val="single" w:color="auto" w:sz="4" w:space="0"/>
              <w:right w:val="single" w:color="auto" w:sz="4" w:space="0"/>
            </w:tcBorders>
            <w:noWrap/>
            <w:vAlign w:val="center"/>
          </w:tcPr>
          <w:p w14:paraId="5E97BCF3">
            <w:pPr>
              <w:adjustRightInd w:val="0"/>
              <w:snapToGrid w:val="0"/>
              <w:spacing w:line="360" w:lineRule="auto"/>
              <w:jc w:val="both"/>
              <w:rPr>
                <w:kern w:val="2"/>
                <w:sz w:val="24"/>
                <w:szCs w:val="24"/>
                <w:highlight w:val="none"/>
                <w:lang w:val="en-US"/>
              </w:rPr>
            </w:pPr>
            <w:r>
              <w:rPr>
                <w:kern w:val="2"/>
                <w:sz w:val="24"/>
                <w:szCs w:val="24"/>
                <w:highlight w:val="none"/>
                <w:lang w:val="en-US"/>
              </w:rPr>
              <w:t>是否按照</w:t>
            </w:r>
            <w:r>
              <w:rPr>
                <w:rFonts w:hint="eastAsia"/>
                <w:kern w:val="2"/>
                <w:sz w:val="24"/>
                <w:szCs w:val="24"/>
                <w:highlight w:val="none"/>
                <w:lang w:val="en-US"/>
              </w:rPr>
              <w:t>投标函</w:t>
            </w:r>
            <w:r>
              <w:rPr>
                <w:kern w:val="2"/>
                <w:sz w:val="24"/>
                <w:szCs w:val="24"/>
                <w:highlight w:val="none"/>
                <w:lang w:val="en-US"/>
              </w:rPr>
              <w:t>格式要求正确填写，是否按照要求盖章</w:t>
            </w:r>
            <w:r>
              <w:rPr>
                <w:rFonts w:hint="eastAsia"/>
                <w:kern w:val="2"/>
                <w:sz w:val="24"/>
                <w:szCs w:val="24"/>
                <w:highlight w:val="none"/>
                <w:lang w:val="en-US"/>
              </w:rPr>
              <w:t>。</w:t>
            </w:r>
          </w:p>
        </w:tc>
      </w:tr>
      <w:tr w14:paraId="5A3DF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0966C6AE">
            <w:pPr>
              <w:adjustRightInd w:val="0"/>
              <w:snapToGrid w:val="0"/>
              <w:spacing w:line="360" w:lineRule="auto"/>
              <w:jc w:val="both"/>
              <w:rPr>
                <w:kern w:val="2"/>
                <w:sz w:val="24"/>
                <w:szCs w:val="24"/>
                <w:highlight w:val="none"/>
              </w:rPr>
            </w:pPr>
            <w:r>
              <w:rPr>
                <w:rFonts w:hint="eastAsia"/>
                <w:kern w:val="2"/>
                <w:sz w:val="24"/>
                <w:szCs w:val="24"/>
                <w:highlight w:val="none"/>
              </w:rPr>
              <w:t>（二）</w:t>
            </w:r>
          </w:p>
        </w:tc>
        <w:tc>
          <w:tcPr>
            <w:tcW w:w="2932" w:type="dxa"/>
            <w:tcBorders>
              <w:top w:val="single" w:color="auto" w:sz="4" w:space="0"/>
              <w:left w:val="single" w:color="auto" w:sz="4" w:space="0"/>
              <w:bottom w:val="single" w:color="auto" w:sz="4" w:space="0"/>
              <w:right w:val="single" w:color="auto" w:sz="4" w:space="0"/>
            </w:tcBorders>
            <w:noWrap/>
            <w:vAlign w:val="center"/>
          </w:tcPr>
          <w:p w14:paraId="18992119">
            <w:pPr>
              <w:adjustRightInd w:val="0"/>
              <w:snapToGrid w:val="0"/>
              <w:spacing w:line="360" w:lineRule="auto"/>
              <w:jc w:val="both"/>
              <w:rPr>
                <w:kern w:val="2"/>
                <w:sz w:val="24"/>
                <w:szCs w:val="24"/>
                <w:highlight w:val="none"/>
              </w:rPr>
            </w:pPr>
            <w:r>
              <w:rPr>
                <w:rFonts w:hint="eastAsia"/>
                <w:kern w:val="2"/>
                <w:sz w:val="24"/>
                <w:szCs w:val="24"/>
                <w:highlight w:val="none"/>
              </w:rPr>
              <w:t>法定代表人授权委托书及委托代理人的身份证明文件的扫描件</w:t>
            </w:r>
          </w:p>
        </w:tc>
        <w:tc>
          <w:tcPr>
            <w:tcW w:w="5981" w:type="dxa"/>
            <w:tcBorders>
              <w:top w:val="single" w:color="auto" w:sz="4" w:space="0"/>
              <w:left w:val="single" w:color="auto" w:sz="4" w:space="0"/>
              <w:bottom w:val="single" w:color="auto" w:sz="4" w:space="0"/>
              <w:right w:val="single" w:color="auto" w:sz="4" w:space="0"/>
            </w:tcBorders>
            <w:noWrap/>
            <w:vAlign w:val="center"/>
          </w:tcPr>
          <w:p w14:paraId="7097411F">
            <w:pPr>
              <w:adjustRightInd w:val="0"/>
              <w:snapToGrid w:val="0"/>
              <w:spacing w:line="360" w:lineRule="auto"/>
              <w:jc w:val="both"/>
              <w:rPr>
                <w:kern w:val="2"/>
                <w:sz w:val="24"/>
                <w:szCs w:val="24"/>
                <w:highlight w:val="none"/>
                <w:lang w:val="en-US"/>
              </w:rPr>
            </w:pPr>
            <w:r>
              <w:rPr>
                <w:kern w:val="2"/>
                <w:sz w:val="24"/>
                <w:szCs w:val="24"/>
                <w:highlight w:val="none"/>
                <w:lang w:val="en-US"/>
              </w:rPr>
              <w:t>是否按照法定代表人授权委托书格式要求正确填写，是否按照要求签字或签章，是否按要求提供代理人身份证明文件</w:t>
            </w:r>
            <w:r>
              <w:rPr>
                <w:rFonts w:hint="eastAsia"/>
                <w:kern w:val="2"/>
                <w:sz w:val="24"/>
                <w:szCs w:val="24"/>
                <w:highlight w:val="none"/>
                <w:lang w:val="en-US"/>
              </w:rPr>
              <w:t>。</w:t>
            </w:r>
          </w:p>
        </w:tc>
      </w:tr>
      <w:tr w14:paraId="2081C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7E1C808B">
            <w:pPr>
              <w:adjustRightInd w:val="0"/>
              <w:snapToGrid w:val="0"/>
              <w:spacing w:line="360" w:lineRule="auto"/>
              <w:jc w:val="both"/>
              <w:rPr>
                <w:kern w:val="2"/>
                <w:sz w:val="24"/>
                <w:szCs w:val="24"/>
                <w:highlight w:val="none"/>
              </w:rPr>
            </w:pPr>
            <w:r>
              <w:rPr>
                <w:rFonts w:hint="eastAsia"/>
                <w:kern w:val="2"/>
                <w:sz w:val="24"/>
                <w:szCs w:val="24"/>
                <w:highlight w:val="none"/>
              </w:rPr>
              <w:t>（</w:t>
            </w:r>
            <w:r>
              <w:rPr>
                <w:rFonts w:hint="eastAsia"/>
                <w:kern w:val="2"/>
                <w:sz w:val="24"/>
                <w:szCs w:val="24"/>
                <w:highlight w:val="none"/>
                <w:lang w:val="en-US"/>
              </w:rPr>
              <w:t>三</w:t>
            </w:r>
            <w:r>
              <w:rPr>
                <w:rFonts w:hint="eastAsia"/>
                <w:kern w:val="2"/>
                <w:sz w:val="24"/>
                <w:szCs w:val="24"/>
                <w:highlight w:val="none"/>
              </w:rPr>
              <w:t>）</w:t>
            </w:r>
          </w:p>
        </w:tc>
        <w:tc>
          <w:tcPr>
            <w:tcW w:w="8913" w:type="dxa"/>
            <w:gridSpan w:val="2"/>
            <w:tcBorders>
              <w:top w:val="single" w:color="auto" w:sz="4" w:space="0"/>
              <w:left w:val="single" w:color="auto" w:sz="4" w:space="0"/>
              <w:bottom w:val="single" w:color="auto" w:sz="4" w:space="0"/>
              <w:right w:val="single" w:color="auto" w:sz="4" w:space="0"/>
            </w:tcBorders>
            <w:noWrap/>
            <w:vAlign w:val="center"/>
          </w:tcPr>
          <w:p w14:paraId="352387A3">
            <w:pPr>
              <w:adjustRightInd w:val="0"/>
              <w:snapToGrid w:val="0"/>
              <w:spacing w:line="360" w:lineRule="auto"/>
              <w:jc w:val="both"/>
              <w:rPr>
                <w:kern w:val="2"/>
                <w:sz w:val="24"/>
                <w:szCs w:val="24"/>
                <w:highlight w:val="none"/>
                <w:lang w:val="en-US"/>
              </w:rPr>
            </w:pPr>
            <w:r>
              <w:rPr>
                <w:rFonts w:hint="eastAsia"/>
                <w:kern w:val="2"/>
                <w:sz w:val="24"/>
                <w:szCs w:val="24"/>
                <w:highlight w:val="none"/>
                <w:lang w:val="en-US"/>
              </w:rPr>
              <w:t>投标人</w:t>
            </w:r>
            <w:r>
              <w:rPr>
                <w:rFonts w:hint="eastAsia"/>
                <w:kern w:val="2"/>
                <w:sz w:val="24"/>
                <w:szCs w:val="24"/>
                <w:highlight w:val="none"/>
              </w:rPr>
              <w:t>应符合《中华人民共和国政府采购法》第二十二条的规定;</w:t>
            </w:r>
          </w:p>
        </w:tc>
      </w:tr>
      <w:tr w14:paraId="27F5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9"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7B30707F">
            <w:pPr>
              <w:adjustRightInd w:val="0"/>
              <w:snapToGrid w:val="0"/>
              <w:spacing w:line="360" w:lineRule="auto"/>
              <w:jc w:val="both"/>
              <w:rPr>
                <w:kern w:val="2"/>
                <w:sz w:val="24"/>
                <w:szCs w:val="24"/>
                <w:highlight w:val="none"/>
                <w:lang w:val="en-US"/>
              </w:rPr>
            </w:pPr>
            <w:r>
              <w:rPr>
                <w:rFonts w:hint="eastAsia"/>
                <w:kern w:val="2"/>
                <w:sz w:val="24"/>
                <w:szCs w:val="24"/>
                <w:highlight w:val="none"/>
                <w:lang w:val="en-US"/>
              </w:rPr>
              <w:t>3.1</w:t>
            </w:r>
          </w:p>
        </w:tc>
        <w:tc>
          <w:tcPr>
            <w:tcW w:w="2932" w:type="dxa"/>
            <w:tcBorders>
              <w:top w:val="single" w:color="auto" w:sz="4" w:space="0"/>
              <w:left w:val="single" w:color="auto" w:sz="4" w:space="0"/>
              <w:bottom w:val="single" w:color="auto" w:sz="4" w:space="0"/>
              <w:right w:val="single" w:color="auto" w:sz="4" w:space="0"/>
            </w:tcBorders>
            <w:noWrap/>
            <w:vAlign w:val="center"/>
          </w:tcPr>
          <w:p w14:paraId="0994DA7E">
            <w:pPr>
              <w:adjustRightInd w:val="0"/>
              <w:snapToGrid w:val="0"/>
              <w:spacing w:line="360" w:lineRule="auto"/>
              <w:jc w:val="both"/>
              <w:rPr>
                <w:kern w:val="2"/>
                <w:sz w:val="24"/>
                <w:szCs w:val="24"/>
                <w:highlight w:val="none"/>
              </w:rPr>
            </w:pPr>
            <w:r>
              <w:rPr>
                <w:rFonts w:hint="eastAsia"/>
                <w:kern w:val="2"/>
                <w:sz w:val="24"/>
                <w:szCs w:val="24"/>
                <w:highlight w:val="none"/>
              </w:rPr>
              <w:t>具有独立承担民事责任的能力</w:t>
            </w:r>
          </w:p>
        </w:tc>
        <w:tc>
          <w:tcPr>
            <w:tcW w:w="5981" w:type="dxa"/>
            <w:tcBorders>
              <w:top w:val="single" w:color="auto" w:sz="4" w:space="0"/>
              <w:left w:val="single" w:color="auto" w:sz="4" w:space="0"/>
              <w:bottom w:val="single" w:color="auto" w:sz="4" w:space="0"/>
              <w:right w:val="single" w:color="auto" w:sz="4" w:space="0"/>
            </w:tcBorders>
            <w:noWrap/>
            <w:vAlign w:val="center"/>
          </w:tcPr>
          <w:p w14:paraId="7EC80184">
            <w:pPr>
              <w:pStyle w:val="11"/>
              <w:adjustRightInd w:val="0"/>
              <w:snapToGrid w:val="0"/>
              <w:spacing w:line="360" w:lineRule="auto"/>
              <w:ind w:left="0" w:leftChars="0"/>
              <w:jc w:val="both"/>
              <w:rPr>
                <w:kern w:val="2"/>
                <w:sz w:val="24"/>
                <w:szCs w:val="24"/>
                <w:highlight w:val="none"/>
                <w:lang w:val="en-US"/>
              </w:rPr>
            </w:pPr>
            <w:r>
              <w:rPr>
                <w:rFonts w:hint="eastAsia"/>
                <w:kern w:val="2"/>
                <w:sz w:val="24"/>
                <w:szCs w:val="24"/>
                <w:highlight w:val="none"/>
                <w:lang w:val="en-US"/>
              </w:rPr>
              <w:t>如投标人是企业（包括合作企业）的，应提供在工商部门注册的有效“企业法人营业执照”或“营业执照”；</w:t>
            </w:r>
          </w:p>
          <w:p w14:paraId="755F148F">
            <w:pPr>
              <w:pStyle w:val="11"/>
              <w:adjustRightInd w:val="0"/>
              <w:snapToGrid w:val="0"/>
              <w:spacing w:line="360" w:lineRule="auto"/>
              <w:ind w:left="0" w:leftChars="0"/>
              <w:jc w:val="both"/>
              <w:rPr>
                <w:kern w:val="2"/>
                <w:sz w:val="24"/>
                <w:szCs w:val="24"/>
                <w:highlight w:val="none"/>
                <w:lang w:val="en-US"/>
              </w:rPr>
            </w:pPr>
            <w:r>
              <w:rPr>
                <w:rFonts w:hint="eastAsia"/>
                <w:kern w:val="2"/>
                <w:sz w:val="24"/>
                <w:szCs w:val="24"/>
                <w:highlight w:val="none"/>
                <w:lang w:val="en-US"/>
              </w:rPr>
              <w:t>如投标人是事业单位的，应提供有效的“事业单位法人证书”；</w:t>
            </w:r>
          </w:p>
          <w:p w14:paraId="6B1B2B57">
            <w:pPr>
              <w:pStyle w:val="11"/>
              <w:adjustRightInd w:val="0"/>
              <w:snapToGrid w:val="0"/>
              <w:spacing w:line="360" w:lineRule="auto"/>
              <w:ind w:left="0" w:leftChars="0"/>
              <w:jc w:val="both"/>
              <w:rPr>
                <w:kern w:val="2"/>
                <w:sz w:val="24"/>
                <w:szCs w:val="24"/>
                <w:highlight w:val="none"/>
                <w:lang w:val="en-US"/>
              </w:rPr>
            </w:pPr>
            <w:r>
              <w:rPr>
                <w:rFonts w:hint="eastAsia"/>
                <w:kern w:val="2"/>
                <w:sz w:val="24"/>
                <w:szCs w:val="24"/>
                <w:highlight w:val="none"/>
                <w:lang w:val="en-US"/>
              </w:rPr>
              <w:t>如投标人是非企业专业服务机构的，应提供有效的执业许可证等证明文件；</w:t>
            </w:r>
          </w:p>
          <w:p w14:paraId="5E30C7ED">
            <w:pPr>
              <w:pStyle w:val="11"/>
              <w:adjustRightInd w:val="0"/>
              <w:snapToGrid w:val="0"/>
              <w:spacing w:line="360" w:lineRule="auto"/>
              <w:ind w:left="0" w:leftChars="0"/>
              <w:jc w:val="both"/>
              <w:rPr>
                <w:kern w:val="2"/>
                <w:sz w:val="24"/>
                <w:szCs w:val="24"/>
                <w:highlight w:val="none"/>
                <w:lang w:val="en-US"/>
              </w:rPr>
            </w:pPr>
            <w:r>
              <w:rPr>
                <w:rFonts w:hint="eastAsia"/>
                <w:kern w:val="2"/>
                <w:sz w:val="24"/>
                <w:szCs w:val="24"/>
                <w:highlight w:val="none"/>
                <w:lang w:val="en-US"/>
              </w:rPr>
              <w:t>如投标人是个体工商户的，应提供有效的“个体工商户营业执照”；</w:t>
            </w:r>
          </w:p>
          <w:p w14:paraId="1392DFAD">
            <w:pPr>
              <w:adjustRightInd w:val="0"/>
              <w:snapToGrid w:val="0"/>
              <w:spacing w:line="360" w:lineRule="auto"/>
              <w:jc w:val="both"/>
              <w:rPr>
                <w:kern w:val="2"/>
                <w:sz w:val="24"/>
                <w:szCs w:val="24"/>
                <w:highlight w:val="none"/>
                <w:lang w:val="en-US"/>
              </w:rPr>
            </w:pPr>
            <w:r>
              <w:rPr>
                <w:rFonts w:hint="eastAsia"/>
                <w:kern w:val="2"/>
                <w:sz w:val="24"/>
                <w:szCs w:val="24"/>
                <w:highlight w:val="none"/>
                <w:lang w:val="en-US"/>
              </w:rPr>
              <w:t>如投标人是自然人的，应提供有效的自然人身份证明。</w:t>
            </w:r>
          </w:p>
          <w:p w14:paraId="6BB20611">
            <w:pPr>
              <w:adjustRightInd w:val="0"/>
              <w:snapToGrid w:val="0"/>
              <w:spacing w:line="360" w:lineRule="auto"/>
              <w:jc w:val="both"/>
              <w:rPr>
                <w:highlight w:val="none"/>
                <w:lang w:val="en-US"/>
              </w:rPr>
            </w:pPr>
            <w:r>
              <w:rPr>
                <w:rFonts w:hint="eastAsia"/>
                <w:kern w:val="2"/>
                <w:sz w:val="24"/>
                <w:szCs w:val="24"/>
                <w:highlight w:val="none"/>
                <w:lang w:val="en-US"/>
              </w:rPr>
              <w:t>备注：经总公司授权，其省级分公司可以代表总公司参与投标。须提供总公司授权书及营业执照。</w:t>
            </w:r>
          </w:p>
        </w:tc>
      </w:tr>
      <w:tr w14:paraId="32395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0"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4836D98C">
            <w:pPr>
              <w:adjustRightInd w:val="0"/>
              <w:snapToGrid w:val="0"/>
              <w:spacing w:line="360" w:lineRule="auto"/>
              <w:jc w:val="both"/>
              <w:rPr>
                <w:kern w:val="2"/>
                <w:sz w:val="24"/>
                <w:szCs w:val="24"/>
                <w:highlight w:val="none"/>
                <w:lang w:val="en-US"/>
              </w:rPr>
            </w:pPr>
            <w:r>
              <w:rPr>
                <w:rFonts w:hint="eastAsia"/>
                <w:kern w:val="2"/>
                <w:sz w:val="24"/>
                <w:szCs w:val="24"/>
                <w:highlight w:val="none"/>
                <w:lang w:val="en-US"/>
              </w:rPr>
              <w:t>3.2</w:t>
            </w:r>
          </w:p>
        </w:tc>
        <w:tc>
          <w:tcPr>
            <w:tcW w:w="2932" w:type="dxa"/>
            <w:tcBorders>
              <w:top w:val="single" w:color="auto" w:sz="4" w:space="0"/>
              <w:left w:val="single" w:color="auto" w:sz="4" w:space="0"/>
              <w:bottom w:val="single" w:color="auto" w:sz="4" w:space="0"/>
              <w:right w:val="single" w:color="auto" w:sz="4" w:space="0"/>
            </w:tcBorders>
            <w:noWrap/>
            <w:vAlign w:val="center"/>
          </w:tcPr>
          <w:p w14:paraId="3EADFF74">
            <w:pPr>
              <w:tabs>
                <w:tab w:val="left" w:pos="1464"/>
              </w:tabs>
              <w:adjustRightInd w:val="0"/>
              <w:snapToGrid w:val="0"/>
              <w:spacing w:line="360" w:lineRule="auto"/>
              <w:jc w:val="both"/>
              <w:rPr>
                <w:kern w:val="2"/>
                <w:sz w:val="24"/>
                <w:szCs w:val="24"/>
                <w:highlight w:val="none"/>
              </w:rPr>
            </w:pPr>
            <w:r>
              <w:rPr>
                <w:rFonts w:hint="eastAsia"/>
                <w:kern w:val="2"/>
                <w:sz w:val="24"/>
                <w:szCs w:val="24"/>
                <w:highlight w:val="none"/>
              </w:rPr>
              <w:t>具有良好的商业信誉和健全的财务会计制度</w:t>
            </w:r>
          </w:p>
        </w:tc>
        <w:tc>
          <w:tcPr>
            <w:tcW w:w="5981" w:type="dxa"/>
            <w:tcBorders>
              <w:top w:val="single" w:color="auto" w:sz="4" w:space="0"/>
              <w:left w:val="single" w:color="auto" w:sz="4" w:space="0"/>
              <w:bottom w:val="single" w:color="auto" w:sz="4" w:space="0"/>
              <w:right w:val="single" w:color="auto" w:sz="4" w:space="0"/>
            </w:tcBorders>
            <w:noWrap/>
            <w:vAlign w:val="center"/>
          </w:tcPr>
          <w:p w14:paraId="2721006A">
            <w:pPr>
              <w:adjustRightInd w:val="0"/>
              <w:snapToGrid w:val="0"/>
              <w:spacing w:line="360" w:lineRule="auto"/>
              <w:jc w:val="both"/>
              <w:rPr>
                <w:kern w:val="2"/>
                <w:sz w:val="24"/>
                <w:szCs w:val="24"/>
                <w:highlight w:val="none"/>
              </w:rPr>
            </w:pPr>
            <w:r>
              <w:rPr>
                <w:rFonts w:hint="eastAsia"/>
                <w:kern w:val="2"/>
                <w:sz w:val="24"/>
                <w:szCs w:val="24"/>
                <w:highlight w:val="none"/>
              </w:rPr>
              <w:t>提供距投标文件提交截止时间六个月内任意一月份的财务状况报告（至少包括资产负债表和利润表）（法人或者其他组织成立未满三个月的可以不提供）或银行出具的资信证书（投标截止时间前六个月内）</w:t>
            </w:r>
            <w:r>
              <w:rPr>
                <w:rFonts w:hint="eastAsia"/>
                <w:kern w:val="2"/>
                <w:sz w:val="24"/>
                <w:szCs w:val="24"/>
                <w:highlight w:val="none"/>
                <w:lang w:val="en-US"/>
              </w:rPr>
              <w:t>或上</w:t>
            </w:r>
            <w:r>
              <w:rPr>
                <w:kern w:val="2"/>
                <w:sz w:val="24"/>
                <w:szCs w:val="24"/>
                <w:highlight w:val="none"/>
              </w:rPr>
              <w:t>年</w:t>
            </w:r>
            <w:r>
              <w:rPr>
                <w:rFonts w:hint="eastAsia"/>
                <w:kern w:val="2"/>
                <w:sz w:val="24"/>
                <w:szCs w:val="24"/>
                <w:highlight w:val="none"/>
              </w:rPr>
              <w:t>度（</w:t>
            </w:r>
            <w:r>
              <w:rPr>
                <w:rFonts w:hint="eastAsia"/>
                <w:kern w:val="2"/>
                <w:sz w:val="24"/>
                <w:szCs w:val="24"/>
                <w:highlight w:val="none"/>
                <w:lang w:val="en-US"/>
              </w:rPr>
              <w:t>2024或2025</w:t>
            </w:r>
            <w:r>
              <w:rPr>
                <w:rFonts w:hint="eastAsia"/>
                <w:kern w:val="2"/>
                <w:sz w:val="24"/>
                <w:szCs w:val="24"/>
                <w:highlight w:val="none"/>
              </w:rPr>
              <w:t>）财务报告</w:t>
            </w:r>
            <w:r>
              <w:rPr>
                <w:rFonts w:hint="eastAsia"/>
                <w:kern w:val="2"/>
                <w:sz w:val="24"/>
                <w:szCs w:val="24"/>
                <w:highlight w:val="none"/>
                <w:lang w:val="en-US"/>
              </w:rPr>
              <w:t>扫描件</w:t>
            </w:r>
          </w:p>
        </w:tc>
      </w:tr>
      <w:tr w14:paraId="65C9C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558478EE">
            <w:pPr>
              <w:adjustRightInd w:val="0"/>
              <w:snapToGrid w:val="0"/>
              <w:spacing w:line="360" w:lineRule="auto"/>
              <w:jc w:val="both"/>
              <w:rPr>
                <w:kern w:val="2"/>
                <w:sz w:val="24"/>
                <w:szCs w:val="24"/>
                <w:highlight w:val="none"/>
                <w:lang w:val="en-US"/>
              </w:rPr>
            </w:pPr>
            <w:r>
              <w:rPr>
                <w:rFonts w:hint="eastAsia"/>
                <w:kern w:val="2"/>
                <w:sz w:val="24"/>
                <w:szCs w:val="24"/>
                <w:highlight w:val="none"/>
                <w:lang w:val="en-US"/>
              </w:rPr>
              <w:t>3.3</w:t>
            </w:r>
          </w:p>
        </w:tc>
        <w:tc>
          <w:tcPr>
            <w:tcW w:w="2932" w:type="dxa"/>
            <w:tcBorders>
              <w:top w:val="single" w:color="auto" w:sz="4" w:space="0"/>
              <w:left w:val="single" w:color="auto" w:sz="4" w:space="0"/>
              <w:bottom w:val="single" w:color="auto" w:sz="4" w:space="0"/>
              <w:right w:val="single" w:color="auto" w:sz="4" w:space="0"/>
            </w:tcBorders>
            <w:noWrap/>
            <w:vAlign w:val="center"/>
          </w:tcPr>
          <w:p w14:paraId="56171C06">
            <w:pPr>
              <w:tabs>
                <w:tab w:val="left" w:pos="1464"/>
              </w:tabs>
              <w:adjustRightInd w:val="0"/>
              <w:snapToGrid w:val="0"/>
              <w:spacing w:line="360" w:lineRule="auto"/>
              <w:jc w:val="both"/>
              <w:rPr>
                <w:kern w:val="2"/>
                <w:sz w:val="24"/>
                <w:szCs w:val="24"/>
                <w:highlight w:val="none"/>
              </w:rPr>
            </w:pPr>
            <w:r>
              <w:rPr>
                <w:rFonts w:hint="eastAsia"/>
                <w:kern w:val="2"/>
                <w:sz w:val="24"/>
                <w:szCs w:val="24"/>
                <w:highlight w:val="none"/>
              </w:rPr>
              <w:t>具有履行合同所必需的设备和专业技术能力</w:t>
            </w:r>
          </w:p>
        </w:tc>
        <w:tc>
          <w:tcPr>
            <w:tcW w:w="5981" w:type="dxa"/>
            <w:tcBorders>
              <w:top w:val="single" w:color="auto" w:sz="4" w:space="0"/>
              <w:left w:val="single" w:color="auto" w:sz="4" w:space="0"/>
              <w:bottom w:val="single" w:color="auto" w:sz="4" w:space="0"/>
              <w:right w:val="single" w:color="auto" w:sz="4" w:space="0"/>
            </w:tcBorders>
            <w:noWrap/>
            <w:vAlign w:val="center"/>
          </w:tcPr>
          <w:p w14:paraId="275509D9">
            <w:pPr>
              <w:adjustRightInd w:val="0"/>
              <w:snapToGrid w:val="0"/>
              <w:spacing w:line="360" w:lineRule="auto"/>
              <w:jc w:val="both"/>
              <w:rPr>
                <w:kern w:val="2"/>
                <w:sz w:val="24"/>
                <w:szCs w:val="24"/>
                <w:highlight w:val="none"/>
              </w:rPr>
            </w:pPr>
            <w:r>
              <w:rPr>
                <w:rFonts w:hint="eastAsia"/>
                <w:kern w:val="2"/>
                <w:sz w:val="24"/>
                <w:szCs w:val="24"/>
                <w:highlight w:val="none"/>
              </w:rPr>
              <w:t>根据项目需求提供履行合同所必需的设备和专业技术能力的</w:t>
            </w:r>
            <w:r>
              <w:rPr>
                <w:rFonts w:hint="eastAsia"/>
                <w:kern w:val="2"/>
                <w:sz w:val="24"/>
                <w:szCs w:val="24"/>
                <w:highlight w:val="none"/>
                <w:lang w:val="en-US"/>
              </w:rPr>
              <w:t>证明或者</w:t>
            </w:r>
            <w:r>
              <w:rPr>
                <w:rFonts w:hint="eastAsia"/>
                <w:kern w:val="2"/>
                <w:sz w:val="24"/>
                <w:szCs w:val="24"/>
                <w:highlight w:val="none"/>
              </w:rPr>
              <w:t>书面声明材料</w:t>
            </w:r>
          </w:p>
        </w:tc>
      </w:tr>
      <w:tr w14:paraId="123C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6A36479A">
            <w:pPr>
              <w:adjustRightInd w:val="0"/>
              <w:snapToGrid w:val="0"/>
              <w:spacing w:line="360" w:lineRule="auto"/>
              <w:jc w:val="both"/>
              <w:rPr>
                <w:kern w:val="2"/>
                <w:sz w:val="24"/>
                <w:szCs w:val="24"/>
                <w:highlight w:val="none"/>
                <w:lang w:val="en-US"/>
              </w:rPr>
            </w:pPr>
            <w:r>
              <w:rPr>
                <w:rFonts w:hint="eastAsia"/>
                <w:kern w:val="2"/>
                <w:sz w:val="24"/>
                <w:szCs w:val="24"/>
                <w:highlight w:val="none"/>
                <w:lang w:val="en-US"/>
              </w:rPr>
              <w:t>3.4</w:t>
            </w:r>
          </w:p>
        </w:tc>
        <w:tc>
          <w:tcPr>
            <w:tcW w:w="2932" w:type="dxa"/>
            <w:tcBorders>
              <w:top w:val="single" w:color="auto" w:sz="4" w:space="0"/>
              <w:left w:val="single" w:color="auto" w:sz="4" w:space="0"/>
              <w:bottom w:val="single" w:color="auto" w:sz="4" w:space="0"/>
              <w:right w:val="single" w:color="auto" w:sz="4" w:space="0"/>
            </w:tcBorders>
            <w:noWrap/>
            <w:vAlign w:val="center"/>
          </w:tcPr>
          <w:p w14:paraId="098A3B28">
            <w:pPr>
              <w:tabs>
                <w:tab w:val="left" w:pos="1464"/>
              </w:tabs>
              <w:adjustRightInd w:val="0"/>
              <w:snapToGrid w:val="0"/>
              <w:spacing w:line="360" w:lineRule="auto"/>
              <w:jc w:val="both"/>
              <w:rPr>
                <w:kern w:val="2"/>
                <w:sz w:val="24"/>
                <w:szCs w:val="24"/>
                <w:highlight w:val="none"/>
              </w:rPr>
            </w:pPr>
            <w:r>
              <w:rPr>
                <w:rFonts w:hint="eastAsia"/>
                <w:kern w:val="2"/>
                <w:sz w:val="24"/>
                <w:szCs w:val="24"/>
                <w:highlight w:val="none"/>
              </w:rPr>
              <w:t>有依法缴纳税收和社会保障资金的良好记录</w:t>
            </w:r>
          </w:p>
          <w:p w14:paraId="6E6682A2">
            <w:pPr>
              <w:adjustRightInd w:val="0"/>
              <w:snapToGrid w:val="0"/>
              <w:spacing w:line="360" w:lineRule="auto"/>
              <w:jc w:val="both"/>
              <w:rPr>
                <w:kern w:val="2"/>
                <w:sz w:val="24"/>
                <w:szCs w:val="24"/>
                <w:highlight w:val="none"/>
              </w:rPr>
            </w:pPr>
          </w:p>
        </w:tc>
        <w:tc>
          <w:tcPr>
            <w:tcW w:w="5981" w:type="dxa"/>
            <w:tcBorders>
              <w:top w:val="single" w:color="auto" w:sz="4" w:space="0"/>
              <w:left w:val="single" w:color="auto" w:sz="4" w:space="0"/>
              <w:bottom w:val="single" w:color="auto" w:sz="4" w:space="0"/>
              <w:right w:val="single" w:color="auto" w:sz="4" w:space="0"/>
            </w:tcBorders>
            <w:noWrap/>
            <w:vAlign w:val="center"/>
          </w:tcPr>
          <w:p w14:paraId="7A231923">
            <w:pPr>
              <w:adjustRightInd w:val="0"/>
              <w:snapToGrid w:val="0"/>
              <w:spacing w:line="360" w:lineRule="auto"/>
              <w:jc w:val="both"/>
              <w:rPr>
                <w:kern w:val="2"/>
                <w:sz w:val="24"/>
                <w:szCs w:val="24"/>
                <w:highlight w:val="none"/>
              </w:rPr>
            </w:pPr>
            <w:r>
              <w:rPr>
                <w:rFonts w:hint="eastAsia"/>
                <w:kern w:val="2"/>
                <w:sz w:val="24"/>
                <w:szCs w:val="24"/>
                <w:highlight w:val="none"/>
              </w:rPr>
              <w:t>提供参加本次政府采购活动近六个月（至少一个月）依法缴纳税收和社会保障资金的相关材料（根据国家相关政策免缴或迟缴的需提供相关证明材料）</w:t>
            </w:r>
          </w:p>
        </w:tc>
      </w:tr>
      <w:tr w14:paraId="3EC56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74765F84">
            <w:pPr>
              <w:adjustRightInd w:val="0"/>
              <w:snapToGrid w:val="0"/>
              <w:spacing w:line="360" w:lineRule="auto"/>
              <w:jc w:val="both"/>
              <w:rPr>
                <w:kern w:val="2"/>
                <w:sz w:val="24"/>
                <w:szCs w:val="24"/>
                <w:highlight w:val="none"/>
                <w:lang w:val="en-US"/>
              </w:rPr>
            </w:pPr>
            <w:r>
              <w:rPr>
                <w:rFonts w:hint="eastAsia"/>
                <w:kern w:val="2"/>
                <w:sz w:val="24"/>
                <w:szCs w:val="24"/>
                <w:highlight w:val="none"/>
                <w:lang w:val="en-US"/>
              </w:rPr>
              <w:t>3.5</w:t>
            </w:r>
          </w:p>
        </w:tc>
        <w:tc>
          <w:tcPr>
            <w:tcW w:w="2932" w:type="dxa"/>
            <w:tcBorders>
              <w:top w:val="single" w:color="auto" w:sz="4" w:space="0"/>
              <w:left w:val="single" w:color="auto" w:sz="4" w:space="0"/>
              <w:bottom w:val="single" w:color="auto" w:sz="4" w:space="0"/>
              <w:right w:val="single" w:color="auto" w:sz="4" w:space="0"/>
            </w:tcBorders>
            <w:noWrap/>
            <w:vAlign w:val="center"/>
          </w:tcPr>
          <w:p w14:paraId="63EDD3EA">
            <w:pPr>
              <w:tabs>
                <w:tab w:val="left" w:pos="1464"/>
              </w:tabs>
              <w:adjustRightInd w:val="0"/>
              <w:snapToGrid w:val="0"/>
              <w:spacing w:line="360" w:lineRule="auto"/>
              <w:jc w:val="both"/>
              <w:rPr>
                <w:kern w:val="2"/>
                <w:sz w:val="24"/>
                <w:szCs w:val="24"/>
                <w:highlight w:val="none"/>
              </w:rPr>
            </w:pPr>
            <w:r>
              <w:rPr>
                <w:rFonts w:hint="eastAsia"/>
                <w:kern w:val="2"/>
                <w:sz w:val="24"/>
                <w:szCs w:val="24"/>
                <w:highlight w:val="none"/>
              </w:rPr>
              <w:t>参加政府采购活动前三年内，在经营活动中没有重大违法记录</w:t>
            </w:r>
          </w:p>
        </w:tc>
        <w:tc>
          <w:tcPr>
            <w:tcW w:w="5981" w:type="dxa"/>
            <w:tcBorders>
              <w:top w:val="single" w:color="auto" w:sz="4" w:space="0"/>
              <w:left w:val="single" w:color="auto" w:sz="4" w:space="0"/>
              <w:bottom w:val="single" w:color="auto" w:sz="4" w:space="0"/>
              <w:right w:val="single" w:color="auto" w:sz="4" w:space="0"/>
            </w:tcBorders>
            <w:noWrap/>
            <w:vAlign w:val="center"/>
          </w:tcPr>
          <w:p w14:paraId="0362A5A5">
            <w:pPr>
              <w:adjustRightInd w:val="0"/>
              <w:snapToGrid w:val="0"/>
              <w:spacing w:line="360" w:lineRule="auto"/>
              <w:jc w:val="both"/>
              <w:rPr>
                <w:kern w:val="2"/>
                <w:sz w:val="24"/>
                <w:szCs w:val="24"/>
                <w:highlight w:val="none"/>
              </w:rPr>
            </w:pPr>
            <w:r>
              <w:rPr>
                <w:rFonts w:hint="eastAsia"/>
                <w:kern w:val="2"/>
                <w:sz w:val="24"/>
                <w:szCs w:val="24"/>
                <w:highlight w:val="none"/>
              </w:rPr>
              <w:t>提供参加本次政府采购活动前3年内在经营活动中没有重大违法记录的书面声明</w:t>
            </w:r>
          </w:p>
        </w:tc>
      </w:tr>
      <w:tr w14:paraId="21861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53AAE1C7">
            <w:pPr>
              <w:adjustRightInd w:val="0"/>
              <w:snapToGrid w:val="0"/>
              <w:spacing w:line="360" w:lineRule="auto"/>
              <w:jc w:val="both"/>
              <w:rPr>
                <w:kern w:val="2"/>
                <w:sz w:val="24"/>
                <w:szCs w:val="24"/>
                <w:highlight w:val="none"/>
                <w:lang w:val="en-US"/>
              </w:rPr>
            </w:pPr>
            <w:r>
              <w:rPr>
                <w:rFonts w:hint="eastAsia"/>
                <w:kern w:val="2"/>
                <w:sz w:val="24"/>
                <w:szCs w:val="24"/>
                <w:highlight w:val="none"/>
                <w:lang w:val="en-US"/>
              </w:rPr>
              <w:t>3.6</w:t>
            </w:r>
          </w:p>
        </w:tc>
        <w:tc>
          <w:tcPr>
            <w:tcW w:w="2932" w:type="dxa"/>
            <w:tcBorders>
              <w:top w:val="single" w:color="auto" w:sz="4" w:space="0"/>
              <w:left w:val="single" w:color="auto" w:sz="4" w:space="0"/>
              <w:bottom w:val="single" w:color="auto" w:sz="4" w:space="0"/>
              <w:right w:val="single" w:color="auto" w:sz="4" w:space="0"/>
            </w:tcBorders>
            <w:noWrap/>
            <w:vAlign w:val="center"/>
          </w:tcPr>
          <w:p w14:paraId="10382352">
            <w:pPr>
              <w:tabs>
                <w:tab w:val="left" w:pos="1464"/>
              </w:tabs>
              <w:adjustRightInd w:val="0"/>
              <w:snapToGrid w:val="0"/>
              <w:spacing w:line="360" w:lineRule="auto"/>
              <w:jc w:val="both"/>
              <w:rPr>
                <w:kern w:val="2"/>
                <w:sz w:val="24"/>
                <w:szCs w:val="24"/>
                <w:highlight w:val="none"/>
              </w:rPr>
            </w:pPr>
            <w:r>
              <w:rPr>
                <w:rFonts w:hint="eastAsia"/>
                <w:kern w:val="2"/>
                <w:sz w:val="24"/>
                <w:szCs w:val="24"/>
                <w:highlight w:val="none"/>
              </w:rPr>
              <w:t>法律、行政法规规定的其他条件</w:t>
            </w:r>
          </w:p>
        </w:tc>
        <w:tc>
          <w:tcPr>
            <w:tcW w:w="5981" w:type="dxa"/>
            <w:tcBorders>
              <w:top w:val="single" w:color="auto" w:sz="4" w:space="0"/>
              <w:left w:val="single" w:color="auto" w:sz="4" w:space="0"/>
              <w:bottom w:val="single" w:color="auto" w:sz="4" w:space="0"/>
              <w:right w:val="single" w:color="auto" w:sz="4" w:space="0"/>
            </w:tcBorders>
            <w:noWrap/>
            <w:vAlign w:val="center"/>
          </w:tcPr>
          <w:p w14:paraId="4EBB011E">
            <w:pPr>
              <w:adjustRightInd w:val="0"/>
              <w:snapToGrid w:val="0"/>
              <w:spacing w:line="360" w:lineRule="auto"/>
              <w:jc w:val="both"/>
              <w:rPr>
                <w:kern w:val="2"/>
                <w:sz w:val="24"/>
                <w:szCs w:val="24"/>
                <w:highlight w:val="none"/>
                <w:lang w:val="en-US"/>
              </w:rPr>
            </w:pPr>
            <w:r>
              <w:rPr>
                <w:rFonts w:hint="eastAsia"/>
                <w:kern w:val="2"/>
                <w:sz w:val="24"/>
                <w:szCs w:val="24"/>
                <w:highlight w:val="none"/>
                <w:lang w:val="en-US"/>
              </w:rPr>
              <w:t>无</w:t>
            </w:r>
          </w:p>
        </w:tc>
      </w:tr>
      <w:tr w14:paraId="5D141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6CB17FF0">
            <w:pPr>
              <w:adjustRightInd w:val="0"/>
              <w:snapToGrid w:val="0"/>
              <w:spacing w:line="360" w:lineRule="auto"/>
              <w:jc w:val="both"/>
              <w:rPr>
                <w:rFonts w:hint="eastAsia" w:eastAsia="宋体"/>
                <w:kern w:val="2"/>
                <w:sz w:val="24"/>
                <w:szCs w:val="24"/>
                <w:highlight w:val="none"/>
                <w:lang w:val="en-US" w:eastAsia="zh-CN"/>
              </w:rPr>
            </w:pPr>
            <w:r>
              <w:rPr>
                <w:rFonts w:hint="eastAsia"/>
                <w:kern w:val="2"/>
                <w:sz w:val="24"/>
                <w:szCs w:val="24"/>
                <w:highlight w:val="none"/>
                <w:lang w:val="en-US" w:eastAsia="zh-CN"/>
              </w:rPr>
              <w:t>四</w:t>
            </w:r>
          </w:p>
        </w:tc>
        <w:tc>
          <w:tcPr>
            <w:tcW w:w="8913" w:type="dxa"/>
            <w:gridSpan w:val="2"/>
            <w:tcBorders>
              <w:top w:val="single" w:color="auto" w:sz="4" w:space="0"/>
              <w:left w:val="single" w:color="auto" w:sz="4" w:space="0"/>
              <w:bottom w:val="single" w:color="auto" w:sz="4" w:space="0"/>
              <w:right w:val="single" w:color="auto" w:sz="4" w:space="0"/>
            </w:tcBorders>
            <w:noWrap/>
            <w:vAlign w:val="center"/>
          </w:tcPr>
          <w:p w14:paraId="5381F374">
            <w:pPr>
              <w:adjustRightInd w:val="0"/>
              <w:snapToGrid w:val="0"/>
              <w:spacing w:line="360" w:lineRule="auto"/>
              <w:jc w:val="both"/>
              <w:rPr>
                <w:rFonts w:hint="eastAsia"/>
                <w:kern w:val="2"/>
                <w:sz w:val="24"/>
                <w:szCs w:val="24"/>
                <w:highlight w:val="none"/>
                <w:lang w:val="en-US"/>
              </w:rPr>
            </w:pPr>
            <w:r>
              <w:rPr>
                <w:rFonts w:hint="eastAsia"/>
                <w:kern w:val="2"/>
                <w:sz w:val="24"/>
                <w:szCs w:val="24"/>
                <w:highlight w:val="none"/>
                <w:lang w:val="en-US"/>
              </w:rPr>
              <w:t>投标人</w:t>
            </w:r>
            <w:r>
              <w:rPr>
                <w:rFonts w:hint="eastAsia"/>
                <w:kern w:val="2"/>
                <w:sz w:val="24"/>
                <w:szCs w:val="24"/>
                <w:highlight w:val="none"/>
              </w:rPr>
              <w:t>不得存在的情形</w:t>
            </w:r>
          </w:p>
        </w:tc>
      </w:tr>
      <w:tr w14:paraId="42B23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039B3EE2">
            <w:pPr>
              <w:adjustRightInd w:val="0"/>
              <w:snapToGrid w:val="0"/>
              <w:spacing w:line="360" w:lineRule="auto"/>
              <w:jc w:val="both"/>
              <w:rPr>
                <w:rFonts w:hint="eastAsia"/>
                <w:kern w:val="2"/>
                <w:sz w:val="24"/>
                <w:szCs w:val="24"/>
                <w:highlight w:val="none"/>
                <w:lang w:val="en-US"/>
              </w:rPr>
            </w:pPr>
            <w:r>
              <w:rPr>
                <w:rFonts w:hint="eastAsia"/>
                <w:kern w:val="2"/>
                <w:sz w:val="24"/>
                <w:szCs w:val="24"/>
                <w:highlight w:val="none"/>
                <w:lang w:val="en-US" w:eastAsia="zh-CN"/>
              </w:rPr>
              <w:t>4</w:t>
            </w:r>
            <w:r>
              <w:rPr>
                <w:rFonts w:hint="eastAsia"/>
                <w:kern w:val="2"/>
                <w:sz w:val="24"/>
                <w:szCs w:val="24"/>
                <w:highlight w:val="none"/>
                <w:lang w:val="en-US"/>
              </w:rPr>
              <w:t>.1</w:t>
            </w:r>
          </w:p>
        </w:tc>
        <w:tc>
          <w:tcPr>
            <w:tcW w:w="2932" w:type="dxa"/>
            <w:tcBorders>
              <w:top w:val="single" w:color="auto" w:sz="4" w:space="0"/>
              <w:left w:val="single" w:color="auto" w:sz="4" w:space="0"/>
              <w:bottom w:val="single" w:color="auto" w:sz="4" w:space="0"/>
              <w:right w:val="single" w:color="auto" w:sz="4" w:space="0"/>
            </w:tcBorders>
            <w:noWrap/>
            <w:vAlign w:val="center"/>
          </w:tcPr>
          <w:p w14:paraId="4D0DC204">
            <w:pPr>
              <w:adjustRightInd w:val="0"/>
              <w:snapToGrid w:val="0"/>
              <w:spacing w:line="360" w:lineRule="auto"/>
              <w:jc w:val="both"/>
              <w:rPr>
                <w:rFonts w:hint="eastAsia"/>
                <w:kern w:val="2"/>
                <w:sz w:val="24"/>
                <w:szCs w:val="24"/>
                <w:highlight w:val="none"/>
              </w:rPr>
            </w:pPr>
            <w:r>
              <w:rPr>
                <w:rFonts w:hint="eastAsia"/>
                <w:kern w:val="2"/>
                <w:sz w:val="24"/>
                <w:szCs w:val="24"/>
                <w:highlight w:val="none"/>
              </w:rPr>
              <w:t>被信用中国网站、中国政府采购网站列入失信被执行人名单、重大税收违法失信主体、政府采购严重违法失信行为记录名单。如本项目接</w:t>
            </w:r>
            <w:r>
              <w:rPr>
                <w:rFonts w:hint="eastAsia"/>
                <w:kern w:val="2"/>
                <w:sz w:val="24"/>
                <w:szCs w:val="24"/>
                <w:highlight w:val="none"/>
                <w:lang w:val="en-US"/>
              </w:rPr>
              <w:t>受</w:t>
            </w:r>
            <w:r>
              <w:rPr>
                <w:rFonts w:hint="eastAsia"/>
                <w:kern w:val="2"/>
                <w:sz w:val="24"/>
                <w:szCs w:val="24"/>
                <w:highlight w:val="none"/>
              </w:rPr>
              <w:t>联合体投标，联合体成员存在不良信用记录的，视同联合体存在不良信用记录。</w:t>
            </w:r>
          </w:p>
        </w:tc>
        <w:tc>
          <w:tcPr>
            <w:tcW w:w="5981" w:type="dxa"/>
            <w:tcBorders>
              <w:top w:val="single" w:color="auto" w:sz="4" w:space="0"/>
              <w:left w:val="single" w:color="auto" w:sz="4" w:space="0"/>
              <w:bottom w:val="single" w:color="auto" w:sz="4" w:space="0"/>
              <w:right w:val="single" w:color="auto" w:sz="4" w:space="0"/>
            </w:tcBorders>
            <w:noWrap/>
            <w:vAlign w:val="center"/>
          </w:tcPr>
          <w:p w14:paraId="29FF1C3E">
            <w:pPr>
              <w:adjustRightInd w:val="0"/>
              <w:snapToGrid w:val="0"/>
              <w:spacing w:line="360" w:lineRule="auto"/>
              <w:jc w:val="both"/>
              <w:rPr>
                <w:rFonts w:hint="eastAsia"/>
                <w:kern w:val="2"/>
                <w:sz w:val="24"/>
                <w:szCs w:val="24"/>
                <w:highlight w:val="none"/>
                <w:lang w:val="en-US"/>
              </w:rPr>
            </w:pPr>
            <w:r>
              <w:rPr>
                <w:rFonts w:hint="eastAsia"/>
                <w:kern w:val="2"/>
                <w:sz w:val="24"/>
                <w:szCs w:val="24"/>
                <w:highlight w:val="none"/>
              </w:rPr>
              <w:t>不得存在（提供承诺书加盖公章）</w:t>
            </w:r>
          </w:p>
        </w:tc>
      </w:tr>
      <w:tr w14:paraId="6AE8D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0FF3C516">
            <w:pPr>
              <w:adjustRightInd w:val="0"/>
              <w:snapToGrid w:val="0"/>
              <w:spacing w:line="360" w:lineRule="auto"/>
              <w:jc w:val="both"/>
              <w:rPr>
                <w:rFonts w:hint="eastAsia"/>
                <w:kern w:val="2"/>
                <w:sz w:val="24"/>
                <w:szCs w:val="24"/>
                <w:highlight w:val="none"/>
                <w:lang w:val="en-US"/>
              </w:rPr>
            </w:pPr>
            <w:r>
              <w:rPr>
                <w:rFonts w:hint="eastAsia"/>
                <w:kern w:val="2"/>
                <w:sz w:val="24"/>
                <w:szCs w:val="24"/>
                <w:highlight w:val="none"/>
                <w:lang w:val="en-US" w:eastAsia="zh-CN"/>
              </w:rPr>
              <w:t>4</w:t>
            </w:r>
            <w:r>
              <w:rPr>
                <w:rFonts w:hint="eastAsia"/>
                <w:kern w:val="2"/>
                <w:sz w:val="24"/>
                <w:szCs w:val="24"/>
                <w:highlight w:val="none"/>
                <w:lang w:val="en-US"/>
              </w:rPr>
              <w:t>.2</w:t>
            </w:r>
          </w:p>
        </w:tc>
        <w:tc>
          <w:tcPr>
            <w:tcW w:w="2932" w:type="dxa"/>
            <w:tcBorders>
              <w:top w:val="single" w:color="auto" w:sz="4" w:space="0"/>
              <w:left w:val="single" w:color="auto" w:sz="4" w:space="0"/>
              <w:bottom w:val="single" w:color="auto" w:sz="4" w:space="0"/>
              <w:right w:val="single" w:color="auto" w:sz="4" w:space="0"/>
            </w:tcBorders>
            <w:noWrap/>
            <w:vAlign w:val="center"/>
          </w:tcPr>
          <w:p w14:paraId="37C0B5B8">
            <w:pPr>
              <w:adjustRightInd w:val="0"/>
              <w:snapToGrid w:val="0"/>
              <w:spacing w:line="360" w:lineRule="auto"/>
              <w:jc w:val="both"/>
              <w:rPr>
                <w:rFonts w:hint="eastAsia"/>
                <w:kern w:val="2"/>
                <w:sz w:val="24"/>
                <w:szCs w:val="24"/>
                <w:highlight w:val="none"/>
              </w:rPr>
            </w:pPr>
            <w:r>
              <w:rPr>
                <w:rFonts w:hint="eastAsia"/>
                <w:kern w:val="2"/>
                <w:sz w:val="24"/>
                <w:szCs w:val="24"/>
                <w:highlight w:val="none"/>
              </w:rPr>
              <w:t>单位负责人为同一人或者存在控股、管理关系的不同</w:t>
            </w:r>
            <w:r>
              <w:rPr>
                <w:rFonts w:hint="eastAsia"/>
                <w:kern w:val="2"/>
                <w:sz w:val="24"/>
                <w:szCs w:val="24"/>
                <w:highlight w:val="none"/>
                <w:lang w:val="en-US"/>
              </w:rPr>
              <w:t>投标人</w:t>
            </w:r>
          </w:p>
        </w:tc>
        <w:tc>
          <w:tcPr>
            <w:tcW w:w="5981" w:type="dxa"/>
            <w:tcBorders>
              <w:top w:val="single" w:color="auto" w:sz="4" w:space="0"/>
              <w:left w:val="single" w:color="auto" w:sz="4" w:space="0"/>
              <w:bottom w:val="single" w:color="auto" w:sz="4" w:space="0"/>
              <w:right w:val="single" w:color="auto" w:sz="4" w:space="0"/>
            </w:tcBorders>
            <w:noWrap/>
            <w:vAlign w:val="center"/>
          </w:tcPr>
          <w:p w14:paraId="56CAA48D">
            <w:pPr>
              <w:adjustRightInd w:val="0"/>
              <w:snapToGrid w:val="0"/>
              <w:spacing w:line="360" w:lineRule="auto"/>
              <w:jc w:val="both"/>
              <w:rPr>
                <w:rFonts w:hint="eastAsia"/>
                <w:kern w:val="2"/>
                <w:sz w:val="24"/>
                <w:szCs w:val="24"/>
                <w:highlight w:val="none"/>
                <w:lang w:val="en-US"/>
              </w:rPr>
            </w:pPr>
            <w:r>
              <w:rPr>
                <w:rFonts w:hint="eastAsia"/>
                <w:kern w:val="2"/>
                <w:sz w:val="24"/>
                <w:szCs w:val="24"/>
                <w:highlight w:val="none"/>
              </w:rPr>
              <w:t>不得存在（提供承诺书加盖公章）</w:t>
            </w:r>
          </w:p>
        </w:tc>
      </w:tr>
      <w:tr w14:paraId="37C6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3A58F9E4">
            <w:pPr>
              <w:adjustRightInd w:val="0"/>
              <w:snapToGrid w:val="0"/>
              <w:spacing w:line="360" w:lineRule="auto"/>
              <w:jc w:val="both"/>
              <w:rPr>
                <w:rFonts w:hint="eastAsia"/>
                <w:kern w:val="2"/>
                <w:sz w:val="24"/>
                <w:szCs w:val="24"/>
                <w:highlight w:val="none"/>
                <w:lang w:val="en-US"/>
              </w:rPr>
            </w:pPr>
            <w:r>
              <w:rPr>
                <w:rFonts w:hint="eastAsia"/>
                <w:kern w:val="2"/>
                <w:sz w:val="24"/>
                <w:szCs w:val="24"/>
                <w:highlight w:val="none"/>
                <w:lang w:val="en-US" w:eastAsia="zh-CN"/>
              </w:rPr>
              <w:t>4</w:t>
            </w:r>
            <w:r>
              <w:rPr>
                <w:rFonts w:hint="eastAsia"/>
                <w:kern w:val="2"/>
                <w:sz w:val="24"/>
                <w:szCs w:val="24"/>
                <w:highlight w:val="none"/>
                <w:lang w:val="en-US"/>
              </w:rPr>
              <w:t>.3</w:t>
            </w:r>
          </w:p>
        </w:tc>
        <w:tc>
          <w:tcPr>
            <w:tcW w:w="2932" w:type="dxa"/>
            <w:tcBorders>
              <w:top w:val="single" w:color="auto" w:sz="4" w:space="0"/>
              <w:left w:val="single" w:color="auto" w:sz="4" w:space="0"/>
              <w:bottom w:val="single" w:color="auto" w:sz="4" w:space="0"/>
              <w:right w:val="single" w:color="auto" w:sz="4" w:space="0"/>
            </w:tcBorders>
            <w:noWrap/>
            <w:vAlign w:val="center"/>
          </w:tcPr>
          <w:p w14:paraId="3743A315">
            <w:pPr>
              <w:adjustRightInd w:val="0"/>
              <w:snapToGrid w:val="0"/>
              <w:spacing w:line="360" w:lineRule="auto"/>
              <w:jc w:val="both"/>
              <w:rPr>
                <w:rFonts w:hint="eastAsia"/>
                <w:kern w:val="2"/>
                <w:sz w:val="24"/>
                <w:szCs w:val="24"/>
                <w:highlight w:val="none"/>
              </w:rPr>
            </w:pPr>
            <w:r>
              <w:rPr>
                <w:rFonts w:hint="eastAsia"/>
                <w:kern w:val="2"/>
                <w:sz w:val="24"/>
                <w:szCs w:val="24"/>
                <w:highlight w:val="none"/>
              </w:rPr>
              <w:t>为采购项目提供整体设计、规范编制或者项目管理、监理、检测等服务的</w:t>
            </w:r>
          </w:p>
        </w:tc>
        <w:tc>
          <w:tcPr>
            <w:tcW w:w="5981" w:type="dxa"/>
            <w:tcBorders>
              <w:top w:val="single" w:color="auto" w:sz="4" w:space="0"/>
              <w:left w:val="single" w:color="auto" w:sz="4" w:space="0"/>
              <w:bottom w:val="single" w:color="auto" w:sz="4" w:space="0"/>
              <w:right w:val="single" w:color="auto" w:sz="4" w:space="0"/>
            </w:tcBorders>
            <w:noWrap/>
            <w:vAlign w:val="center"/>
          </w:tcPr>
          <w:p w14:paraId="638B8C8E">
            <w:pPr>
              <w:adjustRightInd w:val="0"/>
              <w:snapToGrid w:val="0"/>
              <w:spacing w:line="360" w:lineRule="auto"/>
              <w:jc w:val="both"/>
              <w:rPr>
                <w:rFonts w:hint="eastAsia"/>
                <w:kern w:val="2"/>
                <w:sz w:val="24"/>
                <w:szCs w:val="24"/>
                <w:highlight w:val="none"/>
                <w:lang w:val="en-US"/>
              </w:rPr>
            </w:pPr>
            <w:r>
              <w:rPr>
                <w:rFonts w:hint="eastAsia"/>
                <w:kern w:val="2"/>
                <w:sz w:val="24"/>
                <w:szCs w:val="24"/>
                <w:highlight w:val="none"/>
              </w:rPr>
              <w:t>不得存在（</w:t>
            </w:r>
            <w:r>
              <w:rPr>
                <w:rFonts w:hint="eastAsia"/>
                <w:kern w:val="2"/>
                <w:sz w:val="24"/>
                <w:szCs w:val="24"/>
                <w:highlight w:val="none"/>
                <w:lang w:val="en-US"/>
              </w:rPr>
              <w:t>提供承诺书加盖公章</w:t>
            </w:r>
            <w:r>
              <w:rPr>
                <w:rFonts w:hint="eastAsia"/>
                <w:kern w:val="2"/>
                <w:sz w:val="24"/>
                <w:szCs w:val="24"/>
                <w:highlight w:val="none"/>
              </w:rPr>
              <w:t>）</w:t>
            </w:r>
          </w:p>
        </w:tc>
      </w:tr>
      <w:tr w14:paraId="07F4F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3087786C">
            <w:pPr>
              <w:adjustRightInd w:val="0"/>
              <w:snapToGrid w:val="0"/>
              <w:spacing w:line="360" w:lineRule="auto"/>
              <w:jc w:val="both"/>
              <w:rPr>
                <w:rFonts w:hint="eastAsia"/>
                <w:kern w:val="2"/>
                <w:sz w:val="24"/>
                <w:szCs w:val="24"/>
                <w:highlight w:val="none"/>
                <w:lang w:val="en-US"/>
              </w:rPr>
            </w:pPr>
            <w:r>
              <w:rPr>
                <w:rFonts w:hint="eastAsia"/>
                <w:kern w:val="2"/>
                <w:sz w:val="24"/>
                <w:szCs w:val="24"/>
                <w:highlight w:val="none"/>
                <w:lang w:val="en-US" w:eastAsia="zh-CN"/>
              </w:rPr>
              <w:t>4</w:t>
            </w:r>
            <w:r>
              <w:rPr>
                <w:rFonts w:hint="eastAsia"/>
                <w:kern w:val="2"/>
                <w:sz w:val="24"/>
                <w:szCs w:val="24"/>
                <w:highlight w:val="none"/>
                <w:lang w:val="en-US"/>
              </w:rPr>
              <w:t>.4</w:t>
            </w:r>
          </w:p>
        </w:tc>
        <w:tc>
          <w:tcPr>
            <w:tcW w:w="2932" w:type="dxa"/>
            <w:tcBorders>
              <w:top w:val="single" w:color="auto" w:sz="4" w:space="0"/>
              <w:left w:val="single" w:color="auto" w:sz="4" w:space="0"/>
              <w:bottom w:val="single" w:color="auto" w:sz="4" w:space="0"/>
              <w:right w:val="single" w:color="auto" w:sz="4" w:space="0"/>
            </w:tcBorders>
            <w:noWrap/>
            <w:vAlign w:val="center"/>
          </w:tcPr>
          <w:p w14:paraId="2BB63F64">
            <w:pPr>
              <w:adjustRightInd w:val="0"/>
              <w:snapToGrid w:val="0"/>
              <w:spacing w:line="360" w:lineRule="auto"/>
              <w:jc w:val="both"/>
              <w:rPr>
                <w:rFonts w:hint="eastAsia"/>
                <w:kern w:val="2"/>
                <w:sz w:val="24"/>
                <w:szCs w:val="24"/>
                <w:highlight w:val="none"/>
              </w:rPr>
            </w:pPr>
            <w:r>
              <w:rPr>
                <w:rFonts w:hint="eastAsia"/>
                <w:kern w:val="2"/>
                <w:sz w:val="24"/>
                <w:szCs w:val="24"/>
                <w:highlight w:val="none"/>
              </w:rPr>
              <w:t>不同</w:t>
            </w:r>
            <w:r>
              <w:rPr>
                <w:rFonts w:hint="eastAsia"/>
                <w:kern w:val="2"/>
                <w:sz w:val="24"/>
                <w:szCs w:val="24"/>
                <w:highlight w:val="none"/>
                <w:lang w:val="en-US"/>
              </w:rPr>
              <w:t>投标人</w:t>
            </w:r>
            <w:r>
              <w:rPr>
                <w:rFonts w:hint="eastAsia"/>
                <w:kern w:val="2"/>
                <w:sz w:val="24"/>
                <w:szCs w:val="24"/>
                <w:highlight w:val="none"/>
              </w:rPr>
              <w:t>的法定代表人或委托代理人有夫妻、直系血亲关系</w:t>
            </w:r>
          </w:p>
        </w:tc>
        <w:tc>
          <w:tcPr>
            <w:tcW w:w="5981" w:type="dxa"/>
            <w:tcBorders>
              <w:top w:val="single" w:color="auto" w:sz="4" w:space="0"/>
              <w:left w:val="single" w:color="auto" w:sz="4" w:space="0"/>
              <w:bottom w:val="single" w:color="auto" w:sz="4" w:space="0"/>
              <w:right w:val="single" w:color="auto" w:sz="4" w:space="0"/>
            </w:tcBorders>
            <w:noWrap/>
            <w:vAlign w:val="center"/>
          </w:tcPr>
          <w:p w14:paraId="1EBE371F">
            <w:pPr>
              <w:adjustRightInd w:val="0"/>
              <w:snapToGrid w:val="0"/>
              <w:spacing w:line="360" w:lineRule="auto"/>
              <w:jc w:val="both"/>
              <w:rPr>
                <w:rFonts w:hint="eastAsia"/>
                <w:kern w:val="2"/>
                <w:sz w:val="24"/>
                <w:szCs w:val="24"/>
                <w:highlight w:val="none"/>
                <w:lang w:val="en-US"/>
              </w:rPr>
            </w:pPr>
            <w:r>
              <w:rPr>
                <w:rFonts w:hint="eastAsia"/>
                <w:kern w:val="2"/>
                <w:sz w:val="24"/>
                <w:szCs w:val="24"/>
                <w:highlight w:val="none"/>
              </w:rPr>
              <w:t>不得存在（</w:t>
            </w:r>
            <w:r>
              <w:rPr>
                <w:rFonts w:hint="eastAsia"/>
                <w:kern w:val="2"/>
                <w:sz w:val="24"/>
                <w:szCs w:val="24"/>
                <w:highlight w:val="none"/>
                <w:lang w:val="en-US"/>
              </w:rPr>
              <w:t>提供承诺书加盖公章</w:t>
            </w:r>
            <w:r>
              <w:rPr>
                <w:rFonts w:hint="eastAsia"/>
                <w:kern w:val="2"/>
                <w:sz w:val="24"/>
                <w:szCs w:val="24"/>
                <w:highlight w:val="none"/>
              </w:rPr>
              <w:t>）</w:t>
            </w:r>
          </w:p>
        </w:tc>
      </w:tr>
      <w:tr w14:paraId="4D92B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471761A0">
            <w:pPr>
              <w:adjustRightInd w:val="0"/>
              <w:snapToGrid w:val="0"/>
              <w:spacing w:line="360" w:lineRule="auto"/>
              <w:jc w:val="both"/>
              <w:rPr>
                <w:kern w:val="2"/>
                <w:sz w:val="24"/>
                <w:szCs w:val="24"/>
                <w:highlight w:val="none"/>
              </w:rPr>
            </w:pPr>
            <w:r>
              <w:rPr>
                <w:rFonts w:hint="eastAsia"/>
                <w:kern w:val="2"/>
                <w:sz w:val="24"/>
                <w:szCs w:val="24"/>
                <w:highlight w:val="none"/>
              </w:rPr>
              <w:t>（</w:t>
            </w:r>
            <w:r>
              <w:rPr>
                <w:rFonts w:hint="eastAsia"/>
                <w:kern w:val="2"/>
                <w:sz w:val="24"/>
                <w:szCs w:val="24"/>
                <w:highlight w:val="none"/>
                <w:lang w:val="en-US" w:eastAsia="zh-CN"/>
              </w:rPr>
              <w:t>五</w:t>
            </w:r>
            <w:r>
              <w:rPr>
                <w:rFonts w:hint="eastAsia"/>
                <w:kern w:val="2"/>
                <w:sz w:val="24"/>
                <w:szCs w:val="24"/>
                <w:highlight w:val="none"/>
              </w:rPr>
              <w:t>）</w:t>
            </w:r>
          </w:p>
        </w:tc>
        <w:tc>
          <w:tcPr>
            <w:tcW w:w="2932" w:type="dxa"/>
            <w:tcBorders>
              <w:top w:val="single" w:color="auto" w:sz="4" w:space="0"/>
              <w:left w:val="single" w:color="auto" w:sz="4" w:space="0"/>
              <w:bottom w:val="single" w:color="auto" w:sz="4" w:space="0"/>
              <w:right w:val="single" w:color="auto" w:sz="4" w:space="0"/>
            </w:tcBorders>
            <w:noWrap/>
            <w:vAlign w:val="center"/>
          </w:tcPr>
          <w:p w14:paraId="153C93B6">
            <w:pPr>
              <w:adjustRightInd w:val="0"/>
              <w:snapToGrid w:val="0"/>
              <w:spacing w:line="360" w:lineRule="auto"/>
              <w:jc w:val="both"/>
              <w:rPr>
                <w:kern w:val="2"/>
                <w:sz w:val="24"/>
                <w:szCs w:val="24"/>
                <w:highlight w:val="none"/>
              </w:rPr>
            </w:pPr>
            <w:r>
              <w:rPr>
                <w:rFonts w:hint="eastAsia"/>
                <w:kern w:val="2"/>
                <w:sz w:val="24"/>
                <w:szCs w:val="24"/>
                <w:highlight w:val="none"/>
              </w:rPr>
              <w:t>第一章</w:t>
            </w:r>
            <w:r>
              <w:rPr>
                <w:rFonts w:hint="eastAsia"/>
                <w:kern w:val="2"/>
                <w:sz w:val="24"/>
                <w:szCs w:val="24"/>
                <w:highlight w:val="none"/>
                <w:lang w:val="en-US"/>
              </w:rPr>
              <w:t>招标</w:t>
            </w:r>
            <w:r>
              <w:rPr>
                <w:rFonts w:hint="eastAsia"/>
                <w:kern w:val="2"/>
                <w:sz w:val="24"/>
                <w:szCs w:val="24"/>
                <w:highlight w:val="none"/>
              </w:rPr>
              <w:t>公告中“落实政府采购政策需满足的资格要求”的证明文件（若有）</w:t>
            </w:r>
          </w:p>
        </w:tc>
        <w:tc>
          <w:tcPr>
            <w:tcW w:w="5981" w:type="dxa"/>
            <w:tcBorders>
              <w:top w:val="single" w:color="auto" w:sz="4" w:space="0"/>
              <w:left w:val="single" w:color="auto" w:sz="4" w:space="0"/>
              <w:bottom w:val="single" w:color="auto" w:sz="4" w:space="0"/>
              <w:right w:val="single" w:color="auto" w:sz="4" w:space="0"/>
            </w:tcBorders>
            <w:noWrap/>
            <w:vAlign w:val="center"/>
          </w:tcPr>
          <w:p w14:paraId="4792CCF1">
            <w:pPr>
              <w:adjustRightInd w:val="0"/>
              <w:snapToGrid w:val="0"/>
              <w:spacing w:line="360" w:lineRule="auto"/>
              <w:jc w:val="both"/>
              <w:rPr>
                <w:kern w:val="2"/>
                <w:sz w:val="24"/>
                <w:szCs w:val="24"/>
                <w:highlight w:val="none"/>
              </w:rPr>
            </w:pPr>
            <w:r>
              <w:rPr>
                <w:rFonts w:hint="eastAsia"/>
                <w:kern w:val="2"/>
                <w:sz w:val="24"/>
                <w:szCs w:val="24"/>
                <w:highlight w:val="none"/>
              </w:rPr>
              <w:t>是否按照</w:t>
            </w:r>
            <w:r>
              <w:rPr>
                <w:rFonts w:hint="eastAsia"/>
                <w:kern w:val="2"/>
                <w:sz w:val="24"/>
                <w:szCs w:val="24"/>
                <w:highlight w:val="none"/>
                <w:lang w:val="en-US"/>
              </w:rPr>
              <w:t>招标</w:t>
            </w:r>
            <w:r>
              <w:rPr>
                <w:rFonts w:hint="eastAsia"/>
                <w:kern w:val="2"/>
                <w:sz w:val="24"/>
                <w:szCs w:val="24"/>
                <w:highlight w:val="none"/>
              </w:rPr>
              <w:t>文件规定的要求提供相关证明材料，如未</w:t>
            </w:r>
            <w:r>
              <w:rPr>
                <w:rFonts w:hint="eastAsia"/>
                <w:kern w:val="2"/>
                <w:sz w:val="24"/>
                <w:szCs w:val="24"/>
                <w:highlight w:val="none"/>
                <w:lang w:eastAsia="zh-CN"/>
              </w:rPr>
              <w:t>作要求</w:t>
            </w:r>
            <w:r>
              <w:rPr>
                <w:rFonts w:hint="eastAsia"/>
                <w:kern w:val="2"/>
                <w:sz w:val="24"/>
                <w:szCs w:val="24"/>
                <w:highlight w:val="none"/>
              </w:rPr>
              <w:t>，则可以不予提供。</w:t>
            </w:r>
          </w:p>
        </w:tc>
      </w:tr>
      <w:tr w14:paraId="52534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5F8FB817">
            <w:pPr>
              <w:adjustRightInd w:val="0"/>
              <w:snapToGrid w:val="0"/>
              <w:spacing w:line="360" w:lineRule="auto"/>
              <w:jc w:val="both"/>
              <w:rPr>
                <w:kern w:val="2"/>
                <w:sz w:val="24"/>
                <w:szCs w:val="24"/>
                <w:highlight w:val="none"/>
              </w:rPr>
            </w:pPr>
            <w:r>
              <w:rPr>
                <w:rFonts w:hint="eastAsia"/>
                <w:kern w:val="2"/>
                <w:sz w:val="24"/>
                <w:szCs w:val="24"/>
                <w:highlight w:val="none"/>
              </w:rPr>
              <w:t>（</w:t>
            </w:r>
            <w:r>
              <w:rPr>
                <w:rFonts w:hint="eastAsia"/>
                <w:kern w:val="2"/>
                <w:sz w:val="24"/>
                <w:szCs w:val="24"/>
                <w:highlight w:val="none"/>
                <w:lang w:val="en-US" w:eastAsia="zh-CN"/>
              </w:rPr>
              <w:t>六</w:t>
            </w:r>
            <w:r>
              <w:rPr>
                <w:rFonts w:hint="eastAsia"/>
                <w:kern w:val="2"/>
                <w:sz w:val="24"/>
                <w:szCs w:val="24"/>
                <w:highlight w:val="none"/>
              </w:rPr>
              <w:t>）</w:t>
            </w:r>
          </w:p>
        </w:tc>
        <w:tc>
          <w:tcPr>
            <w:tcW w:w="2932" w:type="dxa"/>
            <w:tcBorders>
              <w:top w:val="single" w:color="auto" w:sz="4" w:space="0"/>
              <w:left w:val="single" w:color="auto" w:sz="4" w:space="0"/>
              <w:bottom w:val="single" w:color="auto" w:sz="4" w:space="0"/>
              <w:right w:val="single" w:color="auto" w:sz="4" w:space="0"/>
            </w:tcBorders>
            <w:noWrap/>
            <w:vAlign w:val="center"/>
          </w:tcPr>
          <w:p w14:paraId="05DD5E00">
            <w:pPr>
              <w:adjustRightInd w:val="0"/>
              <w:snapToGrid w:val="0"/>
              <w:spacing w:line="360" w:lineRule="auto"/>
              <w:jc w:val="both"/>
              <w:rPr>
                <w:kern w:val="2"/>
                <w:sz w:val="24"/>
                <w:szCs w:val="24"/>
                <w:highlight w:val="none"/>
              </w:rPr>
            </w:pPr>
            <w:r>
              <w:rPr>
                <w:rFonts w:hint="eastAsia"/>
                <w:kern w:val="2"/>
                <w:sz w:val="24"/>
                <w:szCs w:val="24"/>
                <w:highlight w:val="none"/>
              </w:rPr>
              <w:t>第一章</w:t>
            </w:r>
            <w:r>
              <w:rPr>
                <w:rFonts w:hint="eastAsia"/>
                <w:kern w:val="2"/>
                <w:sz w:val="24"/>
                <w:szCs w:val="24"/>
                <w:highlight w:val="none"/>
                <w:lang w:val="en-US"/>
              </w:rPr>
              <w:t>招标</w:t>
            </w:r>
            <w:r>
              <w:rPr>
                <w:rFonts w:hint="eastAsia"/>
                <w:kern w:val="2"/>
                <w:sz w:val="24"/>
                <w:szCs w:val="24"/>
                <w:highlight w:val="none"/>
              </w:rPr>
              <w:t>公告中“本项目的特定资格要求”的证明文件；</w:t>
            </w:r>
          </w:p>
        </w:tc>
        <w:tc>
          <w:tcPr>
            <w:tcW w:w="5981" w:type="dxa"/>
            <w:tcBorders>
              <w:top w:val="single" w:color="auto" w:sz="4" w:space="0"/>
              <w:left w:val="single" w:color="auto" w:sz="4" w:space="0"/>
              <w:bottom w:val="single" w:color="auto" w:sz="4" w:space="0"/>
              <w:right w:val="single" w:color="auto" w:sz="4" w:space="0"/>
            </w:tcBorders>
            <w:noWrap/>
            <w:vAlign w:val="center"/>
          </w:tcPr>
          <w:p w14:paraId="6BF6E421">
            <w:pPr>
              <w:adjustRightInd w:val="0"/>
              <w:snapToGrid w:val="0"/>
              <w:spacing w:line="360" w:lineRule="auto"/>
              <w:jc w:val="both"/>
              <w:rPr>
                <w:kern w:val="2"/>
                <w:sz w:val="24"/>
                <w:szCs w:val="24"/>
                <w:highlight w:val="none"/>
              </w:rPr>
            </w:pPr>
            <w:r>
              <w:rPr>
                <w:rFonts w:hint="eastAsia"/>
                <w:kern w:val="2"/>
                <w:sz w:val="24"/>
                <w:szCs w:val="24"/>
                <w:highlight w:val="none"/>
                <w:lang w:val="en-US"/>
              </w:rPr>
              <w:t>无</w:t>
            </w:r>
          </w:p>
        </w:tc>
      </w:tr>
      <w:tr w14:paraId="484C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936" w:type="dxa"/>
            <w:tcBorders>
              <w:top w:val="single" w:color="auto" w:sz="4" w:space="0"/>
              <w:left w:val="single" w:color="auto" w:sz="4" w:space="0"/>
              <w:bottom w:val="single" w:color="auto" w:sz="4" w:space="0"/>
              <w:right w:val="single" w:color="auto" w:sz="4" w:space="0"/>
            </w:tcBorders>
            <w:noWrap/>
            <w:vAlign w:val="center"/>
          </w:tcPr>
          <w:p w14:paraId="064AFCFB">
            <w:pPr>
              <w:adjustRightInd w:val="0"/>
              <w:snapToGrid w:val="0"/>
              <w:spacing w:line="360" w:lineRule="auto"/>
              <w:jc w:val="both"/>
              <w:rPr>
                <w:kern w:val="2"/>
                <w:sz w:val="24"/>
                <w:szCs w:val="24"/>
                <w:highlight w:val="none"/>
              </w:rPr>
            </w:pPr>
            <w:r>
              <w:rPr>
                <w:rFonts w:hint="eastAsia"/>
                <w:kern w:val="2"/>
                <w:sz w:val="24"/>
                <w:szCs w:val="24"/>
                <w:highlight w:val="none"/>
              </w:rPr>
              <w:t>（</w:t>
            </w:r>
            <w:r>
              <w:rPr>
                <w:rFonts w:hint="eastAsia"/>
                <w:kern w:val="2"/>
                <w:sz w:val="24"/>
                <w:szCs w:val="24"/>
                <w:highlight w:val="none"/>
                <w:lang w:val="en-US" w:eastAsia="zh-CN"/>
              </w:rPr>
              <w:t>七</w:t>
            </w:r>
            <w:r>
              <w:rPr>
                <w:rFonts w:hint="eastAsia"/>
                <w:kern w:val="2"/>
                <w:sz w:val="24"/>
                <w:szCs w:val="24"/>
                <w:highlight w:val="none"/>
              </w:rPr>
              <w:t>）</w:t>
            </w:r>
          </w:p>
        </w:tc>
        <w:tc>
          <w:tcPr>
            <w:tcW w:w="2932" w:type="dxa"/>
            <w:tcBorders>
              <w:top w:val="single" w:color="auto" w:sz="4" w:space="0"/>
              <w:left w:val="single" w:color="auto" w:sz="4" w:space="0"/>
              <w:bottom w:val="single" w:color="auto" w:sz="4" w:space="0"/>
              <w:right w:val="single" w:color="auto" w:sz="4" w:space="0"/>
            </w:tcBorders>
            <w:noWrap/>
            <w:vAlign w:val="center"/>
          </w:tcPr>
          <w:p w14:paraId="4163B4D8">
            <w:pPr>
              <w:adjustRightInd w:val="0"/>
              <w:snapToGrid w:val="0"/>
              <w:spacing w:line="360" w:lineRule="auto"/>
              <w:jc w:val="both"/>
              <w:rPr>
                <w:kern w:val="2"/>
                <w:sz w:val="24"/>
                <w:szCs w:val="24"/>
                <w:highlight w:val="none"/>
              </w:rPr>
            </w:pPr>
            <w:r>
              <w:rPr>
                <w:rFonts w:hint="eastAsia"/>
                <w:kern w:val="2"/>
                <w:sz w:val="24"/>
                <w:szCs w:val="24"/>
                <w:highlight w:val="none"/>
              </w:rPr>
              <w:t>联合体投标</w:t>
            </w:r>
          </w:p>
        </w:tc>
        <w:tc>
          <w:tcPr>
            <w:tcW w:w="5981" w:type="dxa"/>
            <w:tcBorders>
              <w:top w:val="single" w:color="auto" w:sz="4" w:space="0"/>
              <w:left w:val="single" w:color="auto" w:sz="4" w:space="0"/>
              <w:bottom w:val="single" w:color="auto" w:sz="4" w:space="0"/>
              <w:right w:val="single" w:color="auto" w:sz="4" w:space="0"/>
            </w:tcBorders>
            <w:noWrap/>
            <w:vAlign w:val="center"/>
          </w:tcPr>
          <w:p w14:paraId="474404FD">
            <w:pPr>
              <w:adjustRightInd w:val="0"/>
              <w:snapToGrid w:val="0"/>
              <w:spacing w:line="360" w:lineRule="auto"/>
              <w:jc w:val="both"/>
              <w:rPr>
                <w:kern w:val="2"/>
                <w:sz w:val="24"/>
                <w:szCs w:val="24"/>
                <w:highlight w:val="none"/>
              </w:rPr>
            </w:pPr>
            <w:r>
              <w:rPr>
                <w:rFonts w:hint="eastAsia"/>
                <w:kern w:val="2"/>
                <w:sz w:val="24"/>
                <w:szCs w:val="24"/>
                <w:highlight w:val="none"/>
              </w:rPr>
              <w:t>不接受联合体投标的项目，</w:t>
            </w:r>
            <w:r>
              <w:rPr>
                <w:rFonts w:hint="eastAsia"/>
                <w:kern w:val="2"/>
                <w:sz w:val="24"/>
                <w:szCs w:val="24"/>
                <w:highlight w:val="none"/>
                <w:lang w:val="en-US"/>
              </w:rPr>
              <w:t>投标人</w:t>
            </w:r>
            <w:r>
              <w:rPr>
                <w:rFonts w:hint="eastAsia"/>
                <w:kern w:val="2"/>
                <w:sz w:val="24"/>
                <w:szCs w:val="24"/>
                <w:highlight w:val="none"/>
              </w:rPr>
              <w:t>若以联合体投标，则</w:t>
            </w:r>
            <w:r>
              <w:rPr>
                <w:rFonts w:hint="eastAsia"/>
                <w:kern w:val="2"/>
                <w:sz w:val="24"/>
                <w:szCs w:val="24"/>
                <w:highlight w:val="none"/>
                <w:lang w:val="en-US"/>
              </w:rPr>
              <w:t>投标</w:t>
            </w:r>
            <w:r>
              <w:rPr>
                <w:rFonts w:hint="eastAsia"/>
                <w:kern w:val="2"/>
                <w:sz w:val="24"/>
                <w:szCs w:val="24"/>
                <w:highlight w:val="none"/>
              </w:rPr>
              <w:t>无效；</w:t>
            </w:r>
          </w:p>
        </w:tc>
      </w:tr>
    </w:tbl>
    <w:p w14:paraId="7A782644">
      <w:pPr>
        <w:adjustRightInd w:val="0"/>
        <w:snapToGrid w:val="0"/>
        <w:spacing w:line="360" w:lineRule="auto"/>
        <w:rPr>
          <w:b/>
          <w:bCs/>
          <w:sz w:val="24"/>
          <w:szCs w:val="24"/>
          <w:highlight w:val="none"/>
        </w:rPr>
      </w:pPr>
      <w:bookmarkStart w:id="97" w:name="_GoBack"/>
      <w:bookmarkEnd w:id="97"/>
      <w:r>
        <w:rPr>
          <w:rFonts w:hint="eastAsia"/>
          <w:b/>
          <w:bCs/>
          <w:sz w:val="24"/>
          <w:szCs w:val="24"/>
          <w:highlight w:val="none"/>
        </w:rPr>
        <w:t>备注：</w:t>
      </w:r>
    </w:p>
    <w:p w14:paraId="2815BFB5">
      <w:pPr>
        <w:numPr>
          <w:ilvl w:val="0"/>
          <w:numId w:val="22"/>
        </w:numPr>
        <w:adjustRightInd w:val="0"/>
        <w:snapToGrid w:val="0"/>
        <w:spacing w:line="360" w:lineRule="auto"/>
        <w:rPr>
          <w:sz w:val="24"/>
          <w:szCs w:val="24"/>
          <w:highlight w:val="none"/>
        </w:rPr>
      </w:pPr>
      <w:r>
        <w:rPr>
          <w:rFonts w:hint="eastAsia"/>
          <w:sz w:val="24"/>
          <w:szCs w:val="24"/>
          <w:highlight w:val="none"/>
        </w:rPr>
        <w:t>所有证书、证明文件必须是真实可查证的，证明材料须清晰可辨认，如因证明材料模糊无法辨认，缺页、漏页导致无法进行评审认定的责任由</w:t>
      </w:r>
      <w:r>
        <w:rPr>
          <w:rFonts w:hint="eastAsia"/>
          <w:sz w:val="24"/>
          <w:szCs w:val="24"/>
          <w:highlight w:val="none"/>
          <w:lang w:val="en-US"/>
        </w:rPr>
        <w:t>投标人</w:t>
      </w:r>
      <w:r>
        <w:rPr>
          <w:rFonts w:hint="eastAsia"/>
          <w:sz w:val="24"/>
          <w:szCs w:val="24"/>
          <w:highlight w:val="none"/>
        </w:rPr>
        <w:t>自负。如发现弄虚作假将按照有关规定严肃处理。</w:t>
      </w:r>
    </w:p>
    <w:p w14:paraId="03B0A8AE">
      <w:pPr>
        <w:numPr>
          <w:ilvl w:val="0"/>
          <w:numId w:val="22"/>
        </w:numPr>
        <w:adjustRightInd w:val="0"/>
        <w:snapToGrid w:val="0"/>
        <w:spacing w:line="360" w:lineRule="auto"/>
        <w:rPr>
          <w:b/>
          <w:bCs/>
          <w:sz w:val="24"/>
          <w:szCs w:val="24"/>
          <w:highlight w:val="none"/>
        </w:rPr>
      </w:pPr>
      <w:r>
        <w:rPr>
          <w:rFonts w:hint="eastAsia"/>
          <w:b/>
          <w:bCs/>
          <w:sz w:val="24"/>
          <w:szCs w:val="24"/>
          <w:highlight w:val="none"/>
        </w:rPr>
        <w:t>证明材料仅限于</w:t>
      </w:r>
      <w:r>
        <w:rPr>
          <w:rFonts w:hint="eastAsia"/>
          <w:b/>
          <w:bCs/>
          <w:sz w:val="24"/>
          <w:szCs w:val="24"/>
          <w:highlight w:val="none"/>
          <w:lang w:val="en-US"/>
        </w:rPr>
        <w:t>投标人</w:t>
      </w:r>
      <w:r>
        <w:rPr>
          <w:rFonts w:hint="eastAsia"/>
          <w:b/>
          <w:bCs/>
          <w:sz w:val="24"/>
          <w:szCs w:val="24"/>
          <w:highlight w:val="none"/>
        </w:rPr>
        <w:t>本身，参股或控股单位及独立法人子公司的材料不能作为证明材料。</w:t>
      </w:r>
    </w:p>
    <w:p w14:paraId="6FD3BFEE">
      <w:pPr>
        <w:numPr>
          <w:ilvl w:val="0"/>
          <w:numId w:val="22"/>
        </w:numPr>
        <w:adjustRightInd w:val="0"/>
        <w:snapToGrid w:val="0"/>
        <w:spacing w:line="360" w:lineRule="auto"/>
        <w:rPr>
          <w:b/>
          <w:bCs/>
          <w:sz w:val="24"/>
          <w:szCs w:val="24"/>
          <w:highlight w:val="none"/>
        </w:rPr>
      </w:pPr>
      <w:r>
        <w:rPr>
          <w:rFonts w:hint="eastAsia"/>
          <w:b/>
          <w:bCs/>
          <w:sz w:val="24"/>
          <w:szCs w:val="24"/>
          <w:highlight w:val="none"/>
        </w:rPr>
        <w:t>对于</w:t>
      </w:r>
      <w:r>
        <w:rPr>
          <w:rFonts w:hint="eastAsia"/>
          <w:b/>
          <w:bCs/>
          <w:sz w:val="24"/>
          <w:szCs w:val="24"/>
          <w:highlight w:val="none"/>
          <w:lang w:val="en-US"/>
        </w:rPr>
        <w:t>投标</w:t>
      </w:r>
      <w:r>
        <w:rPr>
          <w:rFonts w:hint="eastAsia"/>
          <w:b/>
          <w:bCs/>
          <w:sz w:val="24"/>
          <w:szCs w:val="24"/>
          <w:highlight w:val="none"/>
        </w:rPr>
        <w:t>文件中有任意一条不满足上表要求的将导致其</w:t>
      </w:r>
      <w:r>
        <w:rPr>
          <w:rFonts w:hint="eastAsia"/>
          <w:b/>
          <w:bCs/>
          <w:sz w:val="24"/>
          <w:szCs w:val="24"/>
          <w:highlight w:val="none"/>
          <w:lang w:val="en-US"/>
        </w:rPr>
        <w:t>投标</w:t>
      </w:r>
      <w:r>
        <w:rPr>
          <w:rFonts w:hint="eastAsia"/>
          <w:b/>
          <w:bCs/>
          <w:sz w:val="24"/>
          <w:szCs w:val="24"/>
          <w:highlight w:val="none"/>
        </w:rPr>
        <w:t>无效，不进入下一项评审。</w:t>
      </w:r>
    </w:p>
    <w:p w14:paraId="6FB5282C">
      <w:pPr>
        <w:widowControl/>
        <w:autoSpaceDE/>
        <w:autoSpaceDN/>
        <w:spacing w:line="360" w:lineRule="auto"/>
        <w:rPr>
          <w:sz w:val="24"/>
          <w:szCs w:val="24"/>
          <w:highlight w:val="none"/>
        </w:rPr>
      </w:pPr>
      <w:bookmarkStart w:id="60" w:name="_Toc20730"/>
      <w:bookmarkStart w:id="61" w:name="_Toc21669"/>
      <w:bookmarkStart w:id="62" w:name="_Toc49171546"/>
      <w:r>
        <w:rPr>
          <w:sz w:val="24"/>
          <w:szCs w:val="24"/>
          <w:highlight w:val="none"/>
        </w:rPr>
        <w:br w:type="page"/>
      </w:r>
    </w:p>
    <w:p w14:paraId="344B28F1">
      <w:pPr>
        <w:pStyle w:val="26"/>
        <w:numPr>
          <w:ilvl w:val="0"/>
          <w:numId w:val="21"/>
        </w:numPr>
        <w:adjustRightInd w:val="0"/>
        <w:snapToGrid w:val="0"/>
        <w:spacing w:line="360" w:lineRule="auto"/>
        <w:ind w:left="0" w:firstLine="0"/>
        <w:outlineLvl w:val="1"/>
        <w:rPr>
          <w:b/>
          <w:bCs/>
          <w:sz w:val="24"/>
          <w:szCs w:val="24"/>
          <w:highlight w:val="none"/>
        </w:rPr>
      </w:pPr>
      <w:bookmarkStart w:id="63" w:name="_Toc225524675"/>
      <w:r>
        <w:rPr>
          <w:rFonts w:hint="eastAsia"/>
          <w:b/>
          <w:bCs/>
          <w:sz w:val="24"/>
          <w:szCs w:val="24"/>
          <w:highlight w:val="none"/>
        </w:rPr>
        <w:t>符合性审查方法及标准</w:t>
      </w:r>
      <w:bookmarkEnd w:id="60"/>
      <w:bookmarkEnd w:id="61"/>
      <w:bookmarkEnd w:id="62"/>
      <w:bookmarkEnd w:id="63"/>
    </w:p>
    <w:p w14:paraId="405BE046">
      <w:pPr>
        <w:pStyle w:val="4"/>
        <w:adjustRightInd w:val="0"/>
        <w:snapToGrid w:val="0"/>
        <w:spacing w:line="360" w:lineRule="auto"/>
        <w:ind w:firstLine="480" w:firstLineChars="200"/>
        <w:jc w:val="left"/>
        <w:rPr>
          <w:rFonts w:ascii="宋体" w:eastAsia="宋体" w:cs="宋体"/>
          <w:sz w:val="24"/>
          <w:szCs w:val="24"/>
          <w:highlight w:val="none"/>
        </w:rPr>
      </w:pPr>
      <w:bookmarkStart w:id="64" w:name="_Toc49171547"/>
      <w:bookmarkStart w:id="65" w:name="_Toc31357"/>
      <w:bookmarkStart w:id="66" w:name="_Toc28020"/>
      <w:r>
        <w:rPr>
          <w:rFonts w:hint="eastAsia" w:ascii="宋体" w:eastAsia="宋体" w:cs="宋体"/>
          <w:sz w:val="24"/>
          <w:szCs w:val="24"/>
          <w:highlight w:val="none"/>
        </w:rPr>
        <w:t>3.1符合性审查方法</w:t>
      </w:r>
      <w:bookmarkEnd w:id="64"/>
      <w:bookmarkEnd w:id="65"/>
      <w:bookmarkEnd w:id="66"/>
    </w:p>
    <w:p w14:paraId="1CD2E789">
      <w:pPr>
        <w:adjustRightInd w:val="0"/>
        <w:snapToGrid w:val="0"/>
        <w:spacing w:line="360" w:lineRule="auto"/>
        <w:ind w:firstLine="480" w:firstLineChars="200"/>
        <w:rPr>
          <w:sz w:val="24"/>
          <w:szCs w:val="24"/>
          <w:highlight w:val="none"/>
        </w:rPr>
      </w:pPr>
      <w:r>
        <w:rPr>
          <w:rFonts w:hint="eastAsia"/>
          <w:sz w:val="24"/>
          <w:szCs w:val="24"/>
          <w:highlight w:val="none"/>
        </w:rPr>
        <w:t>评标委员会应当对符合资格的投标人的投标文件进行符合性审查，以确定其是否满足招标文件的实质性要求。</w:t>
      </w:r>
    </w:p>
    <w:p w14:paraId="11236023">
      <w:pPr>
        <w:pStyle w:val="4"/>
        <w:adjustRightInd w:val="0"/>
        <w:snapToGrid w:val="0"/>
        <w:spacing w:line="360" w:lineRule="auto"/>
        <w:ind w:firstLine="480" w:firstLineChars="200"/>
        <w:jc w:val="left"/>
        <w:rPr>
          <w:rFonts w:ascii="宋体" w:eastAsia="宋体" w:cs="宋体"/>
          <w:sz w:val="24"/>
          <w:szCs w:val="24"/>
          <w:highlight w:val="none"/>
        </w:rPr>
      </w:pPr>
      <w:bookmarkStart w:id="67" w:name="_Toc14126"/>
      <w:bookmarkStart w:id="68" w:name="_Toc49171548"/>
      <w:bookmarkStart w:id="69" w:name="_Toc7621"/>
      <w:r>
        <w:rPr>
          <w:rFonts w:hint="eastAsia" w:ascii="宋体" w:eastAsia="宋体" w:cs="宋体"/>
          <w:sz w:val="24"/>
          <w:szCs w:val="24"/>
          <w:highlight w:val="none"/>
        </w:rPr>
        <w:t>3.2符合性审查标准</w:t>
      </w:r>
      <w:bookmarkEnd w:id="67"/>
      <w:bookmarkEnd w:id="68"/>
      <w:bookmarkEnd w:id="69"/>
    </w:p>
    <w:p w14:paraId="01E268DA">
      <w:pPr>
        <w:adjustRightInd w:val="0"/>
        <w:snapToGrid w:val="0"/>
        <w:spacing w:line="360" w:lineRule="auto"/>
        <w:ind w:firstLine="482" w:firstLineChars="200"/>
        <w:rPr>
          <w:b/>
          <w:bCs/>
          <w:sz w:val="24"/>
          <w:szCs w:val="24"/>
          <w:highlight w:val="none"/>
        </w:rPr>
      </w:pPr>
      <w:r>
        <w:rPr>
          <w:rFonts w:hint="eastAsia"/>
          <w:b/>
          <w:bCs/>
          <w:sz w:val="24"/>
          <w:szCs w:val="24"/>
          <w:highlight w:val="none"/>
        </w:rPr>
        <w:t>符合性审查出现下列情形之一的投标按照无效响应处理：</w:t>
      </w:r>
    </w:p>
    <w:p w14:paraId="268CD8B5">
      <w:pPr>
        <w:numPr>
          <w:ilvl w:val="0"/>
          <w:numId w:val="23"/>
        </w:numPr>
        <w:spacing w:line="360" w:lineRule="auto"/>
        <w:ind w:firstLine="482" w:firstLineChars="200"/>
        <w:rPr>
          <w:b/>
          <w:bCs/>
          <w:kern w:val="2"/>
          <w:sz w:val="24"/>
          <w:szCs w:val="24"/>
          <w:highlight w:val="none"/>
          <w:lang w:val="en-US"/>
        </w:rPr>
      </w:pPr>
      <w:bookmarkStart w:id="70" w:name="_Toc17601"/>
      <w:bookmarkStart w:id="71" w:name="_Toc49171549"/>
      <w:bookmarkStart w:id="72" w:name="_Toc7455"/>
      <w:r>
        <w:rPr>
          <w:rFonts w:hint="eastAsia"/>
          <w:b/>
          <w:bCs/>
          <w:kern w:val="2"/>
          <w:sz w:val="24"/>
          <w:szCs w:val="24"/>
          <w:highlight w:val="none"/>
          <w:lang w:val="en-US"/>
        </w:rPr>
        <w:t>针对本章“三、投标”中的“5、投标文件的商务部分”和“6、投标文件的技术部分”加</w:t>
      </w:r>
      <w:r>
        <w:rPr>
          <w:rFonts w:hint="eastAsia"/>
          <w:b/>
          <w:bCs/>
          <w:kern w:val="2"/>
          <w:sz w:val="24"/>
          <w:szCs w:val="24"/>
          <w:highlight w:val="none"/>
        </w:rPr>
        <w:t>★</w:t>
      </w:r>
      <w:r>
        <w:rPr>
          <w:rFonts w:hint="eastAsia"/>
          <w:b/>
          <w:bCs/>
          <w:kern w:val="2"/>
          <w:sz w:val="24"/>
          <w:szCs w:val="24"/>
          <w:highlight w:val="none"/>
          <w:lang w:val="en-US"/>
        </w:rPr>
        <w:t>项要求，投标文件提供的证明材料缺失或无效的；</w:t>
      </w:r>
    </w:p>
    <w:p w14:paraId="4E251AAD">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lang w:val="en-US"/>
        </w:rPr>
        <w:t>投标文件未按照招标文件规定要求</w:t>
      </w:r>
      <w:r>
        <w:rPr>
          <w:rFonts w:hint="eastAsia"/>
          <w:b/>
          <w:bCs/>
          <w:kern w:val="2"/>
          <w:sz w:val="24"/>
          <w:szCs w:val="24"/>
          <w:highlight w:val="none"/>
          <w:lang w:val="en-US"/>
        </w:rPr>
        <w:t>签署、盖章</w:t>
      </w:r>
      <w:r>
        <w:rPr>
          <w:rFonts w:hint="eastAsia"/>
          <w:kern w:val="2"/>
          <w:sz w:val="24"/>
          <w:szCs w:val="24"/>
          <w:highlight w:val="none"/>
          <w:lang w:val="en-US"/>
        </w:rPr>
        <w:t>的；</w:t>
      </w:r>
    </w:p>
    <w:p w14:paraId="3ADBC95C">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lang w:val="en-US"/>
        </w:rPr>
        <w:t>投标文件未响应采购项目需求中规定的实质性要求的；</w:t>
      </w:r>
    </w:p>
    <w:p w14:paraId="16545F85">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lang w:val="en-US"/>
        </w:rPr>
        <w:t>投标总报价超过项目预算金额或最高限价；</w:t>
      </w:r>
    </w:p>
    <w:p w14:paraId="59081EFE">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rPr>
        <w:t>评标委员会认为投标人的报价明显低于其他通过符合性审查投标人的报价，有可能影响服务质量或者不能诚信履约的，投标人</w:t>
      </w:r>
      <w:r>
        <w:rPr>
          <w:rFonts w:hint="eastAsia"/>
          <w:kern w:val="2"/>
          <w:sz w:val="24"/>
          <w:szCs w:val="24"/>
          <w:highlight w:val="none"/>
          <w:lang w:val="en-US"/>
        </w:rPr>
        <w:t>未在</w:t>
      </w:r>
      <w:r>
        <w:rPr>
          <w:rFonts w:hint="eastAsia"/>
          <w:kern w:val="2"/>
          <w:sz w:val="24"/>
          <w:szCs w:val="24"/>
          <w:highlight w:val="none"/>
        </w:rPr>
        <w:t>评标现场合理的时间内提供书面说明</w:t>
      </w:r>
      <w:r>
        <w:rPr>
          <w:rFonts w:hint="eastAsia"/>
          <w:kern w:val="2"/>
          <w:sz w:val="24"/>
          <w:szCs w:val="24"/>
          <w:highlight w:val="none"/>
          <w:lang w:val="en-US"/>
        </w:rPr>
        <w:t>或相关证明材料，</w:t>
      </w:r>
      <w:r>
        <w:rPr>
          <w:rFonts w:hint="eastAsia"/>
          <w:kern w:val="2"/>
          <w:sz w:val="24"/>
          <w:szCs w:val="24"/>
          <w:highlight w:val="none"/>
        </w:rPr>
        <w:t>不能证明其报价合理性的；</w:t>
      </w:r>
    </w:p>
    <w:p w14:paraId="074A2AD3">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lang w:val="en-US"/>
        </w:rPr>
        <w:t>投标文件含有采购人不能接受的附加条件的；</w:t>
      </w:r>
    </w:p>
    <w:p w14:paraId="5A78736B">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lang w:val="en-US"/>
        </w:rPr>
        <w:t>不同投标人的投标文件由同一单位或者个人编制；</w:t>
      </w:r>
    </w:p>
    <w:p w14:paraId="1C697A67">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lang w:val="en-US"/>
        </w:rPr>
        <w:t>不同投标人委托同一单位或者个人办理投标事宜；</w:t>
      </w:r>
    </w:p>
    <w:p w14:paraId="44836A8E">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lang w:val="en-US"/>
        </w:rPr>
        <w:t>不同投标人的投标文件载明的项目管理成员或联系人员为同一人；</w:t>
      </w:r>
    </w:p>
    <w:p w14:paraId="226F4B04">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lang w:val="en-US"/>
        </w:rPr>
        <w:t>不同投标人的投标文件异常一致或者投标报价呈规律性差异；</w:t>
      </w:r>
    </w:p>
    <w:p w14:paraId="4C546DA7">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lang w:val="en-US"/>
        </w:rPr>
        <w:t>不同投标人的投标文件相互混装；</w:t>
      </w:r>
    </w:p>
    <w:p w14:paraId="65D082B9">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lang w:val="en-US"/>
        </w:rPr>
        <w:t>投标人未按照招标文件要求上传电子投标文件。</w:t>
      </w:r>
    </w:p>
    <w:p w14:paraId="5A7C628A">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lang w:val="en-US"/>
        </w:rPr>
        <w:t>同一投标人提交两个（含两个）以上不同的投标报价。</w:t>
      </w:r>
    </w:p>
    <w:p w14:paraId="564FED2B">
      <w:pPr>
        <w:numPr>
          <w:ilvl w:val="0"/>
          <w:numId w:val="23"/>
        </w:numPr>
        <w:spacing w:line="360" w:lineRule="auto"/>
        <w:ind w:firstLine="480" w:firstLineChars="200"/>
        <w:rPr>
          <w:kern w:val="2"/>
          <w:sz w:val="24"/>
          <w:szCs w:val="24"/>
          <w:highlight w:val="none"/>
          <w:lang w:val="en-US"/>
        </w:rPr>
      </w:pPr>
      <w:r>
        <w:rPr>
          <w:rFonts w:hint="eastAsia"/>
          <w:kern w:val="2"/>
          <w:sz w:val="24"/>
          <w:szCs w:val="24"/>
          <w:highlight w:val="none"/>
          <w:lang w:val="en-US"/>
        </w:rPr>
        <w:t>投标人在苏采云系统规定的时间内未成功解密电子投标文件。</w:t>
      </w:r>
    </w:p>
    <w:p w14:paraId="5F7C0F51">
      <w:pPr>
        <w:widowControl/>
        <w:autoSpaceDE/>
        <w:autoSpaceDN/>
        <w:spacing w:line="360" w:lineRule="auto"/>
        <w:ind w:firstLine="480" w:firstLineChars="200"/>
        <w:rPr>
          <w:sz w:val="24"/>
          <w:szCs w:val="24"/>
          <w:highlight w:val="none"/>
        </w:rPr>
      </w:pPr>
      <w:r>
        <w:rPr>
          <w:rFonts w:hint="eastAsia"/>
          <w:kern w:val="2"/>
          <w:sz w:val="24"/>
          <w:szCs w:val="24"/>
          <w:highlight w:val="none"/>
          <w:lang w:val="en-US"/>
        </w:rPr>
        <w:t>（15）法律、法规和招标文件规定的其他无效情形。</w:t>
      </w:r>
      <w:r>
        <w:rPr>
          <w:sz w:val="24"/>
          <w:szCs w:val="24"/>
          <w:highlight w:val="none"/>
        </w:rPr>
        <w:br w:type="page"/>
      </w:r>
    </w:p>
    <w:p w14:paraId="389E8C40">
      <w:pPr>
        <w:pStyle w:val="26"/>
        <w:numPr>
          <w:ilvl w:val="0"/>
          <w:numId w:val="21"/>
        </w:numPr>
        <w:adjustRightInd w:val="0"/>
        <w:snapToGrid w:val="0"/>
        <w:spacing w:line="360" w:lineRule="auto"/>
        <w:ind w:left="0" w:firstLine="0"/>
        <w:outlineLvl w:val="1"/>
        <w:rPr>
          <w:b/>
          <w:bCs/>
          <w:sz w:val="24"/>
          <w:szCs w:val="24"/>
          <w:highlight w:val="none"/>
        </w:rPr>
      </w:pPr>
      <w:bookmarkStart w:id="73" w:name="_Toc225524676"/>
      <w:r>
        <w:rPr>
          <w:rFonts w:hint="eastAsia"/>
          <w:b/>
          <w:bCs/>
          <w:sz w:val="24"/>
          <w:szCs w:val="24"/>
          <w:highlight w:val="none"/>
        </w:rPr>
        <w:t>评分标准</w:t>
      </w:r>
      <w:bookmarkEnd w:id="70"/>
      <w:bookmarkEnd w:id="71"/>
      <w:bookmarkEnd w:id="72"/>
      <w:bookmarkEnd w:id="73"/>
    </w:p>
    <w:p w14:paraId="4A463BD9">
      <w:pPr>
        <w:pStyle w:val="26"/>
        <w:adjustRightInd w:val="0"/>
        <w:snapToGrid w:val="0"/>
        <w:spacing w:line="360" w:lineRule="auto"/>
        <w:ind w:left="0" w:firstLine="480" w:firstLineChars="200"/>
        <w:rPr>
          <w:sz w:val="24"/>
          <w:szCs w:val="24"/>
          <w:highlight w:val="none"/>
        </w:rPr>
      </w:pPr>
      <w:r>
        <w:rPr>
          <w:rFonts w:hint="eastAsia"/>
          <w:sz w:val="24"/>
          <w:szCs w:val="24"/>
          <w:highlight w:val="none"/>
        </w:rPr>
        <w:t>本项目总分为100分，采用综合评分法确定中标候选人，评标委员会将按下列评标标准进行评分。（按四舍五入取至小数点后二位）</w:t>
      </w:r>
    </w:p>
    <w:tbl>
      <w:tblPr>
        <w:tblStyle w:val="21"/>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362"/>
        <w:gridCol w:w="6961"/>
        <w:gridCol w:w="704"/>
      </w:tblGrid>
      <w:tr w14:paraId="01CBD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7592F437">
            <w:pPr>
              <w:widowControl/>
              <w:spacing w:line="360" w:lineRule="auto"/>
              <w:jc w:val="center"/>
              <w:rPr>
                <w:b/>
                <w:sz w:val="24"/>
                <w:szCs w:val="24"/>
                <w:highlight w:val="none"/>
              </w:rPr>
            </w:pPr>
            <w:r>
              <w:rPr>
                <w:rFonts w:hint="eastAsia"/>
                <w:b/>
                <w:bCs/>
                <w:kern w:val="2"/>
                <w:sz w:val="24"/>
                <w:szCs w:val="24"/>
                <w:highlight w:val="none"/>
              </w:rPr>
              <w:t>序号</w:t>
            </w:r>
          </w:p>
        </w:tc>
        <w:tc>
          <w:tcPr>
            <w:tcW w:w="1362" w:type="dxa"/>
            <w:tcBorders>
              <w:top w:val="single" w:color="auto" w:sz="4" w:space="0"/>
              <w:left w:val="single" w:color="auto" w:sz="4" w:space="0"/>
              <w:bottom w:val="single" w:color="auto" w:sz="4" w:space="0"/>
              <w:right w:val="single" w:color="auto" w:sz="4" w:space="0"/>
            </w:tcBorders>
            <w:noWrap/>
            <w:vAlign w:val="center"/>
          </w:tcPr>
          <w:p w14:paraId="738801D8">
            <w:pPr>
              <w:widowControl/>
              <w:spacing w:line="360" w:lineRule="auto"/>
              <w:jc w:val="center"/>
              <w:rPr>
                <w:b/>
                <w:sz w:val="24"/>
                <w:szCs w:val="24"/>
                <w:highlight w:val="none"/>
              </w:rPr>
            </w:pPr>
            <w:r>
              <w:rPr>
                <w:rFonts w:hint="eastAsia"/>
                <w:b/>
                <w:sz w:val="24"/>
                <w:szCs w:val="24"/>
                <w:highlight w:val="none"/>
              </w:rPr>
              <w:t>评分</w:t>
            </w:r>
          </w:p>
          <w:p w14:paraId="0EDD3BFE">
            <w:pPr>
              <w:widowControl/>
              <w:spacing w:line="360" w:lineRule="auto"/>
              <w:jc w:val="center"/>
              <w:rPr>
                <w:b/>
                <w:kern w:val="2"/>
                <w:sz w:val="24"/>
                <w:szCs w:val="24"/>
                <w:highlight w:val="none"/>
              </w:rPr>
            </w:pPr>
            <w:r>
              <w:rPr>
                <w:rFonts w:hint="eastAsia"/>
                <w:b/>
                <w:sz w:val="24"/>
                <w:szCs w:val="24"/>
                <w:highlight w:val="none"/>
              </w:rPr>
              <w:t>因素</w:t>
            </w:r>
          </w:p>
        </w:tc>
        <w:tc>
          <w:tcPr>
            <w:tcW w:w="6961" w:type="dxa"/>
            <w:tcBorders>
              <w:top w:val="single" w:color="auto" w:sz="4" w:space="0"/>
              <w:left w:val="single" w:color="auto" w:sz="4" w:space="0"/>
              <w:bottom w:val="single" w:color="auto" w:sz="4" w:space="0"/>
              <w:right w:val="single" w:color="auto" w:sz="4" w:space="0"/>
            </w:tcBorders>
            <w:noWrap/>
            <w:vAlign w:val="center"/>
          </w:tcPr>
          <w:p w14:paraId="0B7F6799">
            <w:pPr>
              <w:widowControl/>
              <w:spacing w:line="360" w:lineRule="auto"/>
              <w:jc w:val="center"/>
              <w:rPr>
                <w:b/>
                <w:kern w:val="2"/>
                <w:sz w:val="24"/>
                <w:szCs w:val="24"/>
                <w:highlight w:val="none"/>
              </w:rPr>
            </w:pPr>
            <w:r>
              <w:rPr>
                <w:rFonts w:hint="eastAsia"/>
                <w:b/>
                <w:sz w:val="24"/>
                <w:szCs w:val="24"/>
                <w:highlight w:val="none"/>
              </w:rPr>
              <w:t>评</w:t>
            </w:r>
            <w:r>
              <w:rPr>
                <w:rFonts w:hint="eastAsia"/>
                <w:b/>
                <w:sz w:val="24"/>
                <w:szCs w:val="24"/>
                <w:highlight w:val="none"/>
                <w:lang w:val="en-US"/>
              </w:rPr>
              <w:t xml:space="preserve"> </w:t>
            </w:r>
            <w:r>
              <w:rPr>
                <w:rFonts w:hint="eastAsia"/>
                <w:b/>
                <w:sz w:val="24"/>
                <w:szCs w:val="24"/>
                <w:highlight w:val="none"/>
              </w:rPr>
              <w:t>审</w:t>
            </w:r>
            <w:r>
              <w:rPr>
                <w:rFonts w:hint="eastAsia"/>
                <w:b/>
                <w:sz w:val="24"/>
                <w:szCs w:val="24"/>
                <w:highlight w:val="none"/>
                <w:lang w:val="en-US"/>
              </w:rPr>
              <w:t xml:space="preserve"> </w:t>
            </w:r>
            <w:r>
              <w:rPr>
                <w:rFonts w:hint="eastAsia"/>
                <w:b/>
                <w:sz w:val="24"/>
                <w:szCs w:val="24"/>
                <w:highlight w:val="none"/>
              </w:rPr>
              <w:t>标</w:t>
            </w:r>
            <w:r>
              <w:rPr>
                <w:rFonts w:hint="eastAsia"/>
                <w:b/>
                <w:sz w:val="24"/>
                <w:szCs w:val="24"/>
                <w:highlight w:val="none"/>
                <w:lang w:val="en-US"/>
              </w:rPr>
              <w:t xml:space="preserve"> </w:t>
            </w:r>
            <w:r>
              <w:rPr>
                <w:rFonts w:hint="eastAsia"/>
                <w:b/>
                <w:sz w:val="24"/>
                <w:szCs w:val="24"/>
                <w:highlight w:val="none"/>
              </w:rPr>
              <w:t>准</w:t>
            </w:r>
          </w:p>
        </w:tc>
        <w:tc>
          <w:tcPr>
            <w:tcW w:w="704" w:type="dxa"/>
            <w:tcBorders>
              <w:top w:val="single" w:color="auto" w:sz="4" w:space="0"/>
              <w:left w:val="single" w:color="auto" w:sz="4" w:space="0"/>
              <w:bottom w:val="single" w:color="auto" w:sz="4" w:space="0"/>
              <w:right w:val="single" w:color="auto" w:sz="4" w:space="0"/>
            </w:tcBorders>
            <w:noWrap/>
            <w:vAlign w:val="center"/>
          </w:tcPr>
          <w:p w14:paraId="2B1503C7">
            <w:pPr>
              <w:widowControl/>
              <w:spacing w:line="360" w:lineRule="auto"/>
              <w:jc w:val="center"/>
              <w:rPr>
                <w:b/>
                <w:kern w:val="2"/>
                <w:sz w:val="24"/>
                <w:szCs w:val="24"/>
                <w:highlight w:val="none"/>
              </w:rPr>
            </w:pPr>
            <w:r>
              <w:rPr>
                <w:rFonts w:hint="eastAsia"/>
                <w:b/>
                <w:sz w:val="24"/>
                <w:szCs w:val="24"/>
                <w:highlight w:val="none"/>
              </w:rPr>
              <w:t>分值</w:t>
            </w:r>
          </w:p>
        </w:tc>
      </w:tr>
      <w:tr w14:paraId="61E98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678" w:type="dxa"/>
            <w:gridSpan w:val="4"/>
            <w:tcBorders>
              <w:top w:val="single" w:color="auto" w:sz="4" w:space="0"/>
              <w:left w:val="single" w:color="auto" w:sz="4" w:space="0"/>
              <w:bottom w:val="single" w:color="auto" w:sz="4" w:space="0"/>
              <w:right w:val="single" w:color="auto" w:sz="4" w:space="0"/>
            </w:tcBorders>
            <w:noWrap/>
            <w:vAlign w:val="center"/>
          </w:tcPr>
          <w:p w14:paraId="51B43850">
            <w:pPr>
              <w:widowControl/>
              <w:spacing w:line="360" w:lineRule="auto"/>
              <w:rPr>
                <w:b/>
                <w:sz w:val="24"/>
                <w:szCs w:val="24"/>
                <w:highlight w:val="none"/>
              </w:rPr>
            </w:pPr>
            <w:r>
              <w:rPr>
                <w:rFonts w:hint="eastAsia"/>
                <w:b/>
                <w:sz w:val="24"/>
                <w:szCs w:val="24"/>
                <w:highlight w:val="none"/>
              </w:rPr>
              <w:t>一、</w:t>
            </w:r>
            <w:r>
              <w:rPr>
                <w:rFonts w:hint="eastAsia"/>
                <w:b/>
                <w:sz w:val="24"/>
                <w:szCs w:val="24"/>
                <w:highlight w:val="none"/>
                <w:lang w:val="en-US"/>
              </w:rPr>
              <w:t>投标报价</w:t>
            </w:r>
            <w:r>
              <w:rPr>
                <w:rFonts w:hint="eastAsia"/>
                <w:b/>
                <w:bCs/>
                <w:sz w:val="24"/>
                <w:szCs w:val="24"/>
                <w:highlight w:val="none"/>
              </w:rPr>
              <w:t>（</w:t>
            </w:r>
            <w:r>
              <w:rPr>
                <w:rFonts w:hint="eastAsia"/>
                <w:b/>
                <w:bCs/>
                <w:sz w:val="24"/>
                <w:szCs w:val="24"/>
                <w:highlight w:val="none"/>
                <w:lang w:val="en-US"/>
              </w:rPr>
              <w:t>20</w:t>
            </w:r>
            <w:r>
              <w:rPr>
                <w:rFonts w:hint="eastAsia"/>
                <w:b/>
                <w:bCs/>
                <w:sz w:val="24"/>
                <w:szCs w:val="24"/>
                <w:highlight w:val="none"/>
              </w:rPr>
              <w:t>分）</w:t>
            </w:r>
          </w:p>
        </w:tc>
      </w:tr>
      <w:tr w14:paraId="12129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4"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53B86875">
            <w:pPr>
              <w:widowControl/>
              <w:spacing w:line="360" w:lineRule="auto"/>
              <w:jc w:val="center"/>
              <w:textAlignment w:val="center"/>
              <w:rPr>
                <w:b/>
                <w:bCs/>
                <w:sz w:val="24"/>
                <w:szCs w:val="24"/>
                <w:highlight w:val="none"/>
              </w:rPr>
            </w:pPr>
            <w:r>
              <w:rPr>
                <w:rFonts w:hint="eastAsia"/>
                <w:b/>
                <w:bCs/>
                <w:sz w:val="24"/>
                <w:szCs w:val="24"/>
                <w:highlight w:val="none"/>
              </w:rPr>
              <w:t>1</w:t>
            </w:r>
          </w:p>
        </w:tc>
        <w:tc>
          <w:tcPr>
            <w:tcW w:w="1362" w:type="dxa"/>
            <w:tcBorders>
              <w:top w:val="single" w:color="auto" w:sz="4" w:space="0"/>
              <w:left w:val="single" w:color="auto" w:sz="4" w:space="0"/>
              <w:bottom w:val="single" w:color="auto" w:sz="4" w:space="0"/>
              <w:right w:val="single" w:color="auto" w:sz="4" w:space="0"/>
            </w:tcBorders>
            <w:noWrap/>
            <w:vAlign w:val="center"/>
          </w:tcPr>
          <w:p w14:paraId="690CD1EE">
            <w:pPr>
              <w:adjustRightInd w:val="0"/>
              <w:spacing w:line="360" w:lineRule="auto"/>
              <w:jc w:val="center"/>
              <w:rPr>
                <w:b/>
                <w:bCs/>
                <w:sz w:val="24"/>
                <w:szCs w:val="24"/>
                <w:highlight w:val="none"/>
              </w:rPr>
            </w:pPr>
            <w:r>
              <w:rPr>
                <w:rFonts w:hint="eastAsia"/>
                <w:b/>
                <w:bCs/>
                <w:sz w:val="24"/>
                <w:szCs w:val="24"/>
                <w:highlight w:val="none"/>
              </w:rPr>
              <w:t>价格</w:t>
            </w:r>
          </w:p>
          <w:p w14:paraId="5A7B84ED">
            <w:pPr>
              <w:widowControl/>
              <w:spacing w:line="360" w:lineRule="auto"/>
              <w:jc w:val="center"/>
              <w:textAlignment w:val="center"/>
              <w:rPr>
                <w:b/>
                <w:bCs/>
                <w:kern w:val="2"/>
                <w:sz w:val="24"/>
                <w:szCs w:val="24"/>
                <w:highlight w:val="none"/>
              </w:rPr>
            </w:pPr>
            <w:r>
              <w:rPr>
                <w:rFonts w:hint="eastAsia"/>
                <w:b/>
                <w:bCs/>
                <w:sz w:val="24"/>
                <w:szCs w:val="24"/>
                <w:highlight w:val="none"/>
              </w:rPr>
              <w:t>（</w:t>
            </w:r>
            <w:r>
              <w:rPr>
                <w:rFonts w:hint="eastAsia"/>
                <w:b/>
                <w:bCs/>
                <w:sz w:val="24"/>
                <w:szCs w:val="24"/>
                <w:highlight w:val="none"/>
                <w:lang w:val="en-US"/>
              </w:rPr>
              <w:t>20</w:t>
            </w:r>
            <w:r>
              <w:rPr>
                <w:rFonts w:hint="eastAsia"/>
                <w:b/>
                <w:bCs/>
                <w:sz w:val="24"/>
                <w:szCs w:val="24"/>
                <w:highlight w:val="none"/>
              </w:rPr>
              <w:t>分）</w:t>
            </w:r>
          </w:p>
        </w:tc>
        <w:tc>
          <w:tcPr>
            <w:tcW w:w="6961" w:type="dxa"/>
            <w:tcBorders>
              <w:top w:val="single" w:color="auto" w:sz="4" w:space="0"/>
              <w:left w:val="single" w:color="auto" w:sz="4" w:space="0"/>
              <w:bottom w:val="single" w:color="auto" w:sz="4" w:space="0"/>
              <w:right w:val="single" w:color="auto" w:sz="4" w:space="0"/>
            </w:tcBorders>
            <w:noWrap/>
            <w:vAlign w:val="center"/>
          </w:tcPr>
          <w:p w14:paraId="31053F85">
            <w:pPr>
              <w:widowControl/>
              <w:spacing w:line="360" w:lineRule="auto"/>
              <w:jc w:val="both"/>
              <w:textAlignment w:val="center"/>
              <w:rPr>
                <w:kern w:val="2"/>
                <w:sz w:val="24"/>
                <w:szCs w:val="24"/>
                <w:highlight w:val="none"/>
              </w:rPr>
            </w:pPr>
            <w:r>
              <w:rPr>
                <w:rFonts w:hint="eastAsia"/>
                <w:kern w:val="2"/>
                <w:sz w:val="24"/>
                <w:szCs w:val="24"/>
                <w:highlight w:val="none"/>
              </w:rPr>
              <w:t>采用低价优先法计算，即满足招标文件要求且投标价格最低的投标报价为评标基准价，其价格分</w:t>
            </w:r>
            <w:r>
              <w:rPr>
                <w:rFonts w:hint="eastAsia"/>
                <w:sz w:val="24"/>
                <w:szCs w:val="24"/>
                <w:highlight w:val="none"/>
              </w:rPr>
              <w:t>为满分。其他供应商的价格分统一按照下列公式计算（</w:t>
            </w:r>
            <w:r>
              <w:rPr>
                <w:rFonts w:hint="eastAsia"/>
                <w:kern w:val="2"/>
                <w:sz w:val="24"/>
                <w:szCs w:val="24"/>
                <w:highlight w:val="none"/>
              </w:rPr>
              <w:t>按四舍五入取至小数点后二位</w:t>
            </w:r>
            <w:r>
              <w:rPr>
                <w:rFonts w:hint="eastAsia"/>
                <w:sz w:val="24"/>
                <w:szCs w:val="24"/>
                <w:highlight w:val="none"/>
              </w:rPr>
              <w:t>）：投标报价得分=(评标基准价／投标报价)×</w:t>
            </w:r>
            <w:r>
              <w:rPr>
                <w:rFonts w:hint="eastAsia"/>
                <w:sz w:val="24"/>
                <w:szCs w:val="24"/>
                <w:highlight w:val="none"/>
                <w:lang w:val="en-US"/>
              </w:rPr>
              <w:t>20</w:t>
            </w:r>
            <w:r>
              <w:rPr>
                <w:rFonts w:hint="eastAsia"/>
                <w:sz w:val="24"/>
                <w:szCs w:val="24"/>
                <w:highlight w:val="none"/>
              </w:rPr>
              <w:t>分。</w:t>
            </w:r>
          </w:p>
        </w:tc>
        <w:tc>
          <w:tcPr>
            <w:tcW w:w="704" w:type="dxa"/>
            <w:tcBorders>
              <w:top w:val="single" w:color="auto" w:sz="4" w:space="0"/>
              <w:left w:val="single" w:color="auto" w:sz="4" w:space="0"/>
              <w:bottom w:val="single" w:color="auto" w:sz="4" w:space="0"/>
              <w:right w:val="single" w:color="auto" w:sz="4" w:space="0"/>
            </w:tcBorders>
            <w:noWrap/>
            <w:vAlign w:val="center"/>
          </w:tcPr>
          <w:p w14:paraId="2F82A9D6">
            <w:pPr>
              <w:widowControl/>
              <w:spacing w:line="360" w:lineRule="auto"/>
              <w:jc w:val="center"/>
              <w:textAlignment w:val="center"/>
              <w:rPr>
                <w:b/>
                <w:bCs/>
                <w:sz w:val="24"/>
                <w:szCs w:val="24"/>
                <w:highlight w:val="none"/>
                <w:lang w:val="en-US"/>
              </w:rPr>
            </w:pPr>
            <w:r>
              <w:rPr>
                <w:rFonts w:hint="eastAsia"/>
                <w:b/>
                <w:bCs/>
                <w:sz w:val="24"/>
                <w:szCs w:val="24"/>
                <w:highlight w:val="none"/>
                <w:lang w:val="en-US"/>
              </w:rPr>
              <w:t>20</w:t>
            </w:r>
          </w:p>
        </w:tc>
      </w:tr>
      <w:tr w14:paraId="47F96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678" w:type="dxa"/>
            <w:gridSpan w:val="4"/>
            <w:tcBorders>
              <w:top w:val="single" w:color="auto" w:sz="4" w:space="0"/>
              <w:left w:val="single" w:color="auto" w:sz="4" w:space="0"/>
              <w:bottom w:val="single" w:color="auto" w:sz="4" w:space="0"/>
              <w:right w:val="single" w:color="auto" w:sz="4" w:space="0"/>
            </w:tcBorders>
            <w:noWrap/>
            <w:vAlign w:val="center"/>
          </w:tcPr>
          <w:p w14:paraId="5BD8831B">
            <w:pPr>
              <w:widowControl/>
              <w:spacing w:line="360" w:lineRule="auto"/>
              <w:textAlignment w:val="center"/>
              <w:rPr>
                <w:b/>
                <w:bCs/>
                <w:sz w:val="24"/>
                <w:szCs w:val="24"/>
                <w:highlight w:val="none"/>
                <w:lang w:val="en-US"/>
              </w:rPr>
            </w:pPr>
            <w:r>
              <w:rPr>
                <w:rFonts w:hint="eastAsia"/>
                <w:b/>
                <w:bCs/>
                <w:sz w:val="24"/>
                <w:szCs w:val="24"/>
                <w:highlight w:val="none"/>
              </w:rPr>
              <w:t>二、</w:t>
            </w:r>
            <w:r>
              <w:rPr>
                <w:rFonts w:hint="eastAsia"/>
                <w:b/>
                <w:bCs/>
                <w:sz w:val="24"/>
                <w:szCs w:val="24"/>
                <w:highlight w:val="none"/>
                <w:lang w:val="en-US"/>
              </w:rPr>
              <w:t>需求响应情况</w:t>
            </w:r>
            <w:r>
              <w:rPr>
                <w:rFonts w:hint="eastAsia"/>
                <w:b/>
                <w:bCs/>
                <w:sz w:val="24"/>
                <w:szCs w:val="24"/>
                <w:highlight w:val="none"/>
              </w:rPr>
              <w:t>（</w:t>
            </w:r>
            <w:r>
              <w:rPr>
                <w:rFonts w:hint="eastAsia"/>
                <w:b/>
                <w:bCs/>
                <w:sz w:val="24"/>
                <w:szCs w:val="24"/>
                <w:highlight w:val="none"/>
                <w:lang w:val="en-US"/>
              </w:rPr>
              <w:t>16分</w:t>
            </w:r>
            <w:r>
              <w:rPr>
                <w:rFonts w:hint="eastAsia"/>
                <w:b/>
                <w:bCs/>
                <w:sz w:val="24"/>
                <w:szCs w:val="24"/>
                <w:highlight w:val="none"/>
              </w:rPr>
              <w:t>）</w:t>
            </w:r>
          </w:p>
        </w:tc>
      </w:tr>
      <w:tr w14:paraId="1573F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3959A5C0">
            <w:pPr>
              <w:widowControl/>
              <w:spacing w:line="360" w:lineRule="auto"/>
              <w:jc w:val="center"/>
              <w:textAlignment w:val="center"/>
              <w:rPr>
                <w:b/>
                <w:bCs/>
                <w:sz w:val="24"/>
                <w:szCs w:val="24"/>
                <w:highlight w:val="none"/>
                <w:lang w:val="en-US"/>
              </w:rPr>
            </w:pPr>
            <w:r>
              <w:rPr>
                <w:rFonts w:hint="eastAsia"/>
                <w:b/>
                <w:bCs/>
                <w:sz w:val="24"/>
                <w:szCs w:val="24"/>
                <w:highlight w:val="none"/>
                <w:lang w:val="en-US"/>
              </w:rPr>
              <w:t>2</w:t>
            </w:r>
          </w:p>
        </w:tc>
        <w:tc>
          <w:tcPr>
            <w:tcW w:w="1362" w:type="dxa"/>
            <w:tcBorders>
              <w:top w:val="single" w:color="auto" w:sz="4" w:space="0"/>
              <w:left w:val="single" w:color="auto" w:sz="4" w:space="0"/>
              <w:bottom w:val="single" w:color="auto" w:sz="4" w:space="0"/>
              <w:right w:val="single" w:color="auto" w:sz="4" w:space="0"/>
            </w:tcBorders>
            <w:noWrap/>
            <w:vAlign w:val="center"/>
          </w:tcPr>
          <w:p w14:paraId="1492B557">
            <w:pPr>
              <w:spacing w:line="360" w:lineRule="auto"/>
              <w:jc w:val="center"/>
              <w:rPr>
                <w:b/>
                <w:kern w:val="2"/>
                <w:sz w:val="24"/>
                <w:szCs w:val="24"/>
                <w:highlight w:val="none"/>
              </w:rPr>
            </w:pPr>
            <w:r>
              <w:rPr>
                <w:rFonts w:hint="eastAsia"/>
                <w:b/>
                <w:bCs/>
                <w:sz w:val="24"/>
                <w:szCs w:val="24"/>
                <w:highlight w:val="none"/>
                <w:lang w:val="en-US"/>
              </w:rPr>
              <w:t>需求响应</w:t>
            </w:r>
            <w:r>
              <w:rPr>
                <w:rFonts w:hint="eastAsia"/>
                <w:b/>
                <w:bCs/>
                <w:sz w:val="24"/>
                <w:szCs w:val="24"/>
                <w:highlight w:val="none"/>
              </w:rPr>
              <w:t>（</w:t>
            </w:r>
            <w:r>
              <w:rPr>
                <w:rFonts w:hint="eastAsia"/>
                <w:b/>
                <w:bCs/>
                <w:sz w:val="24"/>
                <w:szCs w:val="24"/>
                <w:highlight w:val="none"/>
                <w:lang w:val="en-US"/>
              </w:rPr>
              <w:t>16分</w:t>
            </w:r>
            <w:r>
              <w:rPr>
                <w:rFonts w:hint="eastAsia"/>
                <w:b/>
                <w:bCs/>
                <w:sz w:val="24"/>
                <w:szCs w:val="24"/>
                <w:highlight w:val="none"/>
              </w:rPr>
              <w:t>）</w:t>
            </w:r>
          </w:p>
        </w:tc>
        <w:tc>
          <w:tcPr>
            <w:tcW w:w="69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85EFA4">
            <w:pPr>
              <w:spacing w:line="360" w:lineRule="auto"/>
              <w:jc w:val="both"/>
              <w:rPr>
                <w:kern w:val="2"/>
                <w:sz w:val="24"/>
                <w:szCs w:val="24"/>
                <w:highlight w:val="none"/>
                <w:lang w:val="en-US"/>
              </w:rPr>
            </w:pPr>
            <w:r>
              <w:rPr>
                <w:rFonts w:hint="eastAsia"/>
                <w:kern w:val="2"/>
                <w:sz w:val="24"/>
                <w:szCs w:val="24"/>
                <w:highlight w:val="none"/>
              </w:rPr>
              <w:t>供应商对招标文件第五章项目需求“</w:t>
            </w:r>
            <w:r>
              <w:rPr>
                <w:rFonts w:hint="eastAsia"/>
                <w:b/>
                <w:kern w:val="2"/>
                <w:sz w:val="24"/>
                <w:szCs w:val="24"/>
                <w:highlight w:val="none"/>
              </w:rPr>
              <w:t>三、维保服务要求</w:t>
            </w:r>
            <w:r>
              <w:rPr>
                <w:rFonts w:hint="eastAsia"/>
                <w:kern w:val="2"/>
                <w:sz w:val="24"/>
                <w:szCs w:val="24"/>
                <w:highlight w:val="none"/>
              </w:rPr>
              <w:t>”的响应程度：全部响应即满足招标文件第五章项目需求“</w:t>
            </w:r>
            <w:r>
              <w:rPr>
                <w:rFonts w:hint="eastAsia"/>
                <w:b/>
                <w:kern w:val="2"/>
                <w:sz w:val="24"/>
                <w:szCs w:val="24"/>
                <w:highlight w:val="none"/>
              </w:rPr>
              <w:t>三、维保服务要求</w:t>
            </w:r>
            <w:r>
              <w:rPr>
                <w:rFonts w:hint="eastAsia"/>
                <w:kern w:val="2"/>
                <w:sz w:val="24"/>
                <w:szCs w:val="24"/>
                <w:highlight w:val="none"/>
              </w:rPr>
              <w:t>”全部要求的得</w:t>
            </w:r>
            <w:r>
              <w:rPr>
                <w:rFonts w:hint="eastAsia"/>
                <w:kern w:val="2"/>
                <w:sz w:val="24"/>
                <w:szCs w:val="24"/>
                <w:highlight w:val="none"/>
                <w:lang w:val="en-US"/>
              </w:rPr>
              <w:t>16</w:t>
            </w:r>
            <w:r>
              <w:rPr>
                <w:rFonts w:hint="eastAsia"/>
                <w:kern w:val="2"/>
                <w:sz w:val="24"/>
                <w:szCs w:val="24"/>
                <w:highlight w:val="none"/>
              </w:rPr>
              <w:t>分；其中标注“★”的内容为实质性要求，如有任何一项不满足则为无效投标；其他项有负偏离的每项扣</w:t>
            </w:r>
            <w:r>
              <w:rPr>
                <w:rFonts w:hint="eastAsia"/>
                <w:kern w:val="2"/>
                <w:sz w:val="24"/>
                <w:szCs w:val="24"/>
                <w:highlight w:val="none"/>
                <w:lang w:val="en-US"/>
              </w:rPr>
              <w:t>2</w:t>
            </w:r>
            <w:r>
              <w:rPr>
                <w:rFonts w:hint="eastAsia"/>
                <w:kern w:val="2"/>
                <w:sz w:val="24"/>
                <w:szCs w:val="24"/>
                <w:highlight w:val="none"/>
              </w:rPr>
              <w:t>分，扣完为止。（投标人需在“技术条款偏离表”中如实逐项填列维保服务要求的各项响应情况或服务承诺。如招标文件要求提供相应证明材料的，应在偏离表中注明证明材料所在投标文件的页码位置，否则评标委员会有权做负偏离处理）</w:t>
            </w:r>
          </w:p>
        </w:tc>
        <w:tc>
          <w:tcPr>
            <w:tcW w:w="704" w:type="dxa"/>
            <w:tcBorders>
              <w:top w:val="single" w:color="auto" w:sz="4" w:space="0"/>
              <w:left w:val="single" w:color="auto" w:sz="4" w:space="0"/>
              <w:bottom w:val="single" w:color="auto" w:sz="4" w:space="0"/>
              <w:right w:val="single" w:color="auto" w:sz="4" w:space="0"/>
            </w:tcBorders>
            <w:noWrap/>
            <w:vAlign w:val="center"/>
          </w:tcPr>
          <w:p w14:paraId="3CA91EF1">
            <w:pPr>
              <w:widowControl/>
              <w:spacing w:line="360" w:lineRule="auto"/>
              <w:jc w:val="center"/>
              <w:textAlignment w:val="center"/>
              <w:rPr>
                <w:b/>
                <w:bCs/>
                <w:sz w:val="24"/>
                <w:szCs w:val="24"/>
                <w:highlight w:val="none"/>
                <w:lang w:val="en-US"/>
              </w:rPr>
            </w:pPr>
            <w:r>
              <w:rPr>
                <w:rFonts w:hint="eastAsia"/>
                <w:b/>
                <w:bCs/>
                <w:sz w:val="24"/>
                <w:szCs w:val="24"/>
                <w:highlight w:val="none"/>
                <w:lang w:val="en-US"/>
              </w:rPr>
              <w:t>16</w:t>
            </w:r>
          </w:p>
        </w:tc>
      </w:tr>
      <w:tr w14:paraId="7238F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678" w:type="dxa"/>
            <w:gridSpan w:val="4"/>
            <w:tcBorders>
              <w:top w:val="single" w:color="auto" w:sz="4" w:space="0"/>
              <w:left w:val="single" w:color="auto" w:sz="4" w:space="0"/>
              <w:bottom w:val="single" w:color="auto" w:sz="4" w:space="0"/>
              <w:right w:val="single" w:color="auto" w:sz="4" w:space="0"/>
            </w:tcBorders>
            <w:noWrap/>
            <w:vAlign w:val="center"/>
          </w:tcPr>
          <w:p w14:paraId="0E1FD14F">
            <w:pPr>
              <w:widowControl/>
              <w:numPr>
                <w:ilvl w:val="0"/>
                <w:numId w:val="24"/>
              </w:numPr>
              <w:spacing w:line="360" w:lineRule="auto"/>
              <w:textAlignment w:val="center"/>
              <w:rPr>
                <w:b/>
                <w:bCs/>
                <w:sz w:val="24"/>
                <w:szCs w:val="24"/>
                <w:highlight w:val="none"/>
              </w:rPr>
            </w:pPr>
            <w:r>
              <w:rPr>
                <w:rFonts w:hint="eastAsia"/>
                <w:b/>
                <w:bCs/>
                <w:sz w:val="24"/>
                <w:szCs w:val="24"/>
                <w:highlight w:val="none"/>
                <w:lang w:val="en-US"/>
              </w:rPr>
              <w:t>维保服务方案</w:t>
            </w:r>
            <w:r>
              <w:rPr>
                <w:rFonts w:hint="eastAsia"/>
                <w:b/>
                <w:bCs/>
                <w:sz w:val="24"/>
                <w:szCs w:val="24"/>
                <w:highlight w:val="none"/>
              </w:rPr>
              <w:t>（</w:t>
            </w:r>
            <w:r>
              <w:rPr>
                <w:rFonts w:hint="eastAsia"/>
                <w:b/>
                <w:bCs/>
                <w:sz w:val="24"/>
                <w:szCs w:val="24"/>
                <w:highlight w:val="none"/>
                <w:lang w:val="en-US"/>
              </w:rPr>
              <w:t>35分</w:t>
            </w:r>
            <w:r>
              <w:rPr>
                <w:rFonts w:hint="eastAsia"/>
                <w:b/>
                <w:bCs/>
                <w:sz w:val="24"/>
                <w:szCs w:val="24"/>
                <w:highlight w:val="none"/>
              </w:rPr>
              <w:t>）</w:t>
            </w:r>
          </w:p>
        </w:tc>
      </w:tr>
      <w:tr w14:paraId="2612B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51" w:type="dxa"/>
            <w:tcBorders>
              <w:top w:val="single" w:color="auto" w:sz="4" w:space="0"/>
              <w:left w:val="single" w:color="auto" w:sz="4" w:space="0"/>
              <w:right w:val="single" w:color="auto" w:sz="4" w:space="0"/>
            </w:tcBorders>
            <w:noWrap/>
            <w:vAlign w:val="center"/>
          </w:tcPr>
          <w:p w14:paraId="75318F96">
            <w:pPr>
              <w:widowControl/>
              <w:spacing w:line="360" w:lineRule="auto"/>
              <w:jc w:val="center"/>
              <w:textAlignment w:val="center"/>
              <w:rPr>
                <w:b/>
                <w:bCs/>
                <w:sz w:val="24"/>
                <w:szCs w:val="24"/>
                <w:highlight w:val="none"/>
                <w:lang w:val="en-US"/>
              </w:rPr>
            </w:pPr>
            <w:r>
              <w:rPr>
                <w:rFonts w:hint="eastAsia"/>
                <w:b/>
                <w:bCs/>
                <w:sz w:val="24"/>
                <w:szCs w:val="24"/>
                <w:highlight w:val="none"/>
                <w:lang w:val="en-US"/>
              </w:rPr>
              <w:t>3.1</w:t>
            </w:r>
          </w:p>
        </w:tc>
        <w:tc>
          <w:tcPr>
            <w:tcW w:w="1362" w:type="dxa"/>
            <w:tcBorders>
              <w:top w:val="single" w:color="auto" w:sz="4" w:space="0"/>
              <w:left w:val="single" w:color="auto" w:sz="4" w:space="0"/>
              <w:right w:val="single" w:color="auto" w:sz="4" w:space="0"/>
            </w:tcBorders>
            <w:noWrap/>
            <w:vAlign w:val="center"/>
          </w:tcPr>
          <w:p w14:paraId="02397270">
            <w:pPr>
              <w:spacing w:line="360" w:lineRule="auto"/>
              <w:jc w:val="center"/>
              <w:rPr>
                <w:b/>
                <w:kern w:val="2"/>
                <w:sz w:val="24"/>
                <w:szCs w:val="24"/>
                <w:highlight w:val="none"/>
                <w:lang w:val="en-US"/>
              </w:rPr>
            </w:pPr>
            <w:r>
              <w:rPr>
                <w:rFonts w:hint="eastAsia"/>
                <w:b/>
                <w:kern w:val="2"/>
                <w:sz w:val="24"/>
                <w:szCs w:val="24"/>
                <w:highlight w:val="none"/>
                <w:lang w:val="en-US"/>
              </w:rPr>
              <w:t>设备维保方案</w:t>
            </w:r>
          </w:p>
        </w:tc>
        <w:tc>
          <w:tcPr>
            <w:tcW w:w="69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A3064F">
            <w:pPr>
              <w:spacing w:line="360" w:lineRule="auto"/>
              <w:jc w:val="both"/>
              <w:rPr>
                <w:kern w:val="2"/>
                <w:sz w:val="24"/>
                <w:szCs w:val="24"/>
                <w:highlight w:val="none"/>
              </w:rPr>
            </w:pPr>
            <w:r>
              <w:rPr>
                <w:rFonts w:hint="eastAsia"/>
                <w:kern w:val="2"/>
                <w:sz w:val="24"/>
                <w:szCs w:val="24"/>
                <w:highlight w:val="none"/>
              </w:rPr>
              <w:t>根据采购人的业务特点与实际情况,结合项目需求，制定详细的有针对性的设备维保方案。</w:t>
            </w:r>
          </w:p>
          <w:p w14:paraId="15D15C18">
            <w:pPr>
              <w:spacing w:line="360" w:lineRule="auto"/>
              <w:jc w:val="both"/>
              <w:rPr>
                <w:kern w:val="2"/>
                <w:sz w:val="24"/>
                <w:szCs w:val="24"/>
                <w:highlight w:val="none"/>
              </w:rPr>
            </w:pPr>
            <w:r>
              <w:rPr>
                <w:rFonts w:hint="eastAsia"/>
                <w:kern w:val="2"/>
                <w:sz w:val="24"/>
                <w:szCs w:val="24"/>
                <w:highlight w:val="none"/>
                <w:lang w:val="en-US"/>
              </w:rPr>
              <w:t>维保方案内容详细全面，工作流程完善、科学合理、可行性强，优于项目需求</w:t>
            </w:r>
            <w:r>
              <w:rPr>
                <w:rFonts w:hint="eastAsia" w:hAnsi="宋体"/>
                <w:sz w:val="24"/>
                <w:szCs w:val="24"/>
                <w:highlight w:val="none"/>
              </w:rPr>
              <w:t>得</w:t>
            </w:r>
            <w:r>
              <w:rPr>
                <w:rFonts w:hint="eastAsia" w:hAnsi="宋体"/>
                <w:sz w:val="24"/>
                <w:szCs w:val="24"/>
                <w:highlight w:val="none"/>
                <w:lang w:val="en-US"/>
              </w:rPr>
              <w:t>5</w:t>
            </w:r>
            <w:r>
              <w:rPr>
                <w:rFonts w:hint="eastAsia" w:hAnsi="宋体"/>
                <w:sz w:val="24"/>
                <w:szCs w:val="24"/>
                <w:highlight w:val="none"/>
              </w:rPr>
              <w:t>分；</w:t>
            </w:r>
            <w:r>
              <w:rPr>
                <w:rFonts w:hint="eastAsia"/>
                <w:kern w:val="2"/>
                <w:sz w:val="24"/>
                <w:szCs w:val="24"/>
                <w:highlight w:val="none"/>
                <w:lang w:val="en-US"/>
              </w:rPr>
              <w:t>方案内容较全面，工作流程较合理、可行性较强，满足项目需求</w:t>
            </w:r>
            <w:r>
              <w:rPr>
                <w:rFonts w:hint="eastAsia" w:hAnsi="宋体"/>
                <w:sz w:val="24"/>
                <w:szCs w:val="24"/>
                <w:highlight w:val="none"/>
              </w:rPr>
              <w:t>得</w:t>
            </w:r>
            <w:r>
              <w:rPr>
                <w:rFonts w:hint="eastAsia" w:hAnsi="宋体"/>
                <w:sz w:val="24"/>
                <w:szCs w:val="24"/>
                <w:highlight w:val="none"/>
                <w:lang w:val="en-US"/>
              </w:rPr>
              <w:t>3</w:t>
            </w:r>
            <w:r>
              <w:rPr>
                <w:rFonts w:hint="eastAsia" w:hAnsi="宋体"/>
                <w:sz w:val="24"/>
                <w:szCs w:val="24"/>
                <w:highlight w:val="none"/>
              </w:rPr>
              <w:t>分；</w:t>
            </w:r>
            <w:r>
              <w:rPr>
                <w:rFonts w:hint="eastAsia"/>
                <w:kern w:val="2"/>
                <w:sz w:val="24"/>
                <w:szCs w:val="24"/>
                <w:highlight w:val="none"/>
                <w:lang w:val="en-US"/>
              </w:rPr>
              <w:t>方案内容不够全面，工作流程不够合理但具备可行性，基本满足项目需求</w:t>
            </w:r>
            <w:r>
              <w:rPr>
                <w:rFonts w:hint="eastAsia" w:hAnsi="宋体"/>
                <w:sz w:val="24"/>
                <w:szCs w:val="24"/>
                <w:highlight w:val="none"/>
              </w:rPr>
              <w:t>得</w:t>
            </w:r>
            <w:r>
              <w:rPr>
                <w:rFonts w:hint="eastAsia" w:hAnsi="宋体"/>
                <w:sz w:val="24"/>
                <w:szCs w:val="24"/>
                <w:highlight w:val="none"/>
                <w:lang w:val="en-US"/>
              </w:rPr>
              <w:t>1</w:t>
            </w:r>
            <w:r>
              <w:rPr>
                <w:rFonts w:hint="eastAsia" w:hAnsi="宋体"/>
                <w:sz w:val="24"/>
                <w:szCs w:val="24"/>
                <w:highlight w:val="none"/>
              </w:rPr>
              <w:t>分；不符合项目需求或未提供的得0分。</w:t>
            </w:r>
          </w:p>
        </w:tc>
        <w:tc>
          <w:tcPr>
            <w:tcW w:w="704" w:type="dxa"/>
            <w:tcBorders>
              <w:top w:val="single" w:color="auto" w:sz="4" w:space="0"/>
              <w:left w:val="single" w:color="auto" w:sz="4" w:space="0"/>
              <w:bottom w:val="single" w:color="auto" w:sz="4" w:space="0"/>
              <w:right w:val="single" w:color="auto" w:sz="4" w:space="0"/>
            </w:tcBorders>
            <w:noWrap/>
            <w:vAlign w:val="center"/>
          </w:tcPr>
          <w:p w14:paraId="60D92B9A">
            <w:pPr>
              <w:widowControl/>
              <w:spacing w:line="360" w:lineRule="auto"/>
              <w:jc w:val="center"/>
              <w:textAlignment w:val="center"/>
              <w:rPr>
                <w:b/>
                <w:bCs/>
                <w:sz w:val="24"/>
                <w:szCs w:val="24"/>
                <w:highlight w:val="none"/>
                <w:lang w:val="en-US"/>
              </w:rPr>
            </w:pPr>
            <w:r>
              <w:rPr>
                <w:rFonts w:hint="eastAsia"/>
                <w:b/>
                <w:bCs/>
                <w:sz w:val="24"/>
                <w:szCs w:val="24"/>
                <w:highlight w:val="none"/>
                <w:lang w:val="en-US"/>
              </w:rPr>
              <w:t>5</w:t>
            </w:r>
          </w:p>
        </w:tc>
      </w:tr>
      <w:tr w14:paraId="1CBA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5" w:hRule="atLeast"/>
          <w:jc w:val="center"/>
        </w:trPr>
        <w:tc>
          <w:tcPr>
            <w:tcW w:w="651" w:type="dxa"/>
            <w:tcBorders>
              <w:left w:val="single" w:color="auto" w:sz="4" w:space="0"/>
              <w:right w:val="single" w:color="auto" w:sz="4" w:space="0"/>
            </w:tcBorders>
            <w:noWrap/>
            <w:vAlign w:val="center"/>
          </w:tcPr>
          <w:p w14:paraId="06A7533A">
            <w:pPr>
              <w:widowControl/>
              <w:spacing w:line="360" w:lineRule="auto"/>
              <w:jc w:val="center"/>
              <w:textAlignment w:val="center"/>
              <w:rPr>
                <w:b/>
                <w:bCs/>
                <w:sz w:val="24"/>
                <w:szCs w:val="24"/>
                <w:highlight w:val="none"/>
                <w:lang w:val="en-US"/>
              </w:rPr>
            </w:pPr>
            <w:r>
              <w:rPr>
                <w:rFonts w:hint="eastAsia"/>
                <w:b/>
                <w:bCs/>
                <w:sz w:val="24"/>
                <w:szCs w:val="24"/>
                <w:highlight w:val="none"/>
                <w:lang w:val="en-US"/>
              </w:rPr>
              <w:t>3.2</w:t>
            </w:r>
          </w:p>
        </w:tc>
        <w:tc>
          <w:tcPr>
            <w:tcW w:w="1362" w:type="dxa"/>
            <w:tcBorders>
              <w:left w:val="single" w:color="auto" w:sz="4" w:space="0"/>
              <w:right w:val="single" w:color="auto" w:sz="4" w:space="0"/>
            </w:tcBorders>
            <w:noWrap/>
            <w:vAlign w:val="center"/>
          </w:tcPr>
          <w:p w14:paraId="3BEFEADF">
            <w:pPr>
              <w:spacing w:line="360" w:lineRule="auto"/>
              <w:jc w:val="center"/>
              <w:rPr>
                <w:b/>
                <w:kern w:val="2"/>
                <w:sz w:val="24"/>
                <w:szCs w:val="24"/>
                <w:highlight w:val="none"/>
                <w:lang w:val="en-US"/>
              </w:rPr>
            </w:pPr>
            <w:r>
              <w:rPr>
                <w:rFonts w:hint="eastAsia"/>
                <w:b/>
                <w:kern w:val="2"/>
                <w:sz w:val="24"/>
                <w:szCs w:val="24"/>
                <w:highlight w:val="none"/>
                <w:lang w:val="en-US"/>
              </w:rPr>
              <w:t>日常巡检方案</w:t>
            </w:r>
          </w:p>
        </w:tc>
        <w:tc>
          <w:tcPr>
            <w:tcW w:w="69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C70D35">
            <w:pPr>
              <w:spacing w:line="360" w:lineRule="auto"/>
              <w:jc w:val="both"/>
              <w:rPr>
                <w:kern w:val="2"/>
                <w:sz w:val="24"/>
                <w:szCs w:val="24"/>
                <w:highlight w:val="none"/>
                <w:lang w:val="en-US"/>
              </w:rPr>
            </w:pPr>
            <w:r>
              <w:rPr>
                <w:kern w:val="2"/>
                <w:sz w:val="24"/>
                <w:szCs w:val="24"/>
                <w:highlight w:val="none"/>
                <w:lang w:val="en-US"/>
              </w:rPr>
              <w:t>根据本项目日常巡检要求及项目实际，制定有针对性的日常巡检方案。</w:t>
            </w:r>
          </w:p>
          <w:p w14:paraId="6FF6028D">
            <w:pPr>
              <w:spacing w:line="360" w:lineRule="auto"/>
              <w:jc w:val="both"/>
              <w:rPr>
                <w:kern w:val="2"/>
                <w:sz w:val="24"/>
                <w:szCs w:val="24"/>
                <w:highlight w:val="none"/>
                <w:lang w:val="en-US"/>
              </w:rPr>
            </w:pPr>
            <w:r>
              <w:rPr>
                <w:rFonts w:hint="eastAsia"/>
                <w:kern w:val="2"/>
                <w:sz w:val="24"/>
                <w:szCs w:val="24"/>
                <w:highlight w:val="none"/>
                <w:lang w:val="en-US"/>
              </w:rPr>
              <w:t>方案内容详细全面、科学合理、可行性强、优于项目需求</w:t>
            </w:r>
            <w:r>
              <w:rPr>
                <w:rFonts w:hint="eastAsia" w:hAnsi="宋体"/>
                <w:sz w:val="24"/>
                <w:szCs w:val="24"/>
                <w:highlight w:val="none"/>
              </w:rPr>
              <w:t>得</w:t>
            </w:r>
            <w:r>
              <w:rPr>
                <w:rFonts w:hint="eastAsia" w:hAnsi="宋体"/>
                <w:sz w:val="24"/>
                <w:szCs w:val="24"/>
                <w:highlight w:val="none"/>
                <w:lang w:val="en-US"/>
              </w:rPr>
              <w:t>5</w:t>
            </w:r>
            <w:r>
              <w:rPr>
                <w:rFonts w:hint="eastAsia" w:hAnsi="宋体"/>
                <w:sz w:val="24"/>
                <w:szCs w:val="24"/>
                <w:highlight w:val="none"/>
              </w:rPr>
              <w:t>分；</w:t>
            </w:r>
            <w:r>
              <w:rPr>
                <w:rFonts w:hint="eastAsia"/>
                <w:kern w:val="2"/>
                <w:sz w:val="24"/>
                <w:szCs w:val="24"/>
                <w:highlight w:val="none"/>
                <w:lang w:val="en-US"/>
              </w:rPr>
              <w:t>方案内容较全面、可行性较强、满足项目需求</w:t>
            </w:r>
            <w:r>
              <w:rPr>
                <w:rFonts w:hint="eastAsia" w:hAnsi="宋体"/>
                <w:sz w:val="24"/>
                <w:szCs w:val="24"/>
                <w:highlight w:val="none"/>
              </w:rPr>
              <w:t>得</w:t>
            </w:r>
            <w:r>
              <w:rPr>
                <w:rFonts w:hint="eastAsia" w:hAnsi="宋体"/>
                <w:sz w:val="24"/>
                <w:szCs w:val="24"/>
                <w:highlight w:val="none"/>
                <w:lang w:val="en-US"/>
              </w:rPr>
              <w:t>3</w:t>
            </w:r>
            <w:r>
              <w:rPr>
                <w:rFonts w:hint="eastAsia" w:hAnsi="宋体"/>
                <w:sz w:val="24"/>
                <w:szCs w:val="24"/>
                <w:highlight w:val="none"/>
              </w:rPr>
              <w:t>分；</w:t>
            </w:r>
            <w:r>
              <w:rPr>
                <w:rFonts w:hint="eastAsia"/>
                <w:kern w:val="2"/>
                <w:sz w:val="24"/>
                <w:szCs w:val="24"/>
                <w:highlight w:val="none"/>
                <w:lang w:val="en-US"/>
              </w:rPr>
              <w:t>方案内容不够全面但具备可行性、基本满足项目需求</w:t>
            </w:r>
            <w:r>
              <w:rPr>
                <w:rFonts w:hint="eastAsia" w:hAnsi="宋体"/>
                <w:sz w:val="24"/>
                <w:szCs w:val="24"/>
                <w:highlight w:val="none"/>
              </w:rPr>
              <w:t>得</w:t>
            </w:r>
            <w:r>
              <w:rPr>
                <w:rFonts w:hint="eastAsia" w:hAnsi="宋体"/>
                <w:sz w:val="24"/>
                <w:szCs w:val="24"/>
                <w:highlight w:val="none"/>
                <w:lang w:val="en-US"/>
              </w:rPr>
              <w:t>1</w:t>
            </w:r>
            <w:r>
              <w:rPr>
                <w:rFonts w:hint="eastAsia" w:hAnsi="宋体"/>
                <w:sz w:val="24"/>
                <w:szCs w:val="24"/>
                <w:highlight w:val="none"/>
              </w:rPr>
              <w:t>分；不符合项目需求或未提供的得0分。</w:t>
            </w:r>
          </w:p>
        </w:tc>
        <w:tc>
          <w:tcPr>
            <w:tcW w:w="704" w:type="dxa"/>
            <w:tcBorders>
              <w:top w:val="single" w:color="auto" w:sz="4" w:space="0"/>
              <w:left w:val="single" w:color="auto" w:sz="4" w:space="0"/>
              <w:bottom w:val="single" w:color="auto" w:sz="4" w:space="0"/>
              <w:right w:val="single" w:color="auto" w:sz="4" w:space="0"/>
            </w:tcBorders>
            <w:noWrap/>
            <w:vAlign w:val="center"/>
          </w:tcPr>
          <w:p w14:paraId="65462176">
            <w:pPr>
              <w:widowControl/>
              <w:spacing w:line="360" w:lineRule="auto"/>
              <w:jc w:val="center"/>
              <w:textAlignment w:val="center"/>
              <w:rPr>
                <w:b/>
                <w:bCs/>
                <w:sz w:val="24"/>
                <w:szCs w:val="24"/>
                <w:highlight w:val="none"/>
                <w:lang w:val="en-US"/>
              </w:rPr>
            </w:pPr>
            <w:r>
              <w:rPr>
                <w:rFonts w:hint="eastAsia"/>
                <w:b/>
                <w:bCs/>
                <w:sz w:val="24"/>
                <w:szCs w:val="24"/>
                <w:highlight w:val="none"/>
                <w:lang w:val="en-US"/>
              </w:rPr>
              <w:t>5</w:t>
            </w:r>
          </w:p>
        </w:tc>
      </w:tr>
      <w:tr w14:paraId="69126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jc w:val="center"/>
        </w:trPr>
        <w:tc>
          <w:tcPr>
            <w:tcW w:w="651" w:type="dxa"/>
            <w:tcBorders>
              <w:left w:val="single" w:color="auto" w:sz="4" w:space="0"/>
              <w:right w:val="single" w:color="auto" w:sz="4" w:space="0"/>
            </w:tcBorders>
            <w:noWrap/>
            <w:vAlign w:val="center"/>
          </w:tcPr>
          <w:p w14:paraId="3399745B">
            <w:pPr>
              <w:widowControl/>
              <w:spacing w:line="360" w:lineRule="auto"/>
              <w:jc w:val="center"/>
              <w:textAlignment w:val="center"/>
              <w:rPr>
                <w:b/>
                <w:bCs/>
                <w:sz w:val="24"/>
                <w:szCs w:val="24"/>
                <w:highlight w:val="none"/>
                <w:lang w:val="en-US"/>
              </w:rPr>
            </w:pPr>
            <w:r>
              <w:rPr>
                <w:rFonts w:hint="eastAsia"/>
                <w:b/>
                <w:bCs/>
                <w:sz w:val="24"/>
                <w:szCs w:val="24"/>
                <w:highlight w:val="none"/>
                <w:lang w:val="en-US"/>
              </w:rPr>
              <w:t>3.3</w:t>
            </w:r>
          </w:p>
        </w:tc>
        <w:tc>
          <w:tcPr>
            <w:tcW w:w="1362" w:type="dxa"/>
            <w:tcBorders>
              <w:left w:val="single" w:color="auto" w:sz="4" w:space="0"/>
              <w:right w:val="single" w:color="auto" w:sz="4" w:space="0"/>
            </w:tcBorders>
            <w:noWrap/>
            <w:vAlign w:val="center"/>
          </w:tcPr>
          <w:p w14:paraId="20EDC134">
            <w:pPr>
              <w:spacing w:line="360" w:lineRule="auto"/>
              <w:jc w:val="center"/>
              <w:rPr>
                <w:b/>
                <w:kern w:val="2"/>
                <w:sz w:val="24"/>
                <w:szCs w:val="24"/>
                <w:highlight w:val="none"/>
                <w:lang w:val="en-US"/>
              </w:rPr>
            </w:pPr>
            <w:r>
              <w:rPr>
                <w:rFonts w:hint="eastAsia"/>
                <w:b/>
                <w:kern w:val="2"/>
                <w:sz w:val="24"/>
                <w:szCs w:val="24"/>
                <w:highlight w:val="none"/>
                <w:lang w:val="en-US"/>
              </w:rPr>
              <w:t>设备故障处理方案</w:t>
            </w:r>
          </w:p>
        </w:tc>
        <w:tc>
          <w:tcPr>
            <w:tcW w:w="69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170824">
            <w:pPr>
              <w:spacing w:line="360" w:lineRule="auto"/>
              <w:jc w:val="both"/>
              <w:rPr>
                <w:kern w:val="2"/>
                <w:sz w:val="24"/>
                <w:szCs w:val="24"/>
                <w:highlight w:val="none"/>
                <w:lang w:val="en-US"/>
              </w:rPr>
            </w:pPr>
            <w:r>
              <w:rPr>
                <w:rFonts w:hint="eastAsia"/>
                <w:kern w:val="2"/>
                <w:sz w:val="24"/>
                <w:szCs w:val="24"/>
                <w:highlight w:val="none"/>
                <w:lang w:val="en-US"/>
              </w:rPr>
              <w:t>根据本项目设备故障处理的要求及项目实际，制定有针对性的设备故障处理方案。</w:t>
            </w:r>
          </w:p>
          <w:p w14:paraId="1BCE1B6F">
            <w:pPr>
              <w:spacing w:line="360" w:lineRule="auto"/>
              <w:jc w:val="both"/>
              <w:rPr>
                <w:kern w:val="2"/>
                <w:sz w:val="24"/>
                <w:szCs w:val="24"/>
                <w:highlight w:val="none"/>
                <w:lang w:val="en-US"/>
              </w:rPr>
            </w:pPr>
            <w:r>
              <w:rPr>
                <w:rFonts w:hint="eastAsia"/>
                <w:kern w:val="2"/>
                <w:sz w:val="24"/>
                <w:szCs w:val="24"/>
                <w:highlight w:val="none"/>
                <w:lang w:val="en-US"/>
              </w:rPr>
              <w:t>方案内容详细全面、科学合理、可行性强、优于项目需求</w:t>
            </w:r>
            <w:r>
              <w:rPr>
                <w:rFonts w:hint="eastAsia" w:hAnsi="宋体"/>
                <w:sz w:val="24"/>
                <w:szCs w:val="24"/>
                <w:highlight w:val="none"/>
              </w:rPr>
              <w:t>得</w:t>
            </w:r>
            <w:r>
              <w:rPr>
                <w:rFonts w:hint="eastAsia" w:hAnsi="宋体"/>
                <w:sz w:val="24"/>
                <w:szCs w:val="24"/>
                <w:highlight w:val="none"/>
                <w:lang w:val="en-US"/>
              </w:rPr>
              <w:t>5</w:t>
            </w:r>
            <w:r>
              <w:rPr>
                <w:rFonts w:hint="eastAsia" w:hAnsi="宋体"/>
                <w:sz w:val="24"/>
                <w:szCs w:val="24"/>
                <w:highlight w:val="none"/>
              </w:rPr>
              <w:t>分；</w:t>
            </w:r>
            <w:r>
              <w:rPr>
                <w:rFonts w:hint="eastAsia"/>
                <w:kern w:val="2"/>
                <w:sz w:val="24"/>
                <w:szCs w:val="24"/>
                <w:highlight w:val="none"/>
                <w:lang w:val="en-US"/>
              </w:rPr>
              <w:t>方案内容较全面、可行性较强、满足项目需求</w:t>
            </w:r>
            <w:r>
              <w:rPr>
                <w:rFonts w:hint="eastAsia" w:hAnsi="宋体"/>
                <w:sz w:val="24"/>
                <w:szCs w:val="24"/>
                <w:highlight w:val="none"/>
              </w:rPr>
              <w:t>得</w:t>
            </w:r>
            <w:r>
              <w:rPr>
                <w:rFonts w:hint="eastAsia" w:hAnsi="宋体"/>
                <w:sz w:val="24"/>
                <w:szCs w:val="24"/>
                <w:highlight w:val="none"/>
                <w:lang w:val="en-US"/>
              </w:rPr>
              <w:t>3</w:t>
            </w:r>
            <w:r>
              <w:rPr>
                <w:rFonts w:hint="eastAsia" w:hAnsi="宋体"/>
                <w:sz w:val="24"/>
                <w:szCs w:val="24"/>
                <w:highlight w:val="none"/>
              </w:rPr>
              <w:t>分；</w:t>
            </w:r>
            <w:r>
              <w:rPr>
                <w:rFonts w:hint="eastAsia"/>
                <w:kern w:val="2"/>
                <w:sz w:val="24"/>
                <w:szCs w:val="24"/>
                <w:highlight w:val="none"/>
                <w:lang w:val="en-US"/>
              </w:rPr>
              <w:t>方案内容不够全面但具备可行性、基本满足项目需求</w:t>
            </w:r>
            <w:r>
              <w:rPr>
                <w:rFonts w:hint="eastAsia" w:hAnsi="宋体"/>
                <w:sz w:val="24"/>
                <w:szCs w:val="24"/>
                <w:highlight w:val="none"/>
              </w:rPr>
              <w:t>得</w:t>
            </w:r>
            <w:r>
              <w:rPr>
                <w:rFonts w:hint="eastAsia" w:hAnsi="宋体"/>
                <w:sz w:val="24"/>
                <w:szCs w:val="24"/>
                <w:highlight w:val="none"/>
                <w:lang w:val="en-US"/>
              </w:rPr>
              <w:t>1</w:t>
            </w:r>
            <w:r>
              <w:rPr>
                <w:rFonts w:hint="eastAsia" w:hAnsi="宋体"/>
                <w:sz w:val="24"/>
                <w:szCs w:val="24"/>
                <w:highlight w:val="none"/>
              </w:rPr>
              <w:t>分；不符合项目需求或未提供的得0分。</w:t>
            </w:r>
          </w:p>
        </w:tc>
        <w:tc>
          <w:tcPr>
            <w:tcW w:w="704" w:type="dxa"/>
            <w:tcBorders>
              <w:top w:val="single" w:color="auto" w:sz="4" w:space="0"/>
              <w:left w:val="single" w:color="auto" w:sz="4" w:space="0"/>
              <w:bottom w:val="single" w:color="auto" w:sz="4" w:space="0"/>
              <w:right w:val="single" w:color="auto" w:sz="4" w:space="0"/>
            </w:tcBorders>
            <w:noWrap/>
            <w:vAlign w:val="center"/>
          </w:tcPr>
          <w:p w14:paraId="3DFDBA3B">
            <w:pPr>
              <w:widowControl/>
              <w:spacing w:line="360" w:lineRule="auto"/>
              <w:jc w:val="center"/>
              <w:textAlignment w:val="center"/>
              <w:rPr>
                <w:b/>
                <w:bCs/>
                <w:sz w:val="24"/>
                <w:szCs w:val="24"/>
                <w:highlight w:val="none"/>
                <w:lang w:val="en-US"/>
              </w:rPr>
            </w:pPr>
            <w:r>
              <w:rPr>
                <w:rFonts w:hint="eastAsia"/>
                <w:b/>
                <w:bCs/>
                <w:sz w:val="24"/>
                <w:szCs w:val="24"/>
                <w:highlight w:val="none"/>
                <w:lang w:val="en-US"/>
              </w:rPr>
              <w:t>5</w:t>
            </w:r>
          </w:p>
        </w:tc>
      </w:tr>
      <w:tr w14:paraId="7359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jc w:val="center"/>
        </w:trPr>
        <w:tc>
          <w:tcPr>
            <w:tcW w:w="651" w:type="dxa"/>
            <w:tcBorders>
              <w:left w:val="single" w:color="auto" w:sz="4" w:space="0"/>
              <w:bottom w:val="single" w:color="auto" w:sz="4" w:space="0"/>
              <w:right w:val="single" w:color="auto" w:sz="4" w:space="0"/>
            </w:tcBorders>
            <w:noWrap/>
            <w:vAlign w:val="center"/>
          </w:tcPr>
          <w:p w14:paraId="26DE23CD">
            <w:pPr>
              <w:widowControl/>
              <w:spacing w:line="360" w:lineRule="auto"/>
              <w:jc w:val="center"/>
              <w:textAlignment w:val="center"/>
              <w:rPr>
                <w:b/>
                <w:bCs/>
                <w:sz w:val="24"/>
                <w:szCs w:val="24"/>
                <w:highlight w:val="none"/>
                <w:lang w:val="en-US"/>
              </w:rPr>
            </w:pPr>
            <w:r>
              <w:rPr>
                <w:rFonts w:hint="eastAsia"/>
                <w:b/>
                <w:bCs/>
                <w:sz w:val="24"/>
                <w:szCs w:val="24"/>
                <w:highlight w:val="none"/>
                <w:lang w:val="en-US"/>
              </w:rPr>
              <w:t>3.4</w:t>
            </w:r>
          </w:p>
        </w:tc>
        <w:tc>
          <w:tcPr>
            <w:tcW w:w="1362" w:type="dxa"/>
            <w:tcBorders>
              <w:left w:val="single" w:color="auto" w:sz="4" w:space="0"/>
              <w:bottom w:val="single" w:color="auto" w:sz="4" w:space="0"/>
              <w:right w:val="single" w:color="auto" w:sz="4" w:space="0"/>
            </w:tcBorders>
            <w:noWrap/>
            <w:vAlign w:val="center"/>
          </w:tcPr>
          <w:p w14:paraId="2F8FB664">
            <w:pPr>
              <w:spacing w:line="360" w:lineRule="auto"/>
              <w:jc w:val="center"/>
              <w:rPr>
                <w:b/>
                <w:kern w:val="2"/>
                <w:sz w:val="24"/>
                <w:szCs w:val="24"/>
                <w:highlight w:val="none"/>
                <w:lang w:val="en-US"/>
              </w:rPr>
            </w:pPr>
            <w:r>
              <w:rPr>
                <w:rFonts w:hint="eastAsia"/>
                <w:b/>
                <w:kern w:val="2"/>
                <w:sz w:val="24"/>
                <w:szCs w:val="24"/>
                <w:highlight w:val="none"/>
                <w:lang w:val="en-US"/>
              </w:rPr>
              <w:t>重大任务保障支撑方案</w:t>
            </w:r>
          </w:p>
        </w:tc>
        <w:tc>
          <w:tcPr>
            <w:tcW w:w="69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E39037">
            <w:pPr>
              <w:spacing w:line="360" w:lineRule="auto"/>
              <w:jc w:val="both"/>
              <w:rPr>
                <w:kern w:val="2"/>
                <w:sz w:val="24"/>
                <w:szCs w:val="24"/>
                <w:highlight w:val="none"/>
                <w:lang w:val="en-US"/>
              </w:rPr>
            </w:pPr>
            <w:r>
              <w:rPr>
                <w:rFonts w:hint="eastAsia"/>
                <w:kern w:val="2"/>
                <w:sz w:val="24"/>
                <w:szCs w:val="24"/>
                <w:highlight w:val="none"/>
                <w:lang w:val="en-US"/>
              </w:rPr>
              <w:t>根据本项目重大任务保障支撑的要求及项目实际，制定有针对性的保障方案。</w:t>
            </w:r>
          </w:p>
          <w:p w14:paraId="5C39E480">
            <w:pPr>
              <w:spacing w:line="360" w:lineRule="auto"/>
              <w:jc w:val="both"/>
              <w:rPr>
                <w:bCs/>
                <w:sz w:val="24"/>
                <w:szCs w:val="24"/>
                <w:highlight w:val="none"/>
                <w:lang w:val="en-US"/>
              </w:rPr>
            </w:pPr>
            <w:r>
              <w:rPr>
                <w:rFonts w:hint="eastAsia"/>
                <w:kern w:val="2"/>
                <w:sz w:val="24"/>
                <w:szCs w:val="24"/>
                <w:highlight w:val="none"/>
                <w:lang w:val="en-US"/>
              </w:rPr>
              <w:t>方案内容详细全面、可行性强、优于项目需求</w:t>
            </w:r>
            <w:r>
              <w:rPr>
                <w:rFonts w:hint="eastAsia" w:hAnsi="宋体"/>
                <w:sz w:val="24"/>
                <w:szCs w:val="24"/>
                <w:highlight w:val="none"/>
              </w:rPr>
              <w:t>得</w:t>
            </w:r>
            <w:r>
              <w:rPr>
                <w:rFonts w:hint="eastAsia" w:hAnsi="宋体"/>
                <w:sz w:val="24"/>
                <w:szCs w:val="24"/>
                <w:highlight w:val="none"/>
                <w:lang w:val="en-US"/>
              </w:rPr>
              <w:t>5</w:t>
            </w:r>
            <w:r>
              <w:rPr>
                <w:rFonts w:hint="eastAsia" w:hAnsi="宋体"/>
                <w:sz w:val="24"/>
                <w:szCs w:val="24"/>
                <w:highlight w:val="none"/>
              </w:rPr>
              <w:t>分；</w:t>
            </w:r>
            <w:r>
              <w:rPr>
                <w:rFonts w:hint="eastAsia"/>
                <w:kern w:val="2"/>
                <w:sz w:val="24"/>
                <w:szCs w:val="24"/>
                <w:highlight w:val="none"/>
                <w:lang w:val="en-US"/>
              </w:rPr>
              <w:t>方案内容较全面、可行性较强、满足项目需求</w:t>
            </w:r>
            <w:r>
              <w:rPr>
                <w:rFonts w:hint="eastAsia" w:hAnsi="宋体"/>
                <w:sz w:val="24"/>
                <w:szCs w:val="24"/>
                <w:highlight w:val="none"/>
              </w:rPr>
              <w:t>得</w:t>
            </w:r>
            <w:r>
              <w:rPr>
                <w:rFonts w:hint="eastAsia" w:hAnsi="宋体"/>
                <w:sz w:val="24"/>
                <w:szCs w:val="24"/>
                <w:highlight w:val="none"/>
                <w:lang w:val="en-US"/>
              </w:rPr>
              <w:t>3</w:t>
            </w:r>
            <w:r>
              <w:rPr>
                <w:rFonts w:hint="eastAsia" w:hAnsi="宋体"/>
                <w:sz w:val="24"/>
                <w:szCs w:val="24"/>
                <w:highlight w:val="none"/>
              </w:rPr>
              <w:t>分；</w:t>
            </w:r>
            <w:r>
              <w:rPr>
                <w:rFonts w:hint="eastAsia"/>
                <w:kern w:val="2"/>
                <w:sz w:val="24"/>
                <w:szCs w:val="24"/>
                <w:highlight w:val="none"/>
                <w:lang w:val="en-US"/>
              </w:rPr>
              <w:t>方案内容不够全面但具备可行性、基本满足项目需求</w:t>
            </w:r>
            <w:r>
              <w:rPr>
                <w:rFonts w:hint="eastAsia" w:hAnsi="宋体"/>
                <w:sz w:val="24"/>
                <w:szCs w:val="24"/>
                <w:highlight w:val="none"/>
              </w:rPr>
              <w:t>得</w:t>
            </w:r>
            <w:r>
              <w:rPr>
                <w:rFonts w:hint="eastAsia" w:hAnsi="宋体"/>
                <w:sz w:val="24"/>
                <w:szCs w:val="24"/>
                <w:highlight w:val="none"/>
                <w:lang w:val="en-US"/>
              </w:rPr>
              <w:t>1</w:t>
            </w:r>
            <w:r>
              <w:rPr>
                <w:rFonts w:hint="eastAsia" w:hAnsi="宋体"/>
                <w:sz w:val="24"/>
                <w:szCs w:val="24"/>
                <w:highlight w:val="none"/>
              </w:rPr>
              <w:t>分；不符合项目需求或未提供的得0分。</w:t>
            </w:r>
          </w:p>
        </w:tc>
        <w:tc>
          <w:tcPr>
            <w:tcW w:w="704" w:type="dxa"/>
            <w:tcBorders>
              <w:top w:val="single" w:color="auto" w:sz="4" w:space="0"/>
              <w:left w:val="single" w:color="auto" w:sz="4" w:space="0"/>
              <w:bottom w:val="single" w:color="auto" w:sz="4" w:space="0"/>
              <w:right w:val="single" w:color="auto" w:sz="4" w:space="0"/>
            </w:tcBorders>
            <w:noWrap/>
            <w:vAlign w:val="center"/>
          </w:tcPr>
          <w:p w14:paraId="6998C8D1">
            <w:pPr>
              <w:widowControl/>
              <w:spacing w:line="360" w:lineRule="auto"/>
              <w:jc w:val="center"/>
              <w:textAlignment w:val="center"/>
              <w:rPr>
                <w:b/>
                <w:bCs/>
                <w:sz w:val="24"/>
                <w:szCs w:val="24"/>
                <w:highlight w:val="none"/>
                <w:lang w:val="en-US"/>
              </w:rPr>
            </w:pPr>
            <w:r>
              <w:rPr>
                <w:rFonts w:hint="eastAsia"/>
                <w:b/>
                <w:bCs/>
                <w:sz w:val="24"/>
                <w:szCs w:val="24"/>
                <w:highlight w:val="none"/>
                <w:lang w:val="en-US"/>
              </w:rPr>
              <w:t>5</w:t>
            </w:r>
          </w:p>
        </w:tc>
      </w:tr>
      <w:tr w14:paraId="5E380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2D74E959">
            <w:pPr>
              <w:widowControl/>
              <w:spacing w:line="360" w:lineRule="auto"/>
              <w:jc w:val="center"/>
              <w:textAlignment w:val="center"/>
              <w:rPr>
                <w:b/>
                <w:bCs/>
                <w:sz w:val="24"/>
                <w:szCs w:val="24"/>
                <w:highlight w:val="none"/>
                <w:lang w:val="en-US"/>
              </w:rPr>
            </w:pPr>
            <w:r>
              <w:rPr>
                <w:rFonts w:hint="eastAsia"/>
                <w:b/>
                <w:bCs/>
                <w:sz w:val="24"/>
                <w:szCs w:val="24"/>
                <w:highlight w:val="none"/>
                <w:lang w:val="en-US"/>
              </w:rPr>
              <w:t>3.5</w:t>
            </w:r>
          </w:p>
        </w:tc>
        <w:tc>
          <w:tcPr>
            <w:tcW w:w="1362" w:type="dxa"/>
            <w:tcBorders>
              <w:top w:val="single" w:color="auto" w:sz="4" w:space="0"/>
              <w:left w:val="single" w:color="auto" w:sz="4" w:space="0"/>
              <w:bottom w:val="single" w:color="auto" w:sz="4" w:space="0"/>
              <w:right w:val="single" w:color="auto" w:sz="4" w:space="0"/>
            </w:tcBorders>
            <w:noWrap/>
            <w:vAlign w:val="center"/>
          </w:tcPr>
          <w:p w14:paraId="38BAE897">
            <w:pPr>
              <w:spacing w:line="360" w:lineRule="auto"/>
              <w:jc w:val="center"/>
              <w:rPr>
                <w:b/>
                <w:kern w:val="2"/>
                <w:sz w:val="24"/>
                <w:szCs w:val="24"/>
                <w:highlight w:val="none"/>
                <w:lang w:val="en-US"/>
              </w:rPr>
            </w:pPr>
            <w:r>
              <w:rPr>
                <w:rFonts w:hint="eastAsia" w:hAnsi="宋体"/>
                <w:b/>
                <w:sz w:val="24"/>
                <w:highlight w:val="none"/>
              </w:rPr>
              <w:t>技术支撑方案</w:t>
            </w:r>
          </w:p>
        </w:tc>
        <w:tc>
          <w:tcPr>
            <w:tcW w:w="69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C9A8E8">
            <w:pPr>
              <w:widowControl/>
              <w:spacing w:line="360" w:lineRule="auto"/>
              <w:textAlignment w:val="center"/>
              <w:rPr>
                <w:kern w:val="2"/>
                <w:sz w:val="24"/>
                <w:szCs w:val="24"/>
                <w:highlight w:val="none"/>
                <w:lang w:val="en-US"/>
              </w:rPr>
            </w:pPr>
            <w:r>
              <w:rPr>
                <w:rFonts w:hint="eastAsia"/>
                <w:kern w:val="2"/>
                <w:sz w:val="24"/>
                <w:szCs w:val="24"/>
                <w:highlight w:val="none"/>
                <w:lang w:val="en-US"/>
              </w:rPr>
              <w:t>根据本项目技术支撑的要求及项目实际，制定有针对性的技术支撑方案。</w:t>
            </w:r>
          </w:p>
          <w:p w14:paraId="5FC636AE">
            <w:pPr>
              <w:widowControl/>
              <w:spacing w:line="360" w:lineRule="auto"/>
              <w:textAlignment w:val="center"/>
              <w:rPr>
                <w:kern w:val="2"/>
                <w:sz w:val="24"/>
                <w:szCs w:val="24"/>
                <w:highlight w:val="none"/>
                <w:lang w:val="en-US"/>
              </w:rPr>
            </w:pPr>
            <w:r>
              <w:rPr>
                <w:rFonts w:hint="eastAsia"/>
                <w:kern w:val="2"/>
                <w:sz w:val="24"/>
                <w:szCs w:val="24"/>
                <w:highlight w:val="none"/>
                <w:lang w:val="en-US"/>
              </w:rPr>
              <w:t>方案内容详细全面、可行性强、优于项目需求</w:t>
            </w:r>
            <w:r>
              <w:rPr>
                <w:rFonts w:hint="eastAsia" w:hAnsi="宋体"/>
                <w:sz w:val="24"/>
                <w:szCs w:val="24"/>
                <w:highlight w:val="none"/>
              </w:rPr>
              <w:t>得</w:t>
            </w:r>
            <w:r>
              <w:rPr>
                <w:rFonts w:hint="eastAsia" w:hAnsi="宋体"/>
                <w:sz w:val="24"/>
                <w:szCs w:val="24"/>
                <w:highlight w:val="none"/>
                <w:lang w:val="en-US"/>
              </w:rPr>
              <w:t>5</w:t>
            </w:r>
            <w:r>
              <w:rPr>
                <w:rFonts w:hint="eastAsia" w:hAnsi="宋体"/>
                <w:sz w:val="24"/>
                <w:szCs w:val="24"/>
                <w:highlight w:val="none"/>
              </w:rPr>
              <w:t>分；</w:t>
            </w:r>
            <w:r>
              <w:rPr>
                <w:rFonts w:hint="eastAsia"/>
                <w:kern w:val="2"/>
                <w:sz w:val="24"/>
                <w:szCs w:val="24"/>
                <w:highlight w:val="none"/>
                <w:lang w:val="en-US"/>
              </w:rPr>
              <w:t>方案内容较全面、可行性较强、满足项目需求</w:t>
            </w:r>
            <w:r>
              <w:rPr>
                <w:rFonts w:hint="eastAsia" w:hAnsi="宋体"/>
                <w:sz w:val="24"/>
                <w:szCs w:val="24"/>
                <w:highlight w:val="none"/>
              </w:rPr>
              <w:t>得</w:t>
            </w:r>
            <w:r>
              <w:rPr>
                <w:rFonts w:hint="eastAsia" w:hAnsi="宋体"/>
                <w:sz w:val="24"/>
                <w:szCs w:val="24"/>
                <w:highlight w:val="none"/>
                <w:lang w:val="en-US"/>
              </w:rPr>
              <w:t>3</w:t>
            </w:r>
            <w:r>
              <w:rPr>
                <w:rFonts w:hint="eastAsia" w:hAnsi="宋体"/>
                <w:sz w:val="24"/>
                <w:szCs w:val="24"/>
                <w:highlight w:val="none"/>
              </w:rPr>
              <w:t>分；</w:t>
            </w:r>
            <w:r>
              <w:rPr>
                <w:rFonts w:hint="eastAsia"/>
                <w:kern w:val="2"/>
                <w:sz w:val="24"/>
                <w:szCs w:val="24"/>
                <w:highlight w:val="none"/>
                <w:lang w:val="en-US"/>
              </w:rPr>
              <w:t>方案内容不够全面但具备可行性、基本满足项目需求</w:t>
            </w:r>
            <w:r>
              <w:rPr>
                <w:rFonts w:hint="eastAsia" w:hAnsi="宋体"/>
                <w:sz w:val="24"/>
                <w:szCs w:val="24"/>
                <w:highlight w:val="none"/>
              </w:rPr>
              <w:t>得</w:t>
            </w:r>
            <w:r>
              <w:rPr>
                <w:rFonts w:hint="eastAsia" w:hAnsi="宋体"/>
                <w:sz w:val="24"/>
                <w:szCs w:val="24"/>
                <w:highlight w:val="none"/>
                <w:lang w:val="en-US"/>
              </w:rPr>
              <w:t>1</w:t>
            </w:r>
            <w:r>
              <w:rPr>
                <w:rFonts w:hint="eastAsia" w:hAnsi="宋体"/>
                <w:sz w:val="24"/>
                <w:szCs w:val="24"/>
                <w:highlight w:val="none"/>
              </w:rPr>
              <w:t>分；不符合项目需求或未提供的得0分。</w:t>
            </w:r>
          </w:p>
        </w:tc>
        <w:tc>
          <w:tcPr>
            <w:tcW w:w="704" w:type="dxa"/>
            <w:tcBorders>
              <w:top w:val="single" w:color="auto" w:sz="4" w:space="0"/>
              <w:left w:val="single" w:color="auto" w:sz="4" w:space="0"/>
              <w:bottom w:val="single" w:color="auto" w:sz="4" w:space="0"/>
              <w:right w:val="single" w:color="auto" w:sz="4" w:space="0"/>
            </w:tcBorders>
            <w:noWrap/>
            <w:vAlign w:val="center"/>
          </w:tcPr>
          <w:p w14:paraId="08EFEB1E">
            <w:pPr>
              <w:widowControl/>
              <w:spacing w:line="360" w:lineRule="auto"/>
              <w:jc w:val="center"/>
              <w:textAlignment w:val="center"/>
              <w:rPr>
                <w:b/>
                <w:bCs/>
                <w:sz w:val="24"/>
                <w:szCs w:val="24"/>
                <w:highlight w:val="none"/>
                <w:lang w:val="en-US"/>
              </w:rPr>
            </w:pPr>
            <w:r>
              <w:rPr>
                <w:rFonts w:hint="eastAsia"/>
                <w:b/>
                <w:bCs/>
                <w:sz w:val="24"/>
                <w:szCs w:val="24"/>
                <w:highlight w:val="none"/>
                <w:lang w:val="en-US"/>
              </w:rPr>
              <w:t>5</w:t>
            </w:r>
          </w:p>
        </w:tc>
      </w:tr>
      <w:tr w14:paraId="54C8F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01AFBEBC">
            <w:pPr>
              <w:widowControl/>
              <w:spacing w:line="360" w:lineRule="auto"/>
              <w:jc w:val="center"/>
              <w:textAlignment w:val="center"/>
              <w:rPr>
                <w:b/>
                <w:bCs/>
                <w:sz w:val="24"/>
                <w:szCs w:val="24"/>
                <w:highlight w:val="none"/>
                <w:lang w:val="en-US"/>
              </w:rPr>
            </w:pPr>
            <w:r>
              <w:rPr>
                <w:rFonts w:hint="eastAsia"/>
                <w:b/>
                <w:bCs/>
                <w:sz w:val="24"/>
                <w:szCs w:val="24"/>
                <w:highlight w:val="none"/>
                <w:lang w:val="en-US"/>
              </w:rPr>
              <w:t>3.6</w:t>
            </w:r>
          </w:p>
        </w:tc>
        <w:tc>
          <w:tcPr>
            <w:tcW w:w="1362" w:type="dxa"/>
            <w:tcBorders>
              <w:top w:val="single" w:color="auto" w:sz="4" w:space="0"/>
              <w:left w:val="single" w:color="auto" w:sz="4" w:space="0"/>
              <w:bottom w:val="single" w:color="auto" w:sz="4" w:space="0"/>
              <w:right w:val="single" w:color="auto" w:sz="4" w:space="0"/>
            </w:tcBorders>
            <w:noWrap/>
            <w:vAlign w:val="center"/>
          </w:tcPr>
          <w:p w14:paraId="0BFB8DC4">
            <w:pPr>
              <w:spacing w:line="360" w:lineRule="auto"/>
              <w:jc w:val="center"/>
              <w:rPr>
                <w:rFonts w:hAnsi="宋体"/>
                <w:b/>
                <w:sz w:val="24"/>
                <w:highlight w:val="none"/>
              </w:rPr>
            </w:pPr>
            <w:r>
              <w:rPr>
                <w:rFonts w:hint="eastAsia" w:hAnsi="宋体"/>
                <w:b/>
                <w:sz w:val="24"/>
                <w:highlight w:val="none"/>
              </w:rPr>
              <w:t>驻场值守人员管理方案</w:t>
            </w:r>
          </w:p>
        </w:tc>
        <w:tc>
          <w:tcPr>
            <w:tcW w:w="69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014000">
            <w:pPr>
              <w:widowControl/>
              <w:spacing w:line="360" w:lineRule="auto"/>
              <w:textAlignment w:val="center"/>
              <w:rPr>
                <w:kern w:val="2"/>
                <w:sz w:val="24"/>
                <w:szCs w:val="24"/>
                <w:highlight w:val="none"/>
                <w:lang w:val="en-US"/>
              </w:rPr>
            </w:pPr>
            <w:r>
              <w:rPr>
                <w:rFonts w:hint="eastAsia"/>
                <w:kern w:val="2"/>
                <w:sz w:val="24"/>
                <w:szCs w:val="24"/>
                <w:highlight w:val="none"/>
                <w:lang w:val="en-US"/>
              </w:rPr>
              <w:t>根据本项目驻场值守人员管理的要求及项目实际，制定有针对性</w:t>
            </w:r>
          </w:p>
          <w:p w14:paraId="3D126A4C">
            <w:pPr>
              <w:widowControl/>
              <w:spacing w:line="360" w:lineRule="auto"/>
              <w:textAlignment w:val="center"/>
              <w:rPr>
                <w:kern w:val="2"/>
                <w:sz w:val="24"/>
                <w:szCs w:val="24"/>
                <w:highlight w:val="none"/>
                <w:lang w:val="en-US"/>
              </w:rPr>
            </w:pPr>
            <w:r>
              <w:rPr>
                <w:rFonts w:hint="eastAsia"/>
                <w:kern w:val="2"/>
                <w:sz w:val="24"/>
                <w:szCs w:val="24"/>
                <w:highlight w:val="none"/>
                <w:lang w:val="en-US"/>
              </w:rPr>
              <w:t>的驻场值守人员管理方案。</w:t>
            </w:r>
          </w:p>
          <w:p w14:paraId="6E832478">
            <w:pPr>
              <w:widowControl/>
              <w:spacing w:line="360" w:lineRule="auto"/>
              <w:textAlignment w:val="center"/>
              <w:rPr>
                <w:kern w:val="2"/>
                <w:sz w:val="24"/>
                <w:szCs w:val="24"/>
                <w:highlight w:val="none"/>
                <w:lang w:val="en-US"/>
              </w:rPr>
            </w:pPr>
            <w:r>
              <w:rPr>
                <w:rFonts w:hint="eastAsia"/>
                <w:kern w:val="2"/>
                <w:sz w:val="24"/>
                <w:szCs w:val="24"/>
                <w:highlight w:val="none"/>
                <w:lang w:val="en-US"/>
              </w:rPr>
              <w:t>方案内容详细全面、科学合理、优于项目需求</w:t>
            </w:r>
            <w:r>
              <w:rPr>
                <w:rFonts w:hint="eastAsia" w:hAnsi="宋体"/>
                <w:sz w:val="24"/>
                <w:szCs w:val="24"/>
                <w:highlight w:val="none"/>
              </w:rPr>
              <w:t>得</w:t>
            </w:r>
            <w:r>
              <w:rPr>
                <w:rFonts w:hint="eastAsia" w:hAnsi="宋体"/>
                <w:sz w:val="24"/>
                <w:szCs w:val="24"/>
                <w:highlight w:val="none"/>
                <w:lang w:val="en-US"/>
              </w:rPr>
              <w:t>5</w:t>
            </w:r>
            <w:r>
              <w:rPr>
                <w:rFonts w:hint="eastAsia" w:hAnsi="宋体"/>
                <w:sz w:val="24"/>
                <w:szCs w:val="24"/>
                <w:highlight w:val="none"/>
              </w:rPr>
              <w:t>分；</w:t>
            </w:r>
            <w:r>
              <w:rPr>
                <w:rFonts w:hint="eastAsia"/>
                <w:kern w:val="2"/>
                <w:sz w:val="24"/>
                <w:szCs w:val="24"/>
                <w:highlight w:val="none"/>
                <w:lang w:val="en-US"/>
              </w:rPr>
              <w:t>方案内容较全面、较科学、满足项目需求</w:t>
            </w:r>
            <w:r>
              <w:rPr>
                <w:rFonts w:hint="eastAsia" w:hAnsi="宋体"/>
                <w:sz w:val="24"/>
                <w:szCs w:val="24"/>
                <w:highlight w:val="none"/>
              </w:rPr>
              <w:t>得</w:t>
            </w:r>
            <w:r>
              <w:rPr>
                <w:rFonts w:hint="eastAsia" w:hAnsi="宋体"/>
                <w:sz w:val="24"/>
                <w:szCs w:val="24"/>
                <w:highlight w:val="none"/>
                <w:lang w:val="en-US"/>
              </w:rPr>
              <w:t>3</w:t>
            </w:r>
            <w:r>
              <w:rPr>
                <w:rFonts w:hint="eastAsia" w:hAnsi="宋体"/>
                <w:sz w:val="24"/>
                <w:szCs w:val="24"/>
                <w:highlight w:val="none"/>
              </w:rPr>
              <w:t>分；</w:t>
            </w:r>
            <w:r>
              <w:rPr>
                <w:rFonts w:hint="eastAsia"/>
                <w:kern w:val="2"/>
                <w:sz w:val="24"/>
                <w:szCs w:val="24"/>
                <w:highlight w:val="none"/>
                <w:lang w:val="en-US"/>
              </w:rPr>
              <w:t>方案内容不够全面但基本合理、基本满足项目需求</w:t>
            </w:r>
            <w:r>
              <w:rPr>
                <w:rFonts w:hint="eastAsia" w:hAnsi="宋体"/>
                <w:sz w:val="24"/>
                <w:szCs w:val="24"/>
                <w:highlight w:val="none"/>
              </w:rPr>
              <w:t>得</w:t>
            </w:r>
            <w:r>
              <w:rPr>
                <w:rFonts w:hint="eastAsia" w:hAnsi="宋体"/>
                <w:sz w:val="24"/>
                <w:szCs w:val="24"/>
                <w:highlight w:val="none"/>
                <w:lang w:val="en-US"/>
              </w:rPr>
              <w:t>1</w:t>
            </w:r>
            <w:r>
              <w:rPr>
                <w:rFonts w:hint="eastAsia" w:hAnsi="宋体"/>
                <w:sz w:val="24"/>
                <w:szCs w:val="24"/>
                <w:highlight w:val="none"/>
              </w:rPr>
              <w:t>分；不符合项目需求或未提供的得0分</w:t>
            </w:r>
            <w:r>
              <w:rPr>
                <w:rFonts w:hint="eastAsia"/>
                <w:kern w:val="2"/>
                <w:sz w:val="24"/>
                <w:szCs w:val="24"/>
                <w:highlight w:val="none"/>
                <w:lang w:val="en-US"/>
              </w:rPr>
              <w:t>。</w:t>
            </w:r>
          </w:p>
        </w:tc>
        <w:tc>
          <w:tcPr>
            <w:tcW w:w="704" w:type="dxa"/>
            <w:tcBorders>
              <w:top w:val="single" w:color="auto" w:sz="4" w:space="0"/>
              <w:left w:val="single" w:color="auto" w:sz="4" w:space="0"/>
              <w:bottom w:val="single" w:color="auto" w:sz="4" w:space="0"/>
              <w:right w:val="single" w:color="auto" w:sz="4" w:space="0"/>
            </w:tcBorders>
            <w:noWrap/>
            <w:vAlign w:val="center"/>
          </w:tcPr>
          <w:p w14:paraId="7C501C90">
            <w:pPr>
              <w:widowControl/>
              <w:spacing w:line="360" w:lineRule="auto"/>
              <w:jc w:val="center"/>
              <w:textAlignment w:val="center"/>
              <w:rPr>
                <w:b/>
                <w:bCs/>
                <w:sz w:val="24"/>
                <w:szCs w:val="24"/>
                <w:highlight w:val="none"/>
                <w:lang w:val="en-US"/>
              </w:rPr>
            </w:pPr>
            <w:r>
              <w:rPr>
                <w:rFonts w:hint="eastAsia"/>
                <w:b/>
                <w:bCs/>
                <w:sz w:val="24"/>
                <w:szCs w:val="24"/>
                <w:highlight w:val="none"/>
                <w:lang w:val="en-US"/>
              </w:rPr>
              <w:t>5</w:t>
            </w:r>
          </w:p>
        </w:tc>
      </w:tr>
      <w:tr w14:paraId="297B1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3751D858">
            <w:pPr>
              <w:widowControl/>
              <w:spacing w:line="360" w:lineRule="auto"/>
              <w:jc w:val="center"/>
              <w:textAlignment w:val="center"/>
              <w:rPr>
                <w:b/>
                <w:bCs/>
                <w:sz w:val="24"/>
                <w:szCs w:val="24"/>
                <w:highlight w:val="none"/>
                <w:lang w:val="en-US"/>
              </w:rPr>
            </w:pPr>
            <w:r>
              <w:rPr>
                <w:rFonts w:hint="eastAsia"/>
                <w:b/>
                <w:bCs/>
                <w:sz w:val="24"/>
                <w:szCs w:val="24"/>
                <w:highlight w:val="none"/>
                <w:lang w:val="en-US"/>
              </w:rPr>
              <w:t>3.7</w:t>
            </w:r>
          </w:p>
        </w:tc>
        <w:tc>
          <w:tcPr>
            <w:tcW w:w="1362" w:type="dxa"/>
            <w:tcBorders>
              <w:top w:val="single" w:color="auto" w:sz="4" w:space="0"/>
              <w:left w:val="single" w:color="auto" w:sz="4" w:space="0"/>
              <w:bottom w:val="single" w:color="auto" w:sz="4" w:space="0"/>
              <w:right w:val="single" w:color="auto" w:sz="4" w:space="0"/>
            </w:tcBorders>
            <w:noWrap/>
            <w:vAlign w:val="center"/>
          </w:tcPr>
          <w:p w14:paraId="5DECDB3F">
            <w:pPr>
              <w:spacing w:line="360" w:lineRule="auto"/>
              <w:jc w:val="center"/>
              <w:rPr>
                <w:rFonts w:hAnsi="宋体"/>
                <w:b/>
                <w:sz w:val="24"/>
                <w:highlight w:val="none"/>
              </w:rPr>
            </w:pPr>
            <w:r>
              <w:rPr>
                <w:rFonts w:hint="eastAsia" w:hAnsi="宋体"/>
                <w:b/>
                <w:sz w:val="24"/>
                <w:highlight w:val="none"/>
                <w:lang w:val="en-US"/>
              </w:rPr>
              <w:t>保密工作实施</w:t>
            </w:r>
            <w:r>
              <w:rPr>
                <w:rFonts w:hint="eastAsia" w:hAnsi="宋体"/>
                <w:b/>
                <w:sz w:val="24"/>
                <w:highlight w:val="none"/>
              </w:rPr>
              <w:t>方案</w:t>
            </w:r>
          </w:p>
        </w:tc>
        <w:tc>
          <w:tcPr>
            <w:tcW w:w="69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3C4CD5">
            <w:pPr>
              <w:widowControl/>
              <w:spacing w:line="360" w:lineRule="auto"/>
              <w:textAlignment w:val="center"/>
              <w:rPr>
                <w:kern w:val="2"/>
                <w:sz w:val="24"/>
                <w:szCs w:val="24"/>
                <w:highlight w:val="none"/>
                <w:lang w:val="en-US"/>
              </w:rPr>
            </w:pPr>
            <w:r>
              <w:rPr>
                <w:rFonts w:hint="eastAsia"/>
                <w:kern w:val="2"/>
                <w:sz w:val="24"/>
                <w:szCs w:val="24"/>
                <w:highlight w:val="none"/>
                <w:lang w:val="en-US"/>
              </w:rPr>
              <w:t>投标人服务期内必须遵守采购人相关安全保密规定，制定有针对性的保密工作实施方案。</w:t>
            </w:r>
          </w:p>
          <w:p w14:paraId="0765D74F">
            <w:pPr>
              <w:widowControl/>
              <w:spacing w:line="360" w:lineRule="auto"/>
              <w:textAlignment w:val="center"/>
              <w:rPr>
                <w:kern w:val="2"/>
                <w:sz w:val="24"/>
                <w:szCs w:val="24"/>
                <w:highlight w:val="none"/>
                <w:lang w:val="en-US"/>
              </w:rPr>
            </w:pPr>
            <w:r>
              <w:rPr>
                <w:rFonts w:hint="eastAsia"/>
                <w:kern w:val="2"/>
                <w:sz w:val="24"/>
                <w:szCs w:val="24"/>
                <w:highlight w:val="none"/>
                <w:lang w:val="en-US"/>
              </w:rPr>
              <w:t>方案内容详细全面、针对性强、可行性强</w:t>
            </w:r>
            <w:r>
              <w:rPr>
                <w:rFonts w:hint="eastAsia" w:hAnsi="宋体"/>
                <w:sz w:val="24"/>
                <w:szCs w:val="24"/>
                <w:highlight w:val="none"/>
              </w:rPr>
              <w:t>得</w:t>
            </w:r>
            <w:r>
              <w:rPr>
                <w:rFonts w:hint="eastAsia" w:hAnsi="宋体"/>
                <w:sz w:val="24"/>
                <w:szCs w:val="24"/>
                <w:highlight w:val="none"/>
                <w:lang w:val="en-US"/>
              </w:rPr>
              <w:t>5</w:t>
            </w:r>
            <w:r>
              <w:rPr>
                <w:rFonts w:hint="eastAsia" w:hAnsi="宋体"/>
                <w:sz w:val="24"/>
                <w:szCs w:val="24"/>
                <w:highlight w:val="none"/>
              </w:rPr>
              <w:t>分；</w:t>
            </w:r>
            <w:r>
              <w:rPr>
                <w:rFonts w:hint="eastAsia"/>
                <w:kern w:val="2"/>
                <w:sz w:val="24"/>
                <w:szCs w:val="24"/>
                <w:highlight w:val="none"/>
                <w:lang w:val="en-US"/>
              </w:rPr>
              <w:t>方案内容较全面、针对性较强、可行性较强</w:t>
            </w:r>
            <w:r>
              <w:rPr>
                <w:rFonts w:hint="eastAsia" w:hAnsi="宋体"/>
                <w:sz w:val="24"/>
                <w:szCs w:val="24"/>
                <w:highlight w:val="none"/>
              </w:rPr>
              <w:t>得</w:t>
            </w:r>
            <w:r>
              <w:rPr>
                <w:rFonts w:hint="eastAsia" w:hAnsi="宋体"/>
                <w:sz w:val="24"/>
                <w:szCs w:val="24"/>
                <w:highlight w:val="none"/>
                <w:lang w:val="en-US"/>
              </w:rPr>
              <w:t>3</w:t>
            </w:r>
            <w:r>
              <w:rPr>
                <w:rFonts w:hint="eastAsia" w:hAnsi="宋体"/>
                <w:sz w:val="24"/>
                <w:szCs w:val="24"/>
                <w:highlight w:val="none"/>
              </w:rPr>
              <w:t>分；</w:t>
            </w:r>
            <w:r>
              <w:rPr>
                <w:rFonts w:hint="eastAsia"/>
                <w:kern w:val="2"/>
                <w:sz w:val="24"/>
                <w:szCs w:val="24"/>
                <w:highlight w:val="none"/>
                <w:lang w:val="en-US"/>
              </w:rPr>
              <w:t>方案内容不够全面、针对性不够强但基本具备可行性</w:t>
            </w:r>
            <w:r>
              <w:rPr>
                <w:rFonts w:hint="eastAsia" w:hAnsi="宋体"/>
                <w:sz w:val="24"/>
                <w:szCs w:val="24"/>
                <w:highlight w:val="none"/>
              </w:rPr>
              <w:t>得</w:t>
            </w:r>
            <w:r>
              <w:rPr>
                <w:rFonts w:hint="eastAsia" w:hAnsi="宋体"/>
                <w:sz w:val="24"/>
                <w:szCs w:val="24"/>
                <w:highlight w:val="none"/>
                <w:lang w:val="en-US"/>
              </w:rPr>
              <w:t>1</w:t>
            </w:r>
            <w:r>
              <w:rPr>
                <w:rFonts w:hint="eastAsia" w:hAnsi="宋体"/>
                <w:sz w:val="24"/>
                <w:szCs w:val="24"/>
                <w:highlight w:val="none"/>
              </w:rPr>
              <w:t>分；</w:t>
            </w:r>
            <w:r>
              <w:rPr>
                <w:rFonts w:hint="eastAsia" w:hAnsi="宋体"/>
                <w:sz w:val="24"/>
                <w:szCs w:val="24"/>
                <w:highlight w:val="none"/>
                <w:lang w:val="en-US"/>
              </w:rPr>
              <w:t>方案</w:t>
            </w:r>
            <w:r>
              <w:rPr>
                <w:rFonts w:hint="eastAsia" w:hAnsi="宋体"/>
                <w:sz w:val="24"/>
                <w:szCs w:val="24"/>
                <w:highlight w:val="none"/>
              </w:rPr>
              <w:t>不</w:t>
            </w:r>
            <w:r>
              <w:rPr>
                <w:rFonts w:hint="eastAsia" w:hAnsi="宋体"/>
                <w:sz w:val="24"/>
                <w:szCs w:val="24"/>
                <w:highlight w:val="none"/>
                <w:lang w:val="en-US"/>
              </w:rPr>
              <w:t>可行</w:t>
            </w:r>
            <w:r>
              <w:rPr>
                <w:rFonts w:hint="eastAsia" w:hAnsi="宋体"/>
                <w:sz w:val="24"/>
                <w:szCs w:val="24"/>
                <w:highlight w:val="none"/>
              </w:rPr>
              <w:t>或未提供的得0分。</w:t>
            </w:r>
          </w:p>
        </w:tc>
        <w:tc>
          <w:tcPr>
            <w:tcW w:w="704" w:type="dxa"/>
            <w:tcBorders>
              <w:top w:val="single" w:color="auto" w:sz="4" w:space="0"/>
              <w:left w:val="single" w:color="auto" w:sz="4" w:space="0"/>
              <w:bottom w:val="single" w:color="auto" w:sz="4" w:space="0"/>
              <w:right w:val="single" w:color="auto" w:sz="4" w:space="0"/>
            </w:tcBorders>
            <w:noWrap/>
            <w:vAlign w:val="center"/>
          </w:tcPr>
          <w:p w14:paraId="3D4C7C83">
            <w:pPr>
              <w:widowControl/>
              <w:spacing w:line="360" w:lineRule="auto"/>
              <w:jc w:val="center"/>
              <w:textAlignment w:val="center"/>
              <w:rPr>
                <w:b/>
                <w:bCs/>
                <w:sz w:val="24"/>
                <w:szCs w:val="24"/>
                <w:highlight w:val="none"/>
                <w:lang w:val="en-US"/>
              </w:rPr>
            </w:pPr>
            <w:r>
              <w:rPr>
                <w:rFonts w:hint="eastAsia"/>
                <w:b/>
                <w:bCs/>
                <w:sz w:val="24"/>
                <w:szCs w:val="24"/>
                <w:highlight w:val="none"/>
                <w:lang w:val="en-US"/>
              </w:rPr>
              <w:t>5</w:t>
            </w:r>
          </w:p>
        </w:tc>
      </w:tr>
      <w:tr w14:paraId="36176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678" w:type="dxa"/>
            <w:gridSpan w:val="4"/>
            <w:tcBorders>
              <w:top w:val="single" w:color="auto" w:sz="4" w:space="0"/>
              <w:left w:val="single" w:color="auto" w:sz="4" w:space="0"/>
              <w:bottom w:val="single" w:color="auto" w:sz="4" w:space="0"/>
              <w:right w:val="single" w:color="auto" w:sz="4" w:space="0"/>
            </w:tcBorders>
            <w:noWrap/>
            <w:vAlign w:val="center"/>
          </w:tcPr>
          <w:p w14:paraId="08C1233E">
            <w:pPr>
              <w:widowControl/>
              <w:spacing w:line="360" w:lineRule="auto"/>
              <w:textAlignment w:val="center"/>
              <w:rPr>
                <w:b/>
                <w:bCs/>
                <w:sz w:val="24"/>
                <w:szCs w:val="24"/>
                <w:highlight w:val="none"/>
                <w:lang w:val="en-US"/>
              </w:rPr>
            </w:pPr>
            <w:r>
              <w:rPr>
                <w:rFonts w:hint="eastAsia"/>
                <w:b/>
                <w:bCs/>
                <w:sz w:val="24"/>
                <w:szCs w:val="24"/>
                <w:highlight w:val="none"/>
                <w:lang w:val="en-US"/>
              </w:rPr>
              <w:t>四、维保服务团队</w:t>
            </w:r>
            <w:r>
              <w:rPr>
                <w:rFonts w:hint="eastAsia"/>
                <w:b/>
                <w:bCs/>
                <w:sz w:val="24"/>
                <w:szCs w:val="24"/>
                <w:highlight w:val="none"/>
              </w:rPr>
              <w:t>（</w:t>
            </w:r>
            <w:r>
              <w:rPr>
                <w:rFonts w:hint="eastAsia"/>
                <w:b/>
                <w:bCs/>
                <w:sz w:val="24"/>
                <w:szCs w:val="24"/>
                <w:highlight w:val="none"/>
                <w:lang w:val="en-US"/>
              </w:rPr>
              <w:t>13分</w:t>
            </w:r>
            <w:r>
              <w:rPr>
                <w:rFonts w:hint="eastAsia"/>
                <w:b/>
                <w:bCs/>
                <w:sz w:val="24"/>
                <w:szCs w:val="24"/>
                <w:highlight w:val="none"/>
              </w:rPr>
              <w:t>）</w:t>
            </w:r>
          </w:p>
        </w:tc>
      </w:tr>
      <w:tr w14:paraId="63BDC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0"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641C5B92">
            <w:pPr>
              <w:widowControl/>
              <w:spacing w:line="360" w:lineRule="auto"/>
              <w:jc w:val="center"/>
              <w:textAlignment w:val="center"/>
              <w:rPr>
                <w:b/>
                <w:bCs/>
                <w:sz w:val="24"/>
                <w:szCs w:val="24"/>
                <w:highlight w:val="none"/>
                <w:lang w:val="en-US"/>
              </w:rPr>
            </w:pPr>
            <w:r>
              <w:rPr>
                <w:rFonts w:hint="eastAsia"/>
                <w:b/>
                <w:bCs/>
                <w:sz w:val="24"/>
                <w:szCs w:val="24"/>
                <w:highlight w:val="none"/>
                <w:lang w:val="en-US"/>
              </w:rPr>
              <w:t>4.1</w:t>
            </w:r>
          </w:p>
        </w:tc>
        <w:tc>
          <w:tcPr>
            <w:tcW w:w="1362" w:type="dxa"/>
            <w:tcBorders>
              <w:top w:val="single" w:color="auto" w:sz="4" w:space="0"/>
              <w:left w:val="single" w:color="auto" w:sz="4" w:space="0"/>
              <w:right w:val="single" w:color="auto" w:sz="4" w:space="0"/>
            </w:tcBorders>
            <w:noWrap/>
            <w:vAlign w:val="center"/>
          </w:tcPr>
          <w:p w14:paraId="6E0FCC75">
            <w:pPr>
              <w:spacing w:line="360" w:lineRule="auto"/>
              <w:jc w:val="center"/>
              <w:rPr>
                <w:rFonts w:hAnsi="宋体"/>
                <w:b/>
                <w:bCs/>
                <w:sz w:val="24"/>
                <w:highlight w:val="none"/>
              </w:rPr>
            </w:pPr>
            <w:r>
              <w:rPr>
                <w:rFonts w:hint="eastAsia" w:hAnsi="宋体"/>
                <w:b/>
                <w:bCs/>
                <w:sz w:val="24"/>
                <w:highlight w:val="none"/>
                <w:lang w:val="en-US"/>
              </w:rPr>
              <w:t>项目经理</w:t>
            </w:r>
          </w:p>
        </w:tc>
        <w:tc>
          <w:tcPr>
            <w:tcW w:w="6961" w:type="dxa"/>
            <w:tcBorders>
              <w:top w:val="single" w:color="auto" w:sz="4" w:space="0"/>
              <w:left w:val="single" w:color="auto" w:sz="4" w:space="0"/>
              <w:right w:val="single" w:color="auto" w:sz="4" w:space="0"/>
            </w:tcBorders>
            <w:shd w:val="clear" w:color="auto" w:fill="auto"/>
            <w:noWrap/>
            <w:vAlign w:val="center"/>
          </w:tcPr>
          <w:p w14:paraId="79A600C7">
            <w:pPr>
              <w:spacing w:line="360" w:lineRule="auto"/>
              <w:jc w:val="both"/>
              <w:rPr>
                <w:sz w:val="24"/>
                <w:szCs w:val="24"/>
                <w:highlight w:val="none"/>
              </w:rPr>
            </w:pPr>
            <w:r>
              <w:rPr>
                <w:rFonts w:hint="eastAsia"/>
                <w:sz w:val="24"/>
                <w:szCs w:val="24"/>
                <w:highlight w:val="none"/>
              </w:rPr>
              <w:t>服务团队项目经理具有信息系统项目管理师（高级）证书、高级工程师职称证书、注册信息系统安全专业人员（CISP）证书的，有1个得1分，最多得3分，没有不得分（须提供人员的身份证扫描件、证书扫描件以及投标人在投标截止前3个月内任意一个月为其缴纳社保的证明材料扫描件，不提供不得分）</w:t>
            </w:r>
            <w:r>
              <w:rPr>
                <w:rFonts w:hint="eastAsia"/>
                <w:sz w:val="24"/>
                <w:szCs w:val="24"/>
                <w:highlight w:val="none"/>
                <w:lang w:val="en-US"/>
              </w:rPr>
              <w:t>。</w:t>
            </w:r>
          </w:p>
        </w:tc>
        <w:tc>
          <w:tcPr>
            <w:tcW w:w="704" w:type="dxa"/>
            <w:tcBorders>
              <w:top w:val="single" w:color="auto" w:sz="4" w:space="0"/>
              <w:left w:val="single" w:color="auto" w:sz="4" w:space="0"/>
              <w:right w:val="single" w:color="auto" w:sz="4" w:space="0"/>
            </w:tcBorders>
            <w:noWrap/>
            <w:vAlign w:val="center"/>
          </w:tcPr>
          <w:p w14:paraId="74ACD8BF">
            <w:pPr>
              <w:widowControl/>
              <w:spacing w:line="360" w:lineRule="auto"/>
              <w:jc w:val="center"/>
              <w:textAlignment w:val="center"/>
              <w:rPr>
                <w:b/>
                <w:bCs/>
                <w:sz w:val="24"/>
                <w:szCs w:val="24"/>
                <w:highlight w:val="none"/>
                <w:lang w:val="en-US"/>
              </w:rPr>
            </w:pPr>
            <w:r>
              <w:rPr>
                <w:rFonts w:hint="eastAsia"/>
                <w:b/>
                <w:bCs/>
                <w:sz w:val="24"/>
                <w:szCs w:val="24"/>
                <w:highlight w:val="none"/>
                <w:lang w:val="en-US"/>
              </w:rPr>
              <w:t>3</w:t>
            </w:r>
          </w:p>
        </w:tc>
      </w:tr>
      <w:tr w14:paraId="71120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0"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4AE45C20">
            <w:pPr>
              <w:widowControl/>
              <w:spacing w:line="360" w:lineRule="auto"/>
              <w:jc w:val="center"/>
              <w:textAlignment w:val="center"/>
              <w:rPr>
                <w:b/>
                <w:bCs/>
                <w:sz w:val="24"/>
                <w:szCs w:val="24"/>
                <w:highlight w:val="none"/>
                <w:lang w:val="en-US"/>
              </w:rPr>
            </w:pPr>
            <w:r>
              <w:rPr>
                <w:rFonts w:hint="eastAsia"/>
                <w:b/>
                <w:bCs/>
                <w:sz w:val="24"/>
                <w:szCs w:val="24"/>
                <w:highlight w:val="none"/>
                <w:lang w:val="en-US"/>
              </w:rPr>
              <w:t>4.2</w:t>
            </w:r>
          </w:p>
        </w:tc>
        <w:tc>
          <w:tcPr>
            <w:tcW w:w="1362" w:type="dxa"/>
            <w:tcBorders>
              <w:left w:val="single" w:color="auto" w:sz="4" w:space="0"/>
              <w:right w:val="single" w:color="auto" w:sz="4" w:space="0"/>
            </w:tcBorders>
            <w:noWrap/>
            <w:vAlign w:val="center"/>
          </w:tcPr>
          <w:p w14:paraId="692A7FFB">
            <w:pPr>
              <w:spacing w:line="360" w:lineRule="auto"/>
              <w:jc w:val="center"/>
              <w:rPr>
                <w:rFonts w:hAnsi="宋体"/>
                <w:b/>
                <w:bCs/>
                <w:sz w:val="24"/>
                <w:highlight w:val="none"/>
                <w:lang w:val="en-US"/>
              </w:rPr>
            </w:pPr>
            <w:r>
              <w:rPr>
                <w:rFonts w:hint="eastAsia" w:hAnsi="宋体"/>
                <w:b/>
                <w:bCs/>
                <w:sz w:val="24"/>
                <w:highlight w:val="none"/>
                <w:lang w:val="en-US"/>
              </w:rPr>
              <w:t>驻场服务人员</w:t>
            </w:r>
          </w:p>
        </w:tc>
        <w:tc>
          <w:tcPr>
            <w:tcW w:w="6961" w:type="dxa"/>
            <w:tcBorders>
              <w:left w:val="single" w:color="auto" w:sz="4" w:space="0"/>
              <w:right w:val="single" w:color="auto" w:sz="4" w:space="0"/>
            </w:tcBorders>
            <w:shd w:val="clear" w:color="auto" w:fill="auto"/>
            <w:noWrap/>
            <w:vAlign w:val="center"/>
          </w:tcPr>
          <w:p w14:paraId="4432D5E3">
            <w:pPr>
              <w:spacing w:line="360" w:lineRule="auto"/>
              <w:jc w:val="both"/>
              <w:rPr>
                <w:sz w:val="24"/>
                <w:szCs w:val="24"/>
                <w:highlight w:val="none"/>
                <w:lang w:val="en-US"/>
              </w:rPr>
            </w:pPr>
            <w:r>
              <w:rPr>
                <w:rFonts w:hint="eastAsia"/>
                <w:sz w:val="24"/>
                <w:szCs w:val="24"/>
                <w:highlight w:val="none"/>
                <w:lang w:val="en-US"/>
              </w:rPr>
              <w:t>（1）投标人配备的驻场值守工程师在满足项目需求的前提下，每增加1名驻场值守工程师得1分，最高得1分。</w:t>
            </w:r>
          </w:p>
          <w:p w14:paraId="2048AE66">
            <w:pPr>
              <w:spacing w:line="360" w:lineRule="auto"/>
              <w:jc w:val="both"/>
              <w:rPr>
                <w:sz w:val="24"/>
                <w:szCs w:val="24"/>
                <w:highlight w:val="none"/>
                <w:lang w:val="en-US"/>
              </w:rPr>
            </w:pPr>
            <w:r>
              <w:rPr>
                <w:rFonts w:hint="eastAsia"/>
                <w:sz w:val="24"/>
                <w:szCs w:val="24"/>
                <w:highlight w:val="none"/>
                <w:lang w:val="en-US"/>
              </w:rPr>
              <w:t>（2）驻场值守工程师具有本项目维保设备（高清光纤矩阵系统、科达视频会议系统、LED大屏、网络）厂家或其它机构（单位）相似类型的系统培训结业证书或认证证书的有1个得1分，最高4分，同一人员不同证书可累计、同一厂家不累计。</w:t>
            </w:r>
          </w:p>
          <w:p w14:paraId="69D477AC">
            <w:pPr>
              <w:spacing w:line="360" w:lineRule="auto"/>
              <w:jc w:val="both"/>
              <w:rPr>
                <w:sz w:val="24"/>
                <w:szCs w:val="24"/>
                <w:highlight w:val="none"/>
              </w:rPr>
            </w:pPr>
            <w:r>
              <w:rPr>
                <w:rFonts w:hint="eastAsia"/>
                <w:sz w:val="24"/>
                <w:szCs w:val="24"/>
                <w:highlight w:val="none"/>
                <w:lang w:val="en-US"/>
              </w:rPr>
              <w:t>须提供相关人员的身份证扫描件、证书扫描件以及投标人在投标截止前3个月内任意一个月为其缴纳社保的证明材料扫描件，不提供不得分。</w:t>
            </w:r>
          </w:p>
        </w:tc>
        <w:tc>
          <w:tcPr>
            <w:tcW w:w="704" w:type="dxa"/>
            <w:tcBorders>
              <w:left w:val="single" w:color="auto" w:sz="4" w:space="0"/>
              <w:right w:val="single" w:color="auto" w:sz="4" w:space="0"/>
            </w:tcBorders>
            <w:noWrap/>
            <w:vAlign w:val="center"/>
          </w:tcPr>
          <w:p w14:paraId="7EE851ED">
            <w:pPr>
              <w:widowControl/>
              <w:spacing w:line="360" w:lineRule="auto"/>
              <w:jc w:val="center"/>
              <w:textAlignment w:val="center"/>
              <w:rPr>
                <w:b/>
                <w:bCs/>
                <w:sz w:val="24"/>
                <w:szCs w:val="24"/>
                <w:highlight w:val="none"/>
                <w:lang w:val="en-US"/>
              </w:rPr>
            </w:pPr>
            <w:r>
              <w:rPr>
                <w:rFonts w:hint="eastAsia"/>
                <w:b/>
                <w:bCs/>
                <w:sz w:val="24"/>
                <w:szCs w:val="24"/>
                <w:highlight w:val="none"/>
                <w:lang w:val="en-US"/>
              </w:rPr>
              <w:t>5</w:t>
            </w:r>
          </w:p>
        </w:tc>
      </w:tr>
      <w:tr w14:paraId="066D4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61891C34">
            <w:pPr>
              <w:widowControl/>
              <w:spacing w:line="360" w:lineRule="auto"/>
              <w:jc w:val="center"/>
              <w:textAlignment w:val="center"/>
              <w:rPr>
                <w:b/>
                <w:bCs/>
                <w:sz w:val="24"/>
                <w:szCs w:val="24"/>
                <w:highlight w:val="none"/>
                <w:lang w:val="en-US"/>
              </w:rPr>
            </w:pPr>
            <w:r>
              <w:rPr>
                <w:rFonts w:hint="eastAsia"/>
                <w:b/>
                <w:bCs/>
                <w:sz w:val="24"/>
                <w:szCs w:val="24"/>
                <w:highlight w:val="none"/>
                <w:lang w:val="en-US"/>
              </w:rPr>
              <w:t>4.3</w:t>
            </w:r>
          </w:p>
        </w:tc>
        <w:tc>
          <w:tcPr>
            <w:tcW w:w="1362" w:type="dxa"/>
            <w:tcBorders>
              <w:left w:val="single" w:color="auto" w:sz="4" w:space="0"/>
              <w:bottom w:val="single" w:color="auto" w:sz="4" w:space="0"/>
              <w:right w:val="single" w:color="auto" w:sz="4" w:space="0"/>
            </w:tcBorders>
            <w:noWrap/>
            <w:vAlign w:val="center"/>
          </w:tcPr>
          <w:p w14:paraId="3C5FEE94">
            <w:pPr>
              <w:spacing w:line="360" w:lineRule="auto"/>
              <w:jc w:val="center"/>
              <w:rPr>
                <w:rFonts w:hAnsi="宋体"/>
                <w:b/>
                <w:bCs/>
                <w:sz w:val="24"/>
                <w:highlight w:val="none"/>
                <w:lang w:val="en-US"/>
              </w:rPr>
            </w:pPr>
            <w:r>
              <w:rPr>
                <w:rFonts w:hint="eastAsia" w:hAnsi="宋体"/>
                <w:b/>
                <w:bCs/>
                <w:sz w:val="24"/>
                <w:highlight w:val="none"/>
                <w:lang w:val="en-US"/>
              </w:rPr>
              <w:t>技术支持团队</w:t>
            </w:r>
          </w:p>
        </w:tc>
        <w:tc>
          <w:tcPr>
            <w:tcW w:w="6961" w:type="dxa"/>
            <w:tcBorders>
              <w:left w:val="single" w:color="auto" w:sz="4" w:space="0"/>
              <w:bottom w:val="single" w:color="auto" w:sz="4" w:space="0"/>
              <w:right w:val="single" w:color="auto" w:sz="4" w:space="0"/>
            </w:tcBorders>
            <w:shd w:val="clear" w:color="auto" w:fill="auto"/>
            <w:noWrap/>
            <w:vAlign w:val="center"/>
          </w:tcPr>
          <w:p w14:paraId="637967AF">
            <w:pPr>
              <w:spacing w:line="360" w:lineRule="auto"/>
              <w:jc w:val="both"/>
              <w:rPr>
                <w:rFonts w:hAnsi="宋体"/>
                <w:sz w:val="24"/>
                <w:szCs w:val="24"/>
                <w:highlight w:val="none"/>
              </w:rPr>
            </w:pPr>
            <w:r>
              <w:rPr>
                <w:rFonts w:hint="eastAsia" w:hAnsi="宋体"/>
                <w:sz w:val="24"/>
                <w:szCs w:val="24"/>
                <w:highlight w:val="none"/>
              </w:rPr>
              <w:t>（</w:t>
            </w:r>
            <w:r>
              <w:rPr>
                <w:rFonts w:hint="eastAsia" w:hAnsi="宋体"/>
                <w:sz w:val="24"/>
                <w:szCs w:val="24"/>
                <w:highlight w:val="none"/>
                <w:lang w:val="en-US"/>
              </w:rPr>
              <w:t>1</w:t>
            </w:r>
            <w:r>
              <w:rPr>
                <w:rFonts w:hint="eastAsia" w:hAnsi="宋体"/>
                <w:sz w:val="24"/>
                <w:szCs w:val="24"/>
                <w:highlight w:val="none"/>
              </w:rPr>
              <w:t>）技术支持团队中技术负责人1名，具备正高级工程师职称的得2分，满分2分；</w:t>
            </w:r>
          </w:p>
          <w:p w14:paraId="765E5D6D">
            <w:pPr>
              <w:spacing w:line="360" w:lineRule="auto"/>
              <w:jc w:val="both"/>
              <w:rPr>
                <w:sz w:val="24"/>
                <w:szCs w:val="24"/>
                <w:highlight w:val="none"/>
                <w:lang w:val="en-US"/>
              </w:rPr>
            </w:pPr>
            <w:r>
              <w:rPr>
                <w:rFonts w:hint="eastAsia"/>
                <w:sz w:val="24"/>
                <w:szCs w:val="24"/>
                <w:highlight w:val="none"/>
              </w:rPr>
              <w:t>（</w:t>
            </w:r>
            <w:r>
              <w:rPr>
                <w:rFonts w:hint="eastAsia"/>
                <w:sz w:val="24"/>
                <w:szCs w:val="24"/>
                <w:highlight w:val="none"/>
                <w:lang w:val="en-US"/>
              </w:rPr>
              <w:t>2</w:t>
            </w:r>
            <w:r>
              <w:rPr>
                <w:rFonts w:hint="eastAsia"/>
                <w:sz w:val="24"/>
                <w:szCs w:val="24"/>
                <w:highlight w:val="none"/>
              </w:rPr>
              <w:t>）技术支持团队其他人员中</w:t>
            </w:r>
            <w:r>
              <w:rPr>
                <w:rFonts w:hint="eastAsia" w:hAnsi="宋体"/>
                <w:sz w:val="24"/>
                <w:szCs w:val="24"/>
                <w:highlight w:val="none"/>
              </w:rPr>
              <w:t>具有5名及以上高级工程师职称的得3分，少于5名大于2名（包括2名）高级工程师职称的得1分，少于2名不得分</w:t>
            </w:r>
            <w:r>
              <w:rPr>
                <w:rFonts w:hint="eastAsia"/>
                <w:sz w:val="24"/>
                <w:szCs w:val="24"/>
                <w:highlight w:val="none"/>
                <w:lang w:val="en-US"/>
              </w:rPr>
              <w:t>。</w:t>
            </w:r>
          </w:p>
          <w:p w14:paraId="09A69D8E">
            <w:pPr>
              <w:spacing w:line="360" w:lineRule="auto"/>
              <w:jc w:val="both"/>
              <w:rPr>
                <w:sz w:val="24"/>
                <w:szCs w:val="24"/>
                <w:highlight w:val="none"/>
              </w:rPr>
            </w:pPr>
            <w:r>
              <w:rPr>
                <w:rFonts w:hint="eastAsia"/>
                <w:sz w:val="24"/>
                <w:szCs w:val="24"/>
                <w:highlight w:val="none"/>
                <w:lang w:val="en-US"/>
              </w:rPr>
              <w:t>以上人员不兼得，须提供相关人员的身份证扫描件、证书扫描件以及投标人在投标截止前3个月内任意一个月为其缴纳社保的证明材料扫描件，不提供不得分。</w:t>
            </w:r>
          </w:p>
        </w:tc>
        <w:tc>
          <w:tcPr>
            <w:tcW w:w="704" w:type="dxa"/>
            <w:tcBorders>
              <w:left w:val="single" w:color="auto" w:sz="4" w:space="0"/>
              <w:bottom w:val="single" w:color="auto" w:sz="4" w:space="0"/>
              <w:right w:val="single" w:color="auto" w:sz="4" w:space="0"/>
            </w:tcBorders>
            <w:noWrap/>
            <w:vAlign w:val="center"/>
          </w:tcPr>
          <w:p w14:paraId="31A954A6">
            <w:pPr>
              <w:widowControl/>
              <w:spacing w:line="360" w:lineRule="auto"/>
              <w:jc w:val="center"/>
              <w:textAlignment w:val="center"/>
              <w:rPr>
                <w:b/>
                <w:bCs/>
                <w:sz w:val="24"/>
                <w:szCs w:val="24"/>
                <w:highlight w:val="none"/>
                <w:lang w:val="en-US"/>
              </w:rPr>
            </w:pPr>
            <w:r>
              <w:rPr>
                <w:rFonts w:hint="eastAsia"/>
                <w:b/>
                <w:bCs/>
                <w:sz w:val="24"/>
                <w:szCs w:val="24"/>
                <w:highlight w:val="none"/>
                <w:lang w:val="en-US"/>
              </w:rPr>
              <w:t>5</w:t>
            </w:r>
          </w:p>
        </w:tc>
      </w:tr>
      <w:tr w14:paraId="0B868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678" w:type="dxa"/>
            <w:gridSpan w:val="4"/>
            <w:tcBorders>
              <w:top w:val="single" w:color="auto" w:sz="4" w:space="0"/>
              <w:left w:val="single" w:color="auto" w:sz="4" w:space="0"/>
              <w:bottom w:val="single" w:color="auto" w:sz="4" w:space="0"/>
              <w:right w:val="single" w:color="auto" w:sz="4" w:space="0"/>
            </w:tcBorders>
            <w:noWrap/>
            <w:vAlign w:val="center"/>
          </w:tcPr>
          <w:p w14:paraId="0A462220">
            <w:pPr>
              <w:widowControl/>
              <w:spacing w:line="360" w:lineRule="auto"/>
              <w:textAlignment w:val="center"/>
              <w:rPr>
                <w:b/>
                <w:sz w:val="24"/>
                <w:szCs w:val="24"/>
                <w:highlight w:val="none"/>
                <w:lang w:val="en-US"/>
              </w:rPr>
            </w:pPr>
            <w:r>
              <w:rPr>
                <w:rFonts w:hint="eastAsia"/>
                <w:b/>
                <w:sz w:val="24"/>
                <w:szCs w:val="24"/>
                <w:highlight w:val="none"/>
                <w:lang w:val="en-US"/>
              </w:rPr>
              <w:t>五、履约能力及资信情况（16分）</w:t>
            </w:r>
          </w:p>
        </w:tc>
      </w:tr>
      <w:tr w14:paraId="19F3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1" w:type="dxa"/>
            <w:vMerge w:val="restart"/>
            <w:tcBorders>
              <w:top w:val="single" w:color="auto" w:sz="4" w:space="0"/>
              <w:left w:val="single" w:color="auto" w:sz="4" w:space="0"/>
              <w:right w:val="single" w:color="auto" w:sz="4" w:space="0"/>
            </w:tcBorders>
            <w:noWrap/>
            <w:vAlign w:val="center"/>
          </w:tcPr>
          <w:p w14:paraId="249C1255">
            <w:pPr>
              <w:widowControl/>
              <w:spacing w:line="360" w:lineRule="auto"/>
              <w:jc w:val="center"/>
              <w:textAlignment w:val="center"/>
              <w:rPr>
                <w:b/>
                <w:bCs/>
                <w:sz w:val="24"/>
                <w:szCs w:val="24"/>
                <w:highlight w:val="none"/>
                <w:lang w:val="en-US"/>
              </w:rPr>
            </w:pPr>
            <w:r>
              <w:rPr>
                <w:rFonts w:hint="eastAsia"/>
                <w:b/>
                <w:bCs/>
                <w:sz w:val="24"/>
                <w:szCs w:val="24"/>
                <w:highlight w:val="none"/>
                <w:lang w:val="en-US"/>
              </w:rPr>
              <w:t>5.1</w:t>
            </w:r>
          </w:p>
        </w:tc>
        <w:tc>
          <w:tcPr>
            <w:tcW w:w="1362" w:type="dxa"/>
            <w:vMerge w:val="restart"/>
            <w:tcBorders>
              <w:top w:val="single" w:color="auto" w:sz="4" w:space="0"/>
              <w:left w:val="single" w:color="auto" w:sz="4" w:space="0"/>
              <w:right w:val="single" w:color="auto" w:sz="4" w:space="0"/>
            </w:tcBorders>
            <w:noWrap/>
            <w:vAlign w:val="center"/>
          </w:tcPr>
          <w:p w14:paraId="27659EBB">
            <w:pPr>
              <w:spacing w:line="360" w:lineRule="auto"/>
              <w:jc w:val="center"/>
              <w:rPr>
                <w:rFonts w:hAnsi="宋体"/>
                <w:b/>
                <w:sz w:val="24"/>
                <w:highlight w:val="none"/>
              </w:rPr>
            </w:pPr>
            <w:r>
              <w:rPr>
                <w:rFonts w:hint="eastAsia" w:hAnsi="宋体"/>
                <w:b/>
                <w:sz w:val="24"/>
                <w:highlight w:val="none"/>
              </w:rPr>
              <w:t>资质、资信情况</w:t>
            </w:r>
          </w:p>
        </w:tc>
        <w:tc>
          <w:tcPr>
            <w:tcW w:w="69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D90500">
            <w:pPr>
              <w:spacing w:line="360" w:lineRule="auto"/>
              <w:rPr>
                <w:kern w:val="2"/>
                <w:sz w:val="24"/>
                <w:szCs w:val="24"/>
                <w:highlight w:val="none"/>
              </w:rPr>
            </w:pPr>
            <w:r>
              <w:rPr>
                <w:rFonts w:hint="eastAsia"/>
                <w:kern w:val="2"/>
                <w:sz w:val="24"/>
                <w:szCs w:val="24"/>
                <w:highlight w:val="none"/>
              </w:rPr>
              <w:t>投标人具备</w:t>
            </w:r>
            <w:r>
              <w:rPr>
                <w:rFonts w:hint="eastAsia" w:hAnsi="宋体"/>
                <w:sz w:val="24"/>
                <w:szCs w:val="24"/>
                <w:highlight w:val="none"/>
              </w:rPr>
              <w:t>有效期内的</w:t>
            </w:r>
            <w:r>
              <w:rPr>
                <w:rFonts w:hint="eastAsia"/>
                <w:kern w:val="2"/>
                <w:sz w:val="24"/>
                <w:szCs w:val="24"/>
                <w:highlight w:val="none"/>
              </w:rPr>
              <w:t>ITSS信息技术服务运行维护标准证书的得2分，没有不得分（提供上述证书扫描件，不提供不得分）</w:t>
            </w:r>
          </w:p>
        </w:tc>
        <w:tc>
          <w:tcPr>
            <w:tcW w:w="704" w:type="dxa"/>
            <w:tcBorders>
              <w:top w:val="single" w:color="auto" w:sz="4" w:space="0"/>
              <w:left w:val="single" w:color="auto" w:sz="4" w:space="0"/>
              <w:bottom w:val="single" w:color="auto" w:sz="4" w:space="0"/>
              <w:right w:val="single" w:color="auto" w:sz="4" w:space="0"/>
            </w:tcBorders>
            <w:noWrap/>
            <w:vAlign w:val="center"/>
          </w:tcPr>
          <w:p w14:paraId="1D1D148D">
            <w:pPr>
              <w:widowControl/>
              <w:spacing w:line="360" w:lineRule="auto"/>
              <w:jc w:val="center"/>
              <w:textAlignment w:val="center"/>
              <w:rPr>
                <w:b/>
                <w:bCs/>
                <w:sz w:val="24"/>
                <w:szCs w:val="24"/>
                <w:highlight w:val="none"/>
                <w:lang w:val="en-US"/>
              </w:rPr>
            </w:pPr>
            <w:r>
              <w:rPr>
                <w:rFonts w:hint="eastAsia"/>
                <w:b/>
                <w:bCs/>
                <w:sz w:val="24"/>
                <w:szCs w:val="24"/>
                <w:highlight w:val="none"/>
                <w:lang w:val="en-US"/>
              </w:rPr>
              <w:t>2</w:t>
            </w:r>
          </w:p>
        </w:tc>
      </w:tr>
      <w:tr w14:paraId="6B621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1" w:type="dxa"/>
            <w:vMerge w:val="continue"/>
            <w:tcBorders>
              <w:left w:val="single" w:color="auto" w:sz="4" w:space="0"/>
              <w:right w:val="single" w:color="auto" w:sz="4" w:space="0"/>
            </w:tcBorders>
            <w:noWrap/>
            <w:vAlign w:val="center"/>
          </w:tcPr>
          <w:p w14:paraId="6714B900">
            <w:pPr>
              <w:spacing w:line="360" w:lineRule="auto"/>
              <w:jc w:val="center"/>
              <w:textAlignment w:val="center"/>
              <w:rPr>
                <w:b/>
                <w:bCs/>
                <w:sz w:val="24"/>
                <w:szCs w:val="24"/>
                <w:highlight w:val="none"/>
                <w:lang w:val="en-US"/>
              </w:rPr>
            </w:pPr>
          </w:p>
        </w:tc>
        <w:tc>
          <w:tcPr>
            <w:tcW w:w="1362" w:type="dxa"/>
            <w:vMerge w:val="continue"/>
            <w:tcBorders>
              <w:left w:val="single" w:color="auto" w:sz="4" w:space="0"/>
              <w:right w:val="single" w:color="auto" w:sz="4" w:space="0"/>
            </w:tcBorders>
            <w:noWrap/>
            <w:vAlign w:val="center"/>
          </w:tcPr>
          <w:p w14:paraId="09405752">
            <w:pPr>
              <w:spacing w:line="360" w:lineRule="auto"/>
              <w:jc w:val="center"/>
              <w:rPr>
                <w:rFonts w:hAnsi="宋体"/>
                <w:b/>
                <w:sz w:val="24"/>
                <w:highlight w:val="none"/>
              </w:rPr>
            </w:pPr>
          </w:p>
        </w:tc>
        <w:tc>
          <w:tcPr>
            <w:tcW w:w="69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29E9C9">
            <w:pPr>
              <w:spacing w:line="360" w:lineRule="auto"/>
              <w:rPr>
                <w:rFonts w:hAnsi="宋体"/>
                <w:sz w:val="24"/>
                <w:szCs w:val="24"/>
                <w:highlight w:val="none"/>
              </w:rPr>
            </w:pPr>
            <w:r>
              <w:rPr>
                <w:rFonts w:hint="eastAsia" w:hAnsi="宋体"/>
                <w:sz w:val="24"/>
                <w:szCs w:val="24"/>
                <w:highlight w:val="none"/>
              </w:rPr>
              <w:t>投标人具备有效期内的信息系统建设和服务能力等级证书的得2分，没有不得分（提供上述证书</w:t>
            </w:r>
            <w:r>
              <w:rPr>
                <w:rFonts w:hint="eastAsia"/>
                <w:kern w:val="2"/>
                <w:sz w:val="24"/>
                <w:szCs w:val="24"/>
                <w:highlight w:val="none"/>
              </w:rPr>
              <w:t>扫描件</w:t>
            </w:r>
            <w:r>
              <w:rPr>
                <w:rFonts w:hint="eastAsia" w:hAnsi="宋体"/>
                <w:sz w:val="24"/>
                <w:szCs w:val="24"/>
                <w:highlight w:val="none"/>
              </w:rPr>
              <w:t>，不提供不得分）；</w:t>
            </w:r>
          </w:p>
        </w:tc>
        <w:tc>
          <w:tcPr>
            <w:tcW w:w="704" w:type="dxa"/>
            <w:tcBorders>
              <w:top w:val="single" w:color="auto" w:sz="4" w:space="0"/>
              <w:left w:val="single" w:color="auto" w:sz="4" w:space="0"/>
              <w:bottom w:val="single" w:color="auto" w:sz="4" w:space="0"/>
              <w:right w:val="single" w:color="auto" w:sz="4" w:space="0"/>
            </w:tcBorders>
            <w:noWrap/>
            <w:vAlign w:val="center"/>
          </w:tcPr>
          <w:p w14:paraId="58A83971">
            <w:pPr>
              <w:widowControl/>
              <w:spacing w:line="360" w:lineRule="auto"/>
              <w:jc w:val="center"/>
              <w:textAlignment w:val="center"/>
              <w:rPr>
                <w:b/>
                <w:bCs/>
                <w:sz w:val="24"/>
                <w:szCs w:val="24"/>
                <w:highlight w:val="none"/>
                <w:lang w:val="en-US"/>
              </w:rPr>
            </w:pPr>
            <w:r>
              <w:rPr>
                <w:rFonts w:hint="eastAsia"/>
                <w:b/>
                <w:bCs/>
                <w:sz w:val="24"/>
                <w:szCs w:val="24"/>
                <w:highlight w:val="none"/>
                <w:lang w:val="en-US"/>
              </w:rPr>
              <w:t>2</w:t>
            </w:r>
          </w:p>
        </w:tc>
      </w:tr>
      <w:tr w14:paraId="37458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1" w:type="dxa"/>
            <w:tcBorders>
              <w:left w:val="single" w:color="auto" w:sz="4" w:space="0"/>
              <w:right w:val="single" w:color="auto" w:sz="4" w:space="0"/>
            </w:tcBorders>
            <w:noWrap/>
            <w:vAlign w:val="center"/>
          </w:tcPr>
          <w:p w14:paraId="1B91887C">
            <w:pPr>
              <w:spacing w:line="360" w:lineRule="auto"/>
              <w:jc w:val="center"/>
              <w:textAlignment w:val="center"/>
              <w:rPr>
                <w:b/>
                <w:bCs/>
                <w:sz w:val="24"/>
                <w:szCs w:val="24"/>
                <w:highlight w:val="none"/>
                <w:lang w:val="en-US"/>
              </w:rPr>
            </w:pPr>
            <w:r>
              <w:rPr>
                <w:rFonts w:hint="eastAsia"/>
                <w:b/>
                <w:bCs/>
                <w:sz w:val="24"/>
                <w:szCs w:val="24"/>
                <w:highlight w:val="none"/>
                <w:lang w:val="en-US"/>
              </w:rPr>
              <w:t>5.2</w:t>
            </w:r>
          </w:p>
        </w:tc>
        <w:tc>
          <w:tcPr>
            <w:tcW w:w="1362" w:type="dxa"/>
            <w:tcBorders>
              <w:left w:val="single" w:color="auto" w:sz="4" w:space="0"/>
              <w:right w:val="single" w:color="auto" w:sz="4" w:space="0"/>
            </w:tcBorders>
            <w:noWrap/>
            <w:vAlign w:val="center"/>
          </w:tcPr>
          <w:p w14:paraId="55DE0024">
            <w:pPr>
              <w:spacing w:line="360" w:lineRule="auto"/>
              <w:jc w:val="center"/>
              <w:rPr>
                <w:rFonts w:hAnsi="宋体"/>
                <w:b/>
                <w:sz w:val="24"/>
                <w:highlight w:val="none"/>
                <w:lang w:val="en-US"/>
              </w:rPr>
            </w:pPr>
            <w:r>
              <w:rPr>
                <w:rFonts w:hint="eastAsia" w:hAnsi="宋体"/>
                <w:b/>
                <w:sz w:val="24"/>
                <w:highlight w:val="none"/>
                <w:lang w:val="en-US"/>
              </w:rPr>
              <w:t>专业技术力量支撑</w:t>
            </w:r>
          </w:p>
        </w:tc>
        <w:tc>
          <w:tcPr>
            <w:tcW w:w="69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7F9FBB">
            <w:pPr>
              <w:spacing w:line="360" w:lineRule="auto"/>
              <w:rPr>
                <w:rFonts w:hAnsi="宋体"/>
                <w:sz w:val="24"/>
                <w:szCs w:val="24"/>
                <w:highlight w:val="none"/>
              </w:rPr>
            </w:pPr>
            <w:r>
              <w:rPr>
                <w:rFonts w:hint="eastAsia" w:hAnsi="宋体"/>
                <w:sz w:val="24"/>
                <w:szCs w:val="24"/>
                <w:highlight w:val="none"/>
              </w:rPr>
              <w:t>在本项目维保过程中，针对本项目5个核心通信系统（高清光纤矩阵系统、小间距LED大屏显示系统、高清视频会议系统、网络设备、集中控制系统），投标人每承诺1个系统提供具有该系统维修能力的技术力量开展现场疑难故障排查定位及修复工作，得2分，满分10分。注：投标时应提供书面承诺（加盖投标人公章）且承诺中标后提供具有该系统服务技术能力的证明材料或提供与具有该专业系统服务技术能力的服务商的合作协议。</w:t>
            </w:r>
          </w:p>
        </w:tc>
        <w:tc>
          <w:tcPr>
            <w:tcW w:w="704" w:type="dxa"/>
            <w:tcBorders>
              <w:top w:val="single" w:color="auto" w:sz="4" w:space="0"/>
              <w:left w:val="single" w:color="auto" w:sz="4" w:space="0"/>
              <w:bottom w:val="single" w:color="auto" w:sz="4" w:space="0"/>
              <w:right w:val="single" w:color="auto" w:sz="4" w:space="0"/>
            </w:tcBorders>
            <w:noWrap/>
            <w:vAlign w:val="center"/>
          </w:tcPr>
          <w:p w14:paraId="47C9EBC6">
            <w:pPr>
              <w:widowControl/>
              <w:spacing w:line="360" w:lineRule="auto"/>
              <w:jc w:val="center"/>
              <w:textAlignment w:val="center"/>
              <w:rPr>
                <w:b/>
                <w:bCs/>
                <w:sz w:val="24"/>
                <w:szCs w:val="24"/>
                <w:highlight w:val="none"/>
                <w:lang w:val="en-US"/>
              </w:rPr>
            </w:pPr>
            <w:r>
              <w:rPr>
                <w:rFonts w:hint="eastAsia"/>
                <w:b/>
                <w:bCs/>
                <w:sz w:val="24"/>
                <w:szCs w:val="24"/>
                <w:highlight w:val="none"/>
                <w:lang w:val="en-US"/>
              </w:rPr>
              <w:t>10</w:t>
            </w:r>
          </w:p>
        </w:tc>
      </w:tr>
      <w:tr w14:paraId="23841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0969E81D">
            <w:pPr>
              <w:widowControl/>
              <w:spacing w:line="360" w:lineRule="auto"/>
              <w:jc w:val="center"/>
              <w:textAlignment w:val="center"/>
              <w:rPr>
                <w:b/>
                <w:bCs/>
                <w:sz w:val="24"/>
                <w:szCs w:val="24"/>
                <w:highlight w:val="none"/>
                <w:lang w:val="en-US"/>
              </w:rPr>
            </w:pPr>
            <w:r>
              <w:rPr>
                <w:rFonts w:hint="eastAsia"/>
                <w:b/>
                <w:bCs/>
                <w:sz w:val="24"/>
                <w:szCs w:val="24"/>
                <w:highlight w:val="none"/>
                <w:lang w:val="en-US"/>
              </w:rPr>
              <w:t>5.3</w:t>
            </w:r>
          </w:p>
        </w:tc>
        <w:tc>
          <w:tcPr>
            <w:tcW w:w="1362" w:type="dxa"/>
            <w:tcBorders>
              <w:top w:val="single" w:color="auto" w:sz="4" w:space="0"/>
              <w:left w:val="single" w:color="auto" w:sz="4" w:space="0"/>
              <w:bottom w:val="single" w:color="auto" w:sz="4" w:space="0"/>
              <w:right w:val="single" w:color="auto" w:sz="4" w:space="0"/>
            </w:tcBorders>
            <w:noWrap/>
            <w:vAlign w:val="center"/>
          </w:tcPr>
          <w:p w14:paraId="2304FA4D">
            <w:pPr>
              <w:spacing w:line="360" w:lineRule="auto"/>
              <w:jc w:val="center"/>
              <w:rPr>
                <w:rFonts w:hAnsi="宋体"/>
                <w:b/>
                <w:sz w:val="24"/>
                <w:highlight w:val="none"/>
              </w:rPr>
            </w:pPr>
            <w:r>
              <w:rPr>
                <w:rFonts w:hint="eastAsia" w:hAnsi="宋体"/>
                <w:b/>
                <w:sz w:val="24"/>
                <w:highlight w:val="none"/>
              </w:rPr>
              <w:t>类似业绩</w:t>
            </w:r>
          </w:p>
        </w:tc>
        <w:tc>
          <w:tcPr>
            <w:tcW w:w="69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09D419">
            <w:pPr>
              <w:spacing w:line="360" w:lineRule="auto"/>
              <w:rPr>
                <w:rFonts w:hAnsi="宋体"/>
                <w:sz w:val="24"/>
                <w:szCs w:val="24"/>
                <w:highlight w:val="none"/>
              </w:rPr>
            </w:pPr>
            <w:r>
              <w:rPr>
                <w:rFonts w:hint="eastAsia" w:hAnsi="宋体"/>
                <w:sz w:val="24"/>
                <w:szCs w:val="24"/>
                <w:highlight w:val="none"/>
              </w:rPr>
              <w:t>投标人提供2023年1月1日以来（以合同签订日期为准）的类似项目运维或维保服务业绩，每个得</w:t>
            </w:r>
            <w:r>
              <w:rPr>
                <w:rFonts w:hint="eastAsia" w:hAnsi="宋体"/>
                <w:sz w:val="24"/>
                <w:szCs w:val="24"/>
                <w:highlight w:val="none"/>
                <w:lang w:val="en-US"/>
              </w:rPr>
              <w:t>1</w:t>
            </w:r>
            <w:r>
              <w:rPr>
                <w:rFonts w:hint="eastAsia" w:hAnsi="宋体"/>
                <w:sz w:val="24"/>
                <w:szCs w:val="24"/>
                <w:highlight w:val="none"/>
              </w:rPr>
              <w:t>分；本项最多得</w:t>
            </w:r>
            <w:r>
              <w:rPr>
                <w:rFonts w:hint="eastAsia" w:hAnsi="宋体"/>
                <w:sz w:val="24"/>
                <w:szCs w:val="24"/>
                <w:highlight w:val="none"/>
                <w:lang w:val="en-US"/>
              </w:rPr>
              <w:t>2</w:t>
            </w:r>
            <w:r>
              <w:rPr>
                <w:rFonts w:hint="eastAsia" w:hAnsi="宋体"/>
                <w:sz w:val="24"/>
                <w:szCs w:val="24"/>
                <w:highlight w:val="none"/>
              </w:rPr>
              <w:t>分。（投标文件中</w:t>
            </w:r>
            <w:r>
              <w:rPr>
                <w:rFonts w:hint="eastAsia" w:hAnsi="宋体"/>
                <w:sz w:val="24"/>
                <w:szCs w:val="24"/>
                <w:highlight w:val="none"/>
                <w:lang w:val="en-US"/>
              </w:rPr>
              <w:t>提供</w:t>
            </w:r>
            <w:r>
              <w:rPr>
                <w:rFonts w:hint="eastAsia" w:hAnsi="宋体"/>
                <w:sz w:val="24"/>
                <w:szCs w:val="24"/>
                <w:highlight w:val="none"/>
              </w:rPr>
              <w:t>合同</w:t>
            </w:r>
            <w:r>
              <w:rPr>
                <w:rFonts w:hint="eastAsia"/>
                <w:sz w:val="24"/>
                <w:szCs w:val="24"/>
                <w:highlight w:val="none"/>
                <w:lang w:val="en-US"/>
              </w:rPr>
              <w:t>扫描件</w:t>
            </w:r>
            <w:r>
              <w:rPr>
                <w:rFonts w:hint="eastAsia" w:hAnsi="宋体"/>
                <w:sz w:val="24"/>
                <w:szCs w:val="24"/>
                <w:highlight w:val="none"/>
              </w:rPr>
              <w:t>，合同须体现维保内容，且必须涵盖不少于2项本项目内的维保内容；合同中须能反映相关内容，否则不得分）。</w:t>
            </w:r>
          </w:p>
        </w:tc>
        <w:tc>
          <w:tcPr>
            <w:tcW w:w="704" w:type="dxa"/>
            <w:tcBorders>
              <w:top w:val="single" w:color="auto" w:sz="4" w:space="0"/>
              <w:left w:val="single" w:color="auto" w:sz="4" w:space="0"/>
              <w:bottom w:val="single" w:color="auto" w:sz="4" w:space="0"/>
              <w:right w:val="single" w:color="auto" w:sz="4" w:space="0"/>
            </w:tcBorders>
            <w:noWrap/>
            <w:vAlign w:val="center"/>
          </w:tcPr>
          <w:p w14:paraId="526047B3">
            <w:pPr>
              <w:widowControl/>
              <w:spacing w:line="360" w:lineRule="auto"/>
              <w:jc w:val="center"/>
              <w:textAlignment w:val="center"/>
              <w:rPr>
                <w:b/>
                <w:bCs/>
                <w:sz w:val="24"/>
                <w:szCs w:val="24"/>
                <w:highlight w:val="none"/>
                <w:lang w:val="en-US"/>
              </w:rPr>
            </w:pPr>
            <w:r>
              <w:rPr>
                <w:rFonts w:hint="eastAsia"/>
                <w:b/>
                <w:bCs/>
                <w:sz w:val="24"/>
                <w:szCs w:val="24"/>
                <w:highlight w:val="none"/>
                <w:lang w:val="en-US"/>
              </w:rPr>
              <w:t>2</w:t>
            </w:r>
          </w:p>
        </w:tc>
      </w:tr>
      <w:tr w14:paraId="7C820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974" w:type="dxa"/>
            <w:gridSpan w:val="3"/>
            <w:tcBorders>
              <w:top w:val="single" w:color="auto" w:sz="4" w:space="0"/>
              <w:left w:val="single" w:color="auto" w:sz="4" w:space="0"/>
              <w:bottom w:val="single" w:color="auto" w:sz="4" w:space="0"/>
              <w:right w:val="single" w:color="auto" w:sz="4" w:space="0"/>
            </w:tcBorders>
            <w:noWrap/>
            <w:vAlign w:val="center"/>
          </w:tcPr>
          <w:p w14:paraId="3A8E5D49">
            <w:pPr>
              <w:spacing w:line="360" w:lineRule="auto"/>
              <w:jc w:val="center"/>
              <w:rPr>
                <w:b/>
                <w:kern w:val="2"/>
                <w:sz w:val="24"/>
                <w:szCs w:val="24"/>
                <w:highlight w:val="none"/>
              </w:rPr>
            </w:pPr>
            <w:r>
              <w:rPr>
                <w:rFonts w:hint="eastAsia"/>
                <w:b/>
                <w:kern w:val="2"/>
                <w:sz w:val="24"/>
                <w:szCs w:val="24"/>
                <w:highlight w:val="none"/>
              </w:rPr>
              <w:t>合计</w:t>
            </w:r>
          </w:p>
        </w:tc>
        <w:tc>
          <w:tcPr>
            <w:tcW w:w="704" w:type="dxa"/>
            <w:tcBorders>
              <w:top w:val="single" w:color="auto" w:sz="4" w:space="0"/>
              <w:left w:val="single" w:color="auto" w:sz="4" w:space="0"/>
              <w:bottom w:val="single" w:color="auto" w:sz="4" w:space="0"/>
              <w:right w:val="single" w:color="auto" w:sz="4" w:space="0"/>
            </w:tcBorders>
            <w:noWrap/>
            <w:vAlign w:val="center"/>
          </w:tcPr>
          <w:p w14:paraId="0CA77D39">
            <w:pPr>
              <w:spacing w:line="360" w:lineRule="auto"/>
              <w:jc w:val="center"/>
              <w:rPr>
                <w:b/>
                <w:kern w:val="2"/>
                <w:sz w:val="24"/>
                <w:szCs w:val="24"/>
                <w:highlight w:val="none"/>
              </w:rPr>
            </w:pPr>
            <w:r>
              <w:rPr>
                <w:rFonts w:hint="eastAsia"/>
                <w:b/>
                <w:kern w:val="2"/>
                <w:sz w:val="24"/>
                <w:szCs w:val="24"/>
                <w:highlight w:val="none"/>
              </w:rPr>
              <w:t>100</w:t>
            </w:r>
          </w:p>
        </w:tc>
      </w:tr>
    </w:tbl>
    <w:p w14:paraId="527EBFE5">
      <w:pPr>
        <w:adjustRightInd w:val="0"/>
        <w:snapToGrid w:val="0"/>
        <w:spacing w:line="360" w:lineRule="auto"/>
        <w:rPr>
          <w:sz w:val="24"/>
          <w:szCs w:val="24"/>
          <w:highlight w:val="none"/>
        </w:rPr>
      </w:pPr>
    </w:p>
    <w:p w14:paraId="69E8DEF2">
      <w:pPr>
        <w:adjustRightInd w:val="0"/>
        <w:snapToGrid w:val="0"/>
        <w:spacing w:line="360" w:lineRule="auto"/>
        <w:rPr>
          <w:sz w:val="24"/>
          <w:szCs w:val="24"/>
          <w:highlight w:val="none"/>
        </w:rPr>
      </w:pPr>
      <w:r>
        <w:rPr>
          <w:rFonts w:hint="eastAsia"/>
          <w:sz w:val="24"/>
          <w:szCs w:val="24"/>
          <w:highlight w:val="none"/>
        </w:rPr>
        <w:t>说明：</w:t>
      </w:r>
    </w:p>
    <w:p w14:paraId="2D189674">
      <w:pPr>
        <w:adjustRightInd w:val="0"/>
        <w:snapToGrid w:val="0"/>
        <w:spacing w:line="360" w:lineRule="auto"/>
        <w:ind w:firstLine="482" w:firstLineChars="200"/>
        <w:rPr>
          <w:b/>
          <w:bCs/>
          <w:sz w:val="24"/>
          <w:szCs w:val="24"/>
          <w:highlight w:val="none"/>
        </w:rPr>
      </w:pPr>
      <w:r>
        <w:rPr>
          <w:rFonts w:hint="eastAsia"/>
          <w:b/>
          <w:bCs/>
          <w:sz w:val="24"/>
          <w:szCs w:val="24"/>
          <w:highlight w:val="none"/>
          <w:lang w:val="en-US"/>
        </w:rPr>
        <w:t>1</w:t>
      </w:r>
      <w:r>
        <w:rPr>
          <w:rFonts w:hint="eastAsia"/>
          <w:b/>
          <w:bCs/>
          <w:sz w:val="24"/>
          <w:szCs w:val="24"/>
          <w:highlight w:val="none"/>
        </w:rPr>
        <w:t>、小微企业的价格扣除</w:t>
      </w:r>
    </w:p>
    <w:p w14:paraId="735911B2">
      <w:pPr>
        <w:adjustRightInd w:val="0"/>
        <w:snapToGrid w:val="0"/>
        <w:spacing w:line="360" w:lineRule="auto"/>
        <w:ind w:firstLine="480" w:firstLineChars="200"/>
        <w:rPr>
          <w:sz w:val="24"/>
          <w:szCs w:val="24"/>
          <w:highlight w:val="none"/>
        </w:rPr>
      </w:pPr>
      <w:r>
        <w:rPr>
          <w:rFonts w:hint="eastAsia"/>
          <w:sz w:val="24"/>
          <w:szCs w:val="24"/>
          <w:highlight w:val="none"/>
        </w:rPr>
        <w:t>对小型和微型企业产品的价格给予</w:t>
      </w:r>
      <w:r>
        <w:rPr>
          <w:sz w:val="24"/>
          <w:szCs w:val="24"/>
          <w:highlight w:val="none"/>
        </w:rPr>
        <w:t>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r>
        <w:rPr>
          <w:rFonts w:hint="eastAsia"/>
          <w:sz w:val="24"/>
          <w:szCs w:val="24"/>
          <w:highlight w:val="none"/>
        </w:rPr>
        <w:t>。</w:t>
      </w:r>
    </w:p>
    <w:p w14:paraId="6BEBF0CA">
      <w:pPr>
        <w:adjustRightInd w:val="0"/>
        <w:snapToGrid w:val="0"/>
        <w:spacing w:line="360" w:lineRule="auto"/>
        <w:ind w:firstLine="482" w:firstLineChars="200"/>
        <w:rPr>
          <w:sz w:val="24"/>
          <w:szCs w:val="24"/>
          <w:highlight w:val="none"/>
        </w:rPr>
      </w:pPr>
      <w:r>
        <w:rPr>
          <w:rFonts w:hint="eastAsia"/>
          <w:b/>
          <w:bCs/>
          <w:sz w:val="24"/>
          <w:szCs w:val="24"/>
          <w:highlight w:val="none"/>
          <w:lang w:val="en-US"/>
        </w:rPr>
        <w:t>2</w:t>
      </w:r>
      <w:r>
        <w:rPr>
          <w:rFonts w:hint="eastAsia"/>
          <w:b/>
          <w:bCs/>
          <w:sz w:val="24"/>
          <w:szCs w:val="24"/>
          <w:highlight w:val="none"/>
        </w:rPr>
        <w:t>、监狱和戒毒企业的价格扣除</w:t>
      </w:r>
    </w:p>
    <w:p w14:paraId="04561ABA">
      <w:pPr>
        <w:adjustRightInd w:val="0"/>
        <w:snapToGrid w:val="0"/>
        <w:spacing w:line="360" w:lineRule="auto"/>
        <w:ind w:firstLine="480" w:firstLineChars="200"/>
        <w:rPr>
          <w:sz w:val="24"/>
          <w:szCs w:val="24"/>
          <w:highlight w:val="none"/>
        </w:rPr>
      </w:pPr>
      <w:r>
        <w:rPr>
          <w:rFonts w:hint="eastAsia"/>
          <w:sz w:val="24"/>
          <w:szCs w:val="24"/>
          <w:highlight w:val="none"/>
          <w:lang w:val="en-US"/>
        </w:rPr>
        <w:t>2</w:t>
      </w:r>
      <w:r>
        <w:rPr>
          <w:rFonts w:hint="eastAsia"/>
          <w:sz w:val="24"/>
          <w:szCs w:val="24"/>
          <w:highlight w:val="none"/>
        </w:rPr>
        <w:t>.1本项目对监狱和戒毒企业（简称监狱企业），给予10%的价格扣除，用扣除后的价格参与评审。</w:t>
      </w:r>
    </w:p>
    <w:p w14:paraId="39D17F5D">
      <w:pPr>
        <w:adjustRightInd w:val="0"/>
        <w:snapToGrid w:val="0"/>
        <w:spacing w:line="360" w:lineRule="auto"/>
        <w:ind w:firstLine="480" w:firstLineChars="200"/>
        <w:rPr>
          <w:sz w:val="24"/>
          <w:szCs w:val="24"/>
          <w:highlight w:val="none"/>
        </w:rPr>
      </w:pPr>
      <w:r>
        <w:rPr>
          <w:rFonts w:hint="eastAsia"/>
          <w:sz w:val="24"/>
          <w:szCs w:val="24"/>
          <w:highlight w:val="none"/>
          <w:lang w:val="en-US"/>
        </w:rPr>
        <w:t>2</w:t>
      </w:r>
      <w:r>
        <w:rPr>
          <w:rFonts w:hint="eastAsia"/>
          <w:sz w:val="24"/>
          <w:szCs w:val="24"/>
          <w:highlight w:val="none"/>
        </w:rPr>
        <w:t>.2监狱企业需提供由省级以上监狱管理局、戒毒管理局（含新疆生产建设兵团）出具的属于监狱企业的证明文件。</w:t>
      </w:r>
    </w:p>
    <w:p w14:paraId="279B4840">
      <w:pPr>
        <w:adjustRightInd w:val="0"/>
        <w:snapToGrid w:val="0"/>
        <w:spacing w:line="360" w:lineRule="auto"/>
        <w:ind w:firstLine="480" w:firstLineChars="200"/>
        <w:rPr>
          <w:sz w:val="24"/>
          <w:szCs w:val="24"/>
          <w:highlight w:val="none"/>
        </w:rPr>
      </w:pPr>
      <w:r>
        <w:rPr>
          <w:rFonts w:hint="eastAsia"/>
          <w:sz w:val="24"/>
          <w:szCs w:val="24"/>
          <w:highlight w:val="none"/>
          <w:lang w:val="en-US"/>
        </w:rPr>
        <w:t>2</w:t>
      </w:r>
      <w:r>
        <w:rPr>
          <w:rFonts w:hint="eastAsia"/>
          <w:sz w:val="24"/>
          <w:szCs w:val="24"/>
          <w:highlight w:val="none"/>
        </w:rPr>
        <w:t>.3监狱企业标准请参照《关于政府采购支持监狱企业发展有关问题的通知》（财库[2014]68号）。</w:t>
      </w:r>
    </w:p>
    <w:p w14:paraId="63FED3A2">
      <w:pPr>
        <w:adjustRightInd w:val="0"/>
        <w:snapToGrid w:val="0"/>
        <w:spacing w:line="360" w:lineRule="auto"/>
        <w:ind w:firstLine="482" w:firstLineChars="200"/>
        <w:rPr>
          <w:b/>
          <w:bCs/>
          <w:sz w:val="24"/>
          <w:szCs w:val="24"/>
          <w:highlight w:val="none"/>
        </w:rPr>
      </w:pPr>
      <w:r>
        <w:rPr>
          <w:rFonts w:hint="eastAsia"/>
          <w:b/>
          <w:bCs/>
          <w:sz w:val="24"/>
          <w:szCs w:val="24"/>
          <w:highlight w:val="none"/>
          <w:lang w:val="en-US"/>
        </w:rPr>
        <w:t>3</w:t>
      </w:r>
      <w:r>
        <w:rPr>
          <w:rFonts w:hint="eastAsia"/>
          <w:b/>
          <w:bCs/>
          <w:sz w:val="24"/>
          <w:szCs w:val="24"/>
          <w:highlight w:val="none"/>
        </w:rPr>
        <w:t>、残疾人福利性单位的价格扣除</w:t>
      </w:r>
    </w:p>
    <w:p w14:paraId="08ABB6C9">
      <w:pPr>
        <w:adjustRightInd w:val="0"/>
        <w:snapToGrid w:val="0"/>
        <w:spacing w:line="360" w:lineRule="auto"/>
        <w:ind w:firstLine="480" w:firstLineChars="200"/>
        <w:rPr>
          <w:sz w:val="24"/>
          <w:szCs w:val="24"/>
          <w:highlight w:val="none"/>
        </w:rPr>
      </w:pPr>
      <w:r>
        <w:rPr>
          <w:rFonts w:hint="eastAsia"/>
          <w:sz w:val="24"/>
          <w:szCs w:val="24"/>
          <w:highlight w:val="none"/>
          <w:lang w:val="en-US"/>
        </w:rPr>
        <w:t>3</w:t>
      </w:r>
      <w:r>
        <w:rPr>
          <w:rFonts w:hint="eastAsia"/>
          <w:sz w:val="24"/>
          <w:szCs w:val="24"/>
          <w:highlight w:val="none"/>
        </w:rPr>
        <w:t>.1本项目对残疾人福利性单位，给予10%的价格扣除，用扣除后的价格参与评审。</w:t>
      </w:r>
    </w:p>
    <w:p w14:paraId="5763D3F2">
      <w:pPr>
        <w:adjustRightInd w:val="0"/>
        <w:snapToGrid w:val="0"/>
        <w:spacing w:line="360" w:lineRule="auto"/>
        <w:ind w:firstLine="480" w:firstLineChars="200"/>
        <w:rPr>
          <w:sz w:val="24"/>
          <w:szCs w:val="24"/>
          <w:highlight w:val="none"/>
        </w:rPr>
      </w:pPr>
      <w:r>
        <w:rPr>
          <w:rFonts w:hint="eastAsia"/>
          <w:sz w:val="24"/>
          <w:szCs w:val="24"/>
          <w:highlight w:val="none"/>
          <w:lang w:val="en-US"/>
        </w:rPr>
        <w:t>3</w:t>
      </w:r>
      <w:r>
        <w:rPr>
          <w:rFonts w:hint="eastAsia"/>
          <w:sz w:val="24"/>
          <w:szCs w:val="24"/>
          <w:highlight w:val="none"/>
        </w:rPr>
        <w:t>.2残疾人福利单位需按照采购文件的要求提供《残疾人福利性单位声明函》。</w:t>
      </w:r>
    </w:p>
    <w:p w14:paraId="27D379BF">
      <w:pPr>
        <w:adjustRightInd w:val="0"/>
        <w:snapToGrid w:val="0"/>
        <w:spacing w:line="360" w:lineRule="auto"/>
        <w:ind w:firstLine="480" w:firstLineChars="200"/>
        <w:rPr>
          <w:sz w:val="24"/>
          <w:szCs w:val="24"/>
          <w:highlight w:val="none"/>
        </w:rPr>
      </w:pPr>
      <w:r>
        <w:rPr>
          <w:rFonts w:hint="eastAsia"/>
          <w:sz w:val="24"/>
          <w:szCs w:val="24"/>
          <w:highlight w:val="none"/>
          <w:lang w:val="en-US"/>
        </w:rPr>
        <w:t>3</w:t>
      </w:r>
      <w:r>
        <w:rPr>
          <w:rFonts w:hint="eastAsia"/>
          <w:sz w:val="24"/>
          <w:szCs w:val="24"/>
          <w:highlight w:val="none"/>
        </w:rPr>
        <w:t>.3残疾人福利单位标准请参照《关于促进残疾人就业政府采购政策的通知》（财库〔2017〕141号）。</w:t>
      </w:r>
    </w:p>
    <w:p w14:paraId="47DB86E9">
      <w:pPr>
        <w:adjustRightInd w:val="0"/>
        <w:snapToGrid w:val="0"/>
        <w:spacing w:line="360" w:lineRule="auto"/>
        <w:ind w:firstLine="482" w:firstLineChars="200"/>
        <w:rPr>
          <w:b/>
          <w:bCs/>
          <w:sz w:val="24"/>
          <w:szCs w:val="24"/>
          <w:highlight w:val="none"/>
        </w:rPr>
      </w:pPr>
      <w:r>
        <w:rPr>
          <w:rFonts w:hint="eastAsia"/>
          <w:b/>
          <w:bCs/>
          <w:sz w:val="24"/>
          <w:szCs w:val="24"/>
          <w:highlight w:val="none"/>
          <w:lang w:val="en-US"/>
        </w:rPr>
        <w:t>4</w:t>
      </w:r>
      <w:r>
        <w:rPr>
          <w:rFonts w:hint="eastAsia"/>
          <w:b/>
          <w:bCs/>
          <w:sz w:val="24"/>
          <w:szCs w:val="24"/>
          <w:highlight w:val="none"/>
        </w:rPr>
        <w:t>、监狱企业、残疾人福利单位属于小型、微型企业的，不重复享受政策。</w:t>
      </w:r>
    </w:p>
    <w:p w14:paraId="7F8DEAA3">
      <w:pPr>
        <w:adjustRightInd w:val="0"/>
        <w:snapToGrid w:val="0"/>
        <w:spacing w:line="360" w:lineRule="auto"/>
        <w:ind w:firstLine="482" w:firstLineChars="200"/>
        <w:rPr>
          <w:b/>
          <w:bCs/>
          <w:sz w:val="24"/>
          <w:szCs w:val="24"/>
          <w:highlight w:val="none"/>
        </w:rPr>
      </w:pPr>
      <w:r>
        <w:rPr>
          <w:rFonts w:hint="eastAsia"/>
          <w:b/>
          <w:bCs/>
          <w:sz w:val="24"/>
          <w:szCs w:val="24"/>
          <w:highlight w:val="none"/>
          <w:lang w:val="en-US"/>
        </w:rPr>
        <w:t>5</w:t>
      </w:r>
      <w:r>
        <w:rPr>
          <w:rFonts w:hint="eastAsia"/>
          <w:b/>
          <w:bCs/>
          <w:sz w:val="24"/>
          <w:szCs w:val="24"/>
          <w:highlight w:val="none"/>
        </w:rPr>
        <w:t>、所有认证、证明和业绩均以有效的证明文件原件扫描件或者复印件</w:t>
      </w:r>
      <w:r>
        <w:rPr>
          <w:rFonts w:hint="eastAsia"/>
          <w:b/>
          <w:bCs/>
          <w:sz w:val="24"/>
          <w:szCs w:val="24"/>
          <w:highlight w:val="none"/>
          <w:lang w:val="en-US"/>
        </w:rPr>
        <w:t>加盖公章</w:t>
      </w:r>
      <w:r>
        <w:rPr>
          <w:rFonts w:hint="eastAsia"/>
          <w:b/>
          <w:bCs/>
          <w:sz w:val="24"/>
          <w:szCs w:val="24"/>
          <w:highlight w:val="none"/>
        </w:rPr>
        <w:t>为依据。</w:t>
      </w:r>
    </w:p>
    <w:p w14:paraId="351A48AD">
      <w:pPr>
        <w:adjustRightInd w:val="0"/>
        <w:snapToGrid w:val="0"/>
        <w:spacing w:line="360" w:lineRule="auto"/>
        <w:ind w:firstLine="482" w:firstLineChars="200"/>
        <w:rPr>
          <w:b/>
          <w:bCs/>
          <w:sz w:val="24"/>
          <w:szCs w:val="24"/>
          <w:highlight w:val="none"/>
          <w:lang w:val="en-US"/>
        </w:rPr>
        <w:sectPr>
          <w:pgSz w:w="11910" w:h="16840"/>
          <w:pgMar w:top="1420" w:right="1423" w:bottom="920" w:left="1423" w:header="492" w:footer="726" w:gutter="0"/>
          <w:cols w:space="720" w:num="1"/>
          <w:docGrid w:linePitch="312" w:charSpace="0"/>
        </w:sectPr>
      </w:pPr>
      <w:r>
        <w:rPr>
          <w:rFonts w:hint="eastAsia"/>
          <w:b/>
          <w:bCs/>
          <w:sz w:val="24"/>
          <w:szCs w:val="24"/>
          <w:highlight w:val="none"/>
          <w:lang w:val="en-US"/>
        </w:rPr>
        <w:t>6、采购人有权在中标后合同签订前核查以上评分项目中证明材料原件，如有虚假，按虚假投标处理。</w:t>
      </w:r>
    </w:p>
    <w:p w14:paraId="273813A6">
      <w:pPr>
        <w:spacing w:line="360" w:lineRule="auto"/>
        <w:jc w:val="center"/>
        <w:outlineLvl w:val="0"/>
        <w:rPr>
          <w:rFonts w:ascii="黑体" w:eastAsia="黑体"/>
          <w:sz w:val="32"/>
          <w:highlight w:val="none"/>
        </w:rPr>
      </w:pPr>
      <w:bookmarkStart w:id="74" w:name="_TOC_250001"/>
      <w:bookmarkEnd w:id="74"/>
      <w:bookmarkStart w:id="75" w:name="_Toc225524677"/>
      <w:r>
        <w:rPr>
          <w:rFonts w:ascii="黑体" w:eastAsia="黑体"/>
          <w:sz w:val="32"/>
          <w:highlight w:val="none"/>
        </w:rPr>
        <w:t>第五章</w:t>
      </w:r>
      <w:r>
        <w:rPr>
          <w:rFonts w:hint="eastAsia" w:ascii="黑体" w:eastAsia="黑体"/>
          <w:sz w:val="32"/>
          <w:highlight w:val="none"/>
        </w:rPr>
        <w:t xml:space="preserve"> </w:t>
      </w:r>
      <w:r>
        <w:rPr>
          <w:rFonts w:ascii="黑体" w:eastAsia="黑体"/>
          <w:sz w:val="32"/>
          <w:highlight w:val="none"/>
        </w:rPr>
        <w:t xml:space="preserve"> </w:t>
      </w:r>
      <w:r>
        <w:rPr>
          <w:rFonts w:hint="eastAsia" w:ascii="黑体" w:eastAsia="黑体"/>
          <w:sz w:val="32"/>
          <w:highlight w:val="none"/>
        </w:rPr>
        <w:t>公开招标项目</w:t>
      </w:r>
      <w:r>
        <w:rPr>
          <w:rFonts w:ascii="黑体" w:eastAsia="黑体"/>
          <w:sz w:val="32"/>
          <w:highlight w:val="none"/>
        </w:rPr>
        <w:t>需求</w:t>
      </w:r>
      <w:bookmarkEnd w:id="75"/>
    </w:p>
    <w:p w14:paraId="2DF555A9">
      <w:pPr>
        <w:pStyle w:val="3"/>
        <w:adjustRightInd w:val="0"/>
        <w:snapToGrid w:val="0"/>
        <w:spacing w:line="360" w:lineRule="auto"/>
        <w:ind w:left="0" w:right="0" w:firstLine="482" w:firstLineChars="200"/>
        <w:jc w:val="both"/>
        <w:rPr>
          <w:sz w:val="24"/>
          <w:szCs w:val="24"/>
          <w:highlight w:val="none"/>
          <w:u w:val="none"/>
          <w:lang w:bidi="ar-SA"/>
        </w:rPr>
      </w:pPr>
    </w:p>
    <w:p w14:paraId="32FCEB6F">
      <w:pPr>
        <w:pStyle w:val="26"/>
        <w:autoSpaceDE/>
        <w:autoSpaceDN/>
        <w:adjustRightInd w:val="0"/>
        <w:snapToGrid w:val="0"/>
        <w:spacing w:line="420" w:lineRule="exact"/>
        <w:ind w:left="0" w:firstLine="482" w:firstLineChars="200"/>
        <w:rPr>
          <w:rFonts w:hAnsi="宋体"/>
          <w:b/>
          <w:bCs/>
          <w:sz w:val="24"/>
          <w:szCs w:val="24"/>
          <w:highlight w:val="none"/>
        </w:rPr>
      </w:pPr>
      <w:bookmarkStart w:id="76" w:name="_Toc509332893"/>
      <w:bookmarkStart w:id="77" w:name="_Toc328386624"/>
      <w:bookmarkStart w:id="78" w:name="_Hlk75856637"/>
      <w:bookmarkStart w:id="79" w:name="_Toc475023243"/>
      <w:r>
        <w:rPr>
          <w:rFonts w:hint="eastAsia" w:hAnsi="宋体"/>
          <w:b/>
          <w:bCs/>
          <w:sz w:val="24"/>
          <w:szCs w:val="24"/>
          <w:highlight w:val="none"/>
        </w:rPr>
        <w:t>一、项目概述</w:t>
      </w:r>
    </w:p>
    <w:p w14:paraId="28ECD871">
      <w:pPr>
        <w:pStyle w:val="26"/>
        <w:autoSpaceDE/>
        <w:autoSpaceDN/>
        <w:adjustRightInd w:val="0"/>
        <w:snapToGrid w:val="0"/>
        <w:spacing w:line="420" w:lineRule="exact"/>
        <w:ind w:left="0" w:firstLine="480" w:firstLineChars="200"/>
        <w:rPr>
          <w:rFonts w:hAnsi="宋体"/>
          <w:sz w:val="24"/>
          <w:szCs w:val="24"/>
          <w:highlight w:val="none"/>
        </w:rPr>
      </w:pPr>
      <w:r>
        <w:rPr>
          <w:rFonts w:hint="eastAsia" w:hAnsi="宋体"/>
          <w:sz w:val="24"/>
          <w:szCs w:val="24"/>
          <w:highlight w:val="none"/>
        </w:rPr>
        <w:t>为确保厅交管总队指挥中心、会议室及相关通信支撑系统正常使用，保障各类过保的系统设备稳定运行和交管总队日常指挥调度、应急实战指挥工作有效开展及各类视频会议正常召开，对相关系统及设备的专业维保服务通过公开招标方式进行招标，服务期</w:t>
      </w:r>
      <w:r>
        <w:rPr>
          <w:rFonts w:hint="eastAsia" w:hAnsi="宋体"/>
          <w:sz w:val="24"/>
          <w:szCs w:val="24"/>
          <w:highlight w:val="none"/>
          <w:lang w:val="en-US"/>
        </w:rPr>
        <w:t>3年，</w:t>
      </w:r>
      <w:r>
        <w:rPr>
          <w:rFonts w:hint="eastAsia" w:hAnsi="宋体"/>
          <w:sz w:val="24"/>
          <w:szCs w:val="24"/>
          <w:highlight w:val="none"/>
        </w:rPr>
        <w:t>合同一签三年。</w:t>
      </w:r>
    </w:p>
    <w:p w14:paraId="258FE838">
      <w:pPr>
        <w:pStyle w:val="26"/>
        <w:autoSpaceDE/>
        <w:autoSpaceDN/>
        <w:adjustRightInd w:val="0"/>
        <w:snapToGrid w:val="0"/>
        <w:spacing w:line="420" w:lineRule="exact"/>
        <w:ind w:left="0" w:firstLine="482" w:firstLineChars="200"/>
        <w:rPr>
          <w:rFonts w:hAnsi="宋体"/>
          <w:b/>
          <w:bCs/>
          <w:sz w:val="24"/>
          <w:szCs w:val="24"/>
          <w:highlight w:val="none"/>
        </w:rPr>
      </w:pPr>
      <w:r>
        <w:rPr>
          <w:rFonts w:hint="eastAsia" w:hAnsi="宋体"/>
          <w:b/>
          <w:bCs/>
          <w:sz w:val="24"/>
          <w:szCs w:val="24"/>
          <w:highlight w:val="none"/>
        </w:rPr>
        <w:t>二、维保内容</w:t>
      </w:r>
    </w:p>
    <w:p w14:paraId="1DE0EFBA">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纳入维保服务范围的主要涉及指挥中心大屏显示系统，指挥中心、会议室及其他支撑系统，人员驻场值守服务，安全设备升级服务等4个部分。</w:t>
      </w:r>
    </w:p>
    <w:p w14:paraId="100E1E89">
      <w:pPr>
        <w:autoSpaceDE/>
        <w:autoSpaceDN/>
        <w:adjustRightInd w:val="0"/>
        <w:snapToGrid w:val="0"/>
        <w:spacing w:line="420" w:lineRule="exact"/>
        <w:ind w:firstLine="480" w:firstLineChars="200"/>
        <w:rPr>
          <w:rFonts w:hAnsi="宋体"/>
          <w:b/>
          <w:bCs/>
          <w:color w:val="FF0000"/>
          <w:sz w:val="24"/>
          <w:szCs w:val="24"/>
          <w:highlight w:val="none"/>
          <w:lang w:val="en-US"/>
        </w:rPr>
      </w:pPr>
      <w:r>
        <w:rPr>
          <w:rFonts w:hint="eastAsia" w:hAnsi="宋体"/>
          <w:sz w:val="24"/>
          <w:szCs w:val="24"/>
          <w:highlight w:val="none"/>
          <w:lang w:val="en-US"/>
        </w:rPr>
        <w:t>1、指挥中心大屏显示系统。主要包括一楼大厅9.8平方米P3 LED大屏、一楼消防控制室1台拼接控制器、二楼指挥大厅103.68平方米TWA012高清全彩LED屏幕一套，2台拼接处理器，三楼决策室24台超薄液晶升降器及相关配套的传输与配电系统等。</w:t>
      </w:r>
    </w:p>
    <w:tbl>
      <w:tblPr>
        <w:tblStyle w:val="21"/>
        <w:tblW w:w="8937" w:type="dxa"/>
        <w:jc w:val="center"/>
        <w:tblLayout w:type="fixed"/>
        <w:tblCellMar>
          <w:top w:w="0" w:type="dxa"/>
          <w:left w:w="108" w:type="dxa"/>
          <w:bottom w:w="0" w:type="dxa"/>
          <w:right w:w="108" w:type="dxa"/>
        </w:tblCellMar>
      </w:tblPr>
      <w:tblGrid>
        <w:gridCol w:w="784"/>
        <w:gridCol w:w="2708"/>
        <w:gridCol w:w="3176"/>
        <w:gridCol w:w="1271"/>
        <w:gridCol w:w="998"/>
      </w:tblGrid>
      <w:tr w14:paraId="7E75EFAF">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E7DB">
            <w:pPr>
              <w:widowControl/>
              <w:autoSpaceDE/>
              <w:autoSpaceDN/>
              <w:adjustRightInd w:val="0"/>
              <w:snapToGrid w:val="0"/>
              <w:spacing w:line="420" w:lineRule="exact"/>
              <w:jc w:val="center"/>
              <w:textAlignment w:val="center"/>
              <w:rPr>
                <w:rFonts w:hAnsi="宋体"/>
                <w:b/>
                <w:bCs/>
                <w:sz w:val="24"/>
                <w:szCs w:val="24"/>
                <w:highlight w:val="none"/>
              </w:rPr>
            </w:pPr>
            <w:r>
              <w:rPr>
                <w:rFonts w:hint="eastAsia" w:hAnsi="宋体"/>
                <w:b/>
                <w:bCs/>
                <w:sz w:val="24"/>
                <w:szCs w:val="24"/>
                <w:highlight w:val="none"/>
                <w:lang w:val="en-US"/>
              </w:rPr>
              <w:t>序号</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5F31F">
            <w:pPr>
              <w:widowControl/>
              <w:autoSpaceDE/>
              <w:autoSpaceDN/>
              <w:adjustRightInd w:val="0"/>
              <w:snapToGrid w:val="0"/>
              <w:spacing w:line="420" w:lineRule="exact"/>
              <w:jc w:val="center"/>
              <w:textAlignment w:val="center"/>
              <w:rPr>
                <w:rFonts w:hAnsi="宋体"/>
                <w:b/>
                <w:bCs/>
                <w:sz w:val="24"/>
                <w:szCs w:val="24"/>
                <w:highlight w:val="none"/>
              </w:rPr>
            </w:pPr>
            <w:r>
              <w:rPr>
                <w:rFonts w:hint="eastAsia" w:hAnsi="宋体"/>
                <w:b/>
                <w:bCs/>
                <w:sz w:val="24"/>
                <w:szCs w:val="24"/>
                <w:highlight w:val="none"/>
                <w:lang w:val="en-US"/>
              </w:rPr>
              <w:t>设备名称</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E6714">
            <w:pPr>
              <w:widowControl/>
              <w:autoSpaceDE/>
              <w:autoSpaceDN/>
              <w:adjustRightInd w:val="0"/>
              <w:snapToGrid w:val="0"/>
              <w:spacing w:line="420" w:lineRule="exact"/>
              <w:jc w:val="center"/>
              <w:textAlignment w:val="center"/>
              <w:rPr>
                <w:rFonts w:hAnsi="宋体"/>
                <w:b/>
                <w:bCs/>
                <w:sz w:val="24"/>
                <w:szCs w:val="24"/>
                <w:highlight w:val="none"/>
              </w:rPr>
            </w:pPr>
            <w:r>
              <w:rPr>
                <w:rFonts w:hint="eastAsia" w:hAnsi="宋体"/>
                <w:b/>
                <w:bCs/>
                <w:sz w:val="24"/>
                <w:szCs w:val="24"/>
                <w:highlight w:val="none"/>
                <w:lang w:val="en-US"/>
              </w:rPr>
              <w:t>规格型号</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5FBC8">
            <w:pPr>
              <w:widowControl/>
              <w:autoSpaceDE/>
              <w:autoSpaceDN/>
              <w:adjustRightInd w:val="0"/>
              <w:snapToGrid w:val="0"/>
              <w:spacing w:line="420" w:lineRule="exact"/>
              <w:jc w:val="center"/>
              <w:textAlignment w:val="center"/>
              <w:rPr>
                <w:rFonts w:hAnsi="宋体"/>
                <w:b/>
                <w:bCs/>
                <w:sz w:val="24"/>
                <w:szCs w:val="24"/>
                <w:highlight w:val="none"/>
              </w:rPr>
            </w:pPr>
            <w:r>
              <w:rPr>
                <w:rFonts w:hint="eastAsia" w:hAnsi="宋体"/>
                <w:b/>
                <w:bCs/>
                <w:sz w:val="24"/>
                <w:szCs w:val="24"/>
                <w:highlight w:val="none"/>
                <w:lang w:val="en-US"/>
              </w:rPr>
              <w:t>品牌</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5BC98">
            <w:pPr>
              <w:widowControl/>
              <w:autoSpaceDE/>
              <w:autoSpaceDN/>
              <w:adjustRightInd w:val="0"/>
              <w:snapToGrid w:val="0"/>
              <w:spacing w:line="420" w:lineRule="exact"/>
              <w:jc w:val="center"/>
              <w:textAlignment w:val="center"/>
              <w:rPr>
                <w:rFonts w:hAnsi="宋体"/>
                <w:b/>
                <w:bCs/>
                <w:sz w:val="24"/>
                <w:szCs w:val="24"/>
                <w:highlight w:val="none"/>
              </w:rPr>
            </w:pPr>
            <w:r>
              <w:rPr>
                <w:rFonts w:hint="eastAsia" w:hAnsi="宋体"/>
                <w:b/>
                <w:bCs/>
                <w:sz w:val="24"/>
                <w:szCs w:val="24"/>
                <w:highlight w:val="none"/>
                <w:lang w:val="en-US"/>
              </w:rPr>
              <w:t>数量</w:t>
            </w:r>
          </w:p>
        </w:tc>
      </w:tr>
      <w:tr w14:paraId="55E31F85">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3F0A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1.1</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0171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指挥大厅</w:t>
            </w:r>
          </w:p>
        </w:tc>
        <w:tc>
          <w:tcPr>
            <w:tcW w:w="3176" w:type="dxa"/>
            <w:tcBorders>
              <w:top w:val="single" w:color="000000" w:sz="4" w:space="0"/>
              <w:left w:val="single" w:color="000000" w:sz="4" w:space="0"/>
              <w:bottom w:val="single" w:color="000000" w:sz="4" w:space="0"/>
              <w:right w:val="nil"/>
            </w:tcBorders>
            <w:shd w:val="clear" w:color="auto" w:fill="auto"/>
            <w:noWrap/>
            <w:vAlign w:val="center"/>
          </w:tcPr>
          <w:p w14:paraId="5647BF54">
            <w:pPr>
              <w:widowControl/>
              <w:autoSpaceDE/>
              <w:autoSpaceDN/>
              <w:adjustRightInd w:val="0"/>
              <w:snapToGrid w:val="0"/>
              <w:spacing w:line="420" w:lineRule="exact"/>
              <w:jc w:val="center"/>
              <w:rPr>
                <w:rFonts w:hAnsi="宋体"/>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36DC7">
            <w:pPr>
              <w:widowControl/>
              <w:autoSpaceDE/>
              <w:autoSpaceDN/>
              <w:adjustRightInd w:val="0"/>
              <w:snapToGrid w:val="0"/>
              <w:spacing w:line="420" w:lineRule="exact"/>
              <w:rPr>
                <w:rFonts w:hAnsi="宋体"/>
                <w:sz w:val="24"/>
                <w:szCs w:val="24"/>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0DBD7">
            <w:pPr>
              <w:widowControl/>
              <w:autoSpaceDE/>
              <w:autoSpaceDN/>
              <w:adjustRightInd w:val="0"/>
              <w:snapToGrid w:val="0"/>
              <w:spacing w:line="420" w:lineRule="exact"/>
              <w:rPr>
                <w:rFonts w:hAnsi="宋体"/>
                <w:sz w:val="24"/>
                <w:szCs w:val="24"/>
                <w:highlight w:val="none"/>
              </w:rPr>
            </w:pPr>
          </w:p>
        </w:tc>
      </w:tr>
      <w:tr w14:paraId="7C91EF62">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B142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C0F7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室内全彩色</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6A18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TWA012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AD94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C22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103.68㎡</w:t>
            </w:r>
          </w:p>
        </w:tc>
      </w:tr>
      <w:tr w14:paraId="5D97BE48">
        <w:tblPrEx>
          <w:tblCellMar>
            <w:top w:w="0" w:type="dxa"/>
            <w:left w:w="108" w:type="dxa"/>
            <w:bottom w:w="0" w:type="dxa"/>
            <w:right w:w="108" w:type="dxa"/>
          </w:tblCellMar>
        </w:tblPrEx>
        <w:trPr>
          <w:trHeight w:val="1257"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0D79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6862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拼接控制器</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B9C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 xml:space="preserve">领秀多视频控制器MVC-Ⅱ-24-40D18H-80D16HD02H02R-PV       </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9067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DAEA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2BE02CE3">
        <w:tblPrEx>
          <w:tblCellMar>
            <w:top w:w="0" w:type="dxa"/>
            <w:left w:w="108" w:type="dxa"/>
            <w:bottom w:w="0" w:type="dxa"/>
            <w:right w:w="108" w:type="dxa"/>
          </w:tblCellMar>
        </w:tblPrEx>
        <w:trPr>
          <w:trHeight w:val="841"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5353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1CDD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拼接控制器（备用）</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742E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利亚德领秀多视频控制器MVC-Ⅱ-08-32D-04H-PV</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47ED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4E94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0F5A15AB">
        <w:tblPrEx>
          <w:tblCellMar>
            <w:top w:w="0" w:type="dxa"/>
            <w:left w:w="108" w:type="dxa"/>
            <w:bottom w:w="0" w:type="dxa"/>
            <w:right w:w="108" w:type="dxa"/>
          </w:tblCellMar>
        </w:tblPrEx>
        <w:trPr>
          <w:trHeight w:val="812"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DEAE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60FD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DVI光端机</w:t>
            </w:r>
          </w:p>
        </w:tc>
        <w:tc>
          <w:tcPr>
            <w:tcW w:w="3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57BC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LYD-DVI104光线延长器</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DADA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AA3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64</w:t>
            </w:r>
          </w:p>
        </w:tc>
      </w:tr>
      <w:tr w14:paraId="379FD4C9">
        <w:tblPrEx>
          <w:tblCellMar>
            <w:top w:w="0" w:type="dxa"/>
            <w:left w:w="108" w:type="dxa"/>
            <w:bottom w:w="0" w:type="dxa"/>
            <w:right w:w="108" w:type="dxa"/>
          </w:tblCellMar>
        </w:tblPrEx>
        <w:trPr>
          <w:trHeight w:val="545"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633F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6A28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配电系统</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01CF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LYD-PB60（含PLC）</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806A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0A73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701CF815">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AFA6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2434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网络交换机</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087A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S2700-52P-EI-AC</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D02C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2A89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44C20AC8">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9689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1.2</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92BC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决策室</w:t>
            </w:r>
          </w:p>
        </w:tc>
        <w:tc>
          <w:tcPr>
            <w:tcW w:w="3176" w:type="dxa"/>
            <w:tcBorders>
              <w:top w:val="single" w:color="000000" w:sz="4" w:space="0"/>
              <w:left w:val="single" w:color="000000" w:sz="4" w:space="0"/>
              <w:bottom w:val="single" w:color="000000" w:sz="4" w:space="0"/>
              <w:right w:val="nil"/>
            </w:tcBorders>
            <w:shd w:val="clear" w:color="auto" w:fill="auto"/>
            <w:noWrap/>
            <w:vAlign w:val="center"/>
          </w:tcPr>
          <w:p w14:paraId="58AFFC34">
            <w:pPr>
              <w:widowControl/>
              <w:autoSpaceDE/>
              <w:autoSpaceDN/>
              <w:adjustRightInd w:val="0"/>
              <w:snapToGrid w:val="0"/>
              <w:spacing w:line="420" w:lineRule="exact"/>
              <w:jc w:val="center"/>
              <w:rPr>
                <w:rFonts w:hAnsi="宋体"/>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D403B">
            <w:pPr>
              <w:widowControl/>
              <w:autoSpaceDE/>
              <w:autoSpaceDN/>
              <w:adjustRightInd w:val="0"/>
              <w:snapToGrid w:val="0"/>
              <w:spacing w:line="420" w:lineRule="exact"/>
              <w:rPr>
                <w:rFonts w:hAnsi="宋体"/>
                <w:sz w:val="24"/>
                <w:szCs w:val="24"/>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79CA0">
            <w:pPr>
              <w:widowControl/>
              <w:autoSpaceDE/>
              <w:autoSpaceDN/>
              <w:adjustRightInd w:val="0"/>
              <w:snapToGrid w:val="0"/>
              <w:spacing w:line="420" w:lineRule="exact"/>
              <w:jc w:val="center"/>
              <w:rPr>
                <w:rFonts w:hAnsi="宋体"/>
                <w:sz w:val="24"/>
                <w:szCs w:val="24"/>
                <w:highlight w:val="none"/>
              </w:rPr>
            </w:pPr>
          </w:p>
        </w:tc>
      </w:tr>
      <w:tr w14:paraId="39C44B9F">
        <w:tblPrEx>
          <w:tblCellMar>
            <w:top w:w="0" w:type="dxa"/>
            <w:left w:w="108" w:type="dxa"/>
            <w:bottom w:w="0" w:type="dxa"/>
            <w:right w:w="108" w:type="dxa"/>
          </w:tblCellMar>
        </w:tblPrEx>
        <w:trPr>
          <w:trHeight w:val="1257"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0E90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2B40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超薄液晶升降（含显示器及桌面升降机构）器</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8191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21.5英寸；16:9；1920*1080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AD76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AF5F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24</w:t>
            </w:r>
          </w:p>
        </w:tc>
      </w:tr>
      <w:tr w14:paraId="684F04D9">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E478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D341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DVI光端机</w:t>
            </w:r>
          </w:p>
        </w:tc>
        <w:tc>
          <w:tcPr>
            <w:tcW w:w="3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27AF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LYD-DVI104光线延长器</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9DC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C2D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r>
      <w:tr w14:paraId="145DF88E">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E433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03BF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高清信号分配器</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5ADC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LYD DVI204分配器1台+LYD DVI 208分配器3台</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1B04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1871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09273838">
        <w:tblPrEx>
          <w:tblCellMar>
            <w:top w:w="0" w:type="dxa"/>
            <w:left w:w="108" w:type="dxa"/>
            <w:bottom w:w="0" w:type="dxa"/>
            <w:right w:w="108" w:type="dxa"/>
          </w:tblCellMar>
        </w:tblPrEx>
        <w:trPr>
          <w:trHeight w:val="1673"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7C16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91F9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桌面信号传输器</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4370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桌面插座；输入信号：1路HDMI信号，1路VGA信号，1路与VGA视频同步的音频信号</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366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0D92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78A7C8D3">
        <w:tblPrEx>
          <w:tblCellMar>
            <w:top w:w="0" w:type="dxa"/>
            <w:left w:w="108" w:type="dxa"/>
            <w:bottom w:w="0" w:type="dxa"/>
            <w:right w:w="108" w:type="dxa"/>
          </w:tblCellMar>
        </w:tblPrEx>
        <w:trPr>
          <w:trHeight w:val="485"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82D4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EABD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控制电脑</w:t>
            </w:r>
          </w:p>
        </w:tc>
        <w:tc>
          <w:tcPr>
            <w:tcW w:w="3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96A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Inspiron 3650-D5838</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218D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DELL</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23A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1D461DDD">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0830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1.3</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4ACF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消防控制室</w:t>
            </w:r>
          </w:p>
        </w:tc>
        <w:tc>
          <w:tcPr>
            <w:tcW w:w="3176" w:type="dxa"/>
            <w:tcBorders>
              <w:top w:val="single" w:color="000000" w:sz="4" w:space="0"/>
              <w:left w:val="single" w:color="000000" w:sz="4" w:space="0"/>
              <w:bottom w:val="single" w:color="000000" w:sz="4" w:space="0"/>
              <w:right w:val="nil"/>
            </w:tcBorders>
            <w:shd w:val="clear" w:color="auto" w:fill="auto"/>
            <w:noWrap/>
            <w:vAlign w:val="center"/>
          </w:tcPr>
          <w:p w14:paraId="5189ADA9">
            <w:pPr>
              <w:widowControl/>
              <w:autoSpaceDE/>
              <w:autoSpaceDN/>
              <w:adjustRightInd w:val="0"/>
              <w:snapToGrid w:val="0"/>
              <w:spacing w:line="420" w:lineRule="exact"/>
              <w:jc w:val="center"/>
              <w:rPr>
                <w:rFonts w:hAnsi="宋体"/>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A0B5D">
            <w:pPr>
              <w:widowControl/>
              <w:autoSpaceDE/>
              <w:autoSpaceDN/>
              <w:adjustRightInd w:val="0"/>
              <w:snapToGrid w:val="0"/>
              <w:spacing w:line="420" w:lineRule="exact"/>
              <w:rPr>
                <w:rFonts w:hAnsi="宋体"/>
                <w:sz w:val="24"/>
                <w:szCs w:val="24"/>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10561">
            <w:pPr>
              <w:widowControl/>
              <w:autoSpaceDE/>
              <w:autoSpaceDN/>
              <w:adjustRightInd w:val="0"/>
              <w:snapToGrid w:val="0"/>
              <w:spacing w:line="420" w:lineRule="exact"/>
              <w:rPr>
                <w:rFonts w:hAnsi="宋体"/>
                <w:sz w:val="24"/>
                <w:szCs w:val="24"/>
                <w:highlight w:val="none"/>
              </w:rPr>
            </w:pPr>
          </w:p>
        </w:tc>
      </w:tr>
      <w:tr w14:paraId="739EDEA5">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25E7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DA49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拼接处理器</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E49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MVC-II-03-08D-08D</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9688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唯瑞</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0506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12079676">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FD9E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1.4</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D4EE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预监室</w:t>
            </w:r>
          </w:p>
        </w:tc>
        <w:tc>
          <w:tcPr>
            <w:tcW w:w="3176" w:type="dxa"/>
            <w:tcBorders>
              <w:top w:val="single" w:color="000000" w:sz="4" w:space="0"/>
              <w:left w:val="single" w:color="000000" w:sz="4" w:space="0"/>
              <w:bottom w:val="single" w:color="000000" w:sz="4" w:space="0"/>
              <w:right w:val="nil"/>
            </w:tcBorders>
            <w:shd w:val="clear" w:color="auto" w:fill="auto"/>
            <w:noWrap/>
            <w:vAlign w:val="center"/>
          </w:tcPr>
          <w:p w14:paraId="6C9BAA55">
            <w:pPr>
              <w:widowControl/>
              <w:autoSpaceDE/>
              <w:autoSpaceDN/>
              <w:adjustRightInd w:val="0"/>
              <w:snapToGrid w:val="0"/>
              <w:spacing w:line="420" w:lineRule="exact"/>
              <w:jc w:val="center"/>
              <w:rPr>
                <w:rFonts w:hAnsi="宋体"/>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A2883">
            <w:pPr>
              <w:widowControl/>
              <w:autoSpaceDE/>
              <w:autoSpaceDN/>
              <w:adjustRightInd w:val="0"/>
              <w:snapToGrid w:val="0"/>
              <w:spacing w:line="420" w:lineRule="exact"/>
              <w:rPr>
                <w:rFonts w:hAnsi="宋体"/>
                <w:sz w:val="24"/>
                <w:szCs w:val="24"/>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D913D">
            <w:pPr>
              <w:widowControl/>
              <w:autoSpaceDE/>
              <w:autoSpaceDN/>
              <w:adjustRightInd w:val="0"/>
              <w:snapToGrid w:val="0"/>
              <w:spacing w:line="420" w:lineRule="exact"/>
              <w:rPr>
                <w:rFonts w:hAnsi="宋体"/>
                <w:sz w:val="24"/>
                <w:szCs w:val="24"/>
                <w:highlight w:val="none"/>
              </w:rPr>
            </w:pPr>
          </w:p>
        </w:tc>
      </w:tr>
      <w:tr w14:paraId="025D3B93">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D41D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FD5E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HDMI光端机（4K）</w:t>
            </w:r>
          </w:p>
        </w:tc>
        <w:tc>
          <w:tcPr>
            <w:tcW w:w="3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DA5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 xml:space="preserve">LST-HK300-TR </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67CF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41EF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18</w:t>
            </w:r>
          </w:p>
        </w:tc>
      </w:tr>
      <w:tr w14:paraId="22721AAB">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9B5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1.5</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C2CF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门厅P3LED显示屏</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1E912">
            <w:pPr>
              <w:widowControl/>
              <w:autoSpaceDE/>
              <w:autoSpaceDN/>
              <w:adjustRightInd w:val="0"/>
              <w:snapToGrid w:val="0"/>
              <w:spacing w:line="420" w:lineRule="exact"/>
              <w:jc w:val="center"/>
              <w:rPr>
                <w:rFonts w:hAnsi="宋体"/>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8009">
            <w:pPr>
              <w:widowControl/>
              <w:autoSpaceDE/>
              <w:autoSpaceDN/>
              <w:adjustRightInd w:val="0"/>
              <w:snapToGrid w:val="0"/>
              <w:spacing w:line="420" w:lineRule="exact"/>
              <w:jc w:val="center"/>
              <w:rPr>
                <w:rFonts w:hAnsi="宋体"/>
                <w:sz w:val="24"/>
                <w:szCs w:val="24"/>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9CDA7">
            <w:pPr>
              <w:widowControl/>
              <w:autoSpaceDE/>
              <w:autoSpaceDN/>
              <w:adjustRightInd w:val="0"/>
              <w:snapToGrid w:val="0"/>
              <w:spacing w:line="420" w:lineRule="exact"/>
              <w:jc w:val="center"/>
              <w:rPr>
                <w:rFonts w:hAnsi="宋体"/>
                <w:sz w:val="24"/>
                <w:szCs w:val="24"/>
                <w:highlight w:val="none"/>
              </w:rPr>
            </w:pPr>
          </w:p>
        </w:tc>
      </w:tr>
      <w:tr w14:paraId="2E841835">
        <w:tblPrEx>
          <w:tblCellMar>
            <w:top w:w="0" w:type="dxa"/>
            <w:left w:w="108" w:type="dxa"/>
            <w:bottom w:w="0" w:type="dxa"/>
            <w:right w:w="108" w:type="dxa"/>
          </w:tblCellMar>
        </w:tblPrEx>
        <w:trPr>
          <w:trHeight w:val="841"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F4BB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59DB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全彩LED屏幕</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BE9A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VVM3 (4.08m×2.4m )                                           屏幕分辨率: W1360*H800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8C75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FC74">
            <w:pPr>
              <w:widowControl/>
              <w:autoSpaceDE/>
              <w:autoSpaceDN/>
              <w:adjustRightInd w:val="0"/>
              <w:snapToGrid w:val="0"/>
              <w:spacing w:line="420" w:lineRule="exact"/>
              <w:jc w:val="center"/>
              <w:textAlignment w:val="center"/>
              <w:rPr>
                <w:rFonts w:hAnsi="宋体"/>
                <w:sz w:val="24"/>
                <w:szCs w:val="24"/>
                <w:highlight w:val="none"/>
                <w:lang w:val="en-US"/>
              </w:rPr>
            </w:pPr>
            <w:r>
              <w:rPr>
                <w:rFonts w:hint="eastAsia" w:hAnsi="宋体"/>
                <w:sz w:val="24"/>
                <w:szCs w:val="24"/>
                <w:highlight w:val="none"/>
                <w:lang w:val="en-US"/>
              </w:rPr>
              <w:t>9.792㎡</w:t>
            </w:r>
          </w:p>
        </w:tc>
      </w:tr>
      <w:tr w14:paraId="606A38D4">
        <w:tblPrEx>
          <w:tblCellMar>
            <w:top w:w="0" w:type="dxa"/>
            <w:left w:w="108" w:type="dxa"/>
            <w:bottom w:w="0" w:type="dxa"/>
            <w:right w:w="108" w:type="dxa"/>
          </w:tblCellMar>
        </w:tblPrEx>
        <w:trPr>
          <w:trHeight w:val="485"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9FE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031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配电系统</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BB9B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LYD-PB10(含PLC)</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F198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581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63D93625">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F4BD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0281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音响</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E587D">
            <w:pPr>
              <w:widowControl/>
              <w:autoSpaceDE/>
              <w:autoSpaceDN/>
              <w:adjustRightInd w:val="0"/>
              <w:snapToGrid w:val="0"/>
              <w:spacing w:line="420" w:lineRule="exact"/>
              <w:jc w:val="center"/>
              <w:rPr>
                <w:rFonts w:hAnsi="宋体"/>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44C2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国产</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969D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2591A04F">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754E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9076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功放</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D231">
            <w:pPr>
              <w:widowControl/>
              <w:autoSpaceDE/>
              <w:autoSpaceDN/>
              <w:adjustRightInd w:val="0"/>
              <w:snapToGrid w:val="0"/>
              <w:spacing w:line="420" w:lineRule="exact"/>
              <w:jc w:val="center"/>
              <w:rPr>
                <w:rFonts w:hAnsi="宋体"/>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4852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国产</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CD59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5722BD3A">
        <w:tblPrEx>
          <w:tblCellMar>
            <w:top w:w="0" w:type="dxa"/>
            <w:left w:w="108" w:type="dxa"/>
            <w:bottom w:w="0" w:type="dxa"/>
            <w:right w:w="108" w:type="dxa"/>
          </w:tblCellMar>
        </w:tblPrEx>
        <w:trPr>
          <w:trHeight w:val="42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13CF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1.6</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6BAC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食堂</w:t>
            </w:r>
          </w:p>
        </w:tc>
        <w:tc>
          <w:tcPr>
            <w:tcW w:w="3176" w:type="dxa"/>
            <w:tcBorders>
              <w:top w:val="single" w:color="000000" w:sz="4" w:space="0"/>
              <w:left w:val="single" w:color="000000" w:sz="4" w:space="0"/>
              <w:bottom w:val="single" w:color="000000" w:sz="4" w:space="0"/>
              <w:right w:val="nil"/>
            </w:tcBorders>
            <w:shd w:val="clear" w:color="auto" w:fill="auto"/>
            <w:noWrap/>
            <w:vAlign w:val="center"/>
          </w:tcPr>
          <w:p w14:paraId="27BD9287">
            <w:pPr>
              <w:widowControl/>
              <w:autoSpaceDE/>
              <w:autoSpaceDN/>
              <w:adjustRightInd w:val="0"/>
              <w:snapToGrid w:val="0"/>
              <w:spacing w:line="420" w:lineRule="exact"/>
              <w:jc w:val="center"/>
              <w:rPr>
                <w:rFonts w:hAnsi="宋体"/>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DA20D">
            <w:pPr>
              <w:widowControl/>
              <w:autoSpaceDE/>
              <w:autoSpaceDN/>
              <w:adjustRightInd w:val="0"/>
              <w:snapToGrid w:val="0"/>
              <w:spacing w:line="420" w:lineRule="exact"/>
              <w:rPr>
                <w:rFonts w:hAnsi="宋体"/>
                <w:sz w:val="24"/>
                <w:szCs w:val="24"/>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1BB4B">
            <w:pPr>
              <w:widowControl/>
              <w:autoSpaceDE/>
              <w:autoSpaceDN/>
              <w:adjustRightInd w:val="0"/>
              <w:snapToGrid w:val="0"/>
              <w:spacing w:line="420" w:lineRule="exact"/>
              <w:rPr>
                <w:rFonts w:hAnsi="宋体"/>
                <w:sz w:val="24"/>
                <w:szCs w:val="24"/>
                <w:highlight w:val="none"/>
              </w:rPr>
            </w:pPr>
          </w:p>
        </w:tc>
      </w:tr>
      <w:tr w14:paraId="1E60E95D">
        <w:tblPrEx>
          <w:tblCellMar>
            <w:top w:w="0" w:type="dxa"/>
            <w:left w:w="108" w:type="dxa"/>
            <w:bottom w:w="0" w:type="dxa"/>
            <w:right w:w="108" w:type="dxa"/>
          </w:tblCellMar>
        </w:tblPrEx>
        <w:trPr>
          <w:trHeight w:val="436" w:hRule="atLeast"/>
          <w:jc w:val="center"/>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537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3DD4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室内双色显示屏</w:t>
            </w:r>
          </w:p>
        </w:tc>
        <w:tc>
          <w:tcPr>
            <w:tcW w:w="3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919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P4</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947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利亚德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256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3.92㎡</w:t>
            </w:r>
          </w:p>
        </w:tc>
      </w:tr>
    </w:tbl>
    <w:p w14:paraId="07E67D43">
      <w:pPr>
        <w:autoSpaceDE/>
        <w:autoSpaceDN/>
        <w:adjustRightInd w:val="0"/>
        <w:snapToGrid w:val="0"/>
        <w:spacing w:line="420" w:lineRule="exact"/>
        <w:ind w:firstLine="480" w:firstLineChars="200"/>
        <w:rPr>
          <w:rFonts w:hAnsi="宋体"/>
          <w:color w:val="FF0000"/>
          <w:sz w:val="24"/>
          <w:szCs w:val="24"/>
          <w:highlight w:val="none"/>
          <w:lang w:val="en-US"/>
        </w:rPr>
      </w:pPr>
    </w:p>
    <w:p w14:paraId="36340302">
      <w:pPr>
        <w:autoSpaceDE/>
        <w:autoSpaceDN/>
        <w:adjustRightInd w:val="0"/>
        <w:snapToGrid w:val="0"/>
        <w:spacing w:line="420" w:lineRule="exact"/>
        <w:ind w:firstLine="480" w:firstLineChars="200"/>
        <w:rPr>
          <w:rFonts w:hAnsi="宋体"/>
          <w:color w:val="FF0000"/>
          <w:sz w:val="24"/>
          <w:szCs w:val="24"/>
          <w:highlight w:val="none"/>
          <w:lang w:val="en-US"/>
        </w:rPr>
      </w:pPr>
      <w:r>
        <w:rPr>
          <w:rFonts w:hint="eastAsia" w:hAnsi="宋体"/>
          <w:sz w:val="24"/>
          <w:szCs w:val="24"/>
          <w:highlight w:val="none"/>
          <w:lang w:val="en-US"/>
        </w:rPr>
        <w:t>2、指挥中心、会议室及其他支撑系统。主要包括指挥大厅相关配套系统设备的5台公安网服务器、5台图像网服务器、2台图像解码设备、84台网络设备、20台安全设备以及公安网、视频网监控平台设备等；三楼多功能会议中心的34.56平方米室内全彩显示大屏、1台大屏处理器及相关配套的音响系统、集中控制系统等；高清视频会议系统的9台视频会议终端、1套电视墙服务器、18台摄像机及相关配套设备等；指挥大厅高清信号接收系统的17台高清4K信号接收器、1台无线传输器、1套高清四画面分割器及相关配套设备等；高清光纤矩阵系统的1台高清数视频光纤交换矩阵、9台4K信号接收器、41台4K信号发送器，61台DVI信号接收器、103台DVI信号发送器，4台HDSDI信号接收器，9台VGA信号接收器，142台HDMI信号接收器、2台8路光纤音频提取器及配电系统等。</w:t>
      </w:r>
    </w:p>
    <w:tbl>
      <w:tblPr>
        <w:tblStyle w:val="21"/>
        <w:tblW w:w="8237" w:type="dxa"/>
        <w:jc w:val="center"/>
        <w:tblLayout w:type="fixed"/>
        <w:tblCellMar>
          <w:top w:w="0" w:type="dxa"/>
          <w:left w:w="108" w:type="dxa"/>
          <w:bottom w:w="0" w:type="dxa"/>
          <w:right w:w="108" w:type="dxa"/>
        </w:tblCellMar>
      </w:tblPr>
      <w:tblGrid>
        <w:gridCol w:w="774"/>
        <w:gridCol w:w="2709"/>
        <w:gridCol w:w="2767"/>
        <w:gridCol w:w="1214"/>
        <w:gridCol w:w="773"/>
      </w:tblGrid>
      <w:tr w14:paraId="11565739">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9C03B">
            <w:pPr>
              <w:widowControl/>
              <w:autoSpaceDE/>
              <w:autoSpaceDN/>
              <w:adjustRightInd w:val="0"/>
              <w:snapToGrid w:val="0"/>
              <w:spacing w:line="420" w:lineRule="exact"/>
              <w:jc w:val="center"/>
              <w:textAlignment w:val="center"/>
              <w:rPr>
                <w:rFonts w:hAnsi="宋体"/>
                <w:b/>
                <w:bCs/>
                <w:sz w:val="24"/>
                <w:szCs w:val="24"/>
                <w:highlight w:val="none"/>
              </w:rPr>
            </w:pPr>
            <w:r>
              <w:rPr>
                <w:rFonts w:hint="eastAsia" w:hAnsi="宋体"/>
                <w:b/>
                <w:bCs/>
                <w:sz w:val="24"/>
                <w:szCs w:val="24"/>
                <w:highlight w:val="none"/>
                <w:lang w:val="en-US"/>
              </w:rPr>
              <w:t>序号</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38857">
            <w:pPr>
              <w:widowControl/>
              <w:autoSpaceDE/>
              <w:autoSpaceDN/>
              <w:adjustRightInd w:val="0"/>
              <w:snapToGrid w:val="0"/>
              <w:spacing w:line="420" w:lineRule="exact"/>
              <w:jc w:val="center"/>
              <w:textAlignment w:val="center"/>
              <w:rPr>
                <w:rFonts w:hAnsi="宋体"/>
                <w:b/>
                <w:bCs/>
                <w:sz w:val="24"/>
                <w:szCs w:val="24"/>
                <w:highlight w:val="none"/>
              </w:rPr>
            </w:pPr>
            <w:r>
              <w:rPr>
                <w:rFonts w:hint="eastAsia" w:hAnsi="宋体"/>
                <w:b/>
                <w:bCs/>
                <w:sz w:val="24"/>
                <w:szCs w:val="24"/>
                <w:highlight w:val="none"/>
                <w:lang w:val="en-US"/>
              </w:rPr>
              <w:t>设备名称</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97FF3">
            <w:pPr>
              <w:widowControl/>
              <w:autoSpaceDE/>
              <w:autoSpaceDN/>
              <w:adjustRightInd w:val="0"/>
              <w:snapToGrid w:val="0"/>
              <w:spacing w:line="420" w:lineRule="exact"/>
              <w:jc w:val="center"/>
              <w:textAlignment w:val="center"/>
              <w:rPr>
                <w:rFonts w:hAnsi="宋体"/>
                <w:b/>
                <w:bCs/>
                <w:sz w:val="24"/>
                <w:szCs w:val="24"/>
                <w:highlight w:val="none"/>
              </w:rPr>
            </w:pPr>
            <w:r>
              <w:rPr>
                <w:rFonts w:hint="eastAsia" w:hAnsi="宋体"/>
                <w:b/>
                <w:bCs/>
                <w:sz w:val="24"/>
                <w:szCs w:val="24"/>
                <w:highlight w:val="none"/>
                <w:lang w:val="en-US"/>
              </w:rPr>
              <w:t>规格型号</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E025">
            <w:pPr>
              <w:widowControl/>
              <w:autoSpaceDE/>
              <w:autoSpaceDN/>
              <w:adjustRightInd w:val="0"/>
              <w:snapToGrid w:val="0"/>
              <w:spacing w:line="420" w:lineRule="exact"/>
              <w:jc w:val="center"/>
              <w:textAlignment w:val="center"/>
              <w:rPr>
                <w:rFonts w:hAnsi="宋体"/>
                <w:b/>
                <w:bCs/>
                <w:sz w:val="24"/>
                <w:szCs w:val="24"/>
                <w:highlight w:val="none"/>
              </w:rPr>
            </w:pPr>
            <w:r>
              <w:rPr>
                <w:rFonts w:hint="eastAsia" w:hAnsi="宋体"/>
                <w:b/>
                <w:bCs/>
                <w:sz w:val="24"/>
                <w:szCs w:val="24"/>
                <w:highlight w:val="none"/>
                <w:lang w:val="en-US"/>
              </w:rPr>
              <w:t>品牌</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2BDD6">
            <w:pPr>
              <w:widowControl/>
              <w:autoSpaceDE/>
              <w:autoSpaceDN/>
              <w:adjustRightInd w:val="0"/>
              <w:snapToGrid w:val="0"/>
              <w:spacing w:line="420" w:lineRule="exact"/>
              <w:jc w:val="center"/>
              <w:textAlignment w:val="center"/>
              <w:rPr>
                <w:rFonts w:hAnsi="宋体"/>
                <w:b/>
                <w:bCs/>
                <w:sz w:val="24"/>
                <w:szCs w:val="24"/>
                <w:highlight w:val="none"/>
              </w:rPr>
            </w:pPr>
            <w:r>
              <w:rPr>
                <w:rFonts w:hint="eastAsia" w:hAnsi="宋体"/>
                <w:b/>
                <w:bCs/>
                <w:sz w:val="24"/>
                <w:szCs w:val="24"/>
                <w:highlight w:val="none"/>
                <w:lang w:val="en-US"/>
              </w:rPr>
              <w:t>数量</w:t>
            </w:r>
          </w:p>
        </w:tc>
      </w:tr>
      <w:tr w14:paraId="62349F43">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E594202">
            <w:pPr>
              <w:widowControl/>
              <w:autoSpaceDE/>
              <w:autoSpaceDN/>
              <w:adjustRightInd w:val="0"/>
              <w:snapToGrid w:val="0"/>
              <w:spacing w:line="420" w:lineRule="exact"/>
              <w:rPr>
                <w:rFonts w:hAnsi="宋体"/>
                <w:sz w:val="24"/>
                <w:szCs w:val="24"/>
                <w:highlight w:val="none"/>
              </w:rPr>
            </w:pPr>
            <w:r>
              <w:rPr>
                <w:rFonts w:hint="eastAsia" w:hAnsi="宋体"/>
                <w:b/>
                <w:bCs/>
                <w:sz w:val="24"/>
                <w:szCs w:val="24"/>
                <w:highlight w:val="none"/>
                <w:lang w:val="en-US"/>
              </w:rPr>
              <w:t>一、指挥大厅相关配套系统设备</w:t>
            </w:r>
          </w:p>
        </w:tc>
      </w:tr>
      <w:tr w14:paraId="2AC55561">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90FE15">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1.1、图像专网视频监控平台</w:t>
            </w:r>
          </w:p>
        </w:tc>
      </w:tr>
      <w:tr w14:paraId="227DA049">
        <w:tblPrEx>
          <w:tblCellMar>
            <w:top w:w="0" w:type="dxa"/>
            <w:left w:w="108" w:type="dxa"/>
            <w:bottom w:w="0" w:type="dxa"/>
            <w:right w:w="108" w:type="dxa"/>
          </w:tblCellMar>
        </w:tblPrEx>
        <w:trPr>
          <w:trHeight w:val="822"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ADD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444F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图像网服务器</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9DC0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IS-VSE2326C-DDA</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5D93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海康海康</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EEFC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r>
      <w:tr w14:paraId="03077F3D">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A9C9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047D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图像网综合解码设备</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0574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DS-B20-S14-DA</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87B1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海康</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C82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7EFF7174">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2F10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CB36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DVI解码板</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B3F4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DS-6532HD-B20D</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1DE8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海康</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036C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9</w:t>
            </w:r>
          </w:p>
        </w:tc>
      </w:tr>
      <w:tr w14:paraId="0D4CAA64">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FB1A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73DD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调度终端</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8FF5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联想扬天 T4900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A278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联想</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8CA7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3217E4F6">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34FE3AF">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1.2、公安网干线推送平台</w:t>
            </w:r>
          </w:p>
        </w:tc>
      </w:tr>
      <w:tr w14:paraId="6AB0A4F4">
        <w:tblPrEx>
          <w:tblCellMar>
            <w:top w:w="0" w:type="dxa"/>
            <w:left w:w="108" w:type="dxa"/>
            <w:bottom w:w="0" w:type="dxa"/>
            <w:right w:w="108" w:type="dxa"/>
          </w:tblCellMar>
        </w:tblPrEx>
        <w:trPr>
          <w:trHeight w:val="822"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22CB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823B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公安网综合编解码设备</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3E9F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DS-B20-S14-DA</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A437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海康</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833D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15AD6A2F">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8EB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E941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高清解码板</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65EA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DS-6532HD-B20D</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C30E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海康</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F69F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45FE4EEA">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514B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7889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高清编码板</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219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DS-6408HFH-B20D</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E02E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海康</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360A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355A40ED">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2A48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9A50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公安网服务器</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8D07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IS-VSE2326C-DDA</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A6F8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海康</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5270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r>
      <w:tr w14:paraId="4E7CEF3E">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689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188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16路高清编码器</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7769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DS-B20-S03-A</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C06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海康</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66C8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23AB6F75">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FC16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8A7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8路高清编码器</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4C4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DS-6408HFH-B20D</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D89C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海康</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EAF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9</w:t>
            </w:r>
          </w:p>
        </w:tc>
      </w:tr>
      <w:tr w14:paraId="0307D8C1">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7AE95D0">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1.3、马群高速公路联网中心监控系统</w:t>
            </w:r>
          </w:p>
        </w:tc>
      </w:tr>
      <w:tr w14:paraId="4FC5B844">
        <w:tblPrEx>
          <w:tblCellMar>
            <w:top w:w="0" w:type="dxa"/>
            <w:left w:w="108" w:type="dxa"/>
            <w:bottom w:w="0" w:type="dxa"/>
            <w:right w:w="108" w:type="dxa"/>
          </w:tblCellMar>
        </w:tblPrEx>
        <w:trPr>
          <w:trHeight w:val="822"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08F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D3B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调度平台</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E411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定制</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9D690">
            <w:pPr>
              <w:widowControl/>
              <w:autoSpaceDE/>
              <w:autoSpaceDN/>
              <w:adjustRightInd w:val="0"/>
              <w:snapToGrid w:val="0"/>
              <w:spacing w:line="420" w:lineRule="exact"/>
              <w:textAlignment w:val="center"/>
              <w:rPr>
                <w:rFonts w:hAnsi="宋体"/>
                <w:sz w:val="24"/>
                <w:szCs w:val="24"/>
                <w:highlight w:val="none"/>
              </w:rPr>
            </w:pPr>
            <w:r>
              <w:rPr>
                <w:rFonts w:hint="eastAsia" w:hAnsi="宋体"/>
                <w:sz w:val="24"/>
                <w:szCs w:val="24"/>
                <w:highlight w:val="none"/>
                <w:lang w:val="en-US"/>
              </w:rPr>
              <w:t>长天致远</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8FD6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17472FE9">
        <w:tblPrEx>
          <w:tblCellMar>
            <w:top w:w="0" w:type="dxa"/>
            <w:left w:w="108" w:type="dxa"/>
            <w:bottom w:w="0" w:type="dxa"/>
            <w:right w:w="108" w:type="dxa"/>
          </w:tblCellMar>
        </w:tblPrEx>
        <w:trPr>
          <w:trHeight w:val="822"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D5F5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06F4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解码阵列</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5227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定制</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3AACD">
            <w:pPr>
              <w:widowControl/>
              <w:autoSpaceDE/>
              <w:autoSpaceDN/>
              <w:adjustRightInd w:val="0"/>
              <w:snapToGrid w:val="0"/>
              <w:spacing w:line="420" w:lineRule="exact"/>
              <w:textAlignment w:val="center"/>
              <w:rPr>
                <w:rFonts w:hAnsi="宋体"/>
                <w:sz w:val="24"/>
                <w:szCs w:val="24"/>
                <w:highlight w:val="none"/>
              </w:rPr>
            </w:pPr>
            <w:r>
              <w:rPr>
                <w:rFonts w:hint="eastAsia" w:hAnsi="宋体"/>
                <w:sz w:val="24"/>
                <w:szCs w:val="24"/>
                <w:highlight w:val="none"/>
                <w:lang w:val="en-US"/>
              </w:rPr>
              <w:t>长天致远</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E48C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22DD4BBA">
        <w:tblPrEx>
          <w:tblCellMar>
            <w:top w:w="0" w:type="dxa"/>
            <w:left w:w="108" w:type="dxa"/>
            <w:bottom w:w="0" w:type="dxa"/>
            <w:right w:w="108" w:type="dxa"/>
          </w:tblCellMar>
        </w:tblPrEx>
        <w:trPr>
          <w:trHeight w:val="421" w:hRule="atLeast"/>
          <w:jc w:val="center"/>
        </w:trPr>
        <w:tc>
          <w:tcPr>
            <w:tcW w:w="62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98F96F">
            <w:pPr>
              <w:widowControl/>
              <w:autoSpaceDE/>
              <w:autoSpaceDN/>
              <w:adjustRightInd w:val="0"/>
              <w:snapToGrid w:val="0"/>
              <w:spacing w:line="420" w:lineRule="exact"/>
              <w:textAlignment w:val="center"/>
              <w:rPr>
                <w:rFonts w:hAnsi="宋体"/>
                <w:sz w:val="24"/>
                <w:szCs w:val="24"/>
                <w:highlight w:val="none"/>
              </w:rPr>
            </w:pPr>
            <w:r>
              <w:rPr>
                <w:rFonts w:hint="eastAsia" w:hAnsi="宋体"/>
                <w:sz w:val="24"/>
                <w:szCs w:val="24"/>
                <w:highlight w:val="none"/>
                <w:lang w:val="en-US"/>
              </w:rPr>
              <w:t>1.4、与省公安厅视音频系统对接视频会议终端</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F4CD7">
            <w:pPr>
              <w:widowControl/>
              <w:autoSpaceDE/>
              <w:autoSpaceDN/>
              <w:adjustRightInd w:val="0"/>
              <w:snapToGrid w:val="0"/>
              <w:spacing w:line="420" w:lineRule="exact"/>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705A4">
            <w:pPr>
              <w:widowControl/>
              <w:autoSpaceDE/>
              <w:autoSpaceDN/>
              <w:adjustRightInd w:val="0"/>
              <w:snapToGrid w:val="0"/>
              <w:spacing w:line="420" w:lineRule="exact"/>
              <w:jc w:val="center"/>
              <w:rPr>
                <w:rFonts w:hAnsi="宋体"/>
                <w:sz w:val="24"/>
                <w:szCs w:val="24"/>
                <w:highlight w:val="none"/>
              </w:rPr>
            </w:pPr>
          </w:p>
        </w:tc>
      </w:tr>
      <w:tr w14:paraId="7F7440EA">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389F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AE7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高清视音频会议终端</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D64B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定制</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3A5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科达</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E778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641EA192">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08E61D">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1.5指挥调度大厅防雷接地</w:t>
            </w:r>
          </w:p>
        </w:tc>
      </w:tr>
      <w:tr w14:paraId="725C20CE">
        <w:tblPrEx>
          <w:tblCellMar>
            <w:top w:w="0" w:type="dxa"/>
            <w:left w:w="108" w:type="dxa"/>
            <w:bottom w:w="0" w:type="dxa"/>
            <w:right w:w="108" w:type="dxa"/>
          </w:tblCellMar>
        </w:tblPrEx>
        <w:trPr>
          <w:trHeight w:val="828"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E5C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C15A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指挥中心防雷接地及等压</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5727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4mm*40mm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E9BC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大桥</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931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21A21424">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4C7540">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1.6、大屏散热系统</w:t>
            </w:r>
          </w:p>
        </w:tc>
      </w:tr>
      <w:tr w14:paraId="1F8ACC1F">
        <w:tblPrEx>
          <w:tblCellMar>
            <w:top w:w="0" w:type="dxa"/>
            <w:left w:w="108" w:type="dxa"/>
            <w:bottom w:w="0" w:type="dxa"/>
            <w:right w:w="108" w:type="dxa"/>
          </w:tblCellMar>
        </w:tblPrEx>
        <w:trPr>
          <w:trHeight w:val="42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C4B3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23A6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精密空调</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087A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SCA351D</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CCD6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依米康</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E031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6BBF02E1">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7D9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5CB3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通讯卡</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6E9F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SNMP</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50D4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依米康</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776D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14BF513B">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6CDE135">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1.7、决策室网络</w:t>
            </w:r>
          </w:p>
        </w:tc>
      </w:tr>
      <w:tr w14:paraId="0428DA48">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A559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F5AF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C729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S2326TP-PWR-EI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1EAF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138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6D7D3061">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0CCDAC5">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1.8会议摄像系统</w:t>
            </w:r>
          </w:p>
        </w:tc>
      </w:tr>
      <w:tr w14:paraId="02572F8C">
        <w:tblPrEx>
          <w:tblCellMar>
            <w:top w:w="0" w:type="dxa"/>
            <w:left w:w="108" w:type="dxa"/>
            <w:bottom w:w="0" w:type="dxa"/>
            <w:right w:w="108" w:type="dxa"/>
          </w:tblCellMar>
        </w:tblPrEx>
        <w:trPr>
          <w:trHeight w:val="55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58A3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081E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会议摄像机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5186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定制</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7323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小鸟</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8BD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15</w:t>
            </w:r>
          </w:p>
        </w:tc>
      </w:tr>
      <w:tr w14:paraId="2D0DA8D1">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EB67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7BC6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会议摄像机键盘</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D3E3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定制</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31D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小鸟</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F0A3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r>
      <w:tr w14:paraId="1403C1D3">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EF7770A">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 xml:space="preserve">1.9计算机网络系统 </w:t>
            </w:r>
          </w:p>
        </w:tc>
      </w:tr>
      <w:tr w14:paraId="7D50718D">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9E7EB9">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公安网48口万兆核心交换机</w:t>
            </w:r>
          </w:p>
        </w:tc>
      </w:tr>
      <w:tr w14:paraId="4E1B3A7F">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4FFB1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95845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敏捷交换机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DD25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华为S12712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7A0FE">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46164">
            <w:pPr>
              <w:widowControl/>
              <w:autoSpaceDE/>
              <w:autoSpaceDN/>
              <w:adjustRightInd w:val="0"/>
              <w:snapToGrid w:val="0"/>
              <w:spacing w:line="420" w:lineRule="exact"/>
              <w:jc w:val="center"/>
              <w:rPr>
                <w:rFonts w:hAnsi="宋体"/>
                <w:sz w:val="24"/>
                <w:szCs w:val="24"/>
                <w:highlight w:val="none"/>
              </w:rPr>
            </w:pPr>
          </w:p>
        </w:tc>
      </w:tr>
      <w:tr w14:paraId="57A0074D">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E92FF">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7CCB1">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893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ET1BS12712S0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F23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E905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5E972BE7">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CD804">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628E9">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8FA6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ET1D2MPUA000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5DD2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A6B2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05217D42">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15DA8">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0DD06">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B8F7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ET1D2SFUA000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7BE5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38DD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r>
      <w:tr w14:paraId="09BDA0E0">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A4872">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D94C7">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C3C0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EH1D2VS08000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C6A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876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6F3A0B14">
        <w:tblPrEx>
          <w:tblCellMar>
            <w:top w:w="0" w:type="dxa"/>
            <w:left w:w="108" w:type="dxa"/>
            <w:bottom w:w="0" w:type="dxa"/>
            <w:right w:w="108" w:type="dxa"/>
          </w:tblCellMar>
        </w:tblPrEx>
        <w:trPr>
          <w:trHeight w:val="828"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D79B2">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FD245">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C995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ET1D2T36SEA0,ET1D2G24SEC0,ET1D2X12SSA0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BC2A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EE12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52303950">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E99E5">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98EBE">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A4DD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693E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600D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16</w:t>
            </w:r>
          </w:p>
        </w:tc>
      </w:tr>
      <w:tr w14:paraId="57CD8A2C">
        <w:tblPrEx>
          <w:tblCellMar>
            <w:top w:w="0" w:type="dxa"/>
            <w:left w:w="108" w:type="dxa"/>
            <w:bottom w:w="0" w:type="dxa"/>
            <w:right w:w="108" w:type="dxa"/>
          </w:tblCellMar>
        </w:tblPrEx>
        <w:trPr>
          <w:trHeight w:val="525"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41A0D">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A131A">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5F9A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OSX010000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B62A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A0C1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r>
      <w:tr w14:paraId="74461A48">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D2398">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8F8BC">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EC1D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OSX040N01</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D477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F6DF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4F9A7ED1">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6E318">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BAD0C">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5271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PAC-2200WF</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DFF3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4EA0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r>
      <w:tr w14:paraId="6E34957E">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C68B0">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DAF41">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D58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ET1SM2612700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E898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2BAB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0225FE87">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1DDBD">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4FE36">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9F59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SFP-10G-CU3M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4452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7670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48</w:t>
            </w:r>
          </w:p>
        </w:tc>
      </w:tr>
      <w:tr w14:paraId="0B189618">
        <w:tblPrEx>
          <w:tblCellMar>
            <w:top w:w="0" w:type="dxa"/>
            <w:left w:w="108" w:type="dxa"/>
            <w:bottom w:w="0" w:type="dxa"/>
            <w:right w:w="108" w:type="dxa"/>
          </w:tblCellMar>
        </w:tblPrEx>
        <w:trPr>
          <w:trHeight w:val="525"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0C00EFC">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公安网核心交换机扩容(H3C)</w:t>
            </w:r>
          </w:p>
        </w:tc>
      </w:tr>
      <w:tr w14:paraId="59FB653E">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right w:val="single" w:color="000000" w:sz="4" w:space="0"/>
            </w:tcBorders>
            <w:shd w:val="clear" w:color="auto" w:fill="auto"/>
            <w:vAlign w:val="center"/>
          </w:tcPr>
          <w:p w14:paraId="19C21C65">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lang w:val="en-US"/>
              </w:rPr>
              <w:t>2</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B7726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核心交换机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405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LSTM1XP48LFD1</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EB22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H3C</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BD14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7D4A4491">
        <w:tblPrEx>
          <w:tblCellMar>
            <w:top w:w="0" w:type="dxa"/>
            <w:left w:w="108" w:type="dxa"/>
            <w:bottom w:w="0" w:type="dxa"/>
            <w:right w:w="108" w:type="dxa"/>
          </w:tblCellMar>
        </w:tblPrEx>
        <w:trPr>
          <w:trHeight w:val="794" w:hRule="atLeast"/>
          <w:jc w:val="center"/>
        </w:trPr>
        <w:tc>
          <w:tcPr>
            <w:tcW w:w="774" w:type="dxa"/>
            <w:vMerge w:val="continue"/>
            <w:tcBorders>
              <w:left w:val="single" w:color="000000" w:sz="4" w:space="0"/>
              <w:bottom w:val="single" w:color="000000" w:sz="4" w:space="0"/>
              <w:right w:val="single" w:color="000000" w:sz="4" w:space="0"/>
            </w:tcBorders>
            <w:shd w:val="clear" w:color="auto" w:fill="auto"/>
            <w:vAlign w:val="center"/>
          </w:tcPr>
          <w:p w14:paraId="3627636E">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84FE5">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81DE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SFP-XG-LH40-SM1550-D</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E2A6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H3C</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4D0A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319AC421">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D8B3E6">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公安网网络机房预留48口千兆接入交换机_公安网</w:t>
            </w:r>
          </w:p>
        </w:tc>
      </w:tr>
      <w:tr w14:paraId="46CFFD6B">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42DCD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7FDC8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B233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76F53">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D7862">
            <w:pPr>
              <w:widowControl/>
              <w:autoSpaceDE/>
              <w:autoSpaceDN/>
              <w:adjustRightInd w:val="0"/>
              <w:snapToGrid w:val="0"/>
              <w:spacing w:line="420" w:lineRule="exact"/>
              <w:jc w:val="center"/>
              <w:rPr>
                <w:rFonts w:hAnsi="宋体"/>
                <w:sz w:val="24"/>
                <w:szCs w:val="24"/>
                <w:highlight w:val="none"/>
              </w:rPr>
            </w:pPr>
          </w:p>
        </w:tc>
      </w:tr>
      <w:tr w14:paraId="40E55185">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521CC">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2A82A">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A7E0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F748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A6D2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62318649">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67CE6">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B4A7D">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3C6C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980F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C692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1257C29D">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B711949">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公安网48口万兆服务器接入交换机_公安网</w:t>
            </w:r>
          </w:p>
        </w:tc>
      </w:tr>
      <w:tr w14:paraId="41FD26CA">
        <w:tblPrEx>
          <w:tblCellMar>
            <w:top w:w="0" w:type="dxa"/>
            <w:left w:w="108" w:type="dxa"/>
            <w:bottom w:w="0" w:type="dxa"/>
            <w:right w:w="108" w:type="dxa"/>
          </w:tblCellMar>
        </w:tblPrEx>
        <w:trPr>
          <w:trHeight w:val="420"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0FCC4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F8A65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48154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华为CE6810-32T16S4Q-LI</w:t>
            </w:r>
          </w:p>
        </w:tc>
        <w:tc>
          <w:tcPr>
            <w:tcW w:w="12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3201B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BB0B15">
            <w:pPr>
              <w:widowControl/>
              <w:autoSpaceDE/>
              <w:autoSpaceDN/>
              <w:adjustRightInd w:val="0"/>
              <w:snapToGrid w:val="0"/>
              <w:spacing w:line="420" w:lineRule="exact"/>
              <w:jc w:val="center"/>
              <w:rPr>
                <w:rFonts w:hAnsi="宋体"/>
                <w:sz w:val="24"/>
                <w:szCs w:val="24"/>
                <w:highlight w:val="none"/>
              </w:rPr>
            </w:pPr>
          </w:p>
        </w:tc>
      </w:tr>
      <w:tr w14:paraId="67BF7D9F">
        <w:tblPrEx>
          <w:tblCellMar>
            <w:top w:w="0" w:type="dxa"/>
            <w:left w:w="108" w:type="dxa"/>
            <w:bottom w:w="0" w:type="dxa"/>
            <w:right w:w="108" w:type="dxa"/>
          </w:tblCellMar>
        </w:tblPrEx>
        <w:trPr>
          <w:trHeight w:val="513"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25A60">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E354D">
            <w:pPr>
              <w:widowControl/>
              <w:autoSpaceDE/>
              <w:autoSpaceDN/>
              <w:adjustRightInd w:val="0"/>
              <w:snapToGrid w:val="0"/>
              <w:spacing w:line="420" w:lineRule="exact"/>
              <w:jc w:val="center"/>
              <w:rPr>
                <w:rFonts w:hAnsi="宋体"/>
                <w:sz w:val="24"/>
                <w:szCs w:val="24"/>
                <w:highlight w:val="none"/>
              </w:rPr>
            </w:pPr>
          </w:p>
        </w:tc>
        <w:tc>
          <w:tcPr>
            <w:tcW w:w="2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38678">
            <w:pPr>
              <w:widowControl/>
              <w:autoSpaceDE/>
              <w:autoSpaceDN/>
              <w:adjustRightInd w:val="0"/>
              <w:snapToGrid w:val="0"/>
              <w:spacing w:line="420" w:lineRule="exact"/>
              <w:jc w:val="center"/>
              <w:rPr>
                <w:rFonts w:hAnsi="宋体"/>
                <w:sz w:val="24"/>
                <w:szCs w:val="24"/>
                <w:highlight w:val="none"/>
              </w:rPr>
            </w:pPr>
          </w:p>
        </w:tc>
        <w:tc>
          <w:tcPr>
            <w:tcW w:w="12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3C77F">
            <w:pPr>
              <w:widowControl/>
              <w:autoSpaceDE/>
              <w:autoSpaceDN/>
              <w:adjustRightInd w:val="0"/>
              <w:snapToGrid w:val="0"/>
              <w:spacing w:line="420" w:lineRule="exact"/>
              <w:jc w:val="center"/>
              <w:rPr>
                <w:rFonts w:hAnsi="宋体"/>
                <w:sz w:val="24"/>
                <w:szCs w:val="24"/>
                <w:highlight w:val="none"/>
              </w:rPr>
            </w:pPr>
          </w:p>
        </w:tc>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916DC">
            <w:pPr>
              <w:widowControl/>
              <w:autoSpaceDE/>
              <w:autoSpaceDN/>
              <w:adjustRightInd w:val="0"/>
              <w:snapToGrid w:val="0"/>
              <w:spacing w:line="420" w:lineRule="exact"/>
              <w:jc w:val="center"/>
              <w:rPr>
                <w:rFonts w:hAnsi="宋体"/>
                <w:sz w:val="24"/>
                <w:szCs w:val="24"/>
                <w:highlight w:val="none"/>
              </w:rPr>
            </w:pPr>
          </w:p>
        </w:tc>
      </w:tr>
      <w:tr w14:paraId="61704404">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8AA87">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1C060">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FD9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CE6810-LI-F-B00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16BF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DC71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12</w:t>
            </w:r>
          </w:p>
        </w:tc>
      </w:tr>
      <w:tr w14:paraId="48BD10DB">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C83C6">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BDB64">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AF0A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QSFP-40G-CU3M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6500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EF84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12</w:t>
            </w:r>
          </w:p>
        </w:tc>
      </w:tr>
      <w:tr w14:paraId="4369318D">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D679C">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57FF4">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D78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PAC-350WA-B</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F8E0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BE1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12</w:t>
            </w:r>
          </w:p>
        </w:tc>
      </w:tr>
      <w:tr w14:paraId="2844C77A">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6742F">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56091">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D6A2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SFP-10G-LR</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4AAA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7A8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24</w:t>
            </w:r>
          </w:p>
        </w:tc>
      </w:tr>
      <w:tr w14:paraId="67ACCB87">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43B7FF">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公安网48口万兆汇聚层交换机</w:t>
            </w:r>
          </w:p>
        </w:tc>
      </w:tr>
      <w:tr w14:paraId="566C9E2E">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C07D3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9FA51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核心路由交换机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6F0F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华为S7706</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4DBDF">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1CD9">
            <w:pPr>
              <w:widowControl/>
              <w:autoSpaceDE/>
              <w:autoSpaceDN/>
              <w:adjustRightInd w:val="0"/>
              <w:snapToGrid w:val="0"/>
              <w:spacing w:line="420" w:lineRule="exact"/>
              <w:jc w:val="center"/>
              <w:rPr>
                <w:rFonts w:hAnsi="宋体"/>
                <w:sz w:val="24"/>
                <w:szCs w:val="24"/>
                <w:highlight w:val="none"/>
              </w:rPr>
            </w:pPr>
          </w:p>
        </w:tc>
      </w:tr>
      <w:tr w14:paraId="1593D947">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D3E08">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B6B85">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712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ES0Z1B06ACS0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D936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88B0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5C7C76C2">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6A373">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AA181">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FA21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ES0D00SRUA00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017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E40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1AB7F0B9">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1AF52">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289F5">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86DE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ES1D2X40SFC0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CDDB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EC96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354E4B22">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8357E">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21771">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494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W2PSA0800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6837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4CBE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47775B8D">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BE892">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63332">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637B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OSX010000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4687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295B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49AA0041">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B08C088">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公安网48口千兆楼层接入交换机_公安网</w:t>
            </w:r>
          </w:p>
        </w:tc>
      </w:tr>
      <w:tr w14:paraId="07300CC4">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0393A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CE9A9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3EA7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E89C2">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53DD">
            <w:pPr>
              <w:widowControl/>
              <w:autoSpaceDE/>
              <w:autoSpaceDN/>
              <w:adjustRightInd w:val="0"/>
              <w:snapToGrid w:val="0"/>
              <w:spacing w:line="420" w:lineRule="exact"/>
              <w:jc w:val="center"/>
              <w:rPr>
                <w:rFonts w:hAnsi="宋体"/>
                <w:sz w:val="24"/>
                <w:szCs w:val="24"/>
                <w:highlight w:val="none"/>
              </w:rPr>
            </w:pPr>
          </w:p>
        </w:tc>
      </w:tr>
      <w:tr w14:paraId="3AEE4881">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606CE">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9BF91">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C3B7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496C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A26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r>
      <w:tr w14:paraId="6DC2370E">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3AC1E">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A1C1C">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0B22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0F66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C7C0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12</w:t>
            </w:r>
          </w:p>
        </w:tc>
      </w:tr>
      <w:tr w14:paraId="243A2380">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ED0210B">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公安网48口万兆指挥大厅接入交换机_公安网</w:t>
            </w:r>
          </w:p>
        </w:tc>
      </w:tr>
      <w:tr w14:paraId="22117D18">
        <w:tblPrEx>
          <w:tblCellMar>
            <w:top w:w="0" w:type="dxa"/>
            <w:left w:w="108" w:type="dxa"/>
            <w:bottom w:w="0" w:type="dxa"/>
            <w:right w:w="108" w:type="dxa"/>
          </w:tblCellMar>
        </w:tblPrEx>
        <w:trPr>
          <w:trHeight w:val="794"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545C2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7</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824FF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系列以太网交换机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9A5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CE6850-48T6Q-HI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6CBD5">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3C06">
            <w:pPr>
              <w:widowControl/>
              <w:autoSpaceDE/>
              <w:autoSpaceDN/>
              <w:adjustRightInd w:val="0"/>
              <w:snapToGrid w:val="0"/>
              <w:spacing w:line="420" w:lineRule="exact"/>
              <w:jc w:val="center"/>
              <w:rPr>
                <w:rFonts w:hAnsi="宋体"/>
                <w:sz w:val="24"/>
                <w:szCs w:val="24"/>
                <w:highlight w:val="none"/>
              </w:rPr>
            </w:pPr>
          </w:p>
        </w:tc>
      </w:tr>
      <w:tr w14:paraId="27A5B312">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9D1B5">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5592E">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7D32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CE6850-HI-F-B00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CBCB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7A70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74ED6994">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9B77C">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784A8">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BF27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QSFP-40G-CU3M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B0D7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EE2D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66EC2F47">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864A4">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8F201">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8505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PAC-350WA-B</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0E65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198F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288868A3">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5DBE8">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010F1">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91B2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SFP-10G-LR</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1331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2DE3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4D9744EF">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05CB5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53312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防火墙</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DAAA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华为USG6650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8954">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721D1">
            <w:pPr>
              <w:widowControl/>
              <w:autoSpaceDE/>
              <w:autoSpaceDN/>
              <w:adjustRightInd w:val="0"/>
              <w:snapToGrid w:val="0"/>
              <w:spacing w:line="420" w:lineRule="exact"/>
              <w:jc w:val="center"/>
              <w:rPr>
                <w:rFonts w:hAnsi="宋体"/>
                <w:sz w:val="24"/>
                <w:szCs w:val="24"/>
                <w:highlight w:val="none"/>
              </w:rPr>
            </w:pPr>
          </w:p>
        </w:tc>
      </w:tr>
      <w:tr w14:paraId="67695BB0">
        <w:tblPrEx>
          <w:tblCellMar>
            <w:top w:w="0" w:type="dxa"/>
            <w:left w:w="108" w:type="dxa"/>
            <w:bottom w:w="0" w:type="dxa"/>
            <w:right w:w="108" w:type="dxa"/>
          </w:tblCellMar>
        </w:tblPrEx>
        <w:trPr>
          <w:trHeight w:val="794"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D78A1">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AE542">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4163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USG6650-AC，WSIC-8GE</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E781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EFD2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1D5FD197">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58660">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A3BD4">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F9B1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SM-HDD-SAS300G-A</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D98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8A09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412A1E09">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37095">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8AB80">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8F88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OMXD30000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C7CC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49E3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733FDC4C">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C8EF3">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B8257">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2006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Power-AC-B</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806A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22F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77BC8D27">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1BBD8">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CB00F">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C72E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LIC-VSYS-USG6000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2999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939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5FD5238B">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54C7C">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3BEE0">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146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LIC-CONTENT</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1E04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EF69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0ACA25FF">
        <w:tblPrEx>
          <w:tblCellMar>
            <w:top w:w="0" w:type="dxa"/>
            <w:left w:w="108" w:type="dxa"/>
            <w:bottom w:w="0" w:type="dxa"/>
            <w:right w:w="108" w:type="dxa"/>
          </w:tblCellMar>
        </w:tblPrEx>
        <w:trPr>
          <w:trHeight w:val="828"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70447">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3402E">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AC23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LIC-IPSAVURL-36-USG6600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399D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BF34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351BEFDA">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BC5A343">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图像网48口万兆核心交换机</w:t>
            </w:r>
          </w:p>
        </w:tc>
      </w:tr>
      <w:tr w14:paraId="66C10BDC">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02105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9</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BD8C0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敏捷交换机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DFDA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华为S12712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7419D">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07D68">
            <w:pPr>
              <w:widowControl/>
              <w:autoSpaceDE/>
              <w:autoSpaceDN/>
              <w:adjustRightInd w:val="0"/>
              <w:snapToGrid w:val="0"/>
              <w:spacing w:line="420" w:lineRule="exact"/>
              <w:jc w:val="center"/>
              <w:rPr>
                <w:rFonts w:hAnsi="宋体"/>
                <w:sz w:val="24"/>
                <w:szCs w:val="24"/>
                <w:highlight w:val="none"/>
              </w:rPr>
            </w:pPr>
          </w:p>
        </w:tc>
      </w:tr>
      <w:tr w14:paraId="0F40E71F">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4F7A4">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4326C">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939F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ET1BS12712S0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F235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4A23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34C8751E">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9DB58">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BFF57">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CA66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ET1D2MPUA000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0180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F27A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0B93E722">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0D551">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5EFED">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645C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ET1D2SFUA000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A4B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B5C9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r>
      <w:tr w14:paraId="489811D8">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6F2F9">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F8F24">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2283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EH1D2VS08000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9BED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8EF5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169B8C8D">
        <w:tblPrEx>
          <w:tblCellMar>
            <w:top w:w="0" w:type="dxa"/>
            <w:left w:w="108" w:type="dxa"/>
            <w:bottom w:w="0" w:type="dxa"/>
            <w:right w:w="108" w:type="dxa"/>
          </w:tblCellMar>
        </w:tblPrEx>
        <w:trPr>
          <w:trHeight w:val="1237"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4A723">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90580">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5F39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ET1D2T36SEA0，ET1D2G24SEC0，ET1D2X12SSA0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2A64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3485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6879F1AF">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F5B06">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EE361">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1A34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E36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D578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16</w:t>
            </w:r>
          </w:p>
        </w:tc>
      </w:tr>
      <w:tr w14:paraId="30E28AE5">
        <w:tblPrEx>
          <w:tblCellMar>
            <w:top w:w="0" w:type="dxa"/>
            <w:left w:w="108" w:type="dxa"/>
            <w:bottom w:w="0" w:type="dxa"/>
            <w:right w:w="108" w:type="dxa"/>
          </w:tblCellMar>
        </w:tblPrEx>
        <w:trPr>
          <w:trHeight w:val="794"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439DA">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53A87">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0A9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S-SFP-GE-LH40-SM1310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A62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A05F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3397B91C">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883C7">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32657">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C392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OSX010000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1567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A760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r>
      <w:tr w14:paraId="2AC644F5">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273B3">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C98EB">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187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PAC-2200WF</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FDD8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0282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r>
      <w:tr w14:paraId="2E72B581">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2E66B">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CC146">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055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ET1SM2612700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8636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26EF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2917EE63">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D3DC3E">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图像网核心交换机扩容(H3C)</w:t>
            </w:r>
          </w:p>
        </w:tc>
      </w:tr>
      <w:tr w14:paraId="50955A52">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right w:val="single" w:color="000000" w:sz="4" w:space="0"/>
            </w:tcBorders>
            <w:shd w:val="clear" w:color="auto" w:fill="auto"/>
            <w:vAlign w:val="center"/>
          </w:tcPr>
          <w:p w14:paraId="563EC08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lang w:val="en-US"/>
              </w:rPr>
              <w:t>10</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44516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核心交换机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2526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LSUM1GP48SE0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324A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H3C</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0D4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459C237A">
        <w:tblPrEx>
          <w:tblCellMar>
            <w:top w:w="0" w:type="dxa"/>
            <w:left w:w="108" w:type="dxa"/>
            <w:bottom w:w="0" w:type="dxa"/>
            <w:right w:w="108" w:type="dxa"/>
          </w:tblCellMar>
        </w:tblPrEx>
        <w:trPr>
          <w:trHeight w:val="794" w:hRule="atLeast"/>
          <w:jc w:val="center"/>
        </w:trPr>
        <w:tc>
          <w:tcPr>
            <w:tcW w:w="774" w:type="dxa"/>
            <w:vMerge w:val="continue"/>
            <w:tcBorders>
              <w:left w:val="single" w:color="000000" w:sz="4" w:space="0"/>
              <w:bottom w:val="single" w:color="000000" w:sz="4" w:space="0"/>
              <w:right w:val="single" w:color="000000" w:sz="4" w:space="0"/>
            </w:tcBorders>
            <w:shd w:val="clear" w:color="auto" w:fill="auto"/>
            <w:vAlign w:val="center"/>
          </w:tcPr>
          <w:p w14:paraId="677305C9">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4016E">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872A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SFP-GE-LH40-SM1310-D</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530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H3C</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C5AE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23E5ECC4">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AC28CB2">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图像网网络机房预留48口千兆接入交换机_图像网</w:t>
            </w:r>
          </w:p>
        </w:tc>
      </w:tr>
      <w:tr w14:paraId="7F708819">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6AE8D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11</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345F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736D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1C5EC">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D24B3">
            <w:pPr>
              <w:widowControl/>
              <w:autoSpaceDE/>
              <w:autoSpaceDN/>
              <w:adjustRightInd w:val="0"/>
              <w:snapToGrid w:val="0"/>
              <w:spacing w:line="420" w:lineRule="exact"/>
              <w:jc w:val="center"/>
              <w:rPr>
                <w:rFonts w:hAnsi="宋体"/>
                <w:sz w:val="24"/>
                <w:szCs w:val="24"/>
                <w:highlight w:val="none"/>
              </w:rPr>
            </w:pPr>
          </w:p>
        </w:tc>
      </w:tr>
      <w:tr w14:paraId="2682518F">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2B517">
            <w:pPr>
              <w:widowControl/>
              <w:autoSpaceDE/>
              <w:autoSpaceDN/>
              <w:adjustRightInd w:val="0"/>
              <w:snapToGrid w:val="0"/>
              <w:spacing w:line="420" w:lineRule="exact"/>
              <w:jc w:val="center"/>
              <w:rPr>
                <w:rFonts w:hAnsi="宋体"/>
                <w:sz w:val="24"/>
                <w:szCs w:val="24"/>
                <w:highlight w:val="none"/>
              </w:rPr>
            </w:pP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2D462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C71C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4CCA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FAA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52D61E53">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4FB3D">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ABC37">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987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7DCF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CA12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7EFD3CD3">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8E4CCA">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图像网48口万兆服务器接入交换机_图像网</w:t>
            </w:r>
          </w:p>
        </w:tc>
      </w:tr>
      <w:tr w14:paraId="332D8B20">
        <w:tblPrEx>
          <w:tblCellMar>
            <w:top w:w="0" w:type="dxa"/>
            <w:left w:w="108" w:type="dxa"/>
            <w:bottom w:w="0" w:type="dxa"/>
            <w:right w:w="108" w:type="dxa"/>
          </w:tblCellMar>
        </w:tblPrEx>
        <w:trPr>
          <w:trHeight w:val="828"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0A2EA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12</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AFB88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9B02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华为CE6810-32T16S4Q-LI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B63B0">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DD73E">
            <w:pPr>
              <w:widowControl/>
              <w:autoSpaceDE/>
              <w:autoSpaceDN/>
              <w:adjustRightInd w:val="0"/>
              <w:snapToGrid w:val="0"/>
              <w:spacing w:line="420" w:lineRule="exact"/>
              <w:jc w:val="center"/>
              <w:rPr>
                <w:rFonts w:hAnsi="宋体"/>
                <w:sz w:val="24"/>
                <w:szCs w:val="24"/>
                <w:highlight w:val="none"/>
              </w:rPr>
            </w:pPr>
          </w:p>
        </w:tc>
      </w:tr>
      <w:tr w14:paraId="431823AD">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FF3F8">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86DDA">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586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CE6810-LI-F-B00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1545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B9F0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6467D8C1">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BCF43">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B08E6">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AD91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QSFP-40G-CU3M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6AB8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0801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7BCC9A26">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B0490">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6938A">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F836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PAC-350WA-B</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05C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259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6A7902F8">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C57C0">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AEA14">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396F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SFP-10G-LR</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A071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E093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r>
      <w:tr w14:paraId="5EE0F651">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017707">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图像网48口万兆汇聚层交换机</w:t>
            </w:r>
          </w:p>
        </w:tc>
      </w:tr>
      <w:tr w14:paraId="34373BE6">
        <w:tblPrEx>
          <w:tblCellMar>
            <w:top w:w="0" w:type="dxa"/>
            <w:left w:w="108" w:type="dxa"/>
            <w:bottom w:w="0" w:type="dxa"/>
            <w:right w:w="108" w:type="dxa"/>
          </w:tblCellMar>
        </w:tblPrEx>
        <w:trPr>
          <w:trHeight w:val="420"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BADF9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13</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1D134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核心路由交换机</w:t>
            </w:r>
          </w:p>
        </w:tc>
        <w:tc>
          <w:tcPr>
            <w:tcW w:w="2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D5CEB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华为S7706</w:t>
            </w:r>
          </w:p>
        </w:tc>
        <w:tc>
          <w:tcPr>
            <w:tcW w:w="12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A32FEF">
            <w:pPr>
              <w:widowControl/>
              <w:autoSpaceDE/>
              <w:autoSpaceDN/>
              <w:adjustRightInd w:val="0"/>
              <w:snapToGrid w:val="0"/>
              <w:spacing w:line="420" w:lineRule="exact"/>
              <w:jc w:val="center"/>
              <w:rPr>
                <w:rFonts w:hAnsi="宋体"/>
                <w:sz w:val="24"/>
                <w:szCs w:val="24"/>
                <w:highlight w:val="none"/>
              </w:rPr>
            </w:pPr>
          </w:p>
        </w:tc>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DB76D0">
            <w:pPr>
              <w:widowControl/>
              <w:autoSpaceDE/>
              <w:autoSpaceDN/>
              <w:adjustRightInd w:val="0"/>
              <w:snapToGrid w:val="0"/>
              <w:spacing w:line="420" w:lineRule="exact"/>
              <w:jc w:val="center"/>
              <w:rPr>
                <w:rFonts w:hAnsi="宋体"/>
                <w:sz w:val="24"/>
                <w:szCs w:val="24"/>
                <w:highlight w:val="none"/>
              </w:rPr>
            </w:pPr>
          </w:p>
        </w:tc>
      </w:tr>
      <w:tr w14:paraId="4AE96037">
        <w:tblPrEx>
          <w:tblCellMar>
            <w:top w:w="0" w:type="dxa"/>
            <w:left w:w="108" w:type="dxa"/>
            <w:bottom w:w="0" w:type="dxa"/>
            <w:right w:w="108" w:type="dxa"/>
          </w:tblCellMar>
        </w:tblPrEx>
        <w:trPr>
          <w:trHeight w:val="420"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A65B4">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6591B">
            <w:pPr>
              <w:widowControl/>
              <w:autoSpaceDE/>
              <w:autoSpaceDN/>
              <w:adjustRightInd w:val="0"/>
              <w:snapToGrid w:val="0"/>
              <w:spacing w:line="420" w:lineRule="exact"/>
              <w:jc w:val="center"/>
              <w:rPr>
                <w:rFonts w:hAnsi="宋体"/>
                <w:sz w:val="24"/>
                <w:szCs w:val="24"/>
                <w:highlight w:val="none"/>
              </w:rPr>
            </w:pPr>
          </w:p>
        </w:tc>
        <w:tc>
          <w:tcPr>
            <w:tcW w:w="2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96DA5">
            <w:pPr>
              <w:widowControl/>
              <w:autoSpaceDE/>
              <w:autoSpaceDN/>
              <w:adjustRightInd w:val="0"/>
              <w:snapToGrid w:val="0"/>
              <w:spacing w:line="420" w:lineRule="exact"/>
              <w:jc w:val="center"/>
              <w:rPr>
                <w:rFonts w:hAnsi="宋体"/>
                <w:sz w:val="24"/>
                <w:szCs w:val="24"/>
                <w:highlight w:val="none"/>
              </w:rPr>
            </w:pPr>
          </w:p>
        </w:tc>
        <w:tc>
          <w:tcPr>
            <w:tcW w:w="12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A3005">
            <w:pPr>
              <w:widowControl/>
              <w:autoSpaceDE/>
              <w:autoSpaceDN/>
              <w:adjustRightInd w:val="0"/>
              <w:snapToGrid w:val="0"/>
              <w:spacing w:line="420" w:lineRule="exact"/>
              <w:jc w:val="center"/>
              <w:rPr>
                <w:rFonts w:hAnsi="宋体"/>
                <w:sz w:val="24"/>
                <w:szCs w:val="24"/>
                <w:highlight w:val="none"/>
              </w:rPr>
            </w:pPr>
          </w:p>
        </w:tc>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5FB32">
            <w:pPr>
              <w:widowControl/>
              <w:autoSpaceDE/>
              <w:autoSpaceDN/>
              <w:adjustRightInd w:val="0"/>
              <w:snapToGrid w:val="0"/>
              <w:spacing w:line="420" w:lineRule="exact"/>
              <w:jc w:val="center"/>
              <w:rPr>
                <w:rFonts w:hAnsi="宋体"/>
                <w:sz w:val="24"/>
                <w:szCs w:val="24"/>
                <w:highlight w:val="none"/>
              </w:rPr>
            </w:pPr>
          </w:p>
        </w:tc>
      </w:tr>
      <w:tr w14:paraId="62A09108">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76A2C">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10ACC">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2DA6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ES0Z1B06ACS0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3107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199D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4AB901B7">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C2D5D">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CC8C5">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35D8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ES0D00SRUA00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15DE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1EC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053644CC">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8C90C">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EB4A7">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9606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ES1D2X40SFC0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6A7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7474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2EE6440D">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DEE70">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64A00">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B839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W2PSA0800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D0CC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EE11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2BCC2D07">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5E9E5">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18E8F">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4B7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OSX010000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0EA4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C8C9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4100D872">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922CF">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B6B2C">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023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OSX010000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0885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009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12</w:t>
            </w:r>
          </w:p>
        </w:tc>
      </w:tr>
      <w:tr w14:paraId="53FBB590">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50AC34A">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图像网48口千兆楼层接入交换机_图像网</w:t>
            </w:r>
          </w:p>
        </w:tc>
      </w:tr>
      <w:tr w14:paraId="6C491AAF">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8ECFB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14</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46CCF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8F81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BC24E">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DE8FC">
            <w:pPr>
              <w:widowControl/>
              <w:autoSpaceDE/>
              <w:autoSpaceDN/>
              <w:adjustRightInd w:val="0"/>
              <w:snapToGrid w:val="0"/>
              <w:spacing w:line="420" w:lineRule="exact"/>
              <w:jc w:val="center"/>
              <w:rPr>
                <w:rFonts w:hAnsi="宋体"/>
                <w:sz w:val="24"/>
                <w:szCs w:val="24"/>
                <w:highlight w:val="none"/>
              </w:rPr>
            </w:pPr>
          </w:p>
        </w:tc>
      </w:tr>
      <w:tr w14:paraId="37709677">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8ED07">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D3A1D">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455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8000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C1A9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r>
      <w:tr w14:paraId="0C707027">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3648E">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D48A9">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4BA5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043F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784B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r>
      <w:tr w14:paraId="3E4FFC6E">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4D2095D">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图像网48口万兆指挥大厅接入交换机_图像网</w:t>
            </w:r>
          </w:p>
        </w:tc>
      </w:tr>
      <w:tr w14:paraId="096C4926">
        <w:tblPrEx>
          <w:tblCellMar>
            <w:top w:w="0" w:type="dxa"/>
            <w:left w:w="108" w:type="dxa"/>
            <w:bottom w:w="0" w:type="dxa"/>
            <w:right w:w="108" w:type="dxa"/>
          </w:tblCellMar>
        </w:tblPrEx>
        <w:trPr>
          <w:trHeight w:val="794"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925EC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15</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EF105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0ACA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CE6850-48T6Q-HI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40AA">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75E12">
            <w:pPr>
              <w:widowControl/>
              <w:autoSpaceDE/>
              <w:autoSpaceDN/>
              <w:adjustRightInd w:val="0"/>
              <w:snapToGrid w:val="0"/>
              <w:spacing w:line="420" w:lineRule="exact"/>
              <w:jc w:val="center"/>
              <w:rPr>
                <w:rFonts w:hAnsi="宋体"/>
                <w:sz w:val="24"/>
                <w:szCs w:val="24"/>
                <w:highlight w:val="none"/>
              </w:rPr>
            </w:pPr>
          </w:p>
        </w:tc>
      </w:tr>
      <w:tr w14:paraId="17D48EB5">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F2A5D">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5DEA9">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8170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CE6850-HI-F-B00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FC84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B7D3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54653C47">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894F2">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CB764">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A64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QSFP-40G-CU3M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B13A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041A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3EA9DB7F">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A77D5">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62582">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6D23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PAC-350WA-B</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D95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F137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126CFA49">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D793E">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B298B">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C722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SFP-10G-LR</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93A2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5804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2103AF11">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7D1B6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16</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DE0B7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防火墙</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B1E3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华为USG6570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1E4E2">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C59A4">
            <w:pPr>
              <w:widowControl/>
              <w:autoSpaceDE/>
              <w:autoSpaceDN/>
              <w:adjustRightInd w:val="0"/>
              <w:snapToGrid w:val="0"/>
              <w:spacing w:line="420" w:lineRule="exact"/>
              <w:jc w:val="center"/>
              <w:rPr>
                <w:rFonts w:hAnsi="宋体"/>
                <w:sz w:val="24"/>
                <w:szCs w:val="24"/>
                <w:highlight w:val="none"/>
              </w:rPr>
            </w:pPr>
          </w:p>
        </w:tc>
      </w:tr>
      <w:tr w14:paraId="55C87D00">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72813">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3E0A9">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2232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USG6570-AC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0ED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9BD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551D5F6F">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02360">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EC8C0">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C8F9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RAIL-01</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6B3E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76BE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479FC106">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CC0B3">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4E99F">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2E6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LIC-VSYS-USG6000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7B6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5ECA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10C40E9F">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1BCC5">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967FF">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1AD2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LIC-CONTENT</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4354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BC2E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1503F236">
        <w:tblPrEx>
          <w:tblCellMar>
            <w:top w:w="0" w:type="dxa"/>
            <w:left w:w="108" w:type="dxa"/>
            <w:bottom w:w="0" w:type="dxa"/>
            <w:right w:w="108" w:type="dxa"/>
          </w:tblCellMar>
        </w:tblPrEx>
        <w:trPr>
          <w:trHeight w:val="828"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D498B">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F87DE">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D00E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LIC-IPSAVURL-36-USG6500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A0B2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BFDA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04C32CD9">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51848">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EF764">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8291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LIC-VSYS-USG6000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E6D4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B5D3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3EB091AE">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B225508">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政务网48口万兆核心交换机_政务网</w:t>
            </w:r>
          </w:p>
        </w:tc>
      </w:tr>
      <w:tr w14:paraId="061F35FB">
        <w:tblPrEx>
          <w:tblCellMar>
            <w:top w:w="0" w:type="dxa"/>
            <w:left w:w="108" w:type="dxa"/>
            <w:bottom w:w="0" w:type="dxa"/>
            <w:right w:w="108" w:type="dxa"/>
          </w:tblCellMar>
        </w:tblPrEx>
        <w:trPr>
          <w:trHeight w:val="822"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0B241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17</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C042F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D681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华为S6720-54C-EI-48S</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0E44A">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DC0FE">
            <w:pPr>
              <w:widowControl/>
              <w:autoSpaceDE/>
              <w:autoSpaceDN/>
              <w:adjustRightInd w:val="0"/>
              <w:snapToGrid w:val="0"/>
              <w:spacing w:line="420" w:lineRule="exact"/>
              <w:jc w:val="center"/>
              <w:rPr>
                <w:rFonts w:hAnsi="宋体"/>
                <w:sz w:val="24"/>
                <w:szCs w:val="24"/>
                <w:highlight w:val="none"/>
              </w:rPr>
            </w:pPr>
          </w:p>
        </w:tc>
      </w:tr>
      <w:tr w14:paraId="073B0EA7">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28807">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82BDE">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B9A6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S6720-54C-EI-48S-AC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4E17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E8AC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4CB10179">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AFDE4">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7C51F">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DD5F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8DED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DA9D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r>
      <w:tr w14:paraId="4D75E365">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6327E">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66884">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D012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PAC-600WA-B</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C7A0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8AEB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2185DAA6">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DDA2738">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政务网网络机房预留24口千兆接入交换机_政务网</w:t>
            </w:r>
          </w:p>
        </w:tc>
      </w:tr>
      <w:tr w14:paraId="346ECAE0">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0DA51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18</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9380F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5DD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S5700-28P-LI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13509">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84CD2">
            <w:pPr>
              <w:widowControl/>
              <w:autoSpaceDE/>
              <w:autoSpaceDN/>
              <w:adjustRightInd w:val="0"/>
              <w:snapToGrid w:val="0"/>
              <w:spacing w:line="420" w:lineRule="exact"/>
              <w:jc w:val="center"/>
              <w:rPr>
                <w:rFonts w:hAnsi="宋体"/>
                <w:sz w:val="24"/>
                <w:szCs w:val="24"/>
                <w:highlight w:val="none"/>
              </w:rPr>
            </w:pPr>
          </w:p>
        </w:tc>
      </w:tr>
      <w:tr w14:paraId="1FE50685">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55AC4">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B7D25">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E099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S5700-28P-LI-AC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0871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74C8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3B642E5A">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F1A4B">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DCFFE">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00E1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BFDD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CFCA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3CA6A2A3">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B3F130">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政务网48口千兆服务器接入交换机_政务网</w:t>
            </w:r>
          </w:p>
        </w:tc>
      </w:tr>
      <w:tr w14:paraId="5E9D4CFC">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7B6C0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19</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4616E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4618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F348">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1AF59">
            <w:pPr>
              <w:widowControl/>
              <w:autoSpaceDE/>
              <w:autoSpaceDN/>
              <w:adjustRightInd w:val="0"/>
              <w:snapToGrid w:val="0"/>
              <w:spacing w:line="420" w:lineRule="exact"/>
              <w:jc w:val="center"/>
              <w:rPr>
                <w:rFonts w:hAnsi="宋体"/>
                <w:sz w:val="24"/>
                <w:szCs w:val="24"/>
                <w:highlight w:val="none"/>
              </w:rPr>
            </w:pPr>
          </w:p>
        </w:tc>
      </w:tr>
      <w:tr w14:paraId="316DF1DB">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FE707">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305AA">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121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6F62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092E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75E70E2C">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611DE">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7AA94">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B415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951F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7787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4E01B54E">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61A1FB">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政务网48口千兆楼层接入交换机_政务网</w:t>
            </w:r>
          </w:p>
        </w:tc>
      </w:tr>
      <w:tr w14:paraId="7D5E6B5D">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EE029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20</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A1E07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00EC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F0D34">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98B27">
            <w:pPr>
              <w:widowControl/>
              <w:autoSpaceDE/>
              <w:autoSpaceDN/>
              <w:adjustRightInd w:val="0"/>
              <w:snapToGrid w:val="0"/>
              <w:spacing w:line="420" w:lineRule="exact"/>
              <w:jc w:val="center"/>
              <w:rPr>
                <w:rFonts w:hAnsi="宋体"/>
                <w:sz w:val="24"/>
                <w:szCs w:val="24"/>
                <w:highlight w:val="none"/>
              </w:rPr>
            </w:pPr>
          </w:p>
        </w:tc>
      </w:tr>
      <w:tr w14:paraId="6CEDE5F5">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72F0D">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2C90E">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DC3D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39DB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B9CB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r>
      <w:tr w14:paraId="0FE7F091">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ECC83">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CB2EB">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AC93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E9AF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18E2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r>
      <w:tr w14:paraId="6CD87E10">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8FCB0E4">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政务网48口千兆指挥中心接入交换机_政务网</w:t>
            </w:r>
          </w:p>
        </w:tc>
      </w:tr>
      <w:tr w14:paraId="47FB32F2">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50D10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21</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A9D7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647C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7CE4">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DD82F">
            <w:pPr>
              <w:widowControl/>
              <w:autoSpaceDE/>
              <w:autoSpaceDN/>
              <w:adjustRightInd w:val="0"/>
              <w:snapToGrid w:val="0"/>
              <w:spacing w:line="420" w:lineRule="exact"/>
              <w:jc w:val="center"/>
              <w:rPr>
                <w:rFonts w:hAnsi="宋体"/>
                <w:sz w:val="24"/>
                <w:szCs w:val="24"/>
                <w:highlight w:val="none"/>
              </w:rPr>
            </w:pPr>
          </w:p>
        </w:tc>
      </w:tr>
      <w:tr w14:paraId="01D7FC61">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23E75">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1669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B362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678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8CA4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2588F109">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E886F">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83A9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DBE0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2872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102A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146FA6FB">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CD191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22</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DA373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下一代防火墙</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268A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华为USG6550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C015B">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7E3C2">
            <w:pPr>
              <w:widowControl/>
              <w:autoSpaceDE/>
              <w:autoSpaceDN/>
              <w:adjustRightInd w:val="0"/>
              <w:snapToGrid w:val="0"/>
              <w:spacing w:line="420" w:lineRule="exact"/>
              <w:jc w:val="center"/>
              <w:rPr>
                <w:rFonts w:hAnsi="宋体"/>
                <w:sz w:val="24"/>
                <w:szCs w:val="24"/>
                <w:highlight w:val="none"/>
              </w:rPr>
            </w:pPr>
          </w:p>
        </w:tc>
      </w:tr>
      <w:tr w14:paraId="222F7551">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FA5C1">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38EF5">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CF88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USG6550-AC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E86D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D4B2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6B30B333">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9F670">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E7C96">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B8DF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RAIL-01</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067C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43D5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3B7A716D">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4AEFC">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5CC48">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3F4C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LIC-VSYS-USG6000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8674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6910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71A725D6">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C3AB2">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EDB8C">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EEBF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LIC-CONTENT</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2096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374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16BB15BE">
        <w:tblPrEx>
          <w:tblCellMar>
            <w:top w:w="0" w:type="dxa"/>
            <w:left w:w="108" w:type="dxa"/>
            <w:bottom w:w="0" w:type="dxa"/>
            <w:right w:w="108" w:type="dxa"/>
          </w:tblCellMar>
        </w:tblPrEx>
        <w:trPr>
          <w:trHeight w:val="828"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E14B7">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18189">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F2A7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LIC-IPSAVURL-36-USG6500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648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7109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20984EF4">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B3504">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FC667">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D95A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LIC-VSYS-USG6000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D63A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692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2EED7403">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7F190F">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外网48口千兆核心交换机</w:t>
            </w:r>
          </w:p>
        </w:tc>
      </w:tr>
      <w:tr w14:paraId="4254390F">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BD9B8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23</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88E6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智能路由交换机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A1DB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华为S7706</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E8D5">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DE29F">
            <w:pPr>
              <w:widowControl/>
              <w:autoSpaceDE/>
              <w:autoSpaceDN/>
              <w:adjustRightInd w:val="0"/>
              <w:snapToGrid w:val="0"/>
              <w:spacing w:line="420" w:lineRule="exact"/>
              <w:jc w:val="center"/>
              <w:rPr>
                <w:rFonts w:hAnsi="宋体"/>
                <w:sz w:val="24"/>
                <w:szCs w:val="24"/>
                <w:highlight w:val="none"/>
              </w:rPr>
            </w:pPr>
          </w:p>
        </w:tc>
      </w:tr>
      <w:tr w14:paraId="23D38CFF">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C5D29">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B40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智能路由交换机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261B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ES0Z1B06ACS0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CA34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F0CB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771249C6">
        <w:tblPrEx>
          <w:tblCellMar>
            <w:top w:w="0" w:type="dxa"/>
            <w:left w:w="108" w:type="dxa"/>
            <w:bottom w:w="0" w:type="dxa"/>
            <w:right w:w="108" w:type="dxa"/>
          </w:tblCellMar>
        </w:tblPrEx>
        <w:trPr>
          <w:trHeight w:val="828"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E20A9">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258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智能路由交换机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202E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ES0DG24TFA00，ES1D2S04SX1E</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EE82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5B0A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38101F62">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31C75">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A82A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智能路由交换机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CFED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816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C7B5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10</w:t>
            </w:r>
          </w:p>
        </w:tc>
      </w:tr>
      <w:tr w14:paraId="1553E035">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71C9B">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FB12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智能路由交换机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FB69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ES0SMS267700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B4AD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B1B7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5FD59E3E">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CB5FA">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23C5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智能路由交换机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5259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C1016YG00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F34A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6689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10</w:t>
            </w:r>
          </w:p>
        </w:tc>
      </w:tr>
      <w:tr w14:paraId="3F41FF35">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A0F8D6">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外网48口千兆网络机房预留接入交换机_外网</w:t>
            </w:r>
          </w:p>
        </w:tc>
      </w:tr>
      <w:tr w14:paraId="2A52283D">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D7EE0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24</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BC17F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7074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A4E1B">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93959">
            <w:pPr>
              <w:widowControl/>
              <w:autoSpaceDE/>
              <w:autoSpaceDN/>
              <w:adjustRightInd w:val="0"/>
              <w:snapToGrid w:val="0"/>
              <w:spacing w:line="420" w:lineRule="exact"/>
              <w:jc w:val="center"/>
              <w:rPr>
                <w:rFonts w:hAnsi="宋体"/>
                <w:sz w:val="24"/>
                <w:szCs w:val="24"/>
                <w:highlight w:val="none"/>
              </w:rPr>
            </w:pPr>
          </w:p>
        </w:tc>
      </w:tr>
      <w:tr w14:paraId="4D89AB9C">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BDD2D">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7B8E8">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699E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4643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011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73968083">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04B66">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8B3C2">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4053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80E3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2569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5CB0534E">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8ED458">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外网48口千兆服务器接入交换机_外网</w:t>
            </w:r>
          </w:p>
        </w:tc>
      </w:tr>
      <w:tr w14:paraId="47010D1D">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ED02B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25</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D350E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F5D7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95C4">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DAC55">
            <w:pPr>
              <w:widowControl/>
              <w:autoSpaceDE/>
              <w:autoSpaceDN/>
              <w:adjustRightInd w:val="0"/>
              <w:snapToGrid w:val="0"/>
              <w:spacing w:line="420" w:lineRule="exact"/>
              <w:jc w:val="center"/>
              <w:rPr>
                <w:rFonts w:hAnsi="宋体"/>
                <w:sz w:val="24"/>
                <w:szCs w:val="24"/>
                <w:highlight w:val="none"/>
              </w:rPr>
            </w:pPr>
          </w:p>
        </w:tc>
      </w:tr>
      <w:tr w14:paraId="1FFFB4BF">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51448">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3C27B">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87B7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A3E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5A04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692AB15B">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25431">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DA88D">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9C1D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7DF1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3B47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2D0A601A">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2A7599">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外网48口千兆楼层接入交换机_外网</w:t>
            </w:r>
          </w:p>
        </w:tc>
      </w:tr>
      <w:tr w14:paraId="1807A5D2">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9FEF4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26</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D76AD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F75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0B2FB">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048F2">
            <w:pPr>
              <w:widowControl/>
              <w:autoSpaceDE/>
              <w:autoSpaceDN/>
              <w:adjustRightInd w:val="0"/>
              <w:snapToGrid w:val="0"/>
              <w:spacing w:line="420" w:lineRule="exact"/>
              <w:jc w:val="center"/>
              <w:rPr>
                <w:rFonts w:hAnsi="宋体"/>
                <w:sz w:val="24"/>
                <w:szCs w:val="24"/>
                <w:highlight w:val="none"/>
              </w:rPr>
            </w:pPr>
          </w:p>
        </w:tc>
      </w:tr>
      <w:tr w14:paraId="5E833DC9">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9FE9C">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C9D66">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C731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8267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55CB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r>
      <w:tr w14:paraId="0DF39BCF">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21508">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9E830">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61D2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E666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70E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r>
      <w:tr w14:paraId="6A3DD259">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6FBE23">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外网48口千兆指挥中心接入交换机_外网</w:t>
            </w:r>
          </w:p>
        </w:tc>
      </w:tr>
      <w:tr w14:paraId="7D211A88">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5B711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27</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DA6F5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2A1E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S5700-52P-LI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C532F">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FC6E8">
            <w:pPr>
              <w:widowControl/>
              <w:autoSpaceDE/>
              <w:autoSpaceDN/>
              <w:adjustRightInd w:val="0"/>
              <w:snapToGrid w:val="0"/>
              <w:spacing w:line="420" w:lineRule="exact"/>
              <w:jc w:val="center"/>
              <w:rPr>
                <w:rFonts w:hAnsi="宋体"/>
                <w:sz w:val="24"/>
                <w:szCs w:val="24"/>
                <w:highlight w:val="none"/>
              </w:rPr>
            </w:pPr>
          </w:p>
        </w:tc>
      </w:tr>
      <w:tr w14:paraId="43610430">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DCBC4">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6DEC2">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671E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A839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C157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3B2A03AC">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AA997">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3F055">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28E3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8BB0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6A1B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494CF13A">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FC3BE46">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外网安全网关</w:t>
            </w:r>
          </w:p>
        </w:tc>
      </w:tr>
      <w:tr w14:paraId="74FA800F">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3B58D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28</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4A23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下一代防火墙</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21E5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USG6570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AF32C">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FA706">
            <w:pPr>
              <w:widowControl/>
              <w:autoSpaceDE/>
              <w:autoSpaceDN/>
              <w:adjustRightInd w:val="0"/>
              <w:snapToGrid w:val="0"/>
              <w:spacing w:line="420" w:lineRule="exact"/>
              <w:jc w:val="center"/>
              <w:rPr>
                <w:rFonts w:hAnsi="宋体"/>
                <w:sz w:val="24"/>
                <w:szCs w:val="24"/>
                <w:highlight w:val="none"/>
              </w:rPr>
            </w:pPr>
          </w:p>
        </w:tc>
      </w:tr>
      <w:tr w14:paraId="5A62ACB1">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07BF4">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D878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下一代防火墙</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72EA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USG6570-AC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A9EB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98E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065F0F9A">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8DEB2">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1B6E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下一代防火墙</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B72C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RAIL-01</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0052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0514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3901CB5B">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B0E64">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B8EA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下一代防火墙</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4E7A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LIC-VSYS-USG6000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C3EE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C36F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06C4EE05">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02F00">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3612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下一代防火墙</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09C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LIC-CONTENT</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E53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5DE8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3515158E">
        <w:tblPrEx>
          <w:tblCellMar>
            <w:top w:w="0" w:type="dxa"/>
            <w:left w:w="108" w:type="dxa"/>
            <w:bottom w:w="0" w:type="dxa"/>
            <w:right w:w="108" w:type="dxa"/>
          </w:tblCellMar>
        </w:tblPrEx>
        <w:trPr>
          <w:trHeight w:val="828"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6ECA1">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330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下一代防火墙</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1394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LIC-IPSAVURL-36-USG6500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C318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222B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4A440D41">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27C5A">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48EA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下一代防火墙</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825B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LIC-VSYS-USG6000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6797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5B9B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2CC38565">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F2135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29</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BF65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外网安全网关1_外网</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F44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USG6550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196CB">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A74C9">
            <w:pPr>
              <w:widowControl/>
              <w:autoSpaceDE/>
              <w:autoSpaceDN/>
              <w:adjustRightInd w:val="0"/>
              <w:snapToGrid w:val="0"/>
              <w:spacing w:line="420" w:lineRule="exact"/>
              <w:jc w:val="center"/>
              <w:rPr>
                <w:rFonts w:hAnsi="宋体"/>
                <w:sz w:val="24"/>
                <w:szCs w:val="24"/>
                <w:highlight w:val="none"/>
              </w:rPr>
            </w:pPr>
          </w:p>
        </w:tc>
      </w:tr>
      <w:tr w14:paraId="63CFC9EA">
        <w:tblPrEx>
          <w:tblCellMar>
            <w:top w:w="0" w:type="dxa"/>
            <w:left w:w="108" w:type="dxa"/>
            <w:bottom w:w="0" w:type="dxa"/>
            <w:right w:w="108" w:type="dxa"/>
          </w:tblCellMar>
        </w:tblPrEx>
        <w:trPr>
          <w:trHeight w:val="828"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7BB21">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0AA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外网安全网关</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96E6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USG6550-AC，WSIC-4GE-BYPASS</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A327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A28B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4839987F">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DCFC5">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A73B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外网安全网关</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C5AF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RAIL-01</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8A63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1FFB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3A2FB986">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5D3B5">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719B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外网安全网关</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E890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LIC-VSYS-USG6000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623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FDE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53690A0D">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1E507">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73F3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外网安全网关</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F79F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LIC-CONTENT</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D89C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A95C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6671849A">
        <w:tblPrEx>
          <w:tblCellMar>
            <w:top w:w="0" w:type="dxa"/>
            <w:left w:w="108" w:type="dxa"/>
            <w:bottom w:w="0" w:type="dxa"/>
            <w:right w:w="108" w:type="dxa"/>
          </w:tblCellMar>
        </w:tblPrEx>
        <w:trPr>
          <w:trHeight w:val="828"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FEB41">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3BB9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外网安全网关</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DDAB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LIC-IPSAVURL-36-USG6500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440D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3F31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54FDC71C">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2FD8D">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0B6C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外网安全网关</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F8C0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LIC-VSYS-USG6000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7AE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32EF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70E72FC4">
        <w:tblPrEx>
          <w:tblCellMar>
            <w:top w:w="0" w:type="dxa"/>
            <w:left w:w="108" w:type="dxa"/>
            <w:bottom w:w="0" w:type="dxa"/>
            <w:right w:w="108" w:type="dxa"/>
          </w:tblCellMar>
        </w:tblPrEx>
        <w:trPr>
          <w:trHeight w:val="828"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5DB57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30</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9B25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政务网入侵检测_1_外网</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5D4C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NIP6620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89ECF">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6EA51">
            <w:pPr>
              <w:widowControl/>
              <w:autoSpaceDE/>
              <w:autoSpaceDN/>
              <w:adjustRightInd w:val="0"/>
              <w:snapToGrid w:val="0"/>
              <w:spacing w:line="420" w:lineRule="exact"/>
              <w:jc w:val="center"/>
              <w:rPr>
                <w:rFonts w:hAnsi="宋体"/>
                <w:sz w:val="24"/>
                <w:szCs w:val="24"/>
                <w:highlight w:val="none"/>
              </w:rPr>
            </w:pPr>
          </w:p>
        </w:tc>
      </w:tr>
      <w:tr w14:paraId="0B8DD6B7">
        <w:tblPrEx>
          <w:tblCellMar>
            <w:top w:w="0" w:type="dxa"/>
            <w:left w:w="108" w:type="dxa"/>
            <w:bottom w:w="0" w:type="dxa"/>
            <w:right w:w="108" w:type="dxa"/>
          </w:tblCellMar>
        </w:tblPrEx>
        <w:trPr>
          <w:trHeight w:val="2056"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DE331">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C3F5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政务网入侵检测</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4857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NIP6620-AC，Power-AC-B，LIC-IPS1-NIP66M，LIC-IPS2-NIP66M，LIC-SECD-NIP66</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AD4C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F46C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16482782">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66463">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3FD5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政务网入侵检测</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080D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RAIL-01</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795B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74C5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2C54CA63">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A6ACB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31</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277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外网防毒墙_外网</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BC2D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USG6570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CB10C">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D5B10">
            <w:pPr>
              <w:widowControl/>
              <w:autoSpaceDE/>
              <w:autoSpaceDN/>
              <w:adjustRightInd w:val="0"/>
              <w:snapToGrid w:val="0"/>
              <w:spacing w:line="420" w:lineRule="exact"/>
              <w:jc w:val="center"/>
              <w:rPr>
                <w:rFonts w:hAnsi="宋体"/>
                <w:sz w:val="24"/>
                <w:szCs w:val="24"/>
                <w:highlight w:val="none"/>
              </w:rPr>
            </w:pPr>
          </w:p>
        </w:tc>
      </w:tr>
      <w:tr w14:paraId="61F1FFC3">
        <w:tblPrEx>
          <w:tblCellMar>
            <w:top w:w="0" w:type="dxa"/>
            <w:left w:w="108" w:type="dxa"/>
            <w:bottom w:w="0" w:type="dxa"/>
            <w:right w:w="108" w:type="dxa"/>
          </w:tblCellMar>
        </w:tblPrEx>
        <w:trPr>
          <w:trHeight w:val="828"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79751">
            <w:pPr>
              <w:widowControl/>
              <w:autoSpaceDE/>
              <w:autoSpaceDN/>
              <w:adjustRightInd w:val="0"/>
              <w:snapToGrid w:val="0"/>
              <w:spacing w:line="420" w:lineRule="exact"/>
              <w:jc w:val="center"/>
              <w:rPr>
                <w:rFonts w:hAnsi="宋体"/>
                <w:sz w:val="24"/>
                <w:szCs w:val="24"/>
                <w:highlight w:val="none"/>
              </w:rPr>
            </w:pP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B67A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政务网入侵检测</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FA4B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USG6570-BDL-AC，LIC-AV-36-USG6500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6EA8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280C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4B2617CD">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6FE6C14">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智能化设备网48口千兆核心交换机</w:t>
            </w:r>
          </w:p>
        </w:tc>
      </w:tr>
      <w:tr w14:paraId="25703480">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6530C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32</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EFC64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智能路由交换机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213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S7706</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82300">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DFAA8">
            <w:pPr>
              <w:widowControl/>
              <w:autoSpaceDE/>
              <w:autoSpaceDN/>
              <w:adjustRightInd w:val="0"/>
              <w:snapToGrid w:val="0"/>
              <w:spacing w:line="420" w:lineRule="exact"/>
              <w:jc w:val="center"/>
              <w:rPr>
                <w:rFonts w:hAnsi="宋体"/>
                <w:sz w:val="24"/>
                <w:szCs w:val="24"/>
                <w:highlight w:val="none"/>
              </w:rPr>
            </w:pPr>
          </w:p>
        </w:tc>
      </w:tr>
      <w:tr w14:paraId="26D885A6">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BEC03">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A592A">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2C1C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ES0Z1B06ACS0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3F1B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E9AC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6D7A4F3D">
        <w:tblPrEx>
          <w:tblCellMar>
            <w:top w:w="0" w:type="dxa"/>
            <w:left w:w="108" w:type="dxa"/>
            <w:bottom w:w="0" w:type="dxa"/>
            <w:right w:w="108" w:type="dxa"/>
          </w:tblCellMar>
        </w:tblPrEx>
        <w:trPr>
          <w:trHeight w:val="828"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C272E">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3F883">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80B5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ES0DG24TFA00，ES1D2S04SX1E</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6917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501D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3D18547F">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767E3">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EB950">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544F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A76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BB85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r>
      <w:tr w14:paraId="7F5A40B4">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A01BC">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81ACB">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BEF9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ES0SMS267700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8A61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E5E3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49633248">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7B94305">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智能化设备网24口千兆接入交换机_智能化设备网</w:t>
            </w:r>
          </w:p>
        </w:tc>
      </w:tr>
      <w:tr w14:paraId="676BB20E">
        <w:tblPrEx>
          <w:tblCellMar>
            <w:top w:w="0" w:type="dxa"/>
            <w:left w:w="108" w:type="dxa"/>
            <w:bottom w:w="0" w:type="dxa"/>
            <w:right w:w="108" w:type="dxa"/>
          </w:tblCellMar>
        </w:tblPrEx>
        <w:trPr>
          <w:trHeight w:val="828"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B04CE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33</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DE43E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C176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S5700-28P-PWR-LI-AC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4DC0A">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819B9">
            <w:pPr>
              <w:widowControl/>
              <w:autoSpaceDE/>
              <w:autoSpaceDN/>
              <w:adjustRightInd w:val="0"/>
              <w:snapToGrid w:val="0"/>
              <w:spacing w:line="420" w:lineRule="exact"/>
              <w:jc w:val="center"/>
              <w:rPr>
                <w:rFonts w:hAnsi="宋体"/>
                <w:sz w:val="24"/>
                <w:szCs w:val="24"/>
                <w:highlight w:val="none"/>
              </w:rPr>
            </w:pPr>
          </w:p>
        </w:tc>
      </w:tr>
      <w:tr w14:paraId="1A3F59FA">
        <w:tblPrEx>
          <w:tblCellMar>
            <w:top w:w="0" w:type="dxa"/>
            <w:left w:w="108" w:type="dxa"/>
            <w:bottom w:w="0" w:type="dxa"/>
            <w:right w:w="108" w:type="dxa"/>
          </w:tblCellMar>
        </w:tblPrEx>
        <w:trPr>
          <w:trHeight w:val="492"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A7D1D">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1E611">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FB09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S5700-28P-PWR-LI-AC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4146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292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r>
      <w:tr w14:paraId="542997F9">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369D0">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24EB8">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B3F8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68A5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730D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r>
      <w:tr w14:paraId="0B51BE53">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A55E07">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lang w:val="en-US"/>
              </w:rPr>
              <w:t>智能化设备网48口千兆接入交换机_智能化设备网</w:t>
            </w:r>
          </w:p>
        </w:tc>
      </w:tr>
      <w:tr w14:paraId="7D8C12F2">
        <w:tblPrEx>
          <w:tblCellMar>
            <w:top w:w="0" w:type="dxa"/>
            <w:left w:w="108" w:type="dxa"/>
            <w:bottom w:w="0" w:type="dxa"/>
            <w:right w:w="108" w:type="dxa"/>
          </w:tblCellMar>
        </w:tblPrEx>
        <w:trPr>
          <w:trHeight w:val="828"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D4447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34</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CB7BE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B2F3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S5700-52P-PWR-LI-AC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E7EB">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9E32">
            <w:pPr>
              <w:widowControl/>
              <w:autoSpaceDE/>
              <w:autoSpaceDN/>
              <w:adjustRightInd w:val="0"/>
              <w:snapToGrid w:val="0"/>
              <w:spacing w:line="420" w:lineRule="exact"/>
              <w:jc w:val="center"/>
              <w:rPr>
                <w:rFonts w:hAnsi="宋体"/>
                <w:sz w:val="24"/>
                <w:szCs w:val="24"/>
                <w:highlight w:val="none"/>
              </w:rPr>
            </w:pPr>
          </w:p>
        </w:tc>
      </w:tr>
      <w:tr w14:paraId="7C23F951">
        <w:tblPrEx>
          <w:tblCellMar>
            <w:top w:w="0" w:type="dxa"/>
            <w:left w:w="108" w:type="dxa"/>
            <w:bottom w:w="0" w:type="dxa"/>
            <w:right w:w="108" w:type="dxa"/>
          </w:tblCellMar>
        </w:tblPrEx>
        <w:trPr>
          <w:trHeight w:val="1237"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4927C">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9D986">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F3D3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S5700-52P-PWR-LI-AC，RPS1800，ES5CRPS09400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F13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04E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r>
      <w:tr w14:paraId="5B42543B">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FCC28">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F24CA">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64B8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ED5D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A0B8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r>
      <w:tr w14:paraId="0A755AC4">
        <w:tblPrEx>
          <w:tblCellMar>
            <w:top w:w="0" w:type="dxa"/>
            <w:left w:w="108" w:type="dxa"/>
            <w:bottom w:w="0" w:type="dxa"/>
            <w:right w:w="108" w:type="dxa"/>
          </w:tblCellMar>
        </w:tblPrEx>
        <w:trPr>
          <w:trHeight w:val="421" w:hRule="atLeast"/>
          <w:jc w:val="center"/>
        </w:trPr>
        <w:tc>
          <w:tcPr>
            <w:tcW w:w="34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4E313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FC交换机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3DABF">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E31E0">
            <w:pPr>
              <w:widowControl/>
              <w:autoSpaceDE/>
              <w:autoSpaceDN/>
              <w:adjustRightInd w:val="0"/>
              <w:snapToGrid w:val="0"/>
              <w:spacing w:line="420" w:lineRule="exact"/>
              <w:jc w:val="center"/>
              <w:rPr>
                <w:rFonts w:hAnsi="宋体"/>
                <w:b/>
                <w:bCs/>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011AC">
            <w:pPr>
              <w:widowControl/>
              <w:autoSpaceDE/>
              <w:autoSpaceDN/>
              <w:adjustRightInd w:val="0"/>
              <w:snapToGrid w:val="0"/>
              <w:spacing w:line="420" w:lineRule="exact"/>
              <w:jc w:val="center"/>
              <w:rPr>
                <w:rFonts w:hAnsi="宋体"/>
                <w:sz w:val="24"/>
                <w:szCs w:val="24"/>
                <w:highlight w:val="none"/>
              </w:rPr>
            </w:pPr>
          </w:p>
        </w:tc>
      </w:tr>
      <w:tr w14:paraId="6B16241D">
        <w:tblPrEx>
          <w:tblCellMar>
            <w:top w:w="0" w:type="dxa"/>
            <w:left w:w="108" w:type="dxa"/>
            <w:bottom w:w="0" w:type="dxa"/>
            <w:right w:w="108" w:type="dxa"/>
          </w:tblCellMar>
        </w:tblPrEx>
        <w:trPr>
          <w:trHeight w:val="828"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DF61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35</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2B68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FC交换机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309C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CE6850U-48S6Q-HI</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E4B4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EB8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443BB69B">
        <w:tblPrEx>
          <w:tblCellMar>
            <w:top w:w="0" w:type="dxa"/>
            <w:left w:w="108" w:type="dxa"/>
            <w:bottom w:w="0" w:type="dxa"/>
            <w:right w:w="108" w:type="dxa"/>
          </w:tblCellMar>
        </w:tblPrEx>
        <w:trPr>
          <w:trHeight w:val="421" w:hRule="atLeast"/>
          <w:jc w:val="center"/>
        </w:trPr>
        <w:tc>
          <w:tcPr>
            <w:tcW w:w="34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FACA3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电话网交换机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CE08E">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65C2D">
            <w:pPr>
              <w:widowControl/>
              <w:autoSpaceDE/>
              <w:autoSpaceDN/>
              <w:adjustRightInd w:val="0"/>
              <w:snapToGrid w:val="0"/>
              <w:spacing w:line="420" w:lineRule="exact"/>
              <w:jc w:val="center"/>
              <w:rPr>
                <w:rFonts w:hAnsi="宋体"/>
                <w:b/>
                <w:bCs/>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15217">
            <w:pPr>
              <w:widowControl/>
              <w:autoSpaceDE/>
              <w:autoSpaceDN/>
              <w:adjustRightInd w:val="0"/>
              <w:snapToGrid w:val="0"/>
              <w:spacing w:line="420" w:lineRule="exact"/>
              <w:jc w:val="center"/>
              <w:rPr>
                <w:rFonts w:hAnsi="宋体"/>
                <w:sz w:val="24"/>
                <w:szCs w:val="24"/>
                <w:highlight w:val="none"/>
              </w:rPr>
            </w:pPr>
          </w:p>
        </w:tc>
      </w:tr>
      <w:tr w14:paraId="1FAE6AF4">
        <w:tblPrEx>
          <w:tblCellMar>
            <w:top w:w="0" w:type="dxa"/>
            <w:left w:w="108" w:type="dxa"/>
            <w:bottom w:w="0" w:type="dxa"/>
            <w:right w:w="108" w:type="dxa"/>
          </w:tblCellMar>
        </w:tblPrEx>
        <w:trPr>
          <w:trHeight w:val="421"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57A2C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36</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869CE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智能路由交换机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CA59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华为S7706</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BFF4C">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A9952">
            <w:pPr>
              <w:widowControl/>
              <w:autoSpaceDE/>
              <w:autoSpaceDN/>
              <w:adjustRightInd w:val="0"/>
              <w:snapToGrid w:val="0"/>
              <w:spacing w:line="420" w:lineRule="exact"/>
              <w:jc w:val="center"/>
              <w:rPr>
                <w:rFonts w:hAnsi="宋体"/>
                <w:sz w:val="24"/>
                <w:szCs w:val="24"/>
                <w:highlight w:val="none"/>
              </w:rPr>
            </w:pPr>
          </w:p>
        </w:tc>
      </w:tr>
      <w:tr w14:paraId="2A853BA9">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A4961">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D890B">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C55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ES0Z1B06ACS0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D6E7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A2F6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46E0339D">
        <w:tblPrEx>
          <w:tblCellMar>
            <w:top w:w="0" w:type="dxa"/>
            <w:left w:w="108" w:type="dxa"/>
            <w:bottom w:w="0" w:type="dxa"/>
            <w:right w:w="108" w:type="dxa"/>
          </w:tblCellMar>
        </w:tblPrEx>
        <w:trPr>
          <w:trHeight w:val="828"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591EA">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76F8B">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D7B2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ES0DG24TFA00，ES1D2S04SX1E</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C0C4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E591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0066E306">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37467">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CB794">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DDD2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990D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BE61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14</w:t>
            </w:r>
          </w:p>
        </w:tc>
      </w:tr>
      <w:tr w14:paraId="799C9931">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D5E4A">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35E87">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E4B7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ES0SMS277700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F817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EAD2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107870FF">
        <w:tblPrEx>
          <w:tblCellMar>
            <w:top w:w="0" w:type="dxa"/>
            <w:left w:w="108" w:type="dxa"/>
            <w:bottom w:w="0" w:type="dxa"/>
            <w:right w:w="108" w:type="dxa"/>
          </w:tblCellMar>
        </w:tblPrEx>
        <w:trPr>
          <w:trHeight w:val="828" w:hRule="atLeast"/>
          <w:jc w:val="center"/>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2C528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37</w:t>
            </w:r>
          </w:p>
        </w:tc>
        <w:tc>
          <w:tcPr>
            <w:tcW w:w="2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313CA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以太网交换机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6A23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 S5700-52P-PWR-LI-AC</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9C14D">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BB61">
            <w:pPr>
              <w:widowControl/>
              <w:autoSpaceDE/>
              <w:autoSpaceDN/>
              <w:adjustRightInd w:val="0"/>
              <w:snapToGrid w:val="0"/>
              <w:spacing w:line="420" w:lineRule="exact"/>
              <w:jc w:val="center"/>
              <w:rPr>
                <w:rFonts w:hAnsi="宋体"/>
                <w:sz w:val="24"/>
                <w:szCs w:val="24"/>
                <w:highlight w:val="none"/>
              </w:rPr>
            </w:pPr>
          </w:p>
        </w:tc>
      </w:tr>
      <w:tr w14:paraId="5DAE7C5F">
        <w:tblPrEx>
          <w:tblCellMar>
            <w:top w:w="0" w:type="dxa"/>
            <w:left w:w="108" w:type="dxa"/>
            <w:bottom w:w="0" w:type="dxa"/>
            <w:right w:w="108" w:type="dxa"/>
          </w:tblCellMar>
        </w:tblPrEx>
        <w:trPr>
          <w:trHeight w:val="1237"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BA9E7">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3561C">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A915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S5700-52P-PWR-LI-AC，RPS1800，ES5CRPS09400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DC16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8EB6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7</w:t>
            </w:r>
          </w:p>
        </w:tc>
      </w:tr>
      <w:tr w14:paraId="37C17E88">
        <w:tblPrEx>
          <w:tblCellMar>
            <w:top w:w="0" w:type="dxa"/>
            <w:left w:w="108" w:type="dxa"/>
            <w:bottom w:w="0" w:type="dxa"/>
            <w:right w:w="108" w:type="dxa"/>
          </w:tblCellMar>
        </w:tblPrEx>
        <w:trPr>
          <w:trHeight w:val="421" w:hRule="atLeast"/>
          <w:jc w:val="center"/>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F23E5">
            <w:pPr>
              <w:widowControl/>
              <w:autoSpaceDE/>
              <w:autoSpaceDN/>
              <w:adjustRightInd w:val="0"/>
              <w:snapToGrid w:val="0"/>
              <w:spacing w:line="420" w:lineRule="exact"/>
              <w:jc w:val="center"/>
              <w:rPr>
                <w:rFonts w:hAnsi="宋体"/>
                <w:sz w:val="24"/>
                <w:szCs w:val="24"/>
                <w:highlight w:val="none"/>
              </w:rPr>
            </w:pPr>
          </w:p>
        </w:tc>
        <w:tc>
          <w:tcPr>
            <w:tcW w:w="2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89AB1">
            <w:pPr>
              <w:widowControl/>
              <w:autoSpaceDE/>
              <w:autoSpaceDN/>
              <w:adjustRightInd w:val="0"/>
              <w:snapToGrid w:val="0"/>
              <w:spacing w:line="420" w:lineRule="exact"/>
              <w:jc w:val="center"/>
              <w:rPr>
                <w:rFonts w:hAnsi="宋体"/>
                <w:sz w:val="24"/>
                <w:szCs w:val="24"/>
                <w:highlight w:val="none"/>
              </w:rPr>
            </w:pP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9542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SFP-GE-LX-SM1310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ED6C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华为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82CB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14</w:t>
            </w:r>
          </w:p>
        </w:tc>
      </w:tr>
      <w:tr w14:paraId="3F43E23D">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2781279">
            <w:pPr>
              <w:widowControl/>
              <w:autoSpaceDE/>
              <w:autoSpaceDN/>
              <w:adjustRightInd w:val="0"/>
              <w:snapToGrid w:val="0"/>
              <w:spacing w:line="420" w:lineRule="exact"/>
              <w:textAlignment w:val="center"/>
              <w:rPr>
                <w:rFonts w:hAnsi="宋体"/>
                <w:b/>
                <w:bCs/>
                <w:sz w:val="24"/>
                <w:szCs w:val="24"/>
                <w:highlight w:val="none"/>
              </w:rPr>
            </w:pPr>
            <w:r>
              <w:rPr>
                <w:rFonts w:hint="eastAsia" w:hAnsi="宋体"/>
                <w:b/>
                <w:bCs/>
                <w:sz w:val="24"/>
                <w:szCs w:val="24"/>
                <w:highlight w:val="none"/>
                <w:lang w:val="en-US"/>
              </w:rPr>
              <w:t>二、三楼多功能会议中心</w:t>
            </w:r>
          </w:p>
        </w:tc>
      </w:tr>
      <w:tr w14:paraId="490A4DDD">
        <w:tblPrEx>
          <w:tblCellMar>
            <w:top w:w="0" w:type="dxa"/>
            <w:left w:w="108" w:type="dxa"/>
            <w:bottom w:w="0" w:type="dxa"/>
            <w:right w:w="108" w:type="dxa"/>
          </w:tblCellMar>
        </w:tblPrEx>
        <w:trPr>
          <w:trHeight w:val="828"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A2E20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2.1</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B3D78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大屏显示及高清信号系统</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923DC5">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B1FE58">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DC7BD">
            <w:pPr>
              <w:widowControl/>
              <w:autoSpaceDE/>
              <w:autoSpaceDN/>
              <w:adjustRightInd w:val="0"/>
              <w:snapToGrid w:val="0"/>
              <w:spacing w:line="420" w:lineRule="exact"/>
              <w:jc w:val="center"/>
              <w:rPr>
                <w:rFonts w:hAnsi="宋体"/>
                <w:sz w:val="24"/>
                <w:szCs w:val="24"/>
                <w:highlight w:val="none"/>
              </w:rPr>
            </w:pPr>
          </w:p>
        </w:tc>
      </w:tr>
      <w:tr w14:paraId="4353501B">
        <w:tblPrEx>
          <w:tblCellMar>
            <w:top w:w="0" w:type="dxa"/>
            <w:left w:w="108" w:type="dxa"/>
            <w:bottom w:w="0" w:type="dxa"/>
            <w:right w:w="108" w:type="dxa"/>
          </w:tblCellMar>
        </w:tblPrEx>
        <w:trPr>
          <w:trHeight w:val="828"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71207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2CAA9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室内全彩显示屏</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DA2025">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4B90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铂睿美视</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B3008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34.56㎡</w:t>
            </w:r>
          </w:p>
        </w:tc>
      </w:tr>
      <w:tr w14:paraId="3C22CFE9">
        <w:tblPrEx>
          <w:tblCellMar>
            <w:top w:w="0" w:type="dxa"/>
            <w:left w:w="108" w:type="dxa"/>
            <w:bottom w:w="0" w:type="dxa"/>
            <w:right w:w="108" w:type="dxa"/>
          </w:tblCellMar>
        </w:tblPrEx>
        <w:trPr>
          <w:trHeight w:val="822"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E6CAF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5AAE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大屏处理器</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B82362">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4E034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铂睿美视</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7B3F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02961EEE">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5B0B5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93EAA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大屏电源控制箱</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0BC7DB">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AD7A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正泰</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445D8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7C219EF7">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BC69E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AB3E0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大屏电源线</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0A7EB1">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DC335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江南</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E774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08526B24">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E019D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5FCCD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大屏电源箱输入电缆</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9E3C1">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9C0E9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江南</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D9B70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1111F5A9">
        <w:tblPrEx>
          <w:tblCellMar>
            <w:top w:w="0" w:type="dxa"/>
            <w:left w:w="108" w:type="dxa"/>
            <w:bottom w:w="0" w:type="dxa"/>
            <w:right w:w="108" w:type="dxa"/>
          </w:tblCellMar>
        </w:tblPrEx>
        <w:trPr>
          <w:trHeight w:val="1647"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1D2B9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61AD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控制电脑</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62F9B">
            <w:pPr>
              <w:widowControl/>
              <w:autoSpaceDE/>
              <w:autoSpaceDN/>
              <w:adjustRightInd w:val="0"/>
              <w:snapToGrid w:val="0"/>
              <w:spacing w:line="420" w:lineRule="exact"/>
              <w:textAlignment w:val="center"/>
              <w:rPr>
                <w:rFonts w:hAnsi="宋体"/>
                <w:sz w:val="24"/>
                <w:szCs w:val="24"/>
                <w:highlight w:val="none"/>
              </w:rPr>
            </w:pPr>
            <w:r>
              <w:rPr>
                <w:rFonts w:hint="eastAsia" w:hAnsi="宋体"/>
                <w:sz w:val="24"/>
                <w:szCs w:val="24"/>
                <w:highlight w:val="none"/>
                <w:lang w:val="en-US"/>
              </w:rPr>
              <w:t>灵越3670-八代i5-8400 8G 128GSSD 1T 2G独显 23.6英寸显示器</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FA8B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DELL</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E6698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31EAEAC1">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B7692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2.2</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F6FE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高清信号接入系统</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90A581">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438014">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4E7D6">
            <w:pPr>
              <w:widowControl/>
              <w:autoSpaceDE/>
              <w:autoSpaceDN/>
              <w:adjustRightInd w:val="0"/>
              <w:snapToGrid w:val="0"/>
              <w:spacing w:line="420" w:lineRule="exact"/>
              <w:jc w:val="center"/>
              <w:rPr>
                <w:rFonts w:hAnsi="宋体"/>
                <w:sz w:val="24"/>
                <w:szCs w:val="24"/>
                <w:highlight w:val="none"/>
              </w:rPr>
            </w:pPr>
          </w:p>
        </w:tc>
      </w:tr>
      <w:tr w14:paraId="71CF89D6">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3566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192B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高清信号盒(接收端)</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2C3C2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FOXBOX Tx HDMI SM</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E803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CB834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24</w:t>
            </w:r>
          </w:p>
        </w:tc>
      </w:tr>
      <w:tr w14:paraId="55B54011">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C1C5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D536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高清信号盒(发送端)</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DF14A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FOXBOX Rx HDMI SM</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90820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78EBD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24</w:t>
            </w:r>
          </w:p>
        </w:tc>
      </w:tr>
      <w:tr w14:paraId="65B5DF0C">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B2BE8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409B6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高清会议摄像机</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0C02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AW-HE65HKMC</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B30F6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松下</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42280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1465E0DB">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A264F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E81A1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控制键盘</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96277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AW-RP50MC</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0676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松下</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82843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0C04BCDC">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DB0F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5F3A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光端机集中供电模块</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7F7167">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4EFD4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0BF1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r>
      <w:tr w14:paraId="6FBE3A90">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534E4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3AB7D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机架式散热器</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D1CACD">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2CF27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玄冰</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13A65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r>
      <w:tr w14:paraId="4DFBFFEA">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DF3F1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2.3</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FEC28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集中控制接入系统</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981600">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46FE84">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6EB79">
            <w:pPr>
              <w:widowControl/>
              <w:autoSpaceDE/>
              <w:autoSpaceDN/>
              <w:adjustRightInd w:val="0"/>
              <w:snapToGrid w:val="0"/>
              <w:spacing w:line="420" w:lineRule="exact"/>
              <w:jc w:val="center"/>
              <w:rPr>
                <w:rFonts w:hAnsi="宋体"/>
                <w:sz w:val="24"/>
                <w:szCs w:val="24"/>
                <w:highlight w:val="none"/>
              </w:rPr>
            </w:pPr>
          </w:p>
        </w:tc>
      </w:tr>
      <w:tr w14:paraId="71AD6693">
        <w:tblPrEx>
          <w:tblCellMar>
            <w:top w:w="0" w:type="dxa"/>
            <w:left w:w="108" w:type="dxa"/>
            <w:bottom w:w="0" w:type="dxa"/>
            <w:right w:w="108" w:type="dxa"/>
          </w:tblCellMar>
        </w:tblPrEx>
        <w:trPr>
          <w:trHeight w:val="1237"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AE9F5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E341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集中控制服务器</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656BD">
            <w:pPr>
              <w:widowControl/>
              <w:autoSpaceDE/>
              <w:autoSpaceDN/>
              <w:adjustRightInd w:val="0"/>
              <w:snapToGrid w:val="0"/>
              <w:spacing w:line="420" w:lineRule="exact"/>
              <w:textAlignment w:val="center"/>
              <w:rPr>
                <w:rFonts w:hAnsi="宋体"/>
                <w:sz w:val="24"/>
                <w:szCs w:val="24"/>
                <w:highlight w:val="none"/>
              </w:rPr>
            </w:pPr>
            <w:r>
              <w:rPr>
                <w:rFonts w:hint="eastAsia" w:hAnsi="宋体"/>
                <w:sz w:val="24"/>
                <w:szCs w:val="24"/>
                <w:highlight w:val="none"/>
                <w:lang w:val="en-US"/>
              </w:rPr>
              <w:t>PowerEdgeT30服务器 (E3-1225/8GB ECC/1TB SATA )</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F3D9E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DELL</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EED8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528F6D26">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A931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9F3C2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POE交换机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42F7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S1224-PWR</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D03C1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H3C</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10251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553964BE">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08D91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8220B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千兆核心交换机</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47DB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 xml:space="preserve"> S5024PV2-EI</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47B6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H3C</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9C48F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058B01A6">
        <w:tblPrEx>
          <w:tblCellMar>
            <w:top w:w="0" w:type="dxa"/>
            <w:left w:w="108" w:type="dxa"/>
            <w:bottom w:w="0" w:type="dxa"/>
            <w:right w:w="108" w:type="dxa"/>
          </w:tblCellMar>
        </w:tblPrEx>
        <w:trPr>
          <w:trHeight w:val="828"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212FA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84C69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光纤模块</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B8B2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SFP-GE-单模模块-(1310nm,10km,LC)</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F1A99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H3C</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BAA8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43CA6702">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50E65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A599E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串口转网络转换盒</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B57E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NPORT5110</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77FF3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 xml:space="preserve">MOXA </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2E2A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40</w:t>
            </w:r>
          </w:p>
        </w:tc>
      </w:tr>
      <w:tr w14:paraId="20AC6397">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BF0D2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3922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无线路由器</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C3C29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 xml:space="preserve"> WDR5620千兆版 </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6DFF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TP-LINK</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AB31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2E9BE816">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257F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7</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3BD1C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8路电源控制器</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C880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PC820</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143D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Soundda</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48383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1E3E8015">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26555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F985A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8路电源时序器</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1E4C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PC820</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F7BA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Soundda</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8E110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5505CC69">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ADB7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2.4</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CBE94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音响扩声系统</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66608">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15C5D0">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975F36">
            <w:pPr>
              <w:widowControl/>
              <w:autoSpaceDE/>
              <w:autoSpaceDN/>
              <w:adjustRightInd w:val="0"/>
              <w:snapToGrid w:val="0"/>
              <w:spacing w:line="420" w:lineRule="exact"/>
              <w:jc w:val="center"/>
              <w:rPr>
                <w:rFonts w:hAnsi="宋体"/>
                <w:sz w:val="24"/>
                <w:szCs w:val="24"/>
                <w:highlight w:val="none"/>
              </w:rPr>
            </w:pPr>
          </w:p>
        </w:tc>
      </w:tr>
      <w:tr w14:paraId="685A931E">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02FA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FDBA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有源阵列音柱音箱</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CDDBA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CBT-100LA</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C4FAF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JBL</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99AB9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72E6B9F7">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BB88C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437D3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阵列式辅助音箱</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CF62F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CBT-50LA</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1682F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JBL</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0A3BF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63F647C9">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E76F6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6983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阵列式音箱功放</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8C1A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GX5</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E7B7A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QSC</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6784A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r>
      <w:tr w14:paraId="11A54C89">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3B682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11D8A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数字音频矩阵</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5CFA2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D-1616SP</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6594E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Soundda</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3910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789B42F1">
        <w:tblPrEx>
          <w:tblCellMar>
            <w:top w:w="0" w:type="dxa"/>
            <w:left w:w="108" w:type="dxa"/>
            <w:bottom w:w="0" w:type="dxa"/>
            <w:right w:w="108" w:type="dxa"/>
          </w:tblCellMar>
        </w:tblPrEx>
        <w:trPr>
          <w:trHeight w:val="1237"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3509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ABA8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U段无线麦克风系统</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6F2E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ATW-RC13+ATW-RU13+ATW-T1007+ES938a/H</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5CC8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铁三角</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40A67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32039E3E">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7D6A2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AE17D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无线耳麦</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77E0E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ATW-2110B/838</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B38AA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铁三角</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9107D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404825A8">
        <w:tblPrEx>
          <w:tblCellMar>
            <w:top w:w="0" w:type="dxa"/>
            <w:left w:w="108" w:type="dxa"/>
            <w:bottom w:w="0" w:type="dxa"/>
            <w:right w:w="108" w:type="dxa"/>
          </w:tblCellMar>
        </w:tblPrEx>
        <w:trPr>
          <w:trHeight w:val="828"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2567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7</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F846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双音头超指向性电容式话筒</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5A4FB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AT882TL/SS</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7146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铁三角</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09364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r>
      <w:tr w14:paraId="70E519CE">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E67D7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1F28C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桌面鹅颈话筒</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758C2">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C689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铁三角</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F6C8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6164B506">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0E1C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9</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04D7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8路智能混音器</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78E0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SCM810</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62C12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舒尔</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1604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48B2BEAF">
        <w:tblPrEx>
          <w:tblCellMar>
            <w:top w:w="0" w:type="dxa"/>
            <w:left w:w="108" w:type="dxa"/>
            <w:bottom w:w="0" w:type="dxa"/>
            <w:right w:w="108" w:type="dxa"/>
          </w:tblCellMar>
        </w:tblPrEx>
        <w:trPr>
          <w:trHeight w:val="828"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F9125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10</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7F622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16路串口转网络转换盒</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A11A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NPORT 5650-16</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FFF6C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 xml:space="preserve">MOXA </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1F511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3E568253">
        <w:tblPrEx>
          <w:tblCellMar>
            <w:top w:w="0" w:type="dxa"/>
            <w:left w:w="108" w:type="dxa"/>
            <w:bottom w:w="0" w:type="dxa"/>
            <w:right w:w="108" w:type="dxa"/>
          </w:tblCellMar>
        </w:tblPrEx>
        <w:trPr>
          <w:trHeight w:val="822"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D8D0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11</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2BADD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高清编码器</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1747C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DS-6701HFH/V</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A597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海康威视</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6B097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53D96D72">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1D0F0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12</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6787B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43寸信息发布屏</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54BDE2">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C169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亚旭</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43FF7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4DAE4C53">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ECDA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13</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8E92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摄像机电动升降支架</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BA0E2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定制，行程3米</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282B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NB</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8BAB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729F6913">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A21D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14</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223FF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8路继电器控制模块</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E7A6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8路</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D480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ENCIKY</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75466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36584AB2">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B0911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15</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DD8B4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电动窗帘</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F440F">
            <w:pPr>
              <w:widowControl/>
              <w:autoSpaceDE/>
              <w:autoSpaceDN/>
              <w:adjustRightInd w:val="0"/>
              <w:snapToGrid w:val="0"/>
              <w:spacing w:line="420" w:lineRule="exact"/>
              <w:jc w:val="center"/>
              <w:rPr>
                <w:rFonts w:hAnsi="宋体"/>
                <w:sz w:val="24"/>
                <w:szCs w:val="24"/>
                <w:highlight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9EAF5C">
            <w:pPr>
              <w:widowControl/>
              <w:autoSpaceDE/>
              <w:autoSpaceDN/>
              <w:adjustRightInd w:val="0"/>
              <w:snapToGrid w:val="0"/>
              <w:spacing w:line="420" w:lineRule="exact"/>
              <w:jc w:val="center"/>
              <w:rPr>
                <w:rFonts w:hAnsi="宋体"/>
                <w:sz w:val="24"/>
                <w:szCs w:val="24"/>
                <w:highlight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30C6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r>
      <w:tr w14:paraId="241FFADA">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557390E7">
            <w:pPr>
              <w:widowControl/>
              <w:autoSpaceDE/>
              <w:autoSpaceDN/>
              <w:adjustRightInd w:val="0"/>
              <w:snapToGrid w:val="0"/>
              <w:spacing w:line="420" w:lineRule="exact"/>
              <w:textAlignment w:val="center"/>
              <w:rPr>
                <w:rFonts w:hAnsi="宋体"/>
                <w:b/>
                <w:bCs/>
                <w:sz w:val="24"/>
                <w:szCs w:val="24"/>
                <w:highlight w:val="none"/>
              </w:rPr>
            </w:pPr>
            <w:r>
              <w:rPr>
                <w:rFonts w:hint="eastAsia" w:hAnsi="宋体"/>
                <w:b/>
                <w:bCs/>
                <w:sz w:val="24"/>
                <w:szCs w:val="24"/>
                <w:highlight w:val="none"/>
                <w:lang w:val="en-US"/>
              </w:rPr>
              <w:t>三、高清视频会议系统</w:t>
            </w:r>
          </w:p>
        </w:tc>
      </w:tr>
      <w:tr w14:paraId="6C427A8B">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4851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5DE0A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电视墙服务器</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F03E7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TVS4000</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0163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科达</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950C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4C83B2AF">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9472A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C88A3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会议终端</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BB4C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H700</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6021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科达</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48FF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r>
      <w:tr w14:paraId="2538C5ED">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07481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D6C6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高清会议摄像机</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30D4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HD120E</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2D4B0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科达</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9242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0B42896D">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5E526153">
            <w:pPr>
              <w:widowControl/>
              <w:autoSpaceDE/>
              <w:autoSpaceDN/>
              <w:adjustRightInd w:val="0"/>
              <w:snapToGrid w:val="0"/>
              <w:spacing w:line="420" w:lineRule="exact"/>
              <w:textAlignment w:val="center"/>
              <w:rPr>
                <w:rFonts w:hAnsi="宋体"/>
                <w:b/>
                <w:bCs/>
                <w:sz w:val="24"/>
                <w:szCs w:val="24"/>
                <w:highlight w:val="none"/>
              </w:rPr>
            </w:pPr>
            <w:r>
              <w:rPr>
                <w:rFonts w:hint="eastAsia" w:hAnsi="宋体"/>
                <w:b/>
                <w:bCs/>
                <w:sz w:val="24"/>
                <w:szCs w:val="24"/>
                <w:highlight w:val="none"/>
                <w:lang w:val="en-US"/>
              </w:rPr>
              <w:t>四、指挥大厅高清信号接收系统</w:t>
            </w:r>
          </w:p>
        </w:tc>
      </w:tr>
      <w:tr w14:paraId="5FA155D2">
        <w:tblPrEx>
          <w:tblCellMar>
            <w:top w:w="0" w:type="dxa"/>
            <w:left w:w="108" w:type="dxa"/>
            <w:bottom w:w="0" w:type="dxa"/>
            <w:right w:w="108" w:type="dxa"/>
          </w:tblCellMar>
        </w:tblPrEx>
        <w:trPr>
          <w:trHeight w:val="828"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0520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3C6D7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光纤矩阵4K信号接收器</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3196C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FOX II T DP 4K SM</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8DEF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60AE3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17</w:t>
            </w:r>
          </w:p>
        </w:tc>
      </w:tr>
      <w:tr w14:paraId="42C7B8CA">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F1AAE4">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D738E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高清四画面分割器</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FC4F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MGP464</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CB29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26B66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562631DD">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B8F3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3A54CD">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无线会议传输器</w:t>
            </w:r>
          </w:p>
        </w:tc>
        <w:tc>
          <w:tcPr>
            <w:tcW w:w="27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BC9B5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ShareLink 200</w:t>
            </w:r>
          </w:p>
        </w:tc>
        <w:tc>
          <w:tcPr>
            <w:tcW w:w="1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08E78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8DD0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227EA907">
        <w:tblPrEx>
          <w:tblCellMar>
            <w:top w:w="0" w:type="dxa"/>
            <w:left w:w="108" w:type="dxa"/>
            <w:bottom w:w="0" w:type="dxa"/>
            <w:right w:w="108" w:type="dxa"/>
          </w:tblCellMar>
        </w:tblPrEx>
        <w:trPr>
          <w:trHeight w:val="421" w:hRule="atLeast"/>
          <w:jc w:val="center"/>
        </w:trPr>
        <w:tc>
          <w:tcPr>
            <w:tcW w:w="823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7D7E8F6E">
            <w:pPr>
              <w:widowControl/>
              <w:autoSpaceDE/>
              <w:autoSpaceDN/>
              <w:adjustRightInd w:val="0"/>
              <w:snapToGrid w:val="0"/>
              <w:spacing w:line="420" w:lineRule="exact"/>
              <w:textAlignment w:val="center"/>
              <w:rPr>
                <w:rFonts w:hAnsi="宋体"/>
                <w:b/>
                <w:bCs/>
                <w:sz w:val="24"/>
                <w:szCs w:val="24"/>
                <w:highlight w:val="none"/>
              </w:rPr>
            </w:pPr>
            <w:r>
              <w:rPr>
                <w:rFonts w:hint="eastAsia" w:hAnsi="宋体"/>
                <w:b/>
                <w:bCs/>
                <w:sz w:val="24"/>
                <w:szCs w:val="24"/>
                <w:highlight w:val="none"/>
                <w:lang w:val="en-US"/>
              </w:rPr>
              <w:t>五、高清光纤矩阵系统</w:t>
            </w:r>
          </w:p>
        </w:tc>
      </w:tr>
      <w:tr w14:paraId="6FC58D6F">
        <w:tblPrEx>
          <w:tblCellMar>
            <w:top w:w="0" w:type="dxa"/>
            <w:left w:w="108" w:type="dxa"/>
            <w:bottom w:w="0" w:type="dxa"/>
            <w:right w:w="108" w:type="dxa"/>
          </w:tblCellMar>
        </w:tblPrEx>
        <w:trPr>
          <w:trHeight w:val="828"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8FB0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6C64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高清数视频光纤交换矩阵</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E06B">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FOX Matrix 320X320</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E595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23F0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w:t>
            </w:r>
          </w:p>
        </w:tc>
      </w:tr>
      <w:tr w14:paraId="56BEAD18">
        <w:tblPrEx>
          <w:tblCellMar>
            <w:top w:w="0" w:type="dxa"/>
            <w:left w:w="108" w:type="dxa"/>
            <w:bottom w:w="0" w:type="dxa"/>
            <w:right w:w="108" w:type="dxa"/>
          </w:tblCellMar>
        </w:tblPrEx>
        <w:trPr>
          <w:trHeight w:val="79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BD75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7BCA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4K信号接收器</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67B3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FOX II T HD/DP 4K SM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BC30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BDD1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9</w:t>
            </w:r>
          </w:p>
        </w:tc>
      </w:tr>
      <w:tr w14:paraId="7EEB86A9">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942D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3</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A20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4K信号发送器</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4C5F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FOX II R DP 4K SM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33EF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6150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41</w:t>
            </w:r>
          </w:p>
        </w:tc>
      </w:tr>
      <w:tr w14:paraId="03D4466C">
        <w:tblPrEx>
          <w:tblCellMar>
            <w:top w:w="0" w:type="dxa"/>
            <w:left w:w="108" w:type="dxa"/>
            <w:bottom w:w="0" w:type="dxa"/>
            <w:right w:w="108" w:type="dxa"/>
          </w:tblCellMar>
        </w:tblPrEx>
        <w:trPr>
          <w:trHeight w:val="828"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58EE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594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DVI信号接收器</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6203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FOXBOX Tx DVI Plus SM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514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F488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61</w:t>
            </w:r>
          </w:p>
        </w:tc>
      </w:tr>
      <w:tr w14:paraId="0DBA1E98">
        <w:tblPrEx>
          <w:tblCellMar>
            <w:top w:w="0" w:type="dxa"/>
            <w:left w:w="108" w:type="dxa"/>
            <w:bottom w:w="0" w:type="dxa"/>
            <w:right w:w="108" w:type="dxa"/>
          </w:tblCellMar>
        </w:tblPrEx>
        <w:trPr>
          <w:trHeight w:val="828"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5919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5</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59DF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DVI信号发送器</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5AF60">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FOXBOX Rx DVI Plus SM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2D26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3DF1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103</w:t>
            </w:r>
          </w:p>
        </w:tc>
      </w:tr>
      <w:tr w14:paraId="1D9D4499">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17D8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6</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6BC2">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HDSDI信号接收器</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E0F5C">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FOXBOX T HD-SDI SM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5C30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D181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w:t>
            </w:r>
          </w:p>
        </w:tc>
      </w:tr>
      <w:tr w14:paraId="7223415E">
        <w:tblPrEx>
          <w:tblCellMar>
            <w:top w:w="0" w:type="dxa"/>
            <w:left w:w="108" w:type="dxa"/>
            <w:bottom w:w="0" w:type="dxa"/>
            <w:right w:w="108" w:type="dxa"/>
          </w:tblCellMar>
        </w:tblPrEx>
        <w:trPr>
          <w:trHeight w:val="79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920E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7</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4264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VGA信号接收器</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495B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FOXBOX Tx VGA/YUV SM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40E7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0A1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9</w:t>
            </w:r>
          </w:p>
        </w:tc>
      </w:tr>
      <w:tr w14:paraId="089839C7">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41B35">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E7CE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HDMI信号接收器</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A7C63">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FOXBOX Tx HDMI SM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BBCB1">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FAF08">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142</w:t>
            </w:r>
          </w:p>
        </w:tc>
      </w:tr>
      <w:tr w14:paraId="76D7709C">
        <w:tblPrEx>
          <w:tblCellMar>
            <w:top w:w="0" w:type="dxa"/>
            <w:left w:w="108" w:type="dxa"/>
            <w:bottom w:w="0" w:type="dxa"/>
            <w:right w:w="108" w:type="dxa"/>
          </w:tblCellMar>
        </w:tblPrEx>
        <w:trPr>
          <w:trHeight w:val="421"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5EC27">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9</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FC7A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8路光纤音频提取器</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2369">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FOX II AEX 108 SM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CC46E">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0D8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2</w:t>
            </w:r>
          </w:p>
        </w:tc>
      </w:tr>
      <w:tr w14:paraId="473A1510">
        <w:tblPrEx>
          <w:tblCellMar>
            <w:top w:w="0" w:type="dxa"/>
            <w:left w:w="108" w:type="dxa"/>
            <w:bottom w:w="0" w:type="dxa"/>
            <w:right w:w="108" w:type="dxa"/>
          </w:tblCellMar>
        </w:tblPrEx>
        <w:trPr>
          <w:trHeight w:val="453"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9B12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10</w:t>
            </w:r>
          </w:p>
        </w:tc>
        <w:tc>
          <w:tcPr>
            <w:tcW w:w="2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C65FA">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集中供电模块PS 124</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A1E4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PS 124</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AE986">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EXTRON</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F5BF">
            <w:pPr>
              <w:widowControl/>
              <w:autoSpaceDE/>
              <w:autoSpaceDN/>
              <w:adjustRightInd w:val="0"/>
              <w:snapToGrid w:val="0"/>
              <w:spacing w:line="420" w:lineRule="exact"/>
              <w:jc w:val="center"/>
              <w:textAlignment w:val="center"/>
              <w:rPr>
                <w:rFonts w:hAnsi="宋体"/>
                <w:sz w:val="24"/>
                <w:szCs w:val="24"/>
                <w:highlight w:val="none"/>
              </w:rPr>
            </w:pPr>
            <w:r>
              <w:rPr>
                <w:rFonts w:hint="eastAsia" w:hAnsi="宋体"/>
                <w:sz w:val="24"/>
                <w:szCs w:val="24"/>
                <w:highlight w:val="none"/>
                <w:lang w:val="en-US"/>
              </w:rPr>
              <w:t>40</w:t>
            </w:r>
          </w:p>
        </w:tc>
      </w:tr>
    </w:tbl>
    <w:p w14:paraId="07592120">
      <w:pPr>
        <w:autoSpaceDE/>
        <w:autoSpaceDN/>
        <w:adjustRightInd w:val="0"/>
        <w:snapToGrid w:val="0"/>
        <w:spacing w:line="420" w:lineRule="exact"/>
        <w:ind w:firstLine="480" w:firstLineChars="200"/>
        <w:rPr>
          <w:rFonts w:hAnsi="宋体"/>
          <w:color w:val="FF0000"/>
          <w:sz w:val="24"/>
          <w:szCs w:val="24"/>
          <w:highlight w:val="none"/>
          <w:lang w:val="en-US"/>
        </w:rPr>
      </w:pPr>
    </w:p>
    <w:p w14:paraId="7E62BD43">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3、人员驻场值守服务。派驻2名专业驻场值守工程师，主要开展相关系统设备的日常巡检，设备故障排查、判断和定位，简单故障的快速检修，通信保障服务等。</w:t>
      </w:r>
    </w:p>
    <w:p w14:paraId="5CAA1947">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4、安全设备升级服务。主要包括防火墙入侵防御，防病毒、IPS-AV-URL检测服务特征库等每年的升级服务。</w:t>
      </w:r>
    </w:p>
    <w:p w14:paraId="56EDCCAC">
      <w:pPr>
        <w:pStyle w:val="26"/>
        <w:autoSpaceDE/>
        <w:autoSpaceDN/>
        <w:adjustRightInd w:val="0"/>
        <w:snapToGrid w:val="0"/>
        <w:spacing w:line="420" w:lineRule="exact"/>
        <w:ind w:left="0" w:firstLine="482" w:firstLineChars="200"/>
        <w:rPr>
          <w:rFonts w:hAnsi="宋体"/>
          <w:b/>
          <w:bCs/>
          <w:sz w:val="24"/>
          <w:szCs w:val="24"/>
          <w:highlight w:val="none"/>
        </w:rPr>
      </w:pPr>
      <w:r>
        <w:rPr>
          <w:rFonts w:hint="eastAsia" w:hAnsi="宋体"/>
          <w:b/>
          <w:bCs/>
          <w:sz w:val="24"/>
          <w:szCs w:val="24"/>
          <w:highlight w:val="none"/>
        </w:rPr>
        <w:t>三、维保服务要求</w:t>
      </w:r>
    </w:p>
    <w:p w14:paraId="44A7B230">
      <w:pPr>
        <w:pStyle w:val="26"/>
        <w:autoSpaceDE/>
        <w:autoSpaceDN/>
        <w:adjustRightInd w:val="0"/>
        <w:snapToGrid w:val="0"/>
        <w:spacing w:line="420" w:lineRule="exact"/>
        <w:ind w:left="0" w:firstLine="482" w:firstLineChars="200"/>
        <w:rPr>
          <w:rFonts w:hAnsi="宋体"/>
          <w:b/>
          <w:bCs/>
          <w:sz w:val="24"/>
          <w:szCs w:val="24"/>
          <w:highlight w:val="none"/>
        </w:rPr>
      </w:pPr>
      <w:r>
        <w:rPr>
          <w:rFonts w:hint="eastAsia" w:hAnsi="宋体"/>
          <w:b/>
          <w:bCs/>
          <w:sz w:val="24"/>
          <w:szCs w:val="24"/>
          <w:highlight w:val="none"/>
        </w:rPr>
        <w:t>（一）总体要求</w:t>
      </w:r>
    </w:p>
    <w:p w14:paraId="1FEA9FB0">
      <w:pPr>
        <w:pStyle w:val="26"/>
        <w:autoSpaceDE/>
        <w:autoSpaceDN/>
        <w:adjustRightInd w:val="0"/>
        <w:snapToGrid w:val="0"/>
        <w:spacing w:line="420" w:lineRule="exact"/>
        <w:ind w:left="0" w:firstLine="480" w:firstLineChars="200"/>
        <w:rPr>
          <w:rFonts w:hAnsi="宋体"/>
          <w:sz w:val="24"/>
          <w:szCs w:val="24"/>
          <w:highlight w:val="none"/>
        </w:rPr>
      </w:pPr>
      <w:r>
        <w:rPr>
          <w:rFonts w:hint="eastAsia" w:hAnsi="宋体"/>
          <w:sz w:val="24"/>
          <w:szCs w:val="24"/>
          <w:highlight w:val="none"/>
        </w:rPr>
        <w:t>★1、维保服务。保证交管总队指挥中心、会议室及相关通信支撑系统在维保期间内的正常使用，维保设备明细中所列硬件设备及涉及的光纤链路和网络面板等均享受免费维修、配件及耗材更换等，且涉及软件系统均享受免费升级、补丁等，同时维保过程中附带的材料、工时、运输、人员等费用均由维保服务单位承担，提供的所有设备、配件均为正规渠道原厂正品，不得使用拆机件、副厂件或旧件。服务期终止前1个月，维保服务公司必须派遣原厂工程师前往现场，对设备进行一次全面检查、检测，并向用户提交详细的检验测试报告。</w:t>
      </w:r>
      <w:r>
        <w:rPr>
          <w:rFonts w:hint="eastAsia" w:hAnsi="宋体"/>
          <w:b/>
          <w:sz w:val="24"/>
          <w:szCs w:val="24"/>
          <w:highlight w:val="none"/>
        </w:rPr>
        <w:t>（提供承诺书并加盖公章）</w:t>
      </w:r>
    </w:p>
    <w:p w14:paraId="1CB88DE7">
      <w:pPr>
        <w:pStyle w:val="26"/>
        <w:autoSpaceDE/>
        <w:autoSpaceDN/>
        <w:adjustRightInd w:val="0"/>
        <w:snapToGrid w:val="0"/>
        <w:spacing w:line="420" w:lineRule="exact"/>
        <w:ind w:left="0" w:firstLine="480" w:firstLineChars="200"/>
        <w:rPr>
          <w:rFonts w:hAnsi="宋体"/>
          <w:sz w:val="24"/>
          <w:szCs w:val="24"/>
          <w:highlight w:val="none"/>
        </w:rPr>
      </w:pPr>
      <w:r>
        <w:rPr>
          <w:rFonts w:hint="eastAsia" w:hAnsi="宋体"/>
          <w:sz w:val="24"/>
          <w:szCs w:val="24"/>
          <w:highlight w:val="none"/>
        </w:rPr>
        <w:t>●2、日常巡检。驻场值守人员根据各系统具体不同的要求从硬件、软件、网络、连通等方面开展常态化巡检，对维保设备明细中所有维保设备进行登记梳理，建立设备档案及标签化管理。应实时检测系统运行环境，每日至少1次对维保范围内的硬件设备所处环境是否符合要求、运行是否正常、设备数量是否齐全等；每日至少2次对维保范围内的配套软件系统是否能正常启动、各功能运行是否正常等进行检查；做好每日巡检记录，包括硬件和软件检查两个部分及详细内容。维保服务单位每月需对各系统运行状态等进行一次深度检查并备份系统日志，同时做好巡检记录。</w:t>
      </w:r>
    </w:p>
    <w:p w14:paraId="007280C3">
      <w:pPr>
        <w:pStyle w:val="26"/>
        <w:autoSpaceDE/>
        <w:autoSpaceDN/>
        <w:adjustRightInd w:val="0"/>
        <w:snapToGrid w:val="0"/>
        <w:spacing w:line="420" w:lineRule="exact"/>
        <w:ind w:left="0" w:firstLine="480" w:firstLineChars="200"/>
        <w:rPr>
          <w:rFonts w:hAnsi="宋体"/>
          <w:sz w:val="24"/>
          <w:szCs w:val="24"/>
          <w:highlight w:val="none"/>
        </w:rPr>
      </w:pPr>
      <w:r>
        <w:rPr>
          <w:rFonts w:hint="eastAsia" w:hAnsi="宋体"/>
          <w:sz w:val="24"/>
          <w:szCs w:val="24"/>
          <w:highlight w:val="none"/>
        </w:rPr>
        <w:t>●3、故障处理。维保服务单位在接到我方故障通知，或在系统运行维护过程中如遇设备故障、隐患问题等，需利用运维单位现有备品备件和现场设备开展应急维修工作，并及时联系相关专业厂家或专业工程师开展电话支撑服务，确保故障快速修复。如设备无法现场修复，需联系专业厂家根据故障信息携带专业诊断工具和备品备件赶赴现场，快速更换维修，确保基本功能恢复，故障设备送厂家维修测试正常后，送至现场重新安装调试，恢复全部功能。如设备或配件老化无法修复，且同型号产品已停产，无备件支撑，需提供不低于原有设备功能及性能的同品牌设备予以更换，相关费用由维保服务单位承担。设备故障处理过程及处理结果需设置专门台账进行登记，并按月提供我方。</w:t>
      </w:r>
    </w:p>
    <w:p w14:paraId="1BD1FE48">
      <w:pPr>
        <w:pStyle w:val="26"/>
        <w:autoSpaceDE/>
        <w:autoSpaceDN/>
        <w:adjustRightInd w:val="0"/>
        <w:snapToGrid w:val="0"/>
        <w:spacing w:line="420" w:lineRule="exact"/>
        <w:ind w:left="0" w:firstLine="480" w:firstLineChars="200"/>
        <w:rPr>
          <w:rFonts w:hAnsi="宋体"/>
          <w:sz w:val="24"/>
          <w:szCs w:val="24"/>
          <w:highlight w:val="none"/>
        </w:rPr>
      </w:pPr>
      <w:r>
        <w:rPr>
          <w:rFonts w:hint="eastAsia" w:hAnsi="宋体"/>
          <w:sz w:val="24"/>
          <w:szCs w:val="24"/>
          <w:highlight w:val="none"/>
        </w:rPr>
        <w:t>●4、响应时间。维保服务单位在发现设备故障或接到我方故障报修通知后，需在10分钟内组织驻场值守人员开展现场故障整修工作，同时根据故障现象及我方要求，</w:t>
      </w:r>
      <w:r>
        <w:rPr>
          <w:rFonts w:hint="eastAsia" w:hAnsi="宋体"/>
          <w:sz w:val="24"/>
          <w:szCs w:val="24"/>
          <w:highlight w:val="none"/>
          <w:lang w:val="en-US"/>
        </w:rPr>
        <w:t>30分钟</w:t>
      </w:r>
      <w:r>
        <w:rPr>
          <w:rFonts w:hint="eastAsia" w:hAnsi="宋体"/>
          <w:sz w:val="24"/>
          <w:szCs w:val="24"/>
          <w:highlight w:val="none"/>
        </w:rPr>
        <w:t>内专业工程师电话对接响应，相关专业厂家1小时内到达现场开展故障定位、排查工作，提出维修方案，经我方认可后开展相关维修工作。对于普通故障，如会议终端等现场具有备品备件的设备发生故障，利用现有备品备件及携带的设备能够完成全部功能恢复的，需要在</w:t>
      </w:r>
      <w:r>
        <w:rPr>
          <w:rFonts w:hint="eastAsia" w:hAnsi="宋体"/>
          <w:sz w:val="24"/>
          <w:szCs w:val="24"/>
          <w:highlight w:val="none"/>
          <w:lang w:val="en-US"/>
        </w:rPr>
        <w:t>1</w:t>
      </w:r>
      <w:r>
        <w:rPr>
          <w:rFonts w:hint="eastAsia" w:hAnsi="宋体"/>
          <w:sz w:val="24"/>
          <w:szCs w:val="24"/>
          <w:highlight w:val="none"/>
        </w:rPr>
        <w:t>小时内予以修复；对于较大故障，如音频处理器故障等现场不具有备品备件的设备发生故障，利用现有备品备件及携带的设备能够完成部分功能恢复的，需要在</w:t>
      </w:r>
      <w:r>
        <w:rPr>
          <w:rFonts w:hint="eastAsia" w:hAnsi="宋体"/>
          <w:sz w:val="24"/>
          <w:szCs w:val="24"/>
          <w:highlight w:val="none"/>
          <w:lang w:val="en-US"/>
        </w:rPr>
        <w:t>2</w:t>
      </w:r>
      <w:r>
        <w:rPr>
          <w:rFonts w:hint="eastAsia" w:hAnsi="宋体"/>
          <w:sz w:val="24"/>
          <w:szCs w:val="24"/>
          <w:highlight w:val="none"/>
        </w:rPr>
        <w:t>小时内予以修复；对于重大故障，如</w:t>
      </w:r>
      <w:r>
        <w:rPr>
          <w:rFonts w:hint="eastAsia" w:hAnsi="宋体"/>
          <w:sz w:val="24"/>
          <w:szCs w:val="24"/>
          <w:highlight w:val="none"/>
          <w:lang w:val="en-US"/>
        </w:rPr>
        <w:t>LED显示屏</w:t>
      </w:r>
      <w:r>
        <w:rPr>
          <w:rFonts w:hint="eastAsia" w:hAnsi="宋体"/>
          <w:sz w:val="24"/>
          <w:szCs w:val="24"/>
          <w:highlight w:val="none"/>
        </w:rPr>
        <w:t>故障等现场不具有备品备件的设备发生故障，利用现有备品备件及携带的设备够完成部分功能恢复的，需要在</w:t>
      </w:r>
      <w:r>
        <w:rPr>
          <w:rFonts w:hint="eastAsia" w:hAnsi="宋体"/>
          <w:sz w:val="24"/>
          <w:szCs w:val="24"/>
          <w:highlight w:val="none"/>
          <w:lang w:val="en-US"/>
        </w:rPr>
        <w:t>4</w:t>
      </w:r>
      <w:r>
        <w:rPr>
          <w:rFonts w:hint="eastAsia" w:hAnsi="宋体"/>
          <w:sz w:val="24"/>
          <w:szCs w:val="24"/>
          <w:highlight w:val="none"/>
        </w:rPr>
        <w:t>小时内予以修复；对于特大故障，如核心矩阵等重要性较高且现场不具有备品备件的设备发生故障，利用现场备品备件及携带的设备无法完全或者部分恢复现有功能的，需要及时联系相关厂家提供替代设备，原厂工程师必须到场并在</w:t>
      </w:r>
      <w:r>
        <w:rPr>
          <w:rFonts w:hint="eastAsia" w:hAnsi="宋体"/>
          <w:sz w:val="24"/>
          <w:szCs w:val="24"/>
          <w:highlight w:val="none"/>
          <w:lang w:val="en-US"/>
        </w:rPr>
        <w:t>24</w:t>
      </w:r>
      <w:r>
        <w:rPr>
          <w:rFonts w:hint="eastAsia" w:hAnsi="宋体"/>
          <w:sz w:val="24"/>
          <w:szCs w:val="24"/>
          <w:highlight w:val="none"/>
        </w:rPr>
        <w:t>小时内予以恢复相关功能，所有送修设备在消除保密风险后，需在1周内完成设备维修、功能测试并送至我方现场，根据我方安排确定设备更换时间。</w:t>
      </w:r>
    </w:p>
    <w:p w14:paraId="4FBF7291">
      <w:pPr>
        <w:autoSpaceDE/>
        <w:autoSpaceDN/>
        <w:adjustRightInd w:val="0"/>
        <w:snapToGrid w:val="0"/>
        <w:spacing w:line="420" w:lineRule="exact"/>
        <w:ind w:firstLine="480" w:firstLineChars="200"/>
        <w:rPr>
          <w:rFonts w:hAnsi="宋体"/>
          <w:sz w:val="24"/>
          <w:szCs w:val="24"/>
          <w:highlight w:val="none"/>
        </w:rPr>
      </w:pPr>
      <w:r>
        <w:rPr>
          <w:rFonts w:hint="eastAsia" w:hAnsi="宋体"/>
          <w:sz w:val="24"/>
          <w:szCs w:val="24"/>
          <w:highlight w:val="none"/>
        </w:rPr>
        <w:t>●</w:t>
      </w:r>
      <w:r>
        <w:rPr>
          <w:rFonts w:hint="eastAsia" w:hAnsi="宋体"/>
          <w:sz w:val="24"/>
          <w:szCs w:val="24"/>
          <w:highlight w:val="none"/>
          <w:lang w:val="en-US"/>
        </w:rPr>
        <w:t>5</w:t>
      </w:r>
      <w:r>
        <w:rPr>
          <w:rFonts w:hint="eastAsia" w:hAnsi="宋体"/>
          <w:sz w:val="24"/>
          <w:szCs w:val="24"/>
          <w:highlight w:val="none"/>
        </w:rPr>
        <w:t>、技术支撑。重大任务保障支撑：在重大任务前维保服务单位根据重大任务保障计划安排相关人员开展重点设备巡查工作，同时结合重大任务保障要求制定针对性维护保障方案并开展相关系统的联调联测工作，确保重大任务保障支撑。重大安保任务期间，应增加驻场人员数量，做好保障巡检记录，对于出现的异常、损坏要及时维修更换、恢复设备、系统运行；重要项目实施支撑：在遇到用户计划实施重要的项目（如设备迁移、升级、联网、业务合并或拓展等）时，维保服务单位必须积极配合或协助，在原有维护团队基础上，需加强力量，增派专业资深工程师，必须安排专业的资深工程师进驻现场配合调整业务系统，提供相应的技术支持和技术建议，直至硬件设备、软件系统调整结束。</w:t>
      </w:r>
    </w:p>
    <w:p w14:paraId="7C6AFB83">
      <w:pPr>
        <w:autoSpaceDE/>
        <w:autoSpaceDN/>
        <w:adjustRightInd w:val="0"/>
        <w:snapToGrid w:val="0"/>
        <w:spacing w:line="420" w:lineRule="exact"/>
        <w:ind w:firstLine="482" w:firstLineChars="200"/>
        <w:rPr>
          <w:rFonts w:hAnsi="宋体"/>
          <w:b/>
          <w:sz w:val="24"/>
          <w:szCs w:val="24"/>
          <w:highlight w:val="none"/>
          <w:lang w:val="en-US"/>
        </w:rPr>
      </w:pPr>
      <w:r>
        <w:rPr>
          <w:rFonts w:hint="eastAsia" w:hAnsi="宋体"/>
          <w:b/>
          <w:sz w:val="24"/>
          <w:szCs w:val="24"/>
          <w:highlight w:val="none"/>
          <w:lang w:val="en-US"/>
        </w:rPr>
        <w:t>（二）核心通信系统设备</w:t>
      </w:r>
      <w:r>
        <w:rPr>
          <w:rFonts w:hint="eastAsia" w:hAnsi="宋体"/>
          <w:b/>
          <w:sz w:val="24"/>
          <w:szCs w:val="24"/>
          <w:highlight w:val="none"/>
        </w:rPr>
        <w:t>维护</w:t>
      </w:r>
      <w:r>
        <w:rPr>
          <w:rFonts w:hint="eastAsia" w:hAnsi="宋体"/>
          <w:b/>
          <w:sz w:val="24"/>
          <w:szCs w:val="24"/>
          <w:highlight w:val="none"/>
          <w:lang w:val="en-US"/>
        </w:rPr>
        <w:t>要求</w:t>
      </w:r>
    </w:p>
    <w:p w14:paraId="0340AA3D">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rPr>
        <w:t>●</w:t>
      </w:r>
      <w:r>
        <w:rPr>
          <w:rFonts w:hint="eastAsia" w:hAnsi="宋体"/>
          <w:sz w:val="24"/>
          <w:szCs w:val="24"/>
          <w:highlight w:val="none"/>
          <w:lang w:val="en-US"/>
        </w:rPr>
        <w:t>1、核心通信系统设备</w:t>
      </w:r>
      <w:r>
        <w:rPr>
          <w:rFonts w:hint="eastAsia" w:hAnsi="宋体"/>
          <w:bCs/>
          <w:sz w:val="24"/>
          <w:szCs w:val="24"/>
          <w:highlight w:val="none"/>
        </w:rPr>
        <w:t>维护</w:t>
      </w:r>
      <w:r>
        <w:rPr>
          <w:rFonts w:hint="eastAsia" w:hAnsi="宋体"/>
          <w:sz w:val="24"/>
          <w:szCs w:val="24"/>
          <w:highlight w:val="none"/>
          <w:lang w:val="en-US"/>
        </w:rPr>
        <w:t>总体要求。核心通信系统设备主要包括高清光纤矩阵系统（系统品牌为Extron）、小间距LED大屏显示系统（系统品牌为利亚德）、室内全彩显示屏（系统品牌为铂睿美视）、高清视频会议系统（系统品牌为苏州科达）、网络设备（系统品牌为华为）、集中控制系统（软件开发厂家为江苏望山科技有限公司）等专业化程度较高、部分维护调整需要专业人员或专业设备开展的通信系统设备。针对核心通信系统设备的维护工作，除完成上述维保服务的总体要求外，还要做到：设备故障或系统升级时，需提供原厂专业技术支撑和配件供给等；每月提供有资质的专业人员技术支撑服务，对重要核心系统开展深度检查，深度检测系统运行状态，检查、清理、备份系统日志，并形成相关运维月报；软件系统的安全加固、端口调整、功能升级及软硬件设备的互联调试、更换等，需由原厂或原厂指定的资质服务商开展。上述产生的人工及其他费用，由维保服务单位承担。</w:t>
      </w:r>
    </w:p>
    <w:p w14:paraId="1D94FCB3">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2、核心通信系统设备</w:t>
      </w:r>
      <w:r>
        <w:rPr>
          <w:rFonts w:hint="eastAsia" w:hAnsi="宋体"/>
          <w:bCs/>
          <w:sz w:val="24"/>
          <w:szCs w:val="24"/>
          <w:highlight w:val="none"/>
        </w:rPr>
        <w:t>维护</w:t>
      </w:r>
      <w:r>
        <w:rPr>
          <w:rFonts w:hint="eastAsia" w:hAnsi="宋体"/>
          <w:sz w:val="24"/>
          <w:szCs w:val="24"/>
          <w:highlight w:val="none"/>
          <w:lang w:val="en-US"/>
        </w:rPr>
        <w:t>具体要求。</w:t>
      </w:r>
    </w:p>
    <w:p w14:paraId="4988885D">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rPr>
        <w:t>●</w:t>
      </w:r>
      <w:r>
        <w:rPr>
          <w:rFonts w:hint="eastAsia" w:hAnsi="宋体"/>
          <w:sz w:val="24"/>
          <w:szCs w:val="24"/>
          <w:highlight w:val="none"/>
          <w:lang w:val="en-US"/>
        </w:rPr>
        <w:t>（1）高清光纤矩阵系统。光纤信号测试：利用专业仪器测试光纤收发器之间，光纤收发器至交换板之间的光信号衰减情况，对衰减量明显的光纤链路及光纤收发模块及时进行更换；系统巡检：进入后台系统检查主控板、光纤交换板及通信板运行情况，记录设备及端口使用情况，对告警信息及时进行处理；光纤收发器巡检：利用专业仪器测试光纤收发器信号质量，根据测试结果评估光纤收发器性能，对性能下降或损坏的设备及时予以维修和更换；端口及线路调整：根据实际使用需求对矩阵端口、设备间跳线及光纤收发器等进行实时调整，并修改相关配置参数，确保信号正常传输。</w:t>
      </w:r>
    </w:p>
    <w:p w14:paraId="02658716">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rPr>
        <w:t>●</w:t>
      </w:r>
      <w:r>
        <w:rPr>
          <w:rFonts w:hint="eastAsia" w:hAnsi="宋体"/>
          <w:sz w:val="24"/>
          <w:szCs w:val="24"/>
          <w:highlight w:val="none"/>
          <w:lang w:val="en-US"/>
        </w:rPr>
        <w:t>（2）小间距LED大屏显示系统。屏幕巡检维护：对LED屏幕平整度及灯珠状态进行巡查，发现屏幕整体平整度超过使用规范的，需联系原厂专业工程师开展平整度调测工作。LED灯珠整屏损坏数量超过200个、单位平方米内损坏数量超过50个或明显影响显示效果的，需联系原厂专业工程师开展灯珠维修工作；箱体巡检维护：对LED拼接箱体运行状态进行检测，及时处理供电及信号分配等故障，确保箱体正常运行；拼接控制器巡检维护：对拼接控制器运行状态进行检查，及时处理控制器故障，确保大屏整体正常运行。</w:t>
      </w:r>
    </w:p>
    <w:p w14:paraId="4B8B60E1">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rPr>
        <w:t>●</w:t>
      </w:r>
      <w:r>
        <w:rPr>
          <w:rFonts w:hint="eastAsia" w:hAnsi="宋体"/>
          <w:sz w:val="24"/>
          <w:szCs w:val="24"/>
          <w:highlight w:val="none"/>
          <w:lang w:val="en-US"/>
        </w:rPr>
        <w:t>（3）室内全彩显示屏。屏幕巡检维护：对屏幕平整度及灯珠状态进行巡查，发现屏幕整体平整度超过使用规范的，需联系原厂专业工程师开展平整度调测工作；灯珠整屏损坏数量超过200个、单位平方米内损坏数量超过50个或明显影响显示效果的，需联系原厂专业工程师开展灯珠维修工作；箱体巡检维护：对拼接箱体运行状态进行检测，及时处理供电及信号分配等故障，确保箱体正常运行；大屏处理器巡检维护：对大屏处理器运行状态进行检查，及时处理处理器故障，确保大屏整体正常运行。</w:t>
      </w:r>
    </w:p>
    <w:p w14:paraId="25BEF1D1">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rPr>
        <w:t>●</w:t>
      </w:r>
      <w:r>
        <w:rPr>
          <w:rFonts w:hint="eastAsia" w:hAnsi="宋体"/>
          <w:sz w:val="24"/>
          <w:szCs w:val="24"/>
          <w:highlight w:val="none"/>
          <w:lang w:val="en-US"/>
        </w:rPr>
        <w:t>（4）高清视频会议系统。每日开展视频会议系统运行质态及MCU、电视墙和终端等设备巡检，并结合每日会议及点名情况，检查音视频信号传输质量；根据要求，开展安全加固、版本升级、固件升级、系统调整等工作；配合部交管局开展视频会议云平台的调试、使用；根据要求线下部署会议系统设备，线上远程指导部署相关软客户端；配合完成会议系统设备与其他系统设备的互联对接； 每日记录巡检及维修维护情况，每月形成本系统运维月报；重要会议期间，在后台监测系统运行情况，随时开展应急处置。</w:t>
      </w:r>
    </w:p>
    <w:p w14:paraId="0C8E3821">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rPr>
        <w:t>●</w:t>
      </w:r>
      <w:r>
        <w:rPr>
          <w:rFonts w:hint="eastAsia" w:hAnsi="宋体"/>
          <w:sz w:val="24"/>
          <w:szCs w:val="24"/>
          <w:highlight w:val="none"/>
          <w:lang w:val="en-US"/>
        </w:rPr>
        <w:t>（5）网络设备。核心设备巡检：对各类网络核心设备和重要业务服务模块进行巡检，确保各业务模块服务正常，网络运行及业务服务稳定可靠；业务调整：根据使用需要，开展业务功能设置，对相关功能进行实时调整；配合开展设备安全升级。</w:t>
      </w:r>
    </w:p>
    <w:p w14:paraId="4368FB37">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6）集中控制系统。系统及设备巡检：对主备服务终端开展常态化巡检，并进行主备设备切换测试，确保调度软件正常运行。对被控端设备的接入进行检查，确保与被控设备间连接及通信正常，控制功能正常；软件调整维护：根据实际需求，对控制界面、控制功能和与被控设备间的通信协议进行调整。及时修复使用过程中发现的BUG和业务逻辑冲突，及时清理缓存和备份重要配置参数，确保系统运行稳定可靠。</w:t>
      </w:r>
    </w:p>
    <w:p w14:paraId="3A30B602">
      <w:pPr>
        <w:autoSpaceDE/>
        <w:autoSpaceDN/>
        <w:adjustRightInd w:val="0"/>
        <w:snapToGrid w:val="0"/>
        <w:spacing w:line="420" w:lineRule="exact"/>
        <w:ind w:firstLine="482" w:firstLineChars="200"/>
        <w:rPr>
          <w:rFonts w:hAnsi="宋体"/>
          <w:b/>
          <w:bCs/>
          <w:sz w:val="24"/>
          <w:szCs w:val="24"/>
          <w:highlight w:val="none"/>
          <w:lang w:val="en-US"/>
        </w:rPr>
      </w:pPr>
      <w:r>
        <w:rPr>
          <w:rFonts w:hint="eastAsia" w:hAnsi="宋体"/>
          <w:b/>
          <w:bCs/>
          <w:sz w:val="24"/>
          <w:szCs w:val="24"/>
          <w:highlight w:val="none"/>
          <w:lang w:val="en-US"/>
        </w:rPr>
        <w:t>（三）故障处理能力要求</w:t>
      </w:r>
    </w:p>
    <w:p w14:paraId="389C2AC5">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●1、维保服务单位需根据系统使用情况及日常维护需要，在运维服务现场配备相应维修维护工具及线缆辅材，确保在规定时间内完成巡检维护及故障维修。</w:t>
      </w:r>
    </w:p>
    <w:p w14:paraId="5AB5C7F3">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rPr>
        <w:t>●</w:t>
      </w:r>
      <w:r>
        <w:rPr>
          <w:rFonts w:hint="eastAsia" w:hAnsi="宋体"/>
          <w:sz w:val="24"/>
          <w:szCs w:val="24"/>
          <w:highlight w:val="none"/>
          <w:lang w:val="en-US"/>
        </w:rPr>
        <w:t>2、本维保项目不要求维保服务单位提供指定的备品备件，维保服务单位需对现有系统进行评估，具备相关可替换设备快速获取途径，确保在规定时间内完成故障维修。设备故障发生后，维保服务单位无自行修复能力或具有较大维修风险的，须协调原厂商技术力量开展现场修复。因原厂商技术力量现场修复产生的费用，全部由维保服务单位承担。</w:t>
      </w:r>
    </w:p>
    <w:p w14:paraId="2169B4D0">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●3、因设备维修而更换的维修配件等，相关产权归甲方所有，损坏设备需根据甲方相关规定要求进行处置。</w:t>
      </w:r>
    </w:p>
    <w:p w14:paraId="35632424">
      <w:pPr>
        <w:autoSpaceDE/>
        <w:autoSpaceDN/>
        <w:adjustRightInd w:val="0"/>
        <w:snapToGrid w:val="0"/>
        <w:spacing w:line="420" w:lineRule="exact"/>
        <w:ind w:firstLine="482" w:firstLineChars="200"/>
        <w:rPr>
          <w:rFonts w:hAnsi="宋体"/>
          <w:b/>
          <w:bCs/>
          <w:sz w:val="24"/>
          <w:szCs w:val="24"/>
          <w:highlight w:val="none"/>
          <w:lang w:val="en-US"/>
        </w:rPr>
      </w:pPr>
      <w:r>
        <w:rPr>
          <w:rFonts w:hint="eastAsia" w:hAnsi="宋体"/>
          <w:b/>
          <w:bCs/>
          <w:sz w:val="24"/>
          <w:szCs w:val="24"/>
          <w:highlight w:val="none"/>
          <w:lang w:val="en-US"/>
        </w:rPr>
        <w:t>（四）驻场值守人员服务要求</w:t>
      </w:r>
    </w:p>
    <w:p w14:paraId="65531CE1">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rPr>
        <w:t>★</w:t>
      </w:r>
      <w:r>
        <w:rPr>
          <w:rFonts w:hint="eastAsia" w:hAnsi="宋体"/>
          <w:sz w:val="24"/>
          <w:szCs w:val="24"/>
          <w:highlight w:val="none"/>
          <w:lang w:val="en-US"/>
        </w:rPr>
        <w:t>1、维保服务单位派驻2名专业工程师开展驻场值守服务，</w:t>
      </w:r>
      <w:r>
        <w:rPr>
          <w:rFonts w:hint="eastAsia" w:hAnsi="宋体"/>
          <w:sz w:val="24"/>
          <w:szCs w:val="24"/>
          <w:highlight w:val="none"/>
        </w:rPr>
        <w:t>服务包括相关系统设备的日常巡检，设备故障排查、判断和定位，简单故障的快速检修，通信保障服务等。</w:t>
      </w:r>
      <w:r>
        <w:rPr>
          <w:rFonts w:hint="eastAsia" w:hAnsi="宋体"/>
          <w:sz w:val="24"/>
          <w:szCs w:val="24"/>
          <w:highlight w:val="none"/>
          <w:lang w:val="en-US"/>
        </w:rPr>
        <w:t>驻场人员需为维保服务单位正式员工（不允许外包），并在合同签订前提供有效期内的相关用工合同证明材料。</w:t>
      </w:r>
    </w:p>
    <w:p w14:paraId="03906B89">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2、中标人须在领取中标通知书后5日内安排相关驻场值守人员进场（需提供无犯罪记录证明），在合同签订前完成与上一年度维保服务单位的交接工作。维保服务过程中，如不符合我方驻场要求的驻场工作人员，维保服务单位须在1周内提供新的驻场人员资料并在我方审核通过后1周内上岗；由于维保服务单位和个人原因需替换人员，须提前1个月向我方提出申请，维保服务单位须在我方同意申请1周内提供新的驻场人员资料，新的驻场人员须在原驻场值守人员离岗前上岗。如有不可抗力因素，双方协商解决。</w:t>
      </w:r>
    </w:p>
    <w:p w14:paraId="454D8A1C">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3、驻场值守人员配备及能力要求如下：</w:t>
      </w:r>
    </w:p>
    <w:p w14:paraId="4536BF99">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●（1）音视频保障驻场值守工程师（1人）。熟悉小间距LED大屏显示系统、室内全彩显示屏、高清视频会议系统的基本工作原理，具备相关系统的运行维护能力，有其中之一</w:t>
      </w:r>
      <w:r>
        <w:rPr>
          <w:rFonts w:hint="eastAsia" w:hAnsi="宋体"/>
          <w:sz w:val="24"/>
          <w:szCs w:val="24"/>
          <w:highlight w:val="none"/>
        </w:rPr>
        <w:t>厂家</w:t>
      </w:r>
      <w:r>
        <w:rPr>
          <w:rFonts w:hint="eastAsia" w:hAnsi="宋体"/>
          <w:sz w:val="24"/>
          <w:szCs w:val="24"/>
          <w:highlight w:val="none"/>
          <w:lang w:val="en-US"/>
        </w:rPr>
        <w:t>培训结业证书或认证工程师证书，有3年或3年以上相关维护工作经验。</w:t>
      </w:r>
    </w:p>
    <w:p w14:paraId="121ABCFF">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●（2）通信保障驻场值守工程师（1人）。熟悉高清光纤矩阵系统、网络设备的基本工作原理，具备相关系统的运行维护能力，有其中之一</w:t>
      </w:r>
      <w:r>
        <w:rPr>
          <w:rFonts w:hint="eastAsia" w:hAnsi="宋体"/>
          <w:sz w:val="24"/>
          <w:szCs w:val="24"/>
          <w:highlight w:val="none"/>
        </w:rPr>
        <w:t>厂家</w:t>
      </w:r>
      <w:r>
        <w:rPr>
          <w:rFonts w:hint="eastAsia" w:hAnsi="宋体"/>
          <w:sz w:val="24"/>
          <w:szCs w:val="24"/>
          <w:highlight w:val="none"/>
          <w:lang w:val="en-US"/>
        </w:rPr>
        <w:t>培训结业证书或认证工程师证书，有3年或3年以上相关维护工作经验。</w:t>
      </w:r>
    </w:p>
    <w:p w14:paraId="712FD9E5">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3、合同签订前，维保服务单位须向采购人提供驻场值守人员名单、相关证书原件、有效期内的用工合同证明以及工作经验证明材料，以供查验。未按期提供或文件内容不实的，视为虚假承诺，采购人有权取消合同，并按照供应商虚假承诺应标处理。</w:t>
      </w:r>
    </w:p>
    <w:p w14:paraId="312029D5">
      <w:pPr>
        <w:autoSpaceDE/>
        <w:autoSpaceDN/>
        <w:adjustRightInd w:val="0"/>
        <w:snapToGrid w:val="0"/>
        <w:spacing w:line="420" w:lineRule="exact"/>
        <w:ind w:firstLine="482" w:firstLineChars="200"/>
        <w:rPr>
          <w:rFonts w:hAnsi="宋体"/>
          <w:b/>
          <w:bCs/>
          <w:sz w:val="24"/>
          <w:szCs w:val="24"/>
          <w:highlight w:val="none"/>
          <w:lang w:val="en-US"/>
        </w:rPr>
      </w:pPr>
      <w:r>
        <w:rPr>
          <w:rFonts w:hint="eastAsia" w:hAnsi="宋体"/>
          <w:b/>
          <w:bCs/>
          <w:sz w:val="24"/>
          <w:szCs w:val="24"/>
          <w:highlight w:val="none"/>
          <w:lang w:val="en-US"/>
        </w:rPr>
        <w:t>（五）人员管理要求</w:t>
      </w:r>
    </w:p>
    <w:p w14:paraId="73713F13">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1、考勤管理。驻场值守工作时间：工作日、周末、法定节假日均为8:30-22:00。正常工作时间为5天×8个小时工作制，正常工作时间外安排一人在现场开展值班值守工作，并安排机动处置力量以应对突发设备故障。每日需执行打卡签到制度，确保人员按规定在岗在位。人员休假按照国家法定规范执行，人员请假、休假需提前向我方报告，在我方同意后，运维团队进行相应人员力量调整，确保运维工作不受影响。驻场人员因工作需要而进行值班、加班、出差等，经甲方确认后由维保服务单位按照南京当地人社部门相关标准予以支付。</w:t>
      </w:r>
    </w:p>
    <w:p w14:paraId="37448A26">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2、施工管理。驻场人员需根据我方要求统一着装（服装费用由乙方自行承担），并严格遵守我方各项人员管理制度。驻场人员进行系统设备维护时需文明施工，且驻场服务期间需服从我方管理及任务分工，不得推诿、怠工。</w:t>
      </w:r>
    </w:p>
    <w:p w14:paraId="4D439D60">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●3、安全生产及保密教育。驻场人员需定期开展安全生产及安全保密教育，严格落实我方各项保密要求，严禁接触涉密区域、文件及系统设备。</w:t>
      </w:r>
    </w:p>
    <w:p w14:paraId="6F35B1BE">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●4、业务能力培训考核。维保服务单位需定期对驻场人员开展业务能力培训，并每月开展工作质量及业务技能考核，确保运维团队人员运维水平持续保持高位。</w:t>
      </w:r>
    </w:p>
    <w:p w14:paraId="769BB233">
      <w:pPr>
        <w:autoSpaceDE/>
        <w:autoSpaceDN/>
        <w:adjustRightInd w:val="0"/>
        <w:snapToGrid w:val="0"/>
        <w:spacing w:line="420" w:lineRule="exact"/>
        <w:ind w:firstLine="480" w:firstLineChars="200"/>
        <w:rPr>
          <w:rFonts w:hAnsi="宋体"/>
          <w:sz w:val="24"/>
          <w:szCs w:val="24"/>
          <w:highlight w:val="none"/>
          <w:lang w:val="en-US"/>
        </w:rPr>
      </w:pPr>
      <w:r>
        <w:rPr>
          <w:rFonts w:hint="eastAsia" w:hAnsi="宋体"/>
          <w:sz w:val="24"/>
          <w:szCs w:val="24"/>
          <w:highlight w:val="none"/>
          <w:lang w:val="en-US"/>
        </w:rPr>
        <w:t>●5、其他人员相关费用。因系统维护、设备检修、重大任务保障等需要，如需驻场人员加班、异地运维或第三方专业技术力量开展现场支撑，需提前向甲方进行报备确认，期间产生的工时、差旅等费用，由维保服务单位统一承担；驻场人员因工作需要而进行值班、加班、出差等，经甲方确认后由维保服务单位按照南京当地人社部门相关标准予以支付；驻场人员服装、值班用品等，由维保服务单位按需购买。</w:t>
      </w:r>
    </w:p>
    <w:p w14:paraId="65488DBB">
      <w:pPr>
        <w:autoSpaceDE/>
        <w:autoSpaceDN/>
        <w:adjustRightInd w:val="0"/>
        <w:snapToGrid w:val="0"/>
        <w:spacing w:line="420" w:lineRule="exact"/>
        <w:ind w:firstLine="482" w:firstLineChars="200"/>
        <w:rPr>
          <w:rFonts w:hAnsi="宋体"/>
          <w:b/>
          <w:sz w:val="24"/>
          <w:szCs w:val="24"/>
          <w:highlight w:val="none"/>
          <w:lang w:val="en-US"/>
        </w:rPr>
      </w:pPr>
      <w:r>
        <w:rPr>
          <w:rFonts w:hint="eastAsia" w:hAnsi="宋体"/>
          <w:b/>
          <w:sz w:val="24"/>
          <w:szCs w:val="24"/>
          <w:highlight w:val="none"/>
          <w:lang w:val="en-US"/>
        </w:rPr>
        <w:t>（六）维保服务单位要求</w:t>
      </w:r>
    </w:p>
    <w:p w14:paraId="116D1B82">
      <w:pPr>
        <w:autoSpaceDE/>
        <w:autoSpaceDN/>
        <w:adjustRightInd w:val="0"/>
        <w:snapToGrid w:val="0"/>
        <w:spacing w:line="420" w:lineRule="exact"/>
        <w:ind w:firstLine="480" w:firstLineChars="200"/>
        <w:rPr>
          <w:rFonts w:hAnsi="宋体"/>
          <w:sz w:val="24"/>
          <w:szCs w:val="24"/>
          <w:highlight w:val="none"/>
        </w:rPr>
      </w:pPr>
      <w:r>
        <w:rPr>
          <w:rFonts w:hint="eastAsia" w:hAnsi="宋体"/>
          <w:sz w:val="24"/>
          <w:szCs w:val="24"/>
          <w:highlight w:val="none"/>
          <w:lang w:val="en-US"/>
        </w:rPr>
        <w:t>●</w:t>
      </w:r>
      <w:r>
        <w:rPr>
          <w:rFonts w:hint="eastAsia" w:hAnsi="宋体"/>
          <w:sz w:val="24"/>
          <w:szCs w:val="24"/>
          <w:highlight w:val="none"/>
        </w:rPr>
        <w:t>1、服务单位要拥有稳定的专业化的技术支持服务队伍，完善的技术支持服务体系；投入提供足以能支撑本项目日常服务的资源，保障现场服务正常开展，不得拒绝服务；节假日保证进行正常维修，不得出现没有服务人员上门服务、服务不及时的现象；保证在与交管总队合作的过程中对业主提供的内部技术资料和相关项目内容等机密信息不得向第三方泄露；每次服务结束后，在故障记录上详细说明故障现象及处理办法，并由交管总队项目管理人员签字确认；每月总结当月服务记录，生成月度服务总结并提交交管总队项目管理人员。</w:t>
      </w:r>
    </w:p>
    <w:p w14:paraId="71543D9C">
      <w:pPr>
        <w:autoSpaceDE/>
        <w:autoSpaceDN/>
        <w:adjustRightInd w:val="0"/>
        <w:snapToGrid w:val="0"/>
        <w:spacing w:line="420" w:lineRule="exact"/>
        <w:ind w:firstLine="480" w:firstLineChars="200"/>
        <w:rPr>
          <w:rFonts w:hAnsi="宋体"/>
          <w:sz w:val="24"/>
          <w:szCs w:val="24"/>
          <w:highlight w:val="none"/>
        </w:rPr>
      </w:pPr>
      <w:r>
        <w:rPr>
          <w:rFonts w:hint="eastAsia" w:hAnsi="宋体"/>
          <w:sz w:val="24"/>
          <w:szCs w:val="24"/>
          <w:highlight w:val="none"/>
        </w:rPr>
        <w:t>★2、本次维保项目涉及硬件设备数量众多，涉及面广，涉及配套软件相对复杂，问题排查、故障维修等方面实时性要求高，由于驻场人员相对较少，需要有强大的技术支持力量，要求服务单位组建一只由经验丰富的技术专家（高级工程师）为总负责人，至少</w:t>
      </w:r>
      <w:r>
        <w:rPr>
          <w:rFonts w:hint="eastAsia" w:hAnsi="宋体"/>
          <w:sz w:val="24"/>
          <w:szCs w:val="24"/>
          <w:highlight w:val="none"/>
          <w:lang w:val="en-US"/>
        </w:rPr>
        <w:t>8</w:t>
      </w:r>
      <w:r>
        <w:rPr>
          <w:rFonts w:hint="eastAsia" w:hAnsi="宋体"/>
          <w:sz w:val="24"/>
          <w:szCs w:val="24"/>
          <w:highlight w:val="none"/>
        </w:rPr>
        <w:t>名工程师组成的技术支持团队来支撑驻场服务人员，保障维保期间问题快速排查、故障快速修复、设备快速更换等。技术专家负责重大故障的处理，定期对运行情况进行分析，并提出整改或优化方案和建议。团队工程师负责支撑疑难故障得处理，定期组织到现场开展巡检，并提出合理化方案和建议。团队工程师分别对安全、存储、虚拟化、监控、机房、无线、布线、运维等IT系统进行专项学习和研究；承接过各类纵向网、园区网、骨干网等大型特大型网络建设，处理过众多复杂棘手的、紧急的、重大的网络故障，保障了众多大型社会活动、网络依赖级别高的单位、政府和企业高级别工作会议等的网络系统。团队工程师专业</w:t>
      </w:r>
      <w:r>
        <w:rPr>
          <w:rFonts w:hint="eastAsia" w:hAnsi="宋体"/>
          <w:sz w:val="24"/>
          <w:szCs w:val="24"/>
          <w:highlight w:val="none"/>
          <w:lang w:val="en-US"/>
        </w:rPr>
        <w:t>职称</w:t>
      </w:r>
      <w:r>
        <w:rPr>
          <w:rFonts w:hint="eastAsia" w:hAnsi="宋体"/>
          <w:sz w:val="24"/>
          <w:szCs w:val="24"/>
          <w:highlight w:val="none"/>
        </w:rPr>
        <w:t>为电子、通信、计算机、广播电视、智能化类。</w:t>
      </w:r>
    </w:p>
    <w:p w14:paraId="40967B0A">
      <w:pPr>
        <w:autoSpaceDE/>
        <w:autoSpaceDN/>
        <w:adjustRightInd w:val="0"/>
        <w:snapToGrid w:val="0"/>
        <w:spacing w:line="420" w:lineRule="exact"/>
        <w:ind w:firstLine="480" w:firstLineChars="200"/>
        <w:rPr>
          <w:rFonts w:hAnsi="宋体"/>
          <w:bCs/>
          <w:sz w:val="24"/>
          <w:szCs w:val="24"/>
          <w:highlight w:val="none"/>
          <w:lang w:val="en-US"/>
        </w:rPr>
      </w:pPr>
      <w:r>
        <w:rPr>
          <w:rFonts w:hint="eastAsia" w:hAnsi="宋体"/>
          <w:sz w:val="24"/>
          <w:szCs w:val="24"/>
          <w:highlight w:val="none"/>
          <w:lang w:val="en-US"/>
        </w:rPr>
        <w:t>●3、</w:t>
      </w:r>
      <w:r>
        <w:rPr>
          <w:rFonts w:hint="eastAsia" w:hAnsi="宋体"/>
          <w:sz w:val="24"/>
          <w:szCs w:val="24"/>
          <w:highlight w:val="none"/>
        </w:rPr>
        <w:t>运维服务单位需提供值班管理、工单管理、巡检管理、项目管理、文档管理、通信设备运维台账管理等电子化台账，通过运维数据的积累、分析，合理补盲运维服务薄弱环节，科学分配驻场人员工作，提升运维服务的质量和效率。要</w:t>
      </w:r>
      <w:r>
        <w:rPr>
          <w:rFonts w:hint="eastAsia" w:hAnsi="宋体"/>
          <w:bCs/>
          <w:sz w:val="24"/>
          <w:szCs w:val="24"/>
          <w:highlight w:val="none"/>
        </w:rPr>
        <w:t>根据江苏省公安厅安全管理要求，定期开展安全保密教育，提高现场人员安全保密意识和行为规范；加强施工安全等教育培训，对现场运维人员定人定岗，责任到人；及时掌握驻场人员工作状态及行为动态，加强思想认识和业务能力培训，对驻场服务不到位或违反我方相关管理规定的人员，开展批评教育或根据我方要求进行人员更换。</w:t>
      </w:r>
      <w:r>
        <w:rPr>
          <w:rFonts w:hint="eastAsia" w:hAnsi="宋体"/>
          <w:bCs/>
          <w:sz w:val="24"/>
          <w:szCs w:val="24"/>
          <w:highlight w:val="none"/>
          <w:lang w:val="en-US"/>
        </w:rPr>
        <w:t xml:space="preserve"> </w:t>
      </w:r>
    </w:p>
    <w:p w14:paraId="335F2D02">
      <w:pPr>
        <w:autoSpaceDE/>
        <w:autoSpaceDN/>
        <w:adjustRightInd w:val="0"/>
        <w:snapToGrid w:val="0"/>
        <w:spacing w:line="420" w:lineRule="exact"/>
        <w:ind w:firstLine="480" w:firstLineChars="200"/>
        <w:rPr>
          <w:rFonts w:hAnsi="宋体"/>
          <w:bCs/>
          <w:sz w:val="24"/>
          <w:szCs w:val="24"/>
          <w:highlight w:val="none"/>
        </w:rPr>
      </w:pPr>
      <w:r>
        <w:rPr>
          <w:rFonts w:hint="eastAsia" w:hAnsi="宋体"/>
          <w:sz w:val="24"/>
          <w:szCs w:val="24"/>
          <w:highlight w:val="none"/>
          <w:lang w:val="en-US"/>
        </w:rPr>
        <w:t>●</w:t>
      </w:r>
      <w:r>
        <w:rPr>
          <w:rFonts w:hint="eastAsia" w:hAnsi="宋体"/>
          <w:bCs/>
          <w:sz w:val="24"/>
          <w:szCs w:val="24"/>
          <w:highlight w:val="none"/>
        </w:rPr>
        <w:t>4、为保障维保服务的及时响应，投标人承诺中标后提供本地化服务团队，为采购人提供及时响应服务。</w:t>
      </w:r>
    </w:p>
    <w:p w14:paraId="68193B43">
      <w:pPr>
        <w:pStyle w:val="26"/>
        <w:autoSpaceDE/>
        <w:autoSpaceDN/>
        <w:adjustRightInd w:val="0"/>
        <w:snapToGrid w:val="0"/>
        <w:spacing w:line="420" w:lineRule="exact"/>
        <w:ind w:left="0" w:firstLine="482" w:firstLineChars="200"/>
        <w:rPr>
          <w:rFonts w:hAnsi="宋体"/>
          <w:b/>
          <w:sz w:val="24"/>
          <w:szCs w:val="24"/>
          <w:highlight w:val="none"/>
          <w:lang w:val="en-US"/>
        </w:rPr>
      </w:pPr>
      <w:r>
        <w:rPr>
          <w:rFonts w:hint="eastAsia" w:hAnsi="宋体"/>
          <w:b/>
          <w:sz w:val="24"/>
          <w:szCs w:val="24"/>
          <w:highlight w:val="none"/>
          <w:lang w:val="en-US"/>
        </w:rPr>
        <w:t>（七）其他要求</w:t>
      </w:r>
    </w:p>
    <w:p w14:paraId="46040C78">
      <w:pPr>
        <w:pStyle w:val="26"/>
        <w:autoSpaceDE/>
        <w:autoSpaceDN/>
        <w:adjustRightInd w:val="0"/>
        <w:snapToGrid w:val="0"/>
        <w:spacing w:line="420" w:lineRule="exact"/>
        <w:ind w:left="0" w:firstLine="480" w:firstLineChars="200"/>
        <w:rPr>
          <w:rFonts w:hAnsi="宋体"/>
          <w:sz w:val="24"/>
          <w:szCs w:val="24"/>
          <w:highlight w:val="none"/>
        </w:rPr>
      </w:pPr>
      <w:r>
        <w:rPr>
          <w:rFonts w:hint="eastAsia" w:hAnsi="宋体"/>
          <w:sz w:val="24"/>
          <w:szCs w:val="24"/>
          <w:highlight w:val="none"/>
        </w:rPr>
        <w:t>为了更好的完成项目服务，维保服务单位具有信息技术服务运行维护以及信息系统建设和服务能力的优先。现场派驻人员除具备相应专业能力及其资质证书以外，不应存在影响公安信息系统、网络等安全方面的资质背景。维保服务单位的相关资质也必须合规且没有出现过重大违法违规问题。</w:t>
      </w:r>
    </w:p>
    <w:p w14:paraId="1275C982">
      <w:pPr>
        <w:pStyle w:val="26"/>
        <w:autoSpaceDE/>
        <w:autoSpaceDN/>
        <w:adjustRightInd w:val="0"/>
        <w:snapToGrid w:val="0"/>
        <w:spacing w:line="420" w:lineRule="exact"/>
        <w:ind w:left="0" w:firstLine="482" w:firstLineChars="200"/>
        <w:rPr>
          <w:rFonts w:hAnsi="宋体"/>
          <w:b/>
          <w:bCs/>
          <w:sz w:val="24"/>
          <w:szCs w:val="24"/>
          <w:highlight w:val="none"/>
        </w:rPr>
      </w:pPr>
      <w:r>
        <w:rPr>
          <w:rFonts w:hint="eastAsia" w:hAnsi="宋体"/>
          <w:b/>
          <w:bCs/>
          <w:sz w:val="24"/>
          <w:szCs w:val="24"/>
          <w:highlight w:val="none"/>
        </w:rPr>
        <w:t>四、维保考核</w:t>
      </w:r>
    </w:p>
    <w:p w14:paraId="5838B50F">
      <w:pPr>
        <w:autoSpaceDE/>
        <w:autoSpaceDN/>
        <w:adjustRightInd w:val="0"/>
        <w:snapToGrid w:val="0"/>
        <w:spacing w:line="420" w:lineRule="exact"/>
        <w:ind w:firstLine="480" w:firstLineChars="200"/>
        <w:rPr>
          <w:rFonts w:hAnsi="宋体"/>
          <w:sz w:val="24"/>
          <w:szCs w:val="24"/>
          <w:highlight w:val="none"/>
        </w:rPr>
      </w:pPr>
      <w:r>
        <w:rPr>
          <w:rFonts w:hint="eastAsia" w:hAnsi="宋体"/>
          <w:sz w:val="24"/>
          <w:szCs w:val="24"/>
          <w:highlight w:val="none"/>
        </w:rPr>
        <w:t>（一）维保服务考核办法</w:t>
      </w:r>
    </w:p>
    <w:p w14:paraId="6A72C62D">
      <w:pPr>
        <w:pStyle w:val="40"/>
        <w:autoSpaceDE/>
        <w:autoSpaceDN/>
        <w:adjustRightInd w:val="0"/>
        <w:snapToGrid w:val="0"/>
        <w:spacing w:line="420" w:lineRule="exact"/>
        <w:ind w:firstLine="480"/>
        <w:rPr>
          <w:rFonts w:hAnsi="宋体"/>
          <w:b/>
          <w:bCs/>
          <w:szCs w:val="24"/>
          <w:highlight w:val="none"/>
        </w:rPr>
      </w:pPr>
      <w:r>
        <w:rPr>
          <w:rFonts w:hint="eastAsia" w:hAnsi="宋体"/>
          <w:kern w:val="2"/>
          <w:szCs w:val="24"/>
          <w:highlight w:val="none"/>
        </w:rPr>
        <w:t>维保服务质量实行按月定量考核制度，考核打分办法如下：</w:t>
      </w:r>
    </w:p>
    <w:tbl>
      <w:tblPr>
        <w:tblStyle w:val="21"/>
        <w:tblW w:w="9683" w:type="dxa"/>
        <w:jc w:val="center"/>
        <w:tblLayout w:type="fixed"/>
        <w:tblCellMar>
          <w:top w:w="0" w:type="dxa"/>
          <w:left w:w="108" w:type="dxa"/>
          <w:bottom w:w="0" w:type="dxa"/>
          <w:right w:w="108" w:type="dxa"/>
        </w:tblCellMar>
      </w:tblPr>
      <w:tblGrid>
        <w:gridCol w:w="795"/>
        <w:gridCol w:w="1399"/>
        <w:gridCol w:w="3828"/>
        <w:gridCol w:w="753"/>
        <w:gridCol w:w="1056"/>
        <w:gridCol w:w="1016"/>
        <w:gridCol w:w="836"/>
      </w:tblGrid>
      <w:tr w14:paraId="5ED7B993">
        <w:tblPrEx>
          <w:tblCellMar>
            <w:top w:w="0" w:type="dxa"/>
            <w:left w:w="108" w:type="dxa"/>
            <w:bottom w:w="0" w:type="dxa"/>
            <w:right w:w="108" w:type="dxa"/>
          </w:tblCellMar>
        </w:tblPrEx>
        <w:trPr>
          <w:trHeight w:val="673" w:hRule="atLeast"/>
          <w:jc w:val="center"/>
        </w:trPr>
        <w:tc>
          <w:tcPr>
            <w:tcW w:w="9683" w:type="dxa"/>
            <w:gridSpan w:val="7"/>
            <w:tcBorders>
              <w:top w:val="nil"/>
              <w:left w:val="nil"/>
              <w:bottom w:val="single" w:color="auto" w:sz="4" w:space="0"/>
              <w:right w:val="nil"/>
            </w:tcBorders>
            <w:shd w:val="clear" w:color="000000" w:fill="FFFFFF"/>
            <w:noWrap/>
            <w:vAlign w:val="center"/>
          </w:tcPr>
          <w:p w14:paraId="345FB6B1">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1.月度运维项目质量考核表</w:t>
            </w:r>
          </w:p>
        </w:tc>
      </w:tr>
      <w:tr w14:paraId="290360C8">
        <w:tblPrEx>
          <w:tblCellMar>
            <w:top w:w="0" w:type="dxa"/>
            <w:left w:w="108" w:type="dxa"/>
            <w:bottom w:w="0" w:type="dxa"/>
            <w:right w:w="108" w:type="dxa"/>
          </w:tblCellMar>
        </w:tblPrEx>
        <w:trPr>
          <w:trHeight w:val="396" w:hRule="atLeast"/>
          <w:jc w:val="center"/>
        </w:trPr>
        <w:tc>
          <w:tcPr>
            <w:tcW w:w="2194"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7BD2DF4">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考核区间</w:t>
            </w:r>
          </w:p>
        </w:tc>
        <w:tc>
          <w:tcPr>
            <w:tcW w:w="7489"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58FFFE1F">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考核月份</w:t>
            </w:r>
          </w:p>
        </w:tc>
      </w:tr>
      <w:tr w14:paraId="4C5E2C37">
        <w:tblPrEx>
          <w:tblCellMar>
            <w:top w:w="0" w:type="dxa"/>
            <w:left w:w="108" w:type="dxa"/>
            <w:bottom w:w="0" w:type="dxa"/>
            <w:right w:w="108" w:type="dxa"/>
          </w:tblCellMar>
        </w:tblPrEx>
        <w:trPr>
          <w:trHeight w:val="782" w:hRule="atLeast"/>
          <w:jc w:val="center"/>
        </w:trPr>
        <w:tc>
          <w:tcPr>
            <w:tcW w:w="9683" w:type="dxa"/>
            <w:gridSpan w:val="7"/>
            <w:tcBorders>
              <w:top w:val="single" w:color="auto" w:sz="4" w:space="0"/>
              <w:left w:val="single" w:color="auto" w:sz="4" w:space="0"/>
              <w:bottom w:val="single" w:color="auto" w:sz="4" w:space="0"/>
              <w:right w:val="single" w:color="auto" w:sz="4" w:space="0"/>
            </w:tcBorders>
            <w:shd w:val="clear" w:color="000000" w:fill="FFFFFF"/>
            <w:noWrap/>
            <w:vAlign w:val="center"/>
          </w:tcPr>
          <w:p w14:paraId="2982FCB6">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附：1.人员考勤表2.会议保障表3.保密培训签到表4.巡检表5.维修记录表6.月度工作总结</w:t>
            </w:r>
          </w:p>
        </w:tc>
      </w:tr>
      <w:tr w14:paraId="76BBFC91">
        <w:tblPrEx>
          <w:tblCellMar>
            <w:top w:w="0" w:type="dxa"/>
            <w:left w:w="108" w:type="dxa"/>
            <w:bottom w:w="0" w:type="dxa"/>
            <w:right w:w="108" w:type="dxa"/>
          </w:tblCellMar>
        </w:tblPrEx>
        <w:trPr>
          <w:trHeight w:val="396" w:hRule="atLeast"/>
          <w:jc w:val="center"/>
        </w:trPr>
        <w:tc>
          <w:tcPr>
            <w:tcW w:w="9683" w:type="dxa"/>
            <w:gridSpan w:val="7"/>
            <w:tcBorders>
              <w:top w:val="single" w:color="auto" w:sz="4" w:space="0"/>
              <w:left w:val="single" w:color="auto" w:sz="4" w:space="0"/>
              <w:bottom w:val="single" w:color="auto" w:sz="4" w:space="0"/>
              <w:right w:val="single" w:color="auto" w:sz="4" w:space="0"/>
            </w:tcBorders>
            <w:shd w:val="clear" w:color="000000" w:fill="FFFFFF"/>
            <w:noWrap/>
            <w:vAlign w:val="center"/>
          </w:tcPr>
          <w:p w14:paraId="614A618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00B9297A">
        <w:tblPrEx>
          <w:tblCellMar>
            <w:top w:w="0" w:type="dxa"/>
            <w:left w:w="108" w:type="dxa"/>
            <w:bottom w:w="0" w:type="dxa"/>
            <w:right w:w="108" w:type="dxa"/>
          </w:tblCellMar>
        </w:tblPrEx>
        <w:trPr>
          <w:trHeight w:val="396" w:hRule="atLeast"/>
          <w:jc w:val="center"/>
        </w:trPr>
        <w:tc>
          <w:tcPr>
            <w:tcW w:w="6022" w:type="dxa"/>
            <w:gridSpan w:val="3"/>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0B61978">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考核项目</w:t>
            </w:r>
          </w:p>
        </w:tc>
        <w:tc>
          <w:tcPr>
            <w:tcW w:w="3661"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14:paraId="248A8EFE">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考核得分</w:t>
            </w:r>
          </w:p>
        </w:tc>
      </w:tr>
      <w:tr w14:paraId="10FE9C46">
        <w:tblPrEx>
          <w:tblCellMar>
            <w:top w:w="0" w:type="dxa"/>
            <w:left w:w="108" w:type="dxa"/>
            <w:bottom w:w="0" w:type="dxa"/>
            <w:right w:w="108" w:type="dxa"/>
          </w:tblCellMar>
        </w:tblPrEx>
        <w:trPr>
          <w:trHeight w:val="782" w:hRule="atLeast"/>
          <w:jc w:val="center"/>
        </w:trPr>
        <w:tc>
          <w:tcPr>
            <w:tcW w:w="6022" w:type="dxa"/>
            <w:gridSpan w:val="3"/>
            <w:vMerge w:val="continue"/>
            <w:tcBorders>
              <w:top w:val="single" w:color="auto" w:sz="4" w:space="0"/>
              <w:left w:val="single" w:color="auto" w:sz="4" w:space="0"/>
              <w:bottom w:val="single" w:color="auto" w:sz="4" w:space="0"/>
              <w:right w:val="single" w:color="auto" w:sz="4" w:space="0"/>
            </w:tcBorders>
            <w:vAlign w:val="center"/>
          </w:tcPr>
          <w:p w14:paraId="5BA0A53E">
            <w:pPr>
              <w:widowControl/>
              <w:autoSpaceDE/>
              <w:autoSpaceDN/>
              <w:adjustRightInd w:val="0"/>
              <w:snapToGrid w:val="0"/>
              <w:spacing w:line="420" w:lineRule="exact"/>
              <w:rPr>
                <w:rFonts w:hAnsi="宋体"/>
                <w:b/>
                <w:bCs/>
                <w:sz w:val="24"/>
                <w:szCs w:val="24"/>
                <w:highlight w:val="none"/>
              </w:rPr>
            </w:pPr>
          </w:p>
        </w:tc>
        <w:tc>
          <w:tcPr>
            <w:tcW w:w="753" w:type="dxa"/>
            <w:tcBorders>
              <w:top w:val="single" w:color="auto" w:sz="4" w:space="0"/>
              <w:left w:val="nil"/>
              <w:bottom w:val="single" w:color="auto" w:sz="4" w:space="0"/>
              <w:right w:val="single" w:color="auto" w:sz="4" w:space="0"/>
            </w:tcBorders>
            <w:shd w:val="clear" w:color="auto" w:fill="auto"/>
            <w:noWrap/>
            <w:vAlign w:val="center"/>
          </w:tcPr>
          <w:p w14:paraId="6AEE96A5">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权重</w:t>
            </w:r>
          </w:p>
        </w:tc>
        <w:tc>
          <w:tcPr>
            <w:tcW w:w="1056" w:type="dxa"/>
            <w:tcBorders>
              <w:top w:val="single" w:color="auto" w:sz="4" w:space="0"/>
              <w:left w:val="nil"/>
              <w:bottom w:val="single" w:color="auto" w:sz="4" w:space="0"/>
              <w:right w:val="single" w:color="auto" w:sz="4" w:space="0"/>
            </w:tcBorders>
            <w:shd w:val="clear" w:color="auto" w:fill="auto"/>
            <w:vAlign w:val="center"/>
          </w:tcPr>
          <w:p w14:paraId="7F88A0F8">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自我考核</w:t>
            </w:r>
          </w:p>
        </w:tc>
        <w:tc>
          <w:tcPr>
            <w:tcW w:w="1016" w:type="dxa"/>
            <w:tcBorders>
              <w:top w:val="single" w:color="auto" w:sz="4" w:space="0"/>
              <w:left w:val="nil"/>
              <w:bottom w:val="single" w:color="auto" w:sz="4" w:space="0"/>
              <w:right w:val="single" w:color="auto" w:sz="4" w:space="0"/>
            </w:tcBorders>
            <w:shd w:val="clear" w:color="auto" w:fill="auto"/>
            <w:vAlign w:val="center"/>
          </w:tcPr>
          <w:p w14:paraId="4D37FB4B">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甲方考核</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69CE5E">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备注</w:t>
            </w:r>
          </w:p>
        </w:tc>
      </w:tr>
      <w:tr w14:paraId="3599F85A">
        <w:tblPrEx>
          <w:tblCellMar>
            <w:top w:w="0" w:type="dxa"/>
            <w:left w:w="108" w:type="dxa"/>
            <w:bottom w:w="0" w:type="dxa"/>
            <w:right w:w="108" w:type="dxa"/>
          </w:tblCellMar>
        </w:tblPrEx>
        <w:trPr>
          <w:trHeight w:val="782" w:hRule="atLeast"/>
          <w:jc w:val="center"/>
        </w:trPr>
        <w:tc>
          <w:tcPr>
            <w:tcW w:w="795" w:type="dxa"/>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58FBA69C">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维保维护</w:t>
            </w: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12331D8F">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培训管理</w:t>
            </w: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4D497B06">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1、未按规定组织安全保密培训的扣5分/次</w:t>
            </w:r>
          </w:p>
        </w:tc>
        <w:tc>
          <w:tcPr>
            <w:tcW w:w="753" w:type="dxa"/>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17F5F70C">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50%</w:t>
            </w:r>
          </w:p>
        </w:tc>
        <w:tc>
          <w:tcPr>
            <w:tcW w:w="1056" w:type="dxa"/>
            <w:tcBorders>
              <w:top w:val="single" w:color="auto" w:sz="4" w:space="0"/>
              <w:left w:val="nil"/>
              <w:bottom w:val="single" w:color="auto" w:sz="4" w:space="0"/>
              <w:right w:val="nil"/>
            </w:tcBorders>
            <w:shd w:val="clear" w:color="000000" w:fill="FFFFFF"/>
            <w:noWrap/>
            <w:vAlign w:val="center"/>
          </w:tcPr>
          <w:p w14:paraId="5C265DE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C603E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1CA8FBA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12B74D3C">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78EE3F17">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53E1A687">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19543EB5">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2、未按规定组织业务培训并考核的扣5分/次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4CB493FE">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3E1DB4CF">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F8EC15">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3A0AF9C5">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79065A01">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7571DE5E">
            <w:pPr>
              <w:widowControl/>
              <w:autoSpaceDE/>
              <w:autoSpaceDN/>
              <w:adjustRightInd w:val="0"/>
              <w:snapToGrid w:val="0"/>
              <w:spacing w:line="420" w:lineRule="exact"/>
              <w:rPr>
                <w:rFonts w:hAnsi="宋体"/>
                <w:b/>
                <w:bCs/>
                <w:sz w:val="24"/>
                <w:szCs w:val="24"/>
                <w:highlight w:val="none"/>
              </w:rPr>
            </w:pP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4D16E064">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标签化管理</w:t>
            </w: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4ADEA382">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3、设备建档及标签化管理不能按时完成的扣5分/次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1E6300AF">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7BAA056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E23E41">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08433FD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1FA8D25F">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4B4341B3">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77CD49FE">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3226547F">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4、设备信息、标签更新不及时的扣1分/次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264EBB6E">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6793CC1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1F60D6">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3582E89C">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5387B0BC">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2AFB1AC7">
            <w:pPr>
              <w:widowControl/>
              <w:autoSpaceDE/>
              <w:autoSpaceDN/>
              <w:adjustRightInd w:val="0"/>
              <w:snapToGrid w:val="0"/>
              <w:spacing w:line="420" w:lineRule="exact"/>
              <w:rPr>
                <w:rFonts w:hAnsi="宋体"/>
                <w:b/>
                <w:bCs/>
                <w:sz w:val="24"/>
                <w:szCs w:val="24"/>
                <w:highlight w:val="none"/>
              </w:rPr>
            </w:pP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3074E0B5">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线路整理</w:t>
            </w: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1091D708">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5、线路整理并贴标签未完成的扣5分/次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016B8B7C">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5E7A9EC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415A09">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1E5B7DBF">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550BA224">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1FA34994">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081D6BC0">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73466A11">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6、线路标签、设备运行资料更新不及时的扣2分/次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549F95FF">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606C9718">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671202">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2F062CDA">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65F11CAD">
        <w:tblPrEx>
          <w:tblCellMar>
            <w:top w:w="0" w:type="dxa"/>
            <w:left w:w="108" w:type="dxa"/>
            <w:bottom w:w="0" w:type="dxa"/>
            <w:right w:w="108" w:type="dxa"/>
          </w:tblCellMar>
        </w:tblPrEx>
        <w:trPr>
          <w:trHeight w:val="396"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3A5F80ED">
            <w:pPr>
              <w:widowControl/>
              <w:autoSpaceDE/>
              <w:autoSpaceDN/>
              <w:adjustRightInd w:val="0"/>
              <w:snapToGrid w:val="0"/>
              <w:spacing w:line="420" w:lineRule="exact"/>
              <w:rPr>
                <w:rFonts w:hAnsi="宋体"/>
                <w:b/>
                <w:bCs/>
                <w:sz w:val="24"/>
                <w:szCs w:val="24"/>
                <w:highlight w:val="none"/>
              </w:rPr>
            </w:pP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61F86B19">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应急预案</w:t>
            </w: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34DEF61B">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7、每缺一个系统预案扣5分/次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4F5BAEF2">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5E3BDAE2">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1E4C1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5752948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794FB644">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117B11E2">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1817F527">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057BEAF2">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8、导致一般性保障事故的扣3分/次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6F259302">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110933D3">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2AC8E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4FC7EC5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7F8A8510">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5C69948A">
            <w:pPr>
              <w:widowControl/>
              <w:autoSpaceDE/>
              <w:autoSpaceDN/>
              <w:adjustRightInd w:val="0"/>
              <w:snapToGrid w:val="0"/>
              <w:spacing w:line="420" w:lineRule="exact"/>
              <w:rPr>
                <w:rFonts w:hAnsi="宋体"/>
                <w:b/>
                <w:bCs/>
                <w:sz w:val="24"/>
                <w:szCs w:val="24"/>
                <w:highlight w:val="none"/>
              </w:rPr>
            </w:pP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1E4EA4ED">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会场保障检查</w:t>
            </w: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77B82ABC">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9、会前检测设备运行状态不到位、不及时的扣2分/次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36EA27A0">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737DAB6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B83F51">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7A30733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017A8199">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7E4F8850">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529C4B75">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vAlign w:val="center"/>
          </w:tcPr>
          <w:p w14:paraId="6368C341">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10、会前检测设备发现问题处理不到位、不及时的扣1分/次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16C1AB9B">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2087C9D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8E986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779C183C">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5F389636">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09FA30C7">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2D10332F">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vAlign w:val="center"/>
          </w:tcPr>
          <w:p w14:paraId="677F3F0E">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11、未根据方案对设备进行调整不到位、不及时的扣1分/次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78362B90">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65D92FB8">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117B9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4F301D2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2C444CA5">
        <w:tblPrEx>
          <w:tblCellMar>
            <w:top w:w="0" w:type="dxa"/>
            <w:left w:w="108" w:type="dxa"/>
            <w:bottom w:w="0" w:type="dxa"/>
            <w:right w:w="108" w:type="dxa"/>
          </w:tblCellMar>
        </w:tblPrEx>
        <w:trPr>
          <w:trHeight w:val="1168"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75D00645">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26F8C068">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vAlign w:val="center"/>
          </w:tcPr>
          <w:p w14:paraId="1DC65BDA">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12、人员未足额配置、未按时到岗的，每缺一人扣2分/次，每迟到一人的扣1分/次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753421B4">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51FEC180">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580E1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56591F71">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5F68CC11">
        <w:tblPrEx>
          <w:tblCellMar>
            <w:top w:w="0" w:type="dxa"/>
            <w:left w:w="108" w:type="dxa"/>
            <w:bottom w:w="0" w:type="dxa"/>
            <w:right w:w="108" w:type="dxa"/>
          </w:tblCellMar>
        </w:tblPrEx>
        <w:trPr>
          <w:trHeight w:val="1168"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1A13A205">
            <w:pPr>
              <w:widowControl/>
              <w:autoSpaceDE/>
              <w:autoSpaceDN/>
              <w:adjustRightInd w:val="0"/>
              <w:snapToGrid w:val="0"/>
              <w:spacing w:line="420" w:lineRule="exact"/>
              <w:rPr>
                <w:rFonts w:hAnsi="宋体"/>
                <w:b/>
                <w:bCs/>
                <w:sz w:val="24"/>
                <w:szCs w:val="24"/>
                <w:highlight w:val="none"/>
              </w:rPr>
            </w:pP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2D02F563">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视频矩阵</w:t>
            </w:r>
          </w:p>
        </w:tc>
        <w:tc>
          <w:tcPr>
            <w:tcW w:w="3828" w:type="dxa"/>
            <w:tcBorders>
              <w:top w:val="single" w:color="auto" w:sz="4" w:space="0"/>
              <w:left w:val="nil"/>
              <w:bottom w:val="single" w:color="auto" w:sz="4" w:space="0"/>
              <w:right w:val="single" w:color="auto" w:sz="4" w:space="0"/>
            </w:tcBorders>
            <w:shd w:val="clear" w:color="000000" w:fill="FFFFFF"/>
            <w:vAlign w:val="center"/>
          </w:tcPr>
          <w:p w14:paraId="6C79E033">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13、根据甲方需求对矩阵进行实时调整不及时、不到位的扣5分/次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1D537DF1">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25A5C440">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19D1FC">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5F409D43">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504B2A2B">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3CBDF7C1">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7CD9B7DA">
            <w:pPr>
              <w:widowControl/>
              <w:autoSpaceDE/>
              <w:autoSpaceDN/>
              <w:adjustRightInd w:val="0"/>
              <w:snapToGrid w:val="0"/>
              <w:spacing w:line="420" w:lineRule="exact"/>
              <w:jc w:val="center"/>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047F5ACA">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14、导致一般性保障事故的扣3分/次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700BBA1E">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39A4C0E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A2CBE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75741692">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1054AD1F">
        <w:tblPrEx>
          <w:tblCellMar>
            <w:top w:w="0" w:type="dxa"/>
            <w:left w:w="108" w:type="dxa"/>
            <w:bottom w:w="0" w:type="dxa"/>
            <w:right w:w="108" w:type="dxa"/>
          </w:tblCellMar>
        </w:tblPrEx>
        <w:trPr>
          <w:trHeight w:val="1940"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603D379E">
            <w:pPr>
              <w:widowControl/>
              <w:autoSpaceDE/>
              <w:autoSpaceDN/>
              <w:adjustRightInd w:val="0"/>
              <w:snapToGrid w:val="0"/>
              <w:spacing w:line="420" w:lineRule="exact"/>
              <w:rPr>
                <w:rFonts w:hAnsi="宋体"/>
                <w:b/>
                <w:bCs/>
                <w:sz w:val="24"/>
                <w:szCs w:val="24"/>
                <w:highlight w:val="none"/>
              </w:rPr>
            </w:pP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39F4847E">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1楼门厅及食堂、2楼指挥大厅及预监室、3楼决策室及多功能会议室</w:t>
            </w:r>
          </w:p>
        </w:tc>
        <w:tc>
          <w:tcPr>
            <w:tcW w:w="3828" w:type="dxa"/>
            <w:tcBorders>
              <w:top w:val="single" w:color="auto" w:sz="4" w:space="0"/>
              <w:left w:val="nil"/>
              <w:bottom w:val="single" w:color="auto" w:sz="4" w:space="0"/>
              <w:right w:val="single" w:color="auto" w:sz="4" w:space="0"/>
            </w:tcBorders>
            <w:shd w:val="clear" w:color="000000" w:fill="FFFFFF"/>
            <w:vAlign w:val="center"/>
          </w:tcPr>
          <w:p w14:paraId="35A5EA85">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15、检查大屏处理器运行状态是否正常，信号输入输出接口是否正常，大屏控制协议通信是否正常，发现问题及时反馈。以上工作落实不到位的扣1分/次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06DE9B7D">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3BC0066A">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8A893A">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2E05EA3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70714248">
        <w:tblPrEx>
          <w:tblCellMar>
            <w:top w:w="0" w:type="dxa"/>
            <w:left w:w="108" w:type="dxa"/>
            <w:bottom w:w="0" w:type="dxa"/>
            <w:right w:w="108" w:type="dxa"/>
          </w:tblCellMar>
        </w:tblPrEx>
        <w:trPr>
          <w:trHeight w:val="1553"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1E6C3180">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1BF8C849">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vAlign w:val="center"/>
          </w:tcPr>
          <w:p w14:paraId="3368B7B7">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16、配合甲方对大屏显示模式、显示布局。显示预案进行适配调整，确保显示系统的正常运行，工作落实不到位的扣1分/次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5671D026">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56004616">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DECC5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280A20D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63126AA7">
        <w:tblPrEx>
          <w:tblCellMar>
            <w:top w:w="0" w:type="dxa"/>
            <w:left w:w="108" w:type="dxa"/>
            <w:bottom w:w="0" w:type="dxa"/>
            <w:right w:w="108" w:type="dxa"/>
          </w:tblCellMar>
        </w:tblPrEx>
        <w:trPr>
          <w:trHeight w:val="1940"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0F56EDDA">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410340F4">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vAlign w:val="center"/>
          </w:tcPr>
          <w:p w14:paraId="50496F72">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17、对所有设备运行状态进行检查，查看是否正常。检查充电设备，确保设备和电池处于良好的工作状态，以上工作落实不到位的扣1分/次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32C414CA">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02225AE1">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0D786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5E88F046">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26E2A4D5">
        <w:tblPrEx>
          <w:tblCellMar>
            <w:top w:w="0" w:type="dxa"/>
            <w:left w:w="108" w:type="dxa"/>
            <w:bottom w:w="0" w:type="dxa"/>
            <w:right w:w="108" w:type="dxa"/>
          </w:tblCellMar>
        </w:tblPrEx>
        <w:trPr>
          <w:trHeight w:val="3507"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48902041">
            <w:pPr>
              <w:widowControl/>
              <w:autoSpaceDE/>
              <w:autoSpaceDN/>
              <w:adjustRightInd w:val="0"/>
              <w:snapToGrid w:val="0"/>
              <w:spacing w:line="420" w:lineRule="exact"/>
              <w:rPr>
                <w:rFonts w:hAnsi="宋体"/>
                <w:b/>
                <w:bCs/>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6BF19893">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故障处理</w:t>
            </w:r>
          </w:p>
        </w:tc>
        <w:tc>
          <w:tcPr>
            <w:tcW w:w="3828" w:type="dxa"/>
            <w:tcBorders>
              <w:top w:val="single" w:color="auto" w:sz="4" w:space="0"/>
              <w:left w:val="nil"/>
              <w:bottom w:val="single" w:color="auto" w:sz="4" w:space="0"/>
              <w:right w:val="single" w:color="auto" w:sz="4" w:space="0"/>
            </w:tcBorders>
            <w:shd w:val="clear" w:color="000000" w:fill="FFFFFF"/>
            <w:vAlign w:val="center"/>
          </w:tcPr>
          <w:p w14:paraId="6EE1DCE3">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18、故障处理响应及时性：</w:t>
            </w:r>
          </w:p>
          <w:p w14:paraId="73048224">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普通故障处置不超过1小时，每过15分钟扣10分，扣完为止。</w:t>
            </w:r>
          </w:p>
          <w:p w14:paraId="4B1A1E6A">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较大故障处置不超过2小时，每过15分钟扣10分，扣完为止。</w:t>
            </w:r>
          </w:p>
          <w:p w14:paraId="610BF83A">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重大故障处置不超过4小时，每过15分钟扣10分，扣完为止。</w:t>
            </w:r>
          </w:p>
          <w:p w14:paraId="52AEDF5E">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特大故障处置不超过24小时，每过1小时扣10分，扣完为止。</w:t>
            </w:r>
          </w:p>
        </w:tc>
        <w:tc>
          <w:tcPr>
            <w:tcW w:w="753" w:type="dxa"/>
            <w:tcBorders>
              <w:top w:val="single" w:color="auto" w:sz="4" w:space="0"/>
              <w:left w:val="nil"/>
              <w:bottom w:val="single" w:color="auto" w:sz="4" w:space="0"/>
              <w:right w:val="single" w:color="auto" w:sz="4" w:space="0"/>
            </w:tcBorders>
            <w:shd w:val="clear" w:color="000000" w:fill="FFFFFF"/>
            <w:noWrap/>
            <w:vAlign w:val="center"/>
          </w:tcPr>
          <w:p w14:paraId="5B21674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56" w:type="dxa"/>
            <w:tcBorders>
              <w:top w:val="single" w:color="auto" w:sz="4" w:space="0"/>
              <w:left w:val="nil"/>
              <w:bottom w:val="single" w:color="auto" w:sz="4" w:space="0"/>
              <w:right w:val="nil"/>
            </w:tcBorders>
            <w:shd w:val="clear" w:color="000000" w:fill="FFFFFF"/>
            <w:noWrap/>
            <w:vAlign w:val="center"/>
          </w:tcPr>
          <w:p w14:paraId="59AC89C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5CC5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1C7EA6C2">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487142FF">
        <w:tblPrEx>
          <w:tblCellMar>
            <w:top w:w="0" w:type="dxa"/>
            <w:left w:w="108" w:type="dxa"/>
            <w:bottom w:w="0" w:type="dxa"/>
            <w:right w:w="108" w:type="dxa"/>
          </w:tblCellMar>
        </w:tblPrEx>
        <w:trPr>
          <w:trHeight w:val="271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1A382C05">
            <w:pPr>
              <w:widowControl/>
              <w:autoSpaceDE/>
              <w:autoSpaceDN/>
              <w:adjustRightInd w:val="0"/>
              <w:snapToGrid w:val="0"/>
              <w:spacing w:line="420" w:lineRule="exact"/>
              <w:rPr>
                <w:rFonts w:hAnsi="宋体"/>
                <w:b/>
                <w:bCs/>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17D0BBAF">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备品备件</w:t>
            </w:r>
          </w:p>
        </w:tc>
        <w:tc>
          <w:tcPr>
            <w:tcW w:w="3828" w:type="dxa"/>
            <w:tcBorders>
              <w:top w:val="single" w:color="auto" w:sz="4" w:space="0"/>
              <w:left w:val="nil"/>
              <w:bottom w:val="single" w:color="auto" w:sz="4" w:space="0"/>
              <w:right w:val="single" w:color="auto" w:sz="4" w:space="0"/>
            </w:tcBorders>
            <w:shd w:val="clear" w:color="000000" w:fill="FFFFFF"/>
            <w:vAlign w:val="center"/>
          </w:tcPr>
          <w:p w14:paraId="591614D5">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19、备品备件协调及时性：</w:t>
            </w:r>
          </w:p>
          <w:p w14:paraId="27BC90DB">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普通设备不超过1小时，每过15分钟扣10分，扣完为止。</w:t>
            </w:r>
          </w:p>
          <w:p w14:paraId="08361E02">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常用设备不超过2小时，每过15分钟扣10分，扣完为止。</w:t>
            </w:r>
          </w:p>
          <w:p w14:paraId="4B270762">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核心设备不超过4小时，每过15分钟扣10分，扣完为止。</w:t>
            </w:r>
          </w:p>
        </w:tc>
        <w:tc>
          <w:tcPr>
            <w:tcW w:w="753" w:type="dxa"/>
            <w:tcBorders>
              <w:top w:val="single" w:color="auto" w:sz="4" w:space="0"/>
              <w:left w:val="nil"/>
              <w:bottom w:val="single" w:color="auto" w:sz="4" w:space="0"/>
              <w:right w:val="single" w:color="auto" w:sz="4" w:space="0"/>
            </w:tcBorders>
            <w:shd w:val="clear" w:color="000000" w:fill="FFFFFF"/>
            <w:noWrap/>
            <w:vAlign w:val="center"/>
          </w:tcPr>
          <w:p w14:paraId="02F61BF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56" w:type="dxa"/>
            <w:tcBorders>
              <w:top w:val="single" w:color="auto" w:sz="4" w:space="0"/>
              <w:left w:val="nil"/>
              <w:bottom w:val="single" w:color="auto" w:sz="4" w:space="0"/>
              <w:right w:val="nil"/>
            </w:tcBorders>
            <w:shd w:val="clear" w:color="000000" w:fill="FFFFFF"/>
            <w:noWrap/>
            <w:vAlign w:val="center"/>
          </w:tcPr>
          <w:p w14:paraId="287C8286">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44E8F2">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782BCB43">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7404E1DF">
        <w:tblPrEx>
          <w:tblCellMar>
            <w:top w:w="0" w:type="dxa"/>
            <w:left w:w="108" w:type="dxa"/>
            <w:bottom w:w="0" w:type="dxa"/>
            <w:right w:w="108" w:type="dxa"/>
          </w:tblCellMar>
        </w:tblPrEx>
        <w:trPr>
          <w:trHeight w:val="1553" w:hRule="atLeast"/>
          <w:jc w:val="center"/>
        </w:trPr>
        <w:tc>
          <w:tcPr>
            <w:tcW w:w="2194" w:type="dxa"/>
            <w:gridSpan w:val="2"/>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3507BDBC">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巡查巡检</w:t>
            </w:r>
          </w:p>
        </w:tc>
        <w:tc>
          <w:tcPr>
            <w:tcW w:w="3828" w:type="dxa"/>
            <w:tcBorders>
              <w:top w:val="single" w:color="auto" w:sz="4" w:space="0"/>
              <w:left w:val="single" w:color="auto" w:sz="4" w:space="0"/>
              <w:right w:val="single" w:color="auto" w:sz="4" w:space="0"/>
            </w:tcBorders>
            <w:shd w:val="clear" w:color="000000" w:fill="FFFFFF"/>
            <w:vAlign w:val="center"/>
          </w:tcPr>
          <w:p w14:paraId="190A22D4">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驻场值守人员巡检巡查要求落实不到位、不及时的，扣1分/项；问题处置、隐患排查不及时的扣2分/项。</w:t>
            </w:r>
          </w:p>
        </w:tc>
        <w:tc>
          <w:tcPr>
            <w:tcW w:w="753" w:type="dxa"/>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00301DBF">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30%</w:t>
            </w:r>
          </w:p>
        </w:tc>
        <w:tc>
          <w:tcPr>
            <w:tcW w:w="1056" w:type="dxa"/>
            <w:tcBorders>
              <w:top w:val="single" w:color="auto" w:sz="4" w:space="0"/>
              <w:left w:val="nil"/>
              <w:right w:val="nil"/>
            </w:tcBorders>
            <w:shd w:val="clear" w:color="000000" w:fill="FFFFFF"/>
            <w:noWrap/>
            <w:vAlign w:val="center"/>
          </w:tcPr>
          <w:p w14:paraId="2F40A2E5">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2C92E1AC">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right w:val="single" w:color="auto" w:sz="4" w:space="0"/>
            </w:tcBorders>
            <w:shd w:val="clear" w:color="auto" w:fill="auto"/>
            <w:noWrap/>
            <w:vAlign w:val="center"/>
          </w:tcPr>
          <w:p w14:paraId="27C51B0A">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20A1D81F">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2475349C">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4423C802">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6BFD3F44">
        <w:tblPrEx>
          <w:tblCellMar>
            <w:top w:w="0" w:type="dxa"/>
            <w:left w:w="108" w:type="dxa"/>
            <w:bottom w:w="0" w:type="dxa"/>
            <w:right w:w="108" w:type="dxa"/>
          </w:tblCellMar>
        </w:tblPrEx>
        <w:trPr>
          <w:trHeight w:val="2810" w:hRule="atLeast"/>
          <w:jc w:val="center"/>
        </w:trPr>
        <w:tc>
          <w:tcPr>
            <w:tcW w:w="2194" w:type="dxa"/>
            <w:gridSpan w:val="2"/>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37FB02E6">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人员管理</w:t>
            </w:r>
          </w:p>
        </w:tc>
        <w:tc>
          <w:tcPr>
            <w:tcW w:w="3828" w:type="dxa"/>
            <w:tcBorders>
              <w:top w:val="single" w:color="auto" w:sz="4" w:space="0"/>
              <w:left w:val="single" w:color="auto" w:sz="4" w:space="0"/>
              <w:bottom w:val="single" w:color="auto" w:sz="4" w:space="0"/>
              <w:right w:val="single" w:color="auto" w:sz="4" w:space="0"/>
            </w:tcBorders>
            <w:shd w:val="clear" w:color="000000" w:fill="FFFFFF"/>
            <w:vAlign w:val="center"/>
          </w:tcPr>
          <w:p w14:paraId="7F97269C">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人员考勤考核：迟到、早退、着装不符合规范、未按时到岗的扣1分/人次；旷工、不服从工作安排。消极怠工、驻场人员变更未及时到岗的扣10分/人次，驻场值守结束未准时提交保障信息、保障日志的扣5分/人次。</w:t>
            </w:r>
          </w:p>
        </w:tc>
        <w:tc>
          <w:tcPr>
            <w:tcW w:w="753" w:type="dxa"/>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05CBF80F">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20%</w:t>
            </w:r>
          </w:p>
        </w:tc>
        <w:tc>
          <w:tcPr>
            <w:tcW w:w="1056"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31747FB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1021F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3B717F3A">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0AE6B74F">
        <w:tblPrEx>
          <w:tblCellMar>
            <w:top w:w="0" w:type="dxa"/>
            <w:left w:w="108" w:type="dxa"/>
            <w:bottom w:w="0" w:type="dxa"/>
            <w:right w:w="108" w:type="dxa"/>
          </w:tblCellMar>
        </w:tblPrEx>
        <w:trPr>
          <w:trHeight w:val="2326" w:hRule="atLeast"/>
          <w:jc w:val="center"/>
        </w:trPr>
        <w:tc>
          <w:tcPr>
            <w:tcW w:w="2194" w:type="dxa"/>
            <w:gridSpan w:val="2"/>
            <w:vMerge w:val="continue"/>
            <w:tcBorders>
              <w:top w:val="single" w:color="auto" w:sz="4" w:space="0"/>
              <w:left w:val="single" w:color="auto" w:sz="4" w:space="0"/>
              <w:bottom w:val="single" w:color="auto" w:sz="4" w:space="0"/>
              <w:right w:val="single" w:color="auto" w:sz="4" w:space="0"/>
            </w:tcBorders>
            <w:vAlign w:val="center"/>
          </w:tcPr>
          <w:p w14:paraId="59E7B1A5">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single" w:color="auto" w:sz="4" w:space="0"/>
              <w:bottom w:val="single" w:color="auto" w:sz="4" w:space="0"/>
              <w:right w:val="single" w:color="auto" w:sz="4" w:space="0"/>
            </w:tcBorders>
            <w:shd w:val="clear" w:color="000000" w:fill="FFFFFF"/>
            <w:vAlign w:val="center"/>
          </w:tcPr>
          <w:p w14:paraId="1A9F865F">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2、人员日常巡检考核：对人员巡检工作进行台账化管理，考查例行各项巡检工作完成情况，存在漏洞、未填写巡检表、巡检后相关场所卫生不合格的，扣2分/人次；发现巡检造假行为，扣10分/次。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2B0577E5">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266642A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749693">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67D3FBB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5A3FC79F">
        <w:tblPrEx>
          <w:tblCellMar>
            <w:top w:w="0" w:type="dxa"/>
            <w:left w:w="108" w:type="dxa"/>
            <w:bottom w:w="0" w:type="dxa"/>
            <w:right w:w="108" w:type="dxa"/>
          </w:tblCellMar>
        </w:tblPrEx>
        <w:trPr>
          <w:trHeight w:val="4257" w:hRule="atLeast"/>
          <w:jc w:val="center"/>
        </w:trPr>
        <w:tc>
          <w:tcPr>
            <w:tcW w:w="2194" w:type="dxa"/>
            <w:gridSpan w:val="2"/>
            <w:vMerge w:val="continue"/>
            <w:tcBorders>
              <w:top w:val="single" w:color="auto" w:sz="4" w:space="0"/>
              <w:left w:val="single" w:color="auto" w:sz="4" w:space="0"/>
              <w:bottom w:val="single" w:color="auto" w:sz="4" w:space="0"/>
              <w:right w:val="single" w:color="auto" w:sz="4" w:space="0"/>
            </w:tcBorders>
            <w:vAlign w:val="center"/>
          </w:tcPr>
          <w:p w14:paraId="6EB7FD99">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single" w:color="auto" w:sz="4" w:space="0"/>
              <w:bottom w:val="single" w:color="auto" w:sz="4" w:space="0"/>
              <w:right w:val="single" w:color="auto" w:sz="4" w:space="0"/>
            </w:tcBorders>
            <w:shd w:val="clear" w:color="000000" w:fill="FFFFFF"/>
            <w:vAlign w:val="center"/>
          </w:tcPr>
          <w:p w14:paraId="375BF3E1">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3.人员服务质量考核：考查驻场人员维保服务及遵守厅机关相关规定情况。人员业务能力不合格就上岗的扣10分/人次；会议保障未按会前系统测试流程执行的、保障过程中操作不规范的、保障结束后设备未归位的，扣2分/人次，对8小时工作时间以外造成社会不良影响的，安照甲方要求更换驻场人员并扣35分/人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52744791">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single" w:color="auto" w:sz="4" w:space="0"/>
              <w:right w:val="single" w:color="auto" w:sz="4" w:space="0"/>
            </w:tcBorders>
            <w:shd w:val="clear" w:color="000000" w:fill="FFFFFF"/>
            <w:noWrap/>
            <w:vAlign w:val="center"/>
          </w:tcPr>
          <w:p w14:paraId="57D4E2A8">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38E9724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7BC4DBD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right w:val="single" w:color="auto" w:sz="4" w:space="0"/>
            </w:tcBorders>
            <w:shd w:val="clear" w:color="000000" w:fill="FFFFFF"/>
            <w:noWrap/>
            <w:vAlign w:val="center"/>
          </w:tcPr>
          <w:p w14:paraId="54F31B1A">
            <w:pPr>
              <w:widowControl/>
              <w:autoSpaceDE/>
              <w:autoSpaceDN/>
              <w:adjustRightInd w:val="0"/>
              <w:snapToGrid w:val="0"/>
              <w:spacing w:line="420" w:lineRule="exact"/>
              <w:jc w:val="center"/>
              <w:rPr>
                <w:rFonts w:hAnsi="宋体"/>
                <w:sz w:val="24"/>
                <w:szCs w:val="24"/>
                <w:highlight w:val="none"/>
              </w:rPr>
            </w:pPr>
          </w:p>
        </w:tc>
        <w:tc>
          <w:tcPr>
            <w:tcW w:w="836" w:type="dxa"/>
            <w:tcBorders>
              <w:top w:val="single" w:color="auto" w:sz="4" w:space="0"/>
              <w:left w:val="single" w:color="auto" w:sz="4" w:space="0"/>
              <w:right w:val="single" w:color="auto" w:sz="4" w:space="0"/>
            </w:tcBorders>
            <w:shd w:val="clear" w:color="000000" w:fill="FFFFFF"/>
            <w:noWrap/>
            <w:vAlign w:val="center"/>
          </w:tcPr>
          <w:p w14:paraId="4BA6F332">
            <w:pPr>
              <w:widowControl/>
              <w:autoSpaceDE/>
              <w:autoSpaceDN/>
              <w:adjustRightInd w:val="0"/>
              <w:snapToGrid w:val="0"/>
              <w:spacing w:line="420" w:lineRule="exact"/>
              <w:jc w:val="center"/>
              <w:rPr>
                <w:rFonts w:hAnsi="宋体"/>
                <w:sz w:val="24"/>
                <w:szCs w:val="24"/>
                <w:highlight w:val="none"/>
              </w:rPr>
            </w:pPr>
          </w:p>
        </w:tc>
      </w:tr>
      <w:tr w14:paraId="329AEB46">
        <w:tblPrEx>
          <w:tblCellMar>
            <w:top w:w="0" w:type="dxa"/>
            <w:left w:w="108" w:type="dxa"/>
            <w:bottom w:w="0" w:type="dxa"/>
            <w:right w:w="108" w:type="dxa"/>
          </w:tblCellMar>
        </w:tblPrEx>
        <w:trPr>
          <w:trHeight w:val="1553" w:hRule="atLeast"/>
          <w:jc w:val="center"/>
        </w:trPr>
        <w:tc>
          <w:tcPr>
            <w:tcW w:w="2194" w:type="dxa"/>
            <w:gridSpan w:val="2"/>
            <w:vMerge w:val="continue"/>
            <w:tcBorders>
              <w:left w:val="single" w:color="auto" w:sz="4" w:space="0"/>
              <w:bottom w:val="single" w:color="auto" w:sz="4" w:space="0"/>
              <w:right w:val="single" w:color="auto" w:sz="4" w:space="0"/>
            </w:tcBorders>
            <w:vAlign w:val="center"/>
          </w:tcPr>
          <w:p w14:paraId="4A851B4E">
            <w:pPr>
              <w:widowControl/>
              <w:autoSpaceDE/>
              <w:autoSpaceDN/>
              <w:adjustRightInd w:val="0"/>
              <w:snapToGrid w:val="0"/>
              <w:spacing w:line="420" w:lineRule="exact"/>
              <w:rPr>
                <w:rFonts w:hAnsi="宋体"/>
                <w:sz w:val="24"/>
                <w:szCs w:val="24"/>
                <w:highlight w:val="none"/>
              </w:rPr>
            </w:pPr>
          </w:p>
        </w:tc>
        <w:tc>
          <w:tcPr>
            <w:tcW w:w="3828" w:type="dxa"/>
            <w:tcBorders>
              <w:top w:val="single" w:color="auto" w:sz="4" w:space="0"/>
              <w:left w:val="single" w:color="auto" w:sz="4" w:space="0"/>
              <w:bottom w:val="single" w:color="auto" w:sz="4" w:space="0"/>
              <w:right w:val="single" w:color="auto" w:sz="4" w:space="0"/>
            </w:tcBorders>
            <w:shd w:val="clear" w:color="000000" w:fill="FFFFFF"/>
            <w:vAlign w:val="center"/>
          </w:tcPr>
          <w:p w14:paraId="50C077E0">
            <w:pPr>
              <w:widowControl/>
              <w:autoSpaceDE/>
              <w:autoSpaceDN/>
              <w:adjustRightInd w:val="0"/>
              <w:snapToGrid w:val="0"/>
              <w:spacing w:line="420" w:lineRule="exact"/>
              <w:rPr>
                <w:rFonts w:hAnsi="宋体"/>
                <w:sz w:val="24"/>
                <w:szCs w:val="24"/>
                <w:highlight w:val="none"/>
                <w:lang w:val="en-US"/>
              </w:rPr>
            </w:pPr>
            <w:r>
              <w:rPr>
                <w:rFonts w:hint="eastAsia" w:hAnsi="宋体"/>
                <w:sz w:val="24"/>
                <w:szCs w:val="24"/>
                <w:highlight w:val="none"/>
                <w:lang w:val="en-US"/>
              </w:rPr>
              <w:t>4、技术支撑人员：未按照规定时间到场进行技术支撑的，扣</w:t>
            </w:r>
            <w:r>
              <w:rPr>
                <w:rFonts w:hint="eastAsia" w:hAnsi="宋体"/>
                <w:sz w:val="24"/>
                <w:szCs w:val="24"/>
                <w:highlight w:val="none"/>
              </w:rPr>
              <w:t>10分/人次；技术支撑出现错误或者不到位的，</w:t>
            </w:r>
            <w:r>
              <w:rPr>
                <w:rFonts w:hint="eastAsia" w:hAnsi="宋体"/>
                <w:sz w:val="24"/>
                <w:szCs w:val="24"/>
                <w:highlight w:val="none"/>
                <w:lang w:val="en-US"/>
              </w:rPr>
              <w:t>扣</w:t>
            </w:r>
            <w:r>
              <w:rPr>
                <w:rFonts w:hint="eastAsia" w:hAnsi="宋体"/>
                <w:sz w:val="24"/>
                <w:szCs w:val="24"/>
                <w:highlight w:val="none"/>
              </w:rPr>
              <w:t>10分/人次。</w:t>
            </w:r>
          </w:p>
        </w:tc>
        <w:tc>
          <w:tcPr>
            <w:tcW w:w="753" w:type="dxa"/>
            <w:vMerge w:val="continue"/>
            <w:tcBorders>
              <w:left w:val="single" w:color="auto" w:sz="4" w:space="0"/>
              <w:bottom w:val="single" w:color="auto" w:sz="4" w:space="0"/>
              <w:right w:val="single" w:color="auto" w:sz="4" w:space="0"/>
            </w:tcBorders>
            <w:vAlign w:val="center"/>
          </w:tcPr>
          <w:p w14:paraId="66FDBE24">
            <w:pPr>
              <w:widowControl/>
              <w:autoSpaceDE/>
              <w:autoSpaceDN/>
              <w:adjustRightInd w:val="0"/>
              <w:snapToGrid w:val="0"/>
              <w:spacing w:line="420" w:lineRule="exact"/>
              <w:rPr>
                <w:rFonts w:hAnsi="宋体"/>
                <w:sz w:val="24"/>
                <w:szCs w:val="24"/>
                <w:highlight w:val="none"/>
              </w:rPr>
            </w:pPr>
          </w:p>
        </w:tc>
        <w:tc>
          <w:tcPr>
            <w:tcW w:w="1056" w:type="dxa"/>
            <w:tcBorders>
              <w:left w:val="single" w:color="auto" w:sz="4" w:space="0"/>
              <w:bottom w:val="single" w:color="auto" w:sz="4" w:space="0"/>
              <w:right w:val="single" w:color="auto" w:sz="4" w:space="0"/>
            </w:tcBorders>
            <w:shd w:val="clear" w:color="000000" w:fill="FFFFFF"/>
            <w:noWrap/>
            <w:vAlign w:val="center"/>
          </w:tcPr>
          <w:p w14:paraId="65952C23">
            <w:pPr>
              <w:widowControl/>
              <w:autoSpaceDE/>
              <w:autoSpaceDN/>
              <w:adjustRightInd w:val="0"/>
              <w:snapToGrid w:val="0"/>
              <w:spacing w:line="420" w:lineRule="exact"/>
              <w:rPr>
                <w:rFonts w:hAnsi="宋体"/>
                <w:sz w:val="24"/>
                <w:szCs w:val="24"/>
                <w:highlight w:val="none"/>
              </w:rPr>
            </w:pPr>
          </w:p>
        </w:tc>
        <w:tc>
          <w:tcPr>
            <w:tcW w:w="1016" w:type="dxa"/>
            <w:tcBorders>
              <w:left w:val="single" w:color="auto" w:sz="4" w:space="0"/>
              <w:bottom w:val="single" w:color="auto" w:sz="4" w:space="0"/>
              <w:right w:val="single" w:color="auto" w:sz="4" w:space="0"/>
            </w:tcBorders>
            <w:shd w:val="clear" w:color="000000" w:fill="FFFFFF"/>
            <w:noWrap/>
            <w:vAlign w:val="center"/>
          </w:tcPr>
          <w:p w14:paraId="6933867F">
            <w:pPr>
              <w:widowControl/>
              <w:autoSpaceDE/>
              <w:autoSpaceDN/>
              <w:adjustRightInd w:val="0"/>
              <w:snapToGrid w:val="0"/>
              <w:spacing w:line="420" w:lineRule="exact"/>
              <w:rPr>
                <w:rFonts w:hAnsi="宋体"/>
                <w:sz w:val="24"/>
                <w:szCs w:val="24"/>
                <w:highlight w:val="none"/>
              </w:rPr>
            </w:pPr>
          </w:p>
        </w:tc>
        <w:tc>
          <w:tcPr>
            <w:tcW w:w="836" w:type="dxa"/>
            <w:tcBorders>
              <w:left w:val="single" w:color="auto" w:sz="4" w:space="0"/>
              <w:bottom w:val="single" w:color="auto" w:sz="4" w:space="0"/>
              <w:right w:val="single" w:color="auto" w:sz="4" w:space="0"/>
            </w:tcBorders>
            <w:shd w:val="clear" w:color="000000" w:fill="FFFFFF"/>
            <w:noWrap/>
            <w:vAlign w:val="center"/>
          </w:tcPr>
          <w:p w14:paraId="12AAA465">
            <w:pPr>
              <w:widowControl/>
              <w:autoSpaceDE/>
              <w:autoSpaceDN/>
              <w:adjustRightInd w:val="0"/>
              <w:snapToGrid w:val="0"/>
              <w:spacing w:line="420" w:lineRule="exact"/>
              <w:rPr>
                <w:rFonts w:hAnsi="宋体"/>
                <w:sz w:val="24"/>
                <w:szCs w:val="24"/>
                <w:highlight w:val="none"/>
              </w:rPr>
            </w:pPr>
          </w:p>
        </w:tc>
      </w:tr>
      <w:tr w14:paraId="55F66F04">
        <w:tblPrEx>
          <w:tblCellMar>
            <w:top w:w="0" w:type="dxa"/>
            <w:left w:w="108" w:type="dxa"/>
            <w:bottom w:w="0" w:type="dxa"/>
            <w:right w:w="108" w:type="dxa"/>
          </w:tblCellMar>
        </w:tblPrEx>
        <w:trPr>
          <w:trHeight w:val="602" w:hRule="atLeast"/>
          <w:jc w:val="center"/>
        </w:trPr>
        <w:tc>
          <w:tcPr>
            <w:tcW w:w="6022" w:type="dxa"/>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0000C57F">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总计</w:t>
            </w:r>
          </w:p>
        </w:tc>
        <w:tc>
          <w:tcPr>
            <w:tcW w:w="753" w:type="dxa"/>
            <w:tcBorders>
              <w:top w:val="single" w:color="auto" w:sz="4" w:space="0"/>
              <w:left w:val="nil"/>
              <w:bottom w:val="single" w:color="auto" w:sz="4" w:space="0"/>
              <w:right w:val="single" w:color="auto" w:sz="4" w:space="0"/>
            </w:tcBorders>
            <w:shd w:val="clear" w:color="000000" w:fill="FFFFFF"/>
            <w:noWrap/>
            <w:vAlign w:val="center"/>
          </w:tcPr>
          <w:p w14:paraId="1F7E22D8">
            <w:pPr>
              <w:widowControl/>
              <w:autoSpaceDE/>
              <w:autoSpaceDN/>
              <w:adjustRightInd w:val="0"/>
              <w:snapToGrid w:val="0"/>
              <w:spacing w:line="420" w:lineRule="exact"/>
              <w:jc w:val="right"/>
              <w:rPr>
                <w:rFonts w:hAnsi="宋体"/>
                <w:b/>
                <w:bCs/>
                <w:sz w:val="24"/>
                <w:szCs w:val="24"/>
                <w:highlight w:val="none"/>
              </w:rPr>
            </w:pPr>
            <w:r>
              <w:rPr>
                <w:rFonts w:hint="eastAsia" w:hAnsi="宋体"/>
                <w:b/>
                <w:bCs/>
                <w:sz w:val="24"/>
                <w:szCs w:val="24"/>
                <w:highlight w:val="none"/>
              </w:rPr>
              <w:t>100%</w:t>
            </w:r>
          </w:p>
        </w:tc>
        <w:tc>
          <w:tcPr>
            <w:tcW w:w="1056" w:type="dxa"/>
            <w:tcBorders>
              <w:top w:val="single" w:color="auto" w:sz="4" w:space="0"/>
              <w:left w:val="nil"/>
              <w:bottom w:val="single" w:color="auto" w:sz="4" w:space="0"/>
              <w:right w:val="nil"/>
            </w:tcBorders>
            <w:shd w:val="clear" w:color="000000" w:fill="FFFFFF"/>
            <w:noWrap/>
            <w:vAlign w:val="center"/>
          </w:tcPr>
          <w:p w14:paraId="13840792">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35F7F3">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13C01705">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w:t>
            </w:r>
          </w:p>
        </w:tc>
      </w:tr>
      <w:tr w14:paraId="62CB5DBC">
        <w:tblPrEx>
          <w:tblCellMar>
            <w:top w:w="0" w:type="dxa"/>
            <w:left w:w="108" w:type="dxa"/>
            <w:bottom w:w="0" w:type="dxa"/>
            <w:right w:w="108" w:type="dxa"/>
          </w:tblCellMar>
        </w:tblPrEx>
        <w:trPr>
          <w:trHeight w:val="565" w:hRule="exact"/>
          <w:jc w:val="center"/>
        </w:trPr>
        <w:tc>
          <w:tcPr>
            <w:tcW w:w="2194" w:type="dxa"/>
            <w:gridSpan w:val="2"/>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7B2F365D">
            <w:pPr>
              <w:widowControl/>
              <w:autoSpaceDE/>
              <w:autoSpaceDN/>
              <w:adjustRightInd w:val="0"/>
              <w:snapToGrid w:val="0"/>
              <w:spacing w:line="420" w:lineRule="exact"/>
              <w:jc w:val="center"/>
              <w:rPr>
                <w:rFonts w:hAnsi="宋体"/>
                <w:b/>
                <w:bCs/>
                <w:sz w:val="24"/>
                <w:szCs w:val="24"/>
                <w:highlight w:val="none"/>
                <w:lang w:val="en-US"/>
              </w:rPr>
            </w:pPr>
            <w:r>
              <w:rPr>
                <w:rFonts w:hint="eastAsia" w:hAnsi="宋体"/>
                <w:b/>
                <w:bCs/>
                <w:sz w:val="24"/>
                <w:szCs w:val="24"/>
                <w:highlight w:val="none"/>
              </w:rPr>
              <w:t>甲方签字</w:t>
            </w:r>
          </w:p>
        </w:tc>
        <w:tc>
          <w:tcPr>
            <w:tcW w:w="7489" w:type="dxa"/>
            <w:gridSpan w:val="5"/>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32018D2D">
            <w:pPr>
              <w:widowControl/>
              <w:autoSpaceDE/>
              <w:autoSpaceDN/>
              <w:adjustRightInd w:val="0"/>
              <w:snapToGrid w:val="0"/>
              <w:spacing w:line="420" w:lineRule="exact"/>
              <w:jc w:val="center"/>
              <w:rPr>
                <w:rFonts w:hAnsi="宋体"/>
                <w:b/>
                <w:bCs/>
                <w:sz w:val="24"/>
                <w:szCs w:val="24"/>
                <w:highlight w:val="none"/>
              </w:rPr>
            </w:pPr>
          </w:p>
        </w:tc>
      </w:tr>
      <w:tr w14:paraId="6F25BD9E">
        <w:tblPrEx>
          <w:tblCellMar>
            <w:top w:w="0" w:type="dxa"/>
            <w:left w:w="108" w:type="dxa"/>
            <w:bottom w:w="0" w:type="dxa"/>
            <w:right w:w="108" w:type="dxa"/>
          </w:tblCellMar>
        </w:tblPrEx>
        <w:trPr>
          <w:trHeight w:val="565" w:hRule="exact"/>
          <w:jc w:val="center"/>
        </w:trPr>
        <w:tc>
          <w:tcPr>
            <w:tcW w:w="2194" w:type="dxa"/>
            <w:gridSpan w:val="2"/>
            <w:vMerge w:val="continue"/>
            <w:tcBorders>
              <w:top w:val="single" w:color="auto" w:sz="4" w:space="0"/>
              <w:left w:val="single" w:color="auto" w:sz="4" w:space="0"/>
              <w:bottom w:val="single" w:color="auto" w:sz="4" w:space="0"/>
              <w:right w:val="single" w:color="auto" w:sz="4" w:space="0"/>
            </w:tcBorders>
            <w:vAlign w:val="center"/>
          </w:tcPr>
          <w:p w14:paraId="7941AA9F">
            <w:pPr>
              <w:widowControl/>
              <w:autoSpaceDE/>
              <w:autoSpaceDN/>
              <w:adjustRightInd w:val="0"/>
              <w:snapToGrid w:val="0"/>
              <w:spacing w:line="420" w:lineRule="exact"/>
              <w:rPr>
                <w:rFonts w:hAnsi="宋体"/>
                <w:b/>
                <w:bCs/>
                <w:sz w:val="24"/>
                <w:szCs w:val="24"/>
                <w:highlight w:val="none"/>
              </w:rPr>
            </w:pPr>
          </w:p>
        </w:tc>
        <w:tc>
          <w:tcPr>
            <w:tcW w:w="7489" w:type="dxa"/>
            <w:gridSpan w:val="5"/>
            <w:vMerge w:val="continue"/>
            <w:tcBorders>
              <w:top w:val="single" w:color="auto" w:sz="4" w:space="0"/>
              <w:left w:val="single" w:color="auto" w:sz="4" w:space="0"/>
              <w:bottom w:val="single" w:color="auto" w:sz="4" w:space="0"/>
              <w:right w:val="single" w:color="auto" w:sz="4" w:space="0"/>
            </w:tcBorders>
            <w:vAlign w:val="center"/>
          </w:tcPr>
          <w:p w14:paraId="1ED93DF9">
            <w:pPr>
              <w:widowControl/>
              <w:autoSpaceDE/>
              <w:autoSpaceDN/>
              <w:adjustRightInd w:val="0"/>
              <w:snapToGrid w:val="0"/>
              <w:spacing w:line="420" w:lineRule="exact"/>
              <w:rPr>
                <w:rFonts w:hAnsi="宋体"/>
                <w:b/>
                <w:bCs/>
                <w:sz w:val="24"/>
                <w:szCs w:val="24"/>
                <w:highlight w:val="none"/>
              </w:rPr>
            </w:pPr>
          </w:p>
        </w:tc>
      </w:tr>
      <w:tr w14:paraId="4A422CB1">
        <w:tblPrEx>
          <w:tblCellMar>
            <w:top w:w="0" w:type="dxa"/>
            <w:left w:w="108" w:type="dxa"/>
            <w:bottom w:w="0" w:type="dxa"/>
            <w:right w:w="108" w:type="dxa"/>
          </w:tblCellMar>
        </w:tblPrEx>
        <w:trPr>
          <w:trHeight w:val="300" w:hRule="exact"/>
          <w:jc w:val="center"/>
        </w:trPr>
        <w:tc>
          <w:tcPr>
            <w:tcW w:w="2194" w:type="dxa"/>
            <w:gridSpan w:val="2"/>
            <w:vMerge w:val="continue"/>
            <w:tcBorders>
              <w:top w:val="single" w:color="auto" w:sz="4" w:space="0"/>
              <w:left w:val="single" w:color="auto" w:sz="4" w:space="0"/>
              <w:bottom w:val="single" w:color="auto" w:sz="4" w:space="0"/>
              <w:right w:val="single" w:color="auto" w:sz="4" w:space="0"/>
            </w:tcBorders>
            <w:vAlign w:val="center"/>
          </w:tcPr>
          <w:p w14:paraId="68318B2B">
            <w:pPr>
              <w:widowControl/>
              <w:autoSpaceDE/>
              <w:autoSpaceDN/>
              <w:adjustRightInd w:val="0"/>
              <w:snapToGrid w:val="0"/>
              <w:spacing w:line="420" w:lineRule="exact"/>
              <w:rPr>
                <w:rFonts w:hAnsi="宋体"/>
                <w:b/>
                <w:bCs/>
                <w:sz w:val="24"/>
                <w:szCs w:val="24"/>
                <w:highlight w:val="none"/>
              </w:rPr>
            </w:pPr>
          </w:p>
        </w:tc>
        <w:tc>
          <w:tcPr>
            <w:tcW w:w="7489" w:type="dxa"/>
            <w:gridSpan w:val="5"/>
            <w:vMerge w:val="continue"/>
            <w:tcBorders>
              <w:top w:val="single" w:color="auto" w:sz="4" w:space="0"/>
              <w:left w:val="single" w:color="auto" w:sz="4" w:space="0"/>
              <w:bottom w:val="single" w:color="auto" w:sz="4" w:space="0"/>
              <w:right w:val="single" w:color="auto" w:sz="4" w:space="0"/>
            </w:tcBorders>
            <w:vAlign w:val="center"/>
          </w:tcPr>
          <w:p w14:paraId="60F9CB2C">
            <w:pPr>
              <w:widowControl/>
              <w:autoSpaceDE/>
              <w:autoSpaceDN/>
              <w:adjustRightInd w:val="0"/>
              <w:snapToGrid w:val="0"/>
              <w:spacing w:line="420" w:lineRule="exact"/>
              <w:rPr>
                <w:rFonts w:hAnsi="宋体"/>
                <w:b/>
                <w:bCs/>
                <w:sz w:val="24"/>
                <w:szCs w:val="24"/>
                <w:highlight w:val="none"/>
              </w:rPr>
            </w:pPr>
          </w:p>
        </w:tc>
      </w:tr>
      <w:tr w14:paraId="7859008B">
        <w:tblPrEx>
          <w:tblCellMar>
            <w:top w:w="0" w:type="dxa"/>
            <w:left w:w="108" w:type="dxa"/>
            <w:bottom w:w="0" w:type="dxa"/>
            <w:right w:w="108" w:type="dxa"/>
          </w:tblCellMar>
        </w:tblPrEx>
        <w:trPr>
          <w:trHeight w:val="1490" w:hRule="exact"/>
          <w:jc w:val="center"/>
        </w:trPr>
        <w:tc>
          <w:tcPr>
            <w:tcW w:w="2194"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14:paraId="7AA4E2FD">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乙方签字、盖章</w:t>
            </w:r>
          </w:p>
        </w:tc>
        <w:tc>
          <w:tcPr>
            <w:tcW w:w="7489" w:type="dxa"/>
            <w:gridSpan w:val="5"/>
            <w:tcBorders>
              <w:top w:val="single" w:color="auto" w:sz="4" w:space="0"/>
              <w:left w:val="single" w:color="auto" w:sz="4" w:space="0"/>
              <w:bottom w:val="single" w:color="auto" w:sz="4" w:space="0"/>
              <w:right w:val="single" w:color="auto" w:sz="4" w:space="0"/>
            </w:tcBorders>
            <w:shd w:val="clear" w:color="000000" w:fill="FFFFFF"/>
            <w:noWrap/>
            <w:vAlign w:val="bottom"/>
          </w:tcPr>
          <w:p w14:paraId="2DB737AB">
            <w:pPr>
              <w:widowControl/>
              <w:autoSpaceDE/>
              <w:autoSpaceDN/>
              <w:adjustRightInd w:val="0"/>
              <w:snapToGrid w:val="0"/>
              <w:spacing w:line="420" w:lineRule="exact"/>
              <w:jc w:val="right"/>
              <w:rPr>
                <w:rFonts w:hAnsi="宋体"/>
                <w:b/>
                <w:bCs/>
                <w:sz w:val="24"/>
                <w:szCs w:val="24"/>
                <w:highlight w:val="none"/>
              </w:rPr>
            </w:pPr>
          </w:p>
        </w:tc>
      </w:tr>
    </w:tbl>
    <w:p w14:paraId="77729C0F">
      <w:pPr>
        <w:pStyle w:val="40"/>
        <w:autoSpaceDE/>
        <w:autoSpaceDN/>
        <w:adjustRightInd w:val="0"/>
        <w:snapToGrid w:val="0"/>
        <w:spacing w:line="420" w:lineRule="exact"/>
        <w:ind w:firstLine="480"/>
        <w:rPr>
          <w:rFonts w:hAnsi="宋体"/>
          <w:kern w:val="2"/>
          <w:szCs w:val="24"/>
          <w:highlight w:val="none"/>
          <w:lang w:val="en-US"/>
        </w:rPr>
      </w:pPr>
    </w:p>
    <w:p w14:paraId="5EB8766A">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lang w:val="en-US"/>
        </w:rPr>
        <w:t>1</w:t>
      </w:r>
      <w:r>
        <w:rPr>
          <w:rFonts w:hint="eastAsia" w:hAnsi="宋体"/>
          <w:kern w:val="2"/>
          <w:szCs w:val="24"/>
          <w:highlight w:val="none"/>
        </w:rPr>
        <w:t>、总分数不超过100分。</w:t>
      </w:r>
    </w:p>
    <w:p w14:paraId="1B06A466">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lang w:val="en-US"/>
        </w:rPr>
        <w:t>2</w:t>
      </w:r>
      <w:r>
        <w:rPr>
          <w:rFonts w:hint="eastAsia" w:hAnsi="宋体"/>
          <w:kern w:val="2"/>
          <w:szCs w:val="24"/>
          <w:highlight w:val="none"/>
        </w:rPr>
        <w:t>、一票否决项（</w:t>
      </w:r>
      <w:r>
        <w:rPr>
          <w:rFonts w:hint="eastAsia" w:hAnsi="宋体"/>
          <w:kern w:val="2"/>
          <w:szCs w:val="24"/>
          <w:highlight w:val="none"/>
          <w:lang w:val="en-US"/>
        </w:rPr>
        <w:t>当月</w:t>
      </w:r>
      <w:r>
        <w:rPr>
          <w:rFonts w:hint="eastAsia" w:hAnsi="宋体"/>
          <w:kern w:val="2"/>
          <w:szCs w:val="24"/>
          <w:highlight w:val="none"/>
        </w:rPr>
        <w:t>扣100分）。发生违规操作、严重运维事故，或发生总队认定的其他影响系统运行的严重违规行为等。</w:t>
      </w:r>
    </w:p>
    <w:p w14:paraId="67448496">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lang w:val="en-US"/>
        </w:rPr>
        <w:t>3、</w:t>
      </w:r>
      <w:r>
        <w:rPr>
          <w:rFonts w:hint="eastAsia" w:hAnsi="宋体"/>
          <w:kern w:val="2"/>
          <w:szCs w:val="24"/>
          <w:highlight w:val="none"/>
        </w:rPr>
        <w:t>月度服务得分连续三个月低于70分的</w:t>
      </w:r>
      <w:r>
        <w:rPr>
          <w:rFonts w:hint="eastAsia" w:hAnsi="宋体"/>
          <w:kern w:val="2"/>
          <w:szCs w:val="24"/>
          <w:highlight w:val="none"/>
          <w:lang w:val="en-US"/>
        </w:rPr>
        <w:t>或年度累计超5个月低于70分的</w:t>
      </w:r>
      <w:r>
        <w:rPr>
          <w:rFonts w:hint="eastAsia" w:hAnsi="宋体"/>
          <w:kern w:val="2"/>
          <w:szCs w:val="24"/>
          <w:highlight w:val="none"/>
        </w:rPr>
        <w:t>，总队有权终止维保服务合同，并将投标人列入甲方采购黑名单，</w:t>
      </w:r>
      <w:r>
        <w:rPr>
          <w:rFonts w:hint="eastAsia"/>
          <w:szCs w:val="24"/>
          <w:highlight w:val="none"/>
        </w:rPr>
        <w:t>并视情将乙方违规行为报当地政府采购监管部门。</w:t>
      </w:r>
      <w:r>
        <w:rPr>
          <w:rFonts w:hint="eastAsia" w:hAnsi="宋体"/>
          <w:kern w:val="2"/>
          <w:szCs w:val="24"/>
          <w:highlight w:val="none"/>
        </w:rPr>
        <w:t>年度得分=月度得分之和/12，低于90分，扣除年度服务金额的</w:t>
      </w:r>
      <w:r>
        <w:rPr>
          <w:rFonts w:hint="eastAsia" w:hAnsi="宋体"/>
          <w:kern w:val="2"/>
          <w:szCs w:val="24"/>
          <w:highlight w:val="none"/>
          <w:lang w:val="en-US"/>
        </w:rPr>
        <w:t>10</w:t>
      </w:r>
      <w:r>
        <w:rPr>
          <w:rFonts w:hint="eastAsia" w:hAnsi="宋体"/>
          <w:kern w:val="2"/>
          <w:szCs w:val="24"/>
          <w:highlight w:val="none"/>
        </w:rPr>
        <w:t>%；低于</w:t>
      </w:r>
      <w:r>
        <w:rPr>
          <w:rFonts w:hint="eastAsia" w:hAnsi="宋体"/>
          <w:kern w:val="2"/>
          <w:szCs w:val="24"/>
          <w:highlight w:val="none"/>
          <w:lang w:val="en-US"/>
        </w:rPr>
        <w:t>85</w:t>
      </w:r>
      <w:r>
        <w:rPr>
          <w:rFonts w:hint="eastAsia" w:hAnsi="宋体"/>
          <w:kern w:val="2"/>
          <w:szCs w:val="24"/>
          <w:highlight w:val="none"/>
        </w:rPr>
        <w:t>分，扣除年度服务金额的</w:t>
      </w:r>
      <w:r>
        <w:rPr>
          <w:rFonts w:hint="eastAsia" w:hAnsi="宋体"/>
          <w:kern w:val="2"/>
          <w:szCs w:val="24"/>
          <w:highlight w:val="none"/>
          <w:lang w:val="en-US"/>
        </w:rPr>
        <w:t>20</w:t>
      </w:r>
      <w:r>
        <w:rPr>
          <w:rFonts w:hint="eastAsia" w:hAnsi="宋体"/>
          <w:kern w:val="2"/>
          <w:szCs w:val="24"/>
          <w:highlight w:val="none"/>
        </w:rPr>
        <w:t>%；低于</w:t>
      </w:r>
      <w:r>
        <w:rPr>
          <w:rFonts w:hint="eastAsia" w:hAnsi="宋体"/>
          <w:kern w:val="2"/>
          <w:szCs w:val="24"/>
          <w:highlight w:val="none"/>
          <w:lang w:val="en-US"/>
        </w:rPr>
        <w:t>80</w:t>
      </w:r>
      <w:r>
        <w:rPr>
          <w:rFonts w:hint="eastAsia" w:hAnsi="宋体"/>
          <w:kern w:val="2"/>
          <w:szCs w:val="24"/>
          <w:highlight w:val="none"/>
        </w:rPr>
        <w:t>分，扣除年度服务金额的</w:t>
      </w:r>
      <w:r>
        <w:rPr>
          <w:rFonts w:hint="eastAsia" w:hAnsi="宋体"/>
          <w:kern w:val="2"/>
          <w:szCs w:val="24"/>
          <w:highlight w:val="none"/>
          <w:lang w:val="en-US"/>
        </w:rPr>
        <w:t>30</w:t>
      </w:r>
      <w:r>
        <w:rPr>
          <w:rFonts w:hint="eastAsia" w:hAnsi="宋体"/>
          <w:kern w:val="2"/>
          <w:szCs w:val="24"/>
          <w:highlight w:val="none"/>
        </w:rPr>
        <w:t>%；低于</w:t>
      </w:r>
      <w:r>
        <w:rPr>
          <w:rFonts w:hint="eastAsia" w:hAnsi="宋体"/>
          <w:kern w:val="2"/>
          <w:szCs w:val="24"/>
          <w:highlight w:val="none"/>
          <w:lang w:val="en-US"/>
        </w:rPr>
        <w:t>75</w:t>
      </w:r>
      <w:r>
        <w:rPr>
          <w:rFonts w:hint="eastAsia" w:hAnsi="宋体"/>
          <w:kern w:val="2"/>
          <w:szCs w:val="24"/>
          <w:highlight w:val="none"/>
        </w:rPr>
        <w:t>分，终止合同。</w:t>
      </w:r>
    </w:p>
    <w:p w14:paraId="41711F98">
      <w:pPr>
        <w:autoSpaceDE/>
        <w:autoSpaceDN/>
        <w:adjustRightInd w:val="0"/>
        <w:snapToGrid w:val="0"/>
        <w:spacing w:line="420" w:lineRule="exact"/>
        <w:ind w:firstLine="482" w:firstLineChars="200"/>
        <w:jc w:val="center"/>
        <w:rPr>
          <w:rFonts w:hint="eastAsia" w:hAnsi="宋体"/>
          <w:b/>
          <w:bCs/>
          <w:sz w:val="24"/>
          <w:szCs w:val="24"/>
          <w:highlight w:val="none"/>
        </w:rPr>
      </w:pPr>
    </w:p>
    <w:p w14:paraId="5F6D860B">
      <w:pPr>
        <w:autoSpaceDE/>
        <w:autoSpaceDN/>
        <w:adjustRightInd w:val="0"/>
        <w:snapToGrid w:val="0"/>
        <w:spacing w:line="420" w:lineRule="exact"/>
        <w:jc w:val="center"/>
        <w:rPr>
          <w:rFonts w:hint="eastAsia" w:hAnsi="宋体"/>
          <w:b/>
          <w:bCs/>
          <w:sz w:val="24"/>
          <w:szCs w:val="24"/>
          <w:highlight w:val="none"/>
        </w:rPr>
      </w:pPr>
      <w:r>
        <w:rPr>
          <w:rFonts w:hint="eastAsia" w:hAnsi="宋体"/>
          <w:b/>
          <w:bCs/>
          <w:sz w:val="24"/>
          <w:szCs w:val="24"/>
          <w:highlight w:val="none"/>
        </w:rPr>
        <w:t>2.驻场服务人员考核表</w:t>
      </w:r>
    </w:p>
    <w:p w14:paraId="645DED34">
      <w:pPr>
        <w:pStyle w:val="26"/>
        <w:rPr>
          <w:rFonts w:hint="eastAsia"/>
          <w:highlight w:val="none"/>
        </w:rPr>
      </w:pPr>
    </w:p>
    <w:tbl>
      <w:tblPr>
        <w:tblStyle w:val="21"/>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8"/>
        <w:gridCol w:w="3763"/>
        <w:gridCol w:w="1395"/>
        <w:gridCol w:w="1382"/>
        <w:gridCol w:w="822"/>
      </w:tblGrid>
      <w:tr w14:paraId="35820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158" w:type="dxa"/>
            <w:shd w:val="clear" w:color="auto" w:fill="auto"/>
            <w:noWrap/>
            <w:vAlign w:val="center"/>
          </w:tcPr>
          <w:p w14:paraId="3E2388F1">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考核区间</w:t>
            </w:r>
          </w:p>
        </w:tc>
        <w:tc>
          <w:tcPr>
            <w:tcW w:w="7362" w:type="dxa"/>
            <w:gridSpan w:val="4"/>
            <w:shd w:val="clear" w:color="auto" w:fill="auto"/>
            <w:noWrap/>
            <w:vAlign w:val="center"/>
          </w:tcPr>
          <w:p w14:paraId="28032CD5">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考核月份</w:t>
            </w:r>
          </w:p>
        </w:tc>
      </w:tr>
      <w:tr w14:paraId="29379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921" w:type="dxa"/>
            <w:gridSpan w:val="2"/>
            <w:vMerge w:val="restart"/>
            <w:shd w:val="clear" w:color="auto" w:fill="auto"/>
            <w:noWrap/>
            <w:vAlign w:val="center"/>
          </w:tcPr>
          <w:p w14:paraId="1DB552B2">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考核项目</w:t>
            </w:r>
          </w:p>
        </w:tc>
        <w:tc>
          <w:tcPr>
            <w:tcW w:w="3599" w:type="dxa"/>
            <w:gridSpan w:val="3"/>
            <w:shd w:val="clear" w:color="auto" w:fill="auto"/>
            <w:noWrap/>
            <w:vAlign w:val="center"/>
          </w:tcPr>
          <w:p w14:paraId="03571377">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考核得分</w:t>
            </w:r>
          </w:p>
        </w:tc>
      </w:tr>
      <w:tr w14:paraId="01990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5921" w:type="dxa"/>
            <w:gridSpan w:val="2"/>
            <w:vMerge w:val="continue"/>
            <w:vAlign w:val="center"/>
          </w:tcPr>
          <w:p w14:paraId="03E9AF81">
            <w:pPr>
              <w:widowControl/>
              <w:autoSpaceDE/>
              <w:autoSpaceDN/>
              <w:adjustRightInd w:val="0"/>
              <w:snapToGrid w:val="0"/>
              <w:spacing w:line="420" w:lineRule="exact"/>
              <w:rPr>
                <w:rFonts w:hAnsi="宋体"/>
                <w:b/>
                <w:bCs/>
                <w:sz w:val="24"/>
                <w:szCs w:val="24"/>
                <w:highlight w:val="none"/>
              </w:rPr>
            </w:pPr>
          </w:p>
        </w:tc>
        <w:tc>
          <w:tcPr>
            <w:tcW w:w="1395" w:type="dxa"/>
            <w:shd w:val="clear" w:color="auto" w:fill="auto"/>
            <w:noWrap/>
            <w:vAlign w:val="center"/>
          </w:tcPr>
          <w:p w14:paraId="101407ED">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自我考核</w:t>
            </w:r>
          </w:p>
        </w:tc>
        <w:tc>
          <w:tcPr>
            <w:tcW w:w="1382" w:type="dxa"/>
            <w:shd w:val="clear" w:color="auto" w:fill="auto"/>
            <w:vAlign w:val="center"/>
          </w:tcPr>
          <w:p w14:paraId="143437E4">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甲方考核</w:t>
            </w:r>
          </w:p>
        </w:tc>
        <w:tc>
          <w:tcPr>
            <w:tcW w:w="822" w:type="dxa"/>
            <w:shd w:val="clear" w:color="auto" w:fill="auto"/>
            <w:noWrap/>
            <w:vAlign w:val="center"/>
          </w:tcPr>
          <w:p w14:paraId="683BC45A">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备注</w:t>
            </w:r>
          </w:p>
        </w:tc>
      </w:tr>
      <w:tr w14:paraId="64284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2158" w:type="dxa"/>
            <w:shd w:val="clear" w:color="000000" w:fill="FFFFFF"/>
            <w:noWrap/>
            <w:vAlign w:val="center"/>
          </w:tcPr>
          <w:p w14:paraId="6F8041F5">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人员考勤考核（20分）</w:t>
            </w:r>
          </w:p>
        </w:tc>
        <w:tc>
          <w:tcPr>
            <w:tcW w:w="3763" w:type="dxa"/>
            <w:shd w:val="clear" w:color="000000" w:fill="FFFFFF"/>
            <w:vAlign w:val="center"/>
          </w:tcPr>
          <w:p w14:paraId="342BB5B3">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迟到、早退、着装不符合规范、未按时到岗的扣1分/人次；旷工、不服从工作安排。消极怠工、驻场人员变更未及时到岗的扣10分/人次，驻场值守结束未准时提交保障信息、保障日志的扣5分/人次。</w:t>
            </w:r>
          </w:p>
        </w:tc>
        <w:tc>
          <w:tcPr>
            <w:tcW w:w="1395" w:type="dxa"/>
            <w:shd w:val="clear" w:color="000000" w:fill="FFFFFF"/>
            <w:noWrap/>
            <w:vAlign w:val="center"/>
          </w:tcPr>
          <w:p w14:paraId="6569AF6F">
            <w:pPr>
              <w:widowControl/>
              <w:autoSpaceDE/>
              <w:autoSpaceDN/>
              <w:adjustRightInd w:val="0"/>
              <w:snapToGrid w:val="0"/>
              <w:spacing w:line="420" w:lineRule="exact"/>
              <w:jc w:val="center"/>
              <w:rPr>
                <w:rFonts w:hAnsi="宋体"/>
                <w:sz w:val="24"/>
                <w:szCs w:val="24"/>
                <w:highlight w:val="none"/>
              </w:rPr>
            </w:pPr>
          </w:p>
        </w:tc>
        <w:tc>
          <w:tcPr>
            <w:tcW w:w="1382" w:type="dxa"/>
            <w:shd w:val="clear" w:color="auto" w:fill="auto"/>
            <w:noWrap/>
            <w:vAlign w:val="center"/>
          </w:tcPr>
          <w:p w14:paraId="32585AB0">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0CBB083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22" w:type="dxa"/>
            <w:shd w:val="clear" w:color="000000" w:fill="FFFFFF"/>
            <w:noWrap/>
            <w:vAlign w:val="center"/>
          </w:tcPr>
          <w:p w14:paraId="1C688351">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76248A89">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248A9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9" w:hRule="atLeast"/>
          <w:jc w:val="center"/>
        </w:trPr>
        <w:tc>
          <w:tcPr>
            <w:tcW w:w="2158" w:type="dxa"/>
            <w:shd w:val="clear" w:color="000000" w:fill="FFFFFF"/>
            <w:noWrap/>
            <w:vAlign w:val="center"/>
          </w:tcPr>
          <w:p w14:paraId="7C261E91">
            <w:pPr>
              <w:widowControl/>
              <w:autoSpaceDE/>
              <w:autoSpaceDN/>
              <w:adjustRightInd w:val="0"/>
              <w:snapToGrid w:val="0"/>
              <w:spacing w:line="420" w:lineRule="exact"/>
              <w:jc w:val="center"/>
              <w:rPr>
                <w:rFonts w:hint="eastAsia" w:hAnsi="宋体"/>
                <w:b/>
                <w:bCs/>
                <w:sz w:val="24"/>
                <w:szCs w:val="24"/>
                <w:highlight w:val="none"/>
              </w:rPr>
            </w:pPr>
            <w:r>
              <w:rPr>
                <w:rFonts w:hint="eastAsia" w:hAnsi="宋体"/>
                <w:b/>
                <w:bCs/>
                <w:sz w:val="24"/>
                <w:szCs w:val="24"/>
                <w:highlight w:val="none"/>
              </w:rPr>
              <w:t>人员日常巡检考核（20分）</w:t>
            </w:r>
          </w:p>
        </w:tc>
        <w:tc>
          <w:tcPr>
            <w:tcW w:w="3763" w:type="dxa"/>
            <w:shd w:val="clear" w:color="000000" w:fill="FFFFFF"/>
            <w:vAlign w:val="center"/>
          </w:tcPr>
          <w:p w14:paraId="13E15C75">
            <w:pPr>
              <w:widowControl/>
              <w:autoSpaceDE/>
              <w:autoSpaceDN/>
              <w:adjustRightInd w:val="0"/>
              <w:snapToGrid w:val="0"/>
              <w:spacing w:line="420" w:lineRule="exact"/>
              <w:rPr>
                <w:rFonts w:hint="eastAsia" w:hAnsi="宋体"/>
                <w:sz w:val="24"/>
                <w:szCs w:val="24"/>
                <w:highlight w:val="none"/>
              </w:rPr>
            </w:pPr>
            <w:r>
              <w:rPr>
                <w:rFonts w:hint="eastAsia" w:hAnsi="宋体"/>
                <w:sz w:val="24"/>
                <w:szCs w:val="24"/>
                <w:highlight w:val="none"/>
              </w:rPr>
              <w:t>对人员巡检工作进行台账化管理，考查例行各项巡检工作完成情况，存在漏洞、未填写巡检表、巡检后相关场所卫生不合格的，扣2分/人次；发现巡检造假行为，扣10分/次。</w:t>
            </w:r>
          </w:p>
        </w:tc>
        <w:tc>
          <w:tcPr>
            <w:tcW w:w="1395" w:type="dxa"/>
            <w:shd w:val="clear" w:color="000000" w:fill="FFFFFF"/>
            <w:noWrap/>
            <w:vAlign w:val="center"/>
          </w:tcPr>
          <w:p w14:paraId="3EBC3F56">
            <w:pPr>
              <w:widowControl/>
              <w:autoSpaceDE/>
              <w:autoSpaceDN/>
              <w:adjustRightInd w:val="0"/>
              <w:snapToGrid w:val="0"/>
              <w:spacing w:line="420" w:lineRule="exact"/>
              <w:jc w:val="center"/>
              <w:rPr>
                <w:rFonts w:hint="eastAsia" w:hAnsi="宋体"/>
                <w:sz w:val="24"/>
                <w:szCs w:val="24"/>
                <w:highlight w:val="none"/>
              </w:rPr>
            </w:pPr>
          </w:p>
        </w:tc>
        <w:tc>
          <w:tcPr>
            <w:tcW w:w="1382" w:type="dxa"/>
            <w:shd w:val="clear" w:color="auto" w:fill="auto"/>
            <w:noWrap/>
            <w:vAlign w:val="center"/>
          </w:tcPr>
          <w:p w14:paraId="13F53493">
            <w:pPr>
              <w:widowControl/>
              <w:autoSpaceDE/>
              <w:autoSpaceDN/>
              <w:adjustRightInd w:val="0"/>
              <w:snapToGrid w:val="0"/>
              <w:spacing w:line="420" w:lineRule="exact"/>
              <w:jc w:val="center"/>
              <w:rPr>
                <w:rFonts w:hint="eastAsia" w:hAnsi="宋体"/>
                <w:sz w:val="24"/>
                <w:szCs w:val="24"/>
                <w:highlight w:val="none"/>
              </w:rPr>
            </w:pPr>
          </w:p>
        </w:tc>
        <w:tc>
          <w:tcPr>
            <w:tcW w:w="822" w:type="dxa"/>
            <w:shd w:val="clear" w:color="000000" w:fill="FFFFFF"/>
            <w:noWrap/>
            <w:vAlign w:val="center"/>
          </w:tcPr>
          <w:p w14:paraId="0DDD98CB">
            <w:pPr>
              <w:widowControl/>
              <w:autoSpaceDE/>
              <w:autoSpaceDN/>
              <w:adjustRightInd w:val="0"/>
              <w:snapToGrid w:val="0"/>
              <w:spacing w:line="420" w:lineRule="exact"/>
              <w:jc w:val="center"/>
              <w:rPr>
                <w:rFonts w:hint="eastAsia" w:hAnsi="宋体"/>
                <w:sz w:val="24"/>
                <w:szCs w:val="24"/>
                <w:highlight w:val="none"/>
              </w:rPr>
            </w:pPr>
          </w:p>
        </w:tc>
      </w:tr>
      <w:tr w14:paraId="779AE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2158" w:type="dxa"/>
            <w:shd w:val="clear" w:color="000000" w:fill="FFFFFF"/>
            <w:noWrap/>
            <w:vAlign w:val="center"/>
          </w:tcPr>
          <w:p w14:paraId="4D4002AE">
            <w:pPr>
              <w:widowControl/>
              <w:autoSpaceDE/>
              <w:autoSpaceDN/>
              <w:adjustRightInd w:val="0"/>
              <w:snapToGrid w:val="0"/>
              <w:spacing w:line="420" w:lineRule="exact"/>
              <w:jc w:val="center"/>
              <w:rPr>
                <w:rFonts w:hint="eastAsia" w:hAnsi="宋体"/>
                <w:b/>
                <w:bCs/>
                <w:sz w:val="24"/>
                <w:szCs w:val="24"/>
                <w:highlight w:val="none"/>
              </w:rPr>
            </w:pPr>
            <w:r>
              <w:rPr>
                <w:rFonts w:hint="eastAsia" w:hAnsi="宋体"/>
                <w:b/>
                <w:bCs/>
                <w:sz w:val="24"/>
                <w:szCs w:val="24"/>
                <w:highlight w:val="none"/>
              </w:rPr>
              <w:t>人员服务质量考核（40分）</w:t>
            </w:r>
          </w:p>
        </w:tc>
        <w:tc>
          <w:tcPr>
            <w:tcW w:w="3763" w:type="dxa"/>
            <w:shd w:val="clear" w:color="000000" w:fill="FFFFFF"/>
            <w:vAlign w:val="center"/>
          </w:tcPr>
          <w:p w14:paraId="085466AB">
            <w:pPr>
              <w:widowControl/>
              <w:autoSpaceDE/>
              <w:autoSpaceDN/>
              <w:adjustRightInd w:val="0"/>
              <w:snapToGrid w:val="0"/>
              <w:spacing w:line="420" w:lineRule="exact"/>
              <w:rPr>
                <w:rFonts w:hint="eastAsia" w:hAnsi="宋体"/>
                <w:sz w:val="24"/>
                <w:szCs w:val="24"/>
                <w:highlight w:val="none"/>
              </w:rPr>
            </w:pPr>
            <w:r>
              <w:rPr>
                <w:rFonts w:hint="eastAsia" w:hAnsi="宋体"/>
                <w:sz w:val="24"/>
                <w:szCs w:val="24"/>
                <w:highlight w:val="none"/>
              </w:rPr>
              <w:t>考查驻场人员维保服务及遵守厅机关相关规定情况。人员业务能力不合格就上岗的扣10分/人次；会议保障未按会前系统测试流程执行的、保障过程中操作不规范的、保障结束后设备未归位的，扣2分/人次，对8小时工作时间以外造成社会不良影响的，安照甲方要求更换驻场人员并扣35分/人次。</w:t>
            </w:r>
          </w:p>
        </w:tc>
        <w:tc>
          <w:tcPr>
            <w:tcW w:w="1395" w:type="dxa"/>
            <w:shd w:val="clear" w:color="000000" w:fill="FFFFFF"/>
            <w:noWrap/>
            <w:vAlign w:val="center"/>
          </w:tcPr>
          <w:p w14:paraId="7CE4DCA9">
            <w:pPr>
              <w:widowControl/>
              <w:autoSpaceDE/>
              <w:autoSpaceDN/>
              <w:adjustRightInd w:val="0"/>
              <w:snapToGrid w:val="0"/>
              <w:spacing w:line="420" w:lineRule="exact"/>
              <w:jc w:val="center"/>
              <w:rPr>
                <w:rFonts w:hint="eastAsia" w:hAnsi="宋体"/>
                <w:sz w:val="24"/>
                <w:szCs w:val="24"/>
                <w:highlight w:val="none"/>
              </w:rPr>
            </w:pPr>
          </w:p>
        </w:tc>
        <w:tc>
          <w:tcPr>
            <w:tcW w:w="1382" w:type="dxa"/>
            <w:shd w:val="clear" w:color="auto" w:fill="auto"/>
            <w:noWrap/>
            <w:vAlign w:val="center"/>
          </w:tcPr>
          <w:p w14:paraId="78E5A528">
            <w:pPr>
              <w:widowControl/>
              <w:autoSpaceDE/>
              <w:autoSpaceDN/>
              <w:adjustRightInd w:val="0"/>
              <w:snapToGrid w:val="0"/>
              <w:spacing w:line="420" w:lineRule="exact"/>
              <w:jc w:val="center"/>
              <w:rPr>
                <w:rFonts w:hint="eastAsia" w:hAnsi="宋体"/>
                <w:sz w:val="24"/>
                <w:szCs w:val="24"/>
                <w:highlight w:val="none"/>
              </w:rPr>
            </w:pPr>
          </w:p>
        </w:tc>
        <w:tc>
          <w:tcPr>
            <w:tcW w:w="822" w:type="dxa"/>
            <w:shd w:val="clear" w:color="000000" w:fill="FFFFFF"/>
            <w:noWrap/>
            <w:vAlign w:val="center"/>
          </w:tcPr>
          <w:p w14:paraId="740A20DE">
            <w:pPr>
              <w:widowControl/>
              <w:autoSpaceDE/>
              <w:autoSpaceDN/>
              <w:adjustRightInd w:val="0"/>
              <w:snapToGrid w:val="0"/>
              <w:spacing w:line="420" w:lineRule="exact"/>
              <w:jc w:val="center"/>
              <w:rPr>
                <w:rFonts w:hint="eastAsia" w:hAnsi="宋体"/>
                <w:sz w:val="24"/>
                <w:szCs w:val="24"/>
                <w:highlight w:val="none"/>
              </w:rPr>
            </w:pPr>
          </w:p>
        </w:tc>
      </w:tr>
      <w:tr w14:paraId="3C7E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2158" w:type="dxa"/>
            <w:shd w:val="clear" w:color="000000" w:fill="FFFFFF"/>
            <w:noWrap/>
            <w:vAlign w:val="center"/>
          </w:tcPr>
          <w:p w14:paraId="15C811BE">
            <w:pPr>
              <w:widowControl/>
              <w:autoSpaceDE/>
              <w:autoSpaceDN/>
              <w:adjustRightInd w:val="0"/>
              <w:snapToGrid w:val="0"/>
              <w:spacing w:line="420" w:lineRule="exact"/>
              <w:jc w:val="center"/>
              <w:rPr>
                <w:rFonts w:hint="eastAsia" w:hAnsi="宋体"/>
                <w:b/>
                <w:bCs/>
                <w:sz w:val="24"/>
                <w:szCs w:val="24"/>
                <w:highlight w:val="none"/>
              </w:rPr>
            </w:pPr>
            <w:r>
              <w:rPr>
                <w:rFonts w:hint="eastAsia" w:hAnsi="宋体"/>
                <w:b/>
                <w:bCs/>
                <w:sz w:val="24"/>
                <w:szCs w:val="24"/>
                <w:highlight w:val="none"/>
              </w:rPr>
              <w:t>故障应急处置（20分）</w:t>
            </w:r>
          </w:p>
        </w:tc>
        <w:tc>
          <w:tcPr>
            <w:tcW w:w="3763" w:type="dxa"/>
            <w:shd w:val="clear" w:color="000000" w:fill="FFFFFF"/>
            <w:vAlign w:val="center"/>
          </w:tcPr>
          <w:p w14:paraId="002A7944">
            <w:pPr>
              <w:widowControl/>
              <w:autoSpaceDE/>
              <w:autoSpaceDN/>
              <w:adjustRightInd w:val="0"/>
              <w:snapToGrid w:val="0"/>
              <w:spacing w:line="420" w:lineRule="exact"/>
              <w:rPr>
                <w:rFonts w:hint="eastAsia" w:hAnsi="宋体"/>
                <w:sz w:val="24"/>
                <w:szCs w:val="24"/>
                <w:highlight w:val="none"/>
              </w:rPr>
            </w:pPr>
            <w:r>
              <w:rPr>
                <w:rFonts w:hint="eastAsia" w:hAnsi="宋体"/>
                <w:sz w:val="24"/>
                <w:szCs w:val="24"/>
                <w:highlight w:val="none"/>
              </w:rPr>
              <w:t>10分钟内响应故障，按时抵达现场；按时限完成故障抢修，优先保障业务畅通；抢修流程规范，做好故障复盘；积极配合协同抢修；响应迟缓扣5分/次；超时修障扣8分/次；处置不当扩大故障扣10分/次。</w:t>
            </w:r>
          </w:p>
        </w:tc>
        <w:tc>
          <w:tcPr>
            <w:tcW w:w="1395" w:type="dxa"/>
            <w:shd w:val="clear" w:color="000000" w:fill="FFFFFF"/>
            <w:noWrap/>
            <w:vAlign w:val="center"/>
          </w:tcPr>
          <w:p w14:paraId="5DA3D5F9">
            <w:pPr>
              <w:widowControl/>
              <w:autoSpaceDE/>
              <w:autoSpaceDN/>
              <w:adjustRightInd w:val="0"/>
              <w:snapToGrid w:val="0"/>
              <w:spacing w:line="420" w:lineRule="exact"/>
              <w:jc w:val="center"/>
              <w:rPr>
                <w:rFonts w:hint="eastAsia" w:hAnsi="宋体"/>
                <w:sz w:val="24"/>
                <w:szCs w:val="24"/>
                <w:highlight w:val="none"/>
              </w:rPr>
            </w:pPr>
          </w:p>
        </w:tc>
        <w:tc>
          <w:tcPr>
            <w:tcW w:w="1382" w:type="dxa"/>
            <w:shd w:val="clear" w:color="auto" w:fill="auto"/>
            <w:noWrap/>
            <w:vAlign w:val="center"/>
          </w:tcPr>
          <w:p w14:paraId="2B2F9F55">
            <w:pPr>
              <w:widowControl/>
              <w:autoSpaceDE/>
              <w:autoSpaceDN/>
              <w:adjustRightInd w:val="0"/>
              <w:snapToGrid w:val="0"/>
              <w:spacing w:line="420" w:lineRule="exact"/>
              <w:jc w:val="center"/>
              <w:rPr>
                <w:rFonts w:hint="eastAsia" w:hAnsi="宋体"/>
                <w:sz w:val="24"/>
                <w:szCs w:val="24"/>
                <w:highlight w:val="none"/>
              </w:rPr>
            </w:pPr>
          </w:p>
        </w:tc>
        <w:tc>
          <w:tcPr>
            <w:tcW w:w="822" w:type="dxa"/>
            <w:shd w:val="clear" w:color="000000" w:fill="FFFFFF"/>
            <w:noWrap/>
            <w:vAlign w:val="center"/>
          </w:tcPr>
          <w:p w14:paraId="20315F32">
            <w:pPr>
              <w:widowControl/>
              <w:autoSpaceDE/>
              <w:autoSpaceDN/>
              <w:adjustRightInd w:val="0"/>
              <w:snapToGrid w:val="0"/>
              <w:spacing w:line="420" w:lineRule="exact"/>
              <w:jc w:val="center"/>
              <w:rPr>
                <w:rFonts w:hint="eastAsia" w:hAnsi="宋体"/>
                <w:sz w:val="24"/>
                <w:szCs w:val="24"/>
                <w:highlight w:val="none"/>
              </w:rPr>
            </w:pPr>
          </w:p>
        </w:tc>
      </w:tr>
      <w:tr w14:paraId="4C6BC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921" w:type="dxa"/>
            <w:gridSpan w:val="2"/>
            <w:shd w:val="clear" w:color="000000" w:fill="FFFFFF"/>
            <w:noWrap/>
            <w:vAlign w:val="center"/>
          </w:tcPr>
          <w:p w14:paraId="1289F062">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总计</w:t>
            </w:r>
          </w:p>
        </w:tc>
        <w:tc>
          <w:tcPr>
            <w:tcW w:w="3599" w:type="dxa"/>
            <w:gridSpan w:val="3"/>
            <w:shd w:val="clear" w:color="000000" w:fill="FFFFFF"/>
            <w:noWrap/>
            <w:vAlign w:val="center"/>
          </w:tcPr>
          <w:p w14:paraId="3AF35E7F">
            <w:pPr>
              <w:widowControl/>
              <w:autoSpaceDE/>
              <w:autoSpaceDN/>
              <w:adjustRightInd w:val="0"/>
              <w:snapToGrid w:val="0"/>
              <w:spacing w:line="420" w:lineRule="exact"/>
              <w:ind w:right="480"/>
              <w:jc w:val="center"/>
              <w:rPr>
                <w:rFonts w:hAnsi="宋体"/>
                <w:b/>
                <w:bCs/>
                <w:sz w:val="24"/>
                <w:szCs w:val="24"/>
                <w:highlight w:val="none"/>
              </w:rPr>
            </w:pPr>
            <w:r>
              <w:rPr>
                <w:rFonts w:hint="eastAsia" w:hAnsi="宋体"/>
                <w:b/>
                <w:bCs/>
                <w:sz w:val="24"/>
                <w:szCs w:val="24"/>
                <w:highlight w:val="none"/>
              </w:rPr>
              <w:t>100分</w:t>
            </w:r>
          </w:p>
        </w:tc>
      </w:tr>
      <w:tr w14:paraId="3617D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exact"/>
          <w:jc w:val="center"/>
        </w:trPr>
        <w:tc>
          <w:tcPr>
            <w:tcW w:w="2158" w:type="dxa"/>
            <w:vMerge w:val="restart"/>
            <w:shd w:val="clear" w:color="000000" w:fill="FFFFFF"/>
            <w:vAlign w:val="center"/>
          </w:tcPr>
          <w:p w14:paraId="733BA203">
            <w:pPr>
              <w:widowControl/>
              <w:autoSpaceDE/>
              <w:autoSpaceDN/>
              <w:adjustRightInd w:val="0"/>
              <w:snapToGrid w:val="0"/>
              <w:spacing w:line="420" w:lineRule="exact"/>
              <w:jc w:val="center"/>
              <w:rPr>
                <w:rFonts w:hAnsi="宋体"/>
                <w:b/>
                <w:bCs/>
                <w:sz w:val="24"/>
                <w:szCs w:val="24"/>
                <w:highlight w:val="none"/>
                <w:lang w:val="en-US"/>
              </w:rPr>
            </w:pPr>
            <w:r>
              <w:rPr>
                <w:rFonts w:hint="eastAsia" w:hAnsi="宋体"/>
                <w:b/>
                <w:bCs/>
                <w:sz w:val="24"/>
                <w:szCs w:val="24"/>
                <w:highlight w:val="none"/>
              </w:rPr>
              <w:t>甲方签字</w:t>
            </w:r>
          </w:p>
        </w:tc>
        <w:tc>
          <w:tcPr>
            <w:tcW w:w="7362" w:type="dxa"/>
            <w:gridSpan w:val="4"/>
            <w:vMerge w:val="restart"/>
            <w:shd w:val="clear" w:color="000000" w:fill="FFFFFF"/>
            <w:noWrap/>
            <w:vAlign w:val="center"/>
          </w:tcPr>
          <w:p w14:paraId="5376CDE4">
            <w:pPr>
              <w:widowControl/>
              <w:autoSpaceDE/>
              <w:autoSpaceDN/>
              <w:adjustRightInd w:val="0"/>
              <w:snapToGrid w:val="0"/>
              <w:spacing w:line="420" w:lineRule="exact"/>
              <w:jc w:val="center"/>
              <w:rPr>
                <w:rFonts w:hAnsi="宋体"/>
                <w:b/>
                <w:bCs/>
                <w:sz w:val="24"/>
                <w:szCs w:val="24"/>
                <w:highlight w:val="none"/>
              </w:rPr>
            </w:pPr>
          </w:p>
        </w:tc>
      </w:tr>
      <w:tr w14:paraId="150D8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exact"/>
          <w:jc w:val="center"/>
        </w:trPr>
        <w:tc>
          <w:tcPr>
            <w:tcW w:w="2158" w:type="dxa"/>
            <w:vMerge w:val="continue"/>
            <w:vAlign w:val="center"/>
          </w:tcPr>
          <w:p w14:paraId="18F55306">
            <w:pPr>
              <w:widowControl/>
              <w:autoSpaceDE/>
              <w:autoSpaceDN/>
              <w:adjustRightInd w:val="0"/>
              <w:snapToGrid w:val="0"/>
              <w:spacing w:line="420" w:lineRule="exact"/>
              <w:rPr>
                <w:rFonts w:hAnsi="宋体"/>
                <w:b/>
                <w:bCs/>
                <w:sz w:val="24"/>
                <w:szCs w:val="24"/>
                <w:highlight w:val="none"/>
              </w:rPr>
            </w:pPr>
          </w:p>
        </w:tc>
        <w:tc>
          <w:tcPr>
            <w:tcW w:w="7362" w:type="dxa"/>
            <w:gridSpan w:val="4"/>
            <w:vMerge w:val="continue"/>
            <w:vAlign w:val="center"/>
          </w:tcPr>
          <w:p w14:paraId="09B47E49">
            <w:pPr>
              <w:widowControl/>
              <w:autoSpaceDE/>
              <w:autoSpaceDN/>
              <w:adjustRightInd w:val="0"/>
              <w:snapToGrid w:val="0"/>
              <w:spacing w:line="420" w:lineRule="exact"/>
              <w:rPr>
                <w:rFonts w:hAnsi="宋体"/>
                <w:b/>
                <w:bCs/>
                <w:sz w:val="24"/>
                <w:szCs w:val="24"/>
                <w:highlight w:val="none"/>
              </w:rPr>
            </w:pPr>
          </w:p>
        </w:tc>
      </w:tr>
      <w:tr w14:paraId="05B7D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exact"/>
          <w:jc w:val="center"/>
        </w:trPr>
        <w:tc>
          <w:tcPr>
            <w:tcW w:w="2158" w:type="dxa"/>
            <w:vMerge w:val="continue"/>
            <w:vAlign w:val="center"/>
          </w:tcPr>
          <w:p w14:paraId="4223B628">
            <w:pPr>
              <w:widowControl/>
              <w:autoSpaceDE/>
              <w:autoSpaceDN/>
              <w:adjustRightInd w:val="0"/>
              <w:snapToGrid w:val="0"/>
              <w:spacing w:line="420" w:lineRule="exact"/>
              <w:rPr>
                <w:rFonts w:hAnsi="宋体"/>
                <w:b/>
                <w:bCs/>
                <w:sz w:val="24"/>
                <w:szCs w:val="24"/>
                <w:highlight w:val="none"/>
              </w:rPr>
            </w:pPr>
          </w:p>
        </w:tc>
        <w:tc>
          <w:tcPr>
            <w:tcW w:w="7362" w:type="dxa"/>
            <w:gridSpan w:val="4"/>
            <w:vMerge w:val="continue"/>
            <w:vAlign w:val="center"/>
          </w:tcPr>
          <w:p w14:paraId="2BD6AE33">
            <w:pPr>
              <w:widowControl/>
              <w:autoSpaceDE/>
              <w:autoSpaceDN/>
              <w:adjustRightInd w:val="0"/>
              <w:snapToGrid w:val="0"/>
              <w:spacing w:line="420" w:lineRule="exact"/>
              <w:rPr>
                <w:rFonts w:hAnsi="宋体"/>
                <w:b/>
                <w:bCs/>
                <w:sz w:val="24"/>
                <w:szCs w:val="24"/>
                <w:highlight w:val="none"/>
              </w:rPr>
            </w:pPr>
          </w:p>
        </w:tc>
      </w:tr>
      <w:tr w14:paraId="20397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exact"/>
          <w:jc w:val="center"/>
        </w:trPr>
        <w:tc>
          <w:tcPr>
            <w:tcW w:w="2158" w:type="dxa"/>
            <w:shd w:val="clear" w:color="000000" w:fill="FFFFFF"/>
            <w:vAlign w:val="center"/>
          </w:tcPr>
          <w:p w14:paraId="0FFAA461">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乙方签字</w:t>
            </w:r>
          </w:p>
        </w:tc>
        <w:tc>
          <w:tcPr>
            <w:tcW w:w="7362" w:type="dxa"/>
            <w:gridSpan w:val="4"/>
            <w:shd w:val="clear" w:color="000000" w:fill="FFFFFF"/>
            <w:noWrap/>
            <w:vAlign w:val="bottom"/>
          </w:tcPr>
          <w:p w14:paraId="3FEB31D9">
            <w:pPr>
              <w:widowControl/>
              <w:autoSpaceDE/>
              <w:autoSpaceDN/>
              <w:adjustRightInd w:val="0"/>
              <w:snapToGrid w:val="0"/>
              <w:spacing w:line="420" w:lineRule="exact"/>
              <w:jc w:val="right"/>
              <w:rPr>
                <w:rFonts w:hAnsi="宋体"/>
                <w:b/>
                <w:bCs/>
                <w:sz w:val="24"/>
                <w:szCs w:val="24"/>
                <w:highlight w:val="none"/>
              </w:rPr>
            </w:pPr>
          </w:p>
        </w:tc>
      </w:tr>
    </w:tbl>
    <w:p w14:paraId="1FD6C218">
      <w:pPr>
        <w:pStyle w:val="40"/>
        <w:autoSpaceDE/>
        <w:autoSpaceDN/>
        <w:adjustRightInd w:val="0"/>
        <w:snapToGrid w:val="0"/>
        <w:spacing w:line="420" w:lineRule="exact"/>
        <w:ind w:firstLine="480"/>
        <w:rPr>
          <w:rFonts w:hAnsi="宋体"/>
          <w:kern w:val="2"/>
          <w:szCs w:val="24"/>
          <w:highlight w:val="none"/>
          <w:lang w:val="en-US"/>
        </w:rPr>
      </w:pPr>
      <w:r>
        <w:rPr>
          <w:rFonts w:hint="eastAsia" w:hAnsi="宋体"/>
          <w:kern w:val="2"/>
          <w:szCs w:val="24"/>
          <w:highlight w:val="none"/>
          <w:lang w:val="en-US"/>
        </w:rPr>
        <w:t>1、总分数不超过100分。</w:t>
      </w:r>
    </w:p>
    <w:p w14:paraId="7B3E2CEA">
      <w:pPr>
        <w:pStyle w:val="40"/>
        <w:autoSpaceDE/>
        <w:autoSpaceDN/>
        <w:adjustRightInd w:val="0"/>
        <w:snapToGrid w:val="0"/>
        <w:spacing w:line="420" w:lineRule="exact"/>
        <w:ind w:firstLine="480"/>
        <w:rPr>
          <w:rFonts w:hint="eastAsia" w:hAnsi="宋体"/>
          <w:kern w:val="2"/>
          <w:szCs w:val="24"/>
          <w:highlight w:val="none"/>
          <w:lang w:val="en-US"/>
        </w:rPr>
      </w:pPr>
      <w:r>
        <w:rPr>
          <w:rFonts w:hint="eastAsia" w:hAnsi="宋体"/>
          <w:kern w:val="2"/>
          <w:szCs w:val="24"/>
          <w:highlight w:val="none"/>
          <w:lang w:val="en-US"/>
        </w:rPr>
        <w:t>2、</w:t>
      </w:r>
      <w:r>
        <w:rPr>
          <w:rFonts w:hint="eastAsia" w:hAnsi="宋体"/>
          <w:kern w:val="2"/>
          <w:szCs w:val="24"/>
          <w:highlight w:val="none"/>
        </w:rPr>
        <w:t>月度考核得分低于90分，扣除本月驻场人员费用的</w:t>
      </w:r>
      <w:r>
        <w:rPr>
          <w:rFonts w:hint="eastAsia" w:hAnsi="宋体"/>
          <w:kern w:val="2"/>
          <w:szCs w:val="24"/>
          <w:highlight w:val="none"/>
          <w:lang w:val="en-US"/>
        </w:rPr>
        <w:t>10</w:t>
      </w:r>
      <w:r>
        <w:rPr>
          <w:rFonts w:hint="eastAsia" w:hAnsi="宋体"/>
          <w:kern w:val="2"/>
          <w:szCs w:val="24"/>
          <w:highlight w:val="none"/>
        </w:rPr>
        <w:t>%；低于</w:t>
      </w:r>
      <w:r>
        <w:rPr>
          <w:rFonts w:hint="eastAsia" w:hAnsi="宋体"/>
          <w:kern w:val="2"/>
          <w:szCs w:val="24"/>
          <w:highlight w:val="none"/>
          <w:lang w:val="en-US"/>
        </w:rPr>
        <w:t>85</w:t>
      </w:r>
      <w:r>
        <w:rPr>
          <w:rFonts w:hint="eastAsia" w:hAnsi="宋体"/>
          <w:kern w:val="2"/>
          <w:szCs w:val="24"/>
          <w:highlight w:val="none"/>
        </w:rPr>
        <w:t>分，扣除本月驻场人员费用的</w:t>
      </w:r>
      <w:r>
        <w:rPr>
          <w:rFonts w:hint="eastAsia" w:hAnsi="宋体"/>
          <w:kern w:val="2"/>
          <w:szCs w:val="24"/>
          <w:highlight w:val="none"/>
          <w:lang w:val="en-US"/>
        </w:rPr>
        <w:t>20</w:t>
      </w:r>
      <w:r>
        <w:rPr>
          <w:rFonts w:hint="eastAsia" w:hAnsi="宋体"/>
          <w:kern w:val="2"/>
          <w:szCs w:val="24"/>
          <w:highlight w:val="none"/>
        </w:rPr>
        <w:t>%；低于</w:t>
      </w:r>
      <w:r>
        <w:rPr>
          <w:rFonts w:hint="eastAsia" w:hAnsi="宋体"/>
          <w:kern w:val="2"/>
          <w:szCs w:val="24"/>
          <w:highlight w:val="none"/>
          <w:lang w:val="en-US"/>
        </w:rPr>
        <w:t>80</w:t>
      </w:r>
      <w:r>
        <w:rPr>
          <w:rFonts w:hint="eastAsia" w:hAnsi="宋体"/>
          <w:kern w:val="2"/>
          <w:szCs w:val="24"/>
          <w:highlight w:val="none"/>
        </w:rPr>
        <w:t>分，扣除本月驻场人员费用的</w:t>
      </w:r>
      <w:r>
        <w:rPr>
          <w:rFonts w:hint="eastAsia" w:hAnsi="宋体"/>
          <w:kern w:val="2"/>
          <w:szCs w:val="24"/>
          <w:highlight w:val="none"/>
          <w:lang w:val="en-US"/>
        </w:rPr>
        <w:t>30</w:t>
      </w:r>
      <w:r>
        <w:rPr>
          <w:rFonts w:hint="eastAsia" w:hAnsi="宋体"/>
          <w:kern w:val="2"/>
          <w:szCs w:val="24"/>
          <w:highlight w:val="none"/>
        </w:rPr>
        <w:t>%；低于</w:t>
      </w:r>
      <w:r>
        <w:rPr>
          <w:rFonts w:hint="eastAsia" w:hAnsi="宋体"/>
          <w:kern w:val="2"/>
          <w:szCs w:val="24"/>
          <w:highlight w:val="none"/>
          <w:lang w:val="en-US"/>
        </w:rPr>
        <w:t>75</w:t>
      </w:r>
      <w:r>
        <w:rPr>
          <w:rFonts w:hint="eastAsia" w:hAnsi="宋体"/>
          <w:kern w:val="2"/>
          <w:szCs w:val="24"/>
          <w:highlight w:val="none"/>
        </w:rPr>
        <w:t>分，约谈调岗或更换驻场服务人员</w:t>
      </w:r>
      <w:r>
        <w:rPr>
          <w:rFonts w:hint="eastAsia" w:hAnsi="宋体"/>
          <w:kern w:val="2"/>
          <w:szCs w:val="24"/>
          <w:highlight w:val="none"/>
          <w:lang w:val="en-US"/>
        </w:rPr>
        <w:t>。</w:t>
      </w:r>
    </w:p>
    <w:p w14:paraId="3FC9B66E">
      <w:pPr>
        <w:autoSpaceDE/>
        <w:autoSpaceDN/>
        <w:adjustRightInd w:val="0"/>
        <w:snapToGrid w:val="0"/>
        <w:spacing w:line="420" w:lineRule="exact"/>
        <w:ind w:firstLine="480" w:firstLineChars="200"/>
        <w:rPr>
          <w:rFonts w:hint="eastAsia" w:hAnsi="宋体"/>
          <w:sz w:val="24"/>
          <w:szCs w:val="24"/>
          <w:highlight w:val="none"/>
        </w:rPr>
      </w:pPr>
    </w:p>
    <w:p w14:paraId="6F6703F9">
      <w:pPr>
        <w:autoSpaceDE/>
        <w:autoSpaceDN/>
        <w:adjustRightInd w:val="0"/>
        <w:snapToGrid w:val="0"/>
        <w:spacing w:line="420" w:lineRule="exact"/>
        <w:ind w:firstLine="480" w:firstLineChars="200"/>
        <w:rPr>
          <w:rFonts w:hAnsi="宋体"/>
          <w:sz w:val="24"/>
          <w:szCs w:val="24"/>
          <w:highlight w:val="none"/>
        </w:rPr>
      </w:pPr>
      <w:r>
        <w:rPr>
          <w:rFonts w:hint="eastAsia" w:hAnsi="宋体"/>
          <w:sz w:val="24"/>
          <w:szCs w:val="24"/>
          <w:highlight w:val="none"/>
        </w:rPr>
        <w:t>（二）服务质量保证及处罚</w:t>
      </w:r>
    </w:p>
    <w:p w14:paraId="40D0A817">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rPr>
        <w:t>1、合同签订30天内以及合同履行期内每季度，甲方不定期对中标单位投标时的各项响应进行抽查，如发现不能满足响应的，扣除年度服务金额的10%。</w:t>
      </w:r>
    </w:p>
    <w:p w14:paraId="54B4A161">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lang w:val="en-US"/>
        </w:rPr>
        <w:t>2</w:t>
      </w:r>
      <w:r>
        <w:rPr>
          <w:rFonts w:hint="eastAsia" w:hAnsi="宋体"/>
          <w:kern w:val="2"/>
          <w:szCs w:val="24"/>
          <w:highlight w:val="none"/>
        </w:rPr>
        <w:t>、中标单位的驻场值守人员得不到采购人认可或中途变更驻场值守人员（未得到采购人确认），扣除年度服务金额的10%。</w:t>
      </w:r>
    </w:p>
    <w:p w14:paraId="27EECA4B">
      <w:pPr>
        <w:autoSpaceDE/>
        <w:autoSpaceDN/>
        <w:adjustRightInd w:val="0"/>
        <w:snapToGrid w:val="0"/>
        <w:spacing w:line="420" w:lineRule="exact"/>
        <w:ind w:firstLine="440" w:firstLineChars="200"/>
        <w:rPr>
          <w:rFonts w:hAnsi="宋体"/>
          <w:sz w:val="24"/>
          <w:szCs w:val="24"/>
          <w:highlight w:val="none"/>
        </w:rPr>
      </w:pPr>
      <w:r>
        <w:rPr>
          <w:rFonts w:hint="eastAsia" w:hAnsi="宋体"/>
          <w:kern w:val="2"/>
          <w:szCs w:val="24"/>
          <w:highlight w:val="none"/>
          <w:lang w:val="en-US"/>
        </w:rPr>
        <w:t>3</w:t>
      </w:r>
      <w:r>
        <w:rPr>
          <w:rFonts w:hint="eastAsia" w:hAnsi="宋体"/>
          <w:kern w:val="2"/>
          <w:szCs w:val="24"/>
          <w:highlight w:val="none"/>
        </w:rPr>
        <w:t>、被使用一次一票否决项，扣除年度服务金额的25%。</w:t>
      </w:r>
    </w:p>
    <w:p w14:paraId="69A6FD20">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rPr>
        <w:t>除法律规定的不可抗力因素导致的风险和损失外，中标单位承担江苏省公安厅厅交管总队指挥中心、会议室及相关通信支撑系统维保范围内出现的局部乃至全局性风险所造成的直接和间接损失。</w:t>
      </w:r>
    </w:p>
    <w:p w14:paraId="7BA4442E">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rPr>
        <w:t>1、承担维护保障不力，导致系统意外停机，业务中断风险。</w:t>
      </w:r>
    </w:p>
    <w:p w14:paraId="155B0DFA">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rPr>
        <w:t>2、承担信息安全保障不力，导致的数据损坏，丢失风险。</w:t>
      </w:r>
    </w:p>
    <w:p w14:paraId="2193EA31">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rPr>
        <w:t>3、承担病毒防护，保密，数据泄露等系统安全风险。</w:t>
      </w:r>
    </w:p>
    <w:p w14:paraId="2CBD8453">
      <w:pPr>
        <w:autoSpaceDE/>
        <w:autoSpaceDN/>
        <w:adjustRightInd w:val="0"/>
        <w:snapToGrid w:val="0"/>
        <w:spacing w:line="420" w:lineRule="exact"/>
        <w:ind w:firstLine="480" w:firstLineChars="200"/>
        <w:rPr>
          <w:rFonts w:hAnsi="宋体"/>
          <w:color w:val="FF0000"/>
          <w:kern w:val="2"/>
          <w:sz w:val="24"/>
          <w:szCs w:val="24"/>
          <w:highlight w:val="none"/>
          <w:lang w:val="en-US" w:bidi="ar-SA"/>
        </w:rPr>
      </w:pPr>
      <w:r>
        <w:rPr>
          <w:rFonts w:hint="eastAsia" w:hAnsi="宋体"/>
          <w:kern w:val="2"/>
          <w:sz w:val="24"/>
          <w:szCs w:val="24"/>
          <w:highlight w:val="none"/>
          <w:lang w:val="en-US" w:bidi="ar-SA"/>
        </w:rPr>
        <w:t>除法律规定的不可抗力因素外，如果在维保服务期内出现无法按时有效修复的故障，中标单位应承担相关设施设备软硬件系统更换的风险，保障本项目所有运维服务期间、运维范围内设施设备及软硬件系统的正常稳定使用。如未按要求提供运维服务并造负面影响的，江苏省公安厅交通管理总队有权视情终止服务合同，追究中标单位相关责任，并由中标单位承担总队运维中断期间所产生的所有运维费用支出。</w:t>
      </w:r>
    </w:p>
    <w:p w14:paraId="3618BABA">
      <w:pPr>
        <w:autoSpaceDE/>
        <w:autoSpaceDN/>
        <w:adjustRightInd w:val="0"/>
        <w:snapToGrid w:val="0"/>
        <w:spacing w:line="420" w:lineRule="exact"/>
        <w:ind w:firstLine="482" w:firstLineChars="200"/>
        <w:rPr>
          <w:rFonts w:hAnsi="宋体"/>
          <w:b/>
          <w:bCs/>
          <w:kern w:val="2"/>
          <w:sz w:val="24"/>
          <w:szCs w:val="24"/>
          <w:highlight w:val="none"/>
          <w:lang w:val="en-US" w:bidi="ar-SA"/>
        </w:rPr>
      </w:pPr>
      <w:r>
        <w:rPr>
          <w:rFonts w:hint="eastAsia" w:hAnsi="宋体"/>
          <w:b/>
          <w:bCs/>
          <w:kern w:val="2"/>
          <w:sz w:val="24"/>
          <w:szCs w:val="24"/>
          <w:highlight w:val="none"/>
          <w:lang w:val="en-US" w:bidi="ar-SA"/>
        </w:rPr>
        <w:t>五、运维服务方案要求</w:t>
      </w:r>
    </w:p>
    <w:p w14:paraId="35B8F6A6">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（一）设备维保方案</w:t>
      </w:r>
    </w:p>
    <w:p w14:paraId="553F3AD6">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 xml:space="preserve">投标人应根据本项目设备维保要求及项目实际，有针对性的制定设备维保方案。要建立运维设备、系统清单台账，明确运维服务流程及方法，制定设备运行保障、维修、更换方案，通过分析设备、系统出现的问题和设备性能瓶颈，提出优化措施，确保设备、系统稳定运行。     </w:t>
      </w:r>
    </w:p>
    <w:p w14:paraId="5478EEC1">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（二）日常巡检方案</w:t>
      </w:r>
    </w:p>
    <w:p w14:paraId="33A98AFD">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投标人应根据本项目日常巡检要求及项目实际，有针对性的制定日常巡检方案。方案应包括从硬件、软件、网络、连通等方面开展常态化巡检的流程及计划，对标书内所有维保设备建立设备档案及标签化管理，每日硬件设备巡检次数、检查范围及运行环境等，每日维保范围内的配套软件系统巡检次数、检查范围及运行情况，做好每日巡检记录，包括硬件和软件检查两个部分及详细内容，每月向用户提交本月设备运行详细质态报告等。</w:t>
      </w:r>
    </w:p>
    <w:p w14:paraId="0C097220">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（三）设备故障处理方案</w:t>
      </w:r>
    </w:p>
    <w:p w14:paraId="1EB8AB8B">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投标人应根据本项目设备故障处理的要求及项目实际，有针对性的制定设备故障处理方案。方案应包括在设备、系统运行维护过程中遇设备故障（及潜在问题）处理的流程和方法；如无相关零件，处理的流程及时限；如现场无法修复，处理的流程及时限，并建立设备故障处理的档案。</w:t>
      </w:r>
    </w:p>
    <w:p w14:paraId="1B3EA090">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（四）重大任务保障支撑方案</w:t>
      </w:r>
    </w:p>
    <w:p w14:paraId="3F3676EE">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投标人应根据本项目重大任务保障支撑的要求及项目实际，有针对性的制定方案。方案应包括重大任务前的保障计划和人员安排，结合重大任务保障要求制定针对性维护保障方案及相关系统的联调联测计划，重大任务保障期间的应急处置方案。</w:t>
      </w:r>
    </w:p>
    <w:p w14:paraId="54D366F7">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（五）技术支撑方案</w:t>
      </w:r>
    </w:p>
    <w:p w14:paraId="024FE6CD">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投标人应根据本项目技术支撑的要求及项目实际，有针对性的制定方案。方案应包括在遇到用户计划实施重要的项目（如设备迁移、升级、联网、业务合并或拓展等）时的计划和方案，提供相应的技术支持和技术建议，直至硬件设备、软件系统调整结束。</w:t>
      </w:r>
    </w:p>
    <w:p w14:paraId="48100236">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（六）驻场值守人员管理方案</w:t>
      </w:r>
    </w:p>
    <w:p w14:paraId="6C441EE4">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投标人应根据本项目驻场值守人员管理的要求及项目实际，有针对性的制定方案。方案应包括在制定人员管理、培训、更换方案，科学规划本次维保服务项目，组织协调设备原厂商、运维服务厂商及其他各相关单位更好的开展服务，明确各方职责、厘清各方关系，全面把控项目管理风险，投标人运维团队分工明确，具备相关条件要求，为项目现场技术服务提供全过程业务咨询等综合服务，建设完善的管理体系。</w:t>
      </w:r>
    </w:p>
    <w:p w14:paraId="773332CB">
      <w:pPr>
        <w:autoSpaceDE/>
        <w:autoSpaceDN/>
        <w:adjustRightInd w:val="0"/>
        <w:snapToGrid w:val="0"/>
        <w:spacing w:line="420" w:lineRule="exact"/>
        <w:ind w:firstLine="480" w:firstLineChars="200"/>
        <w:rPr>
          <w:rFonts w:hAnsi="宋体"/>
          <w:kern w:val="2"/>
          <w:sz w:val="24"/>
          <w:szCs w:val="24"/>
          <w:highlight w:val="none"/>
          <w:lang w:val="en-US" w:bidi="ar-SA"/>
        </w:rPr>
      </w:pPr>
      <w:r>
        <w:rPr>
          <w:rFonts w:hint="eastAsia" w:hAnsi="宋体"/>
          <w:kern w:val="2"/>
          <w:sz w:val="24"/>
          <w:szCs w:val="24"/>
          <w:highlight w:val="none"/>
          <w:lang w:val="en-US" w:bidi="ar-SA"/>
        </w:rPr>
        <w:t>（七）保密工作实施方案</w:t>
      </w:r>
    </w:p>
    <w:p w14:paraId="7F15C9F8">
      <w:pPr>
        <w:autoSpaceDE/>
        <w:autoSpaceDN/>
        <w:adjustRightInd w:val="0"/>
        <w:snapToGrid w:val="0"/>
        <w:spacing w:line="420" w:lineRule="exact"/>
        <w:ind w:firstLine="480" w:firstLineChars="200"/>
        <w:rPr>
          <w:rFonts w:hAnsi="宋体"/>
          <w:kern w:val="2"/>
          <w:sz w:val="24"/>
          <w:szCs w:val="24"/>
          <w:highlight w:val="none"/>
        </w:rPr>
      </w:pPr>
      <w:r>
        <w:rPr>
          <w:rFonts w:hint="eastAsia" w:hAnsi="宋体"/>
          <w:kern w:val="2"/>
          <w:sz w:val="24"/>
          <w:szCs w:val="24"/>
          <w:highlight w:val="none"/>
          <w:lang w:val="en-US" w:bidi="ar-SA"/>
        </w:rPr>
        <w:t>投标人服务期内必须遵守采购人相关安全保密规定，制定有针对性的保密工作实施方案，包括但不限于保密制度、人员审查预备案、保密教育与承诺、现场行为规范管理等。</w:t>
      </w:r>
    </w:p>
    <w:p w14:paraId="59CA6B96">
      <w:pPr>
        <w:pStyle w:val="26"/>
        <w:autoSpaceDE/>
        <w:autoSpaceDN/>
        <w:adjustRightInd w:val="0"/>
        <w:snapToGrid w:val="0"/>
        <w:spacing w:line="420" w:lineRule="exact"/>
        <w:ind w:left="0" w:firstLine="482" w:firstLineChars="200"/>
        <w:rPr>
          <w:rFonts w:hAnsi="宋体"/>
          <w:b/>
          <w:bCs/>
          <w:sz w:val="24"/>
          <w:szCs w:val="24"/>
          <w:highlight w:val="none"/>
        </w:rPr>
      </w:pPr>
      <w:r>
        <w:rPr>
          <w:rFonts w:hint="eastAsia" w:hAnsi="宋体"/>
          <w:b/>
          <w:bCs/>
          <w:sz w:val="24"/>
          <w:szCs w:val="24"/>
          <w:highlight w:val="none"/>
        </w:rPr>
        <w:t>六、付款方式及时间要求</w:t>
      </w:r>
    </w:p>
    <w:p w14:paraId="1514CBA6">
      <w:pPr>
        <w:autoSpaceDE/>
        <w:autoSpaceDN/>
        <w:adjustRightInd w:val="0"/>
        <w:snapToGrid w:val="0"/>
        <w:spacing w:line="420" w:lineRule="exact"/>
        <w:ind w:firstLine="482" w:firstLineChars="200"/>
        <w:rPr>
          <w:rFonts w:hAnsi="宋体"/>
          <w:b/>
          <w:bCs/>
          <w:sz w:val="24"/>
          <w:szCs w:val="24"/>
          <w:highlight w:val="none"/>
        </w:rPr>
      </w:pPr>
      <w:r>
        <w:rPr>
          <w:rFonts w:hint="eastAsia" w:hAnsi="宋体"/>
          <w:b/>
          <w:bCs/>
          <w:sz w:val="24"/>
          <w:szCs w:val="24"/>
          <w:highlight w:val="none"/>
        </w:rPr>
        <w:t>（一）响应报价</w:t>
      </w:r>
    </w:p>
    <w:p w14:paraId="7EED807D">
      <w:pPr>
        <w:autoSpaceDE/>
        <w:autoSpaceDN/>
        <w:adjustRightInd w:val="0"/>
        <w:snapToGrid w:val="0"/>
        <w:spacing w:line="420" w:lineRule="exact"/>
        <w:ind w:firstLine="480" w:firstLineChars="200"/>
        <w:rPr>
          <w:rFonts w:hAnsi="宋体"/>
          <w:sz w:val="24"/>
          <w:szCs w:val="24"/>
          <w:highlight w:val="none"/>
        </w:rPr>
      </w:pPr>
      <w:r>
        <w:rPr>
          <w:rFonts w:hint="eastAsia" w:hAnsi="宋体"/>
          <w:sz w:val="24"/>
          <w:szCs w:val="24"/>
          <w:highlight w:val="none"/>
          <w:lang w:val="en-US"/>
        </w:rPr>
        <w:t>1、</w:t>
      </w:r>
      <w:r>
        <w:rPr>
          <w:rFonts w:hint="eastAsia" w:hAnsi="宋体"/>
          <w:sz w:val="24"/>
          <w:szCs w:val="24"/>
          <w:highlight w:val="none"/>
        </w:rPr>
        <w:t>报价为全包费用报价，报价应是本招标文件所包含确定的全部工作内容及本招标文件未说明但完成该项目必须包含的所有全包费用的价格体现。供应商的任何错漏、优惠、竞争性报价不得作为减轻责任、减少服务、增加收费、降低质量的理由。在项目验收过程中，如发现有漏项、缺件，卖方应无条件、无偿补齐，所发生的一切费用，视为已包含在卖方的最终投标报价中。</w:t>
      </w:r>
    </w:p>
    <w:p w14:paraId="4DC95671">
      <w:pPr>
        <w:autoSpaceDE/>
        <w:autoSpaceDN/>
        <w:adjustRightInd w:val="0"/>
        <w:snapToGrid w:val="0"/>
        <w:spacing w:line="420" w:lineRule="exact"/>
        <w:ind w:firstLine="480" w:firstLineChars="200"/>
        <w:rPr>
          <w:rFonts w:hAnsi="宋体"/>
          <w:sz w:val="24"/>
          <w:szCs w:val="24"/>
          <w:highlight w:val="none"/>
        </w:rPr>
      </w:pPr>
      <w:r>
        <w:rPr>
          <w:rFonts w:hint="eastAsia" w:hAnsi="宋体"/>
          <w:sz w:val="24"/>
          <w:szCs w:val="24"/>
          <w:highlight w:val="none"/>
          <w:lang w:val="en-US"/>
        </w:rPr>
        <w:t>2、</w:t>
      </w:r>
      <w:r>
        <w:rPr>
          <w:rFonts w:hint="eastAsia" w:hAnsi="宋体"/>
          <w:sz w:val="24"/>
          <w:szCs w:val="24"/>
          <w:highlight w:val="none"/>
        </w:rPr>
        <w:t>投标报价以人民币元为单位报价。</w:t>
      </w:r>
    </w:p>
    <w:p w14:paraId="75CF1D85">
      <w:pPr>
        <w:autoSpaceDE/>
        <w:autoSpaceDN/>
        <w:adjustRightInd w:val="0"/>
        <w:snapToGrid w:val="0"/>
        <w:spacing w:line="420" w:lineRule="exact"/>
        <w:ind w:firstLine="482" w:firstLineChars="200"/>
        <w:rPr>
          <w:rFonts w:hAnsi="宋体"/>
          <w:b/>
          <w:bCs/>
          <w:sz w:val="24"/>
          <w:szCs w:val="24"/>
          <w:highlight w:val="none"/>
        </w:rPr>
      </w:pPr>
      <w:r>
        <w:rPr>
          <w:rFonts w:hint="eastAsia" w:hAnsi="宋体"/>
          <w:b/>
          <w:bCs/>
          <w:sz w:val="24"/>
          <w:szCs w:val="24"/>
          <w:highlight w:val="none"/>
        </w:rPr>
        <w:t>（二）服务时间</w:t>
      </w:r>
    </w:p>
    <w:p w14:paraId="5C5818B7">
      <w:pPr>
        <w:autoSpaceDE/>
        <w:autoSpaceDN/>
        <w:adjustRightInd w:val="0"/>
        <w:snapToGrid w:val="0"/>
        <w:spacing w:line="420" w:lineRule="exact"/>
        <w:ind w:firstLine="480" w:firstLineChars="200"/>
        <w:rPr>
          <w:rFonts w:hAnsi="宋体"/>
          <w:sz w:val="24"/>
          <w:szCs w:val="24"/>
          <w:highlight w:val="none"/>
        </w:rPr>
      </w:pPr>
      <w:r>
        <w:rPr>
          <w:rFonts w:hint="eastAsia" w:hAnsi="宋体"/>
          <w:sz w:val="24"/>
          <w:szCs w:val="24"/>
          <w:highlight w:val="none"/>
        </w:rPr>
        <w:t>合同签订之日起3年，根据考核办法，乙方未达到考核要求，甲方有权终止合同。</w:t>
      </w:r>
    </w:p>
    <w:p w14:paraId="3A86FF26">
      <w:pPr>
        <w:autoSpaceDE/>
        <w:autoSpaceDN/>
        <w:adjustRightInd w:val="0"/>
        <w:snapToGrid w:val="0"/>
        <w:spacing w:line="420" w:lineRule="exact"/>
        <w:ind w:firstLine="482" w:firstLineChars="200"/>
        <w:rPr>
          <w:rFonts w:hAnsi="宋体"/>
          <w:b/>
          <w:bCs/>
          <w:sz w:val="24"/>
          <w:szCs w:val="24"/>
          <w:highlight w:val="none"/>
        </w:rPr>
      </w:pPr>
      <w:r>
        <w:rPr>
          <w:rFonts w:hint="eastAsia" w:hAnsi="宋体"/>
          <w:b/>
          <w:bCs/>
          <w:sz w:val="24"/>
          <w:szCs w:val="24"/>
          <w:highlight w:val="none"/>
        </w:rPr>
        <w:t>（三）付款方式</w:t>
      </w:r>
    </w:p>
    <w:p w14:paraId="1E33AFF4">
      <w:pPr>
        <w:autoSpaceDE/>
        <w:autoSpaceDN/>
        <w:adjustRightInd w:val="0"/>
        <w:snapToGrid w:val="0"/>
        <w:spacing w:line="420" w:lineRule="exact"/>
        <w:ind w:firstLine="480" w:firstLineChars="200"/>
        <w:rPr>
          <w:rFonts w:hAnsi="宋体"/>
          <w:sz w:val="24"/>
          <w:szCs w:val="24"/>
          <w:highlight w:val="none"/>
        </w:rPr>
      </w:pPr>
      <w:r>
        <w:rPr>
          <w:rFonts w:hint="eastAsia" w:hAnsi="宋体"/>
          <w:sz w:val="24"/>
          <w:szCs w:val="24"/>
          <w:highlight w:val="none"/>
          <w:lang w:val="en-US"/>
        </w:rPr>
        <w:t>1、</w:t>
      </w:r>
      <w:r>
        <w:rPr>
          <w:rFonts w:hint="eastAsia" w:hAnsi="宋体"/>
          <w:sz w:val="24"/>
          <w:szCs w:val="24"/>
          <w:highlight w:val="none"/>
        </w:rPr>
        <w:t>本项目一招三年，合同一签三年，由采购人按照年度进行支付。</w:t>
      </w:r>
    </w:p>
    <w:p w14:paraId="5AB4423E">
      <w:pPr>
        <w:pStyle w:val="12"/>
        <w:adjustRightInd w:val="0"/>
        <w:snapToGrid w:val="0"/>
        <w:spacing w:before="20" w:after="20" w:line="420" w:lineRule="exact"/>
        <w:ind w:firstLine="480" w:firstLineChars="200"/>
        <w:rPr>
          <w:rFonts w:hAnsi="宋体" w:cs="宋体"/>
          <w:bCs/>
          <w:sz w:val="24"/>
          <w:szCs w:val="24"/>
          <w:highlight w:val="none"/>
        </w:rPr>
      </w:pPr>
      <w:r>
        <w:rPr>
          <w:rFonts w:hint="eastAsia" w:hAnsi="宋体" w:cs="宋体"/>
          <w:bCs/>
          <w:sz w:val="24"/>
          <w:szCs w:val="24"/>
          <w:highlight w:val="none"/>
        </w:rPr>
        <w:t>2、项目中标并签订合同，</w:t>
      </w:r>
      <w:r>
        <w:rPr>
          <w:rFonts w:hint="eastAsia" w:hAnsi="宋体" w:cs="宋体"/>
          <w:sz w:val="24"/>
          <w:szCs w:val="24"/>
          <w:highlight w:val="none"/>
        </w:rPr>
        <w:t>驻场值守人员招标要求到场经甲方确认后30个自然日内，</w:t>
      </w:r>
      <w:r>
        <w:rPr>
          <w:rFonts w:hint="eastAsia" w:hAnsi="宋体" w:cs="宋体"/>
          <w:bCs/>
          <w:sz w:val="24"/>
          <w:szCs w:val="24"/>
          <w:highlight w:val="none"/>
        </w:rPr>
        <w:t>甲方支付合同中年度金额的25%作为预付款，第一年维保期满，甲方应及时组织考核，</w:t>
      </w:r>
      <w:r>
        <w:rPr>
          <w:rFonts w:hint="eastAsia" w:hAnsi="宋体" w:cs="宋体"/>
          <w:sz w:val="24"/>
          <w:szCs w:val="24"/>
          <w:highlight w:val="none"/>
        </w:rPr>
        <w:t>经甲方量化考核合格后30个自然日内，根据考核结果</w:t>
      </w:r>
      <w:r>
        <w:rPr>
          <w:rFonts w:hint="eastAsia" w:hAnsi="宋体" w:cs="宋体"/>
          <w:bCs/>
          <w:sz w:val="24"/>
          <w:szCs w:val="24"/>
          <w:highlight w:val="none"/>
        </w:rPr>
        <w:t>支付第一年维保剩余应付款项；</w:t>
      </w:r>
    </w:p>
    <w:p w14:paraId="6890D00B">
      <w:pPr>
        <w:pStyle w:val="12"/>
        <w:adjustRightInd w:val="0"/>
        <w:snapToGrid w:val="0"/>
        <w:spacing w:before="20" w:after="20" w:line="420" w:lineRule="exact"/>
        <w:ind w:firstLine="480" w:firstLineChars="200"/>
        <w:rPr>
          <w:rFonts w:hAnsi="宋体" w:cs="宋体"/>
          <w:bCs/>
          <w:sz w:val="24"/>
          <w:szCs w:val="24"/>
          <w:highlight w:val="none"/>
        </w:rPr>
      </w:pPr>
      <w:r>
        <w:rPr>
          <w:rFonts w:hint="eastAsia" w:hAnsi="宋体" w:cs="宋体"/>
          <w:bCs/>
          <w:sz w:val="24"/>
          <w:szCs w:val="24"/>
          <w:highlight w:val="none"/>
        </w:rPr>
        <w:t>3、第二年维保开始后</w:t>
      </w:r>
      <w:r>
        <w:rPr>
          <w:rFonts w:hint="eastAsia" w:hAnsi="宋体" w:cs="宋体"/>
          <w:sz w:val="24"/>
          <w:szCs w:val="24"/>
          <w:highlight w:val="none"/>
        </w:rPr>
        <w:t>30个自然日内</w:t>
      </w:r>
      <w:r>
        <w:rPr>
          <w:rFonts w:hint="eastAsia" w:hAnsi="宋体" w:cs="宋体"/>
          <w:bCs/>
          <w:sz w:val="24"/>
          <w:szCs w:val="24"/>
          <w:highlight w:val="none"/>
        </w:rPr>
        <w:t>甲方支付合同中年度金额的25%作为预付款，第二年维保期满，甲方应及时组织考核，</w:t>
      </w:r>
      <w:r>
        <w:rPr>
          <w:rFonts w:hint="eastAsia" w:hAnsi="宋体" w:cs="宋体"/>
          <w:sz w:val="24"/>
          <w:szCs w:val="24"/>
          <w:highlight w:val="none"/>
        </w:rPr>
        <w:t>经甲方量化考核合格后30个自然日内，根据考核结果</w:t>
      </w:r>
      <w:r>
        <w:rPr>
          <w:rFonts w:hint="eastAsia" w:hAnsi="宋体" w:cs="宋体"/>
          <w:bCs/>
          <w:sz w:val="24"/>
          <w:szCs w:val="24"/>
          <w:highlight w:val="none"/>
        </w:rPr>
        <w:t>支付第二年维保剩余应付款项。</w:t>
      </w:r>
    </w:p>
    <w:p w14:paraId="79F3F633">
      <w:pPr>
        <w:pStyle w:val="12"/>
        <w:adjustRightInd w:val="0"/>
        <w:snapToGrid w:val="0"/>
        <w:spacing w:before="20" w:after="20" w:line="420" w:lineRule="exact"/>
        <w:ind w:firstLine="480" w:firstLineChars="200"/>
        <w:rPr>
          <w:rFonts w:hAnsi="宋体" w:cs="宋体"/>
          <w:bCs/>
          <w:sz w:val="24"/>
          <w:szCs w:val="24"/>
          <w:highlight w:val="none"/>
        </w:rPr>
      </w:pPr>
      <w:r>
        <w:rPr>
          <w:rFonts w:hint="eastAsia" w:hAnsi="宋体" w:cs="宋体"/>
          <w:bCs/>
          <w:sz w:val="24"/>
          <w:szCs w:val="24"/>
          <w:highlight w:val="none"/>
        </w:rPr>
        <w:t>4、第三年维保开始后</w:t>
      </w:r>
      <w:r>
        <w:rPr>
          <w:rFonts w:hint="eastAsia" w:hAnsi="宋体" w:cs="宋体"/>
          <w:sz w:val="24"/>
          <w:szCs w:val="24"/>
          <w:highlight w:val="none"/>
        </w:rPr>
        <w:t>30个自然日内</w:t>
      </w:r>
      <w:r>
        <w:rPr>
          <w:rFonts w:hint="eastAsia" w:hAnsi="宋体" w:cs="宋体"/>
          <w:bCs/>
          <w:sz w:val="24"/>
          <w:szCs w:val="24"/>
          <w:highlight w:val="none"/>
        </w:rPr>
        <w:t>甲方支付合同中年度金额的25%作为预付款，第三年维保期满，甲方应及时组织考核，</w:t>
      </w:r>
      <w:r>
        <w:rPr>
          <w:rFonts w:hint="eastAsia" w:hAnsi="宋体" w:cs="宋体"/>
          <w:sz w:val="24"/>
          <w:szCs w:val="24"/>
          <w:highlight w:val="none"/>
        </w:rPr>
        <w:t>经甲方量化考核合格后30个自然日内，根据考核结果</w:t>
      </w:r>
      <w:r>
        <w:rPr>
          <w:rFonts w:hint="eastAsia" w:hAnsi="宋体" w:cs="宋体"/>
          <w:bCs/>
          <w:sz w:val="24"/>
          <w:szCs w:val="24"/>
          <w:highlight w:val="none"/>
        </w:rPr>
        <w:t>支付第三年维保剩余应付款项。</w:t>
      </w:r>
    </w:p>
    <w:p w14:paraId="24F86362">
      <w:pPr>
        <w:pStyle w:val="12"/>
        <w:adjustRightInd w:val="0"/>
        <w:snapToGrid w:val="0"/>
        <w:spacing w:before="20" w:after="20" w:line="420" w:lineRule="exact"/>
        <w:ind w:firstLine="480" w:firstLineChars="200"/>
        <w:rPr>
          <w:rFonts w:hAnsi="宋体" w:cs="宋体"/>
          <w:b/>
          <w:sz w:val="24"/>
          <w:szCs w:val="24"/>
          <w:highlight w:val="none"/>
        </w:rPr>
      </w:pPr>
      <w:r>
        <w:rPr>
          <w:rFonts w:hint="eastAsia" w:hAnsi="宋体" w:cs="宋体"/>
          <w:sz w:val="24"/>
          <w:szCs w:val="24"/>
          <w:highlight w:val="none"/>
        </w:rPr>
        <w:t>5、支付款项金额与考核挂钩，具体详见考核办法。考核结束后，乙方应及时根据考核结果开具发票，甲方应于收到发票15日内及时支付相应费用。如因财政资金拨付不到位等原因，双方可协调延迟付款，甲方不承担违约责任。</w:t>
      </w:r>
      <w:bookmarkEnd w:id="76"/>
      <w:bookmarkEnd w:id="77"/>
      <w:bookmarkEnd w:id="78"/>
      <w:bookmarkEnd w:id="79"/>
    </w:p>
    <w:p w14:paraId="4E8F9B0C">
      <w:pPr>
        <w:autoSpaceDE/>
        <w:autoSpaceDN/>
        <w:adjustRightInd w:val="0"/>
        <w:snapToGrid w:val="0"/>
        <w:spacing w:line="420" w:lineRule="exact"/>
        <w:ind w:firstLine="482" w:firstLineChars="200"/>
        <w:jc w:val="both"/>
        <w:rPr>
          <w:rFonts w:hAnsi="宋体"/>
          <w:b/>
          <w:sz w:val="24"/>
          <w:szCs w:val="24"/>
          <w:highlight w:val="none"/>
          <w:lang w:val="en-US"/>
        </w:rPr>
      </w:pPr>
    </w:p>
    <w:p w14:paraId="349E819A">
      <w:pPr>
        <w:autoSpaceDE/>
        <w:autoSpaceDN/>
        <w:adjustRightInd w:val="0"/>
        <w:snapToGrid w:val="0"/>
        <w:spacing w:line="420" w:lineRule="exact"/>
        <w:ind w:firstLine="482" w:firstLineChars="200"/>
        <w:jc w:val="both"/>
        <w:rPr>
          <w:b/>
          <w:sz w:val="28"/>
          <w:szCs w:val="28"/>
          <w:highlight w:val="none"/>
          <w:lang w:val="en-US"/>
        </w:rPr>
      </w:pPr>
      <w:r>
        <w:rPr>
          <w:rFonts w:hint="eastAsia" w:hAnsi="宋体"/>
          <w:b/>
          <w:sz w:val="24"/>
          <w:szCs w:val="24"/>
          <w:highlight w:val="none"/>
          <w:lang w:val="en-US"/>
        </w:rPr>
        <w:t>注：以上注“★”的内容为实质性要求，不得负偏离，否则作无效响应处理。</w:t>
      </w:r>
    </w:p>
    <w:p w14:paraId="6BE1C2F8">
      <w:pPr>
        <w:spacing w:line="360" w:lineRule="auto"/>
        <w:rPr>
          <w:bCs/>
          <w:sz w:val="24"/>
          <w:szCs w:val="24"/>
          <w:highlight w:val="none"/>
        </w:rPr>
      </w:pPr>
    </w:p>
    <w:p w14:paraId="29AE359A">
      <w:pPr>
        <w:spacing w:line="360" w:lineRule="auto"/>
        <w:rPr>
          <w:rFonts w:ascii="黑体" w:eastAsia="黑体"/>
          <w:sz w:val="32"/>
          <w:highlight w:val="none"/>
        </w:rPr>
      </w:pPr>
      <w:r>
        <w:rPr>
          <w:rFonts w:ascii="黑体" w:eastAsia="黑体"/>
          <w:sz w:val="32"/>
          <w:highlight w:val="none"/>
        </w:rPr>
        <w:br w:type="page"/>
      </w:r>
    </w:p>
    <w:p w14:paraId="6F6105C6">
      <w:pPr>
        <w:spacing w:line="360" w:lineRule="auto"/>
        <w:jc w:val="center"/>
        <w:outlineLvl w:val="0"/>
        <w:rPr>
          <w:rFonts w:ascii="黑体" w:eastAsia="黑体"/>
          <w:sz w:val="32"/>
          <w:highlight w:val="none"/>
        </w:rPr>
      </w:pPr>
      <w:bookmarkStart w:id="80" w:name="_Toc225524678"/>
      <w:r>
        <w:rPr>
          <w:rFonts w:ascii="黑体" w:eastAsia="黑体"/>
          <w:sz w:val="32"/>
          <w:highlight w:val="none"/>
        </w:rPr>
        <w:t>第六章</w:t>
      </w:r>
      <w:r>
        <w:rPr>
          <w:rFonts w:hint="eastAsia" w:ascii="黑体" w:eastAsia="黑体"/>
          <w:sz w:val="32"/>
          <w:highlight w:val="none"/>
        </w:rPr>
        <w:t xml:space="preserve"> </w:t>
      </w:r>
      <w:r>
        <w:rPr>
          <w:rFonts w:ascii="黑体" w:eastAsia="黑体"/>
          <w:sz w:val="32"/>
          <w:highlight w:val="none"/>
        </w:rPr>
        <w:t xml:space="preserve"> </w:t>
      </w:r>
      <w:r>
        <w:rPr>
          <w:rFonts w:ascii="黑体" w:eastAsia="黑体"/>
          <w:sz w:val="32"/>
          <w:highlight w:val="none"/>
        </w:rPr>
        <w:tab/>
      </w:r>
      <w:r>
        <w:rPr>
          <w:rFonts w:ascii="黑体" w:eastAsia="黑体"/>
          <w:sz w:val="32"/>
          <w:highlight w:val="none"/>
        </w:rPr>
        <w:t>合同主要条款及格式</w:t>
      </w:r>
      <w:bookmarkEnd w:id="80"/>
    </w:p>
    <w:p w14:paraId="51E89AAC">
      <w:pPr>
        <w:pStyle w:val="9"/>
        <w:spacing w:line="360" w:lineRule="auto"/>
        <w:rPr>
          <w:highlight w:val="none"/>
        </w:rPr>
      </w:pPr>
    </w:p>
    <w:p w14:paraId="0EA4A92B">
      <w:pPr>
        <w:pStyle w:val="9"/>
        <w:spacing w:line="360" w:lineRule="auto"/>
        <w:rPr>
          <w:highlight w:val="none"/>
        </w:rPr>
      </w:pPr>
    </w:p>
    <w:p w14:paraId="56F08288">
      <w:pPr>
        <w:pStyle w:val="9"/>
        <w:spacing w:line="360" w:lineRule="auto"/>
        <w:rPr>
          <w:highlight w:val="none"/>
        </w:rPr>
      </w:pPr>
    </w:p>
    <w:p w14:paraId="4E17EFBC">
      <w:pPr>
        <w:pStyle w:val="9"/>
        <w:spacing w:line="360" w:lineRule="auto"/>
        <w:rPr>
          <w:highlight w:val="none"/>
        </w:rPr>
      </w:pPr>
    </w:p>
    <w:p w14:paraId="11B8A531">
      <w:pPr>
        <w:pStyle w:val="9"/>
        <w:spacing w:line="360" w:lineRule="auto"/>
        <w:rPr>
          <w:highlight w:val="none"/>
        </w:rPr>
      </w:pPr>
    </w:p>
    <w:p w14:paraId="6D4C0D25">
      <w:pPr>
        <w:spacing w:before="242" w:line="360" w:lineRule="auto"/>
        <w:jc w:val="center"/>
        <w:rPr>
          <w:b/>
          <w:sz w:val="52"/>
          <w:szCs w:val="52"/>
          <w:highlight w:val="none"/>
        </w:rPr>
      </w:pPr>
      <w:r>
        <w:rPr>
          <w:b/>
          <w:sz w:val="52"/>
          <w:szCs w:val="52"/>
          <w:highlight w:val="none"/>
        </w:rPr>
        <w:t>政府采购合同</w:t>
      </w:r>
    </w:p>
    <w:p w14:paraId="4A5FB5AD">
      <w:pPr>
        <w:spacing w:line="360" w:lineRule="auto"/>
        <w:rPr>
          <w:b/>
          <w:sz w:val="32"/>
          <w:szCs w:val="24"/>
          <w:highlight w:val="none"/>
        </w:rPr>
      </w:pPr>
    </w:p>
    <w:p w14:paraId="28E53BDA">
      <w:pPr>
        <w:spacing w:line="360" w:lineRule="auto"/>
        <w:rPr>
          <w:b/>
          <w:sz w:val="32"/>
          <w:szCs w:val="24"/>
          <w:highlight w:val="none"/>
        </w:rPr>
      </w:pPr>
    </w:p>
    <w:p w14:paraId="774FAB60">
      <w:pPr>
        <w:spacing w:line="360" w:lineRule="auto"/>
        <w:rPr>
          <w:b/>
          <w:sz w:val="32"/>
          <w:szCs w:val="24"/>
          <w:highlight w:val="none"/>
        </w:rPr>
      </w:pPr>
    </w:p>
    <w:p w14:paraId="44F4DC90">
      <w:pPr>
        <w:spacing w:line="360" w:lineRule="auto"/>
        <w:rPr>
          <w:b/>
          <w:sz w:val="32"/>
          <w:szCs w:val="24"/>
          <w:highlight w:val="none"/>
        </w:rPr>
      </w:pPr>
    </w:p>
    <w:p w14:paraId="232CCA3A">
      <w:pPr>
        <w:spacing w:line="360" w:lineRule="auto"/>
        <w:rPr>
          <w:b/>
          <w:sz w:val="32"/>
          <w:szCs w:val="24"/>
          <w:highlight w:val="none"/>
        </w:rPr>
      </w:pPr>
    </w:p>
    <w:p w14:paraId="21578C87">
      <w:pPr>
        <w:spacing w:line="360" w:lineRule="auto"/>
        <w:rPr>
          <w:b/>
          <w:sz w:val="32"/>
          <w:szCs w:val="24"/>
          <w:highlight w:val="none"/>
        </w:rPr>
      </w:pPr>
    </w:p>
    <w:p w14:paraId="1715E66C">
      <w:pPr>
        <w:spacing w:line="360" w:lineRule="auto"/>
        <w:ind w:left="3308" w:leftChars="600" w:hanging="1988" w:hangingChars="550"/>
        <w:rPr>
          <w:b/>
          <w:sz w:val="36"/>
          <w:szCs w:val="36"/>
          <w:highlight w:val="none"/>
          <w:u w:val="single"/>
          <w:lang w:val="en-US"/>
        </w:rPr>
      </w:pPr>
      <w:r>
        <w:rPr>
          <w:b/>
          <w:sz w:val="36"/>
          <w:szCs w:val="36"/>
          <w:highlight w:val="none"/>
        </w:rPr>
        <w:t>合同编号 ：</w:t>
      </w:r>
      <w:r>
        <w:rPr>
          <w:rFonts w:hint="eastAsia"/>
          <w:b/>
          <w:sz w:val="36"/>
          <w:szCs w:val="36"/>
          <w:highlight w:val="none"/>
          <w:u w:val="single"/>
        </w:rPr>
        <w:t xml:space="preserve"> </w:t>
      </w:r>
      <w:r>
        <w:rPr>
          <w:b/>
          <w:sz w:val="36"/>
          <w:szCs w:val="36"/>
          <w:highlight w:val="none"/>
          <w:u w:val="single"/>
        </w:rPr>
        <w:t xml:space="preserve">                      </w:t>
      </w:r>
    </w:p>
    <w:p w14:paraId="770AF8F4">
      <w:pPr>
        <w:spacing w:line="360" w:lineRule="auto"/>
        <w:ind w:left="3308" w:leftChars="600" w:hanging="1988" w:hangingChars="550"/>
        <w:rPr>
          <w:b/>
          <w:sz w:val="36"/>
          <w:szCs w:val="36"/>
          <w:highlight w:val="none"/>
          <w:u w:val="single"/>
        </w:rPr>
      </w:pPr>
      <w:r>
        <w:rPr>
          <w:b/>
          <w:sz w:val="36"/>
          <w:szCs w:val="36"/>
          <w:highlight w:val="none"/>
        </w:rPr>
        <w:t>项目名称 ：</w:t>
      </w:r>
      <w:r>
        <w:rPr>
          <w:rFonts w:hint="eastAsia"/>
          <w:b/>
          <w:sz w:val="36"/>
          <w:szCs w:val="36"/>
          <w:highlight w:val="none"/>
          <w:u w:val="single"/>
        </w:rPr>
        <w:t xml:space="preserve"> </w:t>
      </w:r>
      <w:r>
        <w:rPr>
          <w:b/>
          <w:sz w:val="36"/>
          <w:szCs w:val="36"/>
          <w:highlight w:val="none"/>
          <w:u w:val="single"/>
        </w:rPr>
        <w:t xml:space="preserve">                      </w:t>
      </w:r>
    </w:p>
    <w:p w14:paraId="6E02739A">
      <w:pPr>
        <w:spacing w:line="360" w:lineRule="auto"/>
        <w:ind w:left="3308" w:leftChars="600" w:hanging="1988" w:hangingChars="550"/>
        <w:rPr>
          <w:b/>
          <w:sz w:val="36"/>
          <w:szCs w:val="36"/>
          <w:highlight w:val="none"/>
          <w:u w:val="single"/>
        </w:rPr>
      </w:pPr>
      <w:r>
        <w:rPr>
          <w:b/>
          <w:sz w:val="36"/>
          <w:szCs w:val="36"/>
          <w:highlight w:val="none"/>
        </w:rPr>
        <w:t>采</w:t>
      </w:r>
      <w:r>
        <w:rPr>
          <w:rFonts w:hint="eastAsia"/>
          <w:b/>
          <w:sz w:val="36"/>
          <w:szCs w:val="36"/>
          <w:highlight w:val="none"/>
        </w:rPr>
        <w:t xml:space="preserve"> </w:t>
      </w:r>
      <w:r>
        <w:rPr>
          <w:b/>
          <w:sz w:val="36"/>
          <w:szCs w:val="36"/>
          <w:highlight w:val="none"/>
        </w:rPr>
        <w:t>购</w:t>
      </w:r>
      <w:r>
        <w:rPr>
          <w:rFonts w:hint="eastAsia"/>
          <w:b/>
          <w:sz w:val="36"/>
          <w:szCs w:val="36"/>
          <w:highlight w:val="none"/>
        </w:rPr>
        <w:t xml:space="preserve"> </w:t>
      </w:r>
      <w:r>
        <w:rPr>
          <w:b/>
          <w:sz w:val="36"/>
          <w:szCs w:val="36"/>
          <w:highlight w:val="none"/>
        </w:rPr>
        <w:t>人 ：</w:t>
      </w:r>
      <w:r>
        <w:rPr>
          <w:rFonts w:hint="eastAsia"/>
          <w:b/>
          <w:sz w:val="36"/>
          <w:szCs w:val="36"/>
          <w:highlight w:val="none"/>
          <w:u w:val="single"/>
        </w:rPr>
        <w:t xml:space="preserve"> </w:t>
      </w:r>
      <w:r>
        <w:rPr>
          <w:b/>
          <w:sz w:val="36"/>
          <w:szCs w:val="36"/>
          <w:highlight w:val="none"/>
          <w:u w:val="single"/>
        </w:rPr>
        <w:t xml:space="preserve">                      </w:t>
      </w:r>
    </w:p>
    <w:p w14:paraId="6BED2883">
      <w:pPr>
        <w:spacing w:line="360" w:lineRule="auto"/>
        <w:ind w:left="3308" w:leftChars="600" w:hanging="1988" w:hangingChars="550"/>
        <w:rPr>
          <w:b/>
          <w:sz w:val="36"/>
          <w:szCs w:val="36"/>
          <w:highlight w:val="none"/>
        </w:rPr>
      </w:pPr>
      <w:r>
        <w:rPr>
          <w:b/>
          <w:sz w:val="36"/>
          <w:szCs w:val="36"/>
          <w:highlight w:val="none"/>
        </w:rPr>
        <w:t>供</w:t>
      </w:r>
      <w:r>
        <w:rPr>
          <w:rFonts w:hint="eastAsia"/>
          <w:b/>
          <w:sz w:val="36"/>
          <w:szCs w:val="36"/>
          <w:highlight w:val="none"/>
        </w:rPr>
        <w:t xml:space="preserve"> </w:t>
      </w:r>
      <w:r>
        <w:rPr>
          <w:b/>
          <w:sz w:val="36"/>
          <w:szCs w:val="36"/>
          <w:highlight w:val="none"/>
        </w:rPr>
        <w:t>应</w:t>
      </w:r>
      <w:r>
        <w:rPr>
          <w:rFonts w:hint="eastAsia"/>
          <w:b/>
          <w:sz w:val="36"/>
          <w:szCs w:val="36"/>
          <w:highlight w:val="none"/>
        </w:rPr>
        <w:t xml:space="preserve"> </w:t>
      </w:r>
      <w:r>
        <w:rPr>
          <w:b/>
          <w:sz w:val="36"/>
          <w:szCs w:val="36"/>
          <w:highlight w:val="none"/>
        </w:rPr>
        <w:t>商 ：</w:t>
      </w:r>
      <w:r>
        <w:rPr>
          <w:rFonts w:hint="eastAsia"/>
          <w:b/>
          <w:sz w:val="36"/>
          <w:szCs w:val="36"/>
          <w:highlight w:val="none"/>
          <w:u w:val="single"/>
        </w:rPr>
        <w:t xml:space="preserve"> </w:t>
      </w:r>
      <w:r>
        <w:rPr>
          <w:b/>
          <w:sz w:val="36"/>
          <w:szCs w:val="36"/>
          <w:highlight w:val="none"/>
          <w:u w:val="single"/>
        </w:rPr>
        <w:t xml:space="preserve">                      </w:t>
      </w:r>
    </w:p>
    <w:p w14:paraId="16D5FB84">
      <w:pPr>
        <w:spacing w:line="360" w:lineRule="auto"/>
        <w:ind w:left="3308" w:leftChars="600" w:hanging="1988" w:hangingChars="550"/>
        <w:rPr>
          <w:rFonts w:ascii="Times New Roman" w:eastAsia="Times New Roman"/>
          <w:b/>
          <w:sz w:val="36"/>
          <w:szCs w:val="36"/>
          <w:highlight w:val="none"/>
          <w:u w:val="single"/>
        </w:rPr>
      </w:pPr>
      <w:r>
        <w:rPr>
          <w:b/>
          <w:sz w:val="36"/>
          <w:szCs w:val="36"/>
          <w:highlight w:val="none"/>
        </w:rPr>
        <w:t>签订日期 ：</w:t>
      </w:r>
      <w:r>
        <w:rPr>
          <w:rFonts w:hint="eastAsia"/>
          <w:b/>
          <w:sz w:val="36"/>
          <w:szCs w:val="36"/>
          <w:highlight w:val="none"/>
          <w:u w:val="single"/>
        </w:rPr>
        <w:t xml:space="preserve"> </w:t>
      </w:r>
      <w:r>
        <w:rPr>
          <w:b/>
          <w:sz w:val="36"/>
          <w:szCs w:val="36"/>
          <w:highlight w:val="none"/>
          <w:u w:val="single"/>
        </w:rPr>
        <w:t xml:space="preserve">                      </w:t>
      </w:r>
    </w:p>
    <w:p w14:paraId="57D0D35B">
      <w:pPr>
        <w:widowControl/>
        <w:autoSpaceDE/>
        <w:autoSpaceDN/>
        <w:spacing w:line="360" w:lineRule="auto"/>
        <w:rPr>
          <w:sz w:val="21"/>
          <w:szCs w:val="21"/>
          <w:highlight w:val="none"/>
        </w:rPr>
      </w:pPr>
      <w:r>
        <w:rPr>
          <w:sz w:val="21"/>
          <w:szCs w:val="21"/>
          <w:highlight w:val="none"/>
        </w:rPr>
        <w:br w:type="page"/>
      </w:r>
    </w:p>
    <w:p w14:paraId="58CB95B0">
      <w:pPr>
        <w:spacing w:before="120" w:after="120" w:line="360" w:lineRule="auto"/>
        <w:ind w:firstLine="480" w:firstLineChars="200"/>
        <w:rPr>
          <w:sz w:val="24"/>
          <w:szCs w:val="24"/>
          <w:highlight w:val="none"/>
        </w:rPr>
      </w:pPr>
      <w:bookmarkStart w:id="81" w:name="_bookmark0"/>
      <w:bookmarkEnd w:id="81"/>
      <w:r>
        <w:rPr>
          <w:rFonts w:hint="eastAsia"/>
          <w:sz w:val="24"/>
          <w:szCs w:val="24"/>
          <w:highlight w:val="none"/>
        </w:rPr>
        <w:t>项目名称：厅交管总队指挥中心、会议室及相关通信支撑系统维保服务采购项目</w:t>
      </w:r>
    </w:p>
    <w:p w14:paraId="695F56C4">
      <w:pPr>
        <w:spacing w:before="120" w:after="120" w:line="360" w:lineRule="auto"/>
        <w:ind w:firstLine="480" w:firstLineChars="200"/>
        <w:rPr>
          <w:sz w:val="24"/>
          <w:szCs w:val="24"/>
          <w:highlight w:val="none"/>
        </w:rPr>
      </w:pPr>
      <w:r>
        <w:rPr>
          <w:rFonts w:hint="eastAsia"/>
          <w:sz w:val="24"/>
          <w:szCs w:val="24"/>
          <w:highlight w:val="none"/>
        </w:rPr>
        <w:t>项目编号：</w:t>
      </w:r>
      <w:r>
        <w:rPr>
          <w:sz w:val="24"/>
          <w:szCs w:val="24"/>
          <w:highlight w:val="none"/>
        </w:rPr>
        <w:t xml:space="preserve">             </w:t>
      </w:r>
    </w:p>
    <w:p w14:paraId="2364BD28">
      <w:pPr>
        <w:spacing w:before="120" w:after="120" w:line="360" w:lineRule="auto"/>
        <w:ind w:firstLine="480" w:firstLineChars="200"/>
        <w:rPr>
          <w:sz w:val="24"/>
          <w:szCs w:val="24"/>
          <w:highlight w:val="none"/>
          <w:lang w:val="en-US"/>
        </w:rPr>
      </w:pPr>
      <w:r>
        <w:rPr>
          <w:rFonts w:hint="eastAsia"/>
          <w:sz w:val="24"/>
          <w:szCs w:val="24"/>
          <w:highlight w:val="none"/>
          <w:lang w:val="en-US"/>
        </w:rPr>
        <w:t>合同编号：</w:t>
      </w:r>
    </w:p>
    <w:p w14:paraId="43CFF5C9">
      <w:pPr>
        <w:spacing w:before="120" w:after="120" w:line="360" w:lineRule="auto"/>
        <w:ind w:firstLine="480" w:firstLineChars="200"/>
        <w:rPr>
          <w:sz w:val="24"/>
          <w:szCs w:val="24"/>
          <w:highlight w:val="none"/>
        </w:rPr>
      </w:pPr>
      <w:r>
        <w:rPr>
          <w:rFonts w:hint="eastAsia"/>
          <w:sz w:val="24"/>
          <w:szCs w:val="24"/>
          <w:highlight w:val="none"/>
        </w:rPr>
        <w:t>甲方：（买方</w:t>
      </w:r>
      <w:r>
        <w:rPr>
          <w:sz w:val="24"/>
          <w:szCs w:val="24"/>
          <w:highlight w:val="none"/>
        </w:rPr>
        <w:t>/</w:t>
      </w:r>
      <w:r>
        <w:rPr>
          <w:rFonts w:hint="eastAsia"/>
          <w:sz w:val="24"/>
          <w:szCs w:val="24"/>
          <w:highlight w:val="none"/>
        </w:rPr>
        <w:t>采购人）</w:t>
      </w:r>
      <w:r>
        <w:rPr>
          <w:sz w:val="24"/>
          <w:szCs w:val="24"/>
          <w:highlight w:val="none"/>
        </w:rPr>
        <w:t>_________</w:t>
      </w:r>
    </w:p>
    <w:p w14:paraId="4059749D">
      <w:pPr>
        <w:spacing w:before="120" w:after="120" w:line="360" w:lineRule="auto"/>
        <w:ind w:firstLine="480" w:firstLineChars="200"/>
        <w:rPr>
          <w:sz w:val="24"/>
          <w:szCs w:val="24"/>
          <w:highlight w:val="none"/>
        </w:rPr>
      </w:pPr>
      <w:r>
        <w:rPr>
          <w:rFonts w:hint="eastAsia"/>
          <w:sz w:val="24"/>
          <w:szCs w:val="24"/>
          <w:highlight w:val="none"/>
        </w:rPr>
        <w:t>乙方：（卖方</w:t>
      </w:r>
      <w:r>
        <w:rPr>
          <w:sz w:val="24"/>
          <w:szCs w:val="24"/>
          <w:highlight w:val="none"/>
        </w:rPr>
        <w:t>/</w:t>
      </w:r>
      <w:r>
        <w:rPr>
          <w:rFonts w:hint="eastAsia"/>
          <w:sz w:val="24"/>
          <w:szCs w:val="24"/>
          <w:highlight w:val="none"/>
        </w:rPr>
        <w:t>中标供应商）</w:t>
      </w:r>
      <w:r>
        <w:rPr>
          <w:sz w:val="24"/>
          <w:szCs w:val="24"/>
          <w:highlight w:val="none"/>
        </w:rPr>
        <w:t>_________</w:t>
      </w:r>
    </w:p>
    <w:p w14:paraId="70B7A04E">
      <w:pPr>
        <w:spacing w:before="120" w:after="120" w:line="360" w:lineRule="auto"/>
        <w:ind w:left="240" w:leftChars="109" w:firstLine="240" w:firstLineChars="100"/>
        <w:rPr>
          <w:b/>
          <w:bCs/>
          <w:sz w:val="24"/>
          <w:szCs w:val="24"/>
          <w:highlight w:val="none"/>
        </w:rPr>
      </w:pPr>
      <w:r>
        <w:rPr>
          <w:rFonts w:hint="eastAsia"/>
          <w:sz w:val="24"/>
          <w:szCs w:val="24"/>
          <w:highlight w:val="none"/>
        </w:rPr>
        <w:t>甲、乙双方根据</w:t>
      </w:r>
      <w:r>
        <w:rPr>
          <w:rFonts w:hint="eastAsia"/>
          <w:sz w:val="24"/>
          <w:szCs w:val="24"/>
          <w:highlight w:val="none"/>
          <w:u w:val="single"/>
        </w:rPr>
        <w:t>厅交管总队指挥中心、会议室及相关通信支撑系统维保服务采购项目</w:t>
      </w:r>
      <w:r>
        <w:rPr>
          <w:rFonts w:hint="eastAsia"/>
          <w:sz w:val="24"/>
          <w:szCs w:val="24"/>
          <w:highlight w:val="none"/>
        </w:rPr>
        <w:t>公开招标的结果，签署本合同。</w:t>
      </w:r>
    </w:p>
    <w:p w14:paraId="1B2CE1F1">
      <w:pPr>
        <w:spacing w:before="120" w:after="120" w:line="360" w:lineRule="auto"/>
        <w:ind w:firstLine="482" w:firstLineChars="200"/>
        <w:rPr>
          <w:b/>
          <w:bCs/>
          <w:sz w:val="24"/>
          <w:szCs w:val="24"/>
          <w:highlight w:val="none"/>
        </w:rPr>
      </w:pPr>
      <w:r>
        <w:rPr>
          <w:rFonts w:hint="eastAsia"/>
          <w:b/>
          <w:bCs/>
          <w:sz w:val="24"/>
          <w:szCs w:val="24"/>
          <w:highlight w:val="none"/>
        </w:rPr>
        <w:t>一、合同内容</w:t>
      </w:r>
    </w:p>
    <w:p w14:paraId="60C2696E">
      <w:pPr>
        <w:spacing w:before="120" w:after="120" w:line="360" w:lineRule="auto"/>
        <w:ind w:firstLine="480" w:firstLineChars="200"/>
        <w:rPr>
          <w:sz w:val="24"/>
          <w:szCs w:val="24"/>
          <w:highlight w:val="none"/>
        </w:rPr>
      </w:pPr>
      <w:r>
        <w:rPr>
          <w:sz w:val="24"/>
          <w:szCs w:val="24"/>
          <w:highlight w:val="none"/>
        </w:rPr>
        <w:t xml:space="preserve">1.1 </w:t>
      </w:r>
      <w:r>
        <w:rPr>
          <w:rFonts w:hint="eastAsia"/>
          <w:sz w:val="24"/>
          <w:szCs w:val="24"/>
          <w:highlight w:val="none"/>
        </w:rPr>
        <w:t>标的名称：厅交管总队指挥中心、会议室及相关通信支撑系统维保服务</w:t>
      </w:r>
    </w:p>
    <w:p w14:paraId="7D13B3A1">
      <w:pPr>
        <w:spacing w:before="120" w:after="120" w:line="360" w:lineRule="auto"/>
        <w:ind w:firstLine="480" w:firstLineChars="200"/>
        <w:rPr>
          <w:sz w:val="24"/>
          <w:szCs w:val="24"/>
          <w:highlight w:val="none"/>
        </w:rPr>
      </w:pPr>
      <w:r>
        <w:rPr>
          <w:sz w:val="24"/>
          <w:szCs w:val="24"/>
          <w:highlight w:val="none"/>
        </w:rPr>
        <w:t>1.2</w:t>
      </w:r>
      <w:r>
        <w:rPr>
          <w:rFonts w:hint="eastAsia"/>
          <w:sz w:val="24"/>
          <w:szCs w:val="24"/>
          <w:highlight w:val="none"/>
          <w:lang w:val="en-US"/>
        </w:rPr>
        <w:t xml:space="preserve"> </w:t>
      </w:r>
      <w:r>
        <w:rPr>
          <w:rFonts w:hint="eastAsia"/>
          <w:sz w:val="24"/>
          <w:szCs w:val="24"/>
          <w:highlight w:val="none"/>
        </w:rPr>
        <w:t>标的数量（规模）：</w:t>
      </w:r>
    </w:p>
    <w:p w14:paraId="295ADEC7">
      <w:pPr>
        <w:spacing w:before="120" w:after="120" w:line="360" w:lineRule="auto"/>
        <w:ind w:firstLine="480" w:firstLineChars="200"/>
        <w:rPr>
          <w:sz w:val="24"/>
          <w:szCs w:val="24"/>
          <w:highlight w:val="none"/>
        </w:rPr>
      </w:pPr>
      <w:r>
        <w:rPr>
          <w:sz w:val="24"/>
          <w:szCs w:val="24"/>
          <w:highlight w:val="none"/>
        </w:rPr>
        <w:t>1.</w:t>
      </w:r>
      <w:r>
        <w:rPr>
          <w:rFonts w:hint="eastAsia"/>
          <w:sz w:val="24"/>
          <w:szCs w:val="24"/>
          <w:highlight w:val="none"/>
          <w:lang w:val="en-US"/>
        </w:rPr>
        <w:t>3</w:t>
      </w:r>
      <w:r>
        <w:rPr>
          <w:sz w:val="24"/>
          <w:szCs w:val="24"/>
          <w:highlight w:val="none"/>
        </w:rPr>
        <w:t xml:space="preserve"> </w:t>
      </w:r>
      <w:r>
        <w:rPr>
          <w:rFonts w:hint="eastAsia"/>
          <w:sz w:val="24"/>
          <w:szCs w:val="24"/>
          <w:highlight w:val="none"/>
        </w:rPr>
        <w:t>履行时间（期限）：自</w:t>
      </w:r>
      <w:r>
        <w:rPr>
          <w:rFonts w:hint="eastAsia"/>
          <w:sz w:val="24"/>
          <w:szCs w:val="24"/>
          <w:highlight w:val="none"/>
          <w:lang w:val="en-US"/>
        </w:rPr>
        <w:t xml:space="preserve">  年  月   日至  年  月   日</w:t>
      </w:r>
    </w:p>
    <w:p w14:paraId="2269B4C9">
      <w:pPr>
        <w:spacing w:before="120" w:after="120" w:line="360" w:lineRule="auto"/>
        <w:ind w:firstLine="480" w:firstLineChars="200"/>
        <w:rPr>
          <w:sz w:val="24"/>
          <w:szCs w:val="24"/>
          <w:highlight w:val="none"/>
        </w:rPr>
      </w:pPr>
      <w:r>
        <w:rPr>
          <w:sz w:val="24"/>
          <w:szCs w:val="24"/>
          <w:highlight w:val="none"/>
        </w:rPr>
        <w:t>1.</w:t>
      </w:r>
      <w:r>
        <w:rPr>
          <w:rFonts w:hint="eastAsia"/>
          <w:sz w:val="24"/>
          <w:szCs w:val="24"/>
          <w:highlight w:val="none"/>
          <w:lang w:val="en-US"/>
        </w:rPr>
        <w:t>4</w:t>
      </w:r>
      <w:r>
        <w:rPr>
          <w:sz w:val="24"/>
          <w:szCs w:val="24"/>
          <w:highlight w:val="none"/>
        </w:rPr>
        <w:t xml:space="preserve"> </w:t>
      </w:r>
      <w:r>
        <w:rPr>
          <w:rFonts w:hint="eastAsia"/>
          <w:sz w:val="24"/>
          <w:szCs w:val="24"/>
          <w:highlight w:val="none"/>
        </w:rPr>
        <w:t>履行地点：</w:t>
      </w:r>
    </w:p>
    <w:p w14:paraId="7CDC580C">
      <w:pPr>
        <w:spacing w:before="120" w:after="120" w:line="360" w:lineRule="auto"/>
        <w:ind w:firstLine="480" w:firstLineChars="200"/>
        <w:rPr>
          <w:sz w:val="24"/>
          <w:szCs w:val="24"/>
          <w:highlight w:val="none"/>
        </w:rPr>
      </w:pPr>
      <w:r>
        <w:rPr>
          <w:sz w:val="24"/>
          <w:szCs w:val="24"/>
          <w:highlight w:val="none"/>
        </w:rPr>
        <w:t>1.</w:t>
      </w:r>
      <w:r>
        <w:rPr>
          <w:rFonts w:hint="eastAsia"/>
          <w:sz w:val="24"/>
          <w:szCs w:val="24"/>
          <w:highlight w:val="none"/>
          <w:lang w:val="en-US"/>
        </w:rPr>
        <w:t>5</w:t>
      </w:r>
      <w:r>
        <w:rPr>
          <w:sz w:val="24"/>
          <w:szCs w:val="24"/>
          <w:highlight w:val="none"/>
        </w:rPr>
        <w:t xml:space="preserve"> </w:t>
      </w:r>
      <w:r>
        <w:rPr>
          <w:rFonts w:hint="eastAsia"/>
          <w:sz w:val="24"/>
          <w:szCs w:val="24"/>
          <w:highlight w:val="none"/>
        </w:rPr>
        <w:t>履行方式：项目采购文件、成交供应商的响应文件及采购过程中有关澄清、承诺文件均为本合同有效附件，是本合同不可分割的组成部分，与本合同具有同等法律效力。</w:t>
      </w:r>
    </w:p>
    <w:p w14:paraId="5DC33383">
      <w:pPr>
        <w:spacing w:before="120" w:after="120" w:line="360" w:lineRule="auto"/>
        <w:ind w:firstLine="482" w:firstLineChars="200"/>
        <w:rPr>
          <w:b/>
          <w:bCs/>
          <w:sz w:val="24"/>
          <w:szCs w:val="24"/>
          <w:highlight w:val="none"/>
        </w:rPr>
      </w:pPr>
      <w:r>
        <w:rPr>
          <w:rFonts w:hint="eastAsia"/>
          <w:b/>
          <w:bCs/>
          <w:sz w:val="24"/>
          <w:szCs w:val="24"/>
          <w:highlight w:val="none"/>
        </w:rPr>
        <w:t>二、合同金额</w:t>
      </w:r>
    </w:p>
    <w:p w14:paraId="3A38559D">
      <w:pPr>
        <w:spacing w:before="120" w:after="120" w:line="360" w:lineRule="auto"/>
        <w:ind w:firstLine="480" w:firstLineChars="200"/>
        <w:rPr>
          <w:sz w:val="24"/>
          <w:szCs w:val="24"/>
          <w:highlight w:val="none"/>
          <w:lang w:val="en-US"/>
        </w:rPr>
      </w:pPr>
      <w:r>
        <w:rPr>
          <w:sz w:val="24"/>
          <w:szCs w:val="24"/>
          <w:highlight w:val="none"/>
        </w:rPr>
        <w:t xml:space="preserve">2.1 </w:t>
      </w:r>
      <w:r>
        <w:rPr>
          <w:rFonts w:hint="eastAsia"/>
          <w:sz w:val="24"/>
          <w:szCs w:val="24"/>
          <w:highlight w:val="none"/>
        </w:rPr>
        <w:t>本合同金额为（大写）：</w:t>
      </w:r>
      <w:r>
        <w:rPr>
          <w:rFonts w:hint="eastAsia"/>
          <w:sz w:val="24"/>
          <w:szCs w:val="24"/>
          <w:highlight w:val="none"/>
          <w:u w:val="single"/>
          <w:lang w:val="en-US"/>
        </w:rPr>
        <w:t xml:space="preserve">           元/年</w:t>
      </w:r>
      <w:r>
        <w:rPr>
          <w:rFonts w:hint="eastAsia"/>
          <w:sz w:val="24"/>
          <w:szCs w:val="24"/>
          <w:highlight w:val="none"/>
        </w:rPr>
        <w:t>（</w:t>
      </w:r>
      <w:r>
        <w:rPr>
          <w:rFonts w:hint="eastAsia"/>
          <w:sz w:val="24"/>
          <w:szCs w:val="24"/>
          <w:highlight w:val="none"/>
          <w:lang w:val="en-US"/>
        </w:rPr>
        <w:t>小写：   元/年</w:t>
      </w:r>
      <w:r>
        <w:rPr>
          <w:rFonts w:hint="eastAsia"/>
          <w:sz w:val="24"/>
          <w:szCs w:val="24"/>
          <w:highlight w:val="none"/>
        </w:rPr>
        <w:t>）人民币，</w:t>
      </w:r>
      <w:r>
        <w:rPr>
          <w:rFonts w:hint="eastAsia"/>
          <w:sz w:val="24"/>
          <w:szCs w:val="24"/>
          <w:highlight w:val="none"/>
          <w:lang w:val="en-US"/>
        </w:rPr>
        <w:t>三年共计：</w:t>
      </w:r>
      <w:r>
        <w:rPr>
          <w:rFonts w:hint="eastAsia"/>
          <w:sz w:val="24"/>
          <w:szCs w:val="24"/>
          <w:highlight w:val="none"/>
          <w:u w:val="single"/>
          <w:lang w:val="en-US"/>
        </w:rPr>
        <w:t xml:space="preserve">           元</w:t>
      </w:r>
      <w:r>
        <w:rPr>
          <w:rFonts w:hint="eastAsia"/>
          <w:sz w:val="24"/>
          <w:szCs w:val="24"/>
          <w:highlight w:val="none"/>
        </w:rPr>
        <w:t>（</w:t>
      </w:r>
      <w:r>
        <w:rPr>
          <w:rFonts w:hint="eastAsia"/>
          <w:sz w:val="24"/>
          <w:szCs w:val="24"/>
          <w:highlight w:val="none"/>
          <w:lang w:val="en-US"/>
        </w:rPr>
        <w:t>小写：   元</w:t>
      </w:r>
      <w:r>
        <w:rPr>
          <w:rFonts w:hint="eastAsia"/>
          <w:sz w:val="24"/>
          <w:szCs w:val="24"/>
          <w:highlight w:val="none"/>
        </w:rPr>
        <w:t>）人民币。</w:t>
      </w:r>
    </w:p>
    <w:p w14:paraId="769BEF97">
      <w:pPr>
        <w:spacing w:before="120" w:after="120" w:line="360" w:lineRule="auto"/>
        <w:ind w:firstLine="480" w:firstLineChars="200"/>
        <w:rPr>
          <w:sz w:val="24"/>
          <w:szCs w:val="24"/>
          <w:highlight w:val="none"/>
          <w:lang w:val="en-US"/>
        </w:rPr>
      </w:pPr>
      <w:r>
        <w:rPr>
          <w:rFonts w:hint="eastAsia"/>
          <w:sz w:val="24"/>
          <w:szCs w:val="24"/>
          <w:highlight w:val="none"/>
          <w:lang w:val="en-US"/>
        </w:rPr>
        <w:t>2.2本项目合同价为全包费用，合同价应是本合同及招标文件所包含确定的全部工作内容及本合同及招标文件未说明但完成该项目必须包含的所有全包费用的价格体现。</w:t>
      </w:r>
      <w:r>
        <w:rPr>
          <w:rFonts w:hint="eastAsia"/>
          <w:sz w:val="24"/>
          <w:szCs w:val="24"/>
          <w:highlight w:val="none"/>
        </w:rPr>
        <w:t>供应商的任何错漏、优惠、竞争性报价不得作为减轻责任、减少服务、增加收费、降低质量的理由。在项目验收过程中，如发现有漏项、缺件，乙方应无条件、无偿补齐，所发生的一切费用，视为已包含在乙方的合同价中。除非合同条款中另有规定且经双方协商一致，本合同总金额在合同实施期间不因市场变化或其他因素而变动，乙方无权要求甲方支付其他任何费用。</w:t>
      </w:r>
    </w:p>
    <w:p w14:paraId="6C2F7276">
      <w:pPr>
        <w:spacing w:before="120" w:after="120" w:line="360" w:lineRule="auto"/>
        <w:ind w:firstLine="482" w:firstLineChars="200"/>
        <w:rPr>
          <w:b/>
          <w:bCs/>
          <w:sz w:val="24"/>
          <w:szCs w:val="24"/>
          <w:highlight w:val="none"/>
        </w:rPr>
      </w:pPr>
      <w:r>
        <w:rPr>
          <w:rFonts w:hint="eastAsia"/>
          <w:b/>
          <w:bCs/>
          <w:sz w:val="24"/>
          <w:szCs w:val="24"/>
          <w:highlight w:val="none"/>
        </w:rPr>
        <w:t>三、技术资料</w:t>
      </w:r>
    </w:p>
    <w:p w14:paraId="20CA1284">
      <w:pPr>
        <w:spacing w:before="120" w:after="120" w:line="360" w:lineRule="auto"/>
        <w:ind w:firstLine="480" w:firstLineChars="200"/>
        <w:rPr>
          <w:sz w:val="24"/>
          <w:szCs w:val="24"/>
          <w:highlight w:val="none"/>
        </w:rPr>
      </w:pPr>
      <w:r>
        <w:rPr>
          <w:sz w:val="24"/>
          <w:szCs w:val="24"/>
          <w:highlight w:val="none"/>
        </w:rPr>
        <w:t>3.1</w:t>
      </w:r>
      <w:r>
        <w:rPr>
          <w:rFonts w:hint="eastAsia"/>
          <w:sz w:val="24"/>
          <w:szCs w:val="24"/>
          <w:highlight w:val="none"/>
          <w:lang w:val="en-US"/>
        </w:rPr>
        <w:t xml:space="preserve"> </w:t>
      </w:r>
      <w:r>
        <w:rPr>
          <w:rFonts w:hint="eastAsia"/>
          <w:sz w:val="24"/>
          <w:szCs w:val="24"/>
          <w:highlight w:val="none"/>
        </w:rPr>
        <w:t>乙方应按招标文件规定的时间向甲方提供服务（包含与服务相关的货物）的有关技术资料。</w:t>
      </w:r>
    </w:p>
    <w:p w14:paraId="28430E56">
      <w:pPr>
        <w:spacing w:before="120" w:after="120" w:line="360" w:lineRule="auto"/>
        <w:ind w:firstLine="480" w:firstLineChars="200"/>
        <w:rPr>
          <w:sz w:val="24"/>
          <w:szCs w:val="24"/>
          <w:highlight w:val="none"/>
        </w:rPr>
      </w:pPr>
      <w:r>
        <w:rPr>
          <w:sz w:val="24"/>
          <w:szCs w:val="24"/>
          <w:highlight w:val="none"/>
        </w:rPr>
        <w:t>3.</w:t>
      </w:r>
      <w:r>
        <w:rPr>
          <w:rFonts w:hint="eastAsia"/>
          <w:sz w:val="24"/>
          <w:szCs w:val="24"/>
          <w:highlight w:val="none"/>
          <w:lang w:val="en-US"/>
        </w:rPr>
        <w:t>2</w:t>
      </w:r>
      <w:r>
        <w:rPr>
          <w:sz w:val="24"/>
          <w:szCs w:val="24"/>
          <w:highlight w:val="none"/>
        </w:rPr>
        <w:t xml:space="preserve"> </w:t>
      </w:r>
      <w:r>
        <w:rPr>
          <w:rFonts w:hint="eastAsia"/>
          <w:sz w:val="24"/>
          <w:szCs w:val="24"/>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8EA9503">
      <w:pPr>
        <w:pStyle w:val="20"/>
        <w:rPr>
          <w:highlight w:val="none"/>
        </w:rPr>
      </w:pPr>
    </w:p>
    <w:p w14:paraId="6D62C1B5">
      <w:pPr>
        <w:spacing w:before="120" w:after="120" w:line="360" w:lineRule="auto"/>
        <w:ind w:firstLine="482" w:firstLineChars="200"/>
        <w:rPr>
          <w:b/>
          <w:bCs/>
          <w:sz w:val="24"/>
          <w:szCs w:val="24"/>
          <w:highlight w:val="none"/>
        </w:rPr>
      </w:pPr>
      <w:r>
        <w:rPr>
          <w:rFonts w:hint="eastAsia"/>
          <w:b/>
          <w:bCs/>
          <w:sz w:val="24"/>
          <w:szCs w:val="24"/>
          <w:highlight w:val="none"/>
        </w:rPr>
        <w:t>四、知识产权</w:t>
      </w:r>
    </w:p>
    <w:p w14:paraId="43497334">
      <w:pPr>
        <w:spacing w:before="120" w:after="120" w:line="360" w:lineRule="auto"/>
        <w:ind w:firstLine="480" w:firstLineChars="200"/>
        <w:rPr>
          <w:sz w:val="24"/>
          <w:szCs w:val="24"/>
          <w:highlight w:val="none"/>
        </w:rPr>
      </w:pPr>
      <w:r>
        <w:rPr>
          <w:sz w:val="24"/>
          <w:szCs w:val="24"/>
          <w:highlight w:val="none"/>
        </w:rPr>
        <w:t>4.1</w:t>
      </w:r>
      <w:r>
        <w:rPr>
          <w:rFonts w:hint="eastAsia"/>
          <w:sz w:val="24"/>
          <w:szCs w:val="24"/>
          <w:highlight w:val="none"/>
          <w:lang w:val="en-US"/>
        </w:rPr>
        <w:t xml:space="preserve"> </w:t>
      </w:r>
      <w:r>
        <w:rPr>
          <w:rFonts w:hint="eastAsia"/>
          <w:sz w:val="24"/>
          <w:szCs w:val="24"/>
          <w:highlight w:val="none"/>
        </w:rPr>
        <w:t>乙方应保证甲方在使用、接受本合同服务（包含与服务相关的货物）或其任何一部分时不受第三方提出侵犯其专利权、版权、商标权和工业设计权等知识产权的起诉。一旦出现侵权，由乙方负全部责任。</w:t>
      </w:r>
    </w:p>
    <w:p w14:paraId="5C4B1E61">
      <w:pPr>
        <w:spacing w:before="120" w:after="120" w:line="360" w:lineRule="auto"/>
        <w:ind w:firstLine="482" w:firstLineChars="200"/>
        <w:rPr>
          <w:sz w:val="24"/>
          <w:szCs w:val="24"/>
          <w:highlight w:val="none"/>
          <w:u w:val="single"/>
        </w:rPr>
      </w:pPr>
      <w:r>
        <w:rPr>
          <w:rFonts w:hint="eastAsia"/>
          <w:b/>
          <w:bCs/>
          <w:sz w:val="24"/>
          <w:szCs w:val="24"/>
          <w:highlight w:val="none"/>
        </w:rPr>
        <w:t>五、产权担保</w:t>
      </w:r>
    </w:p>
    <w:p w14:paraId="4A713A51">
      <w:pPr>
        <w:spacing w:before="120" w:after="120" w:line="360" w:lineRule="auto"/>
        <w:ind w:firstLine="480" w:firstLineChars="200"/>
        <w:rPr>
          <w:sz w:val="24"/>
          <w:szCs w:val="24"/>
          <w:highlight w:val="none"/>
          <w:u w:val="single"/>
        </w:rPr>
      </w:pPr>
      <w:r>
        <w:rPr>
          <w:sz w:val="24"/>
          <w:szCs w:val="24"/>
          <w:highlight w:val="none"/>
        </w:rPr>
        <w:t xml:space="preserve">5.1 </w:t>
      </w:r>
      <w:r>
        <w:rPr>
          <w:rFonts w:hint="eastAsia"/>
          <w:sz w:val="24"/>
          <w:szCs w:val="24"/>
          <w:highlight w:val="none"/>
        </w:rPr>
        <w:t>乙方保证所交付的服务（包含与服务相关的货物）的所有权完全属于乙方且无任何抵押、查封等产权瑕疵。</w:t>
      </w:r>
    </w:p>
    <w:p w14:paraId="7FAFA0E8">
      <w:pPr>
        <w:spacing w:before="120" w:after="120" w:line="360" w:lineRule="auto"/>
        <w:ind w:firstLine="482" w:firstLineChars="200"/>
        <w:rPr>
          <w:b/>
          <w:bCs/>
          <w:sz w:val="24"/>
          <w:szCs w:val="24"/>
          <w:highlight w:val="none"/>
        </w:rPr>
      </w:pPr>
      <w:r>
        <w:rPr>
          <w:rFonts w:hint="eastAsia"/>
          <w:b/>
          <w:bCs/>
          <w:sz w:val="24"/>
          <w:szCs w:val="24"/>
          <w:highlight w:val="none"/>
        </w:rPr>
        <w:t>六、履约保证金</w:t>
      </w:r>
    </w:p>
    <w:p w14:paraId="7FE76C01">
      <w:pPr>
        <w:spacing w:before="120" w:after="120" w:line="360" w:lineRule="auto"/>
        <w:ind w:firstLine="480" w:firstLineChars="200"/>
        <w:rPr>
          <w:sz w:val="24"/>
          <w:szCs w:val="24"/>
          <w:highlight w:val="none"/>
        </w:rPr>
      </w:pPr>
      <w:r>
        <w:rPr>
          <w:sz w:val="24"/>
          <w:szCs w:val="24"/>
          <w:highlight w:val="none"/>
        </w:rPr>
        <w:t>6.1</w:t>
      </w:r>
      <w:r>
        <w:rPr>
          <w:rFonts w:hint="eastAsia"/>
          <w:sz w:val="24"/>
          <w:szCs w:val="24"/>
          <w:highlight w:val="none"/>
        </w:rPr>
        <w:t>本合同签订之日起7个工作日内，乙方应向甲方缴纳合同总金额10%的由金融机构出具的独立履约保函（出具履约担保的机构为国有股份制金融机构），该保函需载明：（1）见索即付；（2）收到甲方法定代表人或授权委托代理人签字确认并加盖公章的书面索赔通知后即应不争辩、不挑剔、不可撤销地向甲方支付索赔款，直至最高担保金额；（3）有效期为保函开具之日起至服务期满为止；（4）担保金额为合同金额的10%。如乙方提供的保函未载明前述内容的，甲方可以拒收该保函，并拒绝支付货款。</w:t>
      </w:r>
    </w:p>
    <w:p w14:paraId="6515AC41">
      <w:pPr>
        <w:spacing w:before="120" w:after="120" w:line="360" w:lineRule="auto"/>
        <w:ind w:firstLine="480" w:firstLineChars="200"/>
        <w:rPr>
          <w:sz w:val="24"/>
          <w:szCs w:val="24"/>
          <w:highlight w:val="none"/>
        </w:rPr>
      </w:pPr>
      <w:r>
        <w:rPr>
          <w:rFonts w:hint="eastAsia"/>
          <w:sz w:val="24"/>
          <w:szCs w:val="24"/>
          <w:highlight w:val="none"/>
        </w:rPr>
        <w:t>6.2对于乙方应承担的违约责任/索赔金额，甲方有权向出具独立保函的金融机构主张索赔。</w:t>
      </w:r>
    </w:p>
    <w:p w14:paraId="1246572E">
      <w:pPr>
        <w:spacing w:before="145" w:after="145" w:line="360" w:lineRule="auto"/>
        <w:ind w:firstLine="482" w:firstLineChars="200"/>
        <w:rPr>
          <w:b/>
          <w:bCs/>
          <w:sz w:val="24"/>
          <w:szCs w:val="24"/>
          <w:highlight w:val="none"/>
        </w:rPr>
      </w:pPr>
      <w:r>
        <w:rPr>
          <w:rFonts w:hint="eastAsia"/>
          <w:b/>
          <w:bCs/>
          <w:sz w:val="24"/>
          <w:szCs w:val="24"/>
          <w:highlight w:val="none"/>
        </w:rPr>
        <w:t>七、合同转包或分包</w:t>
      </w:r>
    </w:p>
    <w:p w14:paraId="0891083B">
      <w:pPr>
        <w:spacing w:before="120" w:after="120" w:line="360" w:lineRule="auto"/>
        <w:ind w:firstLine="480" w:firstLineChars="200"/>
        <w:rPr>
          <w:sz w:val="24"/>
          <w:szCs w:val="24"/>
          <w:highlight w:val="none"/>
        </w:rPr>
      </w:pPr>
      <w:r>
        <w:rPr>
          <w:rFonts w:hint="eastAsia"/>
          <w:sz w:val="24"/>
          <w:szCs w:val="24"/>
          <w:highlight w:val="none"/>
        </w:rPr>
        <w:t>7.1</w:t>
      </w:r>
      <w:r>
        <w:rPr>
          <w:rFonts w:hint="eastAsia"/>
          <w:sz w:val="24"/>
          <w:szCs w:val="24"/>
          <w:highlight w:val="none"/>
          <w:lang w:val="en-US"/>
        </w:rPr>
        <w:t xml:space="preserve"> </w:t>
      </w:r>
      <w:r>
        <w:rPr>
          <w:rFonts w:hint="eastAsia"/>
          <w:sz w:val="24"/>
          <w:szCs w:val="24"/>
          <w:highlight w:val="none"/>
        </w:rPr>
        <w:t>乙方不得将合同标的转包给他人履行。</w:t>
      </w:r>
    </w:p>
    <w:p w14:paraId="7B77A4BB">
      <w:pPr>
        <w:spacing w:before="120" w:after="120" w:line="360" w:lineRule="auto"/>
        <w:ind w:firstLine="480" w:firstLineChars="200"/>
        <w:rPr>
          <w:sz w:val="24"/>
          <w:szCs w:val="24"/>
          <w:highlight w:val="none"/>
        </w:rPr>
      </w:pPr>
      <w:r>
        <w:rPr>
          <w:rFonts w:hint="eastAsia"/>
          <w:sz w:val="24"/>
          <w:szCs w:val="24"/>
          <w:highlight w:val="none"/>
        </w:rPr>
        <w:t>7.2</w:t>
      </w:r>
      <w:r>
        <w:rPr>
          <w:rFonts w:hint="eastAsia"/>
          <w:sz w:val="24"/>
          <w:szCs w:val="24"/>
          <w:highlight w:val="none"/>
          <w:lang w:val="en-US"/>
        </w:rPr>
        <w:t xml:space="preserve"> </w:t>
      </w:r>
      <w:r>
        <w:rPr>
          <w:rFonts w:hint="eastAsia"/>
          <w:sz w:val="24"/>
          <w:szCs w:val="24"/>
          <w:highlight w:val="none"/>
        </w:rPr>
        <w:t>乙方不得将合同标的分包给他人履行。</w:t>
      </w:r>
    </w:p>
    <w:p w14:paraId="13A96D73">
      <w:pPr>
        <w:spacing w:before="120" w:after="120" w:line="360" w:lineRule="auto"/>
        <w:ind w:firstLine="480" w:firstLineChars="200"/>
        <w:rPr>
          <w:sz w:val="24"/>
          <w:szCs w:val="24"/>
          <w:highlight w:val="none"/>
        </w:rPr>
      </w:pPr>
      <w:r>
        <w:rPr>
          <w:rFonts w:hint="eastAsia"/>
          <w:sz w:val="24"/>
          <w:szCs w:val="24"/>
          <w:highlight w:val="none"/>
        </w:rPr>
        <w:t>7.3</w:t>
      </w:r>
      <w:r>
        <w:rPr>
          <w:rFonts w:hint="eastAsia"/>
          <w:sz w:val="24"/>
          <w:szCs w:val="24"/>
          <w:highlight w:val="none"/>
          <w:lang w:val="en-US"/>
        </w:rPr>
        <w:t xml:space="preserve"> </w:t>
      </w:r>
      <w:r>
        <w:rPr>
          <w:rFonts w:hint="eastAsia"/>
          <w:sz w:val="24"/>
          <w:szCs w:val="24"/>
          <w:highlight w:val="none"/>
        </w:rPr>
        <w:t>乙方如有转包或分包行为，甲方有权解除合同。同时，乙方应当立即退回已收取的全部款项并向甲方支付本合同总价款30%的违约金，该违约金不足以弥补甲方损失的，乙方应赔偿甲方的所有损失。</w:t>
      </w:r>
    </w:p>
    <w:p w14:paraId="124D73E4">
      <w:pPr>
        <w:spacing w:before="120" w:after="120" w:line="360" w:lineRule="auto"/>
        <w:ind w:firstLine="482" w:firstLineChars="200"/>
        <w:rPr>
          <w:b/>
          <w:bCs/>
          <w:sz w:val="24"/>
          <w:szCs w:val="24"/>
          <w:highlight w:val="none"/>
        </w:rPr>
      </w:pPr>
      <w:r>
        <w:rPr>
          <w:rFonts w:hint="eastAsia"/>
          <w:b/>
          <w:bCs/>
          <w:sz w:val="24"/>
          <w:szCs w:val="24"/>
          <w:highlight w:val="none"/>
        </w:rPr>
        <w:t>八、合同款项支付</w:t>
      </w:r>
    </w:p>
    <w:p w14:paraId="0BDA492C">
      <w:pPr>
        <w:spacing w:before="120" w:after="120" w:line="360" w:lineRule="auto"/>
        <w:ind w:firstLine="480" w:firstLineChars="200"/>
        <w:rPr>
          <w:sz w:val="24"/>
          <w:szCs w:val="24"/>
          <w:highlight w:val="none"/>
        </w:rPr>
      </w:pPr>
      <w:r>
        <w:rPr>
          <w:rFonts w:hint="eastAsia"/>
          <w:sz w:val="24"/>
          <w:szCs w:val="24"/>
          <w:highlight w:val="none"/>
          <w:lang w:val="en-US"/>
        </w:rPr>
        <w:t>8.</w:t>
      </w:r>
      <w:r>
        <w:rPr>
          <w:rFonts w:hint="eastAsia"/>
          <w:sz w:val="24"/>
          <w:szCs w:val="24"/>
          <w:highlight w:val="none"/>
        </w:rPr>
        <w:t>1本项目合同一签三年，</w:t>
      </w:r>
      <w:r>
        <w:rPr>
          <w:rFonts w:hint="eastAsia"/>
          <w:sz w:val="24"/>
          <w:szCs w:val="24"/>
          <w:highlight w:val="none"/>
          <w:lang w:val="en-US"/>
        </w:rPr>
        <w:t>甲方</w:t>
      </w:r>
      <w:r>
        <w:rPr>
          <w:rFonts w:hint="eastAsia"/>
          <w:sz w:val="24"/>
          <w:szCs w:val="24"/>
          <w:highlight w:val="none"/>
        </w:rPr>
        <w:t>按照年度进行支付。</w:t>
      </w:r>
    </w:p>
    <w:p w14:paraId="6BA2FA12">
      <w:pPr>
        <w:spacing w:before="120" w:after="120" w:line="360" w:lineRule="auto"/>
        <w:ind w:firstLine="480" w:firstLineChars="200"/>
        <w:rPr>
          <w:sz w:val="24"/>
          <w:szCs w:val="24"/>
          <w:highlight w:val="none"/>
        </w:rPr>
      </w:pPr>
      <w:r>
        <w:rPr>
          <w:rFonts w:hint="eastAsia"/>
          <w:sz w:val="24"/>
          <w:szCs w:val="24"/>
          <w:highlight w:val="none"/>
          <w:lang w:val="en-US"/>
        </w:rPr>
        <w:t>8.2</w:t>
      </w:r>
      <w:r>
        <w:rPr>
          <w:rFonts w:hint="eastAsia"/>
          <w:sz w:val="24"/>
          <w:szCs w:val="24"/>
          <w:highlight w:val="none"/>
        </w:rPr>
        <w:t>项目</w:t>
      </w:r>
      <w:r>
        <w:rPr>
          <w:rFonts w:hint="eastAsia"/>
          <w:sz w:val="24"/>
          <w:szCs w:val="24"/>
          <w:highlight w:val="none"/>
          <w:lang w:val="en-US"/>
        </w:rPr>
        <w:t>合同</w:t>
      </w:r>
      <w:r>
        <w:rPr>
          <w:rFonts w:hint="eastAsia"/>
          <w:sz w:val="24"/>
          <w:szCs w:val="24"/>
          <w:highlight w:val="none"/>
        </w:rPr>
        <w:t>签订</w:t>
      </w:r>
      <w:r>
        <w:rPr>
          <w:rFonts w:hint="eastAsia"/>
          <w:sz w:val="24"/>
          <w:szCs w:val="24"/>
          <w:highlight w:val="none"/>
          <w:lang w:val="en-US"/>
        </w:rPr>
        <w:t>后</w:t>
      </w:r>
      <w:r>
        <w:rPr>
          <w:rFonts w:hint="eastAsia"/>
          <w:sz w:val="24"/>
          <w:szCs w:val="24"/>
          <w:highlight w:val="none"/>
        </w:rPr>
        <w:t>，驻场值守人员</w:t>
      </w:r>
      <w:r>
        <w:rPr>
          <w:rFonts w:hint="eastAsia"/>
          <w:sz w:val="24"/>
          <w:szCs w:val="24"/>
          <w:highlight w:val="none"/>
          <w:lang w:val="en-US"/>
        </w:rPr>
        <w:t>按</w:t>
      </w:r>
      <w:r>
        <w:rPr>
          <w:rFonts w:hint="eastAsia"/>
          <w:sz w:val="24"/>
          <w:szCs w:val="24"/>
          <w:highlight w:val="none"/>
        </w:rPr>
        <w:t>招标要求到场经甲方确认后30个自然日内，甲方支付合同中年度金额的25%作为预付款，第一年维保期满，</w:t>
      </w:r>
      <w:r>
        <w:rPr>
          <w:rFonts w:hint="eastAsia" w:hAnsi="宋体"/>
          <w:bCs/>
          <w:sz w:val="24"/>
          <w:szCs w:val="24"/>
          <w:highlight w:val="none"/>
          <w:lang w:val="en-US"/>
        </w:rPr>
        <w:t>甲方应及时组织考核，</w:t>
      </w:r>
      <w:r>
        <w:rPr>
          <w:rFonts w:hint="eastAsia"/>
          <w:sz w:val="24"/>
          <w:szCs w:val="24"/>
          <w:highlight w:val="none"/>
        </w:rPr>
        <w:t>经甲方量化考核合格后30个自然日内，根据考核结果支付第一年维保剩余应付款项；</w:t>
      </w:r>
    </w:p>
    <w:p w14:paraId="11B1DB17">
      <w:pPr>
        <w:spacing w:before="120" w:after="120" w:line="360" w:lineRule="auto"/>
        <w:ind w:firstLine="480" w:firstLineChars="200"/>
        <w:rPr>
          <w:sz w:val="24"/>
          <w:szCs w:val="24"/>
          <w:highlight w:val="none"/>
        </w:rPr>
      </w:pPr>
      <w:r>
        <w:rPr>
          <w:rFonts w:hint="eastAsia"/>
          <w:sz w:val="24"/>
          <w:szCs w:val="24"/>
          <w:highlight w:val="none"/>
          <w:lang w:val="en-US"/>
        </w:rPr>
        <w:t>8.3</w:t>
      </w:r>
      <w:r>
        <w:rPr>
          <w:rFonts w:hint="eastAsia"/>
          <w:sz w:val="24"/>
          <w:szCs w:val="24"/>
          <w:highlight w:val="none"/>
        </w:rPr>
        <w:t>第二年维保开始后30个自然日内甲方支付合同中年度金额的25%作为预付款，第二年维保期满，</w:t>
      </w:r>
      <w:r>
        <w:rPr>
          <w:rFonts w:hint="eastAsia" w:hAnsi="宋体"/>
          <w:bCs/>
          <w:sz w:val="24"/>
          <w:szCs w:val="24"/>
          <w:highlight w:val="none"/>
          <w:lang w:val="en-US"/>
        </w:rPr>
        <w:t>甲方应及时组织考核，</w:t>
      </w:r>
      <w:r>
        <w:rPr>
          <w:rFonts w:hint="eastAsia"/>
          <w:sz w:val="24"/>
          <w:szCs w:val="24"/>
          <w:highlight w:val="none"/>
        </w:rPr>
        <w:t>经甲方量化考核合格后30个自然日内，根据考核结果支付第二年维保剩余应付款项。</w:t>
      </w:r>
    </w:p>
    <w:p w14:paraId="33AD121D">
      <w:pPr>
        <w:spacing w:before="120" w:after="120" w:line="360" w:lineRule="auto"/>
        <w:ind w:firstLine="480" w:firstLineChars="200"/>
        <w:rPr>
          <w:sz w:val="24"/>
          <w:szCs w:val="24"/>
          <w:highlight w:val="none"/>
        </w:rPr>
      </w:pPr>
      <w:r>
        <w:rPr>
          <w:rFonts w:hint="eastAsia"/>
          <w:sz w:val="24"/>
          <w:szCs w:val="24"/>
          <w:highlight w:val="none"/>
          <w:lang w:val="en-US"/>
        </w:rPr>
        <w:t>8.4</w:t>
      </w:r>
      <w:r>
        <w:rPr>
          <w:rFonts w:hint="eastAsia"/>
          <w:sz w:val="24"/>
          <w:szCs w:val="24"/>
          <w:highlight w:val="none"/>
        </w:rPr>
        <w:t>第三年维保开始后30个自然日内甲方支付合同中年度金额的25%作为预付款，第三年维保期满，</w:t>
      </w:r>
      <w:r>
        <w:rPr>
          <w:rFonts w:hint="eastAsia" w:hAnsi="宋体"/>
          <w:bCs/>
          <w:sz w:val="24"/>
          <w:szCs w:val="24"/>
          <w:highlight w:val="none"/>
          <w:lang w:val="en-US"/>
        </w:rPr>
        <w:t>甲方应及时组织考核，</w:t>
      </w:r>
      <w:r>
        <w:rPr>
          <w:rFonts w:hint="eastAsia"/>
          <w:sz w:val="24"/>
          <w:szCs w:val="24"/>
          <w:highlight w:val="none"/>
        </w:rPr>
        <w:t>经甲方量化考核合格后30个自然日内，根据考核结果支付第三年维保剩余应付款项。</w:t>
      </w:r>
    </w:p>
    <w:p w14:paraId="0404C40D">
      <w:pPr>
        <w:spacing w:before="120" w:after="120" w:line="360" w:lineRule="auto"/>
        <w:ind w:firstLine="480" w:firstLineChars="200"/>
        <w:rPr>
          <w:sz w:val="24"/>
          <w:szCs w:val="24"/>
          <w:highlight w:val="none"/>
        </w:rPr>
      </w:pPr>
      <w:r>
        <w:rPr>
          <w:rFonts w:hint="eastAsia"/>
          <w:sz w:val="24"/>
          <w:szCs w:val="24"/>
          <w:highlight w:val="none"/>
          <w:lang w:val="en-US"/>
        </w:rPr>
        <w:t>8.5</w:t>
      </w:r>
      <w:r>
        <w:rPr>
          <w:rFonts w:hint="eastAsia"/>
          <w:sz w:val="24"/>
          <w:szCs w:val="24"/>
          <w:highlight w:val="none"/>
        </w:rPr>
        <w:t>支付款项金额与考核挂钩，具体详见考核办法。</w:t>
      </w:r>
      <w:r>
        <w:rPr>
          <w:rFonts w:hint="eastAsia" w:hAnsi="宋体"/>
          <w:sz w:val="24"/>
          <w:szCs w:val="24"/>
          <w:highlight w:val="none"/>
          <w:lang w:val="en-US"/>
        </w:rPr>
        <w:t>考核结束后，乙方应及时根据考核结果开具发票，甲方应于收到发票15日内及时支付相应费用。</w:t>
      </w:r>
      <w:r>
        <w:rPr>
          <w:rFonts w:hint="eastAsia"/>
          <w:sz w:val="24"/>
          <w:szCs w:val="24"/>
          <w:highlight w:val="none"/>
        </w:rPr>
        <w:t>如因财政资金拨付不到位等原因，双方可协调延迟付款，甲方不承担违约责任。</w:t>
      </w:r>
    </w:p>
    <w:p w14:paraId="3CD2C03E">
      <w:pPr>
        <w:spacing w:before="120" w:after="120" w:line="360" w:lineRule="auto"/>
        <w:ind w:firstLine="482" w:firstLineChars="200"/>
        <w:rPr>
          <w:b/>
          <w:bCs/>
          <w:sz w:val="24"/>
          <w:szCs w:val="24"/>
          <w:highlight w:val="none"/>
          <w:lang w:val="en-US"/>
        </w:rPr>
      </w:pPr>
      <w:r>
        <w:rPr>
          <w:rFonts w:hint="eastAsia"/>
          <w:b/>
          <w:bCs/>
          <w:sz w:val="24"/>
          <w:szCs w:val="24"/>
          <w:highlight w:val="none"/>
        </w:rPr>
        <w:t>九、税费</w:t>
      </w:r>
      <w:r>
        <w:rPr>
          <w:rFonts w:hint="eastAsia"/>
          <w:b/>
          <w:bCs/>
          <w:sz w:val="24"/>
          <w:szCs w:val="24"/>
          <w:highlight w:val="none"/>
          <w:lang w:val="en-US"/>
        </w:rPr>
        <w:t>及其他</w:t>
      </w:r>
    </w:p>
    <w:p w14:paraId="48F244B6">
      <w:pPr>
        <w:spacing w:before="145" w:after="145" w:line="360" w:lineRule="auto"/>
        <w:ind w:firstLine="480" w:firstLineChars="200"/>
        <w:rPr>
          <w:sz w:val="24"/>
          <w:szCs w:val="24"/>
          <w:highlight w:val="none"/>
        </w:rPr>
      </w:pPr>
      <w:r>
        <w:rPr>
          <w:sz w:val="24"/>
          <w:szCs w:val="24"/>
          <w:highlight w:val="none"/>
        </w:rPr>
        <w:t>9.1</w:t>
      </w:r>
      <w:r>
        <w:rPr>
          <w:rFonts w:hint="eastAsia"/>
          <w:sz w:val="24"/>
          <w:szCs w:val="24"/>
          <w:highlight w:val="none"/>
        </w:rPr>
        <w:t>本合同执行中相关的一切税费均由乙方负担。</w:t>
      </w:r>
    </w:p>
    <w:p w14:paraId="1019E033">
      <w:pPr>
        <w:spacing w:before="120" w:after="120" w:line="360" w:lineRule="auto"/>
        <w:ind w:firstLine="482" w:firstLineChars="200"/>
        <w:rPr>
          <w:b/>
          <w:bCs/>
          <w:sz w:val="24"/>
          <w:szCs w:val="24"/>
          <w:highlight w:val="none"/>
        </w:rPr>
      </w:pPr>
      <w:r>
        <w:rPr>
          <w:rFonts w:hint="eastAsia"/>
          <w:b/>
          <w:bCs/>
          <w:sz w:val="24"/>
          <w:szCs w:val="24"/>
          <w:highlight w:val="none"/>
        </w:rPr>
        <w:t>十、违约责任</w:t>
      </w:r>
    </w:p>
    <w:p w14:paraId="0D8AC0B9">
      <w:pPr>
        <w:adjustRightInd w:val="0"/>
        <w:snapToGrid w:val="0"/>
        <w:spacing w:before="120" w:after="120" w:line="360" w:lineRule="auto"/>
        <w:ind w:firstLine="480" w:firstLineChars="200"/>
        <w:rPr>
          <w:sz w:val="24"/>
          <w:szCs w:val="24"/>
          <w:highlight w:val="none"/>
        </w:rPr>
      </w:pPr>
      <w:r>
        <w:rPr>
          <w:rFonts w:hint="eastAsia"/>
          <w:sz w:val="24"/>
          <w:szCs w:val="24"/>
          <w:highlight w:val="none"/>
          <w:lang w:val="en-US"/>
        </w:rPr>
        <w:t>10</w:t>
      </w:r>
      <w:r>
        <w:rPr>
          <w:rFonts w:hint="eastAsia"/>
          <w:sz w:val="24"/>
          <w:szCs w:val="24"/>
          <w:highlight w:val="none"/>
        </w:rPr>
        <w:t>.1 甲方无正当理由拒绝接受乙方提供服务的，甲方向乙方偿付拒绝接受服务合同价款总值</w:t>
      </w:r>
      <w:r>
        <w:rPr>
          <w:rFonts w:hint="eastAsia"/>
          <w:sz w:val="24"/>
          <w:szCs w:val="24"/>
          <w:highlight w:val="none"/>
          <w:lang w:val="en-US"/>
        </w:rPr>
        <w:t>百</w:t>
      </w:r>
      <w:r>
        <w:rPr>
          <w:rFonts w:hint="eastAsia"/>
          <w:sz w:val="24"/>
          <w:szCs w:val="24"/>
          <w:highlight w:val="none"/>
        </w:rPr>
        <w:t>分之五的违约金。</w:t>
      </w:r>
    </w:p>
    <w:p w14:paraId="23BFD161">
      <w:pPr>
        <w:adjustRightInd w:val="0"/>
        <w:snapToGrid w:val="0"/>
        <w:spacing w:before="120" w:after="120" w:line="360" w:lineRule="auto"/>
        <w:ind w:firstLine="480" w:firstLineChars="200"/>
        <w:rPr>
          <w:sz w:val="24"/>
          <w:szCs w:val="24"/>
          <w:highlight w:val="none"/>
          <w:lang w:val="en-US"/>
        </w:rPr>
      </w:pPr>
      <w:r>
        <w:rPr>
          <w:sz w:val="24"/>
          <w:szCs w:val="24"/>
          <w:highlight w:val="none"/>
          <w:lang w:val="en-US"/>
        </w:rPr>
        <w:t>10.2</w:t>
      </w:r>
      <w:r>
        <w:rPr>
          <w:rFonts w:hint="eastAsia"/>
          <w:kern w:val="2"/>
          <w:sz w:val="24"/>
          <w:szCs w:val="24"/>
          <w:highlight w:val="none"/>
          <w:lang w:val="en-US"/>
        </w:rPr>
        <w:t>乙方应按招标要求提供原厂专业技术支撑和配件供给等</w:t>
      </w:r>
      <w:r>
        <w:rPr>
          <w:rFonts w:hint="eastAsia" w:hAnsi="宋体"/>
          <w:sz w:val="24"/>
          <w:szCs w:val="24"/>
          <w:highlight w:val="none"/>
          <w:lang w:val="en-US"/>
        </w:rPr>
        <w:t>，如未能履行，甲方有权终止合同。</w:t>
      </w:r>
    </w:p>
    <w:p w14:paraId="587B01B9">
      <w:pPr>
        <w:adjustRightInd w:val="0"/>
        <w:snapToGrid w:val="0"/>
        <w:spacing w:before="120" w:after="120" w:line="360" w:lineRule="auto"/>
        <w:ind w:firstLine="480" w:firstLineChars="200"/>
        <w:rPr>
          <w:sz w:val="24"/>
          <w:szCs w:val="24"/>
          <w:highlight w:val="none"/>
        </w:rPr>
      </w:pPr>
      <w:r>
        <w:rPr>
          <w:sz w:val="24"/>
          <w:szCs w:val="24"/>
          <w:highlight w:val="none"/>
        </w:rPr>
        <w:t>10.</w:t>
      </w:r>
      <w:r>
        <w:rPr>
          <w:rFonts w:hint="eastAsia"/>
          <w:sz w:val="24"/>
          <w:szCs w:val="24"/>
          <w:highlight w:val="none"/>
          <w:lang w:val="en-US"/>
        </w:rPr>
        <w:t>3</w:t>
      </w:r>
      <w:r>
        <w:rPr>
          <w:sz w:val="24"/>
          <w:szCs w:val="24"/>
          <w:highlight w:val="none"/>
        </w:rPr>
        <w:t xml:space="preserve"> </w:t>
      </w:r>
      <w:r>
        <w:rPr>
          <w:rFonts w:hint="eastAsia"/>
          <w:sz w:val="24"/>
          <w:szCs w:val="24"/>
          <w:highlight w:val="none"/>
        </w:rPr>
        <w:t>乙方逾期提供服务的，乙方应根据逾期天数，每日按合同总额</w:t>
      </w:r>
      <w:r>
        <w:rPr>
          <w:rFonts w:hint="eastAsia"/>
          <w:sz w:val="24"/>
          <w:szCs w:val="24"/>
          <w:highlight w:val="none"/>
          <w:lang w:val="en-US"/>
        </w:rPr>
        <w:t>万分之五</w:t>
      </w:r>
      <w:r>
        <w:rPr>
          <w:rFonts w:hint="eastAsia"/>
          <w:sz w:val="24"/>
          <w:szCs w:val="24"/>
          <w:highlight w:val="none"/>
        </w:rPr>
        <w:t>向甲方支付违约金，由甲方从待付合同款项中扣除。逾期超过约定日期</w:t>
      </w:r>
      <w:r>
        <w:rPr>
          <w:sz w:val="24"/>
          <w:szCs w:val="24"/>
          <w:highlight w:val="none"/>
        </w:rPr>
        <w:t>10</w:t>
      </w:r>
      <w:r>
        <w:rPr>
          <w:rFonts w:hint="eastAsia"/>
          <w:sz w:val="24"/>
          <w:szCs w:val="24"/>
          <w:highlight w:val="none"/>
        </w:rPr>
        <w:t>个工作日不能提供服务的，甲方可解除本合同。乙方因逾期提供服务或因其他违约行为导致甲方解除合同的，乙方应向甲方支付合同价款总额的百分之</w:t>
      </w:r>
      <w:r>
        <w:rPr>
          <w:rFonts w:hint="eastAsia"/>
          <w:sz w:val="24"/>
          <w:szCs w:val="24"/>
          <w:highlight w:val="none"/>
          <w:lang w:val="en-US"/>
        </w:rPr>
        <w:t>五</w:t>
      </w:r>
      <w:r>
        <w:rPr>
          <w:rFonts w:hint="eastAsia"/>
          <w:sz w:val="24"/>
          <w:szCs w:val="24"/>
          <w:highlight w:val="none"/>
        </w:rPr>
        <w:t>违约金，如造成甲方损失超过违约金的，超出部分由乙方继续承担赔偿责任。</w:t>
      </w:r>
      <w:r>
        <w:rPr>
          <w:sz w:val="24"/>
          <w:szCs w:val="24"/>
          <w:highlight w:val="none"/>
        </w:rPr>
        <w:t xml:space="preserve"> </w:t>
      </w:r>
    </w:p>
    <w:p w14:paraId="4E8F1C35">
      <w:pPr>
        <w:adjustRightInd w:val="0"/>
        <w:snapToGrid w:val="0"/>
        <w:spacing w:before="120" w:after="120" w:line="360" w:lineRule="auto"/>
        <w:ind w:firstLine="480" w:firstLineChars="200"/>
        <w:rPr>
          <w:sz w:val="24"/>
          <w:szCs w:val="24"/>
          <w:highlight w:val="none"/>
        </w:rPr>
      </w:pPr>
      <w:r>
        <w:rPr>
          <w:sz w:val="24"/>
          <w:szCs w:val="24"/>
          <w:highlight w:val="none"/>
        </w:rPr>
        <w:t>10.</w:t>
      </w:r>
      <w:r>
        <w:rPr>
          <w:rFonts w:hint="eastAsia"/>
          <w:sz w:val="24"/>
          <w:szCs w:val="24"/>
          <w:highlight w:val="none"/>
          <w:lang w:val="en-US"/>
        </w:rPr>
        <w:t>4</w:t>
      </w:r>
      <w:r>
        <w:rPr>
          <w:sz w:val="24"/>
          <w:szCs w:val="24"/>
          <w:highlight w:val="none"/>
        </w:rPr>
        <w:t xml:space="preserve"> </w:t>
      </w:r>
      <w:r>
        <w:rPr>
          <w:rFonts w:hint="eastAsia"/>
          <w:sz w:val="24"/>
          <w:szCs w:val="24"/>
          <w:highlight w:val="none"/>
        </w:rPr>
        <w:t>乙方所提供服务的标准不符合合同规定及招标文件规定标准的，甲方有权拒绝接受服务，并可单方面解除合同。</w:t>
      </w:r>
    </w:p>
    <w:p w14:paraId="5CA79A67">
      <w:pPr>
        <w:pStyle w:val="12"/>
        <w:adjustRightInd w:val="0"/>
        <w:snapToGrid w:val="0"/>
        <w:spacing w:line="360" w:lineRule="auto"/>
        <w:ind w:firstLine="480" w:firstLineChars="200"/>
        <w:rPr>
          <w:rFonts w:cs="宋体"/>
          <w:kern w:val="0"/>
          <w:sz w:val="24"/>
          <w:szCs w:val="24"/>
          <w:highlight w:val="none"/>
          <w:lang w:val="zh-CN" w:bidi="zh-CN"/>
        </w:rPr>
      </w:pPr>
      <w:r>
        <w:rPr>
          <w:rFonts w:hint="eastAsia" w:cs="宋体"/>
          <w:kern w:val="0"/>
          <w:sz w:val="24"/>
          <w:szCs w:val="24"/>
          <w:highlight w:val="none"/>
          <w:lang w:bidi="zh-CN"/>
        </w:rPr>
        <w:t>10.5合</w:t>
      </w:r>
      <w:r>
        <w:rPr>
          <w:rFonts w:hint="eastAsia" w:cs="宋体"/>
          <w:kern w:val="0"/>
          <w:sz w:val="24"/>
          <w:szCs w:val="24"/>
          <w:highlight w:val="none"/>
          <w:lang w:val="zh-CN" w:bidi="zh-CN"/>
        </w:rPr>
        <w:t>同签订后，乙方投标文件中承诺的人员或服务事项</w:t>
      </w:r>
      <w:r>
        <w:rPr>
          <w:rFonts w:hint="eastAsia" w:cs="宋体"/>
          <w:kern w:val="0"/>
          <w:sz w:val="24"/>
          <w:szCs w:val="24"/>
          <w:highlight w:val="none"/>
          <w:lang w:bidi="zh-CN"/>
        </w:rPr>
        <w:t>未能</w:t>
      </w:r>
      <w:r>
        <w:rPr>
          <w:rFonts w:hint="eastAsia" w:cs="宋体"/>
          <w:kern w:val="0"/>
          <w:sz w:val="24"/>
          <w:szCs w:val="24"/>
          <w:highlight w:val="none"/>
          <w:lang w:val="zh-CN" w:bidi="zh-CN"/>
        </w:rPr>
        <w:t>兑现的，甲方</w:t>
      </w:r>
      <w:r>
        <w:rPr>
          <w:rFonts w:hint="eastAsia" w:cs="宋体"/>
          <w:kern w:val="0"/>
          <w:sz w:val="24"/>
          <w:szCs w:val="24"/>
          <w:highlight w:val="none"/>
          <w:lang w:bidi="zh-CN"/>
        </w:rPr>
        <w:t>除按照</w:t>
      </w:r>
      <w:r>
        <w:rPr>
          <w:rFonts w:hint="eastAsia" w:cs="宋体"/>
          <w:kern w:val="0"/>
          <w:sz w:val="24"/>
          <w:szCs w:val="24"/>
          <w:highlight w:val="none"/>
          <w:lang w:val="zh-CN" w:bidi="zh-CN"/>
        </w:rPr>
        <w:t>履约保函</w:t>
      </w:r>
      <w:r>
        <w:rPr>
          <w:rFonts w:hint="eastAsia" w:cs="宋体"/>
          <w:kern w:val="0"/>
          <w:sz w:val="24"/>
          <w:szCs w:val="24"/>
          <w:highlight w:val="none"/>
          <w:lang w:bidi="zh-CN"/>
        </w:rPr>
        <w:t>索赔外，</w:t>
      </w:r>
      <w:r>
        <w:rPr>
          <w:rFonts w:hint="eastAsia" w:cs="宋体"/>
          <w:kern w:val="0"/>
          <w:sz w:val="24"/>
          <w:szCs w:val="24"/>
          <w:highlight w:val="none"/>
          <w:lang w:val="zh-CN" w:bidi="zh-CN"/>
        </w:rPr>
        <w:t>有权决定是否继续履行合同。</w:t>
      </w:r>
      <w:r>
        <w:rPr>
          <w:rFonts w:hint="eastAsia" w:cs="宋体"/>
          <w:kern w:val="0"/>
          <w:sz w:val="24"/>
          <w:szCs w:val="24"/>
          <w:highlight w:val="none"/>
          <w:lang w:bidi="zh-CN"/>
        </w:rPr>
        <w:t>并视情将乙方违规行为报当地</w:t>
      </w:r>
      <w:r>
        <w:rPr>
          <w:rFonts w:hint="eastAsia" w:cs="宋体"/>
          <w:kern w:val="0"/>
          <w:sz w:val="24"/>
          <w:szCs w:val="24"/>
          <w:highlight w:val="none"/>
          <w:lang w:val="zh-CN" w:bidi="zh-CN"/>
        </w:rPr>
        <w:t>政府采购</w:t>
      </w:r>
      <w:r>
        <w:rPr>
          <w:rFonts w:hint="eastAsia" w:cs="宋体"/>
          <w:kern w:val="0"/>
          <w:sz w:val="24"/>
          <w:szCs w:val="24"/>
          <w:highlight w:val="none"/>
          <w:lang w:bidi="zh-CN"/>
        </w:rPr>
        <w:t>监管部门</w:t>
      </w:r>
      <w:r>
        <w:rPr>
          <w:rFonts w:hint="eastAsia" w:cs="宋体"/>
          <w:kern w:val="0"/>
          <w:sz w:val="24"/>
          <w:szCs w:val="24"/>
          <w:highlight w:val="none"/>
          <w:lang w:val="zh-CN" w:bidi="zh-CN"/>
        </w:rPr>
        <w:t>。若甲方决定解除合同，在</w:t>
      </w:r>
      <w:r>
        <w:rPr>
          <w:rFonts w:hint="eastAsia" w:cs="宋体"/>
          <w:kern w:val="0"/>
          <w:sz w:val="24"/>
          <w:szCs w:val="24"/>
          <w:highlight w:val="none"/>
          <w:lang w:bidi="zh-CN"/>
        </w:rPr>
        <w:t>甲方</w:t>
      </w:r>
      <w:r>
        <w:rPr>
          <w:rFonts w:hint="eastAsia" w:cs="宋体"/>
          <w:kern w:val="0"/>
          <w:sz w:val="24"/>
          <w:szCs w:val="24"/>
          <w:highlight w:val="none"/>
          <w:lang w:val="zh-CN" w:bidi="zh-CN"/>
        </w:rPr>
        <w:t>未招标确定下一家供应商之前，</w:t>
      </w:r>
      <w:r>
        <w:rPr>
          <w:rFonts w:hint="eastAsia" w:cs="宋体"/>
          <w:kern w:val="0"/>
          <w:sz w:val="24"/>
          <w:szCs w:val="24"/>
          <w:highlight w:val="none"/>
          <w:lang w:bidi="zh-CN"/>
        </w:rPr>
        <w:t>乙方</w:t>
      </w:r>
      <w:r>
        <w:rPr>
          <w:rFonts w:hint="eastAsia" w:cs="宋体"/>
          <w:kern w:val="0"/>
          <w:sz w:val="24"/>
          <w:szCs w:val="24"/>
          <w:highlight w:val="none"/>
          <w:lang w:val="zh-CN" w:bidi="zh-CN"/>
        </w:rPr>
        <w:t>应继续按原约定标准进行服务。</w:t>
      </w:r>
    </w:p>
    <w:p w14:paraId="2F1E591C">
      <w:pPr>
        <w:pStyle w:val="12"/>
        <w:adjustRightInd w:val="0"/>
        <w:snapToGrid w:val="0"/>
        <w:spacing w:line="360" w:lineRule="auto"/>
        <w:ind w:firstLine="480" w:firstLineChars="200"/>
        <w:rPr>
          <w:rFonts w:cs="宋体"/>
          <w:kern w:val="0"/>
          <w:sz w:val="24"/>
          <w:szCs w:val="24"/>
          <w:highlight w:val="none"/>
          <w:lang w:bidi="zh-CN"/>
        </w:rPr>
      </w:pPr>
      <w:r>
        <w:rPr>
          <w:rFonts w:hint="eastAsia" w:cs="宋体"/>
          <w:kern w:val="0"/>
          <w:sz w:val="24"/>
          <w:szCs w:val="24"/>
          <w:highlight w:val="none"/>
          <w:lang w:bidi="zh-CN"/>
        </w:rPr>
        <w:t>10.6</w:t>
      </w:r>
      <w:r>
        <w:rPr>
          <w:rFonts w:hint="eastAsia" w:cs="宋体"/>
          <w:kern w:val="0"/>
          <w:sz w:val="24"/>
          <w:szCs w:val="24"/>
          <w:highlight w:val="none"/>
          <w:lang w:val="zh-CN" w:bidi="zh-CN"/>
        </w:rPr>
        <w:t>乙方在服务过程中向甲方提交虚假材料，不如实告知服务具体情况，致使甲方产生损失的，甲方有权终止本合同，乙方除应赔偿甲方因此产生的全部损失外，还应向甲方支付本合同总价款30%的违约金，违约金不足以弥补甲方损失的，乙方应赔偿甲方所有损失。</w:t>
      </w:r>
    </w:p>
    <w:p w14:paraId="59C0A454">
      <w:pPr>
        <w:spacing w:before="120" w:after="120" w:line="360" w:lineRule="auto"/>
        <w:ind w:firstLine="482" w:firstLineChars="200"/>
        <w:rPr>
          <w:b/>
          <w:bCs/>
          <w:sz w:val="24"/>
          <w:szCs w:val="24"/>
          <w:highlight w:val="none"/>
        </w:rPr>
      </w:pPr>
      <w:r>
        <w:rPr>
          <w:rFonts w:hint="eastAsia"/>
          <w:b/>
          <w:bCs/>
          <w:sz w:val="24"/>
          <w:szCs w:val="24"/>
          <w:highlight w:val="none"/>
        </w:rPr>
        <w:t>十一、廉政廉洁条款</w:t>
      </w:r>
    </w:p>
    <w:p w14:paraId="39685A02">
      <w:pPr>
        <w:adjustRightInd w:val="0"/>
        <w:snapToGrid w:val="0"/>
        <w:spacing w:before="120" w:after="120" w:line="360" w:lineRule="auto"/>
        <w:ind w:firstLine="480" w:firstLineChars="200"/>
        <w:rPr>
          <w:sz w:val="24"/>
          <w:szCs w:val="24"/>
          <w:highlight w:val="none"/>
        </w:rPr>
      </w:pPr>
      <w:r>
        <w:rPr>
          <w:rFonts w:hint="eastAsia"/>
          <w:sz w:val="24"/>
          <w:szCs w:val="24"/>
          <w:highlight w:val="none"/>
        </w:rPr>
        <w:t>11.1 采购过程中如发现乙方围标、串标，或向甲方行贿等违法违规行为的，一经查实，甲方有权终止合同，并不再支付乙方剩余合同款，乙方退回已支付合同款，同时，承诺不再参加甲方后三年组织的政府采购活动。</w:t>
      </w:r>
    </w:p>
    <w:p w14:paraId="36918FA8">
      <w:pPr>
        <w:spacing w:before="120" w:after="120" w:line="360" w:lineRule="auto"/>
        <w:ind w:firstLine="482" w:firstLineChars="200"/>
        <w:rPr>
          <w:b/>
          <w:bCs/>
          <w:sz w:val="24"/>
          <w:szCs w:val="24"/>
          <w:highlight w:val="none"/>
        </w:rPr>
      </w:pPr>
      <w:r>
        <w:rPr>
          <w:rFonts w:hint="eastAsia"/>
          <w:b/>
          <w:bCs/>
          <w:sz w:val="24"/>
          <w:szCs w:val="24"/>
          <w:highlight w:val="none"/>
        </w:rPr>
        <w:t>十二</w:t>
      </w:r>
      <w:r>
        <w:rPr>
          <w:rFonts w:hint="eastAsia"/>
          <w:b/>
          <w:bCs/>
          <w:sz w:val="24"/>
          <w:szCs w:val="24"/>
          <w:highlight w:val="none"/>
          <w:lang w:val="en-US"/>
        </w:rPr>
        <w:t>、</w:t>
      </w:r>
      <w:r>
        <w:rPr>
          <w:rFonts w:hint="eastAsia"/>
          <w:b/>
          <w:bCs/>
          <w:sz w:val="24"/>
          <w:szCs w:val="24"/>
          <w:highlight w:val="none"/>
        </w:rPr>
        <w:t>保密条款</w:t>
      </w:r>
    </w:p>
    <w:p w14:paraId="76B27340">
      <w:pPr>
        <w:spacing w:before="120" w:after="120" w:line="360" w:lineRule="auto"/>
        <w:ind w:firstLine="480" w:firstLineChars="200"/>
        <w:rPr>
          <w:sz w:val="24"/>
          <w:szCs w:val="24"/>
          <w:highlight w:val="none"/>
        </w:rPr>
      </w:pPr>
      <w:r>
        <w:rPr>
          <w:rFonts w:hint="eastAsia"/>
          <w:sz w:val="24"/>
          <w:szCs w:val="24"/>
          <w:highlight w:val="none"/>
        </w:rPr>
        <w:t>1</w:t>
      </w:r>
      <w:r>
        <w:rPr>
          <w:rFonts w:hint="eastAsia"/>
          <w:sz w:val="24"/>
          <w:szCs w:val="24"/>
          <w:highlight w:val="none"/>
          <w:lang w:val="en-US"/>
        </w:rPr>
        <w:t>2</w:t>
      </w:r>
      <w:r>
        <w:rPr>
          <w:rFonts w:hint="eastAsia"/>
          <w:sz w:val="24"/>
          <w:szCs w:val="24"/>
          <w:highlight w:val="none"/>
        </w:rPr>
        <w:t>.1甲乙双方在合作过程中知悉的对方一切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w:t>
      </w:r>
    </w:p>
    <w:p w14:paraId="3363B252">
      <w:pPr>
        <w:spacing w:before="120" w:after="120" w:line="360" w:lineRule="auto"/>
        <w:ind w:firstLine="480" w:firstLineChars="200"/>
        <w:rPr>
          <w:sz w:val="24"/>
          <w:szCs w:val="24"/>
          <w:highlight w:val="none"/>
          <w:lang w:val="en-US"/>
        </w:rPr>
      </w:pPr>
      <w:r>
        <w:rPr>
          <w:rFonts w:hint="eastAsia"/>
          <w:sz w:val="24"/>
          <w:szCs w:val="24"/>
          <w:highlight w:val="none"/>
        </w:rPr>
        <w:t>1</w:t>
      </w:r>
      <w:r>
        <w:rPr>
          <w:rFonts w:hint="eastAsia"/>
          <w:sz w:val="24"/>
          <w:szCs w:val="24"/>
          <w:highlight w:val="none"/>
          <w:lang w:val="en-US"/>
        </w:rPr>
        <w:t>2</w:t>
      </w:r>
      <w:r>
        <w:rPr>
          <w:rFonts w:hint="eastAsia"/>
          <w:sz w:val="24"/>
          <w:szCs w:val="24"/>
          <w:highlight w:val="none"/>
        </w:rPr>
        <w:t>.2无论本合同是否变更、解除或终止，合同的保密条款不受其限制而继续有效，双方都应继续承担保密条款约定的保密义务。保密义务的期限为永久。</w:t>
      </w:r>
    </w:p>
    <w:p w14:paraId="5D85DD90">
      <w:pPr>
        <w:spacing w:before="120" w:after="120" w:line="360" w:lineRule="auto"/>
        <w:ind w:firstLine="480" w:firstLineChars="200"/>
        <w:rPr>
          <w:sz w:val="24"/>
          <w:szCs w:val="24"/>
          <w:highlight w:val="none"/>
          <w:lang w:val="en-US"/>
        </w:rPr>
      </w:pPr>
      <w:r>
        <w:rPr>
          <w:rFonts w:hint="eastAsia"/>
          <w:sz w:val="24"/>
          <w:szCs w:val="24"/>
          <w:highlight w:val="none"/>
          <w:lang w:val="en-US"/>
        </w:rPr>
        <w:t>12.3乙方应与甲方签订保密协议书（详见附件）。</w:t>
      </w:r>
    </w:p>
    <w:p w14:paraId="4505C009">
      <w:pPr>
        <w:spacing w:before="120" w:after="120" w:line="360" w:lineRule="auto"/>
        <w:ind w:firstLine="482" w:firstLineChars="200"/>
        <w:rPr>
          <w:b/>
          <w:bCs/>
          <w:sz w:val="24"/>
          <w:szCs w:val="24"/>
          <w:highlight w:val="none"/>
        </w:rPr>
      </w:pPr>
      <w:r>
        <w:rPr>
          <w:rFonts w:hint="eastAsia"/>
          <w:b/>
          <w:bCs/>
          <w:sz w:val="24"/>
          <w:szCs w:val="24"/>
          <w:highlight w:val="none"/>
        </w:rPr>
        <w:t>十</w:t>
      </w:r>
      <w:r>
        <w:rPr>
          <w:rFonts w:hint="eastAsia"/>
          <w:b/>
          <w:bCs/>
          <w:sz w:val="24"/>
          <w:szCs w:val="24"/>
          <w:highlight w:val="none"/>
          <w:lang w:val="en-US"/>
        </w:rPr>
        <w:t>三</w:t>
      </w:r>
      <w:r>
        <w:rPr>
          <w:rFonts w:hint="eastAsia"/>
          <w:b/>
          <w:bCs/>
          <w:sz w:val="24"/>
          <w:szCs w:val="24"/>
          <w:highlight w:val="none"/>
        </w:rPr>
        <w:t>、不可抗力事件处理</w:t>
      </w:r>
    </w:p>
    <w:p w14:paraId="18286E30">
      <w:pPr>
        <w:spacing w:before="120" w:after="120" w:line="360" w:lineRule="auto"/>
        <w:ind w:firstLine="480" w:firstLineChars="200"/>
        <w:rPr>
          <w:sz w:val="24"/>
          <w:szCs w:val="24"/>
          <w:highlight w:val="none"/>
        </w:rPr>
      </w:pPr>
      <w:r>
        <w:rPr>
          <w:sz w:val="24"/>
          <w:szCs w:val="24"/>
          <w:highlight w:val="none"/>
        </w:rPr>
        <w:t>1</w:t>
      </w:r>
      <w:r>
        <w:rPr>
          <w:rFonts w:hint="eastAsia"/>
          <w:sz w:val="24"/>
          <w:szCs w:val="24"/>
          <w:highlight w:val="none"/>
          <w:lang w:val="en-US"/>
        </w:rPr>
        <w:t>3</w:t>
      </w:r>
      <w:r>
        <w:rPr>
          <w:sz w:val="24"/>
          <w:szCs w:val="24"/>
          <w:highlight w:val="none"/>
        </w:rPr>
        <w:t xml:space="preserve">.1 </w:t>
      </w:r>
      <w:r>
        <w:rPr>
          <w:rFonts w:hint="eastAsia"/>
          <w:sz w:val="24"/>
          <w:szCs w:val="24"/>
          <w:highlight w:val="none"/>
        </w:rPr>
        <w:t>在合同有效期内，任何一方因不可抗力事件导致不能履行合同，则合同履行期可延长，其延长期与不可抗力影响期相同。</w:t>
      </w:r>
    </w:p>
    <w:p w14:paraId="34215B56">
      <w:pPr>
        <w:spacing w:before="120" w:after="120" w:line="360" w:lineRule="auto"/>
        <w:ind w:firstLine="480" w:firstLineChars="200"/>
        <w:rPr>
          <w:sz w:val="24"/>
          <w:szCs w:val="24"/>
          <w:highlight w:val="none"/>
        </w:rPr>
      </w:pPr>
      <w:r>
        <w:rPr>
          <w:sz w:val="24"/>
          <w:szCs w:val="24"/>
          <w:highlight w:val="none"/>
        </w:rPr>
        <w:t>1</w:t>
      </w:r>
      <w:r>
        <w:rPr>
          <w:rFonts w:hint="eastAsia"/>
          <w:sz w:val="24"/>
          <w:szCs w:val="24"/>
          <w:highlight w:val="none"/>
          <w:lang w:val="en-US"/>
        </w:rPr>
        <w:t>3</w:t>
      </w:r>
      <w:r>
        <w:rPr>
          <w:sz w:val="24"/>
          <w:szCs w:val="24"/>
          <w:highlight w:val="none"/>
        </w:rPr>
        <w:t xml:space="preserve">.2 </w:t>
      </w:r>
      <w:r>
        <w:rPr>
          <w:rFonts w:hint="eastAsia"/>
          <w:sz w:val="24"/>
          <w:szCs w:val="24"/>
          <w:highlight w:val="none"/>
        </w:rPr>
        <w:t>不可抗力事件发生后，应立即通知对方，并寄送有关权威机构出具的证明。</w:t>
      </w:r>
    </w:p>
    <w:p w14:paraId="4EFD00EC">
      <w:pPr>
        <w:spacing w:before="120" w:after="120" w:line="360" w:lineRule="auto"/>
        <w:ind w:firstLine="480" w:firstLineChars="200"/>
        <w:rPr>
          <w:sz w:val="24"/>
          <w:szCs w:val="24"/>
          <w:highlight w:val="none"/>
        </w:rPr>
      </w:pPr>
      <w:r>
        <w:rPr>
          <w:sz w:val="24"/>
          <w:szCs w:val="24"/>
          <w:highlight w:val="none"/>
        </w:rPr>
        <w:t>1</w:t>
      </w:r>
      <w:r>
        <w:rPr>
          <w:rFonts w:hint="eastAsia"/>
          <w:sz w:val="24"/>
          <w:szCs w:val="24"/>
          <w:highlight w:val="none"/>
          <w:lang w:val="en-US"/>
        </w:rPr>
        <w:t>3</w:t>
      </w:r>
      <w:r>
        <w:rPr>
          <w:sz w:val="24"/>
          <w:szCs w:val="24"/>
          <w:highlight w:val="none"/>
        </w:rPr>
        <w:t xml:space="preserve">.3 </w:t>
      </w:r>
      <w:r>
        <w:rPr>
          <w:rFonts w:hint="eastAsia"/>
          <w:sz w:val="24"/>
          <w:szCs w:val="24"/>
          <w:highlight w:val="none"/>
        </w:rPr>
        <w:t>不可抗力事件延续</w:t>
      </w:r>
      <w:r>
        <w:rPr>
          <w:sz w:val="24"/>
          <w:szCs w:val="24"/>
          <w:highlight w:val="none"/>
        </w:rPr>
        <w:t>120</w:t>
      </w:r>
      <w:r>
        <w:rPr>
          <w:rFonts w:hint="eastAsia"/>
          <w:sz w:val="24"/>
          <w:szCs w:val="24"/>
          <w:highlight w:val="none"/>
        </w:rPr>
        <w:t>天以上，双方应通过友好协商，确定是否继续履行合同。</w:t>
      </w:r>
    </w:p>
    <w:p w14:paraId="164D2242">
      <w:pPr>
        <w:spacing w:before="120" w:after="120" w:line="360" w:lineRule="auto"/>
        <w:ind w:firstLine="482" w:firstLineChars="200"/>
        <w:rPr>
          <w:b/>
          <w:bCs/>
          <w:sz w:val="24"/>
          <w:szCs w:val="24"/>
          <w:highlight w:val="none"/>
        </w:rPr>
      </w:pPr>
      <w:r>
        <w:rPr>
          <w:rFonts w:hint="eastAsia"/>
          <w:b/>
          <w:bCs/>
          <w:sz w:val="24"/>
          <w:szCs w:val="24"/>
          <w:highlight w:val="none"/>
        </w:rPr>
        <w:t>十</w:t>
      </w:r>
      <w:r>
        <w:rPr>
          <w:rFonts w:hint="eastAsia"/>
          <w:b/>
          <w:bCs/>
          <w:sz w:val="24"/>
          <w:szCs w:val="24"/>
          <w:highlight w:val="none"/>
          <w:lang w:val="en-US"/>
        </w:rPr>
        <w:t>四</w:t>
      </w:r>
      <w:r>
        <w:rPr>
          <w:rFonts w:hint="eastAsia"/>
          <w:b/>
          <w:bCs/>
          <w:sz w:val="24"/>
          <w:szCs w:val="24"/>
          <w:highlight w:val="none"/>
        </w:rPr>
        <w:t>、解决争议的方法</w:t>
      </w:r>
    </w:p>
    <w:p w14:paraId="59829EBB">
      <w:pPr>
        <w:spacing w:before="120" w:after="120" w:line="360" w:lineRule="auto"/>
        <w:ind w:firstLine="480" w:firstLineChars="200"/>
        <w:rPr>
          <w:sz w:val="24"/>
          <w:szCs w:val="24"/>
          <w:highlight w:val="none"/>
        </w:rPr>
      </w:pPr>
      <w:r>
        <w:rPr>
          <w:sz w:val="24"/>
          <w:szCs w:val="24"/>
          <w:highlight w:val="none"/>
        </w:rPr>
        <w:t>1</w:t>
      </w:r>
      <w:r>
        <w:rPr>
          <w:rFonts w:hint="eastAsia"/>
          <w:sz w:val="24"/>
          <w:szCs w:val="24"/>
          <w:highlight w:val="none"/>
          <w:lang w:val="en-US"/>
        </w:rPr>
        <w:t>4</w:t>
      </w:r>
      <w:r>
        <w:rPr>
          <w:sz w:val="24"/>
          <w:szCs w:val="24"/>
          <w:highlight w:val="none"/>
        </w:rPr>
        <w:t>.1</w:t>
      </w:r>
      <w:r>
        <w:rPr>
          <w:rFonts w:hint="eastAsia"/>
          <w:sz w:val="24"/>
          <w:szCs w:val="24"/>
          <w:highlight w:val="none"/>
        </w:rPr>
        <w:t>双方在签订、履行合同中所发生的一切争议，应通过友好协商解决。如协商不成，由甲方住所地人民法院管辖。</w:t>
      </w:r>
    </w:p>
    <w:p w14:paraId="5E78CC80">
      <w:pPr>
        <w:spacing w:before="120" w:after="120" w:line="360" w:lineRule="auto"/>
        <w:ind w:firstLine="482" w:firstLineChars="200"/>
        <w:rPr>
          <w:b/>
          <w:bCs/>
          <w:sz w:val="24"/>
          <w:szCs w:val="24"/>
          <w:highlight w:val="none"/>
        </w:rPr>
      </w:pPr>
      <w:r>
        <w:rPr>
          <w:rFonts w:hint="eastAsia"/>
          <w:b/>
          <w:bCs/>
          <w:sz w:val="24"/>
          <w:szCs w:val="24"/>
          <w:highlight w:val="none"/>
        </w:rPr>
        <w:t>十</w:t>
      </w:r>
      <w:r>
        <w:rPr>
          <w:rFonts w:hint="eastAsia"/>
          <w:b/>
          <w:bCs/>
          <w:sz w:val="24"/>
          <w:szCs w:val="24"/>
          <w:highlight w:val="none"/>
          <w:lang w:val="en-US"/>
        </w:rPr>
        <w:t>五</w:t>
      </w:r>
      <w:r>
        <w:rPr>
          <w:rFonts w:hint="eastAsia"/>
          <w:b/>
          <w:bCs/>
          <w:sz w:val="24"/>
          <w:szCs w:val="24"/>
          <w:highlight w:val="none"/>
        </w:rPr>
        <w:t>、合同生效及其它</w:t>
      </w:r>
    </w:p>
    <w:p w14:paraId="217829C5">
      <w:pPr>
        <w:spacing w:before="120" w:after="120" w:line="360" w:lineRule="auto"/>
        <w:ind w:firstLine="480" w:firstLineChars="200"/>
        <w:rPr>
          <w:sz w:val="24"/>
          <w:szCs w:val="24"/>
          <w:highlight w:val="none"/>
        </w:rPr>
      </w:pPr>
      <w:r>
        <w:rPr>
          <w:rFonts w:hint="eastAsia"/>
          <w:sz w:val="24"/>
          <w:szCs w:val="24"/>
          <w:highlight w:val="none"/>
        </w:rPr>
        <w:t>1</w:t>
      </w:r>
      <w:r>
        <w:rPr>
          <w:rFonts w:hint="eastAsia"/>
          <w:sz w:val="24"/>
          <w:szCs w:val="24"/>
          <w:highlight w:val="none"/>
          <w:lang w:val="en-US"/>
        </w:rPr>
        <w:t>5</w:t>
      </w:r>
      <w:r>
        <w:rPr>
          <w:rFonts w:hint="eastAsia"/>
          <w:sz w:val="24"/>
          <w:szCs w:val="24"/>
          <w:highlight w:val="none"/>
        </w:rPr>
        <w:t>.1 合同经双方法定代表人或授权委托代表人签字并加盖单位公章后生效。</w:t>
      </w:r>
    </w:p>
    <w:p w14:paraId="23B668E6">
      <w:pPr>
        <w:spacing w:before="120" w:after="120" w:line="360" w:lineRule="auto"/>
        <w:ind w:firstLine="480" w:firstLineChars="200"/>
        <w:rPr>
          <w:sz w:val="24"/>
          <w:szCs w:val="24"/>
          <w:highlight w:val="none"/>
        </w:rPr>
      </w:pPr>
      <w:r>
        <w:rPr>
          <w:rFonts w:hint="eastAsia"/>
          <w:sz w:val="24"/>
          <w:szCs w:val="24"/>
          <w:highlight w:val="none"/>
        </w:rPr>
        <w:t>1</w:t>
      </w:r>
      <w:r>
        <w:rPr>
          <w:rFonts w:hint="eastAsia"/>
          <w:sz w:val="24"/>
          <w:szCs w:val="24"/>
          <w:highlight w:val="none"/>
          <w:lang w:val="en-US"/>
        </w:rPr>
        <w:t>5</w:t>
      </w:r>
      <w:r>
        <w:rPr>
          <w:rFonts w:hint="eastAsia"/>
          <w:sz w:val="24"/>
          <w:szCs w:val="24"/>
          <w:highlight w:val="none"/>
        </w:rPr>
        <w:t>.2</w:t>
      </w:r>
      <w:r>
        <w:rPr>
          <w:rFonts w:hint="eastAsia"/>
          <w:sz w:val="24"/>
          <w:szCs w:val="24"/>
          <w:highlight w:val="none"/>
          <w:lang w:val="en-US"/>
        </w:rPr>
        <w:t xml:space="preserve"> </w:t>
      </w:r>
      <w:r>
        <w:rPr>
          <w:rFonts w:hint="eastAsia"/>
          <w:sz w:val="24"/>
          <w:szCs w:val="24"/>
          <w:highlight w:val="none"/>
        </w:rPr>
        <w:t>未经双方书面协商一致，乙方不得擅自变更收款账户信息，也不得转让债权；未经甲方书面同意的债权转让对甲方不发生法律效力，甲方仍有权按照合同约定账户支付费用。若乙方将对甲方的债权擅自转让给第三人，则乙方承担转让债权金额10%的违约金，同时甲方有权单方面解除本合同。第三人因债权转让起诉的，甲方因此次诉讼而产生的案件诉讼费、第三人主张的违约金、利息损失、律师费、保全费、保函费、鉴定费等均由乙方承担。</w:t>
      </w:r>
    </w:p>
    <w:p w14:paraId="22110595">
      <w:pPr>
        <w:spacing w:before="120" w:after="120" w:line="360" w:lineRule="auto"/>
        <w:ind w:firstLine="480" w:firstLineChars="200"/>
        <w:rPr>
          <w:sz w:val="24"/>
          <w:szCs w:val="24"/>
          <w:highlight w:val="none"/>
        </w:rPr>
      </w:pPr>
      <w:r>
        <w:rPr>
          <w:rFonts w:hint="eastAsia"/>
          <w:sz w:val="24"/>
          <w:szCs w:val="24"/>
          <w:highlight w:val="none"/>
        </w:rPr>
        <w:t>1</w:t>
      </w:r>
      <w:r>
        <w:rPr>
          <w:rFonts w:hint="eastAsia"/>
          <w:sz w:val="24"/>
          <w:szCs w:val="24"/>
          <w:highlight w:val="none"/>
          <w:lang w:val="en-US"/>
        </w:rPr>
        <w:t>5.</w:t>
      </w:r>
      <w:r>
        <w:rPr>
          <w:rFonts w:hint="eastAsia"/>
          <w:sz w:val="24"/>
          <w:szCs w:val="24"/>
          <w:highlight w:val="none"/>
        </w:rPr>
        <w:t>3</w:t>
      </w:r>
      <w:r>
        <w:rPr>
          <w:rFonts w:hint="eastAsia"/>
          <w:sz w:val="24"/>
          <w:szCs w:val="24"/>
          <w:highlight w:val="none"/>
          <w:lang w:val="en-US"/>
        </w:rPr>
        <w:t xml:space="preserve"> </w:t>
      </w:r>
      <w:r>
        <w:rPr>
          <w:rFonts w:hint="eastAsia"/>
          <w:sz w:val="24"/>
          <w:szCs w:val="24"/>
          <w:highlight w:val="none"/>
        </w:rPr>
        <w:t>本合同未尽事宜，遵照中华人民共和国现行法律法规有关条文执行。</w:t>
      </w:r>
    </w:p>
    <w:p w14:paraId="0308BAA6">
      <w:pPr>
        <w:spacing w:before="120" w:after="120" w:line="360" w:lineRule="auto"/>
        <w:ind w:firstLine="480" w:firstLineChars="200"/>
        <w:rPr>
          <w:sz w:val="24"/>
          <w:szCs w:val="24"/>
          <w:highlight w:val="none"/>
        </w:rPr>
      </w:pPr>
      <w:r>
        <w:rPr>
          <w:rFonts w:hint="eastAsia"/>
          <w:sz w:val="24"/>
          <w:szCs w:val="24"/>
          <w:highlight w:val="none"/>
        </w:rPr>
        <w:t>1</w:t>
      </w:r>
      <w:r>
        <w:rPr>
          <w:rFonts w:hint="eastAsia"/>
          <w:sz w:val="24"/>
          <w:szCs w:val="24"/>
          <w:highlight w:val="none"/>
          <w:lang w:val="en-US"/>
        </w:rPr>
        <w:t>5</w:t>
      </w:r>
      <w:r>
        <w:rPr>
          <w:rFonts w:hint="eastAsia"/>
          <w:sz w:val="24"/>
          <w:szCs w:val="24"/>
          <w:highlight w:val="none"/>
        </w:rPr>
        <w:t>.4 本合同正本一式</w:t>
      </w:r>
      <w:r>
        <w:rPr>
          <w:rFonts w:hint="eastAsia"/>
          <w:sz w:val="24"/>
          <w:szCs w:val="24"/>
          <w:highlight w:val="none"/>
          <w:lang w:val="en-US"/>
        </w:rPr>
        <w:t>肆</w:t>
      </w:r>
      <w:r>
        <w:rPr>
          <w:rFonts w:hint="eastAsia"/>
          <w:sz w:val="24"/>
          <w:szCs w:val="24"/>
          <w:highlight w:val="none"/>
        </w:rPr>
        <w:t>份，具有同等法律效力，甲方</w:t>
      </w:r>
      <w:r>
        <w:rPr>
          <w:rFonts w:hint="eastAsia"/>
          <w:sz w:val="24"/>
          <w:szCs w:val="24"/>
          <w:highlight w:val="none"/>
          <w:lang w:val="en-US"/>
        </w:rPr>
        <w:t>执贰份</w:t>
      </w:r>
      <w:r>
        <w:rPr>
          <w:rFonts w:hint="eastAsia"/>
          <w:sz w:val="24"/>
          <w:szCs w:val="24"/>
          <w:highlight w:val="none"/>
        </w:rPr>
        <w:t>，乙方执</w:t>
      </w:r>
      <w:r>
        <w:rPr>
          <w:rFonts w:hint="eastAsia"/>
          <w:sz w:val="24"/>
          <w:szCs w:val="24"/>
          <w:highlight w:val="none"/>
          <w:lang w:val="en-US"/>
        </w:rPr>
        <w:t>贰</w:t>
      </w:r>
      <w:r>
        <w:rPr>
          <w:rFonts w:hint="eastAsia"/>
          <w:sz w:val="24"/>
          <w:szCs w:val="24"/>
          <w:highlight w:val="none"/>
        </w:rPr>
        <w:t>份。</w:t>
      </w:r>
    </w:p>
    <w:p w14:paraId="0B765D27">
      <w:pPr>
        <w:spacing w:before="120" w:after="120" w:line="360" w:lineRule="auto"/>
        <w:ind w:firstLine="480" w:firstLineChars="200"/>
        <w:rPr>
          <w:sz w:val="24"/>
          <w:szCs w:val="24"/>
          <w:highlight w:val="none"/>
        </w:rPr>
      </w:pPr>
      <w:r>
        <w:rPr>
          <w:rFonts w:hint="eastAsia"/>
          <w:sz w:val="24"/>
          <w:szCs w:val="24"/>
          <w:highlight w:val="none"/>
        </w:rPr>
        <w:t>1</w:t>
      </w:r>
      <w:r>
        <w:rPr>
          <w:rFonts w:hint="eastAsia"/>
          <w:sz w:val="24"/>
          <w:szCs w:val="24"/>
          <w:highlight w:val="none"/>
          <w:lang w:val="en-US"/>
        </w:rPr>
        <w:t>5</w:t>
      </w:r>
      <w:r>
        <w:rPr>
          <w:rFonts w:hint="eastAsia"/>
          <w:sz w:val="24"/>
          <w:szCs w:val="24"/>
          <w:highlight w:val="none"/>
        </w:rPr>
        <w:t xml:space="preserve">.5 </w:t>
      </w:r>
      <w:r>
        <w:rPr>
          <w:rFonts w:hint="eastAsia"/>
          <w:sz w:val="24"/>
          <w:szCs w:val="24"/>
          <w:highlight w:val="none"/>
          <w:lang w:val="en-US"/>
        </w:rPr>
        <w:t>进场前</w:t>
      </w:r>
      <w:r>
        <w:rPr>
          <w:rFonts w:hint="eastAsia"/>
          <w:sz w:val="24"/>
          <w:szCs w:val="24"/>
          <w:highlight w:val="none"/>
        </w:rPr>
        <w:t>乙方应提供驻场人员名单及其无犯罪记录证明材料。进场前乙方应配合甲方对所有人员进行</w:t>
      </w:r>
      <w:r>
        <w:rPr>
          <w:rFonts w:hint="eastAsia"/>
          <w:sz w:val="24"/>
          <w:szCs w:val="24"/>
          <w:highlight w:val="none"/>
          <w:lang w:val="en-US"/>
        </w:rPr>
        <w:t>背景审查，未通过审查的，不得进场</w:t>
      </w:r>
      <w:r>
        <w:rPr>
          <w:rFonts w:hint="eastAsia"/>
          <w:sz w:val="24"/>
          <w:szCs w:val="24"/>
          <w:highlight w:val="none"/>
        </w:rPr>
        <w:t>。</w:t>
      </w:r>
    </w:p>
    <w:p w14:paraId="751F009C">
      <w:pPr>
        <w:spacing w:before="120" w:after="120" w:line="360" w:lineRule="auto"/>
        <w:ind w:firstLine="480" w:firstLineChars="200"/>
        <w:rPr>
          <w:sz w:val="24"/>
          <w:szCs w:val="24"/>
          <w:highlight w:val="none"/>
        </w:rPr>
      </w:pPr>
      <w:r>
        <w:rPr>
          <w:rFonts w:hint="eastAsia"/>
          <w:sz w:val="24"/>
          <w:szCs w:val="24"/>
          <w:highlight w:val="none"/>
        </w:rPr>
        <w:t>1</w:t>
      </w:r>
      <w:r>
        <w:rPr>
          <w:rFonts w:hint="eastAsia"/>
          <w:sz w:val="24"/>
          <w:szCs w:val="24"/>
          <w:highlight w:val="none"/>
          <w:lang w:val="en-US"/>
        </w:rPr>
        <w:t>5</w:t>
      </w:r>
      <w:r>
        <w:rPr>
          <w:rFonts w:hint="eastAsia"/>
          <w:sz w:val="24"/>
          <w:szCs w:val="24"/>
          <w:highlight w:val="none"/>
        </w:rPr>
        <w:t>.6 如发生安全事故，</w:t>
      </w:r>
      <w:r>
        <w:rPr>
          <w:rFonts w:hint="eastAsia"/>
          <w:sz w:val="24"/>
          <w:szCs w:val="24"/>
          <w:highlight w:val="none"/>
          <w:lang w:val="en-US"/>
        </w:rPr>
        <w:t>造成的损失</w:t>
      </w:r>
      <w:r>
        <w:rPr>
          <w:rFonts w:hint="eastAsia"/>
          <w:sz w:val="24"/>
          <w:szCs w:val="24"/>
          <w:highlight w:val="none"/>
        </w:rPr>
        <w:t>由乙方全部承担。</w:t>
      </w:r>
      <w:r>
        <w:rPr>
          <w:sz w:val="24"/>
          <w:szCs w:val="24"/>
          <w:highlight w:val="none"/>
        </w:rPr>
        <w:t xml:space="preserve">  </w:t>
      </w:r>
    </w:p>
    <w:p w14:paraId="2859FA98">
      <w:pPr>
        <w:spacing w:before="120" w:after="120" w:line="360" w:lineRule="auto"/>
        <w:rPr>
          <w:sz w:val="24"/>
          <w:szCs w:val="24"/>
          <w:highlight w:val="none"/>
        </w:rPr>
      </w:pPr>
    </w:p>
    <w:p w14:paraId="09C1976D">
      <w:pPr>
        <w:spacing w:before="120" w:after="120" w:line="360" w:lineRule="auto"/>
        <w:ind w:firstLine="480" w:firstLineChars="200"/>
        <w:rPr>
          <w:sz w:val="24"/>
          <w:szCs w:val="24"/>
          <w:highlight w:val="none"/>
        </w:rPr>
      </w:pPr>
      <w:r>
        <w:rPr>
          <w:rFonts w:hint="eastAsia"/>
          <w:sz w:val="24"/>
          <w:szCs w:val="24"/>
          <w:highlight w:val="none"/>
        </w:rPr>
        <w:t>甲方：</w:t>
      </w:r>
      <w:r>
        <w:rPr>
          <w:sz w:val="24"/>
          <w:szCs w:val="24"/>
          <w:highlight w:val="none"/>
        </w:rPr>
        <w:t xml:space="preserve">                        </w:t>
      </w:r>
      <w:r>
        <w:rPr>
          <w:rFonts w:hint="eastAsia"/>
          <w:sz w:val="24"/>
          <w:szCs w:val="24"/>
          <w:highlight w:val="none"/>
        </w:rPr>
        <w:t>乙方：</w:t>
      </w:r>
      <w:r>
        <w:rPr>
          <w:sz w:val="24"/>
          <w:szCs w:val="24"/>
          <w:highlight w:val="none"/>
        </w:rPr>
        <w:t xml:space="preserve"> </w:t>
      </w:r>
    </w:p>
    <w:p w14:paraId="41B5A566">
      <w:pPr>
        <w:spacing w:before="120" w:after="120" w:line="360" w:lineRule="auto"/>
        <w:rPr>
          <w:sz w:val="24"/>
          <w:szCs w:val="24"/>
          <w:highlight w:val="none"/>
        </w:rPr>
      </w:pPr>
      <w:r>
        <w:rPr>
          <w:sz w:val="24"/>
          <w:szCs w:val="24"/>
          <w:highlight w:val="none"/>
        </w:rPr>
        <w:t xml:space="preserve">  </w:t>
      </w:r>
      <w:r>
        <w:rPr>
          <w:rFonts w:hint="eastAsia"/>
          <w:sz w:val="24"/>
          <w:szCs w:val="24"/>
          <w:highlight w:val="none"/>
          <w:lang w:val="en-US"/>
        </w:rPr>
        <w:t xml:space="preserve">  </w:t>
      </w:r>
      <w:r>
        <w:rPr>
          <w:rFonts w:hint="eastAsia"/>
          <w:sz w:val="24"/>
          <w:szCs w:val="24"/>
          <w:highlight w:val="none"/>
        </w:rPr>
        <w:t>地址：</w:t>
      </w:r>
      <w:r>
        <w:rPr>
          <w:sz w:val="24"/>
          <w:szCs w:val="24"/>
          <w:highlight w:val="none"/>
        </w:rPr>
        <w:t xml:space="preserve">                        </w:t>
      </w:r>
      <w:r>
        <w:rPr>
          <w:rFonts w:hint="eastAsia"/>
          <w:sz w:val="24"/>
          <w:szCs w:val="24"/>
          <w:highlight w:val="none"/>
        </w:rPr>
        <w:t>地址：</w:t>
      </w:r>
      <w:r>
        <w:rPr>
          <w:sz w:val="24"/>
          <w:szCs w:val="24"/>
          <w:highlight w:val="none"/>
        </w:rPr>
        <w:t xml:space="preserve"> </w:t>
      </w:r>
    </w:p>
    <w:p w14:paraId="1D24874C">
      <w:pPr>
        <w:spacing w:before="120" w:after="120" w:line="360" w:lineRule="auto"/>
        <w:rPr>
          <w:sz w:val="24"/>
          <w:szCs w:val="24"/>
          <w:highlight w:val="none"/>
        </w:rPr>
      </w:pPr>
      <w:r>
        <w:rPr>
          <w:sz w:val="24"/>
          <w:szCs w:val="24"/>
          <w:highlight w:val="none"/>
        </w:rPr>
        <w:t xml:space="preserve">  </w:t>
      </w:r>
      <w:r>
        <w:rPr>
          <w:rFonts w:hint="eastAsia"/>
          <w:sz w:val="24"/>
          <w:szCs w:val="24"/>
          <w:highlight w:val="none"/>
          <w:lang w:val="en-US"/>
        </w:rPr>
        <w:t xml:space="preserve">  </w:t>
      </w:r>
      <w:r>
        <w:rPr>
          <w:rFonts w:hint="eastAsia"/>
          <w:sz w:val="24"/>
          <w:szCs w:val="24"/>
          <w:highlight w:val="none"/>
        </w:rPr>
        <w:t>法定代表人或授权代表：</w:t>
      </w:r>
      <w:r>
        <w:rPr>
          <w:sz w:val="24"/>
          <w:szCs w:val="24"/>
          <w:highlight w:val="none"/>
        </w:rPr>
        <w:t xml:space="preserve">        </w:t>
      </w:r>
      <w:r>
        <w:rPr>
          <w:rFonts w:hint="eastAsia"/>
          <w:sz w:val="24"/>
          <w:szCs w:val="24"/>
          <w:highlight w:val="none"/>
        </w:rPr>
        <w:t>法定代表人或授权代表：</w:t>
      </w:r>
    </w:p>
    <w:p w14:paraId="195239DB">
      <w:pPr>
        <w:spacing w:before="120" w:after="120" w:line="360" w:lineRule="auto"/>
        <w:ind w:firstLine="480" w:firstLineChars="200"/>
        <w:rPr>
          <w:sz w:val="24"/>
          <w:szCs w:val="24"/>
          <w:highlight w:val="none"/>
        </w:rPr>
      </w:pPr>
      <w:r>
        <w:rPr>
          <w:rFonts w:hint="eastAsia"/>
          <w:sz w:val="24"/>
          <w:szCs w:val="24"/>
          <w:highlight w:val="none"/>
        </w:rPr>
        <w:t>联系电话：</w:t>
      </w:r>
      <w:r>
        <w:rPr>
          <w:sz w:val="24"/>
          <w:szCs w:val="24"/>
          <w:highlight w:val="none"/>
        </w:rPr>
        <w:t xml:space="preserve">                    </w:t>
      </w:r>
      <w:r>
        <w:rPr>
          <w:rFonts w:hint="eastAsia"/>
          <w:sz w:val="24"/>
          <w:szCs w:val="24"/>
          <w:highlight w:val="none"/>
        </w:rPr>
        <w:t>联系电话：</w:t>
      </w:r>
      <w:r>
        <w:rPr>
          <w:sz w:val="24"/>
          <w:szCs w:val="24"/>
          <w:highlight w:val="none"/>
        </w:rPr>
        <w:t xml:space="preserve">          </w:t>
      </w:r>
    </w:p>
    <w:p w14:paraId="10DE211F">
      <w:pPr>
        <w:spacing w:before="120" w:after="120" w:line="360" w:lineRule="auto"/>
        <w:jc w:val="center"/>
        <w:rPr>
          <w:sz w:val="24"/>
          <w:szCs w:val="24"/>
          <w:highlight w:val="none"/>
        </w:rPr>
      </w:pPr>
      <w:r>
        <w:rPr>
          <w:sz w:val="24"/>
          <w:szCs w:val="24"/>
          <w:highlight w:val="none"/>
        </w:rPr>
        <w:t xml:space="preserve">                                         </w:t>
      </w:r>
    </w:p>
    <w:p w14:paraId="6B5BFF46">
      <w:pPr>
        <w:spacing w:before="120" w:after="120" w:line="360" w:lineRule="auto"/>
        <w:jc w:val="right"/>
        <w:rPr>
          <w:sz w:val="24"/>
          <w:szCs w:val="24"/>
          <w:highlight w:val="none"/>
        </w:rPr>
      </w:pPr>
      <w:r>
        <w:rPr>
          <w:sz w:val="24"/>
          <w:szCs w:val="24"/>
          <w:highlight w:val="none"/>
        </w:rPr>
        <w:t xml:space="preserve"> </w:t>
      </w:r>
    </w:p>
    <w:p w14:paraId="167D6F1F">
      <w:pPr>
        <w:widowControl/>
        <w:autoSpaceDE/>
        <w:autoSpaceDN/>
        <w:spacing w:line="360" w:lineRule="auto"/>
        <w:ind w:firstLine="480" w:firstLineChars="200"/>
        <w:rPr>
          <w:sz w:val="24"/>
          <w:szCs w:val="24"/>
          <w:highlight w:val="none"/>
        </w:rPr>
      </w:pPr>
      <w:r>
        <w:rPr>
          <w:rFonts w:hint="eastAsia"/>
          <w:sz w:val="24"/>
          <w:szCs w:val="24"/>
          <w:highlight w:val="none"/>
        </w:rPr>
        <w:t>签订日期：</w:t>
      </w:r>
      <w:r>
        <w:rPr>
          <w:sz w:val="24"/>
          <w:szCs w:val="24"/>
          <w:highlight w:val="none"/>
        </w:rPr>
        <w:t xml:space="preserve">      </w:t>
      </w:r>
      <w:r>
        <w:rPr>
          <w:rFonts w:hint="eastAsia"/>
          <w:sz w:val="24"/>
          <w:szCs w:val="24"/>
          <w:highlight w:val="none"/>
        </w:rPr>
        <w:t>年</w:t>
      </w:r>
      <w:r>
        <w:rPr>
          <w:sz w:val="24"/>
          <w:szCs w:val="24"/>
          <w:highlight w:val="none"/>
        </w:rPr>
        <w:t xml:space="preserve">    </w:t>
      </w:r>
      <w:r>
        <w:rPr>
          <w:rFonts w:hint="eastAsia"/>
          <w:sz w:val="24"/>
          <w:szCs w:val="24"/>
          <w:highlight w:val="none"/>
        </w:rPr>
        <w:t>月</w:t>
      </w:r>
      <w:r>
        <w:rPr>
          <w:sz w:val="24"/>
          <w:szCs w:val="24"/>
          <w:highlight w:val="none"/>
        </w:rPr>
        <w:t xml:space="preserve">   </w:t>
      </w:r>
      <w:r>
        <w:rPr>
          <w:rFonts w:hint="eastAsia"/>
          <w:sz w:val="24"/>
          <w:szCs w:val="24"/>
          <w:highlight w:val="none"/>
        </w:rPr>
        <w:t>日</w:t>
      </w:r>
    </w:p>
    <w:p w14:paraId="28D84078">
      <w:pPr>
        <w:adjustRightInd w:val="0"/>
        <w:snapToGrid w:val="0"/>
        <w:spacing w:line="360" w:lineRule="auto"/>
        <w:jc w:val="both"/>
        <w:rPr>
          <w:sz w:val="24"/>
          <w:szCs w:val="24"/>
          <w:highlight w:val="none"/>
        </w:rPr>
      </w:pPr>
    </w:p>
    <w:p w14:paraId="45FC4D80">
      <w:pPr>
        <w:pStyle w:val="27"/>
        <w:rPr>
          <w:sz w:val="24"/>
          <w:szCs w:val="24"/>
          <w:highlight w:val="none"/>
        </w:rPr>
      </w:pPr>
    </w:p>
    <w:p w14:paraId="48BB2A86">
      <w:pPr>
        <w:pStyle w:val="27"/>
        <w:rPr>
          <w:b/>
          <w:bCs/>
          <w:sz w:val="24"/>
          <w:szCs w:val="24"/>
          <w:highlight w:val="none"/>
          <w:lang w:val="en-US"/>
        </w:rPr>
      </w:pPr>
      <w:r>
        <w:rPr>
          <w:rFonts w:hint="eastAsia"/>
          <w:b/>
          <w:bCs/>
          <w:sz w:val="24"/>
          <w:szCs w:val="24"/>
          <w:highlight w:val="none"/>
          <w:lang w:val="en-US"/>
        </w:rPr>
        <w:t>合同附件：</w:t>
      </w:r>
    </w:p>
    <w:p w14:paraId="2977D34A">
      <w:pPr>
        <w:pStyle w:val="27"/>
        <w:rPr>
          <w:b/>
          <w:bCs/>
          <w:sz w:val="24"/>
          <w:szCs w:val="24"/>
          <w:highlight w:val="none"/>
          <w:lang w:val="en-US"/>
        </w:rPr>
      </w:pPr>
    </w:p>
    <w:p w14:paraId="7975742E">
      <w:pPr>
        <w:pStyle w:val="27"/>
        <w:numPr>
          <w:ilvl w:val="0"/>
          <w:numId w:val="25"/>
        </w:numPr>
        <w:rPr>
          <w:b/>
          <w:bCs/>
          <w:sz w:val="24"/>
          <w:szCs w:val="24"/>
          <w:highlight w:val="none"/>
          <w:lang w:val="en-US"/>
        </w:rPr>
      </w:pPr>
      <w:r>
        <w:rPr>
          <w:rFonts w:hint="eastAsia"/>
          <w:b/>
          <w:bCs/>
          <w:sz w:val="24"/>
          <w:szCs w:val="24"/>
          <w:highlight w:val="none"/>
          <w:lang w:val="en-US"/>
        </w:rPr>
        <w:t>投标报价明细表（含驻场人员报价表）（与投标文件一致）</w:t>
      </w:r>
    </w:p>
    <w:p w14:paraId="4E8D61F1">
      <w:pPr>
        <w:pStyle w:val="27"/>
        <w:numPr>
          <w:ilvl w:val="0"/>
          <w:numId w:val="25"/>
        </w:numPr>
        <w:rPr>
          <w:b/>
          <w:bCs/>
          <w:sz w:val="24"/>
          <w:szCs w:val="24"/>
          <w:highlight w:val="none"/>
          <w:lang w:val="en-US"/>
        </w:rPr>
      </w:pPr>
      <w:r>
        <w:rPr>
          <w:rFonts w:hint="eastAsia"/>
          <w:b/>
          <w:bCs/>
          <w:sz w:val="24"/>
          <w:szCs w:val="24"/>
          <w:highlight w:val="none"/>
          <w:lang w:val="en-US"/>
        </w:rPr>
        <w:t>驻场、技术支持团队人员情况表（与投标文件一致）</w:t>
      </w:r>
    </w:p>
    <w:p w14:paraId="452D7A79">
      <w:pPr>
        <w:pStyle w:val="27"/>
        <w:numPr>
          <w:ilvl w:val="0"/>
          <w:numId w:val="25"/>
        </w:numPr>
        <w:rPr>
          <w:b/>
          <w:bCs/>
          <w:sz w:val="24"/>
          <w:szCs w:val="24"/>
          <w:highlight w:val="none"/>
          <w:lang w:val="en-US"/>
        </w:rPr>
      </w:pPr>
      <w:r>
        <w:rPr>
          <w:rFonts w:hint="eastAsia"/>
          <w:b/>
          <w:bCs/>
          <w:sz w:val="24"/>
          <w:szCs w:val="24"/>
          <w:highlight w:val="none"/>
          <w:lang w:val="en-US"/>
        </w:rPr>
        <w:t>保密协议</w:t>
      </w:r>
    </w:p>
    <w:p w14:paraId="0A4AD51E">
      <w:pPr>
        <w:pStyle w:val="27"/>
        <w:numPr>
          <w:ilvl w:val="0"/>
          <w:numId w:val="25"/>
        </w:numPr>
        <w:rPr>
          <w:b/>
          <w:bCs/>
          <w:sz w:val="24"/>
          <w:szCs w:val="24"/>
          <w:highlight w:val="none"/>
          <w:lang w:val="en-US"/>
        </w:rPr>
      </w:pPr>
      <w:r>
        <w:rPr>
          <w:rFonts w:hint="eastAsia"/>
          <w:b/>
          <w:bCs/>
          <w:sz w:val="24"/>
          <w:szCs w:val="24"/>
          <w:highlight w:val="none"/>
          <w:lang w:val="en-US"/>
        </w:rPr>
        <w:t>考核办法</w:t>
      </w:r>
    </w:p>
    <w:p w14:paraId="5F600AE1">
      <w:pPr>
        <w:pStyle w:val="27"/>
        <w:rPr>
          <w:b/>
          <w:bCs/>
          <w:sz w:val="24"/>
          <w:szCs w:val="24"/>
          <w:highlight w:val="none"/>
          <w:lang w:val="en-US"/>
        </w:rPr>
        <w:sectPr>
          <w:footerReference r:id="rId7" w:type="default"/>
          <w:pgSz w:w="11910" w:h="16840"/>
          <w:pgMar w:top="1460" w:right="1423" w:bottom="920" w:left="1423" w:header="492" w:footer="726" w:gutter="0"/>
          <w:cols w:space="720" w:num="1"/>
          <w:docGrid w:linePitch="312" w:charSpace="0"/>
        </w:sectPr>
      </w:pPr>
    </w:p>
    <w:p w14:paraId="3DCC1417">
      <w:pPr>
        <w:rPr>
          <w:rFonts w:hint="default" w:eastAsia="宋体"/>
          <w:b/>
          <w:bCs/>
          <w:sz w:val="32"/>
          <w:szCs w:val="32"/>
          <w:highlight w:val="none"/>
          <w:lang w:val="en-US" w:eastAsia="zh-CN"/>
        </w:rPr>
      </w:pPr>
      <w:r>
        <w:rPr>
          <w:rFonts w:hint="eastAsia"/>
          <w:b/>
          <w:bCs/>
          <w:sz w:val="32"/>
          <w:szCs w:val="32"/>
          <w:highlight w:val="none"/>
          <w:lang w:val="en-US" w:eastAsia="zh-CN"/>
        </w:rPr>
        <w:t>附件：保密协议（公司）</w:t>
      </w:r>
    </w:p>
    <w:p w14:paraId="4F08FCC2">
      <w:pPr>
        <w:spacing w:before="212" w:line="602" w:lineRule="exact"/>
        <w:jc w:val="center"/>
        <w:outlineLvl w:val="0"/>
        <w:rPr>
          <w:rFonts w:ascii="宋体" w:hAnsi="宋体" w:eastAsia="宋体" w:cs="宋体"/>
          <w:sz w:val="43"/>
          <w:szCs w:val="43"/>
          <w:highlight w:val="none"/>
        </w:rPr>
      </w:pPr>
      <w:r>
        <w:rPr>
          <w:rFonts w:ascii="宋体" w:hAnsi="宋体" w:eastAsia="宋体" w:cs="宋体"/>
          <w:b/>
          <w:bCs/>
          <w:spacing w:val="5"/>
          <w:position w:val="3"/>
          <w:sz w:val="36"/>
          <w:szCs w:val="36"/>
          <w:highlight w:val="none"/>
        </w:rPr>
        <w:t>信息化合作企业安全保密承诺书</w:t>
      </w:r>
    </w:p>
    <w:p w14:paraId="5D0E6116">
      <w:pPr>
        <w:pStyle w:val="9"/>
        <w:spacing w:before="282" w:line="372" w:lineRule="auto"/>
        <w:ind w:left="11" w:right="41" w:firstLine="629"/>
        <w:jc w:val="left"/>
        <w:rPr>
          <w:b w:val="0"/>
          <w:bCs/>
          <w:highlight w:val="none"/>
        </w:rPr>
      </w:pPr>
      <w:r>
        <w:rPr>
          <w:b w:val="0"/>
          <w:bCs/>
          <w:highlight w:val="none"/>
        </w:rPr>
        <w:t>根据《中华人民共和国保守国家秘密法》《中华人民共和国网</w:t>
      </w:r>
      <w:r>
        <w:rPr>
          <w:b w:val="0"/>
          <w:bCs/>
          <w:spacing w:val="1"/>
          <w:highlight w:val="none"/>
        </w:rPr>
        <w:t>络安全法》《公安机关内部网络和数据安全管理规定》等法律法</w:t>
      </w:r>
      <w:r>
        <w:rPr>
          <w:b w:val="0"/>
          <w:bCs/>
          <w:spacing w:val="6"/>
          <w:highlight w:val="none"/>
        </w:rPr>
        <w:t>规，为保障公安网络和数据安全，针对与</w:t>
      </w:r>
      <w:r>
        <w:rPr>
          <w:b w:val="0"/>
          <w:bCs/>
          <w:spacing w:val="6"/>
          <w:highlight w:val="none"/>
          <w:u w:val="single"/>
        </w:rPr>
        <w:t xml:space="preserve">             </w:t>
      </w:r>
      <w:r>
        <w:rPr>
          <w:b w:val="0"/>
          <w:bCs/>
          <w:spacing w:val="6"/>
          <w:highlight w:val="none"/>
        </w:rPr>
        <w:t>（公安机</w:t>
      </w:r>
      <w:r>
        <w:rPr>
          <w:b w:val="0"/>
          <w:bCs/>
          <w:spacing w:val="4"/>
          <w:highlight w:val="none"/>
        </w:rPr>
        <w:t>关具体责任部门）的信息化合作，本单位做出如下承诺：</w:t>
      </w:r>
    </w:p>
    <w:p w14:paraId="40E8FB1F">
      <w:pPr>
        <w:pStyle w:val="9"/>
        <w:spacing w:before="252" w:line="372" w:lineRule="auto"/>
        <w:ind w:left="8" w:right="141" w:firstLine="655"/>
        <w:jc w:val="left"/>
        <w:rPr>
          <w:b w:val="0"/>
          <w:bCs/>
          <w:highlight w:val="none"/>
        </w:rPr>
      </w:pPr>
      <w:r>
        <w:rPr>
          <w:b w:val="0"/>
          <w:bCs/>
          <w:spacing w:val="7"/>
          <w:highlight w:val="none"/>
        </w:rPr>
        <w:t>一、明确本单位负责公安机关信息化合作的安全保密管理责任部门和安全保密责任人。</w:t>
      </w:r>
    </w:p>
    <w:p w14:paraId="3AAA24CB">
      <w:pPr>
        <w:pStyle w:val="9"/>
        <w:spacing w:before="4" w:line="371" w:lineRule="auto"/>
        <w:ind w:right="111" w:firstLine="662"/>
        <w:jc w:val="left"/>
        <w:rPr>
          <w:b w:val="0"/>
          <w:bCs/>
          <w:highlight w:val="none"/>
        </w:rPr>
      </w:pPr>
      <w:r>
        <w:rPr>
          <w:b w:val="0"/>
          <w:bCs/>
          <w:spacing w:val="9"/>
          <w:highlight w:val="none"/>
        </w:rPr>
        <w:t>二、遵守国家保密法律法规和公安机关有关</w:t>
      </w:r>
      <w:r>
        <w:rPr>
          <w:b w:val="0"/>
          <w:bCs/>
          <w:spacing w:val="8"/>
          <w:highlight w:val="none"/>
        </w:rPr>
        <w:t>信息化合作安全</w:t>
      </w:r>
      <w:r>
        <w:rPr>
          <w:b w:val="0"/>
          <w:bCs/>
          <w:spacing w:val="9"/>
          <w:highlight w:val="none"/>
        </w:rPr>
        <w:t>保密规定要求，开展经常性安全保密教育和培训，对参与公安信息化合作的员工使用公安网络、处理公安数据等工作开展安全管</w:t>
      </w:r>
      <w:r>
        <w:rPr>
          <w:b w:val="0"/>
          <w:bCs/>
          <w:spacing w:val="7"/>
          <w:highlight w:val="none"/>
        </w:rPr>
        <w:t>理和技术管控。</w:t>
      </w:r>
    </w:p>
    <w:p w14:paraId="3C463948">
      <w:pPr>
        <w:pStyle w:val="9"/>
        <w:spacing w:line="371" w:lineRule="auto"/>
        <w:ind w:left="10" w:right="175" w:firstLine="658"/>
        <w:jc w:val="left"/>
        <w:rPr>
          <w:b w:val="0"/>
          <w:bCs/>
          <w:highlight w:val="none"/>
        </w:rPr>
      </w:pPr>
      <w:r>
        <w:rPr>
          <w:b w:val="0"/>
          <w:bCs/>
          <w:spacing w:val="6"/>
          <w:highlight w:val="none"/>
        </w:rPr>
        <w:t>三、不泄露公安真实数据、不使用公安内部数据对外服务、</w:t>
      </w:r>
      <w:r>
        <w:rPr>
          <w:b w:val="0"/>
          <w:bCs/>
          <w:spacing w:val="9"/>
          <w:highlight w:val="none"/>
        </w:rPr>
        <w:t>不利用公安信息化案例对外宣传等危害公安数据安</w:t>
      </w:r>
      <w:r>
        <w:rPr>
          <w:b w:val="0"/>
          <w:bCs/>
          <w:spacing w:val="8"/>
          <w:highlight w:val="none"/>
        </w:rPr>
        <w:t>全的活动。</w:t>
      </w:r>
    </w:p>
    <w:p w14:paraId="49EF954A">
      <w:pPr>
        <w:pStyle w:val="9"/>
        <w:spacing w:before="1" w:line="372" w:lineRule="auto"/>
        <w:ind w:left="8" w:right="111" w:firstLine="673"/>
        <w:jc w:val="left"/>
        <w:rPr>
          <w:b w:val="0"/>
          <w:bCs/>
          <w:highlight w:val="none"/>
        </w:rPr>
      </w:pPr>
      <w:r>
        <w:rPr>
          <w:b w:val="0"/>
          <w:bCs/>
          <w:spacing w:val="8"/>
          <w:highlight w:val="none"/>
        </w:rPr>
        <w:t>四、不从事攻击公安网络、危害系统运行、交付带有恶意代码的应用软件等危害公安网络安全的活动。</w:t>
      </w:r>
    </w:p>
    <w:p w14:paraId="727CE343">
      <w:pPr>
        <w:pStyle w:val="9"/>
        <w:spacing w:before="1" w:line="371" w:lineRule="auto"/>
        <w:ind w:left="28" w:right="111" w:firstLine="627"/>
        <w:jc w:val="left"/>
        <w:rPr>
          <w:b w:val="0"/>
          <w:bCs/>
          <w:highlight w:val="none"/>
        </w:rPr>
      </w:pPr>
      <w:r>
        <w:rPr>
          <w:b w:val="0"/>
          <w:bCs/>
          <w:spacing w:val="9"/>
          <w:highlight w:val="none"/>
        </w:rPr>
        <w:t>五、一旦发现公安网络安全事件或者存在公安数据失泄密风</w:t>
      </w:r>
      <w:r>
        <w:rPr>
          <w:b w:val="0"/>
          <w:bCs/>
          <w:spacing w:val="7"/>
          <w:highlight w:val="none"/>
        </w:rPr>
        <w:t>险的，应当及时向公安机关合作单位报告。</w:t>
      </w:r>
    </w:p>
    <w:p w14:paraId="7EA50903">
      <w:pPr>
        <w:pStyle w:val="9"/>
        <w:spacing w:before="2" w:line="222" w:lineRule="auto"/>
        <w:ind w:left="658"/>
        <w:jc w:val="left"/>
        <w:rPr>
          <w:b w:val="0"/>
          <w:bCs/>
          <w:highlight w:val="none"/>
        </w:rPr>
      </w:pPr>
      <w:r>
        <w:rPr>
          <w:b w:val="0"/>
          <w:bCs/>
          <w:spacing w:val="7"/>
          <w:highlight w:val="none"/>
        </w:rPr>
        <w:t>六、本承诺书自签字之日起生效。</w:t>
      </w:r>
    </w:p>
    <w:p w14:paraId="5B848EA3">
      <w:pPr>
        <w:spacing w:line="256" w:lineRule="auto"/>
        <w:jc w:val="left"/>
        <w:rPr>
          <w:rFonts w:ascii="Arial"/>
          <w:sz w:val="21"/>
          <w:highlight w:val="none"/>
        </w:rPr>
      </w:pPr>
    </w:p>
    <w:p w14:paraId="317D8DA8">
      <w:pPr>
        <w:spacing w:line="256" w:lineRule="auto"/>
        <w:jc w:val="left"/>
        <w:rPr>
          <w:rFonts w:ascii="Arial"/>
          <w:sz w:val="21"/>
          <w:highlight w:val="none"/>
        </w:rPr>
      </w:pPr>
    </w:p>
    <w:p w14:paraId="35B02C46">
      <w:pPr>
        <w:spacing w:line="257" w:lineRule="auto"/>
        <w:jc w:val="left"/>
        <w:rPr>
          <w:rFonts w:ascii="Arial"/>
          <w:sz w:val="21"/>
          <w:highlight w:val="none"/>
        </w:rPr>
      </w:pPr>
    </w:p>
    <w:p w14:paraId="14A00E87">
      <w:pPr>
        <w:pStyle w:val="9"/>
        <w:spacing w:before="251" w:line="222" w:lineRule="auto"/>
        <w:ind w:left="1615" w:firstLine="2040" w:firstLineChars="800"/>
        <w:jc w:val="left"/>
        <w:rPr>
          <w:spacing w:val="7"/>
          <w:highlight w:val="none"/>
        </w:rPr>
      </w:pPr>
      <w:r>
        <w:rPr>
          <w:spacing w:val="7"/>
          <w:highlight w:val="none"/>
        </w:rPr>
        <w:t>安全负责人（签章）：</w:t>
      </w:r>
    </w:p>
    <w:p w14:paraId="1FC4B950">
      <w:pPr>
        <w:pStyle w:val="9"/>
        <w:spacing w:before="251" w:line="222" w:lineRule="auto"/>
        <w:ind w:left="1615" w:firstLine="2040" w:firstLineChars="800"/>
        <w:jc w:val="left"/>
        <w:rPr>
          <w:rFonts w:hint="eastAsia"/>
          <w:spacing w:val="7"/>
          <w:highlight w:val="none"/>
          <w:lang w:val="en-US" w:eastAsia="zh-CN"/>
        </w:rPr>
      </w:pPr>
      <w:r>
        <w:rPr>
          <w:spacing w:val="7"/>
          <w:highlight w:val="none"/>
        </w:rPr>
        <w:t>法定代表人（委托授权人）（签章）</w:t>
      </w:r>
      <w:r>
        <w:rPr>
          <w:rFonts w:hint="eastAsia"/>
          <w:spacing w:val="7"/>
          <w:highlight w:val="none"/>
          <w:lang w:val="en-US" w:eastAsia="zh-CN"/>
        </w:rPr>
        <w:t>:</w:t>
      </w:r>
    </w:p>
    <w:p w14:paraId="397EC6DE">
      <w:pPr>
        <w:pStyle w:val="9"/>
        <w:spacing w:before="251" w:line="222" w:lineRule="auto"/>
        <w:ind w:left="1615" w:firstLine="2040" w:firstLineChars="800"/>
        <w:jc w:val="left"/>
        <w:rPr>
          <w:spacing w:val="7"/>
          <w:highlight w:val="none"/>
        </w:rPr>
      </w:pPr>
      <w:r>
        <w:rPr>
          <w:spacing w:val="7"/>
          <w:highlight w:val="none"/>
        </w:rPr>
        <w:t>企业全称（公章）：</w:t>
      </w:r>
    </w:p>
    <w:p w14:paraId="44D222D6">
      <w:pPr>
        <w:pStyle w:val="9"/>
        <w:spacing w:before="251" w:line="222" w:lineRule="auto"/>
        <w:ind w:left="1615" w:firstLine="2040" w:firstLineChars="800"/>
        <w:jc w:val="left"/>
        <w:rPr>
          <w:rFonts w:hint="eastAsia"/>
          <w:b/>
          <w:bCs/>
          <w:sz w:val="32"/>
          <w:szCs w:val="32"/>
          <w:highlight w:val="none"/>
        </w:rPr>
      </w:pPr>
      <w:r>
        <w:rPr>
          <w:spacing w:val="7"/>
          <w:highlight w:val="none"/>
        </w:rPr>
        <w:t>日期：</w:t>
      </w:r>
      <w:r>
        <w:rPr>
          <w:rFonts w:hint="eastAsia"/>
          <w:b/>
          <w:bCs/>
          <w:sz w:val="32"/>
          <w:szCs w:val="32"/>
          <w:highlight w:val="none"/>
        </w:rPr>
        <w:br w:type="page"/>
      </w:r>
    </w:p>
    <w:p w14:paraId="28040684">
      <w:pPr>
        <w:rPr>
          <w:rFonts w:hint="eastAsia"/>
          <w:b/>
          <w:bCs/>
          <w:sz w:val="32"/>
          <w:szCs w:val="32"/>
          <w:highlight w:val="none"/>
          <w:lang w:val="en-US" w:eastAsia="zh-CN"/>
        </w:rPr>
      </w:pPr>
      <w:r>
        <w:rPr>
          <w:rFonts w:hint="eastAsia"/>
          <w:b/>
          <w:bCs/>
          <w:sz w:val="32"/>
          <w:szCs w:val="32"/>
          <w:highlight w:val="none"/>
          <w:lang w:val="en-US" w:eastAsia="zh-CN"/>
        </w:rPr>
        <w:t>附件：保密协议（个人）</w:t>
      </w:r>
    </w:p>
    <w:p w14:paraId="2424A3F4">
      <w:pPr>
        <w:spacing w:before="212" w:line="602" w:lineRule="exact"/>
        <w:jc w:val="center"/>
        <w:outlineLvl w:val="0"/>
        <w:rPr>
          <w:rFonts w:ascii="宋体" w:hAnsi="宋体" w:eastAsia="宋体" w:cs="宋体"/>
          <w:b/>
          <w:bCs/>
          <w:spacing w:val="5"/>
          <w:position w:val="3"/>
          <w:sz w:val="36"/>
          <w:szCs w:val="36"/>
          <w:highlight w:val="none"/>
        </w:rPr>
      </w:pPr>
      <w:r>
        <w:rPr>
          <w:rFonts w:ascii="宋体" w:hAnsi="宋体" w:eastAsia="宋体" w:cs="宋体"/>
          <w:b/>
          <w:bCs/>
          <w:spacing w:val="5"/>
          <w:position w:val="3"/>
          <w:sz w:val="36"/>
          <w:szCs w:val="36"/>
          <w:highlight w:val="none"/>
        </w:rPr>
        <w:t>信息化合作人员安全保密承诺书</w:t>
      </w:r>
    </w:p>
    <w:p w14:paraId="525DB2D7">
      <w:pPr>
        <w:spacing w:line="270" w:lineRule="auto"/>
        <w:rPr>
          <w:rFonts w:ascii="Arial"/>
          <w:sz w:val="21"/>
          <w:highlight w:val="none"/>
        </w:rPr>
      </w:pPr>
    </w:p>
    <w:p w14:paraId="1A06358B">
      <w:pPr>
        <w:pStyle w:val="9"/>
        <w:spacing w:before="100" w:line="333" w:lineRule="auto"/>
        <w:ind w:left="80" w:right="124" w:firstLine="646"/>
        <w:jc w:val="left"/>
        <w:rPr>
          <w:b w:val="0"/>
          <w:bCs/>
          <w:highlight w:val="none"/>
        </w:rPr>
      </w:pPr>
      <w:r>
        <w:rPr>
          <w:b w:val="0"/>
          <w:bCs/>
          <w:spacing w:val="-1"/>
          <w:highlight w:val="none"/>
        </w:rPr>
        <w:t>根据《中华人民共和国保守国家秘密法》《中华人民共和国</w:t>
      </w:r>
      <w:r>
        <w:rPr>
          <w:b w:val="0"/>
          <w:bCs/>
          <w:spacing w:val="5"/>
          <w:highlight w:val="none"/>
        </w:rPr>
        <w:t>网络安全法》《公安机关内部网络和数据安全管理规定》等法律</w:t>
      </w:r>
      <w:r>
        <w:rPr>
          <w:b w:val="0"/>
          <w:bCs/>
          <w:spacing w:val="-10"/>
          <w:highlight w:val="none"/>
        </w:rPr>
        <w:t>法规，为保障公安网络和数据安全，针对与</w:t>
      </w:r>
      <w:r>
        <w:rPr>
          <w:b w:val="0"/>
          <w:bCs/>
          <w:spacing w:val="-10"/>
          <w:highlight w:val="none"/>
          <w:u w:val="single" w:color="auto"/>
        </w:rPr>
        <w:t xml:space="preserve">    </w:t>
      </w:r>
      <w:r>
        <w:rPr>
          <w:b w:val="0"/>
          <w:bCs/>
          <w:spacing w:val="-11"/>
          <w:highlight w:val="none"/>
          <w:u w:val="single" w:color="auto"/>
        </w:rPr>
        <w:t xml:space="preserve">              </w:t>
      </w:r>
      <w:r>
        <w:rPr>
          <w:b w:val="0"/>
          <w:bCs/>
          <w:spacing w:val="-114"/>
          <w:highlight w:val="none"/>
        </w:rPr>
        <w:t xml:space="preserve"> </w:t>
      </w:r>
      <w:r>
        <w:rPr>
          <w:b w:val="0"/>
          <w:bCs/>
          <w:spacing w:val="-11"/>
          <w:highlight w:val="none"/>
        </w:rPr>
        <w:t>的</w:t>
      </w:r>
      <w:r>
        <w:rPr>
          <w:b w:val="0"/>
          <w:bCs/>
          <w:spacing w:val="9"/>
          <w:highlight w:val="none"/>
        </w:rPr>
        <w:t>信息化合作，本人做出如下承诺：</w:t>
      </w:r>
    </w:p>
    <w:p w14:paraId="4AE469E0">
      <w:pPr>
        <w:pStyle w:val="9"/>
        <w:spacing w:before="2" w:line="333" w:lineRule="auto"/>
        <w:ind w:left="88" w:firstLine="662"/>
        <w:jc w:val="left"/>
        <w:rPr>
          <w:b w:val="0"/>
          <w:bCs/>
          <w:highlight w:val="none"/>
        </w:rPr>
      </w:pPr>
      <w:r>
        <w:rPr>
          <w:b w:val="0"/>
          <w:bCs/>
          <w:spacing w:val="21"/>
          <w:highlight w:val="none"/>
        </w:rPr>
        <w:t>一、遵守国家保密法律法规和公安机关有关信息化合作安</w:t>
      </w:r>
      <w:r>
        <w:rPr>
          <w:b w:val="0"/>
          <w:bCs/>
          <w:spacing w:val="17"/>
          <w:highlight w:val="none"/>
        </w:rPr>
        <w:t>全保密要求，</w:t>
      </w:r>
      <w:r>
        <w:rPr>
          <w:b w:val="0"/>
          <w:bCs/>
          <w:spacing w:val="-48"/>
          <w:highlight w:val="none"/>
        </w:rPr>
        <w:t xml:space="preserve"> </w:t>
      </w:r>
      <w:r>
        <w:rPr>
          <w:b w:val="0"/>
          <w:bCs/>
          <w:spacing w:val="17"/>
          <w:highlight w:val="none"/>
        </w:rPr>
        <w:t>自觉履行安全保密责任和义务，认真执行保护公</w:t>
      </w:r>
      <w:r>
        <w:rPr>
          <w:b w:val="0"/>
          <w:bCs/>
          <w:spacing w:val="8"/>
          <w:highlight w:val="none"/>
        </w:rPr>
        <w:t>安网络和数据安全的技术管控要求。</w:t>
      </w:r>
    </w:p>
    <w:p w14:paraId="538E3711">
      <w:pPr>
        <w:pStyle w:val="9"/>
        <w:spacing w:before="1" w:line="221" w:lineRule="auto"/>
        <w:ind w:left="748"/>
        <w:jc w:val="left"/>
        <w:rPr>
          <w:b w:val="0"/>
          <w:bCs/>
          <w:highlight w:val="none"/>
        </w:rPr>
      </w:pPr>
      <w:r>
        <w:rPr>
          <w:b w:val="0"/>
          <w:bCs/>
          <w:spacing w:val="8"/>
          <w:highlight w:val="none"/>
        </w:rPr>
        <w:t>二、不从事以下危害公安网络和数据安全的活动：</w:t>
      </w:r>
    </w:p>
    <w:p w14:paraId="1DE8A88F">
      <w:pPr>
        <w:pStyle w:val="9"/>
        <w:spacing w:before="191" w:line="333" w:lineRule="auto"/>
        <w:ind w:left="97" w:firstLine="625"/>
        <w:jc w:val="left"/>
        <w:rPr>
          <w:b w:val="0"/>
          <w:bCs/>
          <w:highlight w:val="none"/>
        </w:rPr>
      </w:pPr>
      <w:r>
        <w:rPr>
          <w:b w:val="0"/>
          <w:bCs/>
          <w:spacing w:val="18"/>
          <w:highlight w:val="none"/>
        </w:rPr>
        <w:t>（</w:t>
      </w:r>
      <w:r>
        <w:rPr>
          <w:b w:val="0"/>
          <w:bCs/>
          <w:spacing w:val="-53"/>
          <w:highlight w:val="none"/>
        </w:rPr>
        <w:t xml:space="preserve"> </w:t>
      </w:r>
      <w:r>
        <w:rPr>
          <w:b w:val="0"/>
          <w:bCs/>
          <w:spacing w:val="18"/>
          <w:highlight w:val="none"/>
        </w:rPr>
        <w:t>一）危害公安网络安全的活动，包括在公安信息系统中</w:t>
      </w:r>
      <w:r>
        <w:rPr>
          <w:b w:val="0"/>
          <w:bCs/>
          <w:spacing w:val="17"/>
          <w:highlight w:val="none"/>
        </w:rPr>
        <w:t>留存后门、木马和非授权访问通道等恶意代码，私</w:t>
      </w:r>
      <w:r>
        <w:rPr>
          <w:b w:val="0"/>
          <w:bCs/>
          <w:spacing w:val="-56"/>
          <w:highlight w:val="none"/>
        </w:rPr>
        <w:t xml:space="preserve"> </w:t>
      </w:r>
      <w:r>
        <w:rPr>
          <w:b w:val="0"/>
          <w:bCs/>
          <w:spacing w:val="17"/>
          <w:highlight w:val="none"/>
        </w:rPr>
        <w:t>自对公安网</w:t>
      </w:r>
      <w:r>
        <w:rPr>
          <w:b w:val="0"/>
          <w:bCs/>
          <w:spacing w:val="9"/>
          <w:highlight w:val="none"/>
        </w:rPr>
        <w:t>络扫描探测，私自将任何外部设备与公安网</w:t>
      </w:r>
      <w:r>
        <w:rPr>
          <w:b w:val="0"/>
          <w:bCs/>
          <w:spacing w:val="8"/>
          <w:highlight w:val="none"/>
        </w:rPr>
        <w:t>络直接连接等；</w:t>
      </w:r>
    </w:p>
    <w:p w14:paraId="29498C0F">
      <w:pPr>
        <w:pStyle w:val="9"/>
        <w:spacing w:line="333" w:lineRule="auto"/>
        <w:ind w:left="97" w:firstLine="625"/>
        <w:jc w:val="left"/>
        <w:rPr>
          <w:b w:val="0"/>
          <w:bCs/>
          <w:highlight w:val="none"/>
        </w:rPr>
      </w:pPr>
      <w:r>
        <w:rPr>
          <w:b w:val="0"/>
          <w:bCs/>
          <w:spacing w:val="18"/>
          <w:highlight w:val="none"/>
        </w:rPr>
        <w:t>（</w:t>
      </w:r>
      <w:r>
        <w:rPr>
          <w:b w:val="0"/>
          <w:bCs/>
          <w:spacing w:val="-53"/>
          <w:highlight w:val="none"/>
        </w:rPr>
        <w:t xml:space="preserve"> </w:t>
      </w:r>
      <w:r>
        <w:rPr>
          <w:b w:val="0"/>
          <w:bCs/>
          <w:spacing w:val="18"/>
          <w:highlight w:val="none"/>
        </w:rPr>
        <w:t>二）危害公安数据安全的行为，包括擅自记录、篡改、</w:t>
      </w:r>
      <w:r>
        <w:rPr>
          <w:b w:val="0"/>
          <w:bCs/>
          <w:spacing w:val="20"/>
          <w:highlight w:val="none"/>
        </w:rPr>
        <w:t>删除公安内部数据，将公安内部数据在互联网存储、传输或者</w:t>
      </w:r>
      <w:r>
        <w:rPr>
          <w:b w:val="0"/>
          <w:bCs/>
          <w:highlight w:val="none"/>
        </w:rPr>
        <w:t>携带出国（境</w:t>
      </w:r>
      <w:r>
        <w:rPr>
          <w:b w:val="0"/>
          <w:bCs/>
          <w:spacing w:val="12"/>
          <w:highlight w:val="none"/>
        </w:rPr>
        <w:t>），</w:t>
      </w:r>
      <w:r>
        <w:rPr>
          <w:b w:val="0"/>
          <w:bCs/>
          <w:highlight w:val="none"/>
        </w:rPr>
        <w:t>泄露、贩卖公安内部数据等；</w:t>
      </w:r>
    </w:p>
    <w:p w14:paraId="25B24873">
      <w:pPr>
        <w:pStyle w:val="9"/>
        <w:spacing w:before="2" w:line="333" w:lineRule="auto"/>
        <w:ind w:left="88" w:right="212" w:firstLine="634"/>
        <w:jc w:val="left"/>
        <w:rPr>
          <w:b w:val="0"/>
          <w:bCs/>
          <w:highlight w:val="none"/>
        </w:rPr>
      </w:pPr>
      <w:r>
        <w:rPr>
          <w:b w:val="0"/>
          <w:bCs/>
          <w:spacing w:val="6"/>
          <w:highlight w:val="none"/>
        </w:rPr>
        <w:t>（</w:t>
      </w:r>
      <w:r>
        <w:rPr>
          <w:b w:val="0"/>
          <w:bCs/>
          <w:spacing w:val="-62"/>
          <w:highlight w:val="none"/>
        </w:rPr>
        <w:t xml:space="preserve"> </w:t>
      </w:r>
      <w:r>
        <w:rPr>
          <w:b w:val="0"/>
          <w:bCs/>
          <w:spacing w:val="6"/>
          <w:highlight w:val="none"/>
        </w:rPr>
        <w:t>三）泄露公安文件的行为，包括擅自翻阅、复印、拍摄</w:t>
      </w:r>
      <w:r>
        <w:rPr>
          <w:b w:val="0"/>
          <w:bCs/>
          <w:spacing w:val="1"/>
          <w:highlight w:val="none"/>
        </w:rPr>
        <w:t>公安内部文件，擅自将公安内部文件带离公安机关办公场所等；</w:t>
      </w:r>
    </w:p>
    <w:p w14:paraId="208CA805">
      <w:pPr>
        <w:pStyle w:val="9"/>
        <w:spacing w:before="2" w:line="221" w:lineRule="auto"/>
        <w:ind w:left="722"/>
        <w:jc w:val="left"/>
        <w:rPr>
          <w:b w:val="0"/>
          <w:bCs/>
          <w:highlight w:val="none"/>
        </w:rPr>
      </w:pPr>
      <w:r>
        <w:rPr>
          <w:b w:val="0"/>
          <w:bCs/>
          <w:spacing w:val="4"/>
          <w:highlight w:val="none"/>
        </w:rPr>
        <w:t>（</w:t>
      </w:r>
      <w:r>
        <w:rPr>
          <w:b w:val="0"/>
          <w:bCs/>
          <w:spacing w:val="-52"/>
          <w:highlight w:val="none"/>
        </w:rPr>
        <w:t xml:space="preserve"> </w:t>
      </w:r>
      <w:r>
        <w:rPr>
          <w:b w:val="0"/>
          <w:bCs/>
          <w:spacing w:val="4"/>
          <w:highlight w:val="none"/>
        </w:rPr>
        <w:t>四）其他危害公安网络和数据安全的活动。</w:t>
      </w:r>
    </w:p>
    <w:p w14:paraId="55765C53">
      <w:pPr>
        <w:pStyle w:val="9"/>
        <w:spacing w:before="189" w:line="333" w:lineRule="auto"/>
        <w:ind w:right="309" w:firstLine="754"/>
        <w:jc w:val="left"/>
        <w:rPr>
          <w:b w:val="0"/>
          <w:bCs/>
          <w:highlight w:val="none"/>
        </w:rPr>
      </w:pPr>
      <w:r>
        <w:rPr>
          <w:b w:val="0"/>
          <w:bCs/>
          <w:spacing w:val="8"/>
          <w:highlight w:val="none"/>
        </w:rPr>
        <w:t>三、一旦发生公安网络安全事件或者存在数据失泄密风险</w:t>
      </w:r>
      <w:r>
        <w:rPr>
          <w:b w:val="0"/>
          <w:bCs/>
          <w:spacing w:val="6"/>
          <w:highlight w:val="none"/>
        </w:rPr>
        <w:t>时，应当及时向公安机关合作单位报告。</w:t>
      </w:r>
    </w:p>
    <w:p w14:paraId="67ACE0D1">
      <w:pPr>
        <w:pStyle w:val="9"/>
        <w:spacing w:before="1" w:line="222" w:lineRule="auto"/>
        <w:ind w:left="648"/>
        <w:jc w:val="left"/>
        <w:rPr>
          <w:highlight w:val="none"/>
        </w:rPr>
      </w:pPr>
      <w:r>
        <w:rPr>
          <w:b w:val="0"/>
          <w:bCs/>
          <w:spacing w:val="5"/>
          <w:highlight w:val="none"/>
        </w:rPr>
        <w:t>四、本承诺书自签字之日起生效。</w:t>
      </w:r>
    </w:p>
    <w:p w14:paraId="6760F583">
      <w:pPr>
        <w:spacing w:line="321" w:lineRule="auto"/>
        <w:jc w:val="left"/>
        <w:rPr>
          <w:rFonts w:ascii="Arial"/>
          <w:sz w:val="21"/>
          <w:highlight w:val="none"/>
        </w:rPr>
      </w:pPr>
    </w:p>
    <w:p w14:paraId="3984FB5A">
      <w:pPr>
        <w:pStyle w:val="9"/>
        <w:spacing w:before="251" w:line="222" w:lineRule="auto"/>
        <w:ind w:left="1615" w:firstLine="2040" w:firstLineChars="800"/>
        <w:jc w:val="left"/>
        <w:rPr>
          <w:spacing w:val="7"/>
          <w:highlight w:val="none"/>
        </w:rPr>
      </w:pPr>
    </w:p>
    <w:p w14:paraId="201A3777">
      <w:pPr>
        <w:pStyle w:val="9"/>
        <w:spacing w:before="251" w:line="222" w:lineRule="auto"/>
        <w:ind w:firstLine="510" w:firstLineChars="200"/>
        <w:jc w:val="left"/>
        <w:rPr>
          <w:spacing w:val="7"/>
          <w:highlight w:val="none"/>
        </w:rPr>
      </w:pPr>
      <w:r>
        <w:rPr>
          <w:spacing w:val="7"/>
          <w:highlight w:val="none"/>
        </w:rPr>
        <w:t>合作人员（签章）：          企业安全责任人（签章）：</w:t>
      </w:r>
    </w:p>
    <w:p w14:paraId="61F95442">
      <w:pPr>
        <w:pStyle w:val="9"/>
        <w:spacing w:before="251" w:line="222" w:lineRule="auto"/>
        <w:ind w:firstLine="510" w:firstLineChars="200"/>
        <w:jc w:val="left"/>
        <w:rPr>
          <w:rFonts w:hint="eastAsia"/>
          <w:b/>
          <w:bCs/>
          <w:sz w:val="32"/>
          <w:szCs w:val="32"/>
          <w:highlight w:val="none"/>
        </w:rPr>
      </w:pPr>
      <w:r>
        <w:rPr>
          <w:spacing w:val="7"/>
          <w:highlight w:val="none"/>
        </w:rPr>
        <w:t xml:space="preserve">合作企业（公章）：            </w:t>
      </w:r>
      <w:r>
        <w:rPr>
          <w:rFonts w:hint="eastAsia"/>
          <w:spacing w:val="7"/>
          <w:highlight w:val="none"/>
          <w:lang w:val="en-US" w:eastAsia="zh-CN"/>
        </w:rPr>
        <w:t xml:space="preserve">               </w:t>
      </w:r>
      <w:r>
        <w:rPr>
          <w:spacing w:val="7"/>
          <w:highlight w:val="none"/>
        </w:rPr>
        <w:t>日期：</w:t>
      </w:r>
      <w:r>
        <w:rPr>
          <w:rFonts w:hint="eastAsia"/>
          <w:b/>
          <w:bCs/>
          <w:sz w:val="32"/>
          <w:szCs w:val="32"/>
          <w:highlight w:val="none"/>
        </w:rPr>
        <w:br w:type="page"/>
      </w:r>
    </w:p>
    <w:p w14:paraId="0897DF1F">
      <w:pPr>
        <w:adjustRightInd w:val="0"/>
        <w:snapToGrid w:val="0"/>
        <w:spacing w:line="360" w:lineRule="auto"/>
        <w:jc w:val="both"/>
        <w:rPr>
          <w:b/>
          <w:bCs/>
          <w:sz w:val="32"/>
          <w:szCs w:val="32"/>
          <w:highlight w:val="none"/>
          <w:lang w:val="en-US"/>
        </w:rPr>
      </w:pPr>
      <w:r>
        <w:rPr>
          <w:rFonts w:hint="eastAsia"/>
          <w:b/>
          <w:bCs/>
          <w:sz w:val="32"/>
          <w:szCs w:val="32"/>
          <w:highlight w:val="none"/>
        </w:rPr>
        <w:t>附件：考核</w:t>
      </w:r>
      <w:r>
        <w:rPr>
          <w:rFonts w:hint="eastAsia"/>
          <w:b/>
          <w:bCs/>
          <w:sz w:val="32"/>
          <w:szCs w:val="32"/>
          <w:highlight w:val="none"/>
          <w:lang w:val="en-US"/>
        </w:rPr>
        <w:t>办法</w:t>
      </w:r>
    </w:p>
    <w:p w14:paraId="640245F2">
      <w:pPr>
        <w:autoSpaceDE/>
        <w:autoSpaceDN/>
        <w:adjustRightInd w:val="0"/>
        <w:snapToGrid w:val="0"/>
        <w:spacing w:line="420" w:lineRule="exact"/>
        <w:ind w:firstLine="482" w:firstLineChars="200"/>
        <w:rPr>
          <w:rFonts w:hAnsi="宋体"/>
          <w:b/>
          <w:bCs/>
          <w:sz w:val="24"/>
          <w:szCs w:val="24"/>
          <w:highlight w:val="none"/>
        </w:rPr>
      </w:pPr>
      <w:r>
        <w:rPr>
          <w:rFonts w:hint="eastAsia" w:hAnsi="宋体"/>
          <w:b/>
          <w:bCs/>
          <w:sz w:val="24"/>
          <w:szCs w:val="24"/>
          <w:highlight w:val="none"/>
        </w:rPr>
        <w:t>（一）维保服务考核办法</w:t>
      </w:r>
    </w:p>
    <w:p w14:paraId="7D5E6B58">
      <w:pPr>
        <w:pStyle w:val="40"/>
        <w:autoSpaceDE/>
        <w:autoSpaceDN/>
        <w:adjustRightInd w:val="0"/>
        <w:snapToGrid w:val="0"/>
        <w:spacing w:line="420" w:lineRule="exact"/>
        <w:ind w:firstLine="480"/>
        <w:rPr>
          <w:rFonts w:hAnsi="宋体"/>
          <w:b/>
          <w:bCs/>
          <w:szCs w:val="24"/>
          <w:highlight w:val="none"/>
        </w:rPr>
      </w:pPr>
      <w:r>
        <w:rPr>
          <w:rFonts w:hint="eastAsia" w:hAnsi="宋体"/>
          <w:kern w:val="2"/>
          <w:szCs w:val="24"/>
          <w:highlight w:val="none"/>
        </w:rPr>
        <w:t>维保服务质量实行按月定量考核制度，考核打分办法如下：</w:t>
      </w:r>
    </w:p>
    <w:tbl>
      <w:tblPr>
        <w:tblStyle w:val="21"/>
        <w:tblW w:w="9683" w:type="dxa"/>
        <w:jc w:val="center"/>
        <w:tblLayout w:type="fixed"/>
        <w:tblCellMar>
          <w:top w:w="0" w:type="dxa"/>
          <w:left w:w="108" w:type="dxa"/>
          <w:bottom w:w="0" w:type="dxa"/>
          <w:right w:w="108" w:type="dxa"/>
        </w:tblCellMar>
      </w:tblPr>
      <w:tblGrid>
        <w:gridCol w:w="795"/>
        <w:gridCol w:w="1399"/>
        <w:gridCol w:w="3828"/>
        <w:gridCol w:w="753"/>
        <w:gridCol w:w="1056"/>
        <w:gridCol w:w="1016"/>
        <w:gridCol w:w="836"/>
      </w:tblGrid>
      <w:tr w14:paraId="225DEDAC">
        <w:tblPrEx>
          <w:tblCellMar>
            <w:top w:w="0" w:type="dxa"/>
            <w:left w:w="108" w:type="dxa"/>
            <w:bottom w:w="0" w:type="dxa"/>
            <w:right w:w="108" w:type="dxa"/>
          </w:tblCellMar>
        </w:tblPrEx>
        <w:trPr>
          <w:trHeight w:val="673" w:hRule="atLeast"/>
          <w:jc w:val="center"/>
        </w:trPr>
        <w:tc>
          <w:tcPr>
            <w:tcW w:w="9683" w:type="dxa"/>
            <w:gridSpan w:val="7"/>
            <w:tcBorders>
              <w:top w:val="nil"/>
              <w:left w:val="nil"/>
              <w:bottom w:val="single" w:color="auto" w:sz="4" w:space="0"/>
              <w:right w:val="nil"/>
            </w:tcBorders>
            <w:shd w:val="clear" w:color="000000" w:fill="FFFFFF"/>
            <w:noWrap/>
            <w:vAlign w:val="center"/>
          </w:tcPr>
          <w:p w14:paraId="0B9A5EFE">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1.月度运维项目质量考核表</w:t>
            </w:r>
          </w:p>
        </w:tc>
      </w:tr>
      <w:tr w14:paraId="04A8400F">
        <w:tblPrEx>
          <w:tblCellMar>
            <w:top w:w="0" w:type="dxa"/>
            <w:left w:w="108" w:type="dxa"/>
            <w:bottom w:w="0" w:type="dxa"/>
            <w:right w:w="108" w:type="dxa"/>
          </w:tblCellMar>
        </w:tblPrEx>
        <w:trPr>
          <w:trHeight w:val="396" w:hRule="atLeast"/>
          <w:jc w:val="center"/>
        </w:trPr>
        <w:tc>
          <w:tcPr>
            <w:tcW w:w="2194"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43F0B09">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考核区间</w:t>
            </w:r>
          </w:p>
        </w:tc>
        <w:tc>
          <w:tcPr>
            <w:tcW w:w="7489"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1F9E2C2C">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考核月份</w:t>
            </w:r>
          </w:p>
        </w:tc>
      </w:tr>
      <w:tr w14:paraId="60A6B190">
        <w:tblPrEx>
          <w:tblCellMar>
            <w:top w:w="0" w:type="dxa"/>
            <w:left w:w="108" w:type="dxa"/>
            <w:bottom w:w="0" w:type="dxa"/>
            <w:right w:w="108" w:type="dxa"/>
          </w:tblCellMar>
        </w:tblPrEx>
        <w:trPr>
          <w:trHeight w:val="782" w:hRule="atLeast"/>
          <w:jc w:val="center"/>
        </w:trPr>
        <w:tc>
          <w:tcPr>
            <w:tcW w:w="9683" w:type="dxa"/>
            <w:gridSpan w:val="7"/>
            <w:tcBorders>
              <w:top w:val="single" w:color="auto" w:sz="4" w:space="0"/>
              <w:left w:val="single" w:color="auto" w:sz="4" w:space="0"/>
              <w:bottom w:val="single" w:color="auto" w:sz="4" w:space="0"/>
              <w:right w:val="single" w:color="auto" w:sz="4" w:space="0"/>
            </w:tcBorders>
            <w:shd w:val="clear" w:color="000000" w:fill="FFFFFF"/>
            <w:noWrap/>
            <w:vAlign w:val="center"/>
          </w:tcPr>
          <w:p w14:paraId="355EC6F4">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附：1.人员考勤表2.会议保障表3.保密培训签到表4.巡检表5.维修记录表6.月度工作总结</w:t>
            </w:r>
          </w:p>
        </w:tc>
      </w:tr>
      <w:tr w14:paraId="7F72026E">
        <w:tblPrEx>
          <w:tblCellMar>
            <w:top w:w="0" w:type="dxa"/>
            <w:left w:w="108" w:type="dxa"/>
            <w:bottom w:w="0" w:type="dxa"/>
            <w:right w:w="108" w:type="dxa"/>
          </w:tblCellMar>
        </w:tblPrEx>
        <w:trPr>
          <w:trHeight w:val="396" w:hRule="atLeast"/>
          <w:jc w:val="center"/>
        </w:trPr>
        <w:tc>
          <w:tcPr>
            <w:tcW w:w="9683" w:type="dxa"/>
            <w:gridSpan w:val="7"/>
            <w:tcBorders>
              <w:top w:val="single" w:color="auto" w:sz="4" w:space="0"/>
              <w:left w:val="single" w:color="auto" w:sz="4" w:space="0"/>
              <w:bottom w:val="single" w:color="auto" w:sz="4" w:space="0"/>
              <w:right w:val="single" w:color="auto" w:sz="4" w:space="0"/>
            </w:tcBorders>
            <w:shd w:val="clear" w:color="000000" w:fill="FFFFFF"/>
            <w:noWrap/>
            <w:vAlign w:val="center"/>
          </w:tcPr>
          <w:p w14:paraId="0A326542">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0DDF6B2E">
        <w:tblPrEx>
          <w:tblCellMar>
            <w:top w:w="0" w:type="dxa"/>
            <w:left w:w="108" w:type="dxa"/>
            <w:bottom w:w="0" w:type="dxa"/>
            <w:right w:w="108" w:type="dxa"/>
          </w:tblCellMar>
        </w:tblPrEx>
        <w:trPr>
          <w:trHeight w:val="396" w:hRule="atLeast"/>
          <w:jc w:val="center"/>
        </w:trPr>
        <w:tc>
          <w:tcPr>
            <w:tcW w:w="6022" w:type="dxa"/>
            <w:gridSpan w:val="3"/>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DA13B48">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考核项目</w:t>
            </w:r>
          </w:p>
        </w:tc>
        <w:tc>
          <w:tcPr>
            <w:tcW w:w="3661"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14:paraId="6C42280B">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考核得分</w:t>
            </w:r>
          </w:p>
        </w:tc>
      </w:tr>
      <w:tr w14:paraId="0A35CEFD">
        <w:tblPrEx>
          <w:tblCellMar>
            <w:top w:w="0" w:type="dxa"/>
            <w:left w:w="108" w:type="dxa"/>
            <w:bottom w:w="0" w:type="dxa"/>
            <w:right w:w="108" w:type="dxa"/>
          </w:tblCellMar>
        </w:tblPrEx>
        <w:trPr>
          <w:trHeight w:val="782" w:hRule="atLeast"/>
          <w:jc w:val="center"/>
        </w:trPr>
        <w:tc>
          <w:tcPr>
            <w:tcW w:w="6022" w:type="dxa"/>
            <w:gridSpan w:val="3"/>
            <w:vMerge w:val="continue"/>
            <w:tcBorders>
              <w:top w:val="single" w:color="auto" w:sz="4" w:space="0"/>
              <w:left w:val="single" w:color="auto" w:sz="4" w:space="0"/>
              <w:bottom w:val="single" w:color="auto" w:sz="4" w:space="0"/>
              <w:right w:val="single" w:color="auto" w:sz="4" w:space="0"/>
            </w:tcBorders>
            <w:vAlign w:val="center"/>
          </w:tcPr>
          <w:p w14:paraId="4141BDF8">
            <w:pPr>
              <w:widowControl/>
              <w:autoSpaceDE/>
              <w:autoSpaceDN/>
              <w:adjustRightInd w:val="0"/>
              <w:snapToGrid w:val="0"/>
              <w:spacing w:line="420" w:lineRule="exact"/>
              <w:rPr>
                <w:rFonts w:hAnsi="宋体"/>
                <w:b/>
                <w:bCs/>
                <w:sz w:val="24"/>
                <w:szCs w:val="24"/>
                <w:highlight w:val="none"/>
              </w:rPr>
            </w:pPr>
          </w:p>
        </w:tc>
        <w:tc>
          <w:tcPr>
            <w:tcW w:w="753" w:type="dxa"/>
            <w:tcBorders>
              <w:top w:val="single" w:color="auto" w:sz="4" w:space="0"/>
              <w:left w:val="nil"/>
              <w:bottom w:val="single" w:color="auto" w:sz="4" w:space="0"/>
              <w:right w:val="single" w:color="auto" w:sz="4" w:space="0"/>
            </w:tcBorders>
            <w:shd w:val="clear" w:color="auto" w:fill="auto"/>
            <w:noWrap/>
            <w:vAlign w:val="center"/>
          </w:tcPr>
          <w:p w14:paraId="65F9A937">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权重</w:t>
            </w:r>
          </w:p>
        </w:tc>
        <w:tc>
          <w:tcPr>
            <w:tcW w:w="1056" w:type="dxa"/>
            <w:tcBorders>
              <w:top w:val="single" w:color="auto" w:sz="4" w:space="0"/>
              <w:left w:val="nil"/>
              <w:bottom w:val="single" w:color="auto" w:sz="4" w:space="0"/>
              <w:right w:val="single" w:color="auto" w:sz="4" w:space="0"/>
            </w:tcBorders>
            <w:shd w:val="clear" w:color="auto" w:fill="auto"/>
            <w:vAlign w:val="center"/>
          </w:tcPr>
          <w:p w14:paraId="4729B308">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自我考核</w:t>
            </w:r>
          </w:p>
        </w:tc>
        <w:tc>
          <w:tcPr>
            <w:tcW w:w="1016" w:type="dxa"/>
            <w:tcBorders>
              <w:top w:val="single" w:color="auto" w:sz="4" w:space="0"/>
              <w:left w:val="nil"/>
              <w:bottom w:val="single" w:color="auto" w:sz="4" w:space="0"/>
              <w:right w:val="single" w:color="auto" w:sz="4" w:space="0"/>
            </w:tcBorders>
            <w:shd w:val="clear" w:color="auto" w:fill="auto"/>
            <w:vAlign w:val="center"/>
          </w:tcPr>
          <w:p w14:paraId="28C83B1B">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甲方考核</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A961E1">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备注</w:t>
            </w:r>
          </w:p>
        </w:tc>
      </w:tr>
      <w:tr w14:paraId="1A91B030">
        <w:tblPrEx>
          <w:tblCellMar>
            <w:top w:w="0" w:type="dxa"/>
            <w:left w:w="108" w:type="dxa"/>
            <w:bottom w:w="0" w:type="dxa"/>
            <w:right w:w="108" w:type="dxa"/>
          </w:tblCellMar>
        </w:tblPrEx>
        <w:trPr>
          <w:trHeight w:val="782" w:hRule="atLeast"/>
          <w:jc w:val="center"/>
        </w:trPr>
        <w:tc>
          <w:tcPr>
            <w:tcW w:w="795" w:type="dxa"/>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403B1884">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维保维护</w:t>
            </w: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24E2D5ED">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培训管理</w:t>
            </w: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220521FE">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1、未按规定组织安全保密培训的扣5分/次</w:t>
            </w:r>
          </w:p>
        </w:tc>
        <w:tc>
          <w:tcPr>
            <w:tcW w:w="753" w:type="dxa"/>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20034B88">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50%</w:t>
            </w:r>
          </w:p>
        </w:tc>
        <w:tc>
          <w:tcPr>
            <w:tcW w:w="1056" w:type="dxa"/>
            <w:tcBorders>
              <w:top w:val="single" w:color="auto" w:sz="4" w:space="0"/>
              <w:left w:val="nil"/>
              <w:bottom w:val="single" w:color="auto" w:sz="4" w:space="0"/>
              <w:right w:val="nil"/>
            </w:tcBorders>
            <w:shd w:val="clear" w:color="000000" w:fill="FFFFFF"/>
            <w:noWrap/>
            <w:vAlign w:val="center"/>
          </w:tcPr>
          <w:p w14:paraId="49B91A6A">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FB634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27C77BD0">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31AEAF16">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199661B5">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0D83D2EF">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036B16DF">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2、未按规定组织业务培训并考核的扣5分/次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6CF74E82">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56955185">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F5FE6F">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023F501A">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3772D031">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1B427838">
            <w:pPr>
              <w:widowControl/>
              <w:autoSpaceDE/>
              <w:autoSpaceDN/>
              <w:adjustRightInd w:val="0"/>
              <w:snapToGrid w:val="0"/>
              <w:spacing w:line="420" w:lineRule="exact"/>
              <w:rPr>
                <w:rFonts w:hAnsi="宋体"/>
                <w:b/>
                <w:bCs/>
                <w:sz w:val="24"/>
                <w:szCs w:val="24"/>
                <w:highlight w:val="none"/>
              </w:rPr>
            </w:pP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526818A9">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标签化管理</w:t>
            </w: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7DBB76F1">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3、设备建档及标签化管理不能按时完成的扣5分/次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2B16D59E">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19E20133">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026F53">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7D8E732C">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05E91C9E">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504AF8A6">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35B83507">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07036D00">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4、设备信息、标签更新不及时的扣1分/次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6EB1B8C9">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306B609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9CF585">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367168F0">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3DCCC38E">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0EDAE209">
            <w:pPr>
              <w:widowControl/>
              <w:autoSpaceDE/>
              <w:autoSpaceDN/>
              <w:adjustRightInd w:val="0"/>
              <w:snapToGrid w:val="0"/>
              <w:spacing w:line="420" w:lineRule="exact"/>
              <w:rPr>
                <w:rFonts w:hAnsi="宋体"/>
                <w:b/>
                <w:bCs/>
                <w:sz w:val="24"/>
                <w:szCs w:val="24"/>
                <w:highlight w:val="none"/>
              </w:rPr>
            </w:pP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2A67F260">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线路整理</w:t>
            </w: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2E9E0564">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5、线路整理并贴标签未完成的扣5分/次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438F8DB3">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337E7AE8">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9C8A00">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17391722">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1CE8B71A">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35DCF164">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7770018A">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5A2465A7">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6、线路标签、设备运行资料更新不及时的扣2分/次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167BEC0E">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73BA4A81">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F29CD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5E851E9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08C68BD0">
        <w:tblPrEx>
          <w:tblCellMar>
            <w:top w:w="0" w:type="dxa"/>
            <w:left w:w="108" w:type="dxa"/>
            <w:bottom w:w="0" w:type="dxa"/>
            <w:right w:w="108" w:type="dxa"/>
          </w:tblCellMar>
        </w:tblPrEx>
        <w:trPr>
          <w:trHeight w:val="396"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378B9402">
            <w:pPr>
              <w:widowControl/>
              <w:autoSpaceDE/>
              <w:autoSpaceDN/>
              <w:adjustRightInd w:val="0"/>
              <w:snapToGrid w:val="0"/>
              <w:spacing w:line="420" w:lineRule="exact"/>
              <w:rPr>
                <w:rFonts w:hAnsi="宋体"/>
                <w:b/>
                <w:bCs/>
                <w:sz w:val="24"/>
                <w:szCs w:val="24"/>
                <w:highlight w:val="none"/>
              </w:rPr>
            </w:pP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417A4C20">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应急预案</w:t>
            </w: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6B7F84EA">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7、每缺一个系统预案扣5分/次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17B46A0D">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17DF65C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B416C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779B30D9">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6944E72F">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63E9AD71">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71E49825">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251D6A98">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8、导致一般性保障事故的扣3分/次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77CE2A06">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59781F6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11BA1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4B86830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0BDE4A73">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67EA8DFD">
            <w:pPr>
              <w:widowControl/>
              <w:autoSpaceDE/>
              <w:autoSpaceDN/>
              <w:adjustRightInd w:val="0"/>
              <w:snapToGrid w:val="0"/>
              <w:spacing w:line="420" w:lineRule="exact"/>
              <w:rPr>
                <w:rFonts w:hAnsi="宋体"/>
                <w:b/>
                <w:bCs/>
                <w:sz w:val="24"/>
                <w:szCs w:val="24"/>
                <w:highlight w:val="none"/>
              </w:rPr>
            </w:pP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0650DEE2">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会场保障检查</w:t>
            </w: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0D7A0DF7">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9、会前检测设备运行状态不到位、不及时的扣2分/次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5BF2259D">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33D3B3A1">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D9AF52">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29819F2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5793C852">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33648A0F">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4578AD23">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vAlign w:val="center"/>
          </w:tcPr>
          <w:p w14:paraId="07C5C071">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10、会前检测设备发现问题处理不到位、不及时的扣1分/次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448BA9C9">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0C28EE16">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BAA76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5E7DA67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21995A93">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0A5B63F1">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6646ADE8">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vAlign w:val="center"/>
          </w:tcPr>
          <w:p w14:paraId="4FB318F3">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11、未根据方案对设备进行调整不到位、不及时的扣1分/次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6713F596">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5AD8C38C">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D245C8">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4D20F1A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4D38BCE3">
        <w:tblPrEx>
          <w:tblCellMar>
            <w:top w:w="0" w:type="dxa"/>
            <w:left w:w="108" w:type="dxa"/>
            <w:bottom w:w="0" w:type="dxa"/>
            <w:right w:w="108" w:type="dxa"/>
          </w:tblCellMar>
        </w:tblPrEx>
        <w:trPr>
          <w:trHeight w:val="1168"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20E147FD">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3DC7BFEC">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vAlign w:val="center"/>
          </w:tcPr>
          <w:p w14:paraId="272DEC3B">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12、人员未足额配置、未按时到岗的，每缺一人扣2分/次，每迟到一人的扣1分/次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72E217F5">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62F582C6">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C44A73">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03B41808">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28DF81A7">
        <w:tblPrEx>
          <w:tblCellMar>
            <w:top w:w="0" w:type="dxa"/>
            <w:left w:w="108" w:type="dxa"/>
            <w:bottom w:w="0" w:type="dxa"/>
            <w:right w:w="108" w:type="dxa"/>
          </w:tblCellMar>
        </w:tblPrEx>
        <w:trPr>
          <w:trHeight w:val="1168"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26A1ECAC">
            <w:pPr>
              <w:widowControl/>
              <w:autoSpaceDE/>
              <w:autoSpaceDN/>
              <w:adjustRightInd w:val="0"/>
              <w:snapToGrid w:val="0"/>
              <w:spacing w:line="420" w:lineRule="exact"/>
              <w:rPr>
                <w:rFonts w:hAnsi="宋体"/>
                <w:b/>
                <w:bCs/>
                <w:sz w:val="24"/>
                <w:szCs w:val="24"/>
                <w:highlight w:val="none"/>
              </w:rPr>
            </w:pP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3263328A">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视频矩阵</w:t>
            </w:r>
          </w:p>
        </w:tc>
        <w:tc>
          <w:tcPr>
            <w:tcW w:w="3828" w:type="dxa"/>
            <w:tcBorders>
              <w:top w:val="single" w:color="auto" w:sz="4" w:space="0"/>
              <w:left w:val="nil"/>
              <w:bottom w:val="single" w:color="auto" w:sz="4" w:space="0"/>
              <w:right w:val="single" w:color="auto" w:sz="4" w:space="0"/>
            </w:tcBorders>
            <w:shd w:val="clear" w:color="000000" w:fill="FFFFFF"/>
            <w:vAlign w:val="center"/>
          </w:tcPr>
          <w:p w14:paraId="6A7ECB65">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13、根据甲方需求对矩阵进行实时调整不及时、不到位的扣5分/次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0DDF5BC9">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623AF1B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D62358">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3586831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1B181D8D">
        <w:tblPrEx>
          <w:tblCellMar>
            <w:top w:w="0" w:type="dxa"/>
            <w:left w:w="108" w:type="dxa"/>
            <w:bottom w:w="0" w:type="dxa"/>
            <w:right w:w="108" w:type="dxa"/>
          </w:tblCellMar>
        </w:tblPrEx>
        <w:trPr>
          <w:trHeight w:val="78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72211D0F">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62331BB0">
            <w:pPr>
              <w:widowControl/>
              <w:autoSpaceDE/>
              <w:autoSpaceDN/>
              <w:adjustRightInd w:val="0"/>
              <w:snapToGrid w:val="0"/>
              <w:spacing w:line="420" w:lineRule="exact"/>
              <w:jc w:val="center"/>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noWrap/>
            <w:vAlign w:val="center"/>
          </w:tcPr>
          <w:p w14:paraId="4B235CAC">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14、导致一般性保障事故的扣3分/次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5E79AC58">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767A215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41DE0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372F23B2">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53FA8819">
        <w:tblPrEx>
          <w:tblCellMar>
            <w:top w:w="0" w:type="dxa"/>
            <w:left w:w="108" w:type="dxa"/>
            <w:bottom w:w="0" w:type="dxa"/>
            <w:right w:w="108" w:type="dxa"/>
          </w:tblCellMar>
        </w:tblPrEx>
        <w:trPr>
          <w:trHeight w:val="1940"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398A4BF1">
            <w:pPr>
              <w:widowControl/>
              <w:autoSpaceDE/>
              <w:autoSpaceDN/>
              <w:adjustRightInd w:val="0"/>
              <w:snapToGrid w:val="0"/>
              <w:spacing w:line="420" w:lineRule="exact"/>
              <w:rPr>
                <w:rFonts w:hAnsi="宋体"/>
                <w:b/>
                <w:bCs/>
                <w:sz w:val="24"/>
                <w:szCs w:val="24"/>
                <w:highlight w:val="none"/>
              </w:rPr>
            </w:pPr>
          </w:p>
        </w:tc>
        <w:tc>
          <w:tcPr>
            <w:tcW w:w="1399" w:type="dxa"/>
            <w:vMerge w:val="restart"/>
            <w:tcBorders>
              <w:top w:val="single" w:color="auto" w:sz="4" w:space="0"/>
              <w:left w:val="nil"/>
              <w:bottom w:val="single" w:color="auto" w:sz="4" w:space="0"/>
              <w:right w:val="single" w:color="auto" w:sz="4" w:space="0"/>
            </w:tcBorders>
            <w:shd w:val="clear" w:color="000000" w:fill="FFFFFF"/>
            <w:noWrap/>
            <w:vAlign w:val="center"/>
          </w:tcPr>
          <w:p w14:paraId="1A24433D">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1楼门厅及食堂、2楼指挥大厅及预监室、3楼决策室及多功能会议室</w:t>
            </w:r>
          </w:p>
        </w:tc>
        <w:tc>
          <w:tcPr>
            <w:tcW w:w="3828" w:type="dxa"/>
            <w:tcBorders>
              <w:top w:val="single" w:color="auto" w:sz="4" w:space="0"/>
              <w:left w:val="nil"/>
              <w:bottom w:val="single" w:color="auto" w:sz="4" w:space="0"/>
              <w:right w:val="single" w:color="auto" w:sz="4" w:space="0"/>
            </w:tcBorders>
            <w:shd w:val="clear" w:color="000000" w:fill="FFFFFF"/>
            <w:vAlign w:val="center"/>
          </w:tcPr>
          <w:p w14:paraId="5E8BF2CB">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15、检查大屏处理器运行状态是否正常，信号输入输出接口是否正常，大屏控制协议通信是否正常，发现问题及时反馈。以上工作落实不到位的扣1分/次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19A4E982">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4D9EB9F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B658B0">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4680B1EF">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0313BC84">
        <w:tblPrEx>
          <w:tblCellMar>
            <w:top w:w="0" w:type="dxa"/>
            <w:left w:w="108" w:type="dxa"/>
            <w:bottom w:w="0" w:type="dxa"/>
            <w:right w:w="108" w:type="dxa"/>
          </w:tblCellMar>
        </w:tblPrEx>
        <w:trPr>
          <w:trHeight w:val="1553"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3694A10C">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12E3C2E6">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vAlign w:val="center"/>
          </w:tcPr>
          <w:p w14:paraId="4BA2139E">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16、配合甲方对大屏显示模式、显示布局。显示预案进行适配调整，确保显示系统的正常运行，工作落实不到位的扣1分/次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2CEDE2B7">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557C28FF">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605C8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772632B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723D008B">
        <w:tblPrEx>
          <w:tblCellMar>
            <w:top w:w="0" w:type="dxa"/>
            <w:left w:w="108" w:type="dxa"/>
            <w:bottom w:w="0" w:type="dxa"/>
            <w:right w:w="108" w:type="dxa"/>
          </w:tblCellMar>
        </w:tblPrEx>
        <w:trPr>
          <w:trHeight w:val="1940"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6123E01F">
            <w:pPr>
              <w:widowControl/>
              <w:autoSpaceDE/>
              <w:autoSpaceDN/>
              <w:adjustRightInd w:val="0"/>
              <w:snapToGrid w:val="0"/>
              <w:spacing w:line="420" w:lineRule="exact"/>
              <w:rPr>
                <w:rFonts w:hAnsi="宋体"/>
                <w:b/>
                <w:bCs/>
                <w:sz w:val="24"/>
                <w:szCs w:val="24"/>
                <w:highlight w:val="none"/>
              </w:rPr>
            </w:pPr>
          </w:p>
        </w:tc>
        <w:tc>
          <w:tcPr>
            <w:tcW w:w="1399" w:type="dxa"/>
            <w:vMerge w:val="continue"/>
            <w:tcBorders>
              <w:top w:val="single" w:color="auto" w:sz="4" w:space="0"/>
              <w:left w:val="nil"/>
              <w:bottom w:val="single" w:color="auto" w:sz="4" w:space="0"/>
              <w:right w:val="single" w:color="auto" w:sz="4" w:space="0"/>
            </w:tcBorders>
            <w:vAlign w:val="center"/>
          </w:tcPr>
          <w:p w14:paraId="4D03B1C1">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nil"/>
              <w:bottom w:val="single" w:color="auto" w:sz="4" w:space="0"/>
              <w:right w:val="single" w:color="auto" w:sz="4" w:space="0"/>
            </w:tcBorders>
            <w:shd w:val="clear" w:color="000000" w:fill="FFFFFF"/>
            <w:vAlign w:val="center"/>
          </w:tcPr>
          <w:p w14:paraId="615BD63E">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17、对所有设备运行状态进行检查，查看是否正常。检查充电设备，确保设备和电池处于良好的工作状态，以上工作落实不到位的扣1分/次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4D98F3EC">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nil"/>
              <w:bottom w:val="single" w:color="auto" w:sz="4" w:space="0"/>
              <w:right w:val="nil"/>
            </w:tcBorders>
            <w:shd w:val="clear" w:color="000000" w:fill="FFFFFF"/>
            <w:noWrap/>
            <w:vAlign w:val="center"/>
          </w:tcPr>
          <w:p w14:paraId="1C8FA9A8">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CD9FC9">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5D479A56">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7F735318">
        <w:tblPrEx>
          <w:tblCellMar>
            <w:top w:w="0" w:type="dxa"/>
            <w:left w:w="108" w:type="dxa"/>
            <w:bottom w:w="0" w:type="dxa"/>
            <w:right w:w="108" w:type="dxa"/>
          </w:tblCellMar>
        </w:tblPrEx>
        <w:trPr>
          <w:trHeight w:val="3507"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7DA5B5BA">
            <w:pPr>
              <w:widowControl/>
              <w:autoSpaceDE/>
              <w:autoSpaceDN/>
              <w:adjustRightInd w:val="0"/>
              <w:snapToGrid w:val="0"/>
              <w:spacing w:line="420" w:lineRule="exact"/>
              <w:rPr>
                <w:rFonts w:hAnsi="宋体"/>
                <w:b/>
                <w:bCs/>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25A8F24D">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故障处理</w:t>
            </w:r>
          </w:p>
        </w:tc>
        <w:tc>
          <w:tcPr>
            <w:tcW w:w="3828" w:type="dxa"/>
            <w:tcBorders>
              <w:top w:val="single" w:color="auto" w:sz="4" w:space="0"/>
              <w:left w:val="nil"/>
              <w:bottom w:val="single" w:color="auto" w:sz="4" w:space="0"/>
              <w:right w:val="single" w:color="auto" w:sz="4" w:space="0"/>
            </w:tcBorders>
            <w:shd w:val="clear" w:color="000000" w:fill="FFFFFF"/>
            <w:vAlign w:val="center"/>
          </w:tcPr>
          <w:p w14:paraId="411BB4D4">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18、故障处理响应及时性：</w:t>
            </w:r>
          </w:p>
          <w:p w14:paraId="55A0E4F4">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普通故障处置不超过1小时，每过15分钟扣10分，扣完为止。</w:t>
            </w:r>
          </w:p>
          <w:p w14:paraId="0B83F285">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较大故障处置不超过2小时，每过15分钟扣10分，扣完为止。</w:t>
            </w:r>
          </w:p>
          <w:p w14:paraId="14B7E0C2">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重大故障处置不超过4小时，每过15分钟扣10分，扣完为止。</w:t>
            </w:r>
          </w:p>
          <w:p w14:paraId="4F578719">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特大故障处置不超过24小时，每过1小时扣10分，扣完为止。</w:t>
            </w:r>
          </w:p>
        </w:tc>
        <w:tc>
          <w:tcPr>
            <w:tcW w:w="753" w:type="dxa"/>
            <w:tcBorders>
              <w:top w:val="single" w:color="auto" w:sz="4" w:space="0"/>
              <w:left w:val="nil"/>
              <w:bottom w:val="single" w:color="auto" w:sz="4" w:space="0"/>
              <w:right w:val="single" w:color="auto" w:sz="4" w:space="0"/>
            </w:tcBorders>
            <w:shd w:val="clear" w:color="000000" w:fill="FFFFFF"/>
            <w:noWrap/>
            <w:vAlign w:val="center"/>
          </w:tcPr>
          <w:p w14:paraId="2748E94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56" w:type="dxa"/>
            <w:tcBorders>
              <w:top w:val="single" w:color="auto" w:sz="4" w:space="0"/>
              <w:left w:val="nil"/>
              <w:bottom w:val="single" w:color="auto" w:sz="4" w:space="0"/>
              <w:right w:val="nil"/>
            </w:tcBorders>
            <w:shd w:val="clear" w:color="000000" w:fill="FFFFFF"/>
            <w:noWrap/>
            <w:vAlign w:val="center"/>
          </w:tcPr>
          <w:p w14:paraId="505B54EF">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9D0365">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2F8942A6">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1DA68552">
        <w:tblPrEx>
          <w:tblCellMar>
            <w:top w:w="0" w:type="dxa"/>
            <w:left w:w="108" w:type="dxa"/>
            <w:bottom w:w="0" w:type="dxa"/>
            <w:right w:w="108" w:type="dxa"/>
          </w:tblCellMar>
        </w:tblPrEx>
        <w:trPr>
          <w:trHeight w:val="2712" w:hRule="atLeast"/>
          <w:jc w:val="center"/>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2C0AD4D6">
            <w:pPr>
              <w:widowControl/>
              <w:autoSpaceDE/>
              <w:autoSpaceDN/>
              <w:adjustRightInd w:val="0"/>
              <w:snapToGrid w:val="0"/>
              <w:spacing w:line="420" w:lineRule="exact"/>
              <w:rPr>
                <w:rFonts w:hAnsi="宋体"/>
                <w:b/>
                <w:bCs/>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017A4804">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备品备件</w:t>
            </w:r>
          </w:p>
        </w:tc>
        <w:tc>
          <w:tcPr>
            <w:tcW w:w="3828" w:type="dxa"/>
            <w:tcBorders>
              <w:top w:val="single" w:color="auto" w:sz="4" w:space="0"/>
              <w:left w:val="nil"/>
              <w:bottom w:val="single" w:color="auto" w:sz="4" w:space="0"/>
              <w:right w:val="single" w:color="auto" w:sz="4" w:space="0"/>
            </w:tcBorders>
            <w:shd w:val="clear" w:color="000000" w:fill="FFFFFF"/>
            <w:vAlign w:val="center"/>
          </w:tcPr>
          <w:p w14:paraId="72E3D49C">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19、备品备件协调及时性：</w:t>
            </w:r>
          </w:p>
          <w:p w14:paraId="2863EEE3">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普通设备不超过1小时，每过15分钟扣10分，扣完为止。</w:t>
            </w:r>
          </w:p>
          <w:p w14:paraId="150B55C5">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常用设备不超过2小时，每过15分钟扣10分，扣完为止。</w:t>
            </w:r>
          </w:p>
          <w:p w14:paraId="73FC5161">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核心设备不超过4小时，每过15分钟扣10分，扣完为止。</w:t>
            </w:r>
          </w:p>
        </w:tc>
        <w:tc>
          <w:tcPr>
            <w:tcW w:w="753" w:type="dxa"/>
            <w:tcBorders>
              <w:top w:val="single" w:color="auto" w:sz="4" w:space="0"/>
              <w:left w:val="nil"/>
              <w:bottom w:val="single" w:color="auto" w:sz="4" w:space="0"/>
              <w:right w:val="single" w:color="auto" w:sz="4" w:space="0"/>
            </w:tcBorders>
            <w:shd w:val="clear" w:color="000000" w:fill="FFFFFF"/>
            <w:noWrap/>
            <w:vAlign w:val="center"/>
          </w:tcPr>
          <w:p w14:paraId="0F131CD9">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56" w:type="dxa"/>
            <w:tcBorders>
              <w:top w:val="single" w:color="auto" w:sz="4" w:space="0"/>
              <w:left w:val="nil"/>
              <w:bottom w:val="single" w:color="auto" w:sz="4" w:space="0"/>
              <w:right w:val="nil"/>
            </w:tcBorders>
            <w:shd w:val="clear" w:color="000000" w:fill="FFFFFF"/>
            <w:noWrap/>
            <w:vAlign w:val="center"/>
          </w:tcPr>
          <w:p w14:paraId="06077CA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14382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4669D37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02AB9592">
        <w:tblPrEx>
          <w:tblCellMar>
            <w:top w:w="0" w:type="dxa"/>
            <w:left w:w="108" w:type="dxa"/>
            <w:bottom w:w="0" w:type="dxa"/>
            <w:right w:w="108" w:type="dxa"/>
          </w:tblCellMar>
        </w:tblPrEx>
        <w:trPr>
          <w:trHeight w:val="1553" w:hRule="atLeast"/>
          <w:jc w:val="center"/>
        </w:trPr>
        <w:tc>
          <w:tcPr>
            <w:tcW w:w="2194" w:type="dxa"/>
            <w:gridSpan w:val="2"/>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041242F3">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巡查巡检</w:t>
            </w:r>
          </w:p>
        </w:tc>
        <w:tc>
          <w:tcPr>
            <w:tcW w:w="3828" w:type="dxa"/>
            <w:tcBorders>
              <w:top w:val="single" w:color="auto" w:sz="4" w:space="0"/>
              <w:left w:val="single" w:color="auto" w:sz="4" w:space="0"/>
              <w:right w:val="single" w:color="auto" w:sz="4" w:space="0"/>
            </w:tcBorders>
            <w:shd w:val="clear" w:color="000000" w:fill="FFFFFF"/>
            <w:vAlign w:val="center"/>
          </w:tcPr>
          <w:p w14:paraId="33B7BFE0">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驻场值守人员巡检巡查要求落实不到位、不及时的，扣1分/项；问题处置、隐患排查不及时的扣2分/项。</w:t>
            </w:r>
          </w:p>
        </w:tc>
        <w:tc>
          <w:tcPr>
            <w:tcW w:w="753" w:type="dxa"/>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75393CE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30%</w:t>
            </w:r>
          </w:p>
        </w:tc>
        <w:tc>
          <w:tcPr>
            <w:tcW w:w="1056" w:type="dxa"/>
            <w:tcBorders>
              <w:top w:val="single" w:color="auto" w:sz="4" w:space="0"/>
              <w:left w:val="nil"/>
              <w:right w:val="nil"/>
            </w:tcBorders>
            <w:shd w:val="clear" w:color="000000" w:fill="FFFFFF"/>
            <w:noWrap/>
            <w:vAlign w:val="center"/>
          </w:tcPr>
          <w:p w14:paraId="32A4B1CF">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5DAC6F46">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right w:val="single" w:color="auto" w:sz="4" w:space="0"/>
            </w:tcBorders>
            <w:shd w:val="clear" w:color="auto" w:fill="auto"/>
            <w:noWrap/>
            <w:vAlign w:val="center"/>
          </w:tcPr>
          <w:p w14:paraId="0044D06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47E54ED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4481D4B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4810F088">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2F42643C">
        <w:tblPrEx>
          <w:tblCellMar>
            <w:top w:w="0" w:type="dxa"/>
            <w:left w:w="108" w:type="dxa"/>
            <w:bottom w:w="0" w:type="dxa"/>
            <w:right w:w="108" w:type="dxa"/>
          </w:tblCellMar>
        </w:tblPrEx>
        <w:trPr>
          <w:trHeight w:val="2810" w:hRule="atLeast"/>
          <w:jc w:val="center"/>
        </w:trPr>
        <w:tc>
          <w:tcPr>
            <w:tcW w:w="2194" w:type="dxa"/>
            <w:gridSpan w:val="2"/>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35F80D63">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人员管理</w:t>
            </w:r>
          </w:p>
        </w:tc>
        <w:tc>
          <w:tcPr>
            <w:tcW w:w="3828" w:type="dxa"/>
            <w:tcBorders>
              <w:top w:val="single" w:color="auto" w:sz="4" w:space="0"/>
              <w:left w:val="single" w:color="auto" w:sz="4" w:space="0"/>
              <w:bottom w:val="single" w:color="auto" w:sz="4" w:space="0"/>
              <w:right w:val="single" w:color="auto" w:sz="4" w:space="0"/>
            </w:tcBorders>
            <w:shd w:val="clear" w:color="000000" w:fill="FFFFFF"/>
            <w:vAlign w:val="center"/>
          </w:tcPr>
          <w:p w14:paraId="51640B78">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1、人员考勤考核：迟到、早退、着装不符合规范、未按时到岗的扣1分/人次；旷工、不服从工作安排。消极怠工、驻场人员变更未及时到岗的扣10分/人次，驻场值守结束未准时提交保障信息、保障日志的扣5分/人次。</w:t>
            </w:r>
          </w:p>
        </w:tc>
        <w:tc>
          <w:tcPr>
            <w:tcW w:w="753" w:type="dxa"/>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669FCA2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20%</w:t>
            </w:r>
          </w:p>
        </w:tc>
        <w:tc>
          <w:tcPr>
            <w:tcW w:w="1056"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372843E7">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132738">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58677E0C">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076842FE">
        <w:tblPrEx>
          <w:tblCellMar>
            <w:top w:w="0" w:type="dxa"/>
            <w:left w:w="108" w:type="dxa"/>
            <w:bottom w:w="0" w:type="dxa"/>
            <w:right w:w="108" w:type="dxa"/>
          </w:tblCellMar>
        </w:tblPrEx>
        <w:trPr>
          <w:trHeight w:val="2326" w:hRule="atLeast"/>
          <w:jc w:val="center"/>
        </w:trPr>
        <w:tc>
          <w:tcPr>
            <w:tcW w:w="2194" w:type="dxa"/>
            <w:gridSpan w:val="2"/>
            <w:vMerge w:val="continue"/>
            <w:tcBorders>
              <w:top w:val="single" w:color="auto" w:sz="4" w:space="0"/>
              <w:left w:val="single" w:color="auto" w:sz="4" w:space="0"/>
              <w:bottom w:val="single" w:color="auto" w:sz="4" w:space="0"/>
              <w:right w:val="single" w:color="auto" w:sz="4" w:space="0"/>
            </w:tcBorders>
            <w:vAlign w:val="center"/>
          </w:tcPr>
          <w:p w14:paraId="4CA4ABC4">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single" w:color="auto" w:sz="4" w:space="0"/>
              <w:bottom w:val="single" w:color="auto" w:sz="4" w:space="0"/>
              <w:right w:val="single" w:color="auto" w:sz="4" w:space="0"/>
            </w:tcBorders>
            <w:shd w:val="clear" w:color="000000" w:fill="FFFFFF"/>
            <w:vAlign w:val="center"/>
          </w:tcPr>
          <w:p w14:paraId="74F7750F">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2、人员日常巡检考核：对人员巡检工作进行台账化管理，考查例行各项巡检工作完成情况，存在漏洞、未填写巡检表、巡检后相关场所卫生不合格的，扣2分/人次；发现巡检造假行为，扣10分/次。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5E02A60C">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7449506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057A49">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4684648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286F9A50">
        <w:tblPrEx>
          <w:tblCellMar>
            <w:top w:w="0" w:type="dxa"/>
            <w:left w:w="108" w:type="dxa"/>
            <w:bottom w:w="0" w:type="dxa"/>
            <w:right w:w="108" w:type="dxa"/>
          </w:tblCellMar>
        </w:tblPrEx>
        <w:trPr>
          <w:trHeight w:val="4257" w:hRule="atLeast"/>
          <w:jc w:val="center"/>
        </w:trPr>
        <w:tc>
          <w:tcPr>
            <w:tcW w:w="2194" w:type="dxa"/>
            <w:gridSpan w:val="2"/>
            <w:vMerge w:val="continue"/>
            <w:tcBorders>
              <w:top w:val="single" w:color="auto" w:sz="4" w:space="0"/>
              <w:left w:val="single" w:color="auto" w:sz="4" w:space="0"/>
              <w:bottom w:val="single" w:color="auto" w:sz="4" w:space="0"/>
              <w:right w:val="single" w:color="auto" w:sz="4" w:space="0"/>
            </w:tcBorders>
            <w:vAlign w:val="center"/>
          </w:tcPr>
          <w:p w14:paraId="7020D8AC">
            <w:pPr>
              <w:widowControl/>
              <w:autoSpaceDE/>
              <w:autoSpaceDN/>
              <w:adjustRightInd w:val="0"/>
              <w:snapToGrid w:val="0"/>
              <w:spacing w:line="420" w:lineRule="exact"/>
              <w:rPr>
                <w:rFonts w:hAnsi="宋体"/>
                <w:b/>
                <w:bCs/>
                <w:sz w:val="24"/>
                <w:szCs w:val="24"/>
                <w:highlight w:val="none"/>
              </w:rPr>
            </w:pPr>
          </w:p>
        </w:tc>
        <w:tc>
          <w:tcPr>
            <w:tcW w:w="3828" w:type="dxa"/>
            <w:tcBorders>
              <w:top w:val="single" w:color="auto" w:sz="4" w:space="0"/>
              <w:left w:val="single" w:color="auto" w:sz="4" w:space="0"/>
              <w:bottom w:val="single" w:color="auto" w:sz="4" w:space="0"/>
              <w:right w:val="single" w:color="auto" w:sz="4" w:space="0"/>
            </w:tcBorders>
            <w:shd w:val="clear" w:color="000000" w:fill="FFFFFF"/>
            <w:vAlign w:val="center"/>
          </w:tcPr>
          <w:p w14:paraId="67E7BC3D">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3.人员服务质量考核：考查驻场人员维保服务及遵守厅机关相关规定情况。人员业务能力不合格就上岗的扣10分/人次；会议保障未按会前系统测试流程执行的、保障过程中操作不规范的、保障结束后设备未归位的，扣2分/人次，对8小时工作时间以外造成社会不良影响的，安照甲方要求更换驻场人员并扣35分/人次。</w:t>
            </w: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5C66A3A3">
            <w:pPr>
              <w:widowControl/>
              <w:autoSpaceDE/>
              <w:autoSpaceDN/>
              <w:adjustRightInd w:val="0"/>
              <w:snapToGrid w:val="0"/>
              <w:spacing w:line="420" w:lineRule="exact"/>
              <w:rPr>
                <w:rFonts w:hAnsi="宋体"/>
                <w:sz w:val="24"/>
                <w:szCs w:val="24"/>
                <w:highlight w:val="none"/>
              </w:rPr>
            </w:pPr>
          </w:p>
        </w:tc>
        <w:tc>
          <w:tcPr>
            <w:tcW w:w="1056" w:type="dxa"/>
            <w:tcBorders>
              <w:top w:val="single" w:color="auto" w:sz="4" w:space="0"/>
              <w:left w:val="single" w:color="auto" w:sz="4" w:space="0"/>
              <w:right w:val="single" w:color="auto" w:sz="4" w:space="0"/>
            </w:tcBorders>
            <w:shd w:val="clear" w:color="000000" w:fill="FFFFFF"/>
            <w:noWrap/>
            <w:vAlign w:val="center"/>
          </w:tcPr>
          <w:p w14:paraId="0976BD95">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674CAAE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06CAE5DD">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1016" w:type="dxa"/>
            <w:tcBorders>
              <w:top w:val="single" w:color="auto" w:sz="4" w:space="0"/>
              <w:left w:val="single" w:color="auto" w:sz="4" w:space="0"/>
              <w:right w:val="single" w:color="auto" w:sz="4" w:space="0"/>
            </w:tcBorders>
            <w:shd w:val="clear" w:color="000000" w:fill="FFFFFF"/>
            <w:noWrap/>
            <w:vAlign w:val="center"/>
          </w:tcPr>
          <w:p w14:paraId="0E43545F">
            <w:pPr>
              <w:widowControl/>
              <w:autoSpaceDE/>
              <w:autoSpaceDN/>
              <w:adjustRightInd w:val="0"/>
              <w:snapToGrid w:val="0"/>
              <w:spacing w:line="420" w:lineRule="exact"/>
              <w:jc w:val="center"/>
              <w:rPr>
                <w:rFonts w:hAnsi="宋体"/>
                <w:sz w:val="24"/>
                <w:szCs w:val="24"/>
                <w:highlight w:val="none"/>
              </w:rPr>
            </w:pPr>
          </w:p>
        </w:tc>
        <w:tc>
          <w:tcPr>
            <w:tcW w:w="836" w:type="dxa"/>
            <w:tcBorders>
              <w:top w:val="single" w:color="auto" w:sz="4" w:space="0"/>
              <w:left w:val="single" w:color="auto" w:sz="4" w:space="0"/>
              <w:right w:val="single" w:color="auto" w:sz="4" w:space="0"/>
            </w:tcBorders>
            <w:shd w:val="clear" w:color="000000" w:fill="FFFFFF"/>
            <w:noWrap/>
            <w:vAlign w:val="center"/>
          </w:tcPr>
          <w:p w14:paraId="33C910C0">
            <w:pPr>
              <w:widowControl/>
              <w:autoSpaceDE/>
              <w:autoSpaceDN/>
              <w:adjustRightInd w:val="0"/>
              <w:snapToGrid w:val="0"/>
              <w:spacing w:line="420" w:lineRule="exact"/>
              <w:jc w:val="center"/>
              <w:rPr>
                <w:rFonts w:hAnsi="宋体"/>
                <w:sz w:val="24"/>
                <w:szCs w:val="24"/>
                <w:highlight w:val="none"/>
              </w:rPr>
            </w:pPr>
          </w:p>
        </w:tc>
      </w:tr>
      <w:tr w14:paraId="185EAB90">
        <w:tblPrEx>
          <w:tblCellMar>
            <w:top w:w="0" w:type="dxa"/>
            <w:left w:w="108" w:type="dxa"/>
            <w:bottom w:w="0" w:type="dxa"/>
            <w:right w:w="108" w:type="dxa"/>
          </w:tblCellMar>
        </w:tblPrEx>
        <w:trPr>
          <w:trHeight w:val="1553" w:hRule="atLeast"/>
          <w:jc w:val="center"/>
        </w:trPr>
        <w:tc>
          <w:tcPr>
            <w:tcW w:w="2194" w:type="dxa"/>
            <w:gridSpan w:val="2"/>
            <w:vMerge w:val="continue"/>
            <w:tcBorders>
              <w:left w:val="single" w:color="auto" w:sz="4" w:space="0"/>
              <w:bottom w:val="single" w:color="auto" w:sz="4" w:space="0"/>
              <w:right w:val="single" w:color="auto" w:sz="4" w:space="0"/>
            </w:tcBorders>
            <w:vAlign w:val="center"/>
          </w:tcPr>
          <w:p w14:paraId="64DFAC26">
            <w:pPr>
              <w:widowControl/>
              <w:autoSpaceDE/>
              <w:autoSpaceDN/>
              <w:adjustRightInd w:val="0"/>
              <w:snapToGrid w:val="0"/>
              <w:spacing w:line="420" w:lineRule="exact"/>
              <w:rPr>
                <w:rFonts w:hAnsi="宋体"/>
                <w:sz w:val="24"/>
                <w:szCs w:val="24"/>
                <w:highlight w:val="none"/>
              </w:rPr>
            </w:pPr>
          </w:p>
        </w:tc>
        <w:tc>
          <w:tcPr>
            <w:tcW w:w="3828" w:type="dxa"/>
            <w:tcBorders>
              <w:top w:val="single" w:color="auto" w:sz="4" w:space="0"/>
              <w:left w:val="single" w:color="auto" w:sz="4" w:space="0"/>
              <w:bottom w:val="single" w:color="auto" w:sz="4" w:space="0"/>
              <w:right w:val="single" w:color="auto" w:sz="4" w:space="0"/>
            </w:tcBorders>
            <w:shd w:val="clear" w:color="000000" w:fill="FFFFFF"/>
            <w:vAlign w:val="center"/>
          </w:tcPr>
          <w:p w14:paraId="7FCB30C5">
            <w:pPr>
              <w:widowControl/>
              <w:autoSpaceDE/>
              <w:autoSpaceDN/>
              <w:adjustRightInd w:val="0"/>
              <w:snapToGrid w:val="0"/>
              <w:spacing w:line="420" w:lineRule="exact"/>
              <w:rPr>
                <w:rFonts w:hAnsi="宋体"/>
                <w:sz w:val="24"/>
                <w:szCs w:val="24"/>
                <w:highlight w:val="none"/>
                <w:lang w:val="en-US"/>
              </w:rPr>
            </w:pPr>
            <w:r>
              <w:rPr>
                <w:rFonts w:hint="eastAsia" w:hAnsi="宋体"/>
                <w:sz w:val="24"/>
                <w:szCs w:val="24"/>
                <w:highlight w:val="none"/>
                <w:lang w:val="en-US"/>
              </w:rPr>
              <w:t>4、技术支撑人员：未按照规定时间到场进行技术支撑的，扣</w:t>
            </w:r>
            <w:r>
              <w:rPr>
                <w:rFonts w:hint="eastAsia" w:hAnsi="宋体"/>
                <w:sz w:val="24"/>
                <w:szCs w:val="24"/>
                <w:highlight w:val="none"/>
              </w:rPr>
              <w:t>10分/人次；技术支撑出现错误或者不到位的，</w:t>
            </w:r>
            <w:r>
              <w:rPr>
                <w:rFonts w:hint="eastAsia" w:hAnsi="宋体"/>
                <w:sz w:val="24"/>
                <w:szCs w:val="24"/>
                <w:highlight w:val="none"/>
                <w:lang w:val="en-US"/>
              </w:rPr>
              <w:t>扣</w:t>
            </w:r>
            <w:r>
              <w:rPr>
                <w:rFonts w:hint="eastAsia" w:hAnsi="宋体"/>
                <w:sz w:val="24"/>
                <w:szCs w:val="24"/>
                <w:highlight w:val="none"/>
              </w:rPr>
              <w:t>10分/人次。</w:t>
            </w:r>
          </w:p>
        </w:tc>
        <w:tc>
          <w:tcPr>
            <w:tcW w:w="753" w:type="dxa"/>
            <w:vMerge w:val="continue"/>
            <w:tcBorders>
              <w:left w:val="single" w:color="auto" w:sz="4" w:space="0"/>
              <w:bottom w:val="single" w:color="auto" w:sz="4" w:space="0"/>
              <w:right w:val="single" w:color="auto" w:sz="4" w:space="0"/>
            </w:tcBorders>
            <w:vAlign w:val="center"/>
          </w:tcPr>
          <w:p w14:paraId="08D813F6">
            <w:pPr>
              <w:widowControl/>
              <w:autoSpaceDE/>
              <w:autoSpaceDN/>
              <w:adjustRightInd w:val="0"/>
              <w:snapToGrid w:val="0"/>
              <w:spacing w:line="420" w:lineRule="exact"/>
              <w:rPr>
                <w:rFonts w:hAnsi="宋体"/>
                <w:sz w:val="24"/>
                <w:szCs w:val="24"/>
                <w:highlight w:val="none"/>
              </w:rPr>
            </w:pPr>
          </w:p>
        </w:tc>
        <w:tc>
          <w:tcPr>
            <w:tcW w:w="1056" w:type="dxa"/>
            <w:tcBorders>
              <w:left w:val="single" w:color="auto" w:sz="4" w:space="0"/>
              <w:bottom w:val="single" w:color="auto" w:sz="4" w:space="0"/>
              <w:right w:val="single" w:color="auto" w:sz="4" w:space="0"/>
            </w:tcBorders>
            <w:shd w:val="clear" w:color="000000" w:fill="FFFFFF"/>
            <w:noWrap/>
            <w:vAlign w:val="center"/>
          </w:tcPr>
          <w:p w14:paraId="272FB74E">
            <w:pPr>
              <w:widowControl/>
              <w:autoSpaceDE/>
              <w:autoSpaceDN/>
              <w:adjustRightInd w:val="0"/>
              <w:snapToGrid w:val="0"/>
              <w:spacing w:line="420" w:lineRule="exact"/>
              <w:rPr>
                <w:rFonts w:hAnsi="宋体"/>
                <w:sz w:val="24"/>
                <w:szCs w:val="24"/>
                <w:highlight w:val="none"/>
              </w:rPr>
            </w:pPr>
          </w:p>
        </w:tc>
        <w:tc>
          <w:tcPr>
            <w:tcW w:w="1016" w:type="dxa"/>
            <w:tcBorders>
              <w:left w:val="single" w:color="auto" w:sz="4" w:space="0"/>
              <w:bottom w:val="single" w:color="auto" w:sz="4" w:space="0"/>
              <w:right w:val="single" w:color="auto" w:sz="4" w:space="0"/>
            </w:tcBorders>
            <w:shd w:val="clear" w:color="000000" w:fill="FFFFFF"/>
            <w:noWrap/>
            <w:vAlign w:val="center"/>
          </w:tcPr>
          <w:p w14:paraId="7A4D6935">
            <w:pPr>
              <w:widowControl/>
              <w:autoSpaceDE/>
              <w:autoSpaceDN/>
              <w:adjustRightInd w:val="0"/>
              <w:snapToGrid w:val="0"/>
              <w:spacing w:line="420" w:lineRule="exact"/>
              <w:rPr>
                <w:rFonts w:hAnsi="宋体"/>
                <w:sz w:val="24"/>
                <w:szCs w:val="24"/>
                <w:highlight w:val="none"/>
              </w:rPr>
            </w:pPr>
          </w:p>
        </w:tc>
        <w:tc>
          <w:tcPr>
            <w:tcW w:w="836" w:type="dxa"/>
            <w:tcBorders>
              <w:left w:val="single" w:color="auto" w:sz="4" w:space="0"/>
              <w:bottom w:val="single" w:color="auto" w:sz="4" w:space="0"/>
              <w:right w:val="single" w:color="auto" w:sz="4" w:space="0"/>
            </w:tcBorders>
            <w:shd w:val="clear" w:color="000000" w:fill="FFFFFF"/>
            <w:noWrap/>
            <w:vAlign w:val="center"/>
          </w:tcPr>
          <w:p w14:paraId="45A889E3">
            <w:pPr>
              <w:widowControl/>
              <w:autoSpaceDE/>
              <w:autoSpaceDN/>
              <w:adjustRightInd w:val="0"/>
              <w:snapToGrid w:val="0"/>
              <w:spacing w:line="420" w:lineRule="exact"/>
              <w:rPr>
                <w:rFonts w:hAnsi="宋体"/>
                <w:sz w:val="24"/>
                <w:szCs w:val="24"/>
                <w:highlight w:val="none"/>
              </w:rPr>
            </w:pPr>
          </w:p>
        </w:tc>
      </w:tr>
      <w:tr w14:paraId="003021A0">
        <w:tblPrEx>
          <w:tblCellMar>
            <w:top w:w="0" w:type="dxa"/>
            <w:left w:w="108" w:type="dxa"/>
            <w:bottom w:w="0" w:type="dxa"/>
            <w:right w:w="108" w:type="dxa"/>
          </w:tblCellMar>
        </w:tblPrEx>
        <w:trPr>
          <w:trHeight w:val="602" w:hRule="atLeast"/>
          <w:jc w:val="center"/>
        </w:trPr>
        <w:tc>
          <w:tcPr>
            <w:tcW w:w="6022" w:type="dxa"/>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101C7BCD">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总计</w:t>
            </w:r>
          </w:p>
        </w:tc>
        <w:tc>
          <w:tcPr>
            <w:tcW w:w="753" w:type="dxa"/>
            <w:tcBorders>
              <w:top w:val="single" w:color="auto" w:sz="4" w:space="0"/>
              <w:left w:val="nil"/>
              <w:bottom w:val="single" w:color="auto" w:sz="4" w:space="0"/>
              <w:right w:val="single" w:color="auto" w:sz="4" w:space="0"/>
            </w:tcBorders>
            <w:shd w:val="clear" w:color="000000" w:fill="FFFFFF"/>
            <w:noWrap/>
            <w:vAlign w:val="center"/>
          </w:tcPr>
          <w:p w14:paraId="4FB87540">
            <w:pPr>
              <w:widowControl/>
              <w:autoSpaceDE/>
              <w:autoSpaceDN/>
              <w:adjustRightInd w:val="0"/>
              <w:snapToGrid w:val="0"/>
              <w:spacing w:line="420" w:lineRule="exact"/>
              <w:jc w:val="right"/>
              <w:rPr>
                <w:rFonts w:hAnsi="宋体"/>
                <w:b/>
                <w:bCs/>
                <w:sz w:val="24"/>
                <w:szCs w:val="24"/>
                <w:highlight w:val="none"/>
              </w:rPr>
            </w:pPr>
            <w:r>
              <w:rPr>
                <w:rFonts w:hint="eastAsia" w:hAnsi="宋体"/>
                <w:b/>
                <w:bCs/>
                <w:sz w:val="24"/>
                <w:szCs w:val="24"/>
                <w:highlight w:val="none"/>
              </w:rPr>
              <w:t>100%</w:t>
            </w:r>
          </w:p>
        </w:tc>
        <w:tc>
          <w:tcPr>
            <w:tcW w:w="1056" w:type="dxa"/>
            <w:tcBorders>
              <w:top w:val="single" w:color="auto" w:sz="4" w:space="0"/>
              <w:left w:val="nil"/>
              <w:bottom w:val="single" w:color="auto" w:sz="4" w:space="0"/>
              <w:right w:val="nil"/>
            </w:tcBorders>
            <w:shd w:val="clear" w:color="000000" w:fill="FFFFFF"/>
            <w:noWrap/>
            <w:vAlign w:val="center"/>
          </w:tcPr>
          <w:p w14:paraId="6610ECA2">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　</w:t>
            </w:r>
          </w:p>
        </w:tc>
        <w:tc>
          <w:tcPr>
            <w:tcW w:w="10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650F93">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36" w:type="dxa"/>
            <w:tcBorders>
              <w:top w:val="single" w:color="auto" w:sz="4" w:space="0"/>
              <w:left w:val="nil"/>
              <w:bottom w:val="single" w:color="auto" w:sz="4" w:space="0"/>
              <w:right w:val="single" w:color="auto" w:sz="4" w:space="0"/>
            </w:tcBorders>
            <w:shd w:val="clear" w:color="000000" w:fill="FFFFFF"/>
            <w:noWrap/>
            <w:vAlign w:val="center"/>
          </w:tcPr>
          <w:p w14:paraId="089C7787">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w:t>
            </w:r>
          </w:p>
        </w:tc>
      </w:tr>
      <w:tr w14:paraId="3B4B5F43">
        <w:tblPrEx>
          <w:tblCellMar>
            <w:top w:w="0" w:type="dxa"/>
            <w:left w:w="108" w:type="dxa"/>
            <w:bottom w:w="0" w:type="dxa"/>
            <w:right w:w="108" w:type="dxa"/>
          </w:tblCellMar>
        </w:tblPrEx>
        <w:trPr>
          <w:trHeight w:val="565" w:hRule="exact"/>
          <w:jc w:val="center"/>
        </w:trPr>
        <w:tc>
          <w:tcPr>
            <w:tcW w:w="2194" w:type="dxa"/>
            <w:gridSpan w:val="2"/>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70EF444F">
            <w:pPr>
              <w:widowControl/>
              <w:autoSpaceDE/>
              <w:autoSpaceDN/>
              <w:adjustRightInd w:val="0"/>
              <w:snapToGrid w:val="0"/>
              <w:spacing w:line="420" w:lineRule="exact"/>
              <w:jc w:val="center"/>
              <w:rPr>
                <w:rFonts w:hAnsi="宋体"/>
                <w:b/>
                <w:bCs/>
                <w:sz w:val="24"/>
                <w:szCs w:val="24"/>
                <w:highlight w:val="none"/>
                <w:lang w:val="en-US"/>
              </w:rPr>
            </w:pPr>
            <w:r>
              <w:rPr>
                <w:rFonts w:hint="eastAsia" w:hAnsi="宋体"/>
                <w:b/>
                <w:bCs/>
                <w:sz w:val="24"/>
                <w:szCs w:val="24"/>
                <w:highlight w:val="none"/>
              </w:rPr>
              <w:t>甲方签字</w:t>
            </w:r>
          </w:p>
        </w:tc>
        <w:tc>
          <w:tcPr>
            <w:tcW w:w="7489" w:type="dxa"/>
            <w:gridSpan w:val="5"/>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5E8EB44E">
            <w:pPr>
              <w:widowControl/>
              <w:autoSpaceDE/>
              <w:autoSpaceDN/>
              <w:adjustRightInd w:val="0"/>
              <w:snapToGrid w:val="0"/>
              <w:spacing w:line="420" w:lineRule="exact"/>
              <w:jc w:val="center"/>
              <w:rPr>
                <w:rFonts w:hAnsi="宋体"/>
                <w:b/>
                <w:bCs/>
                <w:sz w:val="24"/>
                <w:szCs w:val="24"/>
                <w:highlight w:val="none"/>
              </w:rPr>
            </w:pPr>
          </w:p>
        </w:tc>
      </w:tr>
      <w:tr w14:paraId="65066998">
        <w:tblPrEx>
          <w:tblCellMar>
            <w:top w:w="0" w:type="dxa"/>
            <w:left w:w="108" w:type="dxa"/>
            <w:bottom w:w="0" w:type="dxa"/>
            <w:right w:w="108" w:type="dxa"/>
          </w:tblCellMar>
        </w:tblPrEx>
        <w:trPr>
          <w:trHeight w:val="565" w:hRule="exact"/>
          <w:jc w:val="center"/>
        </w:trPr>
        <w:tc>
          <w:tcPr>
            <w:tcW w:w="2194" w:type="dxa"/>
            <w:gridSpan w:val="2"/>
            <w:vMerge w:val="continue"/>
            <w:tcBorders>
              <w:top w:val="single" w:color="auto" w:sz="4" w:space="0"/>
              <w:left w:val="single" w:color="auto" w:sz="4" w:space="0"/>
              <w:bottom w:val="single" w:color="auto" w:sz="4" w:space="0"/>
              <w:right w:val="single" w:color="auto" w:sz="4" w:space="0"/>
            </w:tcBorders>
            <w:vAlign w:val="center"/>
          </w:tcPr>
          <w:p w14:paraId="7AD6D4AD">
            <w:pPr>
              <w:widowControl/>
              <w:autoSpaceDE/>
              <w:autoSpaceDN/>
              <w:adjustRightInd w:val="0"/>
              <w:snapToGrid w:val="0"/>
              <w:spacing w:line="420" w:lineRule="exact"/>
              <w:rPr>
                <w:rFonts w:hAnsi="宋体"/>
                <w:b/>
                <w:bCs/>
                <w:sz w:val="24"/>
                <w:szCs w:val="24"/>
                <w:highlight w:val="none"/>
              </w:rPr>
            </w:pPr>
          </w:p>
        </w:tc>
        <w:tc>
          <w:tcPr>
            <w:tcW w:w="7489" w:type="dxa"/>
            <w:gridSpan w:val="5"/>
            <w:vMerge w:val="continue"/>
            <w:tcBorders>
              <w:top w:val="single" w:color="auto" w:sz="4" w:space="0"/>
              <w:left w:val="single" w:color="auto" w:sz="4" w:space="0"/>
              <w:bottom w:val="single" w:color="auto" w:sz="4" w:space="0"/>
              <w:right w:val="single" w:color="auto" w:sz="4" w:space="0"/>
            </w:tcBorders>
            <w:vAlign w:val="center"/>
          </w:tcPr>
          <w:p w14:paraId="5D14FD12">
            <w:pPr>
              <w:widowControl/>
              <w:autoSpaceDE/>
              <w:autoSpaceDN/>
              <w:adjustRightInd w:val="0"/>
              <w:snapToGrid w:val="0"/>
              <w:spacing w:line="420" w:lineRule="exact"/>
              <w:rPr>
                <w:rFonts w:hAnsi="宋体"/>
                <w:b/>
                <w:bCs/>
                <w:sz w:val="24"/>
                <w:szCs w:val="24"/>
                <w:highlight w:val="none"/>
              </w:rPr>
            </w:pPr>
          </w:p>
        </w:tc>
      </w:tr>
      <w:tr w14:paraId="7B32A118">
        <w:tblPrEx>
          <w:tblCellMar>
            <w:top w:w="0" w:type="dxa"/>
            <w:left w:w="108" w:type="dxa"/>
            <w:bottom w:w="0" w:type="dxa"/>
            <w:right w:w="108" w:type="dxa"/>
          </w:tblCellMar>
        </w:tblPrEx>
        <w:trPr>
          <w:trHeight w:val="300" w:hRule="exact"/>
          <w:jc w:val="center"/>
        </w:trPr>
        <w:tc>
          <w:tcPr>
            <w:tcW w:w="2194" w:type="dxa"/>
            <w:gridSpan w:val="2"/>
            <w:vMerge w:val="continue"/>
            <w:tcBorders>
              <w:top w:val="single" w:color="auto" w:sz="4" w:space="0"/>
              <w:left w:val="single" w:color="auto" w:sz="4" w:space="0"/>
              <w:bottom w:val="single" w:color="auto" w:sz="4" w:space="0"/>
              <w:right w:val="single" w:color="auto" w:sz="4" w:space="0"/>
            </w:tcBorders>
            <w:vAlign w:val="center"/>
          </w:tcPr>
          <w:p w14:paraId="298D9FF1">
            <w:pPr>
              <w:widowControl/>
              <w:autoSpaceDE/>
              <w:autoSpaceDN/>
              <w:adjustRightInd w:val="0"/>
              <w:snapToGrid w:val="0"/>
              <w:spacing w:line="420" w:lineRule="exact"/>
              <w:rPr>
                <w:rFonts w:hAnsi="宋体"/>
                <w:b/>
                <w:bCs/>
                <w:sz w:val="24"/>
                <w:szCs w:val="24"/>
                <w:highlight w:val="none"/>
              </w:rPr>
            </w:pPr>
          </w:p>
        </w:tc>
        <w:tc>
          <w:tcPr>
            <w:tcW w:w="7489" w:type="dxa"/>
            <w:gridSpan w:val="5"/>
            <w:vMerge w:val="continue"/>
            <w:tcBorders>
              <w:top w:val="single" w:color="auto" w:sz="4" w:space="0"/>
              <w:left w:val="single" w:color="auto" w:sz="4" w:space="0"/>
              <w:bottom w:val="single" w:color="auto" w:sz="4" w:space="0"/>
              <w:right w:val="single" w:color="auto" w:sz="4" w:space="0"/>
            </w:tcBorders>
            <w:vAlign w:val="center"/>
          </w:tcPr>
          <w:p w14:paraId="44B4D3DF">
            <w:pPr>
              <w:widowControl/>
              <w:autoSpaceDE/>
              <w:autoSpaceDN/>
              <w:adjustRightInd w:val="0"/>
              <w:snapToGrid w:val="0"/>
              <w:spacing w:line="420" w:lineRule="exact"/>
              <w:rPr>
                <w:rFonts w:hAnsi="宋体"/>
                <w:b/>
                <w:bCs/>
                <w:sz w:val="24"/>
                <w:szCs w:val="24"/>
                <w:highlight w:val="none"/>
              </w:rPr>
            </w:pPr>
          </w:p>
        </w:tc>
      </w:tr>
      <w:tr w14:paraId="7D60E965">
        <w:tblPrEx>
          <w:tblCellMar>
            <w:top w:w="0" w:type="dxa"/>
            <w:left w:w="108" w:type="dxa"/>
            <w:bottom w:w="0" w:type="dxa"/>
            <w:right w:w="108" w:type="dxa"/>
          </w:tblCellMar>
        </w:tblPrEx>
        <w:trPr>
          <w:trHeight w:val="1490" w:hRule="exact"/>
          <w:jc w:val="center"/>
        </w:trPr>
        <w:tc>
          <w:tcPr>
            <w:tcW w:w="2194"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14:paraId="3C41CBE5">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乙方签字、盖章</w:t>
            </w:r>
          </w:p>
        </w:tc>
        <w:tc>
          <w:tcPr>
            <w:tcW w:w="7489" w:type="dxa"/>
            <w:gridSpan w:val="5"/>
            <w:tcBorders>
              <w:top w:val="single" w:color="auto" w:sz="4" w:space="0"/>
              <w:left w:val="single" w:color="auto" w:sz="4" w:space="0"/>
              <w:bottom w:val="single" w:color="auto" w:sz="4" w:space="0"/>
              <w:right w:val="single" w:color="auto" w:sz="4" w:space="0"/>
            </w:tcBorders>
            <w:shd w:val="clear" w:color="000000" w:fill="FFFFFF"/>
            <w:noWrap/>
            <w:vAlign w:val="bottom"/>
          </w:tcPr>
          <w:p w14:paraId="70947825">
            <w:pPr>
              <w:widowControl/>
              <w:autoSpaceDE/>
              <w:autoSpaceDN/>
              <w:adjustRightInd w:val="0"/>
              <w:snapToGrid w:val="0"/>
              <w:spacing w:line="420" w:lineRule="exact"/>
              <w:jc w:val="right"/>
              <w:rPr>
                <w:rFonts w:hAnsi="宋体"/>
                <w:b/>
                <w:bCs/>
                <w:sz w:val="24"/>
                <w:szCs w:val="24"/>
                <w:highlight w:val="none"/>
              </w:rPr>
            </w:pPr>
          </w:p>
        </w:tc>
      </w:tr>
    </w:tbl>
    <w:p w14:paraId="1A94E0CE">
      <w:pPr>
        <w:pStyle w:val="40"/>
        <w:autoSpaceDE/>
        <w:autoSpaceDN/>
        <w:adjustRightInd w:val="0"/>
        <w:snapToGrid w:val="0"/>
        <w:spacing w:line="420" w:lineRule="exact"/>
        <w:ind w:firstLine="480"/>
        <w:rPr>
          <w:rFonts w:hAnsi="宋体"/>
          <w:kern w:val="2"/>
          <w:szCs w:val="24"/>
          <w:highlight w:val="none"/>
          <w:lang w:val="en-US"/>
        </w:rPr>
      </w:pPr>
    </w:p>
    <w:p w14:paraId="6A826BE2">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lang w:val="en-US"/>
        </w:rPr>
        <w:t>1</w:t>
      </w:r>
      <w:r>
        <w:rPr>
          <w:rFonts w:hint="eastAsia" w:hAnsi="宋体"/>
          <w:kern w:val="2"/>
          <w:szCs w:val="24"/>
          <w:highlight w:val="none"/>
        </w:rPr>
        <w:t>、总分数不超过100分。</w:t>
      </w:r>
    </w:p>
    <w:p w14:paraId="2EA0A979">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lang w:val="en-US"/>
        </w:rPr>
        <w:t>2</w:t>
      </w:r>
      <w:r>
        <w:rPr>
          <w:rFonts w:hint="eastAsia" w:hAnsi="宋体"/>
          <w:kern w:val="2"/>
          <w:szCs w:val="24"/>
          <w:highlight w:val="none"/>
        </w:rPr>
        <w:t>、一票否决项（</w:t>
      </w:r>
      <w:r>
        <w:rPr>
          <w:rFonts w:hint="eastAsia" w:hAnsi="宋体"/>
          <w:kern w:val="2"/>
          <w:szCs w:val="24"/>
          <w:highlight w:val="none"/>
          <w:lang w:val="en-US"/>
        </w:rPr>
        <w:t>当月</w:t>
      </w:r>
      <w:r>
        <w:rPr>
          <w:rFonts w:hint="eastAsia" w:hAnsi="宋体"/>
          <w:kern w:val="2"/>
          <w:szCs w:val="24"/>
          <w:highlight w:val="none"/>
        </w:rPr>
        <w:t>扣100分）。发生违规操作、严重运维事故，或发生总队认定的其他影响系统运行的严重违规行为等。</w:t>
      </w:r>
    </w:p>
    <w:p w14:paraId="7594A0EE">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lang w:val="en-US"/>
        </w:rPr>
        <w:t>3、</w:t>
      </w:r>
      <w:r>
        <w:rPr>
          <w:rFonts w:hint="eastAsia" w:hAnsi="宋体"/>
          <w:kern w:val="2"/>
          <w:szCs w:val="24"/>
          <w:highlight w:val="none"/>
        </w:rPr>
        <w:t>月度服务得分连续三个月低于70分的</w:t>
      </w:r>
      <w:r>
        <w:rPr>
          <w:rFonts w:hint="eastAsia" w:hAnsi="宋体"/>
          <w:kern w:val="2"/>
          <w:szCs w:val="24"/>
          <w:highlight w:val="none"/>
          <w:lang w:val="en-US"/>
        </w:rPr>
        <w:t>或年度累计超5个月低于70分的</w:t>
      </w:r>
      <w:r>
        <w:rPr>
          <w:rFonts w:hint="eastAsia" w:hAnsi="宋体"/>
          <w:kern w:val="2"/>
          <w:szCs w:val="24"/>
          <w:highlight w:val="none"/>
        </w:rPr>
        <w:t>，总队有权终止维保服务合同，并将投标人列入甲方采购黑名单，</w:t>
      </w:r>
      <w:r>
        <w:rPr>
          <w:rFonts w:hint="eastAsia"/>
          <w:szCs w:val="24"/>
          <w:highlight w:val="none"/>
        </w:rPr>
        <w:t>并视情将乙方违规行为报当地政府采购监管部门。</w:t>
      </w:r>
      <w:r>
        <w:rPr>
          <w:rFonts w:hint="eastAsia" w:hAnsi="宋体"/>
          <w:kern w:val="2"/>
          <w:szCs w:val="24"/>
          <w:highlight w:val="none"/>
        </w:rPr>
        <w:t>年度得分=月度得分之和/12，低于90分，扣除年度服务金额的</w:t>
      </w:r>
      <w:r>
        <w:rPr>
          <w:rFonts w:hint="eastAsia" w:hAnsi="宋体"/>
          <w:kern w:val="2"/>
          <w:szCs w:val="24"/>
          <w:highlight w:val="none"/>
          <w:lang w:val="en-US"/>
        </w:rPr>
        <w:t>10</w:t>
      </w:r>
      <w:r>
        <w:rPr>
          <w:rFonts w:hint="eastAsia" w:hAnsi="宋体"/>
          <w:kern w:val="2"/>
          <w:szCs w:val="24"/>
          <w:highlight w:val="none"/>
        </w:rPr>
        <w:t>%；低于</w:t>
      </w:r>
      <w:r>
        <w:rPr>
          <w:rFonts w:hint="eastAsia" w:hAnsi="宋体"/>
          <w:kern w:val="2"/>
          <w:szCs w:val="24"/>
          <w:highlight w:val="none"/>
          <w:lang w:val="en-US"/>
        </w:rPr>
        <w:t>85</w:t>
      </w:r>
      <w:r>
        <w:rPr>
          <w:rFonts w:hint="eastAsia" w:hAnsi="宋体"/>
          <w:kern w:val="2"/>
          <w:szCs w:val="24"/>
          <w:highlight w:val="none"/>
        </w:rPr>
        <w:t>分，扣除年度服务金额的</w:t>
      </w:r>
      <w:r>
        <w:rPr>
          <w:rFonts w:hint="eastAsia" w:hAnsi="宋体"/>
          <w:kern w:val="2"/>
          <w:szCs w:val="24"/>
          <w:highlight w:val="none"/>
          <w:lang w:val="en-US"/>
        </w:rPr>
        <w:t>20</w:t>
      </w:r>
      <w:r>
        <w:rPr>
          <w:rFonts w:hint="eastAsia" w:hAnsi="宋体"/>
          <w:kern w:val="2"/>
          <w:szCs w:val="24"/>
          <w:highlight w:val="none"/>
        </w:rPr>
        <w:t>%；低于</w:t>
      </w:r>
      <w:r>
        <w:rPr>
          <w:rFonts w:hint="eastAsia" w:hAnsi="宋体"/>
          <w:kern w:val="2"/>
          <w:szCs w:val="24"/>
          <w:highlight w:val="none"/>
          <w:lang w:val="en-US"/>
        </w:rPr>
        <w:t>80</w:t>
      </w:r>
      <w:r>
        <w:rPr>
          <w:rFonts w:hint="eastAsia" w:hAnsi="宋体"/>
          <w:kern w:val="2"/>
          <w:szCs w:val="24"/>
          <w:highlight w:val="none"/>
        </w:rPr>
        <w:t>分，扣除年度服务金额的</w:t>
      </w:r>
      <w:r>
        <w:rPr>
          <w:rFonts w:hint="eastAsia" w:hAnsi="宋体"/>
          <w:kern w:val="2"/>
          <w:szCs w:val="24"/>
          <w:highlight w:val="none"/>
          <w:lang w:val="en-US"/>
        </w:rPr>
        <w:t>30</w:t>
      </w:r>
      <w:r>
        <w:rPr>
          <w:rFonts w:hint="eastAsia" w:hAnsi="宋体"/>
          <w:kern w:val="2"/>
          <w:szCs w:val="24"/>
          <w:highlight w:val="none"/>
        </w:rPr>
        <w:t>%；低于</w:t>
      </w:r>
      <w:r>
        <w:rPr>
          <w:rFonts w:hint="eastAsia" w:hAnsi="宋体"/>
          <w:kern w:val="2"/>
          <w:szCs w:val="24"/>
          <w:highlight w:val="none"/>
          <w:lang w:val="en-US"/>
        </w:rPr>
        <w:t>75</w:t>
      </w:r>
      <w:r>
        <w:rPr>
          <w:rFonts w:hint="eastAsia" w:hAnsi="宋体"/>
          <w:kern w:val="2"/>
          <w:szCs w:val="24"/>
          <w:highlight w:val="none"/>
        </w:rPr>
        <w:t>分，终止合同。</w:t>
      </w:r>
    </w:p>
    <w:p w14:paraId="07E37752">
      <w:pPr>
        <w:autoSpaceDE/>
        <w:autoSpaceDN/>
        <w:adjustRightInd w:val="0"/>
        <w:snapToGrid w:val="0"/>
        <w:spacing w:line="420" w:lineRule="exact"/>
        <w:ind w:firstLine="482" w:firstLineChars="200"/>
        <w:jc w:val="center"/>
        <w:rPr>
          <w:rFonts w:hint="eastAsia" w:hAnsi="宋体"/>
          <w:b/>
          <w:bCs/>
          <w:sz w:val="24"/>
          <w:szCs w:val="24"/>
          <w:highlight w:val="none"/>
        </w:rPr>
      </w:pPr>
    </w:p>
    <w:p w14:paraId="03FAF8D1">
      <w:pPr>
        <w:autoSpaceDE/>
        <w:autoSpaceDN/>
        <w:adjustRightInd w:val="0"/>
        <w:snapToGrid w:val="0"/>
        <w:spacing w:line="420" w:lineRule="exact"/>
        <w:jc w:val="center"/>
        <w:rPr>
          <w:rFonts w:hint="eastAsia" w:hAnsi="宋体"/>
          <w:b/>
          <w:bCs/>
          <w:sz w:val="24"/>
          <w:szCs w:val="24"/>
          <w:highlight w:val="none"/>
        </w:rPr>
      </w:pPr>
      <w:r>
        <w:rPr>
          <w:rFonts w:hint="eastAsia" w:hAnsi="宋体"/>
          <w:b/>
          <w:bCs/>
          <w:sz w:val="24"/>
          <w:szCs w:val="24"/>
          <w:highlight w:val="none"/>
        </w:rPr>
        <w:t>2.驻场服务人员考核表</w:t>
      </w:r>
    </w:p>
    <w:p w14:paraId="09F225EF">
      <w:pPr>
        <w:pStyle w:val="26"/>
        <w:rPr>
          <w:rFonts w:hint="eastAsia"/>
          <w:highlight w:val="none"/>
        </w:rPr>
      </w:pPr>
    </w:p>
    <w:tbl>
      <w:tblPr>
        <w:tblStyle w:val="21"/>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8"/>
        <w:gridCol w:w="3763"/>
        <w:gridCol w:w="1395"/>
        <w:gridCol w:w="1382"/>
        <w:gridCol w:w="822"/>
      </w:tblGrid>
      <w:tr w14:paraId="0DC85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158" w:type="dxa"/>
            <w:shd w:val="clear" w:color="auto" w:fill="auto"/>
            <w:noWrap/>
            <w:vAlign w:val="center"/>
          </w:tcPr>
          <w:p w14:paraId="6DC1B328">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考核区间</w:t>
            </w:r>
          </w:p>
        </w:tc>
        <w:tc>
          <w:tcPr>
            <w:tcW w:w="7362" w:type="dxa"/>
            <w:gridSpan w:val="4"/>
            <w:shd w:val="clear" w:color="auto" w:fill="auto"/>
            <w:noWrap/>
            <w:vAlign w:val="center"/>
          </w:tcPr>
          <w:p w14:paraId="59D84E74">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考核月份</w:t>
            </w:r>
          </w:p>
        </w:tc>
      </w:tr>
      <w:tr w14:paraId="3EF2B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921" w:type="dxa"/>
            <w:gridSpan w:val="2"/>
            <w:vMerge w:val="restart"/>
            <w:shd w:val="clear" w:color="auto" w:fill="auto"/>
            <w:noWrap/>
            <w:vAlign w:val="center"/>
          </w:tcPr>
          <w:p w14:paraId="127A9D44">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考核项目</w:t>
            </w:r>
          </w:p>
        </w:tc>
        <w:tc>
          <w:tcPr>
            <w:tcW w:w="3599" w:type="dxa"/>
            <w:gridSpan w:val="3"/>
            <w:shd w:val="clear" w:color="auto" w:fill="auto"/>
            <w:noWrap/>
            <w:vAlign w:val="center"/>
          </w:tcPr>
          <w:p w14:paraId="241B7205">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考核得分</w:t>
            </w:r>
          </w:p>
        </w:tc>
      </w:tr>
      <w:tr w14:paraId="5E102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5921" w:type="dxa"/>
            <w:gridSpan w:val="2"/>
            <w:vMerge w:val="continue"/>
            <w:vAlign w:val="center"/>
          </w:tcPr>
          <w:p w14:paraId="0E20ED74">
            <w:pPr>
              <w:widowControl/>
              <w:autoSpaceDE/>
              <w:autoSpaceDN/>
              <w:adjustRightInd w:val="0"/>
              <w:snapToGrid w:val="0"/>
              <w:spacing w:line="420" w:lineRule="exact"/>
              <w:rPr>
                <w:rFonts w:hAnsi="宋体"/>
                <w:b/>
                <w:bCs/>
                <w:sz w:val="24"/>
                <w:szCs w:val="24"/>
                <w:highlight w:val="none"/>
              </w:rPr>
            </w:pPr>
          </w:p>
        </w:tc>
        <w:tc>
          <w:tcPr>
            <w:tcW w:w="1395" w:type="dxa"/>
            <w:shd w:val="clear" w:color="auto" w:fill="auto"/>
            <w:noWrap/>
            <w:vAlign w:val="center"/>
          </w:tcPr>
          <w:p w14:paraId="1DA50F99">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自我考核</w:t>
            </w:r>
          </w:p>
        </w:tc>
        <w:tc>
          <w:tcPr>
            <w:tcW w:w="1382" w:type="dxa"/>
            <w:shd w:val="clear" w:color="auto" w:fill="auto"/>
            <w:vAlign w:val="center"/>
          </w:tcPr>
          <w:p w14:paraId="48DEBF89">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甲方考核</w:t>
            </w:r>
          </w:p>
        </w:tc>
        <w:tc>
          <w:tcPr>
            <w:tcW w:w="822" w:type="dxa"/>
            <w:shd w:val="clear" w:color="auto" w:fill="auto"/>
            <w:noWrap/>
            <w:vAlign w:val="center"/>
          </w:tcPr>
          <w:p w14:paraId="6B6B1355">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备注</w:t>
            </w:r>
          </w:p>
        </w:tc>
      </w:tr>
      <w:tr w14:paraId="0C2B9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2158" w:type="dxa"/>
            <w:shd w:val="clear" w:color="000000" w:fill="FFFFFF"/>
            <w:noWrap/>
            <w:vAlign w:val="center"/>
          </w:tcPr>
          <w:p w14:paraId="096F7006">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人员考勤考核（20分）</w:t>
            </w:r>
          </w:p>
        </w:tc>
        <w:tc>
          <w:tcPr>
            <w:tcW w:w="3763" w:type="dxa"/>
            <w:shd w:val="clear" w:color="000000" w:fill="FFFFFF"/>
            <w:vAlign w:val="center"/>
          </w:tcPr>
          <w:p w14:paraId="348A6ADD">
            <w:pPr>
              <w:widowControl/>
              <w:autoSpaceDE/>
              <w:autoSpaceDN/>
              <w:adjustRightInd w:val="0"/>
              <w:snapToGrid w:val="0"/>
              <w:spacing w:line="420" w:lineRule="exact"/>
              <w:rPr>
                <w:rFonts w:hAnsi="宋体"/>
                <w:sz w:val="24"/>
                <w:szCs w:val="24"/>
                <w:highlight w:val="none"/>
              </w:rPr>
            </w:pPr>
            <w:r>
              <w:rPr>
                <w:rFonts w:hint="eastAsia" w:hAnsi="宋体"/>
                <w:sz w:val="24"/>
                <w:szCs w:val="24"/>
                <w:highlight w:val="none"/>
              </w:rPr>
              <w:t>迟到、早退、着装不符合规范、未按时到岗的扣1分/人次；旷工、不服从工作安排。消极怠工、驻场人员变更未及时到岗的扣10分/人次，驻场值守结束未准时提交保障信息、保障日志的扣5分/人次。</w:t>
            </w:r>
          </w:p>
        </w:tc>
        <w:tc>
          <w:tcPr>
            <w:tcW w:w="1395" w:type="dxa"/>
            <w:shd w:val="clear" w:color="000000" w:fill="FFFFFF"/>
            <w:noWrap/>
            <w:vAlign w:val="center"/>
          </w:tcPr>
          <w:p w14:paraId="7E72DF4F">
            <w:pPr>
              <w:widowControl/>
              <w:autoSpaceDE/>
              <w:autoSpaceDN/>
              <w:adjustRightInd w:val="0"/>
              <w:snapToGrid w:val="0"/>
              <w:spacing w:line="420" w:lineRule="exact"/>
              <w:jc w:val="center"/>
              <w:rPr>
                <w:rFonts w:hAnsi="宋体"/>
                <w:sz w:val="24"/>
                <w:szCs w:val="24"/>
                <w:highlight w:val="none"/>
              </w:rPr>
            </w:pPr>
          </w:p>
        </w:tc>
        <w:tc>
          <w:tcPr>
            <w:tcW w:w="1382" w:type="dxa"/>
            <w:shd w:val="clear" w:color="auto" w:fill="auto"/>
            <w:noWrap/>
            <w:vAlign w:val="center"/>
          </w:tcPr>
          <w:p w14:paraId="06D0A29E">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4D26EE7B">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c>
          <w:tcPr>
            <w:tcW w:w="822" w:type="dxa"/>
            <w:shd w:val="clear" w:color="000000" w:fill="FFFFFF"/>
            <w:noWrap/>
            <w:vAlign w:val="center"/>
          </w:tcPr>
          <w:p w14:paraId="7C7140D5">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p w14:paraId="23E6904C">
            <w:pPr>
              <w:widowControl/>
              <w:autoSpaceDE/>
              <w:autoSpaceDN/>
              <w:adjustRightInd w:val="0"/>
              <w:snapToGrid w:val="0"/>
              <w:spacing w:line="420" w:lineRule="exact"/>
              <w:jc w:val="center"/>
              <w:rPr>
                <w:rFonts w:hAnsi="宋体"/>
                <w:sz w:val="24"/>
                <w:szCs w:val="24"/>
                <w:highlight w:val="none"/>
              </w:rPr>
            </w:pPr>
            <w:r>
              <w:rPr>
                <w:rFonts w:hint="eastAsia" w:hAnsi="宋体"/>
                <w:sz w:val="24"/>
                <w:szCs w:val="24"/>
                <w:highlight w:val="none"/>
              </w:rPr>
              <w:t>　</w:t>
            </w:r>
          </w:p>
        </w:tc>
      </w:tr>
      <w:tr w14:paraId="78CBB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9" w:hRule="atLeast"/>
          <w:jc w:val="center"/>
        </w:trPr>
        <w:tc>
          <w:tcPr>
            <w:tcW w:w="2158" w:type="dxa"/>
            <w:shd w:val="clear" w:color="000000" w:fill="FFFFFF"/>
            <w:noWrap/>
            <w:vAlign w:val="center"/>
          </w:tcPr>
          <w:p w14:paraId="6F033205">
            <w:pPr>
              <w:widowControl/>
              <w:autoSpaceDE/>
              <w:autoSpaceDN/>
              <w:adjustRightInd w:val="0"/>
              <w:snapToGrid w:val="0"/>
              <w:spacing w:line="420" w:lineRule="exact"/>
              <w:jc w:val="center"/>
              <w:rPr>
                <w:rFonts w:hint="eastAsia" w:hAnsi="宋体"/>
                <w:b/>
                <w:bCs/>
                <w:sz w:val="24"/>
                <w:szCs w:val="24"/>
                <w:highlight w:val="none"/>
              </w:rPr>
            </w:pPr>
            <w:r>
              <w:rPr>
                <w:rFonts w:hint="eastAsia" w:hAnsi="宋体"/>
                <w:b/>
                <w:bCs/>
                <w:sz w:val="24"/>
                <w:szCs w:val="24"/>
                <w:highlight w:val="none"/>
              </w:rPr>
              <w:t>人员日常巡检考核（20分）</w:t>
            </w:r>
          </w:p>
        </w:tc>
        <w:tc>
          <w:tcPr>
            <w:tcW w:w="3763" w:type="dxa"/>
            <w:shd w:val="clear" w:color="000000" w:fill="FFFFFF"/>
            <w:vAlign w:val="center"/>
          </w:tcPr>
          <w:p w14:paraId="718B7EFA">
            <w:pPr>
              <w:widowControl/>
              <w:autoSpaceDE/>
              <w:autoSpaceDN/>
              <w:adjustRightInd w:val="0"/>
              <w:snapToGrid w:val="0"/>
              <w:spacing w:line="420" w:lineRule="exact"/>
              <w:rPr>
                <w:rFonts w:hint="eastAsia" w:hAnsi="宋体"/>
                <w:sz w:val="24"/>
                <w:szCs w:val="24"/>
                <w:highlight w:val="none"/>
              </w:rPr>
            </w:pPr>
            <w:r>
              <w:rPr>
                <w:rFonts w:hint="eastAsia" w:hAnsi="宋体"/>
                <w:sz w:val="24"/>
                <w:szCs w:val="24"/>
                <w:highlight w:val="none"/>
              </w:rPr>
              <w:t>对人员巡检工作进行台账化管理，考查例行各项巡检工作完成情况，存在漏洞、未填写巡检表、巡检后相关场所卫生不合格的，扣2分/人次；发现巡检造假行为，扣10分/次。</w:t>
            </w:r>
          </w:p>
        </w:tc>
        <w:tc>
          <w:tcPr>
            <w:tcW w:w="1395" w:type="dxa"/>
            <w:shd w:val="clear" w:color="000000" w:fill="FFFFFF"/>
            <w:noWrap/>
            <w:vAlign w:val="center"/>
          </w:tcPr>
          <w:p w14:paraId="2AEBC94C">
            <w:pPr>
              <w:widowControl/>
              <w:autoSpaceDE/>
              <w:autoSpaceDN/>
              <w:adjustRightInd w:val="0"/>
              <w:snapToGrid w:val="0"/>
              <w:spacing w:line="420" w:lineRule="exact"/>
              <w:jc w:val="center"/>
              <w:rPr>
                <w:rFonts w:hint="eastAsia" w:hAnsi="宋体"/>
                <w:sz w:val="24"/>
                <w:szCs w:val="24"/>
                <w:highlight w:val="none"/>
              </w:rPr>
            </w:pPr>
          </w:p>
        </w:tc>
        <w:tc>
          <w:tcPr>
            <w:tcW w:w="1382" w:type="dxa"/>
            <w:shd w:val="clear" w:color="auto" w:fill="auto"/>
            <w:noWrap/>
            <w:vAlign w:val="center"/>
          </w:tcPr>
          <w:p w14:paraId="04EF558C">
            <w:pPr>
              <w:widowControl/>
              <w:autoSpaceDE/>
              <w:autoSpaceDN/>
              <w:adjustRightInd w:val="0"/>
              <w:snapToGrid w:val="0"/>
              <w:spacing w:line="420" w:lineRule="exact"/>
              <w:jc w:val="center"/>
              <w:rPr>
                <w:rFonts w:hint="eastAsia" w:hAnsi="宋体"/>
                <w:sz w:val="24"/>
                <w:szCs w:val="24"/>
                <w:highlight w:val="none"/>
              </w:rPr>
            </w:pPr>
          </w:p>
        </w:tc>
        <w:tc>
          <w:tcPr>
            <w:tcW w:w="822" w:type="dxa"/>
            <w:shd w:val="clear" w:color="000000" w:fill="FFFFFF"/>
            <w:noWrap/>
            <w:vAlign w:val="center"/>
          </w:tcPr>
          <w:p w14:paraId="70D47887">
            <w:pPr>
              <w:widowControl/>
              <w:autoSpaceDE/>
              <w:autoSpaceDN/>
              <w:adjustRightInd w:val="0"/>
              <w:snapToGrid w:val="0"/>
              <w:spacing w:line="420" w:lineRule="exact"/>
              <w:jc w:val="center"/>
              <w:rPr>
                <w:rFonts w:hint="eastAsia" w:hAnsi="宋体"/>
                <w:sz w:val="24"/>
                <w:szCs w:val="24"/>
                <w:highlight w:val="none"/>
              </w:rPr>
            </w:pPr>
          </w:p>
        </w:tc>
      </w:tr>
      <w:tr w14:paraId="36174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2158" w:type="dxa"/>
            <w:shd w:val="clear" w:color="000000" w:fill="FFFFFF"/>
            <w:noWrap/>
            <w:vAlign w:val="center"/>
          </w:tcPr>
          <w:p w14:paraId="30798F36">
            <w:pPr>
              <w:widowControl/>
              <w:autoSpaceDE/>
              <w:autoSpaceDN/>
              <w:adjustRightInd w:val="0"/>
              <w:snapToGrid w:val="0"/>
              <w:spacing w:line="420" w:lineRule="exact"/>
              <w:jc w:val="center"/>
              <w:rPr>
                <w:rFonts w:hint="eastAsia" w:hAnsi="宋体"/>
                <w:b/>
                <w:bCs/>
                <w:sz w:val="24"/>
                <w:szCs w:val="24"/>
                <w:highlight w:val="none"/>
              </w:rPr>
            </w:pPr>
            <w:r>
              <w:rPr>
                <w:rFonts w:hint="eastAsia" w:hAnsi="宋体"/>
                <w:b/>
                <w:bCs/>
                <w:sz w:val="24"/>
                <w:szCs w:val="24"/>
                <w:highlight w:val="none"/>
              </w:rPr>
              <w:t>人员服务质量考核（40分）</w:t>
            </w:r>
          </w:p>
        </w:tc>
        <w:tc>
          <w:tcPr>
            <w:tcW w:w="3763" w:type="dxa"/>
            <w:shd w:val="clear" w:color="000000" w:fill="FFFFFF"/>
            <w:vAlign w:val="center"/>
          </w:tcPr>
          <w:p w14:paraId="16C241CE">
            <w:pPr>
              <w:widowControl/>
              <w:autoSpaceDE/>
              <w:autoSpaceDN/>
              <w:adjustRightInd w:val="0"/>
              <w:snapToGrid w:val="0"/>
              <w:spacing w:line="420" w:lineRule="exact"/>
              <w:rPr>
                <w:rFonts w:hint="eastAsia" w:hAnsi="宋体"/>
                <w:sz w:val="24"/>
                <w:szCs w:val="24"/>
                <w:highlight w:val="none"/>
              </w:rPr>
            </w:pPr>
            <w:r>
              <w:rPr>
                <w:rFonts w:hint="eastAsia" w:hAnsi="宋体"/>
                <w:sz w:val="24"/>
                <w:szCs w:val="24"/>
                <w:highlight w:val="none"/>
              </w:rPr>
              <w:t>考查驻场人员维保服务及遵守厅机关相关规定情况。人员业务能力不合格就上岗的扣10分/人次；会议保障未按会前系统测试流程执行的、保障过程中操作不规范的、保障结束后设备未归位的，扣2分/人次，对8小时工作时间以外造成社会不良影响的，安照甲方要求更换驻场人员并扣35分/人次。</w:t>
            </w:r>
          </w:p>
        </w:tc>
        <w:tc>
          <w:tcPr>
            <w:tcW w:w="1395" w:type="dxa"/>
            <w:shd w:val="clear" w:color="000000" w:fill="FFFFFF"/>
            <w:noWrap/>
            <w:vAlign w:val="center"/>
          </w:tcPr>
          <w:p w14:paraId="7F36E6CF">
            <w:pPr>
              <w:widowControl/>
              <w:autoSpaceDE/>
              <w:autoSpaceDN/>
              <w:adjustRightInd w:val="0"/>
              <w:snapToGrid w:val="0"/>
              <w:spacing w:line="420" w:lineRule="exact"/>
              <w:jc w:val="center"/>
              <w:rPr>
                <w:rFonts w:hint="eastAsia" w:hAnsi="宋体"/>
                <w:sz w:val="24"/>
                <w:szCs w:val="24"/>
                <w:highlight w:val="none"/>
              </w:rPr>
            </w:pPr>
          </w:p>
        </w:tc>
        <w:tc>
          <w:tcPr>
            <w:tcW w:w="1382" w:type="dxa"/>
            <w:shd w:val="clear" w:color="auto" w:fill="auto"/>
            <w:noWrap/>
            <w:vAlign w:val="center"/>
          </w:tcPr>
          <w:p w14:paraId="4F8E4BD8">
            <w:pPr>
              <w:widowControl/>
              <w:autoSpaceDE/>
              <w:autoSpaceDN/>
              <w:adjustRightInd w:val="0"/>
              <w:snapToGrid w:val="0"/>
              <w:spacing w:line="420" w:lineRule="exact"/>
              <w:jc w:val="center"/>
              <w:rPr>
                <w:rFonts w:hint="eastAsia" w:hAnsi="宋体"/>
                <w:sz w:val="24"/>
                <w:szCs w:val="24"/>
                <w:highlight w:val="none"/>
              </w:rPr>
            </w:pPr>
          </w:p>
        </w:tc>
        <w:tc>
          <w:tcPr>
            <w:tcW w:w="822" w:type="dxa"/>
            <w:shd w:val="clear" w:color="000000" w:fill="FFFFFF"/>
            <w:noWrap/>
            <w:vAlign w:val="center"/>
          </w:tcPr>
          <w:p w14:paraId="0293B8A4">
            <w:pPr>
              <w:widowControl/>
              <w:autoSpaceDE/>
              <w:autoSpaceDN/>
              <w:adjustRightInd w:val="0"/>
              <w:snapToGrid w:val="0"/>
              <w:spacing w:line="420" w:lineRule="exact"/>
              <w:jc w:val="center"/>
              <w:rPr>
                <w:rFonts w:hint="eastAsia" w:hAnsi="宋体"/>
                <w:sz w:val="24"/>
                <w:szCs w:val="24"/>
                <w:highlight w:val="none"/>
              </w:rPr>
            </w:pPr>
          </w:p>
        </w:tc>
      </w:tr>
      <w:tr w14:paraId="17261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2158" w:type="dxa"/>
            <w:shd w:val="clear" w:color="000000" w:fill="FFFFFF"/>
            <w:noWrap/>
            <w:vAlign w:val="center"/>
          </w:tcPr>
          <w:p w14:paraId="7C0BA458">
            <w:pPr>
              <w:widowControl/>
              <w:autoSpaceDE/>
              <w:autoSpaceDN/>
              <w:adjustRightInd w:val="0"/>
              <w:snapToGrid w:val="0"/>
              <w:spacing w:line="420" w:lineRule="exact"/>
              <w:jc w:val="center"/>
              <w:rPr>
                <w:rFonts w:hint="eastAsia" w:hAnsi="宋体"/>
                <w:b/>
                <w:bCs/>
                <w:sz w:val="24"/>
                <w:szCs w:val="24"/>
                <w:highlight w:val="none"/>
              </w:rPr>
            </w:pPr>
            <w:r>
              <w:rPr>
                <w:rFonts w:hint="eastAsia" w:hAnsi="宋体"/>
                <w:b/>
                <w:bCs/>
                <w:sz w:val="24"/>
                <w:szCs w:val="24"/>
                <w:highlight w:val="none"/>
              </w:rPr>
              <w:t>故障应急处置（20分）</w:t>
            </w:r>
          </w:p>
        </w:tc>
        <w:tc>
          <w:tcPr>
            <w:tcW w:w="3763" w:type="dxa"/>
            <w:shd w:val="clear" w:color="000000" w:fill="FFFFFF"/>
            <w:vAlign w:val="center"/>
          </w:tcPr>
          <w:p w14:paraId="4B3FF981">
            <w:pPr>
              <w:widowControl/>
              <w:autoSpaceDE/>
              <w:autoSpaceDN/>
              <w:adjustRightInd w:val="0"/>
              <w:snapToGrid w:val="0"/>
              <w:spacing w:line="420" w:lineRule="exact"/>
              <w:rPr>
                <w:rFonts w:hint="eastAsia" w:hAnsi="宋体"/>
                <w:sz w:val="24"/>
                <w:szCs w:val="24"/>
                <w:highlight w:val="none"/>
              </w:rPr>
            </w:pPr>
            <w:r>
              <w:rPr>
                <w:rFonts w:hint="eastAsia" w:hAnsi="宋体"/>
                <w:sz w:val="24"/>
                <w:szCs w:val="24"/>
                <w:highlight w:val="none"/>
              </w:rPr>
              <w:t>10分钟内响应故障，按时抵达现场；按时限完成故障抢修，优先保障业务畅通；抢修流程规范，做好故障复盘；积极配合协同抢修；响应迟缓扣5分/次；超时修障扣8分/次；处置不当扩大故障扣10分/次。</w:t>
            </w:r>
          </w:p>
        </w:tc>
        <w:tc>
          <w:tcPr>
            <w:tcW w:w="1395" w:type="dxa"/>
            <w:shd w:val="clear" w:color="000000" w:fill="FFFFFF"/>
            <w:noWrap/>
            <w:vAlign w:val="center"/>
          </w:tcPr>
          <w:p w14:paraId="20087707">
            <w:pPr>
              <w:widowControl/>
              <w:autoSpaceDE/>
              <w:autoSpaceDN/>
              <w:adjustRightInd w:val="0"/>
              <w:snapToGrid w:val="0"/>
              <w:spacing w:line="420" w:lineRule="exact"/>
              <w:jc w:val="center"/>
              <w:rPr>
                <w:rFonts w:hint="eastAsia" w:hAnsi="宋体"/>
                <w:sz w:val="24"/>
                <w:szCs w:val="24"/>
                <w:highlight w:val="none"/>
              </w:rPr>
            </w:pPr>
          </w:p>
        </w:tc>
        <w:tc>
          <w:tcPr>
            <w:tcW w:w="1382" w:type="dxa"/>
            <w:shd w:val="clear" w:color="auto" w:fill="auto"/>
            <w:noWrap/>
            <w:vAlign w:val="center"/>
          </w:tcPr>
          <w:p w14:paraId="754EADD0">
            <w:pPr>
              <w:widowControl/>
              <w:autoSpaceDE/>
              <w:autoSpaceDN/>
              <w:adjustRightInd w:val="0"/>
              <w:snapToGrid w:val="0"/>
              <w:spacing w:line="420" w:lineRule="exact"/>
              <w:jc w:val="center"/>
              <w:rPr>
                <w:rFonts w:hint="eastAsia" w:hAnsi="宋体"/>
                <w:sz w:val="24"/>
                <w:szCs w:val="24"/>
                <w:highlight w:val="none"/>
              </w:rPr>
            </w:pPr>
          </w:p>
        </w:tc>
        <w:tc>
          <w:tcPr>
            <w:tcW w:w="822" w:type="dxa"/>
            <w:shd w:val="clear" w:color="000000" w:fill="FFFFFF"/>
            <w:noWrap/>
            <w:vAlign w:val="center"/>
          </w:tcPr>
          <w:p w14:paraId="0A368955">
            <w:pPr>
              <w:widowControl/>
              <w:autoSpaceDE/>
              <w:autoSpaceDN/>
              <w:adjustRightInd w:val="0"/>
              <w:snapToGrid w:val="0"/>
              <w:spacing w:line="420" w:lineRule="exact"/>
              <w:jc w:val="center"/>
              <w:rPr>
                <w:rFonts w:hint="eastAsia" w:hAnsi="宋体"/>
                <w:sz w:val="24"/>
                <w:szCs w:val="24"/>
                <w:highlight w:val="none"/>
              </w:rPr>
            </w:pPr>
          </w:p>
        </w:tc>
      </w:tr>
      <w:tr w14:paraId="23277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921" w:type="dxa"/>
            <w:gridSpan w:val="2"/>
            <w:shd w:val="clear" w:color="000000" w:fill="FFFFFF"/>
            <w:noWrap/>
            <w:vAlign w:val="center"/>
          </w:tcPr>
          <w:p w14:paraId="57499852">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总计</w:t>
            </w:r>
          </w:p>
        </w:tc>
        <w:tc>
          <w:tcPr>
            <w:tcW w:w="3599" w:type="dxa"/>
            <w:gridSpan w:val="3"/>
            <w:shd w:val="clear" w:color="000000" w:fill="FFFFFF"/>
            <w:noWrap/>
            <w:vAlign w:val="center"/>
          </w:tcPr>
          <w:p w14:paraId="1BAB09D4">
            <w:pPr>
              <w:widowControl/>
              <w:autoSpaceDE/>
              <w:autoSpaceDN/>
              <w:adjustRightInd w:val="0"/>
              <w:snapToGrid w:val="0"/>
              <w:spacing w:line="420" w:lineRule="exact"/>
              <w:ind w:right="480"/>
              <w:jc w:val="center"/>
              <w:rPr>
                <w:rFonts w:hAnsi="宋体"/>
                <w:b/>
                <w:bCs/>
                <w:sz w:val="24"/>
                <w:szCs w:val="24"/>
                <w:highlight w:val="none"/>
              </w:rPr>
            </w:pPr>
            <w:r>
              <w:rPr>
                <w:rFonts w:hint="eastAsia" w:hAnsi="宋体"/>
                <w:b/>
                <w:bCs/>
                <w:sz w:val="24"/>
                <w:szCs w:val="24"/>
                <w:highlight w:val="none"/>
              </w:rPr>
              <w:t>100分</w:t>
            </w:r>
          </w:p>
        </w:tc>
      </w:tr>
      <w:tr w14:paraId="56FE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exact"/>
          <w:jc w:val="center"/>
        </w:trPr>
        <w:tc>
          <w:tcPr>
            <w:tcW w:w="2158" w:type="dxa"/>
            <w:vMerge w:val="restart"/>
            <w:shd w:val="clear" w:color="000000" w:fill="FFFFFF"/>
            <w:vAlign w:val="center"/>
          </w:tcPr>
          <w:p w14:paraId="2D7DC28B">
            <w:pPr>
              <w:widowControl/>
              <w:autoSpaceDE/>
              <w:autoSpaceDN/>
              <w:adjustRightInd w:val="0"/>
              <w:snapToGrid w:val="0"/>
              <w:spacing w:line="420" w:lineRule="exact"/>
              <w:jc w:val="center"/>
              <w:rPr>
                <w:rFonts w:hAnsi="宋体"/>
                <w:b/>
                <w:bCs/>
                <w:sz w:val="24"/>
                <w:szCs w:val="24"/>
                <w:highlight w:val="none"/>
                <w:lang w:val="en-US"/>
              </w:rPr>
            </w:pPr>
            <w:r>
              <w:rPr>
                <w:rFonts w:hint="eastAsia" w:hAnsi="宋体"/>
                <w:b/>
                <w:bCs/>
                <w:sz w:val="24"/>
                <w:szCs w:val="24"/>
                <w:highlight w:val="none"/>
              </w:rPr>
              <w:t>甲方签字</w:t>
            </w:r>
          </w:p>
        </w:tc>
        <w:tc>
          <w:tcPr>
            <w:tcW w:w="7362" w:type="dxa"/>
            <w:gridSpan w:val="4"/>
            <w:vMerge w:val="restart"/>
            <w:shd w:val="clear" w:color="000000" w:fill="FFFFFF"/>
            <w:noWrap/>
            <w:vAlign w:val="center"/>
          </w:tcPr>
          <w:p w14:paraId="1A89FD18">
            <w:pPr>
              <w:widowControl/>
              <w:autoSpaceDE/>
              <w:autoSpaceDN/>
              <w:adjustRightInd w:val="0"/>
              <w:snapToGrid w:val="0"/>
              <w:spacing w:line="420" w:lineRule="exact"/>
              <w:jc w:val="center"/>
              <w:rPr>
                <w:rFonts w:hAnsi="宋体"/>
                <w:b/>
                <w:bCs/>
                <w:sz w:val="24"/>
                <w:szCs w:val="24"/>
                <w:highlight w:val="none"/>
              </w:rPr>
            </w:pPr>
          </w:p>
        </w:tc>
      </w:tr>
      <w:tr w14:paraId="61EC0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exact"/>
          <w:jc w:val="center"/>
        </w:trPr>
        <w:tc>
          <w:tcPr>
            <w:tcW w:w="2158" w:type="dxa"/>
            <w:vMerge w:val="continue"/>
            <w:vAlign w:val="center"/>
          </w:tcPr>
          <w:p w14:paraId="3849DD01">
            <w:pPr>
              <w:widowControl/>
              <w:autoSpaceDE/>
              <w:autoSpaceDN/>
              <w:adjustRightInd w:val="0"/>
              <w:snapToGrid w:val="0"/>
              <w:spacing w:line="420" w:lineRule="exact"/>
              <w:rPr>
                <w:rFonts w:hAnsi="宋体"/>
                <w:b/>
                <w:bCs/>
                <w:sz w:val="24"/>
                <w:szCs w:val="24"/>
                <w:highlight w:val="none"/>
              </w:rPr>
            </w:pPr>
          </w:p>
        </w:tc>
        <w:tc>
          <w:tcPr>
            <w:tcW w:w="7362" w:type="dxa"/>
            <w:gridSpan w:val="4"/>
            <w:vMerge w:val="continue"/>
            <w:vAlign w:val="center"/>
          </w:tcPr>
          <w:p w14:paraId="18EDA832">
            <w:pPr>
              <w:widowControl/>
              <w:autoSpaceDE/>
              <w:autoSpaceDN/>
              <w:adjustRightInd w:val="0"/>
              <w:snapToGrid w:val="0"/>
              <w:spacing w:line="420" w:lineRule="exact"/>
              <w:rPr>
                <w:rFonts w:hAnsi="宋体"/>
                <w:b/>
                <w:bCs/>
                <w:sz w:val="24"/>
                <w:szCs w:val="24"/>
                <w:highlight w:val="none"/>
              </w:rPr>
            </w:pPr>
          </w:p>
        </w:tc>
      </w:tr>
      <w:tr w14:paraId="2F5FA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exact"/>
          <w:jc w:val="center"/>
        </w:trPr>
        <w:tc>
          <w:tcPr>
            <w:tcW w:w="2158" w:type="dxa"/>
            <w:vMerge w:val="continue"/>
            <w:vAlign w:val="center"/>
          </w:tcPr>
          <w:p w14:paraId="7FA52F6A">
            <w:pPr>
              <w:widowControl/>
              <w:autoSpaceDE/>
              <w:autoSpaceDN/>
              <w:adjustRightInd w:val="0"/>
              <w:snapToGrid w:val="0"/>
              <w:spacing w:line="420" w:lineRule="exact"/>
              <w:rPr>
                <w:rFonts w:hAnsi="宋体"/>
                <w:b/>
                <w:bCs/>
                <w:sz w:val="24"/>
                <w:szCs w:val="24"/>
                <w:highlight w:val="none"/>
              </w:rPr>
            </w:pPr>
          </w:p>
        </w:tc>
        <w:tc>
          <w:tcPr>
            <w:tcW w:w="7362" w:type="dxa"/>
            <w:gridSpan w:val="4"/>
            <w:vMerge w:val="continue"/>
            <w:vAlign w:val="center"/>
          </w:tcPr>
          <w:p w14:paraId="059BD92B">
            <w:pPr>
              <w:widowControl/>
              <w:autoSpaceDE/>
              <w:autoSpaceDN/>
              <w:adjustRightInd w:val="0"/>
              <w:snapToGrid w:val="0"/>
              <w:spacing w:line="420" w:lineRule="exact"/>
              <w:rPr>
                <w:rFonts w:hAnsi="宋体"/>
                <w:b/>
                <w:bCs/>
                <w:sz w:val="24"/>
                <w:szCs w:val="24"/>
                <w:highlight w:val="none"/>
              </w:rPr>
            </w:pPr>
          </w:p>
        </w:tc>
      </w:tr>
      <w:tr w14:paraId="049F8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exact"/>
          <w:jc w:val="center"/>
        </w:trPr>
        <w:tc>
          <w:tcPr>
            <w:tcW w:w="2158" w:type="dxa"/>
            <w:shd w:val="clear" w:color="000000" w:fill="FFFFFF"/>
            <w:vAlign w:val="center"/>
          </w:tcPr>
          <w:p w14:paraId="3302B9C0">
            <w:pPr>
              <w:widowControl/>
              <w:autoSpaceDE/>
              <w:autoSpaceDN/>
              <w:adjustRightInd w:val="0"/>
              <w:snapToGrid w:val="0"/>
              <w:spacing w:line="420" w:lineRule="exact"/>
              <w:jc w:val="center"/>
              <w:rPr>
                <w:rFonts w:hAnsi="宋体"/>
                <w:b/>
                <w:bCs/>
                <w:sz w:val="24"/>
                <w:szCs w:val="24"/>
                <w:highlight w:val="none"/>
              </w:rPr>
            </w:pPr>
            <w:r>
              <w:rPr>
                <w:rFonts w:hint="eastAsia" w:hAnsi="宋体"/>
                <w:b/>
                <w:bCs/>
                <w:sz w:val="24"/>
                <w:szCs w:val="24"/>
                <w:highlight w:val="none"/>
              </w:rPr>
              <w:t>乙方签字</w:t>
            </w:r>
          </w:p>
        </w:tc>
        <w:tc>
          <w:tcPr>
            <w:tcW w:w="7362" w:type="dxa"/>
            <w:gridSpan w:val="4"/>
            <w:shd w:val="clear" w:color="000000" w:fill="FFFFFF"/>
            <w:noWrap/>
            <w:vAlign w:val="bottom"/>
          </w:tcPr>
          <w:p w14:paraId="3C240F3A">
            <w:pPr>
              <w:widowControl/>
              <w:autoSpaceDE/>
              <w:autoSpaceDN/>
              <w:adjustRightInd w:val="0"/>
              <w:snapToGrid w:val="0"/>
              <w:spacing w:line="420" w:lineRule="exact"/>
              <w:jc w:val="right"/>
              <w:rPr>
                <w:rFonts w:hAnsi="宋体"/>
                <w:b/>
                <w:bCs/>
                <w:sz w:val="24"/>
                <w:szCs w:val="24"/>
                <w:highlight w:val="none"/>
              </w:rPr>
            </w:pPr>
          </w:p>
        </w:tc>
      </w:tr>
    </w:tbl>
    <w:p w14:paraId="559AF508">
      <w:pPr>
        <w:pStyle w:val="40"/>
        <w:autoSpaceDE/>
        <w:autoSpaceDN/>
        <w:adjustRightInd w:val="0"/>
        <w:snapToGrid w:val="0"/>
        <w:spacing w:line="420" w:lineRule="exact"/>
        <w:ind w:firstLine="480"/>
        <w:rPr>
          <w:rFonts w:hAnsi="宋体"/>
          <w:kern w:val="2"/>
          <w:szCs w:val="24"/>
          <w:highlight w:val="none"/>
          <w:lang w:val="en-US"/>
        </w:rPr>
      </w:pPr>
      <w:r>
        <w:rPr>
          <w:rFonts w:hint="eastAsia" w:hAnsi="宋体"/>
          <w:kern w:val="2"/>
          <w:szCs w:val="24"/>
          <w:highlight w:val="none"/>
          <w:lang w:val="en-US"/>
        </w:rPr>
        <w:t>1、总分数不超过100分。</w:t>
      </w:r>
    </w:p>
    <w:p w14:paraId="51BD34DC">
      <w:pPr>
        <w:pStyle w:val="40"/>
        <w:autoSpaceDE/>
        <w:autoSpaceDN/>
        <w:adjustRightInd w:val="0"/>
        <w:snapToGrid w:val="0"/>
        <w:spacing w:line="420" w:lineRule="exact"/>
        <w:ind w:firstLine="480"/>
        <w:rPr>
          <w:rFonts w:hint="eastAsia" w:hAnsi="宋体"/>
          <w:kern w:val="2"/>
          <w:szCs w:val="24"/>
          <w:highlight w:val="none"/>
          <w:lang w:val="en-US"/>
        </w:rPr>
      </w:pPr>
      <w:r>
        <w:rPr>
          <w:rFonts w:hint="eastAsia" w:hAnsi="宋体"/>
          <w:kern w:val="2"/>
          <w:szCs w:val="24"/>
          <w:highlight w:val="none"/>
          <w:lang w:val="en-US"/>
        </w:rPr>
        <w:t>2、</w:t>
      </w:r>
      <w:r>
        <w:rPr>
          <w:rFonts w:hint="eastAsia" w:hAnsi="宋体"/>
          <w:kern w:val="2"/>
          <w:szCs w:val="24"/>
          <w:highlight w:val="none"/>
        </w:rPr>
        <w:t>月度考核得分低于90分，扣除本月驻场人员费用的</w:t>
      </w:r>
      <w:r>
        <w:rPr>
          <w:rFonts w:hint="eastAsia" w:hAnsi="宋体"/>
          <w:kern w:val="2"/>
          <w:szCs w:val="24"/>
          <w:highlight w:val="none"/>
          <w:lang w:val="en-US"/>
        </w:rPr>
        <w:t>10</w:t>
      </w:r>
      <w:r>
        <w:rPr>
          <w:rFonts w:hint="eastAsia" w:hAnsi="宋体"/>
          <w:kern w:val="2"/>
          <w:szCs w:val="24"/>
          <w:highlight w:val="none"/>
        </w:rPr>
        <w:t>%；低于</w:t>
      </w:r>
      <w:r>
        <w:rPr>
          <w:rFonts w:hint="eastAsia" w:hAnsi="宋体"/>
          <w:kern w:val="2"/>
          <w:szCs w:val="24"/>
          <w:highlight w:val="none"/>
          <w:lang w:val="en-US"/>
        </w:rPr>
        <w:t>85</w:t>
      </w:r>
      <w:r>
        <w:rPr>
          <w:rFonts w:hint="eastAsia" w:hAnsi="宋体"/>
          <w:kern w:val="2"/>
          <w:szCs w:val="24"/>
          <w:highlight w:val="none"/>
        </w:rPr>
        <w:t>分，扣除本月驻场人员费用的</w:t>
      </w:r>
      <w:r>
        <w:rPr>
          <w:rFonts w:hint="eastAsia" w:hAnsi="宋体"/>
          <w:kern w:val="2"/>
          <w:szCs w:val="24"/>
          <w:highlight w:val="none"/>
          <w:lang w:val="en-US"/>
        </w:rPr>
        <w:t>20</w:t>
      </w:r>
      <w:r>
        <w:rPr>
          <w:rFonts w:hint="eastAsia" w:hAnsi="宋体"/>
          <w:kern w:val="2"/>
          <w:szCs w:val="24"/>
          <w:highlight w:val="none"/>
        </w:rPr>
        <w:t>%；低于</w:t>
      </w:r>
      <w:r>
        <w:rPr>
          <w:rFonts w:hint="eastAsia" w:hAnsi="宋体"/>
          <w:kern w:val="2"/>
          <w:szCs w:val="24"/>
          <w:highlight w:val="none"/>
          <w:lang w:val="en-US"/>
        </w:rPr>
        <w:t>80</w:t>
      </w:r>
      <w:r>
        <w:rPr>
          <w:rFonts w:hint="eastAsia" w:hAnsi="宋体"/>
          <w:kern w:val="2"/>
          <w:szCs w:val="24"/>
          <w:highlight w:val="none"/>
        </w:rPr>
        <w:t>分，扣除本月驻场人员费用的</w:t>
      </w:r>
      <w:r>
        <w:rPr>
          <w:rFonts w:hint="eastAsia" w:hAnsi="宋体"/>
          <w:kern w:val="2"/>
          <w:szCs w:val="24"/>
          <w:highlight w:val="none"/>
          <w:lang w:val="en-US"/>
        </w:rPr>
        <w:t>30</w:t>
      </w:r>
      <w:r>
        <w:rPr>
          <w:rFonts w:hint="eastAsia" w:hAnsi="宋体"/>
          <w:kern w:val="2"/>
          <w:szCs w:val="24"/>
          <w:highlight w:val="none"/>
        </w:rPr>
        <w:t>%；低于</w:t>
      </w:r>
      <w:r>
        <w:rPr>
          <w:rFonts w:hint="eastAsia" w:hAnsi="宋体"/>
          <w:kern w:val="2"/>
          <w:szCs w:val="24"/>
          <w:highlight w:val="none"/>
          <w:lang w:val="en-US"/>
        </w:rPr>
        <w:t>75</w:t>
      </w:r>
      <w:r>
        <w:rPr>
          <w:rFonts w:hint="eastAsia" w:hAnsi="宋体"/>
          <w:kern w:val="2"/>
          <w:szCs w:val="24"/>
          <w:highlight w:val="none"/>
        </w:rPr>
        <w:t>分，约谈调岗或更换驻场服务人员</w:t>
      </w:r>
      <w:r>
        <w:rPr>
          <w:rFonts w:hint="eastAsia" w:hAnsi="宋体"/>
          <w:kern w:val="2"/>
          <w:szCs w:val="24"/>
          <w:highlight w:val="none"/>
          <w:lang w:val="en-US"/>
        </w:rPr>
        <w:t>。</w:t>
      </w:r>
    </w:p>
    <w:p w14:paraId="4C4B92E9">
      <w:pPr>
        <w:autoSpaceDE/>
        <w:autoSpaceDN/>
        <w:adjustRightInd w:val="0"/>
        <w:snapToGrid w:val="0"/>
        <w:spacing w:line="420" w:lineRule="exact"/>
        <w:ind w:firstLine="480" w:firstLineChars="200"/>
        <w:rPr>
          <w:rFonts w:hint="eastAsia" w:hAnsi="宋体"/>
          <w:sz w:val="24"/>
          <w:szCs w:val="24"/>
          <w:highlight w:val="none"/>
        </w:rPr>
      </w:pPr>
    </w:p>
    <w:p w14:paraId="430AF811">
      <w:pPr>
        <w:autoSpaceDE/>
        <w:autoSpaceDN/>
        <w:adjustRightInd w:val="0"/>
        <w:snapToGrid w:val="0"/>
        <w:spacing w:line="420" w:lineRule="exact"/>
        <w:ind w:firstLine="482" w:firstLineChars="200"/>
        <w:rPr>
          <w:rFonts w:hAnsi="宋体"/>
          <w:b/>
          <w:bCs/>
          <w:sz w:val="24"/>
          <w:szCs w:val="24"/>
          <w:highlight w:val="none"/>
        </w:rPr>
      </w:pPr>
      <w:r>
        <w:rPr>
          <w:rFonts w:hint="eastAsia" w:hAnsi="宋体"/>
          <w:b/>
          <w:bCs/>
          <w:sz w:val="24"/>
          <w:szCs w:val="24"/>
          <w:highlight w:val="none"/>
        </w:rPr>
        <w:t>（二）服务质量保证及处罚</w:t>
      </w:r>
    </w:p>
    <w:p w14:paraId="56E508FB">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rPr>
        <w:t>1、合同签订30天内以及合同履行期内每季度，甲方不定期对乙方投标时的各项响应进行抽查，如发现不能满足响应的，扣除年度服务金额的10%。</w:t>
      </w:r>
    </w:p>
    <w:p w14:paraId="306E8890">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rPr>
        <w:t>2、乙方的驻场值守人员得不到采购人认可或中途变更驻场值守人员（未得到采购人确认），扣除年度服务金额的10%。</w:t>
      </w:r>
    </w:p>
    <w:p w14:paraId="782551CA">
      <w:pPr>
        <w:pStyle w:val="40"/>
        <w:autoSpaceDE/>
        <w:autoSpaceDN/>
        <w:adjustRightInd w:val="0"/>
        <w:snapToGrid w:val="0"/>
        <w:spacing w:line="420" w:lineRule="exact"/>
        <w:ind w:firstLine="480"/>
        <w:rPr>
          <w:rFonts w:hAnsi="宋体"/>
          <w:kern w:val="2"/>
          <w:szCs w:val="24"/>
          <w:highlight w:val="none"/>
        </w:rPr>
      </w:pPr>
      <w:r>
        <w:rPr>
          <w:rFonts w:hint="eastAsia" w:hAnsi="宋体"/>
          <w:kern w:val="2"/>
          <w:szCs w:val="24"/>
          <w:highlight w:val="none"/>
        </w:rPr>
        <w:t>3、被使用一次一票否决项，扣除年度服务金额的25%。</w:t>
      </w:r>
    </w:p>
    <w:p w14:paraId="4B2982DE">
      <w:pPr>
        <w:autoSpaceDE/>
        <w:autoSpaceDN/>
        <w:adjustRightInd w:val="0"/>
        <w:snapToGrid w:val="0"/>
        <w:spacing w:line="420" w:lineRule="exact"/>
        <w:ind w:firstLine="482" w:firstLineChars="200"/>
        <w:rPr>
          <w:rFonts w:hAnsi="宋体"/>
          <w:b/>
          <w:bCs/>
          <w:sz w:val="24"/>
          <w:szCs w:val="24"/>
          <w:highlight w:val="none"/>
        </w:rPr>
      </w:pPr>
      <w:r>
        <w:rPr>
          <w:rFonts w:hint="eastAsia" w:hAnsi="宋体"/>
          <w:b/>
          <w:bCs/>
          <w:sz w:val="24"/>
          <w:szCs w:val="24"/>
          <w:highlight w:val="none"/>
        </w:rPr>
        <w:t>（三）风险承担办法</w:t>
      </w:r>
    </w:p>
    <w:p w14:paraId="1C1B20F9">
      <w:pPr>
        <w:pStyle w:val="40"/>
        <w:autoSpaceDE/>
        <w:autoSpaceDN/>
        <w:adjustRightInd w:val="0"/>
        <w:snapToGrid w:val="0"/>
        <w:spacing w:line="420" w:lineRule="exact"/>
        <w:ind w:firstLine="480"/>
        <w:rPr>
          <w:rFonts w:hAnsi="宋体"/>
          <w:kern w:val="2"/>
          <w:szCs w:val="24"/>
          <w:highlight w:val="none"/>
          <w:lang w:val="en-US" w:bidi="ar-SA"/>
        </w:rPr>
      </w:pPr>
      <w:r>
        <w:rPr>
          <w:rFonts w:hint="eastAsia" w:hAnsi="宋体"/>
          <w:kern w:val="2"/>
          <w:szCs w:val="24"/>
          <w:highlight w:val="none"/>
          <w:lang w:val="en-US" w:bidi="ar-SA"/>
        </w:rPr>
        <w:t>除法律规定的不可抗力因素导致的风险和损失外，乙方承担江苏省公安厅厅交管总队指挥中心、会议室及相关通信支撑系统维保范围内出现的局部乃至全局性风险所造成的直接和间接损失。</w:t>
      </w:r>
    </w:p>
    <w:p w14:paraId="00656A76">
      <w:pPr>
        <w:pStyle w:val="40"/>
        <w:autoSpaceDE/>
        <w:autoSpaceDN/>
        <w:adjustRightInd w:val="0"/>
        <w:snapToGrid w:val="0"/>
        <w:spacing w:line="420" w:lineRule="exact"/>
        <w:ind w:firstLine="480"/>
        <w:rPr>
          <w:rFonts w:hAnsi="宋体"/>
          <w:kern w:val="2"/>
          <w:szCs w:val="24"/>
          <w:highlight w:val="none"/>
          <w:lang w:val="en-US" w:bidi="ar-SA"/>
        </w:rPr>
      </w:pPr>
      <w:r>
        <w:rPr>
          <w:rFonts w:hint="eastAsia" w:hAnsi="宋体"/>
          <w:kern w:val="2"/>
          <w:szCs w:val="24"/>
          <w:highlight w:val="none"/>
          <w:lang w:val="en-US" w:bidi="ar-SA"/>
        </w:rPr>
        <w:t>1、承担维护保障不力，导致系统意外停机，业务中断风险。</w:t>
      </w:r>
    </w:p>
    <w:p w14:paraId="19EDC0F2">
      <w:pPr>
        <w:pStyle w:val="40"/>
        <w:autoSpaceDE/>
        <w:autoSpaceDN/>
        <w:adjustRightInd w:val="0"/>
        <w:snapToGrid w:val="0"/>
        <w:spacing w:line="420" w:lineRule="exact"/>
        <w:ind w:firstLine="480"/>
        <w:rPr>
          <w:rFonts w:hAnsi="宋体"/>
          <w:kern w:val="2"/>
          <w:szCs w:val="24"/>
          <w:highlight w:val="none"/>
          <w:lang w:val="en-US" w:bidi="ar-SA"/>
        </w:rPr>
      </w:pPr>
      <w:r>
        <w:rPr>
          <w:rFonts w:hint="eastAsia" w:hAnsi="宋体"/>
          <w:kern w:val="2"/>
          <w:szCs w:val="24"/>
          <w:highlight w:val="none"/>
          <w:lang w:val="en-US" w:bidi="ar-SA"/>
        </w:rPr>
        <w:t>2、承担信息安全保障不力，导致的数据损坏，丢失风险。</w:t>
      </w:r>
    </w:p>
    <w:p w14:paraId="4CB26392">
      <w:pPr>
        <w:pStyle w:val="40"/>
        <w:autoSpaceDE/>
        <w:autoSpaceDN/>
        <w:adjustRightInd w:val="0"/>
        <w:snapToGrid w:val="0"/>
        <w:spacing w:line="420" w:lineRule="exact"/>
        <w:ind w:firstLine="480"/>
        <w:rPr>
          <w:rFonts w:hAnsi="宋体"/>
          <w:kern w:val="2"/>
          <w:szCs w:val="24"/>
          <w:highlight w:val="none"/>
          <w:lang w:val="en-US" w:bidi="ar-SA"/>
        </w:rPr>
      </w:pPr>
      <w:r>
        <w:rPr>
          <w:rFonts w:hint="eastAsia" w:hAnsi="宋体"/>
          <w:kern w:val="2"/>
          <w:szCs w:val="24"/>
          <w:highlight w:val="none"/>
          <w:lang w:val="en-US" w:bidi="ar-SA"/>
        </w:rPr>
        <w:t>3、承担病毒防护，保密，数据泄露等系统安全风险。</w:t>
      </w:r>
    </w:p>
    <w:p w14:paraId="79EB3C04">
      <w:pPr>
        <w:pStyle w:val="7"/>
        <w:adjustRightInd w:val="0"/>
        <w:snapToGrid w:val="0"/>
        <w:spacing w:line="360" w:lineRule="auto"/>
        <w:ind w:firstLine="482" w:firstLineChars="200"/>
        <w:rPr>
          <w:rFonts w:asciiTheme="minorEastAsia" w:hAnsiTheme="minorEastAsia" w:eastAsiaTheme="minorEastAsia" w:cstheme="minorEastAsia"/>
          <w:b w:val="0"/>
          <w:bCs/>
          <w:sz w:val="28"/>
          <w:szCs w:val="28"/>
          <w:highlight w:val="none"/>
        </w:rPr>
      </w:pPr>
      <w:r>
        <w:rPr>
          <w:rFonts w:hint="eastAsia" w:ascii="宋体" w:hAnsi="宋体" w:eastAsia="宋体" w:cs="宋体"/>
          <w:szCs w:val="24"/>
          <w:highlight w:val="none"/>
        </w:rPr>
        <w:t>除法律规定的不可抗力因素外，如果在维保服务期内出现无法按时有效修复的故障，乙方应承担相关设施设备软硬件系统更换的风险，保障本项目所有运维服务期间、运维范围内设施设备及软硬件系统的正常稳定使用。如未按要求提供运维服务并造负面影响的，江苏省公安厅交通管理总队有权视情终止服务合同，追究乙方相关责任，并由乙方承担总队运维中断期间所产生的所有运维费用支出。</w:t>
      </w:r>
    </w:p>
    <w:p w14:paraId="71FDB317">
      <w:pPr>
        <w:widowControl/>
        <w:autoSpaceDE/>
        <w:autoSpaceDN/>
        <w:spacing w:line="360" w:lineRule="auto"/>
        <w:ind w:firstLine="640" w:firstLineChars="200"/>
        <w:rPr>
          <w:rFonts w:ascii="黑体" w:eastAsia="黑体"/>
          <w:sz w:val="32"/>
          <w:highlight w:val="none"/>
        </w:rPr>
      </w:pPr>
      <w:r>
        <w:rPr>
          <w:rFonts w:ascii="黑体" w:eastAsia="黑体"/>
          <w:sz w:val="32"/>
          <w:highlight w:val="none"/>
        </w:rPr>
        <w:br w:type="page"/>
      </w:r>
    </w:p>
    <w:p w14:paraId="473E2777">
      <w:pPr>
        <w:spacing w:line="360" w:lineRule="auto"/>
        <w:jc w:val="center"/>
        <w:outlineLvl w:val="0"/>
        <w:rPr>
          <w:rFonts w:ascii="黑体" w:eastAsia="黑体"/>
          <w:sz w:val="32"/>
          <w:highlight w:val="none"/>
        </w:rPr>
      </w:pPr>
      <w:bookmarkStart w:id="82" w:name="_Toc225524679"/>
      <w:r>
        <w:rPr>
          <w:rFonts w:hint="eastAsia" w:ascii="黑体" w:eastAsia="黑体"/>
          <w:sz w:val="32"/>
          <w:highlight w:val="none"/>
        </w:rPr>
        <w:t xml:space="preserve">第七章 </w:t>
      </w:r>
      <w:r>
        <w:rPr>
          <w:rFonts w:ascii="黑体" w:eastAsia="黑体"/>
          <w:sz w:val="32"/>
          <w:highlight w:val="none"/>
        </w:rPr>
        <w:t xml:space="preserve"> 投标文件格式</w:t>
      </w:r>
      <w:bookmarkEnd w:id="82"/>
    </w:p>
    <w:p w14:paraId="672B1B67">
      <w:pPr>
        <w:spacing w:line="360" w:lineRule="auto"/>
        <w:rPr>
          <w:highlight w:val="none"/>
          <w:lang w:val="en-US"/>
        </w:rPr>
      </w:pPr>
    </w:p>
    <w:p w14:paraId="013AF63A">
      <w:pPr>
        <w:pStyle w:val="3"/>
        <w:spacing w:line="360" w:lineRule="auto"/>
        <w:ind w:left="0" w:firstLine="0"/>
        <w:jc w:val="both"/>
        <w:rPr>
          <w:sz w:val="24"/>
          <w:szCs w:val="28"/>
          <w:highlight w:val="none"/>
          <w:u w:val="none"/>
          <w:lang w:val="en-US"/>
        </w:rPr>
      </w:pPr>
      <w:bookmarkStart w:id="83" w:name="_Toc225524680"/>
      <w:r>
        <w:rPr>
          <w:rFonts w:hint="eastAsia"/>
          <w:sz w:val="24"/>
          <w:szCs w:val="28"/>
          <w:highlight w:val="none"/>
          <w:u w:val="none"/>
          <w:lang w:val="en-US"/>
        </w:rPr>
        <w:t>封面样式：</w:t>
      </w:r>
      <w:bookmarkEnd w:id="83"/>
    </w:p>
    <w:p w14:paraId="6E4E0614">
      <w:pPr>
        <w:spacing w:before="55" w:line="360" w:lineRule="auto"/>
        <w:ind w:right="616"/>
        <w:jc w:val="right"/>
        <w:rPr>
          <w:rFonts w:ascii="黑体" w:eastAsia="黑体"/>
          <w:w w:val="95"/>
          <w:sz w:val="32"/>
          <w:highlight w:val="none"/>
        </w:rPr>
      </w:pPr>
    </w:p>
    <w:p w14:paraId="5FCE7A2B">
      <w:pPr>
        <w:spacing w:before="55" w:line="360" w:lineRule="auto"/>
        <w:ind w:right="616"/>
        <w:jc w:val="right"/>
        <w:rPr>
          <w:rFonts w:ascii="黑体" w:eastAsia="黑体"/>
          <w:sz w:val="32"/>
          <w:highlight w:val="none"/>
        </w:rPr>
      </w:pPr>
      <w:r>
        <w:rPr>
          <w:rFonts w:hint="eastAsia" w:ascii="黑体" w:eastAsia="黑体"/>
          <w:w w:val="95"/>
          <w:sz w:val="32"/>
          <w:highlight w:val="none"/>
        </w:rPr>
        <w:t>正本（副本）</w:t>
      </w:r>
    </w:p>
    <w:p w14:paraId="0295D31A">
      <w:pPr>
        <w:pStyle w:val="9"/>
        <w:spacing w:line="360" w:lineRule="auto"/>
        <w:rPr>
          <w:highlight w:val="none"/>
        </w:rPr>
      </w:pPr>
    </w:p>
    <w:p w14:paraId="6C802D72">
      <w:pPr>
        <w:pStyle w:val="9"/>
        <w:spacing w:line="360" w:lineRule="auto"/>
        <w:rPr>
          <w:highlight w:val="none"/>
        </w:rPr>
      </w:pPr>
    </w:p>
    <w:p w14:paraId="6E384A2F">
      <w:pPr>
        <w:spacing w:line="360" w:lineRule="auto"/>
        <w:ind w:left="1952"/>
        <w:jc w:val="center"/>
        <w:rPr>
          <w:rFonts w:ascii="黑体" w:eastAsia="黑体"/>
          <w:sz w:val="32"/>
          <w:highlight w:val="none"/>
        </w:rPr>
      </w:pPr>
      <w:r>
        <w:rPr>
          <w:rFonts w:hint="eastAsia" w:ascii="黑体" w:eastAsia="黑体"/>
          <w:sz w:val="32"/>
          <w:highlight w:val="none"/>
        </w:rPr>
        <w:t>XXXXXXXXXX项目</w:t>
      </w:r>
    </w:p>
    <w:p w14:paraId="68A38022">
      <w:pPr>
        <w:pStyle w:val="9"/>
        <w:spacing w:line="360" w:lineRule="auto"/>
        <w:rPr>
          <w:highlight w:val="none"/>
        </w:rPr>
      </w:pPr>
    </w:p>
    <w:p w14:paraId="7EEC5C35">
      <w:pPr>
        <w:pStyle w:val="9"/>
        <w:spacing w:line="360" w:lineRule="auto"/>
        <w:rPr>
          <w:highlight w:val="none"/>
        </w:rPr>
      </w:pPr>
    </w:p>
    <w:p w14:paraId="449C1145">
      <w:pPr>
        <w:pStyle w:val="9"/>
        <w:spacing w:line="360" w:lineRule="auto"/>
        <w:rPr>
          <w:highlight w:val="none"/>
        </w:rPr>
      </w:pPr>
    </w:p>
    <w:p w14:paraId="65D65ABB">
      <w:pPr>
        <w:pStyle w:val="9"/>
        <w:spacing w:line="360" w:lineRule="auto"/>
        <w:rPr>
          <w:highlight w:val="none"/>
        </w:rPr>
      </w:pPr>
    </w:p>
    <w:p w14:paraId="4B7BEECC">
      <w:pPr>
        <w:pStyle w:val="9"/>
        <w:spacing w:line="360" w:lineRule="auto"/>
        <w:rPr>
          <w:highlight w:val="none"/>
        </w:rPr>
      </w:pPr>
    </w:p>
    <w:p w14:paraId="042E0AC6">
      <w:pPr>
        <w:spacing w:before="1" w:line="360" w:lineRule="auto"/>
        <w:ind w:right="1"/>
        <w:jc w:val="center"/>
        <w:outlineLvl w:val="1"/>
        <w:rPr>
          <w:rFonts w:ascii="黑体" w:eastAsia="黑体"/>
          <w:sz w:val="72"/>
          <w:highlight w:val="none"/>
        </w:rPr>
      </w:pPr>
      <w:bookmarkStart w:id="84" w:name="_Toc225524681"/>
      <w:r>
        <w:rPr>
          <w:rFonts w:hint="eastAsia" w:ascii="黑体" w:eastAsia="黑体"/>
          <w:sz w:val="72"/>
          <w:highlight w:val="none"/>
          <w:lang w:val="en-US"/>
        </w:rPr>
        <w:t>投标文件</w:t>
      </w:r>
      <w:bookmarkEnd w:id="84"/>
    </w:p>
    <w:p w14:paraId="723734E3">
      <w:pPr>
        <w:pStyle w:val="9"/>
        <w:spacing w:line="360" w:lineRule="auto"/>
        <w:rPr>
          <w:highlight w:val="none"/>
        </w:rPr>
      </w:pPr>
    </w:p>
    <w:p w14:paraId="09C03C32">
      <w:pPr>
        <w:tabs>
          <w:tab w:val="left" w:pos="6937"/>
        </w:tabs>
        <w:spacing w:line="360" w:lineRule="auto"/>
        <w:ind w:left="1701"/>
        <w:rPr>
          <w:rFonts w:ascii="黑体" w:eastAsia="黑体"/>
          <w:w w:val="95"/>
          <w:sz w:val="32"/>
          <w:highlight w:val="none"/>
        </w:rPr>
      </w:pPr>
      <w:r>
        <w:rPr>
          <w:rFonts w:hint="eastAsia" w:ascii="黑体" w:eastAsia="黑体"/>
          <w:w w:val="95"/>
          <w:sz w:val="32"/>
          <w:highlight w:val="none"/>
        </w:rPr>
        <w:t>项目编号：</w:t>
      </w:r>
      <w:r>
        <w:rPr>
          <w:rFonts w:ascii="黑体" w:eastAsia="黑体"/>
          <w:w w:val="95"/>
          <w:sz w:val="32"/>
          <w:highlight w:val="none"/>
          <w:u w:val="single"/>
        </w:rPr>
        <w:t xml:space="preserve"> </w:t>
      </w:r>
      <w:r>
        <w:rPr>
          <w:rFonts w:ascii="黑体" w:eastAsia="黑体"/>
          <w:w w:val="95"/>
          <w:sz w:val="32"/>
          <w:highlight w:val="none"/>
          <w:u w:val="single"/>
        </w:rPr>
        <w:tab/>
      </w:r>
    </w:p>
    <w:p w14:paraId="7C5E25B2">
      <w:pPr>
        <w:tabs>
          <w:tab w:val="left" w:pos="6937"/>
        </w:tabs>
        <w:spacing w:line="360" w:lineRule="auto"/>
        <w:ind w:left="1701"/>
        <w:rPr>
          <w:rFonts w:ascii="黑体" w:eastAsia="黑体"/>
          <w:w w:val="95"/>
          <w:sz w:val="32"/>
          <w:highlight w:val="none"/>
        </w:rPr>
      </w:pPr>
      <w:r>
        <w:rPr>
          <w:rFonts w:hint="eastAsia" w:ascii="黑体" w:eastAsia="黑体"/>
          <w:w w:val="95"/>
          <w:sz w:val="32"/>
          <w:highlight w:val="none"/>
        </w:rPr>
        <w:t>供 应 商：</w:t>
      </w:r>
      <w:r>
        <w:rPr>
          <w:rFonts w:hint="eastAsia" w:ascii="黑体" w:eastAsia="黑体"/>
          <w:w w:val="95"/>
          <w:sz w:val="32"/>
          <w:highlight w:val="none"/>
          <w:u w:val="single"/>
        </w:rPr>
        <w:t xml:space="preserve"> </w:t>
      </w:r>
      <w:r>
        <w:rPr>
          <w:rFonts w:ascii="黑体" w:eastAsia="黑体"/>
          <w:w w:val="95"/>
          <w:sz w:val="32"/>
          <w:highlight w:val="none"/>
          <w:u w:val="single"/>
        </w:rPr>
        <w:tab/>
      </w:r>
      <w:r>
        <w:rPr>
          <w:rFonts w:hint="eastAsia" w:ascii="黑体" w:eastAsia="黑体"/>
          <w:w w:val="95"/>
          <w:sz w:val="32"/>
          <w:highlight w:val="none"/>
        </w:rPr>
        <w:t>（单位公章）</w:t>
      </w:r>
    </w:p>
    <w:p w14:paraId="1F841B6A">
      <w:pPr>
        <w:tabs>
          <w:tab w:val="left" w:pos="6937"/>
        </w:tabs>
        <w:spacing w:line="360" w:lineRule="auto"/>
        <w:ind w:left="1701"/>
        <w:rPr>
          <w:rFonts w:ascii="黑体" w:eastAsia="黑体"/>
          <w:w w:val="95"/>
          <w:sz w:val="32"/>
          <w:highlight w:val="none"/>
        </w:rPr>
      </w:pPr>
      <w:r>
        <w:rPr>
          <w:rFonts w:hint="eastAsia" w:ascii="黑体" w:eastAsia="黑体"/>
          <w:w w:val="95"/>
          <w:sz w:val="32"/>
          <w:highlight w:val="none"/>
        </w:rPr>
        <w:t>联 系 人：</w:t>
      </w:r>
      <w:r>
        <w:rPr>
          <w:rFonts w:ascii="黑体" w:eastAsia="黑体"/>
          <w:w w:val="95"/>
          <w:sz w:val="32"/>
          <w:highlight w:val="none"/>
          <w:u w:val="single"/>
        </w:rPr>
        <w:t xml:space="preserve"> </w:t>
      </w:r>
      <w:r>
        <w:rPr>
          <w:rFonts w:ascii="黑体" w:eastAsia="黑体"/>
          <w:w w:val="95"/>
          <w:sz w:val="32"/>
          <w:highlight w:val="none"/>
          <w:u w:val="single"/>
        </w:rPr>
        <w:tab/>
      </w:r>
    </w:p>
    <w:p w14:paraId="737E1972">
      <w:pPr>
        <w:tabs>
          <w:tab w:val="left" w:pos="6937"/>
        </w:tabs>
        <w:spacing w:line="360" w:lineRule="auto"/>
        <w:ind w:left="1701"/>
        <w:rPr>
          <w:rFonts w:ascii="黑体" w:eastAsia="黑体"/>
          <w:w w:val="95"/>
          <w:sz w:val="32"/>
          <w:highlight w:val="none"/>
        </w:rPr>
      </w:pPr>
      <w:r>
        <w:rPr>
          <w:rFonts w:hint="eastAsia" w:ascii="黑体" w:eastAsia="黑体"/>
          <w:w w:val="95"/>
          <w:sz w:val="32"/>
          <w:highlight w:val="none"/>
        </w:rPr>
        <w:t>联系方式：</w:t>
      </w:r>
      <w:r>
        <w:rPr>
          <w:rFonts w:hint="eastAsia" w:ascii="黑体" w:eastAsia="黑体"/>
          <w:w w:val="95"/>
          <w:sz w:val="32"/>
          <w:highlight w:val="none"/>
          <w:u w:val="single"/>
        </w:rPr>
        <w:t xml:space="preserve"> </w:t>
      </w:r>
      <w:r>
        <w:rPr>
          <w:rFonts w:hint="eastAsia" w:ascii="黑体" w:eastAsia="黑体"/>
          <w:w w:val="95"/>
          <w:sz w:val="32"/>
          <w:highlight w:val="none"/>
          <w:u w:val="single"/>
        </w:rPr>
        <w:tab/>
      </w:r>
    </w:p>
    <w:p w14:paraId="781B5778">
      <w:pPr>
        <w:tabs>
          <w:tab w:val="left" w:pos="6937"/>
        </w:tabs>
        <w:spacing w:line="360" w:lineRule="auto"/>
        <w:ind w:left="1701"/>
        <w:rPr>
          <w:rFonts w:ascii="黑体" w:eastAsia="黑体"/>
          <w:w w:val="95"/>
          <w:sz w:val="32"/>
          <w:highlight w:val="none"/>
        </w:rPr>
      </w:pPr>
      <w:r>
        <w:rPr>
          <w:rFonts w:hint="eastAsia" w:ascii="黑体" w:eastAsia="黑体"/>
          <w:w w:val="95"/>
          <w:sz w:val="32"/>
          <w:highlight w:val="none"/>
        </w:rPr>
        <w:t>单位地址：</w:t>
      </w:r>
      <w:r>
        <w:rPr>
          <w:rFonts w:ascii="黑体" w:eastAsia="黑体"/>
          <w:w w:val="95"/>
          <w:sz w:val="32"/>
          <w:highlight w:val="none"/>
          <w:u w:val="single"/>
        </w:rPr>
        <w:t xml:space="preserve"> </w:t>
      </w:r>
      <w:r>
        <w:rPr>
          <w:rFonts w:ascii="黑体" w:eastAsia="黑体"/>
          <w:w w:val="95"/>
          <w:sz w:val="32"/>
          <w:highlight w:val="none"/>
          <w:u w:val="single"/>
        </w:rPr>
        <w:tab/>
      </w:r>
    </w:p>
    <w:p w14:paraId="41CEA3B8">
      <w:pPr>
        <w:tabs>
          <w:tab w:val="left" w:pos="847"/>
          <w:tab w:val="left" w:pos="1648"/>
          <w:tab w:val="left" w:pos="2448"/>
        </w:tabs>
        <w:spacing w:line="360" w:lineRule="auto"/>
        <w:ind w:left="47"/>
        <w:jc w:val="center"/>
        <w:rPr>
          <w:rFonts w:ascii="黑体" w:eastAsia="黑体"/>
          <w:sz w:val="32"/>
          <w:highlight w:val="none"/>
        </w:rPr>
      </w:pPr>
      <w:r>
        <w:rPr>
          <w:rFonts w:ascii="Times New Roman" w:eastAsia="Times New Roman"/>
          <w:w w:val="99"/>
          <w:sz w:val="32"/>
          <w:highlight w:val="none"/>
          <w:u w:val="single"/>
        </w:rPr>
        <w:t xml:space="preserve"> </w:t>
      </w:r>
      <w:r>
        <w:rPr>
          <w:rFonts w:ascii="Times New Roman" w:eastAsia="Times New Roman"/>
          <w:sz w:val="32"/>
          <w:highlight w:val="none"/>
          <w:u w:val="single"/>
        </w:rPr>
        <w:tab/>
      </w:r>
      <w:r>
        <w:rPr>
          <w:rFonts w:hint="eastAsia" w:ascii="黑体" w:eastAsia="黑体"/>
          <w:sz w:val="32"/>
          <w:highlight w:val="none"/>
        </w:rPr>
        <w:t>年</w:t>
      </w:r>
      <w:r>
        <w:rPr>
          <w:rFonts w:hint="eastAsia" w:ascii="黑体" w:eastAsia="黑体"/>
          <w:sz w:val="32"/>
          <w:highlight w:val="none"/>
          <w:u w:val="single"/>
        </w:rPr>
        <w:t xml:space="preserve"> </w:t>
      </w:r>
      <w:r>
        <w:rPr>
          <w:rFonts w:hint="eastAsia" w:ascii="黑体" w:eastAsia="黑体"/>
          <w:sz w:val="32"/>
          <w:highlight w:val="none"/>
          <w:u w:val="single"/>
        </w:rPr>
        <w:tab/>
      </w:r>
      <w:r>
        <w:rPr>
          <w:rFonts w:hint="eastAsia" w:ascii="黑体" w:eastAsia="黑体"/>
          <w:sz w:val="32"/>
          <w:highlight w:val="none"/>
        </w:rPr>
        <w:t>月</w:t>
      </w:r>
      <w:r>
        <w:rPr>
          <w:rFonts w:hint="eastAsia" w:ascii="黑体" w:eastAsia="黑体"/>
          <w:sz w:val="32"/>
          <w:highlight w:val="none"/>
          <w:u w:val="single"/>
        </w:rPr>
        <w:t xml:space="preserve"> </w:t>
      </w:r>
      <w:r>
        <w:rPr>
          <w:rFonts w:hint="eastAsia" w:ascii="黑体" w:eastAsia="黑体"/>
          <w:sz w:val="32"/>
          <w:highlight w:val="none"/>
          <w:u w:val="single"/>
        </w:rPr>
        <w:tab/>
      </w:r>
      <w:r>
        <w:rPr>
          <w:rFonts w:hint="eastAsia" w:ascii="黑体" w:eastAsia="黑体"/>
          <w:sz w:val="32"/>
          <w:highlight w:val="none"/>
        </w:rPr>
        <w:t>日</w:t>
      </w:r>
    </w:p>
    <w:p w14:paraId="310DDC34">
      <w:pPr>
        <w:spacing w:line="360" w:lineRule="auto"/>
        <w:jc w:val="center"/>
        <w:rPr>
          <w:rFonts w:ascii="黑体" w:eastAsia="黑体"/>
          <w:sz w:val="32"/>
          <w:highlight w:val="none"/>
        </w:rPr>
        <w:sectPr>
          <w:pgSz w:w="11910" w:h="16840"/>
          <w:pgMar w:top="1460" w:right="1423" w:bottom="920" w:left="1423" w:header="492" w:footer="726" w:gutter="0"/>
          <w:cols w:space="720" w:num="1"/>
          <w:docGrid w:linePitch="312" w:charSpace="0"/>
        </w:sectPr>
      </w:pPr>
    </w:p>
    <w:p w14:paraId="4B5AA6F7">
      <w:pPr>
        <w:spacing w:line="360" w:lineRule="auto"/>
        <w:rPr>
          <w:sz w:val="24"/>
          <w:szCs w:val="24"/>
          <w:highlight w:val="none"/>
        </w:rPr>
      </w:pPr>
    </w:p>
    <w:p w14:paraId="749D703E">
      <w:pPr>
        <w:pStyle w:val="3"/>
        <w:spacing w:line="360" w:lineRule="auto"/>
        <w:ind w:left="0" w:firstLine="0"/>
        <w:jc w:val="both"/>
        <w:rPr>
          <w:sz w:val="24"/>
          <w:szCs w:val="24"/>
          <w:highlight w:val="none"/>
          <w:u w:val="none"/>
          <w:lang w:val="en-US"/>
        </w:rPr>
      </w:pPr>
      <w:bookmarkStart w:id="85" w:name="_Toc225524682"/>
      <w:r>
        <w:rPr>
          <w:rFonts w:hint="eastAsia"/>
          <w:sz w:val="24"/>
          <w:szCs w:val="24"/>
          <w:highlight w:val="none"/>
          <w:u w:val="none"/>
          <w:lang w:val="en-US"/>
        </w:rPr>
        <w:t>目录样式（请根据实际情况定制目录）：</w:t>
      </w:r>
      <w:bookmarkEnd w:id="85"/>
    </w:p>
    <w:p w14:paraId="5415FCAF">
      <w:pPr>
        <w:pStyle w:val="11"/>
        <w:spacing w:line="360" w:lineRule="auto"/>
        <w:ind w:left="1320"/>
        <w:rPr>
          <w:sz w:val="24"/>
          <w:szCs w:val="24"/>
          <w:highlight w:val="none"/>
        </w:rPr>
      </w:pPr>
    </w:p>
    <w:p w14:paraId="42DCF275">
      <w:pPr>
        <w:spacing w:line="360" w:lineRule="auto"/>
        <w:jc w:val="center"/>
        <w:rPr>
          <w:sz w:val="24"/>
          <w:szCs w:val="24"/>
          <w:highlight w:val="none"/>
        </w:rPr>
      </w:pPr>
      <w:r>
        <w:rPr>
          <w:rFonts w:hint="eastAsia"/>
          <w:sz w:val="24"/>
          <w:szCs w:val="24"/>
          <w:highlight w:val="none"/>
        </w:rPr>
        <w:t>目</w:t>
      </w:r>
      <w:r>
        <w:rPr>
          <w:rFonts w:hint="eastAsia"/>
          <w:sz w:val="24"/>
          <w:szCs w:val="24"/>
          <w:highlight w:val="none"/>
        </w:rPr>
        <w:tab/>
      </w:r>
      <w:r>
        <w:rPr>
          <w:rFonts w:hint="eastAsia"/>
          <w:sz w:val="24"/>
          <w:szCs w:val="24"/>
          <w:highlight w:val="none"/>
        </w:rPr>
        <w:t>录</w:t>
      </w:r>
    </w:p>
    <w:p w14:paraId="0A74C26A">
      <w:pPr>
        <w:numPr>
          <w:ilvl w:val="0"/>
          <w:numId w:val="26"/>
        </w:numPr>
        <w:tabs>
          <w:tab w:val="left" w:leader="dot" w:pos="9584"/>
        </w:tabs>
        <w:spacing w:line="360" w:lineRule="auto"/>
        <w:ind w:left="618" w:right="612"/>
        <w:rPr>
          <w:b/>
          <w:bCs/>
          <w:sz w:val="24"/>
          <w:szCs w:val="24"/>
          <w:highlight w:val="none"/>
          <w:lang w:val="en-US"/>
        </w:rPr>
      </w:pPr>
      <w:r>
        <w:rPr>
          <w:rFonts w:hint="eastAsia"/>
          <w:b/>
          <w:bCs/>
          <w:sz w:val="24"/>
          <w:szCs w:val="24"/>
          <w:highlight w:val="none"/>
          <w:lang w:val="en-US"/>
        </w:rPr>
        <w:t>资格索引表</w:t>
      </w:r>
      <w:r>
        <w:rPr>
          <w:rFonts w:hint="eastAsia"/>
          <w:b/>
          <w:bCs/>
          <w:sz w:val="24"/>
          <w:szCs w:val="24"/>
          <w:highlight w:val="none"/>
          <w:lang w:val="en-US"/>
        </w:rPr>
        <w:tab/>
      </w:r>
      <w:r>
        <w:rPr>
          <w:rFonts w:hint="eastAsia"/>
          <w:b/>
          <w:bCs/>
          <w:sz w:val="24"/>
          <w:szCs w:val="24"/>
          <w:highlight w:val="none"/>
          <w:lang w:val="en-US"/>
        </w:rPr>
        <w:t>X</w:t>
      </w:r>
    </w:p>
    <w:p w14:paraId="171918C2">
      <w:pPr>
        <w:tabs>
          <w:tab w:val="left" w:leader="dot" w:pos="9584"/>
        </w:tabs>
        <w:spacing w:line="360" w:lineRule="auto"/>
        <w:ind w:left="618" w:right="612"/>
        <w:rPr>
          <w:b/>
          <w:bCs/>
          <w:sz w:val="24"/>
          <w:szCs w:val="24"/>
          <w:highlight w:val="none"/>
          <w:lang w:val="en-US"/>
        </w:rPr>
      </w:pPr>
      <w:r>
        <w:rPr>
          <w:rFonts w:hint="eastAsia"/>
          <w:b/>
          <w:bCs/>
          <w:sz w:val="24"/>
          <w:szCs w:val="24"/>
          <w:highlight w:val="none"/>
          <w:lang w:val="en-US"/>
        </w:rPr>
        <w:t>二、评分索引表</w:t>
      </w:r>
      <w:r>
        <w:rPr>
          <w:rFonts w:hint="eastAsia"/>
          <w:b/>
          <w:bCs/>
          <w:sz w:val="24"/>
          <w:szCs w:val="24"/>
          <w:highlight w:val="none"/>
          <w:lang w:val="en-US"/>
        </w:rPr>
        <w:tab/>
      </w:r>
      <w:r>
        <w:rPr>
          <w:rFonts w:hint="eastAsia"/>
          <w:b/>
          <w:bCs/>
          <w:sz w:val="24"/>
          <w:szCs w:val="24"/>
          <w:highlight w:val="none"/>
          <w:lang w:val="en-US"/>
        </w:rPr>
        <w:t>X</w:t>
      </w:r>
    </w:p>
    <w:p w14:paraId="17D10165">
      <w:pPr>
        <w:tabs>
          <w:tab w:val="left" w:leader="dot" w:pos="9584"/>
        </w:tabs>
        <w:spacing w:line="360" w:lineRule="auto"/>
        <w:ind w:left="618" w:right="612"/>
        <w:rPr>
          <w:b/>
          <w:bCs/>
          <w:sz w:val="24"/>
          <w:szCs w:val="24"/>
          <w:highlight w:val="none"/>
          <w:lang w:val="en-US"/>
        </w:rPr>
      </w:pPr>
      <w:r>
        <w:rPr>
          <w:rFonts w:hint="eastAsia"/>
          <w:b/>
          <w:bCs/>
          <w:sz w:val="24"/>
          <w:szCs w:val="24"/>
          <w:highlight w:val="none"/>
          <w:lang w:val="en-US"/>
        </w:rPr>
        <w:t>三、商务部分</w:t>
      </w:r>
      <w:r>
        <w:rPr>
          <w:rFonts w:hint="eastAsia"/>
          <w:b/>
          <w:bCs/>
          <w:sz w:val="24"/>
          <w:szCs w:val="24"/>
          <w:highlight w:val="none"/>
          <w:lang w:val="en-US"/>
        </w:rPr>
        <w:tab/>
      </w:r>
      <w:r>
        <w:rPr>
          <w:rFonts w:hint="eastAsia"/>
          <w:b/>
          <w:bCs/>
          <w:sz w:val="24"/>
          <w:szCs w:val="24"/>
          <w:highlight w:val="none"/>
          <w:lang w:val="en-US"/>
        </w:rPr>
        <w:t>X</w:t>
      </w:r>
    </w:p>
    <w:p w14:paraId="19CFE81A">
      <w:pPr>
        <w:tabs>
          <w:tab w:val="left" w:leader="dot" w:pos="9582"/>
        </w:tabs>
        <w:spacing w:line="360" w:lineRule="auto"/>
        <w:ind w:left="618"/>
        <w:rPr>
          <w:sz w:val="24"/>
          <w:szCs w:val="24"/>
          <w:highlight w:val="none"/>
        </w:rPr>
      </w:pPr>
      <w:r>
        <w:rPr>
          <w:rFonts w:hint="eastAsia"/>
          <w:sz w:val="24"/>
          <w:szCs w:val="24"/>
          <w:highlight w:val="none"/>
          <w:lang w:val="en-US"/>
        </w:rPr>
        <w:t>3.</w:t>
      </w:r>
      <w:r>
        <w:rPr>
          <w:sz w:val="24"/>
          <w:szCs w:val="24"/>
          <w:highlight w:val="none"/>
          <w:lang w:val="en-US"/>
        </w:rPr>
        <w:t>1</w:t>
      </w:r>
      <w:r>
        <w:rPr>
          <w:spacing w:val="16"/>
          <w:sz w:val="24"/>
          <w:szCs w:val="24"/>
          <w:highlight w:val="none"/>
        </w:rPr>
        <w:t>、</w:t>
      </w:r>
      <w:r>
        <w:rPr>
          <w:rFonts w:hint="eastAsia"/>
          <w:spacing w:val="14"/>
          <w:sz w:val="24"/>
          <w:szCs w:val="24"/>
          <w:highlight w:val="none"/>
        </w:rPr>
        <w:t>投标函</w:t>
      </w:r>
      <w:r>
        <w:rPr>
          <w:sz w:val="24"/>
          <w:szCs w:val="24"/>
          <w:highlight w:val="none"/>
        </w:rPr>
        <w:tab/>
      </w:r>
      <w:r>
        <w:rPr>
          <w:sz w:val="24"/>
          <w:szCs w:val="24"/>
          <w:highlight w:val="none"/>
        </w:rPr>
        <w:t>X</w:t>
      </w:r>
    </w:p>
    <w:p w14:paraId="487A3DBF">
      <w:pPr>
        <w:tabs>
          <w:tab w:val="left" w:leader="dot" w:pos="9582"/>
        </w:tabs>
        <w:spacing w:line="360" w:lineRule="auto"/>
        <w:ind w:left="618"/>
        <w:rPr>
          <w:sz w:val="24"/>
          <w:szCs w:val="24"/>
          <w:highlight w:val="none"/>
        </w:rPr>
      </w:pPr>
      <w:r>
        <w:rPr>
          <w:rFonts w:hint="eastAsia"/>
          <w:sz w:val="24"/>
          <w:szCs w:val="24"/>
          <w:highlight w:val="none"/>
          <w:lang w:val="en-US"/>
        </w:rPr>
        <w:t>3.2</w:t>
      </w:r>
      <w:r>
        <w:rPr>
          <w:spacing w:val="16"/>
          <w:sz w:val="24"/>
          <w:szCs w:val="24"/>
          <w:highlight w:val="none"/>
        </w:rPr>
        <w:t>、</w:t>
      </w:r>
      <w:r>
        <w:rPr>
          <w:sz w:val="24"/>
          <w:szCs w:val="24"/>
          <w:highlight w:val="none"/>
        </w:rPr>
        <w:t>法定代表人授权委托书及委托代理人的身份证明文件的</w:t>
      </w:r>
      <w:r>
        <w:rPr>
          <w:rFonts w:hint="eastAsia"/>
          <w:sz w:val="24"/>
          <w:szCs w:val="24"/>
          <w:highlight w:val="none"/>
          <w:lang w:val="en-US"/>
        </w:rPr>
        <w:t>扫描件</w:t>
      </w:r>
      <w:r>
        <w:rPr>
          <w:sz w:val="24"/>
          <w:szCs w:val="24"/>
          <w:highlight w:val="none"/>
        </w:rPr>
        <w:tab/>
      </w:r>
      <w:r>
        <w:rPr>
          <w:sz w:val="24"/>
          <w:szCs w:val="24"/>
          <w:highlight w:val="none"/>
        </w:rPr>
        <w:t>X</w:t>
      </w:r>
    </w:p>
    <w:p w14:paraId="71933449">
      <w:pPr>
        <w:tabs>
          <w:tab w:val="left" w:leader="dot" w:pos="9584"/>
        </w:tabs>
        <w:spacing w:line="360" w:lineRule="auto"/>
        <w:ind w:left="618" w:right="612"/>
        <w:rPr>
          <w:sz w:val="24"/>
          <w:szCs w:val="24"/>
          <w:highlight w:val="none"/>
        </w:rPr>
      </w:pPr>
      <w:r>
        <w:rPr>
          <w:rFonts w:hint="eastAsia"/>
          <w:sz w:val="24"/>
          <w:szCs w:val="24"/>
          <w:highlight w:val="none"/>
          <w:lang w:val="en-US"/>
        </w:rPr>
        <w:t>3.3</w:t>
      </w:r>
      <w:r>
        <w:rPr>
          <w:spacing w:val="16"/>
          <w:sz w:val="24"/>
          <w:szCs w:val="24"/>
          <w:highlight w:val="none"/>
        </w:rPr>
        <w:t>、</w:t>
      </w:r>
      <w:r>
        <w:rPr>
          <w:rFonts w:hint="eastAsia"/>
          <w:sz w:val="24"/>
          <w:szCs w:val="24"/>
          <w:highlight w:val="none"/>
          <w:lang w:val="en-US"/>
        </w:rPr>
        <w:t>第一章招标公告中“1.满足《中华人民共和国政府采购法》第二十二条规定”的证明文件</w:t>
      </w:r>
      <w:r>
        <w:rPr>
          <w:sz w:val="24"/>
          <w:szCs w:val="24"/>
          <w:highlight w:val="none"/>
        </w:rPr>
        <w:tab/>
      </w:r>
      <w:r>
        <w:rPr>
          <w:sz w:val="24"/>
          <w:szCs w:val="24"/>
          <w:highlight w:val="none"/>
        </w:rPr>
        <w:t xml:space="preserve">X </w:t>
      </w:r>
    </w:p>
    <w:p w14:paraId="58B3E1B3">
      <w:pPr>
        <w:tabs>
          <w:tab w:val="left" w:leader="dot" w:pos="9584"/>
        </w:tabs>
        <w:spacing w:line="360" w:lineRule="auto"/>
        <w:ind w:left="618" w:right="612"/>
        <w:rPr>
          <w:sz w:val="24"/>
          <w:szCs w:val="24"/>
          <w:highlight w:val="none"/>
        </w:rPr>
      </w:pPr>
      <w:r>
        <w:rPr>
          <w:rFonts w:hint="eastAsia"/>
          <w:sz w:val="24"/>
          <w:szCs w:val="24"/>
          <w:highlight w:val="none"/>
          <w:lang w:val="en-US"/>
        </w:rPr>
        <w:t>3.4</w:t>
      </w:r>
      <w:r>
        <w:rPr>
          <w:spacing w:val="16"/>
          <w:sz w:val="24"/>
          <w:szCs w:val="24"/>
          <w:highlight w:val="none"/>
        </w:rPr>
        <w:t>、</w:t>
      </w:r>
      <w:r>
        <w:rPr>
          <w:rFonts w:hint="eastAsia"/>
          <w:sz w:val="24"/>
          <w:szCs w:val="24"/>
          <w:highlight w:val="none"/>
          <w:lang w:val="en-US"/>
        </w:rPr>
        <w:t>第一章招标公告中“</w:t>
      </w:r>
      <w:r>
        <w:rPr>
          <w:sz w:val="24"/>
          <w:szCs w:val="24"/>
          <w:highlight w:val="none"/>
          <w:lang w:val="en-US"/>
        </w:rPr>
        <w:t>2</w:t>
      </w:r>
      <w:r>
        <w:rPr>
          <w:rFonts w:hint="eastAsia"/>
          <w:sz w:val="24"/>
          <w:szCs w:val="24"/>
          <w:highlight w:val="none"/>
          <w:lang w:val="en-US"/>
        </w:rPr>
        <w:t>.落实政府采购政策需满足的资格要求”的证明文件</w:t>
      </w:r>
      <w:r>
        <w:rPr>
          <w:sz w:val="24"/>
          <w:szCs w:val="24"/>
          <w:highlight w:val="none"/>
        </w:rPr>
        <w:tab/>
      </w:r>
      <w:r>
        <w:rPr>
          <w:spacing w:val="-17"/>
          <w:sz w:val="24"/>
          <w:szCs w:val="24"/>
          <w:highlight w:val="none"/>
        </w:rPr>
        <w:t>X</w:t>
      </w:r>
    </w:p>
    <w:p w14:paraId="651FF84B">
      <w:pPr>
        <w:tabs>
          <w:tab w:val="left" w:leader="dot" w:pos="9584"/>
        </w:tabs>
        <w:spacing w:line="360" w:lineRule="auto"/>
        <w:ind w:left="618" w:right="612"/>
        <w:rPr>
          <w:sz w:val="24"/>
          <w:szCs w:val="24"/>
          <w:highlight w:val="none"/>
        </w:rPr>
      </w:pPr>
      <w:r>
        <w:rPr>
          <w:rFonts w:hint="eastAsia"/>
          <w:sz w:val="24"/>
          <w:szCs w:val="24"/>
          <w:highlight w:val="none"/>
          <w:lang w:val="en-US"/>
        </w:rPr>
        <w:t>3.5</w:t>
      </w:r>
      <w:r>
        <w:rPr>
          <w:spacing w:val="16"/>
          <w:sz w:val="24"/>
          <w:szCs w:val="24"/>
          <w:highlight w:val="none"/>
        </w:rPr>
        <w:t>、</w:t>
      </w:r>
      <w:r>
        <w:rPr>
          <w:rFonts w:hint="eastAsia"/>
          <w:sz w:val="24"/>
          <w:szCs w:val="24"/>
          <w:highlight w:val="none"/>
          <w:lang w:val="en-US"/>
        </w:rPr>
        <w:t>第一章招标公告中“3.本项目的特定资格要求”的证明文件</w:t>
      </w:r>
      <w:r>
        <w:rPr>
          <w:sz w:val="24"/>
          <w:szCs w:val="24"/>
          <w:highlight w:val="none"/>
        </w:rPr>
        <w:tab/>
      </w:r>
      <w:r>
        <w:rPr>
          <w:spacing w:val="-17"/>
          <w:sz w:val="24"/>
          <w:szCs w:val="24"/>
          <w:highlight w:val="none"/>
        </w:rPr>
        <w:t>X</w:t>
      </w:r>
    </w:p>
    <w:p w14:paraId="0C305E4E">
      <w:pPr>
        <w:tabs>
          <w:tab w:val="left" w:leader="dot" w:pos="9582"/>
        </w:tabs>
        <w:spacing w:line="360" w:lineRule="auto"/>
        <w:ind w:left="618"/>
        <w:rPr>
          <w:sz w:val="24"/>
          <w:szCs w:val="24"/>
          <w:highlight w:val="none"/>
          <w:lang w:val="en-US"/>
        </w:rPr>
      </w:pPr>
      <w:r>
        <w:rPr>
          <w:rFonts w:hint="eastAsia"/>
          <w:sz w:val="24"/>
          <w:szCs w:val="24"/>
          <w:highlight w:val="none"/>
          <w:lang w:val="en-US"/>
        </w:rPr>
        <w:t>3.6</w:t>
      </w:r>
      <w:r>
        <w:rPr>
          <w:spacing w:val="16"/>
          <w:sz w:val="24"/>
          <w:szCs w:val="24"/>
          <w:highlight w:val="none"/>
        </w:rPr>
        <w:t>、</w:t>
      </w:r>
      <w:r>
        <w:rPr>
          <w:rFonts w:hint="eastAsia"/>
          <w:sz w:val="24"/>
          <w:szCs w:val="24"/>
          <w:highlight w:val="none"/>
        </w:rPr>
        <w:t>《南京市政府采购供应商信用记录表暨信用承诺书》</w:t>
      </w:r>
      <w:r>
        <w:rPr>
          <w:sz w:val="24"/>
          <w:szCs w:val="24"/>
          <w:highlight w:val="none"/>
        </w:rPr>
        <w:tab/>
      </w:r>
      <w:r>
        <w:rPr>
          <w:rFonts w:hint="eastAsia"/>
          <w:sz w:val="24"/>
          <w:szCs w:val="24"/>
          <w:highlight w:val="none"/>
          <w:lang w:val="en-US"/>
        </w:rPr>
        <w:t>X</w:t>
      </w:r>
    </w:p>
    <w:p w14:paraId="0609B295">
      <w:pPr>
        <w:tabs>
          <w:tab w:val="left" w:leader="dot" w:pos="9582"/>
        </w:tabs>
        <w:spacing w:line="360" w:lineRule="auto"/>
        <w:ind w:left="618"/>
        <w:rPr>
          <w:sz w:val="24"/>
          <w:szCs w:val="24"/>
          <w:highlight w:val="none"/>
          <w:lang w:val="en-US"/>
        </w:rPr>
      </w:pPr>
      <w:r>
        <w:rPr>
          <w:rFonts w:hint="eastAsia"/>
          <w:sz w:val="24"/>
          <w:szCs w:val="24"/>
          <w:highlight w:val="none"/>
          <w:lang w:val="en-US"/>
        </w:rPr>
        <w:t>3.7</w:t>
      </w:r>
      <w:r>
        <w:rPr>
          <w:spacing w:val="16"/>
          <w:sz w:val="24"/>
          <w:szCs w:val="24"/>
          <w:highlight w:val="none"/>
        </w:rPr>
        <w:t>、</w:t>
      </w:r>
      <w:r>
        <w:rPr>
          <w:sz w:val="24"/>
          <w:szCs w:val="24"/>
          <w:highlight w:val="none"/>
        </w:rPr>
        <w:t>《商务条款偏离表》</w:t>
      </w:r>
      <w:r>
        <w:rPr>
          <w:sz w:val="24"/>
          <w:szCs w:val="24"/>
          <w:highlight w:val="none"/>
        </w:rPr>
        <w:tab/>
      </w:r>
      <w:r>
        <w:rPr>
          <w:sz w:val="24"/>
          <w:szCs w:val="24"/>
          <w:highlight w:val="none"/>
        </w:rPr>
        <w:tab/>
      </w:r>
      <w:r>
        <w:rPr>
          <w:rFonts w:hint="eastAsia"/>
          <w:sz w:val="24"/>
          <w:szCs w:val="24"/>
          <w:highlight w:val="none"/>
          <w:lang w:val="en-US"/>
        </w:rPr>
        <w:t>X</w:t>
      </w:r>
    </w:p>
    <w:p w14:paraId="78E33BAB">
      <w:pPr>
        <w:tabs>
          <w:tab w:val="left" w:leader="dot" w:pos="9582"/>
        </w:tabs>
        <w:spacing w:line="360" w:lineRule="auto"/>
        <w:ind w:firstLine="720" w:firstLineChars="300"/>
        <w:rPr>
          <w:sz w:val="24"/>
          <w:szCs w:val="24"/>
          <w:highlight w:val="none"/>
          <w:lang w:val="en-US"/>
        </w:rPr>
      </w:pPr>
      <w:r>
        <w:rPr>
          <w:rFonts w:hint="eastAsia"/>
          <w:sz w:val="24"/>
          <w:szCs w:val="24"/>
          <w:highlight w:val="none"/>
          <w:lang w:val="en-US"/>
        </w:rPr>
        <w:t>3.8</w:t>
      </w:r>
      <w:r>
        <w:rPr>
          <w:rFonts w:hint="eastAsia"/>
          <w:sz w:val="24"/>
          <w:szCs w:val="24"/>
          <w:highlight w:val="none"/>
        </w:rPr>
        <w:t>、投标人认为需要提供的其他</w:t>
      </w:r>
      <w:r>
        <w:rPr>
          <w:rFonts w:hint="eastAsia"/>
          <w:sz w:val="24"/>
          <w:szCs w:val="24"/>
          <w:highlight w:val="none"/>
          <w:lang w:val="en-US"/>
        </w:rPr>
        <w:t>商务</w:t>
      </w:r>
      <w:r>
        <w:rPr>
          <w:rFonts w:hint="eastAsia"/>
          <w:sz w:val="24"/>
          <w:szCs w:val="24"/>
          <w:highlight w:val="none"/>
        </w:rPr>
        <w:t>资料</w:t>
      </w:r>
      <w:r>
        <w:rPr>
          <w:rFonts w:hint="eastAsia"/>
          <w:sz w:val="24"/>
          <w:szCs w:val="24"/>
          <w:highlight w:val="none"/>
        </w:rPr>
        <w:tab/>
      </w:r>
      <w:r>
        <w:rPr>
          <w:rFonts w:hint="eastAsia"/>
          <w:sz w:val="24"/>
          <w:szCs w:val="24"/>
          <w:highlight w:val="none"/>
        </w:rPr>
        <w:t>X</w:t>
      </w:r>
    </w:p>
    <w:p w14:paraId="6BD9D59F">
      <w:pPr>
        <w:tabs>
          <w:tab w:val="left" w:leader="dot" w:pos="9584"/>
        </w:tabs>
        <w:spacing w:line="360" w:lineRule="auto"/>
        <w:ind w:left="618" w:right="612"/>
        <w:rPr>
          <w:b/>
          <w:bCs/>
          <w:sz w:val="24"/>
          <w:szCs w:val="24"/>
          <w:highlight w:val="none"/>
          <w:lang w:val="en-US"/>
        </w:rPr>
      </w:pPr>
      <w:r>
        <w:rPr>
          <w:rFonts w:hint="eastAsia"/>
          <w:b/>
          <w:bCs/>
          <w:sz w:val="24"/>
          <w:szCs w:val="24"/>
          <w:highlight w:val="none"/>
          <w:lang w:val="en-US"/>
        </w:rPr>
        <w:t>四、技术部分</w:t>
      </w:r>
      <w:r>
        <w:rPr>
          <w:rFonts w:hint="eastAsia"/>
          <w:b/>
          <w:bCs/>
          <w:sz w:val="24"/>
          <w:szCs w:val="24"/>
          <w:highlight w:val="none"/>
          <w:lang w:val="en-US"/>
        </w:rPr>
        <w:tab/>
      </w:r>
      <w:r>
        <w:rPr>
          <w:rFonts w:hint="eastAsia"/>
          <w:b/>
          <w:bCs/>
          <w:sz w:val="24"/>
          <w:szCs w:val="24"/>
          <w:highlight w:val="none"/>
          <w:lang w:val="en-US"/>
        </w:rPr>
        <w:t>X</w:t>
      </w:r>
    </w:p>
    <w:p w14:paraId="09199B5E">
      <w:pPr>
        <w:tabs>
          <w:tab w:val="left" w:leader="dot" w:pos="9582"/>
        </w:tabs>
        <w:spacing w:line="360" w:lineRule="auto"/>
        <w:ind w:left="618"/>
        <w:rPr>
          <w:sz w:val="24"/>
          <w:szCs w:val="24"/>
          <w:highlight w:val="none"/>
          <w:lang w:val="en-US"/>
        </w:rPr>
      </w:pPr>
      <w:r>
        <w:rPr>
          <w:rFonts w:hint="eastAsia"/>
          <w:sz w:val="24"/>
          <w:szCs w:val="24"/>
          <w:highlight w:val="none"/>
          <w:lang w:val="en-US"/>
        </w:rPr>
        <w:t>4.1、技术条款偏离表</w:t>
      </w:r>
      <w:r>
        <w:rPr>
          <w:rFonts w:hint="eastAsia"/>
          <w:sz w:val="24"/>
          <w:szCs w:val="24"/>
          <w:highlight w:val="none"/>
          <w:lang w:val="en-US"/>
        </w:rPr>
        <w:tab/>
      </w:r>
      <w:r>
        <w:rPr>
          <w:rFonts w:hint="eastAsia"/>
          <w:sz w:val="24"/>
          <w:szCs w:val="24"/>
          <w:highlight w:val="none"/>
          <w:lang w:val="en-US"/>
        </w:rPr>
        <w:t>X</w:t>
      </w:r>
    </w:p>
    <w:p w14:paraId="02A7006A">
      <w:pPr>
        <w:tabs>
          <w:tab w:val="left" w:leader="dot" w:pos="9582"/>
        </w:tabs>
        <w:spacing w:line="360" w:lineRule="auto"/>
        <w:ind w:left="618"/>
        <w:rPr>
          <w:sz w:val="24"/>
          <w:szCs w:val="24"/>
          <w:highlight w:val="none"/>
          <w:lang w:val="en-US"/>
        </w:rPr>
      </w:pPr>
      <w:r>
        <w:rPr>
          <w:rFonts w:hint="eastAsia"/>
          <w:sz w:val="24"/>
          <w:szCs w:val="24"/>
          <w:highlight w:val="none"/>
          <w:lang w:val="en-US"/>
        </w:rPr>
        <w:t>4.2、评分标准响应材料</w:t>
      </w:r>
      <w:r>
        <w:rPr>
          <w:rFonts w:hint="eastAsia"/>
          <w:sz w:val="24"/>
          <w:szCs w:val="24"/>
          <w:highlight w:val="none"/>
          <w:lang w:val="en-US"/>
        </w:rPr>
        <w:tab/>
      </w:r>
      <w:r>
        <w:rPr>
          <w:rFonts w:hint="eastAsia"/>
          <w:sz w:val="24"/>
          <w:szCs w:val="24"/>
          <w:highlight w:val="none"/>
          <w:lang w:val="en-US"/>
        </w:rPr>
        <w:t>X</w:t>
      </w:r>
    </w:p>
    <w:p w14:paraId="154AC46E">
      <w:pPr>
        <w:tabs>
          <w:tab w:val="left" w:leader="dot" w:pos="9582"/>
        </w:tabs>
        <w:spacing w:line="360" w:lineRule="auto"/>
        <w:ind w:left="618"/>
        <w:rPr>
          <w:sz w:val="24"/>
          <w:szCs w:val="24"/>
          <w:highlight w:val="none"/>
          <w:lang w:val="en-US"/>
        </w:rPr>
      </w:pPr>
      <w:r>
        <w:rPr>
          <w:rFonts w:hint="eastAsia"/>
          <w:sz w:val="24"/>
          <w:szCs w:val="24"/>
          <w:highlight w:val="none"/>
          <w:lang w:val="en-US"/>
        </w:rPr>
        <w:t>4.3、项目服务实施方案</w:t>
      </w:r>
      <w:r>
        <w:rPr>
          <w:rFonts w:hint="eastAsia"/>
          <w:sz w:val="24"/>
          <w:szCs w:val="24"/>
          <w:highlight w:val="none"/>
          <w:lang w:val="en-US"/>
        </w:rPr>
        <w:tab/>
      </w:r>
      <w:r>
        <w:rPr>
          <w:rFonts w:hint="eastAsia"/>
          <w:sz w:val="24"/>
          <w:szCs w:val="24"/>
          <w:highlight w:val="none"/>
          <w:lang w:val="en-US"/>
        </w:rPr>
        <w:tab/>
      </w:r>
      <w:r>
        <w:rPr>
          <w:rFonts w:hint="eastAsia"/>
          <w:sz w:val="24"/>
          <w:szCs w:val="24"/>
          <w:highlight w:val="none"/>
          <w:lang w:val="en-US"/>
        </w:rPr>
        <w:tab/>
      </w:r>
      <w:r>
        <w:rPr>
          <w:rFonts w:hint="eastAsia"/>
          <w:sz w:val="24"/>
          <w:szCs w:val="24"/>
          <w:highlight w:val="none"/>
          <w:lang w:val="en-US"/>
        </w:rPr>
        <w:t>X</w:t>
      </w:r>
    </w:p>
    <w:p w14:paraId="46904AB2">
      <w:pPr>
        <w:tabs>
          <w:tab w:val="left" w:leader="dot" w:pos="9582"/>
        </w:tabs>
        <w:spacing w:line="360" w:lineRule="auto"/>
        <w:ind w:left="618"/>
        <w:rPr>
          <w:sz w:val="24"/>
          <w:szCs w:val="24"/>
          <w:highlight w:val="none"/>
          <w:lang w:val="en-US"/>
        </w:rPr>
      </w:pPr>
      <w:r>
        <w:rPr>
          <w:rFonts w:hint="eastAsia"/>
          <w:sz w:val="24"/>
          <w:szCs w:val="24"/>
          <w:highlight w:val="none"/>
          <w:lang w:val="en-US"/>
        </w:rPr>
        <w:t>4.4、其他服务方案</w:t>
      </w:r>
      <w:r>
        <w:rPr>
          <w:rFonts w:hint="eastAsia"/>
          <w:sz w:val="24"/>
          <w:szCs w:val="24"/>
          <w:highlight w:val="none"/>
          <w:lang w:val="en-US"/>
        </w:rPr>
        <w:tab/>
      </w:r>
      <w:r>
        <w:rPr>
          <w:rFonts w:hint="eastAsia"/>
          <w:sz w:val="24"/>
          <w:szCs w:val="24"/>
          <w:highlight w:val="none"/>
          <w:lang w:val="en-US"/>
        </w:rPr>
        <w:tab/>
      </w:r>
      <w:r>
        <w:rPr>
          <w:rFonts w:hint="eastAsia"/>
          <w:sz w:val="24"/>
          <w:szCs w:val="24"/>
          <w:highlight w:val="none"/>
          <w:lang w:val="en-US"/>
        </w:rPr>
        <w:tab/>
      </w:r>
      <w:r>
        <w:rPr>
          <w:rFonts w:hint="eastAsia"/>
          <w:sz w:val="24"/>
          <w:szCs w:val="24"/>
          <w:highlight w:val="none"/>
          <w:lang w:val="en-US"/>
        </w:rPr>
        <w:t>X</w:t>
      </w:r>
    </w:p>
    <w:p w14:paraId="24178B46">
      <w:pPr>
        <w:tabs>
          <w:tab w:val="left" w:leader="dot" w:pos="9582"/>
        </w:tabs>
        <w:spacing w:line="360" w:lineRule="auto"/>
        <w:ind w:left="618"/>
        <w:rPr>
          <w:sz w:val="24"/>
          <w:szCs w:val="24"/>
          <w:highlight w:val="none"/>
          <w:lang w:val="en-US"/>
        </w:rPr>
      </w:pPr>
      <w:r>
        <w:rPr>
          <w:rFonts w:hint="eastAsia"/>
          <w:sz w:val="24"/>
          <w:szCs w:val="24"/>
          <w:highlight w:val="none"/>
          <w:lang w:val="en-US"/>
        </w:rPr>
        <w:t>4.5、相关表格</w:t>
      </w:r>
      <w:r>
        <w:rPr>
          <w:rFonts w:hint="eastAsia"/>
          <w:sz w:val="24"/>
          <w:szCs w:val="24"/>
          <w:highlight w:val="none"/>
          <w:lang w:val="en-US"/>
        </w:rPr>
        <w:tab/>
      </w:r>
      <w:r>
        <w:rPr>
          <w:rFonts w:hint="eastAsia"/>
          <w:sz w:val="24"/>
          <w:szCs w:val="24"/>
          <w:highlight w:val="none"/>
          <w:lang w:val="en-US"/>
        </w:rPr>
        <w:tab/>
      </w:r>
      <w:r>
        <w:rPr>
          <w:rFonts w:hint="eastAsia"/>
          <w:sz w:val="24"/>
          <w:szCs w:val="24"/>
          <w:highlight w:val="none"/>
          <w:lang w:val="en-US"/>
        </w:rPr>
        <w:tab/>
      </w:r>
      <w:r>
        <w:rPr>
          <w:rFonts w:hint="eastAsia"/>
          <w:sz w:val="24"/>
          <w:szCs w:val="24"/>
          <w:highlight w:val="none"/>
          <w:lang w:val="en-US"/>
        </w:rPr>
        <w:t>X</w:t>
      </w:r>
    </w:p>
    <w:p w14:paraId="30252CDB">
      <w:pPr>
        <w:tabs>
          <w:tab w:val="left" w:leader="dot" w:pos="9582"/>
        </w:tabs>
        <w:spacing w:line="360" w:lineRule="auto"/>
        <w:ind w:firstLine="720" w:firstLineChars="300"/>
        <w:rPr>
          <w:sz w:val="24"/>
          <w:szCs w:val="24"/>
          <w:highlight w:val="none"/>
          <w:lang w:val="en-US"/>
        </w:rPr>
      </w:pPr>
      <w:r>
        <w:rPr>
          <w:rFonts w:hint="eastAsia"/>
          <w:sz w:val="24"/>
          <w:szCs w:val="24"/>
          <w:highlight w:val="none"/>
          <w:lang w:val="en-US"/>
        </w:rPr>
        <w:t>4.6</w:t>
      </w:r>
      <w:r>
        <w:rPr>
          <w:rFonts w:hint="eastAsia"/>
          <w:sz w:val="24"/>
          <w:szCs w:val="24"/>
          <w:highlight w:val="none"/>
        </w:rPr>
        <w:t>、投标人认为需要提供的其他</w:t>
      </w:r>
      <w:r>
        <w:rPr>
          <w:rFonts w:hint="eastAsia"/>
          <w:sz w:val="24"/>
          <w:szCs w:val="24"/>
          <w:highlight w:val="none"/>
          <w:lang w:val="en-US"/>
        </w:rPr>
        <w:t>技术</w:t>
      </w:r>
      <w:r>
        <w:rPr>
          <w:rFonts w:hint="eastAsia"/>
          <w:sz w:val="24"/>
          <w:szCs w:val="24"/>
          <w:highlight w:val="none"/>
        </w:rPr>
        <w:t>资料</w:t>
      </w:r>
      <w:r>
        <w:rPr>
          <w:rFonts w:hint="eastAsia"/>
          <w:sz w:val="24"/>
          <w:szCs w:val="24"/>
          <w:highlight w:val="none"/>
        </w:rPr>
        <w:tab/>
      </w:r>
      <w:r>
        <w:rPr>
          <w:rFonts w:hint="eastAsia"/>
          <w:sz w:val="24"/>
          <w:szCs w:val="24"/>
          <w:highlight w:val="none"/>
        </w:rPr>
        <w:t>X</w:t>
      </w:r>
    </w:p>
    <w:p w14:paraId="6A4E6E0E">
      <w:pPr>
        <w:tabs>
          <w:tab w:val="left" w:leader="dot" w:pos="9584"/>
        </w:tabs>
        <w:spacing w:line="360" w:lineRule="auto"/>
        <w:ind w:left="618" w:right="612"/>
        <w:rPr>
          <w:b/>
          <w:bCs/>
          <w:sz w:val="24"/>
          <w:szCs w:val="24"/>
          <w:highlight w:val="none"/>
          <w:lang w:val="en-US"/>
        </w:rPr>
      </w:pPr>
      <w:r>
        <w:rPr>
          <w:rFonts w:hint="eastAsia"/>
          <w:b/>
          <w:bCs/>
          <w:sz w:val="24"/>
          <w:szCs w:val="24"/>
          <w:highlight w:val="none"/>
          <w:lang w:val="en-US"/>
        </w:rPr>
        <w:t>五、价格部分</w:t>
      </w:r>
      <w:r>
        <w:rPr>
          <w:rFonts w:hint="eastAsia"/>
          <w:b/>
          <w:bCs/>
          <w:sz w:val="24"/>
          <w:szCs w:val="24"/>
          <w:highlight w:val="none"/>
          <w:lang w:val="en-US"/>
        </w:rPr>
        <w:tab/>
      </w:r>
      <w:r>
        <w:rPr>
          <w:rFonts w:hint="eastAsia"/>
          <w:b/>
          <w:bCs/>
          <w:sz w:val="24"/>
          <w:szCs w:val="24"/>
          <w:highlight w:val="none"/>
          <w:lang w:val="en-US"/>
        </w:rPr>
        <w:t>X</w:t>
      </w:r>
    </w:p>
    <w:p w14:paraId="23EC8B88">
      <w:pPr>
        <w:tabs>
          <w:tab w:val="left" w:leader="dot" w:pos="9582"/>
        </w:tabs>
        <w:spacing w:line="360" w:lineRule="auto"/>
        <w:ind w:left="618"/>
        <w:rPr>
          <w:sz w:val="24"/>
          <w:szCs w:val="24"/>
          <w:highlight w:val="none"/>
          <w:lang w:val="en-US"/>
        </w:rPr>
      </w:pPr>
      <w:r>
        <w:rPr>
          <w:rFonts w:hint="eastAsia"/>
          <w:sz w:val="24"/>
          <w:szCs w:val="24"/>
          <w:highlight w:val="none"/>
          <w:lang w:val="en-US"/>
        </w:rPr>
        <w:t>5.1、开标一览表</w:t>
      </w:r>
      <w:r>
        <w:rPr>
          <w:rFonts w:hint="eastAsia"/>
          <w:sz w:val="24"/>
          <w:szCs w:val="24"/>
          <w:highlight w:val="none"/>
          <w:lang w:val="en-US"/>
        </w:rPr>
        <w:tab/>
      </w:r>
      <w:r>
        <w:rPr>
          <w:rFonts w:hint="eastAsia"/>
          <w:sz w:val="24"/>
          <w:szCs w:val="24"/>
          <w:highlight w:val="none"/>
          <w:lang w:val="en-US"/>
        </w:rPr>
        <w:t xml:space="preserve">X </w:t>
      </w:r>
    </w:p>
    <w:p w14:paraId="3811192C">
      <w:pPr>
        <w:tabs>
          <w:tab w:val="left" w:leader="dot" w:pos="9582"/>
        </w:tabs>
        <w:spacing w:line="360" w:lineRule="auto"/>
        <w:ind w:left="618"/>
        <w:rPr>
          <w:sz w:val="24"/>
          <w:szCs w:val="24"/>
          <w:highlight w:val="none"/>
          <w:lang w:val="en-US"/>
        </w:rPr>
      </w:pPr>
      <w:r>
        <w:rPr>
          <w:rFonts w:hint="eastAsia"/>
          <w:sz w:val="24"/>
          <w:szCs w:val="24"/>
          <w:highlight w:val="none"/>
          <w:lang w:val="en-US"/>
        </w:rPr>
        <w:t>5.2、报价明细表</w:t>
      </w:r>
      <w:r>
        <w:rPr>
          <w:rFonts w:hint="eastAsia"/>
          <w:sz w:val="24"/>
          <w:szCs w:val="24"/>
          <w:highlight w:val="none"/>
          <w:lang w:val="en-US"/>
        </w:rPr>
        <w:tab/>
      </w:r>
      <w:r>
        <w:rPr>
          <w:rFonts w:hint="eastAsia"/>
          <w:sz w:val="24"/>
          <w:szCs w:val="24"/>
          <w:highlight w:val="none"/>
          <w:lang w:val="en-US"/>
        </w:rPr>
        <w:t>X</w:t>
      </w:r>
    </w:p>
    <w:p w14:paraId="72DFB441">
      <w:pPr>
        <w:tabs>
          <w:tab w:val="left" w:leader="dot" w:pos="9582"/>
        </w:tabs>
        <w:spacing w:line="360" w:lineRule="auto"/>
        <w:ind w:left="618"/>
        <w:rPr>
          <w:sz w:val="24"/>
          <w:szCs w:val="24"/>
          <w:highlight w:val="none"/>
          <w:lang w:val="en-US"/>
        </w:rPr>
      </w:pPr>
      <w:r>
        <w:rPr>
          <w:rFonts w:hint="eastAsia"/>
          <w:sz w:val="24"/>
          <w:szCs w:val="24"/>
          <w:highlight w:val="none"/>
          <w:lang w:val="en-US"/>
        </w:rPr>
        <w:t>5.3、享受政府采购政策优惠的证明资料和清单表</w:t>
      </w:r>
      <w:r>
        <w:rPr>
          <w:rFonts w:hint="eastAsia"/>
          <w:sz w:val="24"/>
          <w:szCs w:val="24"/>
          <w:highlight w:val="none"/>
          <w:lang w:val="en-US"/>
        </w:rPr>
        <w:tab/>
      </w:r>
      <w:r>
        <w:rPr>
          <w:rFonts w:hint="eastAsia"/>
          <w:sz w:val="24"/>
          <w:szCs w:val="24"/>
          <w:highlight w:val="none"/>
          <w:lang w:val="en-US"/>
        </w:rPr>
        <w:t>X</w:t>
      </w:r>
    </w:p>
    <w:p w14:paraId="3B281C89">
      <w:pPr>
        <w:tabs>
          <w:tab w:val="left" w:leader="dot" w:pos="9584"/>
        </w:tabs>
        <w:spacing w:line="360" w:lineRule="auto"/>
        <w:ind w:left="618" w:right="612"/>
        <w:rPr>
          <w:b/>
          <w:bCs/>
          <w:sz w:val="24"/>
          <w:szCs w:val="24"/>
          <w:highlight w:val="none"/>
          <w:lang w:val="en-US"/>
        </w:rPr>
      </w:pPr>
      <w:r>
        <w:rPr>
          <w:rFonts w:hint="eastAsia"/>
          <w:b/>
          <w:bCs/>
          <w:sz w:val="24"/>
          <w:szCs w:val="24"/>
          <w:highlight w:val="none"/>
          <w:lang w:val="en-US"/>
        </w:rPr>
        <w:t>六、其他部分</w:t>
      </w:r>
      <w:r>
        <w:rPr>
          <w:rFonts w:hint="eastAsia"/>
          <w:b/>
          <w:bCs/>
          <w:sz w:val="24"/>
          <w:szCs w:val="24"/>
          <w:highlight w:val="none"/>
          <w:lang w:val="en-US"/>
        </w:rPr>
        <w:tab/>
      </w:r>
      <w:r>
        <w:rPr>
          <w:rFonts w:hint="eastAsia"/>
          <w:b/>
          <w:bCs/>
          <w:sz w:val="24"/>
          <w:szCs w:val="24"/>
          <w:highlight w:val="none"/>
          <w:lang w:val="en-US"/>
        </w:rPr>
        <w:t>X</w:t>
      </w:r>
    </w:p>
    <w:p w14:paraId="5732B0F6">
      <w:pPr>
        <w:pStyle w:val="11"/>
        <w:spacing w:line="360" w:lineRule="auto"/>
        <w:ind w:left="0" w:leftChars="0"/>
        <w:rPr>
          <w:sz w:val="24"/>
          <w:szCs w:val="24"/>
          <w:highlight w:val="none"/>
        </w:rPr>
      </w:pPr>
    </w:p>
    <w:p w14:paraId="4AC35280">
      <w:pPr>
        <w:spacing w:line="360" w:lineRule="auto"/>
        <w:rPr>
          <w:sz w:val="24"/>
          <w:szCs w:val="24"/>
          <w:highlight w:val="none"/>
        </w:rPr>
      </w:pPr>
    </w:p>
    <w:p w14:paraId="0529AE6A">
      <w:pPr>
        <w:pStyle w:val="3"/>
        <w:spacing w:line="360" w:lineRule="auto"/>
        <w:ind w:left="0" w:firstLine="0"/>
        <w:jc w:val="both"/>
        <w:rPr>
          <w:sz w:val="24"/>
          <w:szCs w:val="24"/>
          <w:highlight w:val="none"/>
          <w:u w:val="none"/>
          <w:lang w:val="en-US"/>
        </w:rPr>
      </w:pPr>
      <w:bookmarkStart w:id="86" w:name="_Toc225524683"/>
      <w:r>
        <w:rPr>
          <w:rFonts w:hint="eastAsia"/>
          <w:sz w:val="24"/>
          <w:szCs w:val="24"/>
          <w:highlight w:val="none"/>
          <w:u w:val="none"/>
          <w:lang w:val="en-US"/>
        </w:rPr>
        <w:t>一、资格索引表：</w:t>
      </w:r>
      <w:bookmarkEnd w:id="86"/>
    </w:p>
    <w:tbl>
      <w:tblPr>
        <w:tblStyle w:val="21"/>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66"/>
        <w:gridCol w:w="2993"/>
      </w:tblGrid>
      <w:tr w14:paraId="296C6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6566" w:type="dxa"/>
            <w:tcBorders>
              <w:top w:val="single" w:color="000000" w:sz="4" w:space="0"/>
              <w:left w:val="single" w:color="000000" w:sz="4" w:space="0"/>
              <w:bottom w:val="single" w:color="000000" w:sz="4" w:space="0"/>
              <w:right w:val="single" w:color="000000" w:sz="4" w:space="0"/>
            </w:tcBorders>
            <w:noWrap/>
            <w:vAlign w:val="center"/>
          </w:tcPr>
          <w:p w14:paraId="717B1505">
            <w:pPr>
              <w:pStyle w:val="29"/>
              <w:spacing w:before="120" w:line="360" w:lineRule="auto"/>
              <w:jc w:val="both"/>
              <w:rPr>
                <w:b/>
                <w:kern w:val="2"/>
                <w:sz w:val="24"/>
                <w:szCs w:val="24"/>
                <w:highlight w:val="none"/>
                <w:lang w:val="en-US"/>
              </w:rPr>
            </w:pPr>
            <w:r>
              <w:rPr>
                <w:rFonts w:hint="eastAsia"/>
                <w:b/>
                <w:kern w:val="2"/>
                <w:sz w:val="24"/>
                <w:szCs w:val="24"/>
                <w:highlight w:val="none"/>
                <w:lang w:val="en-US"/>
              </w:rPr>
              <w:t>审查项目名称</w:t>
            </w:r>
          </w:p>
        </w:tc>
        <w:tc>
          <w:tcPr>
            <w:tcW w:w="2993" w:type="dxa"/>
            <w:tcBorders>
              <w:top w:val="single" w:color="000000" w:sz="4" w:space="0"/>
              <w:left w:val="single" w:color="000000" w:sz="4" w:space="0"/>
              <w:bottom w:val="single" w:color="000000" w:sz="4" w:space="0"/>
              <w:right w:val="single" w:color="000000" w:sz="4" w:space="0"/>
            </w:tcBorders>
            <w:noWrap/>
            <w:vAlign w:val="center"/>
          </w:tcPr>
          <w:p w14:paraId="6F5DA3F2">
            <w:pPr>
              <w:pStyle w:val="29"/>
              <w:spacing w:before="120" w:line="360" w:lineRule="auto"/>
              <w:jc w:val="center"/>
              <w:rPr>
                <w:b/>
                <w:kern w:val="2"/>
                <w:sz w:val="24"/>
                <w:szCs w:val="24"/>
                <w:highlight w:val="none"/>
                <w:lang w:val="en-US"/>
              </w:rPr>
            </w:pPr>
            <w:r>
              <w:rPr>
                <w:rFonts w:hint="eastAsia"/>
                <w:b/>
                <w:kern w:val="2"/>
                <w:sz w:val="24"/>
                <w:szCs w:val="24"/>
                <w:highlight w:val="none"/>
                <w:lang w:val="en-US"/>
              </w:rPr>
              <w:t>在投标文件中的页码位置</w:t>
            </w:r>
          </w:p>
        </w:tc>
      </w:tr>
      <w:tr w14:paraId="59380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6566" w:type="dxa"/>
            <w:tcBorders>
              <w:top w:val="single" w:color="000000" w:sz="4" w:space="0"/>
              <w:left w:val="single" w:color="000000" w:sz="4" w:space="0"/>
              <w:bottom w:val="single" w:color="000000" w:sz="4" w:space="0"/>
              <w:right w:val="single" w:color="000000" w:sz="4" w:space="0"/>
            </w:tcBorders>
            <w:noWrap/>
            <w:vAlign w:val="center"/>
          </w:tcPr>
          <w:p w14:paraId="4B3EEA68">
            <w:pPr>
              <w:pStyle w:val="29"/>
              <w:spacing w:before="120" w:line="360" w:lineRule="auto"/>
              <w:rPr>
                <w:bCs/>
                <w:kern w:val="2"/>
                <w:sz w:val="24"/>
                <w:szCs w:val="24"/>
                <w:highlight w:val="none"/>
                <w:lang w:val="en-US"/>
              </w:rPr>
            </w:pPr>
            <w:r>
              <w:rPr>
                <w:rFonts w:hint="eastAsia"/>
                <w:bCs/>
                <w:kern w:val="2"/>
                <w:sz w:val="24"/>
                <w:szCs w:val="24"/>
                <w:highlight w:val="none"/>
                <w:lang w:val="en-US"/>
              </w:rPr>
              <w:t>投标函</w:t>
            </w:r>
          </w:p>
        </w:tc>
        <w:tc>
          <w:tcPr>
            <w:tcW w:w="2993" w:type="dxa"/>
            <w:tcBorders>
              <w:top w:val="single" w:color="000000" w:sz="4" w:space="0"/>
              <w:left w:val="single" w:color="000000" w:sz="4" w:space="0"/>
              <w:bottom w:val="single" w:color="000000" w:sz="4" w:space="0"/>
              <w:right w:val="single" w:color="000000" w:sz="4" w:space="0"/>
            </w:tcBorders>
            <w:noWrap/>
            <w:vAlign w:val="center"/>
          </w:tcPr>
          <w:p w14:paraId="74279302">
            <w:pPr>
              <w:pStyle w:val="29"/>
              <w:spacing w:before="120" w:line="360" w:lineRule="auto"/>
              <w:jc w:val="center"/>
              <w:rPr>
                <w:b/>
                <w:kern w:val="2"/>
                <w:sz w:val="24"/>
                <w:szCs w:val="24"/>
                <w:highlight w:val="none"/>
                <w:lang w:val="en-US"/>
              </w:rPr>
            </w:pPr>
          </w:p>
        </w:tc>
      </w:tr>
      <w:tr w14:paraId="0165A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6566" w:type="dxa"/>
            <w:tcBorders>
              <w:top w:val="single" w:color="000000" w:sz="4" w:space="0"/>
              <w:left w:val="single" w:color="000000" w:sz="4" w:space="0"/>
              <w:bottom w:val="single" w:color="000000" w:sz="4" w:space="0"/>
              <w:right w:val="single" w:color="000000" w:sz="4" w:space="0"/>
            </w:tcBorders>
            <w:noWrap/>
            <w:vAlign w:val="center"/>
          </w:tcPr>
          <w:p w14:paraId="2CB810A2">
            <w:pPr>
              <w:pStyle w:val="29"/>
              <w:spacing w:before="120" w:line="360" w:lineRule="auto"/>
              <w:rPr>
                <w:kern w:val="2"/>
                <w:sz w:val="24"/>
                <w:szCs w:val="24"/>
                <w:highlight w:val="none"/>
                <w:lang w:val="en-US"/>
              </w:rPr>
            </w:pPr>
            <w:r>
              <w:rPr>
                <w:rFonts w:hint="eastAsia"/>
                <w:kern w:val="2"/>
                <w:sz w:val="24"/>
                <w:szCs w:val="24"/>
                <w:highlight w:val="none"/>
                <w:lang w:val="en-US"/>
              </w:rPr>
              <w:t>法定代表人授权委托书及委托代理人的身份证明文件的</w:t>
            </w:r>
            <w:r>
              <w:rPr>
                <w:rFonts w:hint="eastAsia"/>
                <w:sz w:val="24"/>
                <w:szCs w:val="24"/>
                <w:highlight w:val="none"/>
                <w:lang w:val="en-US"/>
              </w:rPr>
              <w:t>扫描件</w:t>
            </w:r>
          </w:p>
        </w:tc>
        <w:tc>
          <w:tcPr>
            <w:tcW w:w="2993" w:type="dxa"/>
            <w:tcBorders>
              <w:top w:val="single" w:color="000000" w:sz="4" w:space="0"/>
              <w:left w:val="single" w:color="000000" w:sz="4" w:space="0"/>
              <w:bottom w:val="single" w:color="000000" w:sz="4" w:space="0"/>
              <w:right w:val="single" w:color="000000" w:sz="4" w:space="0"/>
            </w:tcBorders>
            <w:noWrap/>
            <w:vAlign w:val="center"/>
          </w:tcPr>
          <w:p w14:paraId="16153FB8">
            <w:pPr>
              <w:pStyle w:val="29"/>
              <w:spacing w:before="120" w:line="360" w:lineRule="auto"/>
              <w:jc w:val="center"/>
              <w:rPr>
                <w:b/>
                <w:kern w:val="2"/>
                <w:sz w:val="24"/>
                <w:szCs w:val="24"/>
                <w:highlight w:val="none"/>
                <w:lang w:val="en-US"/>
              </w:rPr>
            </w:pPr>
          </w:p>
        </w:tc>
      </w:tr>
      <w:tr w14:paraId="3FD08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6566" w:type="dxa"/>
            <w:tcBorders>
              <w:top w:val="single" w:color="000000" w:sz="4" w:space="0"/>
              <w:left w:val="single" w:color="000000" w:sz="4" w:space="0"/>
              <w:bottom w:val="single" w:color="000000" w:sz="4" w:space="0"/>
              <w:right w:val="single" w:color="000000" w:sz="4" w:space="0"/>
            </w:tcBorders>
            <w:noWrap/>
          </w:tcPr>
          <w:p w14:paraId="596F42E1">
            <w:pPr>
              <w:pStyle w:val="29"/>
              <w:spacing w:before="120" w:line="360" w:lineRule="auto"/>
              <w:rPr>
                <w:kern w:val="2"/>
                <w:sz w:val="24"/>
                <w:szCs w:val="24"/>
                <w:highlight w:val="none"/>
                <w:lang w:val="en-US"/>
              </w:rPr>
            </w:pPr>
            <w:r>
              <w:rPr>
                <w:rFonts w:hint="eastAsia"/>
                <w:kern w:val="2"/>
                <w:sz w:val="24"/>
                <w:szCs w:val="24"/>
                <w:highlight w:val="none"/>
              </w:rPr>
              <w:t>具有独立承担民事责任的能力</w:t>
            </w:r>
          </w:p>
        </w:tc>
        <w:tc>
          <w:tcPr>
            <w:tcW w:w="2993" w:type="dxa"/>
            <w:tcBorders>
              <w:top w:val="single" w:color="000000" w:sz="4" w:space="0"/>
              <w:left w:val="single" w:color="000000" w:sz="4" w:space="0"/>
              <w:bottom w:val="single" w:color="000000" w:sz="4" w:space="0"/>
              <w:right w:val="single" w:color="000000" w:sz="4" w:space="0"/>
            </w:tcBorders>
            <w:noWrap/>
            <w:vAlign w:val="center"/>
          </w:tcPr>
          <w:p w14:paraId="6DF54A2B">
            <w:pPr>
              <w:pStyle w:val="29"/>
              <w:spacing w:before="120" w:line="360" w:lineRule="auto"/>
              <w:jc w:val="center"/>
              <w:rPr>
                <w:b/>
                <w:kern w:val="2"/>
                <w:sz w:val="24"/>
                <w:szCs w:val="24"/>
                <w:highlight w:val="none"/>
                <w:lang w:val="en-US"/>
              </w:rPr>
            </w:pPr>
          </w:p>
        </w:tc>
      </w:tr>
      <w:tr w14:paraId="71FD7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6566" w:type="dxa"/>
            <w:tcBorders>
              <w:top w:val="single" w:color="000000" w:sz="4" w:space="0"/>
              <w:left w:val="single" w:color="000000" w:sz="4" w:space="0"/>
              <w:bottom w:val="single" w:color="000000" w:sz="4" w:space="0"/>
              <w:right w:val="single" w:color="000000" w:sz="4" w:space="0"/>
            </w:tcBorders>
            <w:noWrap/>
          </w:tcPr>
          <w:p w14:paraId="444101E8">
            <w:pPr>
              <w:pStyle w:val="29"/>
              <w:spacing w:before="120" w:line="360" w:lineRule="auto"/>
              <w:rPr>
                <w:kern w:val="2"/>
                <w:sz w:val="24"/>
                <w:szCs w:val="24"/>
                <w:highlight w:val="none"/>
                <w:lang w:val="en-US"/>
              </w:rPr>
            </w:pPr>
            <w:r>
              <w:rPr>
                <w:rFonts w:hint="eastAsia"/>
                <w:kern w:val="2"/>
                <w:sz w:val="24"/>
                <w:szCs w:val="24"/>
                <w:highlight w:val="none"/>
              </w:rPr>
              <w:t>具有良好的商业信誉和健全的财务会计制度</w:t>
            </w:r>
          </w:p>
        </w:tc>
        <w:tc>
          <w:tcPr>
            <w:tcW w:w="2993" w:type="dxa"/>
            <w:tcBorders>
              <w:top w:val="single" w:color="000000" w:sz="4" w:space="0"/>
              <w:left w:val="single" w:color="000000" w:sz="4" w:space="0"/>
              <w:bottom w:val="single" w:color="000000" w:sz="4" w:space="0"/>
              <w:right w:val="single" w:color="000000" w:sz="4" w:space="0"/>
            </w:tcBorders>
            <w:noWrap/>
            <w:vAlign w:val="center"/>
          </w:tcPr>
          <w:p w14:paraId="6B26197D">
            <w:pPr>
              <w:pStyle w:val="29"/>
              <w:spacing w:before="120" w:line="360" w:lineRule="auto"/>
              <w:jc w:val="center"/>
              <w:rPr>
                <w:b/>
                <w:kern w:val="2"/>
                <w:sz w:val="24"/>
                <w:szCs w:val="24"/>
                <w:highlight w:val="none"/>
                <w:lang w:val="en-US"/>
              </w:rPr>
            </w:pPr>
          </w:p>
        </w:tc>
      </w:tr>
      <w:tr w14:paraId="4DF54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6566" w:type="dxa"/>
            <w:tcBorders>
              <w:top w:val="single" w:color="000000" w:sz="4" w:space="0"/>
              <w:left w:val="single" w:color="000000" w:sz="4" w:space="0"/>
              <w:bottom w:val="single" w:color="000000" w:sz="4" w:space="0"/>
              <w:right w:val="single" w:color="000000" w:sz="4" w:space="0"/>
            </w:tcBorders>
            <w:noWrap/>
          </w:tcPr>
          <w:p w14:paraId="4F8BD9AC">
            <w:pPr>
              <w:pStyle w:val="29"/>
              <w:spacing w:before="120" w:line="360" w:lineRule="auto"/>
              <w:rPr>
                <w:kern w:val="2"/>
                <w:sz w:val="24"/>
                <w:szCs w:val="24"/>
                <w:highlight w:val="none"/>
                <w:lang w:val="en-US"/>
              </w:rPr>
            </w:pPr>
            <w:r>
              <w:rPr>
                <w:rFonts w:hint="eastAsia"/>
                <w:kern w:val="2"/>
                <w:sz w:val="24"/>
                <w:szCs w:val="24"/>
                <w:highlight w:val="none"/>
              </w:rPr>
              <w:t>具有履行合同所必需的设备和专业技术能力</w:t>
            </w:r>
          </w:p>
        </w:tc>
        <w:tc>
          <w:tcPr>
            <w:tcW w:w="2993" w:type="dxa"/>
            <w:tcBorders>
              <w:top w:val="single" w:color="000000" w:sz="4" w:space="0"/>
              <w:left w:val="single" w:color="000000" w:sz="4" w:space="0"/>
              <w:bottom w:val="single" w:color="000000" w:sz="4" w:space="0"/>
              <w:right w:val="single" w:color="000000" w:sz="4" w:space="0"/>
            </w:tcBorders>
            <w:noWrap/>
            <w:vAlign w:val="center"/>
          </w:tcPr>
          <w:p w14:paraId="076EDC87">
            <w:pPr>
              <w:pStyle w:val="29"/>
              <w:spacing w:before="120" w:line="360" w:lineRule="auto"/>
              <w:jc w:val="center"/>
              <w:rPr>
                <w:b/>
                <w:kern w:val="2"/>
                <w:sz w:val="24"/>
                <w:szCs w:val="24"/>
                <w:highlight w:val="none"/>
                <w:lang w:val="en-US"/>
              </w:rPr>
            </w:pPr>
          </w:p>
        </w:tc>
      </w:tr>
      <w:tr w14:paraId="59601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6566" w:type="dxa"/>
            <w:tcBorders>
              <w:top w:val="single" w:color="000000" w:sz="4" w:space="0"/>
              <w:left w:val="single" w:color="000000" w:sz="4" w:space="0"/>
              <w:bottom w:val="single" w:color="000000" w:sz="4" w:space="0"/>
              <w:right w:val="single" w:color="000000" w:sz="4" w:space="0"/>
            </w:tcBorders>
            <w:noWrap/>
          </w:tcPr>
          <w:p w14:paraId="5FCEE169">
            <w:pPr>
              <w:pStyle w:val="29"/>
              <w:spacing w:before="120" w:line="360" w:lineRule="auto"/>
              <w:rPr>
                <w:kern w:val="2"/>
                <w:sz w:val="24"/>
                <w:szCs w:val="24"/>
                <w:highlight w:val="none"/>
                <w:lang w:val="en-US"/>
              </w:rPr>
            </w:pPr>
            <w:r>
              <w:rPr>
                <w:rFonts w:hint="eastAsia"/>
                <w:kern w:val="2"/>
                <w:sz w:val="24"/>
                <w:szCs w:val="24"/>
                <w:highlight w:val="none"/>
              </w:rPr>
              <w:t>有依法缴纳税收和社会保障资金的良好记录</w:t>
            </w:r>
          </w:p>
        </w:tc>
        <w:tc>
          <w:tcPr>
            <w:tcW w:w="2993" w:type="dxa"/>
            <w:tcBorders>
              <w:top w:val="single" w:color="000000" w:sz="4" w:space="0"/>
              <w:left w:val="single" w:color="000000" w:sz="4" w:space="0"/>
              <w:bottom w:val="single" w:color="000000" w:sz="4" w:space="0"/>
              <w:right w:val="single" w:color="000000" w:sz="4" w:space="0"/>
            </w:tcBorders>
            <w:noWrap/>
            <w:vAlign w:val="center"/>
          </w:tcPr>
          <w:p w14:paraId="10D6DE71">
            <w:pPr>
              <w:pStyle w:val="29"/>
              <w:spacing w:before="120" w:line="360" w:lineRule="auto"/>
              <w:jc w:val="center"/>
              <w:rPr>
                <w:b/>
                <w:kern w:val="2"/>
                <w:sz w:val="24"/>
                <w:szCs w:val="24"/>
                <w:highlight w:val="none"/>
                <w:lang w:val="en-US"/>
              </w:rPr>
            </w:pPr>
          </w:p>
        </w:tc>
      </w:tr>
      <w:tr w14:paraId="52B99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6566" w:type="dxa"/>
            <w:tcBorders>
              <w:top w:val="single" w:color="000000" w:sz="4" w:space="0"/>
              <w:left w:val="single" w:color="000000" w:sz="4" w:space="0"/>
              <w:bottom w:val="single" w:color="000000" w:sz="4" w:space="0"/>
              <w:right w:val="single" w:color="000000" w:sz="4" w:space="0"/>
            </w:tcBorders>
            <w:noWrap/>
          </w:tcPr>
          <w:p w14:paraId="57D3A71D">
            <w:pPr>
              <w:pStyle w:val="29"/>
              <w:spacing w:before="120" w:line="360" w:lineRule="auto"/>
              <w:rPr>
                <w:kern w:val="2"/>
                <w:sz w:val="24"/>
                <w:szCs w:val="24"/>
                <w:highlight w:val="none"/>
                <w:lang w:val="en-US"/>
              </w:rPr>
            </w:pPr>
            <w:r>
              <w:rPr>
                <w:rFonts w:hint="eastAsia"/>
                <w:kern w:val="2"/>
                <w:sz w:val="24"/>
                <w:szCs w:val="24"/>
                <w:highlight w:val="none"/>
              </w:rPr>
              <w:t>参加政府采购活动前三年内，在经营活动中没有重大违法记录</w:t>
            </w:r>
          </w:p>
        </w:tc>
        <w:tc>
          <w:tcPr>
            <w:tcW w:w="2993" w:type="dxa"/>
            <w:tcBorders>
              <w:top w:val="single" w:color="000000" w:sz="4" w:space="0"/>
              <w:left w:val="single" w:color="000000" w:sz="4" w:space="0"/>
              <w:bottom w:val="single" w:color="000000" w:sz="4" w:space="0"/>
              <w:right w:val="single" w:color="000000" w:sz="4" w:space="0"/>
            </w:tcBorders>
            <w:noWrap/>
            <w:vAlign w:val="center"/>
          </w:tcPr>
          <w:p w14:paraId="55BC35FD">
            <w:pPr>
              <w:pStyle w:val="29"/>
              <w:spacing w:before="120" w:line="360" w:lineRule="auto"/>
              <w:jc w:val="center"/>
              <w:rPr>
                <w:b/>
                <w:kern w:val="2"/>
                <w:sz w:val="24"/>
                <w:szCs w:val="24"/>
                <w:highlight w:val="none"/>
                <w:lang w:val="en-US"/>
              </w:rPr>
            </w:pPr>
          </w:p>
        </w:tc>
      </w:tr>
      <w:tr w14:paraId="2772A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6566" w:type="dxa"/>
            <w:tcBorders>
              <w:top w:val="single" w:color="000000" w:sz="4" w:space="0"/>
              <w:left w:val="single" w:color="000000" w:sz="4" w:space="0"/>
              <w:bottom w:val="single" w:color="000000" w:sz="4" w:space="0"/>
              <w:right w:val="single" w:color="000000" w:sz="4" w:space="0"/>
            </w:tcBorders>
            <w:noWrap/>
          </w:tcPr>
          <w:p w14:paraId="00965485">
            <w:pPr>
              <w:pStyle w:val="29"/>
              <w:spacing w:before="120" w:line="360" w:lineRule="auto"/>
              <w:rPr>
                <w:kern w:val="2"/>
                <w:sz w:val="24"/>
                <w:szCs w:val="24"/>
                <w:highlight w:val="none"/>
                <w:lang w:val="en-US"/>
              </w:rPr>
            </w:pPr>
            <w:r>
              <w:rPr>
                <w:rFonts w:hint="eastAsia"/>
                <w:kern w:val="2"/>
                <w:sz w:val="24"/>
                <w:szCs w:val="24"/>
                <w:highlight w:val="none"/>
              </w:rPr>
              <w:t>法律、行政法规规定的其他条件</w:t>
            </w:r>
          </w:p>
        </w:tc>
        <w:tc>
          <w:tcPr>
            <w:tcW w:w="2993" w:type="dxa"/>
            <w:tcBorders>
              <w:top w:val="single" w:color="000000" w:sz="4" w:space="0"/>
              <w:left w:val="single" w:color="000000" w:sz="4" w:space="0"/>
              <w:bottom w:val="single" w:color="000000" w:sz="4" w:space="0"/>
              <w:right w:val="single" w:color="000000" w:sz="4" w:space="0"/>
            </w:tcBorders>
            <w:noWrap/>
            <w:vAlign w:val="center"/>
          </w:tcPr>
          <w:p w14:paraId="71F0EC85">
            <w:pPr>
              <w:pStyle w:val="29"/>
              <w:spacing w:before="120" w:line="360" w:lineRule="auto"/>
              <w:jc w:val="center"/>
              <w:rPr>
                <w:b/>
                <w:kern w:val="2"/>
                <w:sz w:val="24"/>
                <w:szCs w:val="24"/>
                <w:highlight w:val="none"/>
                <w:lang w:val="en-US"/>
              </w:rPr>
            </w:pPr>
          </w:p>
        </w:tc>
      </w:tr>
      <w:tr w14:paraId="02F47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1" w:hRule="atLeast"/>
          <w:jc w:val="center"/>
        </w:trPr>
        <w:tc>
          <w:tcPr>
            <w:tcW w:w="6566" w:type="dxa"/>
            <w:tcBorders>
              <w:top w:val="single" w:color="000000" w:sz="4" w:space="0"/>
              <w:left w:val="single" w:color="000000" w:sz="4" w:space="0"/>
              <w:bottom w:val="single" w:color="000000" w:sz="4" w:space="0"/>
              <w:right w:val="single" w:color="000000" w:sz="4" w:space="0"/>
            </w:tcBorders>
            <w:noWrap/>
            <w:vAlign w:val="center"/>
          </w:tcPr>
          <w:p w14:paraId="1296783B">
            <w:pPr>
              <w:pStyle w:val="29"/>
              <w:spacing w:before="120" w:line="360" w:lineRule="auto"/>
              <w:rPr>
                <w:kern w:val="2"/>
                <w:sz w:val="24"/>
                <w:szCs w:val="24"/>
                <w:highlight w:val="none"/>
              </w:rPr>
            </w:pPr>
            <w:r>
              <w:rPr>
                <w:rFonts w:hint="eastAsia"/>
                <w:kern w:val="2"/>
                <w:sz w:val="24"/>
                <w:szCs w:val="24"/>
                <w:highlight w:val="none"/>
              </w:rPr>
              <w:t>第一章招标公告中“2.落实政府采购政策需满足的资格要求”的证明文件（若有）</w:t>
            </w:r>
          </w:p>
        </w:tc>
        <w:tc>
          <w:tcPr>
            <w:tcW w:w="2993" w:type="dxa"/>
            <w:tcBorders>
              <w:top w:val="single" w:color="000000" w:sz="4" w:space="0"/>
              <w:left w:val="single" w:color="000000" w:sz="4" w:space="0"/>
              <w:bottom w:val="single" w:color="000000" w:sz="4" w:space="0"/>
              <w:right w:val="single" w:color="000000" w:sz="4" w:space="0"/>
            </w:tcBorders>
            <w:noWrap/>
            <w:vAlign w:val="center"/>
          </w:tcPr>
          <w:p w14:paraId="11061557">
            <w:pPr>
              <w:pStyle w:val="29"/>
              <w:spacing w:before="120" w:line="360" w:lineRule="auto"/>
              <w:jc w:val="center"/>
              <w:rPr>
                <w:b/>
                <w:kern w:val="2"/>
                <w:sz w:val="24"/>
                <w:szCs w:val="24"/>
                <w:highlight w:val="none"/>
                <w:lang w:val="en-US"/>
              </w:rPr>
            </w:pPr>
          </w:p>
        </w:tc>
      </w:tr>
      <w:tr w14:paraId="30484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1" w:hRule="atLeast"/>
          <w:jc w:val="center"/>
        </w:trPr>
        <w:tc>
          <w:tcPr>
            <w:tcW w:w="6566" w:type="dxa"/>
            <w:tcBorders>
              <w:top w:val="single" w:color="000000" w:sz="4" w:space="0"/>
              <w:left w:val="single" w:color="000000" w:sz="4" w:space="0"/>
              <w:bottom w:val="single" w:color="000000" w:sz="4" w:space="0"/>
              <w:right w:val="single" w:color="000000" w:sz="4" w:space="0"/>
            </w:tcBorders>
            <w:noWrap/>
            <w:vAlign w:val="center"/>
          </w:tcPr>
          <w:p w14:paraId="4B8AC81D">
            <w:pPr>
              <w:pStyle w:val="29"/>
              <w:spacing w:before="120" w:line="360" w:lineRule="auto"/>
              <w:rPr>
                <w:bCs/>
                <w:kern w:val="2"/>
                <w:sz w:val="24"/>
                <w:szCs w:val="24"/>
                <w:highlight w:val="none"/>
                <w:lang w:val="en-US"/>
              </w:rPr>
            </w:pPr>
            <w:r>
              <w:rPr>
                <w:rFonts w:hint="eastAsia"/>
                <w:kern w:val="2"/>
                <w:sz w:val="24"/>
                <w:szCs w:val="24"/>
                <w:highlight w:val="none"/>
              </w:rPr>
              <w:t>第一章招标公告中“3.本项目的特定资格要求”的证明文件；</w:t>
            </w:r>
            <w:r>
              <w:rPr>
                <w:rFonts w:hint="eastAsia"/>
                <w:bCs/>
                <w:kern w:val="2"/>
                <w:sz w:val="24"/>
                <w:szCs w:val="24"/>
                <w:highlight w:val="none"/>
                <w:lang w:val="en-US"/>
              </w:rPr>
              <w:t>（若有）</w:t>
            </w:r>
          </w:p>
        </w:tc>
        <w:tc>
          <w:tcPr>
            <w:tcW w:w="2993" w:type="dxa"/>
            <w:tcBorders>
              <w:top w:val="single" w:color="000000" w:sz="4" w:space="0"/>
              <w:left w:val="single" w:color="000000" w:sz="4" w:space="0"/>
              <w:bottom w:val="single" w:color="000000" w:sz="4" w:space="0"/>
              <w:right w:val="single" w:color="000000" w:sz="4" w:space="0"/>
            </w:tcBorders>
            <w:noWrap/>
            <w:vAlign w:val="center"/>
          </w:tcPr>
          <w:p w14:paraId="70BFC939">
            <w:pPr>
              <w:pStyle w:val="29"/>
              <w:spacing w:before="120" w:line="360" w:lineRule="auto"/>
              <w:jc w:val="center"/>
              <w:rPr>
                <w:b/>
                <w:kern w:val="2"/>
                <w:sz w:val="24"/>
                <w:szCs w:val="24"/>
                <w:highlight w:val="none"/>
                <w:lang w:val="en-US"/>
              </w:rPr>
            </w:pPr>
          </w:p>
        </w:tc>
      </w:tr>
      <w:tr w14:paraId="0890D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6566" w:type="dxa"/>
            <w:tcBorders>
              <w:top w:val="single" w:color="000000" w:sz="4" w:space="0"/>
              <w:left w:val="single" w:color="000000" w:sz="4" w:space="0"/>
              <w:bottom w:val="single" w:color="000000" w:sz="4" w:space="0"/>
              <w:right w:val="single" w:color="000000" w:sz="4" w:space="0"/>
            </w:tcBorders>
            <w:noWrap/>
            <w:vAlign w:val="center"/>
          </w:tcPr>
          <w:p w14:paraId="4C24B188">
            <w:pPr>
              <w:pStyle w:val="29"/>
              <w:spacing w:before="120" w:line="360" w:lineRule="auto"/>
              <w:rPr>
                <w:kern w:val="2"/>
                <w:sz w:val="24"/>
                <w:szCs w:val="24"/>
                <w:highlight w:val="none"/>
                <w:lang w:val="en-US"/>
              </w:rPr>
            </w:pPr>
            <w:r>
              <w:rPr>
                <w:rFonts w:hint="eastAsia"/>
                <w:kern w:val="2"/>
                <w:sz w:val="24"/>
                <w:szCs w:val="24"/>
                <w:highlight w:val="none"/>
                <w:lang w:val="en-US"/>
              </w:rPr>
              <w:t>其他要求（若有）</w:t>
            </w:r>
          </w:p>
        </w:tc>
        <w:tc>
          <w:tcPr>
            <w:tcW w:w="2993" w:type="dxa"/>
            <w:tcBorders>
              <w:top w:val="single" w:color="000000" w:sz="4" w:space="0"/>
              <w:left w:val="single" w:color="000000" w:sz="4" w:space="0"/>
              <w:bottom w:val="single" w:color="000000" w:sz="4" w:space="0"/>
              <w:right w:val="single" w:color="000000" w:sz="4" w:space="0"/>
            </w:tcBorders>
            <w:noWrap/>
            <w:vAlign w:val="center"/>
          </w:tcPr>
          <w:p w14:paraId="3109FBF3">
            <w:pPr>
              <w:pStyle w:val="29"/>
              <w:spacing w:before="120" w:line="360" w:lineRule="auto"/>
              <w:jc w:val="center"/>
              <w:rPr>
                <w:b/>
                <w:kern w:val="2"/>
                <w:sz w:val="24"/>
                <w:szCs w:val="24"/>
                <w:highlight w:val="none"/>
                <w:lang w:val="en-US"/>
              </w:rPr>
            </w:pPr>
          </w:p>
        </w:tc>
      </w:tr>
    </w:tbl>
    <w:p w14:paraId="7A623C33">
      <w:pPr>
        <w:pStyle w:val="3"/>
        <w:spacing w:line="360" w:lineRule="auto"/>
        <w:ind w:left="0" w:firstLine="0"/>
        <w:jc w:val="both"/>
        <w:rPr>
          <w:sz w:val="24"/>
          <w:szCs w:val="24"/>
          <w:highlight w:val="none"/>
          <w:u w:val="none"/>
          <w:lang w:val="en-US"/>
        </w:rPr>
      </w:pPr>
      <w:bookmarkStart w:id="87" w:name="_Toc225524684"/>
    </w:p>
    <w:p w14:paraId="33EE5F29">
      <w:pPr>
        <w:rPr>
          <w:highlight w:val="none"/>
          <w:u w:color="000000"/>
          <w:lang w:val="en-US"/>
        </w:rPr>
      </w:pPr>
      <w:r>
        <w:rPr>
          <w:highlight w:val="none"/>
          <w:lang w:val="en-US"/>
        </w:rPr>
        <w:br w:type="page"/>
      </w:r>
    </w:p>
    <w:p w14:paraId="0067DA67">
      <w:pPr>
        <w:pStyle w:val="3"/>
        <w:spacing w:line="360" w:lineRule="auto"/>
        <w:ind w:left="0" w:firstLine="0"/>
        <w:jc w:val="both"/>
        <w:rPr>
          <w:sz w:val="24"/>
          <w:szCs w:val="24"/>
          <w:highlight w:val="none"/>
          <w:u w:val="none"/>
          <w:lang w:val="en-US"/>
        </w:rPr>
      </w:pPr>
      <w:r>
        <w:rPr>
          <w:rFonts w:hint="eastAsia"/>
          <w:sz w:val="24"/>
          <w:szCs w:val="24"/>
          <w:highlight w:val="none"/>
          <w:u w:val="none"/>
          <w:lang w:val="en-US"/>
        </w:rPr>
        <w:t>二、评分索引表</w:t>
      </w:r>
      <w:bookmarkEnd w:id="87"/>
    </w:p>
    <w:p w14:paraId="7D62CBEC">
      <w:pPr>
        <w:widowControl/>
        <w:adjustRightInd w:val="0"/>
        <w:spacing w:line="360" w:lineRule="auto"/>
        <w:rPr>
          <w:bCs/>
          <w:sz w:val="24"/>
          <w:szCs w:val="24"/>
          <w:highlight w:val="none"/>
          <w:lang w:val="en-US"/>
        </w:rPr>
      </w:pPr>
      <w:r>
        <w:rPr>
          <w:rFonts w:hint="eastAsia"/>
          <w:b/>
          <w:sz w:val="24"/>
          <w:szCs w:val="24"/>
          <w:highlight w:val="none"/>
          <w:lang w:val="en-US"/>
        </w:rPr>
        <w:t>提供的投标文件应编制评分索引表</w:t>
      </w:r>
      <w:r>
        <w:rPr>
          <w:rFonts w:hint="eastAsia"/>
          <w:bCs/>
          <w:sz w:val="24"/>
          <w:szCs w:val="24"/>
          <w:highlight w:val="none"/>
          <w:lang w:val="en-US"/>
        </w:rPr>
        <w:t>，由于编排混乱导致文件被误读或查找不到，责任由投标人承担。</w:t>
      </w:r>
    </w:p>
    <w:tbl>
      <w:tblPr>
        <w:tblStyle w:val="21"/>
        <w:tblW w:w="10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42"/>
        <w:gridCol w:w="3997"/>
      </w:tblGrid>
      <w:tr w14:paraId="4DD0E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6042" w:type="dxa"/>
            <w:tcBorders>
              <w:top w:val="single" w:color="auto" w:sz="4" w:space="0"/>
              <w:left w:val="single" w:color="auto" w:sz="4" w:space="0"/>
              <w:bottom w:val="single" w:color="auto" w:sz="4" w:space="0"/>
              <w:right w:val="single" w:color="auto" w:sz="4" w:space="0"/>
            </w:tcBorders>
            <w:noWrap/>
            <w:vAlign w:val="center"/>
          </w:tcPr>
          <w:p w14:paraId="020FFBCB">
            <w:pPr>
              <w:pStyle w:val="30"/>
              <w:shd w:val="clear" w:color="auto" w:fill="FFFFFF"/>
              <w:spacing w:before="120" w:after="120" w:line="360" w:lineRule="auto"/>
              <w:jc w:val="center"/>
              <w:rPr>
                <w:rFonts w:ascii="宋体" w:eastAsia="宋体"/>
                <w:b/>
                <w:bCs/>
                <w:kern w:val="2"/>
                <w:highlight w:val="none"/>
              </w:rPr>
            </w:pPr>
            <w:r>
              <w:rPr>
                <w:rFonts w:hint="eastAsia" w:ascii="宋体" w:eastAsia="宋体"/>
                <w:b/>
                <w:kern w:val="2"/>
                <w:highlight w:val="none"/>
              </w:rPr>
              <w:t>评分项目</w:t>
            </w:r>
          </w:p>
        </w:tc>
        <w:tc>
          <w:tcPr>
            <w:tcW w:w="3997" w:type="dxa"/>
            <w:tcBorders>
              <w:top w:val="single" w:color="auto" w:sz="4" w:space="0"/>
              <w:left w:val="single" w:color="auto" w:sz="4" w:space="0"/>
              <w:bottom w:val="single" w:color="auto" w:sz="4" w:space="0"/>
              <w:right w:val="single" w:color="auto" w:sz="4" w:space="0"/>
            </w:tcBorders>
            <w:noWrap/>
            <w:vAlign w:val="center"/>
          </w:tcPr>
          <w:p w14:paraId="31980D8D">
            <w:pPr>
              <w:spacing w:line="360" w:lineRule="auto"/>
              <w:jc w:val="center"/>
              <w:rPr>
                <w:b/>
                <w:kern w:val="2"/>
                <w:sz w:val="24"/>
                <w:szCs w:val="24"/>
                <w:highlight w:val="none"/>
              </w:rPr>
            </w:pPr>
            <w:r>
              <w:rPr>
                <w:rFonts w:hint="eastAsia"/>
                <w:b/>
                <w:kern w:val="2"/>
                <w:sz w:val="24"/>
                <w:szCs w:val="24"/>
                <w:highlight w:val="none"/>
                <w:lang w:bidi="en-US"/>
              </w:rPr>
              <w:t>在</w:t>
            </w:r>
            <w:r>
              <w:rPr>
                <w:rFonts w:hint="eastAsia"/>
                <w:b/>
                <w:kern w:val="2"/>
                <w:sz w:val="24"/>
                <w:szCs w:val="24"/>
                <w:highlight w:val="none"/>
                <w:lang w:val="en-US" w:bidi="en-US"/>
              </w:rPr>
              <w:t>评标</w:t>
            </w:r>
            <w:r>
              <w:rPr>
                <w:rFonts w:hint="eastAsia"/>
                <w:b/>
                <w:kern w:val="2"/>
                <w:sz w:val="24"/>
                <w:szCs w:val="24"/>
                <w:highlight w:val="none"/>
                <w:lang w:val="ja-JP" w:eastAsia="ja-JP" w:bidi="en-US"/>
              </w:rPr>
              <w:t>标准响应材料</w:t>
            </w:r>
            <w:r>
              <w:rPr>
                <w:rFonts w:hint="eastAsia"/>
                <w:b/>
                <w:kern w:val="2"/>
                <w:sz w:val="24"/>
                <w:szCs w:val="24"/>
                <w:highlight w:val="none"/>
                <w:lang w:bidi="en-US"/>
              </w:rPr>
              <w:t>中的页码位置</w:t>
            </w:r>
          </w:p>
        </w:tc>
      </w:tr>
      <w:tr w14:paraId="70FF2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6042" w:type="dxa"/>
            <w:tcBorders>
              <w:top w:val="single" w:color="auto" w:sz="4" w:space="0"/>
              <w:left w:val="single" w:color="auto" w:sz="4" w:space="0"/>
              <w:bottom w:val="single" w:color="auto" w:sz="4" w:space="0"/>
              <w:right w:val="single" w:color="auto" w:sz="4" w:space="0"/>
            </w:tcBorders>
            <w:noWrap/>
            <w:vAlign w:val="center"/>
          </w:tcPr>
          <w:p w14:paraId="303722FD">
            <w:pPr>
              <w:pStyle w:val="30"/>
              <w:shd w:val="clear" w:color="auto" w:fill="FFFFFF"/>
              <w:spacing w:line="360" w:lineRule="auto"/>
              <w:ind w:left="0" w:firstLine="422"/>
              <w:jc w:val="center"/>
              <w:rPr>
                <w:rFonts w:ascii="宋体" w:eastAsia="宋体"/>
                <w:b/>
                <w:kern w:val="2"/>
                <w:highlight w:val="none"/>
              </w:rPr>
            </w:pPr>
          </w:p>
        </w:tc>
        <w:tc>
          <w:tcPr>
            <w:tcW w:w="3997" w:type="dxa"/>
            <w:tcBorders>
              <w:top w:val="single" w:color="auto" w:sz="4" w:space="0"/>
              <w:left w:val="single" w:color="auto" w:sz="4" w:space="0"/>
              <w:bottom w:val="single" w:color="auto" w:sz="4" w:space="0"/>
              <w:right w:val="single" w:color="auto" w:sz="4" w:space="0"/>
            </w:tcBorders>
            <w:noWrap/>
            <w:vAlign w:val="center"/>
          </w:tcPr>
          <w:p w14:paraId="1E3AE37C">
            <w:pPr>
              <w:spacing w:line="360" w:lineRule="auto"/>
              <w:jc w:val="center"/>
              <w:rPr>
                <w:b/>
                <w:kern w:val="2"/>
                <w:sz w:val="24"/>
                <w:szCs w:val="24"/>
                <w:highlight w:val="none"/>
                <w:lang w:bidi="en-US"/>
              </w:rPr>
            </w:pPr>
          </w:p>
        </w:tc>
      </w:tr>
      <w:tr w14:paraId="6DF39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039" w:type="dxa"/>
            <w:gridSpan w:val="2"/>
            <w:tcBorders>
              <w:top w:val="single" w:color="auto" w:sz="4" w:space="0"/>
              <w:left w:val="single" w:color="auto" w:sz="4" w:space="0"/>
              <w:bottom w:val="single" w:color="auto" w:sz="4" w:space="0"/>
              <w:right w:val="single" w:color="auto" w:sz="4" w:space="0"/>
            </w:tcBorders>
            <w:noWrap/>
            <w:vAlign w:val="center"/>
          </w:tcPr>
          <w:p w14:paraId="792C8258">
            <w:pPr>
              <w:pStyle w:val="30"/>
              <w:shd w:val="clear" w:color="auto" w:fill="FFFFFF"/>
              <w:spacing w:line="360" w:lineRule="auto"/>
              <w:ind w:left="0" w:firstLine="420"/>
              <w:contextualSpacing w:val="0"/>
              <w:jc w:val="center"/>
              <w:rPr>
                <w:rFonts w:ascii="宋体" w:eastAsia="宋体"/>
                <w:kern w:val="2"/>
                <w:highlight w:val="none"/>
              </w:rPr>
            </w:pPr>
          </w:p>
        </w:tc>
      </w:tr>
      <w:tr w14:paraId="6327E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042" w:type="dxa"/>
            <w:tcBorders>
              <w:top w:val="single" w:color="auto" w:sz="4" w:space="0"/>
              <w:left w:val="single" w:color="auto" w:sz="4" w:space="0"/>
              <w:bottom w:val="single" w:color="auto" w:sz="4" w:space="0"/>
              <w:right w:val="single" w:color="auto" w:sz="4" w:space="0"/>
            </w:tcBorders>
            <w:noWrap/>
            <w:vAlign w:val="center"/>
          </w:tcPr>
          <w:p w14:paraId="025786EC">
            <w:pPr>
              <w:pStyle w:val="30"/>
              <w:shd w:val="clear" w:color="auto" w:fill="FFFFFF"/>
              <w:spacing w:line="360" w:lineRule="auto"/>
              <w:ind w:left="0" w:firstLine="420"/>
              <w:jc w:val="center"/>
              <w:rPr>
                <w:rFonts w:ascii="宋体" w:eastAsia="宋体"/>
                <w:kern w:val="2"/>
                <w:highlight w:val="none"/>
              </w:rPr>
            </w:pPr>
          </w:p>
        </w:tc>
        <w:tc>
          <w:tcPr>
            <w:tcW w:w="3997" w:type="dxa"/>
            <w:tcBorders>
              <w:top w:val="single" w:color="auto" w:sz="4" w:space="0"/>
              <w:left w:val="single" w:color="auto" w:sz="4" w:space="0"/>
              <w:bottom w:val="single" w:color="auto" w:sz="4" w:space="0"/>
              <w:right w:val="single" w:color="auto" w:sz="4" w:space="0"/>
            </w:tcBorders>
            <w:noWrap/>
            <w:vAlign w:val="center"/>
          </w:tcPr>
          <w:p w14:paraId="5A94FC07">
            <w:pPr>
              <w:spacing w:line="360" w:lineRule="auto"/>
              <w:jc w:val="center"/>
              <w:rPr>
                <w:kern w:val="2"/>
                <w:sz w:val="24"/>
                <w:szCs w:val="24"/>
                <w:highlight w:val="none"/>
              </w:rPr>
            </w:pPr>
          </w:p>
        </w:tc>
      </w:tr>
      <w:tr w14:paraId="1D0FE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6042" w:type="dxa"/>
            <w:tcBorders>
              <w:top w:val="single" w:color="auto" w:sz="4" w:space="0"/>
              <w:left w:val="single" w:color="auto" w:sz="4" w:space="0"/>
              <w:bottom w:val="single" w:color="auto" w:sz="4" w:space="0"/>
              <w:right w:val="single" w:color="auto" w:sz="4" w:space="0"/>
            </w:tcBorders>
            <w:noWrap/>
            <w:vAlign w:val="center"/>
          </w:tcPr>
          <w:p w14:paraId="73C43ECC">
            <w:pPr>
              <w:pStyle w:val="30"/>
              <w:shd w:val="clear" w:color="auto" w:fill="FFFFFF"/>
              <w:spacing w:line="360" w:lineRule="auto"/>
              <w:ind w:left="0" w:firstLine="420"/>
              <w:jc w:val="center"/>
              <w:rPr>
                <w:rFonts w:ascii="宋体" w:eastAsia="宋体"/>
                <w:kern w:val="2"/>
                <w:highlight w:val="none"/>
              </w:rPr>
            </w:pPr>
          </w:p>
        </w:tc>
        <w:tc>
          <w:tcPr>
            <w:tcW w:w="3997" w:type="dxa"/>
            <w:tcBorders>
              <w:top w:val="single" w:color="auto" w:sz="4" w:space="0"/>
              <w:left w:val="single" w:color="auto" w:sz="4" w:space="0"/>
              <w:bottom w:val="single" w:color="auto" w:sz="4" w:space="0"/>
              <w:right w:val="single" w:color="auto" w:sz="4" w:space="0"/>
            </w:tcBorders>
            <w:noWrap/>
            <w:vAlign w:val="center"/>
          </w:tcPr>
          <w:p w14:paraId="41EDF23B">
            <w:pPr>
              <w:spacing w:line="360" w:lineRule="auto"/>
              <w:jc w:val="center"/>
              <w:rPr>
                <w:kern w:val="2"/>
                <w:sz w:val="24"/>
                <w:szCs w:val="24"/>
                <w:highlight w:val="none"/>
              </w:rPr>
            </w:pPr>
          </w:p>
        </w:tc>
      </w:tr>
      <w:tr w14:paraId="068A1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042" w:type="dxa"/>
            <w:tcBorders>
              <w:top w:val="single" w:color="auto" w:sz="4" w:space="0"/>
              <w:left w:val="single" w:color="auto" w:sz="4" w:space="0"/>
              <w:bottom w:val="single" w:color="auto" w:sz="4" w:space="0"/>
              <w:right w:val="single" w:color="auto" w:sz="4" w:space="0"/>
            </w:tcBorders>
            <w:noWrap/>
            <w:vAlign w:val="center"/>
          </w:tcPr>
          <w:p w14:paraId="0FF9C334">
            <w:pPr>
              <w:pStyle w:val="30"/>
              <w:shd w:val="clear" w:color="auto" w:fill="FFFFFF"/>
              <w:spacing w:line="360" w:lineRule="auto"/>
              <w:ind w:left="0" w:firstLine="420"/>
              <w:jc w:val="center"/>
              <w:rPr>
                <w:rFonts w:ascii="宋体" w:eastAsia="宋体"/>
                <w:kern w:val="2"/>
                <w:highlight w:val="none"/>
              </w:rPr>
            </w:pPr>
          </w:p>
        </w:tc>
        <w:tc>
          <w:tcPr>
            <w:tcW w:w="3997" w:type="dxa"/>
            <w:tcBorders>
              <w:top w:val="single" w:color="auto" w:sz="4" w:space="0"/>
              <w:left w:val="single" w:color="auto" w:sz="4" w:space="0"/>
              <w:bottom w:val="single" w:color="auto" w:sz="4" w:space="0"/>
              <w:right w:val="single" w:color="auto" w:sz="4" w:space="0"/>
            </w:tcBorders>
            <w:noWrap/>
            <w:vAlign w:val="center"/>
          </w:tcPr>
          <w:p w14:paraId="67255F95">
            <w:pPr>
              <w:spacing w:line="360" w:lineRule="auto"/>
              <w:jc w:val="center"/>
              <w:rPr>
                <w:kern w:val="2"/>
                <w:sz w:val="24"/>
                <w:szCs w:val="24"/>
                <w:highlight w:val="none"/>
              </w:rPr>
            </w:pPr>
          </w:p>
        </w:tc>
      </w:tr>
      <w:tr w14:paraId="4CF5F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042" w:type="dxa"/>
            <w:tcBorders>
              <w:top w:val="single" w:color="auto" w:sz="4" w:space="0"/>
              <w:left w:val="single" w:color="auto" w:sz="4" w:space="0"/>
              <w:bottom w:val="single" w:color="auto" w:sz="4" w:space="0"/>
              <w:right w:val="single" w:color="auto" w:sz="4" w:space="0"/>
            </w:tcBorders>
            <w:noWrap/>
            <w:vAlign w:val="center"/>
          </w:tcPr>
          <w:p w14:paraId="4ED34E3B">
            <w:pPr>
              <w:pStyle w:val="30"/>
              <w:shd w:val="clear" w:color="auto" w:fill="FFFFFF"/>
              <w:spacing w:line="360" w:lineRule="auto"/>
              <w:ind w:left="0" w:firstLine="420"/>
              <w:jc w:val="center"/>
              <w:rPr>
                <w:rFonts w:ascii="宋体" w:eastAsia="宋体"/>
                <w:kern w:val="2"/>
                <w:highlight w:val="none"/>
              </w:rPr>
            </w:pPr>
          </w:p>
        </w:tc>
        <w:tc>
          <w:tcPr>
            <w:tcW w:w="3997" w:type="dxa"/>
            <w:tcBorders>
              <w:top w:val="single" w:color="auto" w:sz="4" w:space="0"/>
              <w:left w:val="single" w:color="auto" w:sz="4" w:space="0"/>
              <w:bottom w:val="single" w:color="auto" w:sz="4" w:space="0"/>
              <w:right w:val="single" w:color="auto" w:sz="4" w:space="0"/>
            </w:tcBorders>
            <w:noWrap/>
            <w:vAlign w:val="center"/>
          </w:tcPr>
          <w:p w14:paraId="7C431C45">
            <w:pPr>
              <w:spacing w:line="360" w:lineRule="auto"/>
              <w:jc w:val="center"/>
              <w:rPr>
                <w:kern w:val="2"/>
                <w:sz w:val="24"/>
                <w:szCs w:val="24"/>
                <w:highlight w:val="none"/>
              </w:rPr>
            </w:pPr>
          </w:p>
        </w:tc>
      </w:tr>
      <w:tr w14:paraId="21BF0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10039" w:type="dxa"/>
            <w:gridSpan w:val="2"/>
            <w:tcBorders>
              <w:top w:val="single" w:color="auto" w:sz="4" w:space="0"/>
              <w:left w:val="single" w:color="auto" w:sz="4" w:space="0"/>
              <w:bottom w:val="single" w:color="auto" w:sz="4" w:space="0"/>
              <w:right w:val="single" w:color="auto" w:sz="4" w:space="0"/>
            </w:tcBorders>
            <w:noWrap/>
            <w:vAlign w:val="center"/>
          </w:tcPr>
          <w:p w14:paraId="22E41C75">
            <w:pPr>
              <w:pStyle w:val="30"/>
              <w:shd w:val="clear" w:color="auto" w:fill="FFFFFF"/>
              <w:spacing w:line="360" w:lineRule="auto"/>
              <w:ind w:left="0" w:firstLine="420"/>
              <w:contextualSpacing w:val="0"/>
              <w:jc w:val="center"/>
              <w:rPr>
                <w:rFonts w:ascii="宋体" w:eastAsia="宋体"/>
                <w:kern w:val="2"/>
                <w:highlight w:val="none"/>
              </w:rPr>
            </w:pPr>
          </w:p>
        </w:tc>
      </w:tr>
      <w:tr w14:paraId="46C1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042" w:type="dxa"/>
            <w:tcBorders>
              <w:top w:val="single" w:color="auto" w:sz="4" w:space="0"/>
              <w:left w:val="single" w:color="auto" w:sz="4" w:space="0"/>
              <w:bottom w:val="single" w:color="auto" w:sz="4" w:space="0"/>
              <w:right w:val="single" w:color="auto" w:sz="4" w:space="0"/>
            </w:tcBorders>
            <w:noWrap/>
            <w:vAlign w:val="center"/>
          </w:tcPr>
          <w:p w14:paraId="4F8AB2D4">
            <w:pPr>
              <w:pStyle w:val="30"/>
              <w:shd w:val="clear" w:color="auto" w:fill="FFFFFF"/>
              <w:spacing w:line="360" w:lineRule="auto"/>
              <w:ind w:left="0" w:firstLine="420"/>
              <w:jc w:val="center"/>
              <w:rPr>
                <w:rFonts w:ascii="宋体" w:eastAsia="宋体"/>
                <w:kern w:val="2"/>
                <w:highlight w:val="none"/>
              </w:rPr>
            </w:pPr>
          </w:p>
        </w:tc>
        <w:tc>
          <w:tcPr>
            <w:tcW w:w="3997" w:type="dxa"/>
            <w:tcBorders>
              <w:top w:val="single" w:color="auto" w:sz="4" w:space="0"/>
              <w:left w:val="single" w:color="auto" w:sz="4" w:space="0"/>
              <w:bottom w:val="single" w:color="auto" w:sz="4" w:space="0"/>
              <w:right w:val="single" w:color="auto" w:sz="4" w:space="0"/>
            </w:tcBorders>
            <w:noWrap/>
            <w:vAlign w:val="center"/>
          </w:tcPr>
          <w:p w14:paraId="03B0898A">
            <w:pPr>
              <w:spacing w:line="360" w:lineRule="auto"/>
              <w:jc w:val="center"/>
              <w:rPr>
                <w:kern w:val="2"/>
                <w:sz w:val="24"/>
                <w:szCs w:val="24"/>
                <w:highlight w:val="none"/>
              </w:rPr>
            </w:pPr>
          </w:p>
        </w:tc>
      </w:tr>
      <w:tr w14:paraId="4B902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042" w:type="dxa"/>
            <w:tcBorders>
              <w:top w:val="single" w:color="auto" w:sz="4" w:space="0"/>
              <w:left w:val="single" w:color="auto" w:sz="4" w:space="0"/>
              <w:bottom w:val="single" w:color="auto" w:sz="4" w:space="0"/>
              <w:right w:val="single" w:color="auto" w:sz="4" w:space="0"/>
            </w:tcBorders>
            <w:noWrap/>
            <w:vAlign w:val="center"/>
          </w:tcPr>
          <w:p w14:paraId="7E851D7D">
            <w:pPr>
              <w:pStyle w:val="30"/>
              <w:shd w:val="clear" w:color="auto" w:fill="FFFFFF"/>
              <w:spacing w:line="360" w:lineRule="auto"/>
              <w:ind w:left="0" w:firstLine="420"/>
              <w:jc w:val="center"/>
              <w:rPr>
                <w:rFonts w:ascii="宋体" w:eastAsia="宋体"/>
                <w:kern w:val="2"/>
                <w:highlight w:val="none"/>
              </w:rPr>
            </w:pPr>
          </w:p>
        </w:tc>
        <w:tc>
          <w:tcPr>
            <w:tcW w:w="3997" w:type="dxa"/>
            <w:tcBorders>
              <w:top w:val="single" w:color="auto" w:sz="4" w:space="0"/>
              <w:left w:val="single" w:color="auto" w:sz="4" w:space="0"/>
              <w:bottom w:val="single" w:color="auto" w:sz="4" w:space="0"/>
              <w:right w:val="single" w:color="auto" w:sz="4" w:space="0"/>
            </w:tcBorders>
            <w:noWrap/>
            <w:vAlign w:val="center"/>
          </w:tcPr>
          <w:p w14:paraId="5A89ABA8">
            <w:pPr>
              <w:spacing w:line="360" w:lineRule="auto"/>
              <w:jc w:val="center"/>
              <w:rPr>
                <w:kern w:val="2"/>
                <w:sz w:val="24"/>
                <w:szCs w:val="24"/>
                <w:highlight w:val="none"/>
              </w:rPr>
            </w:pPr>
          </w:p>
        </w:tc>
      </w:tr>
      <w:tr w14:paraId="031F0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042" w:type="dxa"/>
            <w:tcBorders>
              <w:top w:val="single" w:color="auto" w:sz="4" w:space="0"/>
              <w:left w:val="single" w:color="auto" w:sz="4" w:space="0"/>
              <w:bottom w:val="single" w:color="auto" w:sz="4" w:space="0"/>
              <w:right w:val="single" w:color="auto" w:sz="4" w:space="0"/>
            </w:tcBorders>
            <w:noWrap/>
            <w:vAlign w:val="center"/>
          </w:tcPr>
          <w:p w14:paraId="676B1398">
            <w:pPr>
              <w:pStyle w:val="30"/>
              <w:shd w:val="clear" w:color="auto" w:fill="FFFFFF"/>
              <w:spacing w:line="360" w:lineRule="auto"/>
              <w:ind w:left="0" w:firstLine="420"/>
              <w:jc w:val="center"/>
              <w:rPr>
                <w:rFonts w:ascii="宋体" w:eastAsia="宋体"/>
                <w:kern w:val="2"/>
                <w:highlight w:val="none"/>
              </w:rPr>
            </w:pPr>
          </w:p>
        </w:tc>
        <w:tc>
          <w:tcPr>
            <w:tcW w:w="3997" w:type="dxa"/>
            <w:tcBorders>
              <w:top w:val="single" w:color="auto" w:sz="4" w:space="0"/>
              <w:left w:val="single" w:color="auto" w:sz="4" w:space="0"/>
              <w:bottom w:val="single" w:color="auto" w:sz="4" w:space="0"/>
              <w:right w:val="single" w:color="auto" w:sz="4" w:space="0"/>
            </w:tcBorders>
            <w:noWrap/>
            <w:vAlign w:val="center"/>
          </w:tcPr>
          <w:p w14:paraId="3BC3B130">
            <w:pPr>
              <w:spacing w:line="360" w:lineRule="auto"/>
              <w:jc w:val="center"/>
              <w:rPr>
                <w:kern w:val="2"/>
                <w:sz w:val="24"/>
                <w:szCs w:val="24"/>
                <w:highlight w:val="none"/>
              </w:rPr>
            </w:pPr>
          </w:p>
        </w:tc>
      </w:tr>
    </w:tbl>
    <w:p w14:paraId="4CDD2E91">
      <w:pPr>
        <w:pStyle w:val="11"/>
        <w:spacing w:line="360" w:lineRule="auto"/>
        <w:ind w:left="1320"/>
        <w:rPr>
          <w:sz w:val="24"/>
          <w:szCs w:val="24"/>
          <w:highlight w:val="none"/>
        </w:rPr>
        <w:sectPr>
          <w:footerReference r:id="rId8" w:type="default"/>
          <w:pgSz w:w="11910" w:h="16840"/>
          <w:pgMar w:top="1460" w:right="1423" w:bottom="920" w:left="1423" w:header="492" w:footer="726" w:gutter="0"/>
          <w:cols w:space="720" w:num="1"/>
          <w:docGrid w:linePitch="312" w:charSpace="0"/>
        </w:sectPr>
      </w:pPr>
    </w:p>
    <w:p w14:paraId="35E37D96">
      <w:pPr>
        <w:pStyle w:val="3"/>
        <w:adjustRightInd w:val="0"/>
        <w:snapToGrid w:val="0"/>
        <w:spacing w:line="360" w:lineRule="auto"/>
        <w:ind w:left="0" w:firstLine="0"/>
        <w:jc w:val="both"/>
        <w:rPr>
          <w:sz w:val="24"/>
          <w:szCs w:val="24"/>
          <w:highlight w:val="none"/>
          <w:u w:val="none"/>
          <w:lang w:val="en-US"/>
        </w:rPr>
      </w:pPr>
      <w:bookmarkStart w:id="88" w:name="_Toc225524685"/>
      <w:r>
        <w:rPr>
          <w:rFonts w:hint="eastAsia"/>
          <w:sz w:val="24"/>
          <w:szCs w:val="24"/>
          <w:highlight w:val="none"/>
          <w:u w:val="none"/>
          <w:lang w:val="en-US"/>
        </w:rPr>
        <w:t>三、商务部分</w:t>
      </w:r>
      <w:bookmarkEnd w:id="88"/>
    </w:p>
    <w:p w14:paraId="7A29F6B1">
      <w:pPr>
        <w:pStyle w:val="9"/>
        <w:spacing w:line="360" w:lineRule="auto"/>
        <w:rPr>
          <w:highlight w:val="none"/>
        </w:rPr>
      </w:pPr>
      <w:r>
        <w:rPr>
          <w:rFonts w:hint="eastAsia"/>
          <w:highlight w:val="none"/>
          <w:lang w:val="en-US"/>
        </w:rPr>
        <w:t>3.1</w:t>
      </w:r>
      <w:r>
        <w:rPr>
          <w:rFonts w:hint="eastAsia"/>
          <w:highlight w:val="none"/>
        </w:rPr>
        <w:t>、投标函格式</w:t>
      </w:r>
    </w:p>
    <w:p w14:paraId="6C97FA9D">
      <w:pPr>
        <w:adjustRightInd w:val="0"/>
        <w:snapToGrid w:val="0"/>
        <w:spacing w:line="360" w:lineRule="auto"/>
        <w:ind w:left="2"/>
        <w:jc w:val="center"/>
        <w:rPr>
          <w:b/>
          <w:sz w:val="24"/>
          <w:szCs w:val="24"/>
          <w:highlight w:val="none"/>
        </w:rPr>
      </w:pPr>
      <w:r>
        <w:rPr>
          <w:rFonts w:hint="eastAsia"/>
          <w:b/>
          <w:bCs/>
          <w:sz w:val="24"/>
          <w:szCs w:val="24"/>
          <w:highlight w:val="none"/>
        </w:rPr>
        <w:t>投标函</w:t>
      </w:r>
    </w:p>
    <w:p w14:paraId="6555F85D">
      <w:pPr>
        <w:widowControl/>
        <w:shd w:val="clear" w:color="auto" w:fill="FFFFFF"/>
        <w:autoSpaceDE/>
        <w:autoSpaceDN/>
        <w:adjustRightInd w:val="0"/>
        <w:snapToGrid w:val="0"/>
        <w:spacing w:line="360" w:lineRule="auto"/>
        <w:ind w:firstLine="480" w:firstLineChars="200"/>
        <w:jc w:val="both"/>
        <w:rPr>
          <w:bCs/>
          <w:sz w:val="24"/>
          <w:szCs w:val="24"/>
          <w:highlight w:val="none"/>
          <w:lang w:val="en-US" w:bidi="ar-SA"/>
        </w:rPr>
      </w:pPr>
      <w:r>
        <w:rPr>
          <w:rFonts w:hint="eastAsia"/>
          <w:sz w:val="24"/>
          <w:szCs w:val="24"/>
          <w:highlight w:val="none"/>
          <w:lang w:bidi="ar-SA"/>
        </w:rPr>
        <w:t>致：XXXXXXXX</w:t>
      </w:r>
      <w:r>
        <w:rPr>
          <w:rFonts w:hint="eastAsia"/>
          <w:sz w:val="24"/>
          <w:szCs w:val="24"/>
          <w:highlight w:val="none"/>
          <w:lang w:val="en-US" w:bidi="ar-SA"/>
        </w:rPr>
        <w:t>(采购人)</w:t>
      </w:r>
    </w:p>
    <w:p w14:paraId="39F88CBD">
      <w:pPr>
        <w:pStyle w:val="11"/>
        <w:adjustRightInd w:val="0"/>
        <w:snapToGrid w:val="0"/>
        <w:spacing w:line="360" w:lineRule="auto"/>
        <w:ind w:left="0" w:leftChars="0" w:firstLine="480" w:firstLineChars="200"/>
        <w:rPr>
          <w:sz w:val="24"/>
          <w:szCs w:val="24"/>
          <w:highlight w:val="none"/>
        </w:rPr>
      </w:pPr>
      <w:r>
        <w:rPr>
          <w:rFonts w:hint="eastAsia"/>
          <w:sz w:val="24"/>
          <w:szCs w:val="24"/>
          <w:highlight w:val="none"/>
          <w:lang w:val="en-US"/>
        </w:rPr>
        <w:t>江苏金永诚建设投资管理咨询有限公司</w:t>
      </w:r>
    </w:p>
    <w:p w14:paraId="6A59C783">
      <w:pPr>
        <w:pStyle w:val="9"/>
        <w:spacing w:line="360" w:lineRule="auto"/>
        <w:ind w:firstLine="480" w:firstLineChars="200"/>
        <w:jc w:val="left"/>
        <w:rPr>
          <w:b w:val="0"/>
          <w:bCs/>
          <w:highlight w:val="none"/>
        </w:rPr>
      </w:pPr>
      <w:r>
        <w:rPr>
          <w:rFonts w:hint="eastAsia"/>
          <w:b w:val="0"/>
          <w:bCs/>
          <w:highlight w:val="none"/>
        </w:rPr>
        <w:t>根据贵方</w:t>
      </w:r>
      <w:r>
        <w:rPr>
          <w:rFonts w:hint="eastAsia"/>
          <w:b w:val="0"/>
          <w:bCs/>
          <w:highlight w:val="none"/>
          <w:u w:val="single"/>
        </w:rPr>
        <w:t xml:space="preserve"> </w:t>
      </w:r>
      <w:r>
        <w:rPr>
          <w:rFonts w:hint="eastAsia"/>
          <w:b w:val="0"/>
          <w:bCs/>
          <w:highlight w:val="none"/>
          <w:u w:val="single"/>
          <w:lang w:val="en-US"/>
        </w:rPr>
        <w:t xml:space="preserve">      </w:t>
      </w:r>
      <w:r>
        <w:rPr>
          <w:rFonts w:hint="eastAsia"/>
          <w:b w:val="0"/>
          <w:bCs/>
          <w:highlight w:val="none"/>
          <w:u w:val="single"/>
        </w:rPr>
        <w:tab/>
      </w:r>
      <w:r>
        <w:rPr>
          <w:rFonts w:hint="eastAsia"/>
          <w:b w:val="0"/>
          <w:bCs/>
          <w:highlight w:val="none"/>
          <w:u w:val="single"/>
        </w:rPr>
        <w:tab/>
      </w:r>
      <w:r>
        <w:rPr>
          <w:rFonts w:hint="eastAsia"/>
          <w:b w:val="0"/>
          <w:bCs/>
          <w:highlight w:val="none"/>
        </w:rPr>
        <w:t>（项目名称）</w:t>
      </w:r>
      <w:r>
        <w:rPr>
          <w:rFonts w:hint="eastAsia"/>
          <w:b w:val="0"/>
          <w:bCs/>
          <w:highlight w:val="none"/>
          <w:u w:val="single"/>
        </w:rPr>
        <w:t xml:space="preserve"> </w:t>
      </w:r>
      <w:r>
        <w:rPr>
          <w:rFonts w:hint="eastAsia"/>
          <w:b w:val="0"/>
          <w:bCs/>
          <w:highlight w:val="none"/>
          <w:u w:val="single"/>
          <w:lang w:val="en-US"/>
        </w:rPr>
        <w:t xml:space="preserve"> </w:t>
      </w:r>
      <w:r>
        <w:rPr>
          <w:rFonts w:hint="eastAsia"/>
          <w:b w:val="0"/>
          <w:bCs/>
          <w:highlight w:val="none"/>
          <w:u w:val="single"/>
        </w:rPr>
        <w:tab/>
      </w:r>
      <w:r>
        <w:rPr>
          <w:rFonts w:hint="eastAsia"/>
          <w:b w:val="0"/>
          <w:bCs/>
          <w:highlight w:val="none"/>
          <w:u w:val="single"/>
          <w:lang w:val="en-US"/>
        </w:rPr>
        <w:t xml:space="preserve">                </w:t>
      </w:r>
      <w:r>
        <w:rPr>
          <w:rFonts w:hint="eastAsia"/>
          <w:b w:val="0"/>
          <w:bCs/>
          <w:highlight w:val="none"/>
        </w:rPr>
        <w:t>（项目编号）</w:t>
      </w:r>
      <w:r>
        <w:rPr>
          <w:rFonts w:hint="eastAsia"/>
          <w:b w:val="0"/>
          <w:bCs/>
          <w:spacing w:val="-99"/>
          <w:highlight w:val="none"/>
        </w:rPr>
        <w:t xml:space="preserve"> </w:t>
      </w:r>
      <w:r>
        <w:rPr>
          <w:rFonts w:hint="eastAsia"/>
          <w:b w:val="0"/>
          <w:bCs/>
          <w:spacing w:val="21"/>
          <w:highlight w:val="none"/>
        </w:rPr>
        <w:t>招标公告</w:t>
      </w:r>
      <w:r>
        <w:rPr>
          <w:rFonts w:hint="eastAsia"/>
          <w:b w:val="0"/>
          <w:bCs/>
          <w:highlight w:val="none"/>
        </w:rPr>
        <w:t>，我方</w:t>
      </w:r>
      <w:r>
        <w:rPr>
          <w:rFonts w:hint="eastAsia"/>
          <w:b w:val="0"/>
          <w:bCs/>
          <w:highlight w:val="none"/>
          <w:u w:val="single"/>
          <w:lang w:val="en-US"/>
        </w:rPr>
        <w:t xml:space="preserve">                        </w:t>
      </w:r>
      <w:r>
        <w:rPr>
          <w:rFonts w:hint="eastAsia"/>
          <w:b w:val="0"/>
          <w:bCs/>
          <w:highlight w:val="none"/>
          <w:lang w:val="en-US"/>
        </w:rPr>
        <w:t>(投标人名称)</w:t>
      </w:r>
      <w:r>
        <w:rPr>
          <w:rFonts w:hint="eastAsia"/>
          <w:b w:val="0"/>
          <w:bCs/>
          <w:highlight w:val="none"/>
        </w:rPr>
        <w:t>决定参与本次采购活动，提交投标文件。</w:t>
      </w:r>
    </w:p>
    <w:p w14:paraId="4FF93393">
      <w:pPr>
        <w:pStyle w:val="9"/>
        <w:spacing w:line="360" w:lineRule="auto"/>
        <w:ind w:firstLine="480" w:firstLineChars="200"/>
        <w:jc w:val="left"/>
        <w:rPr>
          <w:b w:val="0"/>
          <w:bCs/>
          <w:highlight w:val="none"/>
        </w:rPr>
      </w:pPr>
      <w:r>
        <w:rPr>
          <w:rFonts w:hint="eastAsia"/>
          <w:b w:val="0"/>
          <w:bCs/>
          <w:highlight w:val="none"/>
        </w:rPr>
        <w:t>据此函，</w:t>
      </w:r>
      <w:r>
        <w:rPr>
          <w:rFonts w:hint="eastAsia"/>
          <w:b w:val="0"/>
          <w:bCs/>
          <w:highlight w:val="none"/>
          <w:lang w:val="en-US"/>
        </w:rPr>
        <w:t>声明</w:t>
      </w:r>
      <w:r>
        <w:rPr>
          <w:rFonts w:hint="eastAsia"/>
          <w:b w:val="0"/>
          <w:bCs/>
          <w:highlight w:val="none"/>
        </w:rPr>
        <w:t>如下：</w:t>
      </w:r>
    </w:p>
    <w:p w14:paraId="4F78CCF7">
      <w:pPr>
        <w:pStyle w:val="9"/>
        <w:spacing w:line="360" w:lineRule="auto"/>
        <w:ind w:firstLine="480" w:firstLineChars="200"/>
        <w:jc w:val="left"/>
        <w:rPr>
          <w:b w:val="0"/>
          <w:bCs/>
          <w:highlight w:val="none"/>
        </w:rPr>
      </w:pPr>
      <w:r>
        <w:rPr>
          <w:rFonts w:hint="eastAsia"/>
          <w:b w:val="0"/>
          <w:bCs/>
          <w:highlight w:val="none"/>
          <w:lang w:val="en-US"/>
        </w:rPr>
        <w:t>1.我方的资格条件符合政府采购法和本次采购要求。</w:t>
      </w:r>
    </w:p>
    <w:p w14:paraId="26E45016">
      <w:pPr>
        <w:pStyle w:val="9"/>
        <w:spacing w:line="360" w:lineRule="auto"/>
        <w:ind w:firstLine="480" w:firstLineChars="200"/>
        <w:jc w:val="left"/>
        <w:rPr>
          <w:b w:val="0"/>
          <w:bCs/>
          <w:highlight w:val="none"/>
        </w:rPr>
      </w:pPr>
      <w:r>
        <w:rPr>
          <w:rFonts w:hint="eastAsia"/>
          <w:b w:val="0"/>
          <w:bCs/>
          <w:highlight w:val="none"/>
          <w:lang w:val="en-US"/>
        </w:rPr>
        <w:t>2.我方参加政府采购活动前三年内，在经营活动中没有重大违法记录。</w:t>
      </w:r>
    </w:p>
    <w:p w14:paraId="5DB3397B">
      <w:pPr>
        <w:pStyle w:val="9"/>
        <w:spacing w:line="360" w:lineRule="auto"/>
        <w:ind w:firstLine="480" w:firstLineChars="200"/>
        <w:jc w:val="left"/>
        <w:rPr>
          <w:b w:val="0"/>
          <w:bCs/>
          <w:highlight w:val="none"/>
        </w:rPr>
      </w:pPr>
      <w:r>
        <w:rPr>
          <w:rFonts w:hint="eastAsia"/>
          <w:b w:val="0"/>
          <w:bCs/>
          <w:highlight w:val="none"/>
          <w:lang w:val="en-US"/>
        </w:rPr>
        <w:t>3.参加本次采购活动前，我方没有被信用中国网站、中国政府采购网站列入失信被执行人名单、重大税收违法失信主体、政府采购严重违法失信行为记录名单。</w:t>
      </w:r>
    </w:p>
    <w:p w14:paraId="2C95D7D3">
      <w:pPr>
        <w:pStyle w:val="9"/>
        <w:spacing w:line="360" w:lineRule="auto"/>
        <w:ind w:firstLine="480" w:firstLineChars="200"/>
        <w:jc w:val="left"/>
        <w:rPr>
          <w:b w:val="0"/>
          <w:bCs/>
          <w:highlight w:val="none"/>
        </w:rPr>
      </w:pPr>
      <w:r>
        <w:rPr>
          <w:rFonts w:hint="eastAsia"/>
          <w:b w:val="0"/>
          <w:bCs/>
          <w:highlight w:val="none"/>
          <w:lang w:val="en-US"/>
        </w:rPr>
        <w:t xml:space="preserve">4.我方在全国范围内未受过财政部门禁止参加政府采购活动的处罚期限，或在全国范围内受过财政部门禁止参加政府采购活动的处罚期限已满。 </w:t>
      </w:r>
    </w:p>
    <w:p w14:paraId="2921B7DF">
      <w:pPr>
        <w:pStyle w:val="9"/>
        <w:spacing w:line="360" w:lineRule="auto"/>
        <w:ind w:firstLine="480" w:firstLineChars="200"/>
        <w:jc w:val="left"/>
        <w:rPr>
          <w:b w:val="0"/>
          <w:bCs/>
          <w:highlight w:val="none"/>
        </w:rPr>
      </w:pPr>
      <w:r>
        <w:rPr>
          <w:rFonts w:hint="eastAsia"/>
          <w:b w:val="0"/>
          <w:bCs/>
          <w:highlight w:val="none"/>
          <w:lang w:val="en-US"/>
        </w:rPr>
        <w:t>5.我方没有为本采购项目提供整体设计、规范编制，以及项目管理、监理、检测等服务。</w:t>
      </w:r>
    </w:p>
    <w:p w14:paraId="2067E712">
      <w:pPr>
        <w:pStyle w:val="9"/>
        <w:spacing w:line="360" w:lineRule="auto"/>
        <w:ind w:firstLine="480" w:firstLineChars="200"/>
        <w:jc w:val="left"/>
        <w:rPr>
          <w:b w:val="0"/>
          <w:bCs/>
          <w:highlight w:val="none"/>
        </w:rPr>
      </w:pPr>
      <w:r>
        <w:rPr>
          <w:rFonts w:hint="eastAsia"/>
          <w:b w:val="0"/>
          <w:bCs/>
          <w:highlight w:val="none"/>
          <w:lang w:val="en-US"/>
        </w:rPr>
        <w:t>6.我方与参与本次采购活动的其他投标人的法定代表人或委托代理人无夫妻、直系血亲关系；</w:t>
      </w:r>
    </w:p>
    <w:p w14:paraId="222208E7">
      <w:pPr>
        <w:pStyle w:val="9"/>
        <w:spacing w:line="360" w:lineRule="auto"/>
        <w:ind w:firstLine="480" w:firstLineChars="200"/>
        <w:jc w:val="left"/>
        <w:rPr>
          <w:b w:val="0"/>
          <w:bCs/>
          <w:highlight w:val="none"/>
        </w:rPr>
      </w:pPr>
      <w:r>
        <w:rPr>
          <w:rFonts w:hint="eastAsia"/>
          <w:b w:val="0"/>
          <w:bCs/>
          <w:highlight w:val="none"/>
          <w:lang w:val="en-US"/>
        </w:rPr>
        <w:t>7.我方与参与本次采购活动的其他投标人的负责人不是同一人，也不存在直接控股、管理关系。</w:t>
      </w:r>
    </w:p>
    <w:p w14:paraId="6F57314B">
      <w:pPr>
        <w:pStyle w:val="9"/>
        <w:spacing w:line="360" w:lineRule="auto"/>
        <w:ind w:firstLine="480" w:firstLineChars="200"/>
        <w:jc w:val="left"/>
        <w:rPr>
          <w:b w:val="0"/>
          <w:bCs/>
          <w:highlight w:val="none"/>
        </w:rPr>
      </w:pPr>
      <w:r>
        <w:rPr>
          <w:rFonts w:hint="eastAsia"/>
          <w:b w:val="0"/>
          <w:bCs/>
          <w:highlight w:val="none"/>
          <w:lang w:val="en-US"/>
        </w:rPr>
        <w:t>8.我方同意并向贵方提供了与投标有关的所有证据和资料。</w:t>
      </w:r>
    </w:p>
    <w:p w14:paraId="67B64140">
      <w:pPr>
        <w:pStyle w:val="9"/>
        <w:spacing w:line="360" w:lineRule="auto"/>
        <w:ind w:firstLine="480" w:firstLineChars="200"/>
        <w:jc w:val="left"/>
        <w:rPr>
          <w:b w:val="0"/>
          <w:bCs/>
          <w:highlight w:val="none"/>
        </w:rPr>
      </w:pPr>
      <w:r>
        <w:rPr>
          <w:rFonts w:hint="eastAsia"/>
          <w:b w:val="0"/>
          <w:bCs/>
          <w:highlight w:val="none"/>
          <w:lang w:val="en-US"/>
        </w:rPr>
        <w:t>9</w:t>
      </w:r>
      <w:r>
        <w:rPr>
          <w:rFonts w:hint="eastAsia"/>
          <w:b w:val="0"/>
          <w:bCs/>
          <w:highlight w:val="none"/>
        </w:rPr>
        <w:t>.按招标要求，我们的投标总报价为（大写）</w:t>
      </w:r>
      <w:r>
        <w:rPr>
          <w:rFonts w:hint="eastAsia"/>
          <w:b w:val="0"/>
          <w:bCs/>
          <w:highlight w:val="none"/>
          <w:u w:val="single"/>
        </w:rPr>
        <w:t xml:space="preserve"> </w:t>
      </w:r>
      <w:r>
        <w:rPr>
          <w:rFonts w:hint="eastAsia"/>
          <w:b w:val="0"/>
          <w:bCs/>
          <w:highlight w:val="none"/>
          <w:u w:val="single"/>
          <w:lang w:val="en-US"/>
        </w:rPr>
        <w:t xml:space="preserve">        </w:t>
      </w:r>
      <w:r>
        <w:rPr>
          <w:rFonts w:hint="eastAsia"/>
          <w:b w:val="0"/>
          <w:bCs/>
          <w:highlight w:val="none"/>
        </w:rPr>
        <w:t>元人民币。</w:t>
      </w:r>
    </w:p>
    <w:p w14:paraId="7A93F04E">
      <w:pPr>
        <w:pStyle w:val="9"/>
        <w:spacing w:line="360" w:lineRule="auto"/>
        <w:ind w:firstLine="480" w:firstLineChars="200"/>
        <w:jc w:val="left"/>
        <w:rPr>
          <w:b w:val="0"/>
          <w:bCs/>
          <w:highlight w:val="none"/>
        </w:rPr>
      </w:pPr>
      <w:r>
        <w:rPr>
          <w:rFonts w:hint="eastAsia"/>
          <w:b w:val="0"/>
          <w:bCs/>
          <w:highlight w:val="none"/>
          <w:lang w:val="en-US"/>
        </w:rPr>
        <w:t>10</w:t>
      </w:r>
      <w:r>
        <w:rPr>
          <w:rFonts w:hint="eastAsia"/>
          <w:b w:val="0"/>
          <w:bCs/>
          <w:highlight w:val="none"/>
        </w:rPr>
        <w:t>.本项目通过验收并交付时间为：满足招标文件要求。</w:t>
      </w:r>
    </w:p>
    <w:p w14:paraId="18DE406E">
      <w:pPr>
        <w:pStyle w:val="9"/>
        <w:spacing w:line="360" w:lineRule="auto"/>
        <w:ind w:firstLine="480" w:firstLineChars="200"/>
        <w:jc w:val="left"/>
        <w:rPr>
          <w:b w:val="0"/>
          <w:bCs/>
          <w:highlight w:val="none"/>
        </w:rPr>
      </w:pPr>
      <w:r>
        <w:rPr>
          <w:rFonts w:hint="eastAsia"/>
          <w:b w:val="0"/>
          <w:bCs/>
          <w:highlight w:val="none"/>
          <w:lang w:val="en-US"/>
        </w:rPr>
        <w:t>11.</w:t>
      </w:r>
      <w:r>
        <w:rPr>
          <w:rFonts w:hint="eastAsia"/>
          <w:b w:val="0"/>
          <w:bCs/>
          <w:highlight w:val="none"/>
        </w:rPr>
        <w:t>我们已详细审核全部招标文件及其有效补充文件，我们放弃对招标文件任何误</w:t>
      </w:r>
      <w:r>
        <w:rPr>
          <w:rFonts w:hint="eastAsia"/>
          <w:b w:val="0"/>
          <w:bCs/>
          <w:spacing w:val="-7"/>
          <w:highlight w:val="none"/>
        </w:rPr>
        <w:t>解的权利，提交投标文件后，不对招标文件本身提出质疑。否则，属于不诚信和故意扰</w:t>
      </w:r>
      <w:r>
        <w:rPr>
          <w:rFonts w:hint="eastAsia"/>
          <w:b w:val="0"/>
          <w:bCs/>
          <w:highlight w:val="none"/>
        </w:rPr>
        <w:t>乱政府采购活动行为，我们将无条件接受处罚。</w:t>
      </w:r>
    </w:p>
    <w:p w14:paraId="0FE798CA">
      <w:pPr>
        <w:pStyle w:val="9"/>
        <w:spacing w:line="360" w:lineRule="auto"/>
        <w:ind w:firstLine="480" w:firstLineChars="200"/>
        <w:jc w:val="left"/>
        <w:rPr>
          <w:b w:val="0"/>
          <w:bCs/>
          <w:highlight w:val="none"/>
        </w:rPr>
      </w:pPr>
      <w:r>
        <w:rPr>
          <w:rFonts w:hint="eastAsia"/>
          <w:b w:val="0"/>
          <w:bCs/>
          <w:highlight w:val="none"/>
          <w:lang w:val="en-US"/>
        </w:rPr>
        <w:t>12.</w:t>
      </w:r>
      <w:r>
        <w:rPr>
          <w:rFonts w:hint="eastAsia"/>
          <w:b w:val="0"/>
          <w:bCs/>
          <w:highlight w:val="none"/>
        </w:rPr>
        <w:t>我们同意从规定的开标日期起遵循本投标文件，并在规定的投标有效期期满之前均具有约束力。</w:t>
      </w:r>
    </w:p>
    <w:p w14:paraId="419CC398">
      <w:pPr>
        <w:pStyle w:val="9"/>
        <w:spacing w:line="360" w:lineRule="auto"/>
        <w:ind w:firstLine="480" w:firstLineChars="200"/>
        <w:jc w:val="left"/>
        <w:rPr>
          <w:b w:val="0"/>
          <w:bCs/>
          <w:highlight w:val="none"/>
        </w:rPr>
      </w:pPr>
      <w:r>
        <w:rPr>
          <w:rFonts w:hint="eastAsia"/>
          <w:b w:val="0"/>
          <w:bCs/>
          <w:highlight w:val="none"/>
          <w:lang w:val="en-US"/>
        </w:rPr>
        <w:t>13</w:t>
      </w:r>
      <w:r>
        <w:rPr>
          <w:rFonts w:hint="eastAsia"/>
          <w:b w:val="0"/>
          <w:bCs/>
          <w:highlight w:val="none"/>
        </w:rPr>
        <w:t>.投标截止时间结束后参加投标的投标人不足三家的，或在评标期间出现符合专</w:t>
      </w:r>
      <w:r>
        <w:rPr>
          <w:rFonts w:hint="eastAsia"/>
          <w:b w:val="0"/>
          <w:bCs/>
          <w:spacing w:val="-3"/>
          <w:highlight w:val="none"/>
        </w:rPr>
        <w:t>业条件的投标人或者对招标文件作出实质响应的投标人不足三家情形的，我们酌情决定</w:t>
      </w:r>
      <w:r>
        <w:rPr>
          <w:rFonts w:hint="eastAsia"/>
          <w:b w:val="0"/>
          <w:bCs/>
          <w:highlight w:val="none"/>
        </w:rPr>
        <w:t>是否参加当场变更的竞争性谈判或单一来源方式采购。</w:t>
      </w:r>
    </w:p>
    <w:p w14:paraId="66A8D816">
      <w:pPr>
        <w:pStyle w:val="9"/>
        <w:spacing w:line="360" w:lineRule="auto"/>
        <w:ind w:firstLine="480" w:firstLineChars="200"/>
        <w:jc w:val="left"/>
        <w:rPr>
          <w:b w:val="0"/>
          <w:bCs/>
          <w:highlight w:val="none"/>
        </w:rPr>
      </w:pPr>
      <w:r>
        <w:rPr>
          <w:rFonts w:hint="eastAsia"/>
          <w:b w:val="0"/>
          <w:bCs/>
          <w:highlight w:val="none"/>
          <w:lang w:val="en-US"/>
        </w:rPr>
        <w:t>14.</w:t>
      </w:r>
      <w:r>
        <w:rPr>
          <w:rFonts w:hint="eastAsia"/>
          <w:b w:val="0"/>
          <w:bCs/>
          <w:highlight w:val="none"/>
        </w:rPr>
        <w:t>一旦我方中标，我方将根据招标文件的规定严格履行合同，并保证于承诺的时间完成服务的启动/集成、调试等工作，交付采购人验收、使用。</w:t>
      </w:r>
    </w:p>
    <w:p w14:paraId="0125B460">
      <w:pPr>
        <w:pStyle w:val="9"/>
        <w:spacing w:line="360" w:lineRule="auto"/>
        <w:ind w:firstLine="480" w:firstLineChars="200"/>
        <w:jc w:val="left"/>
        <w:rPr>
          <w:b w:val="0"/>
          <w:bCs/>
          <w:highlight w:val="none"/>
        </w:rPr>
      </w:pPr>
      <w:r>
        <w:rPr>
          <w:rFonts w:hint="eastAsia"/>
          <w:b w:val="0"/>
          <w:bCs/>
          <w:highlight w:val="none"/>
          <w:lang w:val="en-US"/>
        </w:rPr>
        <w:t>15</w:t>
      </w:r>
      <w:r>
        <w:rPr>
          <w:rFonts w:hint="eastAsia"/>
          <w:b w:val="0"/>
          <w:bCs/>
          <w:spacing w:val="-7"/>
          <w:highlight w:val="none"/>
          <w:lang w:val="en-US"/>
        </w:rPr>
        <w:t>.</w:t>
      </w:r>
      <w:r>
        <w:rPr>
          <w:rFonts w:hint="eastAsia"/>
          <w:b w:val="0"/>
          <w:bCs/>
          <w:spacing w:val="-7"/>
          <w:highlight w:val="none"/>
        </w:rPr>
        <w:t>我方决不提供虚假材料谋取中标、决不采取不正当手段诋毁、排挤其他投标人、</w:t>
      </w:r>
      <w:r>
        <w:rPr>
          <w:rFonts w:hint="eastAsia"/>
          <w:b w:val="0"/>
          <w:bCs/>
          <w:spacing w:val="-5"/>
          <w:highlight w:val="none"/>
        </w:rPr>
        <w:t>决不与采购人、其它投标人或者</w:t>
      </w:r>
      <w:r>
        <w:rPr>
          <w:rFonts w:hint="eastAsia"/>
          <w:b w:val="0"/>
          <w:bCs/>
          <w:highlight w:val="none"/>
          <w:lang w:val="en-US"/>
        </w:rPr>
        <w:t>采购代理机构</w:t>
      </w:r>
      <w:r>
        <w:rPr>
          <w:rFonts w:hint="eastAsia"/>
          <w:b w:val="0"/>
          <w:bCs/>
          <w:spacing w:val="-5"/>
          <w:highlight w:val="none"/>
        </w:rPr>
        <w:t>恶意串通、决不向采购人、</w:t>
      </w:r>
      <w:r>
        <w:rPr>
          <w:rFonts w:hint="eastAsia"/>
          <w:b w:val="0"/>
          <w:bCs/>
          <w:highlight w:val="none"/>
          <w:lang w:val="en-US"/>
        </w:rPr>
        <w:t>采购代理机构</w:t>
      </w:r>
      <w:r>
        <w:rPr>
          <w:rFonts w:hint="eastAsia"/>
          <w:b w:val="0"/>
          <w:bCs/>
          <w:highlight w:val="none"/>
        </w:rPr>
        <w:t>工作人员和评委进行商业贿赂、决不在采购过程中与采购人进行协商谈判、决不拒绝有关部门监督检查或提供虚假情况，如有违反，无条件接受贵方及相关管理部门的处罚。</w:t>
      </w:r>
    </w:p>
    <w:p w14:paraId="5B5E9B1E">
      <w:pPr>
        <w:pStyle w:val="9"/>
        <w:spacing w:line="360" w:lineRule="auto"/>
        <w:ind w:firstLine="480" w:firstLineChars="200"/>
        <w:jc w:val="left"/>
        <w:rPr>
          <w:b w:val="0"/>
          <w:bCs/>
          <w:highlight w:val="none"/>
        </w:rPr>
      </w:pPr>
      <w:r>
        <w:rPr>
          <w:rFonts w:hint="eastAsia"/>
          <w:b w:val="0"/>
          <w:bCs/>
          <w:highlight w:val="none"/>
          <w:lang w:val="en-US"/>
        </w:rPr>
        <w:t>16.</w:t>
      </w:r>
      <w:r>
        <w:rPr>
          <w:rFonts w:hint="eastAsia"/>
          <w:b w:val="0"/>
          <w:bCs/>
          <w:highlight w:val="none"/>
        </w:rPr>
        <w:t>与本投标有关的正式联系方式为：</w:t>
      </w:r>
    </w:p>
    <w:p w14:paraId="50496C4E">
      <w:pPr>
        <w:pStyle w:val="9"/>
        <w:spacing w:line="360" w:lineRule="auto"/>
        <w:ind w:firstLine="480" w:firstLineChars="200"/>
        <w:jc w:val="left"/>
        <w:rPr>
          <w:b w:val="0"/>
          <w:bCs/>
          <w:highlight w:val="none"/>
          <w:lang w:val="en-US"/>
        </w:rPr>
      </w:pPr>
      <w:r>
        <w:rPr>
          <w:rFonts w:hint="eastAsia"/>
          <w:b w:val="0"/>
          <w:bCs/>
          <w:highlight w:val="none"/>
        </w:rPr>
        <w:t>地</w:t>
      </w:r>
      <w:r>
        <w:rPr>
          <w:rFonts w:hint="eastAsia"/>
          <w:b w:val="0"/>
          <w:bCs/>
          <w:highlight w:val="none"/>
        </w:rPr>
        <w:tab/>
      </w:r>
      <w:r>
        <w:rPr>
          <w:rFonts w:hint="eastAsia"/>
          <w:b w:val="0"/>
          <w:bCs/>
          <w:spacing w:val="-1"/>
          <w:highlight w:val="none"/>
        </w:rPr>
        <w:t>址</w:t>
      </w:r>
      <w:r>
        <w:rPr>
          <w:rFonts w:hint="eastAsia"/>
          <w:b w:val="0"/>
          <w:bCs/>
          <w:highlight w:val="none"/>
        </w:rPr>
        <w:t>：</w:t>
      </w:r>
      <w:r>
        <w:rPr>
          <w:rFonts w:hint="eastAsia"/>
          <w:b w:val="0"/>
          <w:bCs/>
          <w:highlight w:val="none"/>
          <w:lang w:val="en-US"/>
        </w:rPr>
        <w:t xml:space="preserve">                          </w:t>
      </w:r>
    </w:p>
    <w:p w14:paraId="3EF05A2D">
      <w:pPr>
        <w:pStyle w:val="9"/>
        <w:spacing w:line="360" w:lineRule="auto"/>
        <w:ind w:firstLine="480" w:firstLineChars="200"/>
        <w:jc w:val="left"/>
        <w:rPr>
          <w:b w:val="0"/>
          <w:bCs/>
          <w:highlight w:val="none"/>
          <w:lang w:val="en-US"/>
        </w:rPr>
      </w:pPr>
      <w:r>
        <w:rPr>
          <w:rFonts w:hint="eastAsia"/>
          <w:b w:val="0"/>
          <w:bCs/>
          <w:highlight w:val="none"/>
        </w:rPr>
        <w:t xml:space="preserve">电话： </w:t>
      </w:r>
      <w:r>
        <w:rPr>
          <w:rFonts w:hint="eastAsia"/>
          <w:b w:val="0"/>
          <w:bCs/>
          <w:highlight w:val="none"/>
          <w:lang w:val="en-US"/>
        </w:rPr>
        <w:t xml:space="preserve">                                                  </w:t>
      </w:r>
    </w:p>
    <w:p w14:paraId="61E78E7C">
      <w:pPr>
        <w:autoSpaceDE/>
        <w:autoSpaceDN/>
        <w:adjustRightInd w:val="0"/>
        <w:snapToGrid w:val="0"/>
        <w:spacing w:line="360" w:lineRule="auto"/>
        <w:ind w:firstLine="480" w:firstLineChars="200"/>
        <w:rPr>
          <w:bCs/>
          <w:spacing w:val="-1"/>
          <w:sz w:val="24"/>
          <w:szCs w:val="24"/>
          <w:highlight w:val="none"/>
        </w:rPr>
      </w:pPr>
      <w:r>
        <w:rPr>
          <w:rFonts w:hint="eastAsia"/>
          <w:bCs/>
          <w:sz w:val="24"/>
          <w:szCs w:val="24"/>
          <w:highlight w:val="none"/>
          <w:lang w:val="en-US"/>
        </w:rPr>
        <w:t>17</w:t>
      </w:r>
      <w:r>
        <w:rPr>
          <w:rFonts w:hint="eastAsia"/>
          <w:bCs/>
          <w:sz w:val="24"/>
          <w:szCs w:val="24"/>
          <w:highlight w:val="none"/>
        </w:rPr>
        <w:t>、我方正式开户银行和帐号为：</w:t>
      </w:r>
    </w:p>
    <w:p w14:paraId="51C1AF91">
      <w:pPr>
        <w:pStyle w:val="9"/>
        <w:spacing w:line="360" w:lineRule="auto"/>
        <w:ind w:firstLine="476" w:firstLineChars="200"/>
        <w:jc w:val="left"/>
        <w:rPr>
          <w:b w:val="0"/>
          <w:bCs/>
          <w:highlight w:val="none"/>
          <w:lang w:val="en-US"/>
        </w:rPr>
      </w:pPr>
      <w:r>
        <w:rPr>
          <w:rFonts w:hint="eastAsia"/>
          <w:b w:val="0"/>
          <w:bCs/>
          <w:spacing w:val="-1"/>
          <w:highlight w:val="none"/>
        </w:rPr>
        <w:t>开</w:t>
      </w:r>
      <w:r>
        <w:rPr>
          <w:rFonts w:hint="eastAsia"/>
          <w:b w:val="0"/>
          <w:bCs/>
          <w:highlight w:val="none"/>
        </w:rPr>
        <w:t xml:space="preserve">户银行： </w:t>
      </w:r>
      <w:r>
        <w:rPr>
          <w:rFonts w:hint="eastAsia"/>
          <w:b w:val="0"/>
          <w:bCs/>
          <w:highlight w:val="none"/>
          <w:lang w:val="en-US"/>
        </w:rPr>
        <w:t xml:space="preserve">                                                      </w:t>
      </w:r>
    </w:p>
    <w:p w14:paraId="6669CC51">
      <w:pPr>
        <w:pStyle w:val="9"/>
        <w:spacing w:line="360" w:lineRule="auto"/>
        <w:ind w:firstLine="476" w:firstLineChars="200"/>
        <w:jc w:val="left"/>
        <w:rPr>
          <w:b w:val="0"/>
          <w:bCs/>
          <w:spacing w:val="38"/>
          <w:highlight w:val="none"/>
        </w:rPr>
      </w:pPr>
      <w:r>
        <w:rPr>
          <w:rFonts w:hint="eastAsia"/>
          <w:b w:val="0"/>
          <w:bCs/>
          <w:spacing w:val="-1"/>
          <w:highlight w:val="none"/>
        </w:rPr>
        <w:t>银</w:t>
      </w:r>
      <w:r>
        <w:rPr>
          <w:rFonts w:hint="eastAsia"/>
          <w:b w:val="0"/>
          <w:bCs/>
          <w:highlight w:val="none"/>
        </w:rPr>
        <w:t xml:space="preserve">行账号： </w:t>
      </w:r>
      <w:r>
        <w:rPr>
          <w:rFonts w:hint="eastAsia"/>
          <w:b w:val="0"/>
          <w:bCs/>
          <w:highlight w:val="none"/>
          <w:lang w:val="en-US"/>
        </w:rPr>
        <w:t xml:space="preserve">                                       </w:t>
      </w:r>
      <w:r>
        <w:rPr>
          <w:rFonts w:hint="eastAsia"/>
          <w:b w:val="0"/>
          <w:bCs/>
          <w:spacing w:val="-1"/>
          <w:highlight w:val="none"/>
        </w:rPr>
        <w:t xml:space="preserve">            </w:t>
      </w:r>
      <w:r>
        <w:rPr>
          <w:rFonts w:hint="eastAsia"/>
          <w:b w:val="0"/>
          <w:bCs/>
          <w:spacing w:val="38"/>
          <w:highlight w:val="none"/>
        </w:rPr>
        <w:t xml:space="preserve"> </w:t>
      </w:r>
    </w:p>
    <w:p w14:paraId="3EB1E451">
      <w:pPr>
        <w:pStyle w:val="9"/>
        <w:spacing w:line="360" w:lineRule="auto"/>
        <w:ind w:firstLine="480" w:firstLineChars="200"/>
        <w:jc w:val="left"/>
        <w:rPr>
          <w:b w:val="0"/>
          <w:bCs/>
          <w:spacing w:val="-17"/>
          <w:highlight w:val="none"/>
        </w:rPr>
      </w:pPr>
      <w:r>
        <w:rPr>
          <w:rFonts w:hint="eastAsia"/>
          <w:b w:val="0"/>
          <w:bCs/>
          <w:highlight w:val="none"/>
        </w:rPr>
        <w:t>投标人名称：</w:t>
      </w:r>
      <w:r>
        <w:rPr>
          <w:rFonts w:hint="eastAsia"/>
          <w:b w:val="0"/>
          <w:bCs/>
          <w:highlight w:val="none"/>
          <w:u w:val="single"/>
        </w:rPr>
        <w:t xml:space="preserve"> </w:t>
      </w:r>
      <w:r>
        <w:rPr>
          <w:rFonts w:hint="eastAsia"/>
          <w:b w:val="0"/>
          <w:bCs/>
          <w:highlight w:val="none"/>
          <w:u w:val="single"/>
        </w:rPr>
        <w:tab/>
      </w:r>
      <w:r>
        <w:rPr>
          <w:rFonts w:hint="eastAsia"/>
          <w:b w:val="0"/>
          <w:bCs/>
          <w:highlight w:val="none"/>
          <w:u w:val="single"/>
        </w:rPr>
        <w:tab/>
      </w:r>
      <w:r>
        <w:rPr>
          <w:rFonts w:hint="eastAsia"/>
          <w:b w:val="0"/>
          <w:bCs/>
          <w:highlight w:val="none"/>
        </w:rPr>
        <w:t>（盖章</w:t>
      </w:r>
      <w:r>
        <w:rPr>
          <w:rFonts w:hint="eastAsia"/>
          <w:b w:val="0"/>
          <w:bCs/>
          <w:spacing w:val="-17"/>
          <w:highlight w:val="none"/>
        </w:rPr>
        <w:t xml:space="preserve">） </w:t>
      </w:r>
    </w:p>
    <w:p w14:paraId="0D870706">
      <w:pPr>
        <w:pStyle w:val="9"/>
        <w:spacing w:line="360" w:lineRule="auto"/>
        <w:ind w:firstLine="480" w:firstLineChars="200"/>
        <w:jc w:val="left"/>
        <w:rPr>
          <w:b w:val="0"/>
          <w:bCs/>
          <w:highlight w:val="none"/>
        </w:rPr>
      </w:pPr>
      <w:r>
        <w:rPr>
          <w:rFonts w:hint="eastAsia"/>
          <w:b w:val="0"/>
          <w:bCs/>
          <w:highlight w:val="none"/>
        </w:rPr>
        <w:t>日</w:t>
      </w:r>
      <w:r>
        <w:rPr>
          <w:rFonts w:hint="eastAsia"/>
          <w:b w:val="0"/>
          <w:bCs/>
          <w:highlight w:val="none"/>
          <w:lang w:val="en-US"/>
        </w:rPr>
        <w:t xml:space="preserve">     </w:t>
      </w:r>
      <w:r>
        <w:rPr>
          <w:rFonts w:hint="eastAsia"/>
          <w:b w:val="0"/>
          <w:bCs/>
          <w:highlight w:val="none"/>
        </w:rPr>
        <w:t xml:space="preserve">期： </w:t>
      </w:r>
      <w:r>
        <w:rPr>
          <w:rFonts w:hint="eastAsia"/>
          <w:b w:val="0"/>
          <w:bCs/>
          <w:highlight w:val="none"/>
          <w:lang w:val="en-US"/>
        </w:rPr>
        <w:t xml:space="preserve">      </w:t>
      </w:r>
      <w:r>
        <w:rPr>
          <w:rFonts w:hint="eastAsia"/>
          <w:b w:val="0"/>
          <w:bCs/>
          <w:highlight w:val="none"/>
        </w:rPr>
        <w:t xml:space="preserve">年 </w:t>
      </w:r>
      <w:r>
        <w:rPr>
          <w:rFonts w:hint="eastAsia"/>
          <w:b w:val="0"/>
          <w:bCs/>
          <w:highlight w:val="none"/>
          <w:lang w:val="en-US"/>
        </w:rPr>
        <w:t xml:space="preserve">     </w:t>
      </w:r>
      <w:r>
        <w:rPr>
          <w:rFonts w:hint="eastAsia"/>
          <w:b w:val="0"/>
          <w:bCs/>
          <w:highlight w:val="none"/>
        </w:rPr>
        <w:t xml:space="preserve">月 </w:t>
      </w:r>
      <w:r>
        <w:rPr>
          <w:rFonts w:hint="eastAsia"/>
          <w:b w:val="0"/>
          <w:bCs/>
          <w:highlight w:val="none"/>
          <w:lang w:val="en-US"/>
        </w:rPr>
        <w:t xml:space="preserve">     </w:t>
      </w:r>
      <w:r>
        <w:rPr>
          <w:rFonts w:hint="eastAsia"/>
          <w:b w:val="0"/>
          <w:bCs/>
          <w:highlight w:val="none"/>
        </w:rPr>
        <w:t>日</w:t>
      </w:r>
    </w:p>
    <w:p w14:paraId="195C3AB0">
      <w:pPr>
        <w:adjustRightInd w:val="0"/>
        <w:snapToGrid w:val="0"/>
        <w:spacing w:line="360" w:lineRule="auto"/>
        <w:rPr>
          <w:bCs/>
          <w:sz w:val="24"/>
          <w:szCs w:val="24"/>
          <w:highlight w:val="none"/>
        </w:rPr>
        <w:sectPr>
          <w:pgSz w:w="11910" w:h="16840"/>
          <w:pgMar w:top="1440" w:right="1423" w:bottom="920" w:left="1423" w:header="492" w:footer="726" w:gutter="0"/>
          <w:cols w:space="720" w:num="1"/>
          <w:docGrid w:linePitch="312" w:charSpace="0"/>
        </w:sectPr>
      </w:pPr>
    </w:p>
    <w:p w14:paraId="3EEB6D08">
      <w:pPr>
        <w:pStyle w:val="9"/>
        <w:spacing w:line="360" w:lineRule="auto"/>
        <w:rPr>
          <w:highlight w:val="none"/>
        </w:rPr>
      </w:pPr>
      <w:r>
        <w:rPr>
          <w:rFonts w:hint="eastAsia"/>
          <w:highlight w:val="none"/>
          <w:lang w:val="en-US"/>
        </w:rPr>
        <w:t>3.2</w:t>
      </w:r>
      <w:r>
        <w:rPr>
          <w:rFonts w:hint="eastAsia"/>
          <w:highlight w:val="none"/>
        </w:rPr>
        <w:t>、法定代表人授权委托书及委托代理人的身份证明文件的</w:t>
      </w:r>
      <w:r>
        <w:rPr>
          <w:rFonts w:hint="eastAsia"/>
          <w:highlight w:val="none"/>
          <w:lang w:val="en-US"/>
        </w:rPr>
        <w:t>扫描件</w:t>
      </w:r>
    </w:p>
    <w:p w14:paraId="208A5A10">
      <w:pPr>
        <w:adjustRightInd w:val="0"/>
        <w:snapToGrid w:val="0"/>
        <w:spacing w:line="360" w:lineRule="auto"/>
        <w:jc w:val="center"/>
        <w:rPr>
          <w:b/>
          <w:sz w:val="24"/>
          <w:szCs w:val="24"/>
          <w:highlight w:val="none"/>
        </w:rPr>
      </w:pPr>
      <w:r>
        <w:rPr>
          <w:rFonts w:hint="eastAsia"/>
          <w:b/>
          <w:bCs/>
          <w:sz w:val="24"/>
          <w:szCs w:val="24"/>
          <w:highlight w:val="none"/>
        </w:rPr>
        <w:t>法定代表人授权委托书</w:t>
      </w:r>
    </w:p>
    <w:p w14:paraId="69EF3401">
      <w:pPr>
        <w:widowControl/>
        <w:shd w:val="clear" w:color="auto" w:fill="FFFFFF"/>
        <w:autoSpaceDE/>
        <w:autoSpaceDN/>
        <w:adjustRightInd w:val="0"/>
        <w:snapToGrid w:val="0"/>
        <w:spacing w:line="360" w:lineRule="auto"/>
        <w:ind w:firstLine="480" w:firstLineChars="200"/>
        <w:jc w:val="both"/>
        <w:rPr>
          <w:bCs/>
          <w:sz w:val="24"/>
          <w:szCs w:val="24"/>
          <w:highlight w:val="none"/>
          <w:lang w:val="en-US" w:bidi="ar-SA"/>
        </w:rPr>
      </w:pPr>
      <w:r>
        <w:rPr>
          <w:rFonts w:hint="eastAsia"/>
          <w:sz w:val="24"/>
          <w:szCs w:val="24"/>
          <w:highlight w:val="none"/>
          <w:lang w:bidi="ar-SA"/>
        </w:rPr>
        <w:t>致：XXXXXXXX</w:t>
      </w:r>
      <w:r>
        <w:rPr>
          <w:rFonts w:hint="eastAsia"/>
          <w:sz w:val="24"/>
          <w:szCs w:val="24"/>
          <w:highlight w:val="none"/>
          <w:lang w:val="en-US" w:bidi="ar-SA"/>
        </w:rPr>
        <w:t>(采购人)</w:t>
      </w:r>
    </w:p>
    <w:p w14:paraId="1D01DEA5">
      <w:pPr>
        <w:pStyle w:val="11"/>
        <w:adjustRightInd w:val="0"/>
        <w:snapToGrid w:val="0"/>
        <w:spacing w:line="360" w:lineRule="auto"/>
        <w:ind w:left="0" w:leftChars="0" w:firstLine="960" w:firstLineChars="400"/>
        <w:rPr>
          <w:sz w:val="24"/>
          <w:szCs w:val="24"/>
          <w:highlight w:val="none"/>
        </w:rPr>
      </w:pPr>
      <w:r>
        <w:rPr>
          <w:rFonts w:hint="eastAsia"/>
          <w:sz w:val="24"/>
          <w:szCs w:val="24"/>
          <w:highlight w:val="none"/>
          <w:lang w:val="en-US"/>
        </w:rPr>
        <w:t>江苏金永诚建设投资管理咨询有限公司</w:t>
      </w:r>
    </w:p>
    <w:p w14:paraId="2F396218">
      <w:pPr>
        <w:pStyle w:val="9"/>
        <w:spacing w:line="360" w:lineRule="auto"/>
        <w:ind w:firstLine="480" w:firstLineChars="200"/>
        <w:jc w:val="left"/>
        <w:rPr>
          <w:b w:val="0"/>
          <w:bCs/>
          <w:highlight w:val="none"/>
        </w:rPr>
      </w:pPr>
      <w:r>
        <w:rPr>
          <w:rFonts w:hint="eastAsia"/>
          <w:b w:val="0"/>
          <w:bCs/>
          <w:highlight w:val="none"/>
        </w:rPr>
        <w:t>本授权书声明：注册于</w:t>
      </w:r>
      <w:r>
        <w:rPr>
          <w:rFonts w:hint="eastAsia"/>
          <w:b w:val="0"/>
          <w:bCs/>
          <w:highlight w:val="none"/>
          <w:u w:val="single"/>
        </w:rPr>
        <w:t xml:space="preserve"> </w:t>
      </w:r>
      <w:r>
        <w:rPr>
          <w:rFonts w:hint="eastAsia"/>
          <w:b w:val="0"/>
          <w:bCs/>
          <w:highlight w:val="none"/>
          <w:u w:val="single"/>
          <w:lang w:val="en-US"/>
        </w:rPr>
        <w:t xml:space="preserve">        </w:t>
      </w:r>
      <w:r>
        <w:rPr>
          <w:rFonts w:hint="eastAsia"/>
          <w:b w:val="0"/>
          <w:bCs/>
          <w:highlight w:val="none"/>
          <w:lang w:val="en-US"/>
        </w:rPr>
        <w:t>(</w:t>
      </w:r>
      <w:r>
        <w:rPr>
          <w:rFonts w:hint="eastAsia"/>
          <w:b w:val="0"/>
          <w:bCs/>
          <w:highlight w:val="none"/>
        </w:rPr>
        <w:t>投标人住址</w:t>
      </w:r>
      <w:r>
        <w:rPr>
          <w:rFonts w:hint="eastAsia"/>
          <w:b w:val="0"/>
          <w:bCs/>
          <w:spacing w:val="-17"/>
          <w:highlight w:val="none"/>
          <w:lang w:val="en-US"/>
        </w:rPr>
        <w:t>)</w:t>
      </w:r>
      <w:r>
        <w:rPr>
          <w:rFonts w:hint="eastAsia"/>
          <w:b w:val="0"/>
          <w:bCs/>
          <w:highlight w:val="none"/>
        </w:rPr>
        <w:t>的</w:t>
      </w:r>
      <w:r>
        <w:rPr>
          <w:rFonts w:hint="eastAsia"/>
          <w:b w:val="0"/>
          <w:bCs/>
          <w:highlight w:val="none"/>
          <w:u w:val="single"/>
        </w:rPr>
        <w:t xml:space="preserve"> </w:t>
      </w:r>
      <w:r>
        <w:rPr>
          <w:rFonts w:hint="eastAsia"/>
          <w:b w:val="0"/>
          <w:bCs/>
          <w:highlight w:val="none"/>
          <w:u w:val="single"/>
          <w:lang w:val="en-US"/>
        </w:rPr>
        <w:t xml:space="preserve">              </w:t>
      </w:r>
      <w:r>
        <w:rPr>
          <w:rFonts w:hint="eastAsia"/>
          <w:b w:val="0"/>
          <w:bCs/>
          <w:highlight w:val="none"/>
          <w:lang w:val="en-US"/>
        </w:rPr>
        <w:t>(</w:t>
      </w:r>
      <w:r>
        <w:rPr>
          <w:rFonts w:hint="eastAsia"/>
          <w:b w:val="0"/>
          <w:bCs/>
          <w:highlight w:val="none"/>
        </w:rPr>
        <w:t>投标人名称</w:t>
      </w:r>
      <w:r>
        <w:rPr>
          <w:rFonts w:hint="eastAsia"/>
          <w:b w:val="0"/>
          <w:bCs/>
          <w:highlight w:val="none"/>
          <w:lang w:val="en-US"/>
        </w:rPr>
        <w:t>)</w:t>
      </w:r>
      <w:r>
        <w:rPr>
          <w:rFonts w:hint="eastAsia"/>
          <w:b w:val="0"/>
          <w:bCs/>
          <w:highlight w:val="none"/>
        </w:rPr>
        <w:t>法定代表人</w:t>
      </w:r>
      <w:r>
        <w:rPr>
          <w:rFonts w:hint="eastAsia"/>
          <w:b w:val="0"/>
          <w:bCs/>
          <w:highlight w:val="none"/>
          <w:u w:val="single"/>
        </w:rPr>
        <w:t xml:space="preserve"> </w:t>
      </w:r>
      <w:r>
        <w:rPr>
          <w:rFonts w:hint="eastAsia"/>
          <w:b w:val="0"/>
          <w:bCs/>
          <w:highlight w:val="none"/>
        </w:rPr>
        <w:t>（法定代表人姓名、职务）代表本公司授权</w:t>
      </w:r>
      <w:r>
        <w:rPr>
          <w:rFonts w:hint="eastAsia"/>
          <w:b w:val="0"/>
          <w:bCs/>
          <w:highlight w:val="none"/>
          <w:u w:val="single"/>
          <w:lang w:val="en-US"/>
        </w:rPr>
        <w:t xml:space="preserve">                  </w:t>
      </w:r>
      <w:r>
        <w:rPr>
          <w:rFonts w:hint="eastAsia"/>
          <w:b w:val="0"/>
          <w:bCs/>
          <w:spacing w:val="-3"/>
          <w:highlight w:val="none"/>
        </w:rPr>
        <w:t>（</w:t>
      </w:r>
      <w:r>
        <w:rPr>
          <w:rFonts w:hint="eastAsia"/>
          <w:b w:val="0"/>
          <w:bCs/>
          <w:highlight w:val="none"/>
        </w:rPr>
        <w:t>投标人代表姓名</w:t>
      </w:r>
      <w:r>
        <w:rPr>
          <w:rFonts w:hint="eastAsia"/>
          <w:b w:val="0"/>
          <w:bCs/>
          <w:spacing w:val="-12"/>
          <w:highlight w:val="none"/>
        </w:rPr>
        <w:t>、</w:t>
      </w:r>
      <w:r>
        <w:rPr>
          <w:rFonts w:hint="eastAsia"/>
          <w:b w:val="0"/>
          <w:bCs/>
          <w:highlight w:val="none"/>
        </w:rPr>
        <w:t>职务</w:t>
      </w:r>
      <w:r>
        <w:rPr>
          <w:rFonts w:hint="eastAsia"/>
          <w:b w:val="0"/>
          <w:bCs/>
          <w:spacing w:val="-12"/>
          <w:highlight w:val="none"/>
        </w:rPr>
        <w:t>）</w:t>
      </w:r>
      <w:r>
        <w:rPr>
          <w:rFonts w:hint="eastAsia"/>
          <w:b w:val="0"/>
          <w:bCs/>
          <w:highlight w:val="none"/>
        </w:rPr>
        <w:t>为本公司的合法代理人</w:t>
      </w:r>
      <w:r>
        <w:rPr>
          <w:rFonts w:hint="eastAsia"/>
          <w:b w:val="0"/>
          <w:bCs/>
          <w:spacing w:val="-12"/>
          <w:highlight w:val="none"/>
        </w:rPr>
        <w:t>，</w:t>
      </w:r>
      <w:r>
        <w:rPr>
          <w:rFonts w:hint="eastAsia"/>
          <w:b w:val="0"/>
          <w:bCs/>
          <w:highlight w:val="none"/>
        </w:rPr>
        <w:t>就贵方组织的</w:t>
      </w:r>
      <w:r>
        <w:rPr>
          <w:rFonts w:hint="eastAsia"/>
          <w:b w:val="0"/>
          <w:bCs/>
          <w:highlight w:val="none"/>
          <w:u w:val="single"/>
        </w:rPr>
        <w:t xml:space="preserve">  </w:t>
      </w:r>
      <w:r>
        <w:rPr>
          <w:rFonts w:hint="eastAsia"/>
          <w:b w:val="0"/>
          <w:bCs/>
          <w:highlight w:val="none"/>
          <w:u w:val="single"/>
          <w:lang w:val="en-US"/>
        </w:rPr>
        <w:t xml:space="preserve">            </w:t>
      </w:r>
      <w:r>
        <w:rPr>
          <w:rFonts w:hint="eastAsia"/>
          <w:b w:val="0"/>
          <w:bCs/>
          <w:highlight w:val="none"/>
          <w:lang w:val="en-US"/>
        </w:rPr>
        <w:t>(</w:t>
      </w:r>
      <w:r>
        <w:rPr>
          <w:rFonts w:hint="eastAsia"/>
          <w:b w:val="0"/>
          <w:bCs/>
          <w:highlight w:val="none"/>
        </w:rPr>
        <w:t>项目名称</w:t>
      </w:r>
      <w:r>
        <w:rPr>
          <w:rFonts w:hint="eastAsia"/>
          <w:b w:val="0"/>
          <w:bCs/>
          <w:highlight w:val="none"/>
          <w:lang w:val="en-US"/>
        </w:rPr>
        <w:t>)</w:t>
      </w:r>
      <w:r>
        <w:rPr>
          <w:rFonts w:hint="eastAsia"/>
          <w:b w:val="0"/>
          <w:bCs/>
          <w:highlight w:val="none"/>
          <w:u w:val="single"/>
          <w:lang w:val="en-US"/>
        </w:rPr>
        <w:t xml:space="preserve">         </w:t>
      </w:r>
      <w:r>
        <w:rPr>
          <w:rFonts w:hint="eastAsia"/>
          <w:b w:val="0"/>
          <w:bCs/>
          <w:highlight w:val="none"/>
        </w:rPr>
        <w:t>（项目编号）进行投标，以本公司名义处理一切与之有关的事务。</w:t>
      </w:r>
    </w:p>
    <w:p w14:paraId="013A955D">
      <w:pPr>
        <w:widowControl/>
        <w:adjustRightInd w:val="0"/>
        <w:snapToGrid w:val="0"/>
        <w:spacing w:line="360" w:lineRule="auto"/>
        <w:ind w:firstLine="480" w:firstLineChars="200"/>
        <w:jc w:val="both"/>
        <w:rPr>
          <w:bCs/>
          <w:sz w:val="24"/>
          <w:szCs w:val="24"/>
          <w:highlight w:val="none"/>
        </w:rPr>
      </w:pPr>
      <w:r>
        <w:rPr>
          <w:rFonts w:hint="eastAsia"/>
          <w:bCs/>
          <w:sz w:val="24"/>
          <w:szCs w:val="24"/>
          <w:highlight w:val="none"/>
        </w:rPr>
        <w:t>特此声明！</w:t>
      </w:r>
    </w:p>
    <w:p w14:paraId="18B2D52A">
      <w:pPr>
        <w:widowControl/>
        <w:adjustRightInd w:val="0"/>
        <w:snapToGrid w:val="0"/>
        <w:spacing w:line="360" w:lineRule="auto"/>
        <w:ind w:firstLine="480" w:firstLineChars="200"/>
        <w:rPr>
          <w:bCs/>
          <w:sz w:val="24"/>
          <w:szCs w:val="24"/>
          <w:highlight w:val="none"/>
          <w:u w:val="single"/>
        </w:rPr>
      </w:pPr>
      <w:r>
        <w:rPr>
          <w:rFonts w:hint="eastAsia"/>
          <w:bCs/>
          <w:sz w:val="24"/>
          <w:szCs w:val="24"/>
          <w:highlight w:val="none"/>
        </w:rPr>
        <w:t>法定代表人签字</w:t>
      </w:r>
      <w:r>
        <w:rPr>
          <w:rFonts w:hint="eastAsia"/>
          <w:bCs/>
          <w:sz w:val="24"/>
          <w:szCs w:val="24"/>
          <w:highlight w:val="none"/>
          <w:lang w:val="en-US"/>
        </w:rPr>
        <w:t>或签章</w:t>
      </w:r>
      <w:r>
        <w:rPr>
          <w:rFonts w:hint="eastAsia"/>
          <w:bCs/>
          <w:sz w:val="24"/>
          <w:szCs w:val="24"/>
          <w:highlight w:val="none"/>
        </w:rPr>
        <w:t>：</w:t>
      </w:r>
      <w:r>
        <w:rPr>
          <w:rFonts w:hint="eastAsia"/>
          <w:bCs/>
          <w:sz w:val="24"/>
          <w:szCs w:val="24"/>
          <w:highlight w:val="none"/>
          <w:u w:val="single"/>
          <w:lang w:val="en-US"/>
        </w:rPr>
        <w:t xml:space="preserve">                </w:t>
      </w:r>
    </w:p>
    <w:p w14:paraId="0CA75719">
      <w:pPr>
        <w:widowControl/>
        <w:adjustRightInd w:val="0"/>
        <w:snapToGrid w:val="0"/>
        <w:spacing w:line="360" w:lineRule="auto"/>
        <w:ind w:firstLine="480" w:firstLineChars="200"/>
        <w:rPr>
          <w:bCs/>
          <w:sz w:val="24"/>
          <w:szCs w:val="24"/>
          <w:highlight w:val="none"/>
          <w:u w:val="single"/>
        </w:rPr>
      </w:pPr>
      <w:r>
        <w:rPr>
          <w:rFonts w:hint="eastAsia"/>
          <w:bCs/>
          <w:sz w:val="24"/>
          <w:szCs w:val="24"/>
          <w:highlight w:val="none"/>
          <w:lang w:val="en-US"/>
        </w:rPr>
        <w:t>投标人</w:t>
      </w:r>
      <w:r>
        <w:rPr>
          <w:rFonts w:hint="eastAsia"/>
          <w:bCs/>
          <w:sz w:val="24"/>
          <w:szCs w:val="24"/>
          <w:highlight w:val="none"/>
        </w:rPr>
        <w:t>名称（公章）：</w:t>
      </w:r>
      <w:r>
        <w:rPr>
          <w:rFonts w:hint="eastAsia"/>
          <w:bCs/>
          <w:sz w:val="24"/>
          <w:szCs w:val="24"/>
          <w:highlight w:val="none"/>
          <w:u w:val="single"/>
        </w:rPr>
        <w:t xml:space="preserve">                 </w:t>
      </w:r>
    </w:p>
    <w:p w14:paraId="00EFA488">
      <w:pPr>
        <w:pStyle w:val="9"/>
        <w:spacing w:line="360" w:lineRule="auto"/>
        <w:rPr>
          <w:b w:val="0"/>
          <w:bCs/>
          <w:highlight w:val="none"/>
        </w:rPr>
      </w:pPr>
      <w:r>
        <w:rPr>
          <w:rFonts w:hint="eastAsia"/>
          <w:b w:val="0"/>
          <w:bCs/>
          <w:highlight w:val="none"/>
        </w:rPr>
        <w:t xml:space="preserve">日     </w:t>
      </w:r>
      <w:r>
        <w:rPr>
          <w:rFonts w:hint="eastAsia"/>
          <w:b w:val="0"/>
          <w:bCs/>
          <w:highlight w:val="none"/>
          <w:lang w:val="en-US"/>
        </w:rPr>
        <w:t xml:space="preserve">  </w:t>
      </w:r>
      <w:r>
        <w:rPr>
          <w:rFonts w:hint="eastAsia"/>
          <w:b w:val="0"/>
          <w:bCs/>
          <w:highlight w:val="none"/>
        </w:rPr>
        <w:t xml:space="preserve">   期：      年    月    日</w:t>
      </w:r>
    </w:p>
    <w:p w14:paraId="143E8DB9">
      <w:pPr>
        <w:pStyle w:val="9"/>
        <w:spacing w:line="360" w:lineRule="auto"/>
        <w:rPr>
          <w:highlight w:val="none"/>
        </w:rPr>
      </w:pPr>
    </w:p>
    <w:tbl>
      <w:tblPr>
        <w:tblStyle w:val="21"/>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0"/>
      </w:tblGrid>
      <w:tr w14:paraId="6BEFE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2" w:hRule="atLeast"/>
          <w:jc w:val="center"/>
        </w:trPr>
        <w:tc>
          <w:tcPr>
            <w:tcW w:w="9620" w:type="dxa"/>
            <w:tcBorders>
              <w:top w:val="single" w:color="auto" w:sz="4" w:space="0"/>
              <w:left w:val="single" w:color="auto" w:sz="4" w:space="0"/>
              <w:bottom w:val="single" w:color="auto" w:sz="4" w:space="0"/>
              <w:right w:val="single" w:color="auto" w:sz="4" w:space="0"/>
            </w:tcBorders>
            <w:noWrap/>
          </w:tcPr>
          <w:p w14:paraId="41449A58">
            <w:pPr>
              <w:adjustRightInd w:val="0"/>
              <w:snapToGrid w:val="0"/>
              <w:spacing w:line="360" w:lineRule="auto"/>
              <w:rPr>
                <w:kern w:val="2"/>
                <w:sz w:val="24"/>
                <w:szCs w:val="24"/>
                <w:highlight w:val="none"/>
              </w:rPr>
            </w:pPr>
            <w:r>
              <w:rPr>
                <w:rFonts w:hint="eastAsia"/>
                <w:kern w:val="2"/>
                <w:sz w:val="24"/>
                <w:szCs w:val="24"/>
                <w:highlight w:val="none"/>
                <w:lang w:val="en-US"/>
              </w:rPr>
              <w:t>委托代理人</w:t>
            </w:r>
            <w:r>
              <w:rPr>
                <w:rFonts w:hint="eastAsia"/>
                <w:kern w:val="2"/>
                <w:sz w:val="24"/>
                <w:szCs w:val="24"/>
                <w:highlight w:val="none"/>
              </w:rPr>
              <w:t>身份证</w:t>
            </w:r>
          </w:p>
        </w:tc>
      </w:tr>
    </w:tbl>
    <w:p w14:paraId="3B7AA34E">
      <w:pPr>
        <w:adjustRightInd w:val="0"/>
        <w:snapToGrid w:val="0"/>
        <w:spacing w:line="360" w:lineRule="auto"/>
        <w:jc w:val="center"/>
        <w:rPr>
          <w:sz w:val="24"/>
          <w:szCs w:val="24"/>
          <w:highlight w:val="none"/>
        </w:rPr>
        <w:sectPr>
          <w:pgSz w:w="11910" w:h="16840"/>
          <w:pgMar w:top="1440" w:right="1423" w:bottom="920" w:left="1423" w:header="492" w:footer="726" w:gutter="0"/>
          <w:cols w:space="720" w:num="1"/>
          <w:docGrid w:linePitch="312" w:charSpace="0"/>
        </w:sectPr>
      </w:pPr>
    </w:p>
    <w:p w14:paraId="5EB3FF76">
      <w:pPr>
        <w:pStyle w:val="9"/>
        <w:spacing w:line="360" w:lineRule="auto"/>
        <w:rPr>
          <w:highlight w:val="none"/>
        </w:rPr>
      </w:pPr>
      <w:r>
        <w:rPr>
          <w:rFonts w:hint="eastAsia"/>
          <w:highlight w:val="none"/>
          <w:lang w:val="en-US"/>
        </w:rPr>
        <w:t>3.3</w:t>
      </w:r>
      <w:r>
        <w:rPr>
          <w:rFonts w:hint="eastAsia"/>
          <w:highlight w:val="none"/>
        </w:rPr>
        <w:t>、第一章招标公告中“1.满足《中华人民共和国政府采购法》第二十二条规定”的证明文件</w:t>
      </w:r>
    </w:p>
    <w:p w14:paraId="4260C85F">
      <w:pPr>
        <w:keepNext/>
        <w:keepLines/>
        <w:adjustRightInd w:val="0"/>
        <w:snapToGrid w:val="0"/>
        <w:spacing w:line="360" w:lineRule="auto"/>
        <w:rPr>
          <w:sz w:val="24"/>
          <w:szCs w:val="24"/>
          <w:highlight w:val="none"/>
        </w:rPr>
      </w:pPr>
      <w:r>
        <w:rPr>
          <w:rFonts w:hint="eastAsia"/>
          <w:sz w:val="24"/>
          <w:szCs w:val="24"/>
          <w:highlight w:val="none"/>
        </w:rPr>
        <w:t>一、具有独立承担民事责任的能力：</w:t>
      </w:r>
    </w:p>
    <w:p w14:paraId="2CCFBDB2">
      <w:pPr>
        <w:pStyle w:val="9"/>
        <w:spacing w:line="360" w:lineRule="auto"/>
        <w:jc w:val="left"/>
        <w:rPr>
          <w:b w:val="0"/>
          <w:highlight w:val="none"/>
        </w:rPr>
      </w:pPr>
      <w:r>
        <w:rPr>
          <w:rFonts w:hint="eastAsia"/>
          <w:b w:val="0"/>
          <w:highlight w:val="none"/>
        </w:rPr>
        <w:t>1、如投标人是企业（包括合作企业）的，应提供在工商部门注册的有效“企业法</w:t>
      </w:r>
      <w:r>
        <w:rPr>
          <w:rFonts w:hint="eastAsia"/>
          <w:b w:val="0"/>
          <w:spacing w:val="-5"/>
          <w:highlight w:val="none"/>
        </w:rPr>
        <w:t>人营业执照”或“营业执照”</w:t>
      </w:r>
      <w:r>
        <w:rPr>
          <w:rFonts w:hint="eastAsia"/>
          <w:b w:val="0"/>
          <w:highlight w:val="none"/>
        </w:rPr>
        <w:t>；</w:t>
      </w:r>
    </w:p>
    <w:p w14:paraId="096B4A56">
      <w:pPr>
        <w:pStyle w:val="9"/>
        <w:spacing w:line="360" w:lineRule="auto"/>
        <w:jc w:val="left"/>
        <w:rPr>
          <w:b w:val="0"/>
          <w:highlight w:val="none"/>
        </w:rPr>
      </w:pPr>
      <w:r>
        <w:rPr>
          <w:rFonts w:hint="eastAsia"/>
          <w:b w:val="0"/>
          <w:highlight w:val="none"/>
        </w:rPr>
        <w:t>2、如投标人是事业单位的，应提供有效的“事业单位法人证书”；</w:t>
      </w:r>
    </w:p>
    <w:p w14:paraId="3C6AC2CF">
      <w:pPr>
        <w:pStyle w:val="9"/>
        <w:spacing w:line="360" w:lineRule="auto"/>
        <w:jc w:val="left"/>
        <w:rPr>
          <w:b w:val="0"/>
          <w:highlight w:val="none"/>
        </w:rPr>
      </w:pPr>
      <w:r>
        <w:rPr>
          <w:rFonts w:hint="eastAsia"/>
          <w:b w:val="0"/>
          <w:highlight w:val="none"/>
        </w:rPr>
        <w:t>3、如投标人是非企业专业服务机构的，应提供有效的执业许可证等证明文件；</w:t>
      </w:r>
    </w:p>
    <w:p w14:paraId="0582F4BC">
      <w:pPr>
        <w:pStyle w:val="9"/>
        <w:spacing w:line="360" w:lineRule="auto"/>
        <w:jc w:val="left"/>
        <w:rPr>
          <w:b w:val="0"/>
          <w:highlight w:val="none"/>
        </w:rPr>
      </w:pPr>
      <w:r>
        <w:rPr>
          <w:rFonts w:hint="eastAsia"/>
          <w:b w:val="0"/>
          <w:highlight w:val="none"/>
        </w:rPr>
        <w:t>4、如投标人是个体工商户的，应提供有效的“个体工商户营业执照”；</w:t>
      </w:r>
    </w:p>
    <w:p w14:paraId="1503E8DF">
      <w:pPr>
        <w:pStyle w:val="9"/>
        <w:spacing w:line="360" w:lineRule="auto"/>
        <w:jc w:val="left"/>
        <w:rPr>
          <w:b w:val="0"/>
          <w:highlight w:val="none"/>
        </w:rPr>
      </w:pPr>
      <w:r>
        <w:rPr>
          <w:rFonts w:hint="eastAsia"/>
          <w:b w:val="0"/>
          <w:highlight w:val="none"/>
        </w:rPr>
        <w:t>5、如投标人是自然人的，应提供有效的自然人身份证明。</w:t>
      </w:r>
    </w:p>
    <w:p w14:paraId="03173A8E">
      <w:pPr>
        <w:pStyle w:val="9"/>
        <w:spacing w:line="360" w:lineRule="auto"/>
        <w:jc w:val="left"/>
        <w:rPr>
          <w:b w:val="0"/>
          <w:highlight w:val="none"/>
        </w:rPr>
      </w:pPr>
      <w:r>
        <w:rPr>
          <w:rFonts w:hint="eastAsia"/>
          <w:kern w:val="2"/>
          <w:highlight w:val="none"/>
          <w:lang w:val="en-US"/>
        </w:rPr>
        <w:t>备注：经总公司授权，其省级分公司可以代表总公司参与投标。须提供总公司授权书及营业执照。</w:t>
      </w:r>
    </w:p>
    <w:p w14:paraId="4CFF663E">
      <w:pPr>
        <w:adjustRightInd w:val="0"/>
        <w:snapToGrid w:val="0"/>
        <w:spacing w:line="360" w:lineRule="auto"/>
        <w:rPr>
          <w:sz w:val="24"/>
          <w:szCs w:val="24"/>
          <w:highlight w:val="none"/>
        </w:rPr>
      </w:pPr>
      <w:r>
        <w:rPr>
          <w:rFonts w:hint="eastAsia"/>
          <w:sz w:val="24"/>
          <w:szCs w:val="24"/>
          <w:highlight w:val="none"/>
          <w:lang w:val="en-US"/>
        </w:rPr>
        <w:t>二、</w:t>
      </w:r>
      <w:r>
        <w:rPr>
          <w:rFonts w:hint="eastAsia"/>
          <w:sz w:val="24"/>
          <w:szCs w:val="24"/>
          <w:highlight w:val="none"/>
        </w:rPr>
        <w:t>具有良好的商业信誉和健全的财务会计制度：</w:t>
      </w:r>
    </w:p>
    <w:p w14:paraId="21890301">
      <w:pPr>
        <w:pStyle w:val="9"/>
        <w:spacing w:line="360" w:lineRule="auto"/>
        <w:jc w:val="left"/>
        <w:rPr>
          <w:b w:val="0"/>
          <w:highlight w:val="none"/>
        </w:rPr>
      </w:pPr>
      <w:r>
        <w:rPr>
          <w:rFonts w:hint="eastAsia"/>
          <w:b w:val="0"/>
          <w:highlight w:val="none"/>
        </w:rPr>
        <w:t>1、健全的财务会计制度指投标人能够严格执行现行的财务会计管理制度，财务管理制度清晰，能够按规定真实、全面地反映企业的生产经营活动；</w:t>
      </w:r>
    </w:p>
    <w:p w14:paraId="79B7C022">
      <w:pPr>
        <w:pStyle w:val="9"/>
        <w:spacing w:line="360" w:lineRule="auto"/>
        <w:jc w:val="left"/>
        <w:rPr>
          <w:b w:val="0"/>
          <w:highlight w:val="none"/>
        </w:rPr>
      </w:pPr>
      <w:r>
        <w:rPr>
          <w:rFonts w:hint="eastAsia"/>
          <w:b w:val="0"/>
          <w:highlight w:val="none"/>
        </w:rPr>
        <w:t>2、</w:t>
      </w:r>
      <w:r>
        <w:rPr>
          <w:rFonts w:hint="eastAsia"/>
          <w:b w:val="0"/>
          <w:highlight w:val="none"/>
          <w:lang w:val="en-US"/>
        </w:rPr>
        <w:t>依法作出的财务状况报告包括经审计的财务报告或银行出具的资信证明或会计报表（会计报表至少包括资产负债表、利润表，但属于《中小企业划型标准规定》的小企业（含小型、微型）编制的会计报表可以不包括现金流量表（须提供小微企业声明函或小微企业名录查询截图等材料））等，能够清晰反映投标人的商业信誉情况</w:t>
      </w:r>
      <w:r>
        <w:rPr>
          <w:rFonts w:hint="eastAsia"/>
          <w:b w:val="0"/>
          <w:highlight w:val="none"/>
        </w:rPr>
        <w:t>；</w:t>
      </w:r>
    </w:p>
    <w:p w14:paraId="684A5433">
      <w:pPr>
        <w:pStyle w:val="9"/>
        <w:spacing w:line="360" w:lineRule="auto"/>
        <w:jc w:val="left"/>
        <w:rPr>
          <w:b w:val="0"/>
          <w:highlight w:val="none"/>
        </w:rPr>
      </w:pPr>
      <w:r>
        <w:rPr>
          <w:rFonts w:hint="eastAsia"/>
          <w:b w:val="0"/>
          <w:highlight w:val="none"/>
        </w:rPr>
        <w:t>3、投标人成立不满一个月可以不需要提供其他财务状况报告。</w:t>
      </w:r>
    </w:p>
    <w:p w14:paraId="513B9F21">
      <w:pPr>
        <w:adjustRightInd w:val="0"/>
        <w:snapToGrid w:val="0"/>
        <w:spacing w:line="360" w:lineRule="auto"/>
        <w:rPr>
          <w:sz w:val="24"/>
          <w:szCs w:val="24"/>
          <w:highlight w:val="none"/>
        </w:rPr>
      </w:pPr>
      <w:r>
        <w:rPr>
          <w:rFonts w:hint="eastAsia"/>
          <w:sz w:val="24"/>
          <w:szCs w:val="24"/>
          <w:highlight w:val="none"/>
          <w:lang w:val="en-US"/>
        </w:rPr>
        <w:t>三、</w:t>
      </w:r>
      <w:r>
        <w:rPr>
          <w:rFonts w:hint="eastAsia"/>
          <w:sz w:val="24"/>
          <w:szCs w:val="24"/>
          <w:highlight w:val="none"/>
        </w:rPr>
        <w:t>具有履行合同所必需的设备和专业技术能力：</w:t>
      </w:r>
    </w:p>
    <w:p w14:paraId="40E29952">
      <w:pPr>
        <w:pStyle w:val="9"/>
        <w:spacing w:line="360" w:lineRule="auto"/>
        <w:jc w:val="left"/>
        <w:rPr>
          <w:b w:val="0"/>
          <w:highlight w:val="none"/>
        </w:rPr>
      </w:pPr>
      <w:r>
        <w:rPr>
          <w:rFonts w:hint="eastAsia"/>
          <w:b w:val="0"/>
          <w:highlight w:val="none"/>
        </w:rPr>
        <w:t>1、根据项目需求提供履行合同所必需的设备和专业技术能力的证明材料；</w:t>
      </w:r>
    </w:p>
    <w:p w14:paraId="44F4AC79">
      <w:pPr>
        <w:pStyle w:val="9"/>
        <w:spacing w:line="360" w:lineRule="auto"/>
        <w:jc w:val="left"/>
        <w:rPr>
          <w:b w:val="0"/>
          <w:highlight w:val="none"/>
        </w:rPr>
      </w:pPr>
      <w:r>
        <w:rPr>
          <w:rFonts w:hint="eastAsia"/>
          <w:b w:val="0"/>
          <w:highlight w:val="none"/>
        </w:rPr>
        <w:t>2、可提供与项目实施有关的相关设备购置或租赁票据，或者相关服务人员用工合</w:t>
      </w:r>
      <w:r>
        <w:rPr>
          <w:rFonts w:hint="eastAsia"/>
          <w:b w:val="0"/>
          <w:spacing w:val="-7"/>
          <w:highlight w:val="none"/>
        </w:rPr>
        <w:t>同，也可以提供具有履行合同所必需的设备和专业技术能力承诺函</w:t>
      </w:r>
      <w:r>
        <w:rPr>
          <w:rFonts w:hint="eastAsia"/>
          <w:b w:val="0"/>
          <w:highlight w:val="none"/>
        </w:rPr>
        <w:t>（</w:t>
      </w:r>
      <w:r>
        <w:rPr>
          <w:rFonts w:hint="eastAsia"/>
          <w:b w:val="0"/>
          <w:spacing w:val="-3"/>
          <w:highlight w:val="none"/>
        </w:rPr>
        <w:t>格式自拟并加盖公</w:t>
      </w:r>
      <w:r>
        <w:rPr>
          <w:rFonts w:hint="eastAsia"/>
          <w:b w:val="0"/>
          <w:highlight w:val="none"/>
        </w:rPr>
        <w:t>章）。</w:t>
      </w:r>
    </w:p>
    <w:p w14:paraId="5F5DDCFE">
      <w:pPr>
        <w:adjustRightInd w:val="0"/>
        <w:snapToGrid w:val="0"/>
        <w:spacing w:line="360" w:lineRule="auto"/>
        <w:rPr>
          <w:sz w:val="24"/>
          <w:szCs w:val="24"/>
          <w:highlight w:val="none"/>
        </w:rPr>
      </w:pPr>
      <w:r>
        <w:rPr>
          <w:rFonts w:hint="eastAsia"/>
          <w:sz w:val="24"/>
          <w:szCs w:val="24"/>
          <w:highlight w:val="none"/>
          <w:lang w:val="en-US"/>
        </w:rPr>
        <w:t>四、</w:t>
      </w:r>
      <w:r>
        <w:rPr>
          <w:rFonts w:hint="eastAsia"/>
          <w:sz w:val="24"/>
          <w:szCs w:val="24"/>
          <w:highlight w:val="none"/>
        </w:rPr>
        <w:t>有依法缴纳税收和社会保障资金的良好记录：</w:t>
      </w:r>
    </w:p>
    <w:p w14:paraId="05E2B129">
      <w:pPr>
        <w:pStyle w:val="9"/>
        <w:spacing w:line="360" w:lineRule="auto"/>
        <w:jc w:val="left"/>
        <w:rPr>
          <w:b w:val="0"/>
          <w:highlight w:val="none"/>
        </w:rPr>
      </w:pPr>
      <w:r>
        <w:rPr>
          <w:rFonts w:hint="eastAsia"/>
          <w:b w:val="0"/>
          <w:highlight w:val="none"/>
        </w:rPr>
        <w:t>1、缴纳税收证明材料：提供参加本次政府采购活动近六个月（至少一个月）依法缴纳税收的相关材料（根据国家相关政策免缴或迟缴的需提供相关证明材料）；</w:t>
      </w:r>
    </w:p>
    <w:p w14:paraId="2B09069C">
      <w:pPr>
        <w:pStyle w:val="9"/>
        <w:spacing w:line="360" w:lineRule="auto"/>
        <w:jc w:val="left"/>
        <w:rPr>
          <w:b w:val="0"/>
          <w:highlight w:val="none"/>
        </w:rPr>
      </w:pPr>
      <w:r>
        <w:rPr>
          <w:rFonts w:hint="eastAsia"/>
          <w:b w:val="0"/>
          <w:highlight w:val="none"/>
        </w:rPr>
        <w:t>2、缴纳社会保障资金证明材料：提供参加本次政府采购活动近六个月（至少一个月）依法缴纳社会保障资金的相关材料（根据国家相关政策免缴或迟缴的需提供相关证明材料）；</w:t>
      </w:r>
    </w:p>
    <w:p w14:paraId="5E855A10">
      <w:pPr>
        <w:pStyle w:val="9"/>
        <w:spacing w:line="360" w:lineRule="auto"/>
        <w:jc w:val="left"/>
        <w:rPr>
          <w:b w:val="0"/>
          <w:highlight w:val="none"/>
        </w:rPr>
      </w:pPr>
      <w:r>
        <w:rPr>
          <w:rFonts w:hint="eastAsia"/>
          <w:b w:val="0"/>
          <w:highlight w:val="none"/>
        </w:rPr>
        <w:t>3、依法免税或不需要缴纳社会保障资金的投标人应提供相关证明材料。</w:t>
      </w:r>
    </w:p>
    <w:p w14:paraId="179847D9">
      <w:pPr>
        <w:adjustRightInd w:val="0"/>
        <w:snapToGrid w:val="0"/>
        <w:spacing w:line="360" w:lineRule="auto"/>
        <w:rPr>
          <w:sz w:val="24"/>
          <w:szCs w:val="24"/>
          <w:highlight w:val="none"/>
        </w:rPr>
      </w:pPr>
      <w:r>
        <w:rPr>
          <w:rFonts w:hint="eastAsia"/>
          <w:sz w:val="24"/>
          <w:szCs w:val="24"/>
          <w:highlight w:val="none"/>
          <w:lang w:val="en-US"/>
        </w:rPr>
        <w:t>五、</w:t>
      </w:r>
      <w:r>
        <w:rPr>
          <w:rFonts w:hint="eastAsia"/>
          <w:sz w:val="24"/>
          <w:szCs w:val="24"/>
          <w:highlight w:val="none"/>
        </w:rPr>
        <w:t>参加政府采购活动前三年内，在经营活动中没有重大违法记录</w:t>
      </w:r>
    </w:p>
    <w:p w14:paraId="46131749">
      <w:pPr>
        <w:adjustRightInd w:val="0"/>
        <w:snapToGrid w:val="0"/>
        <w:spacing w:line="360" w:lineRule="auto"/>
        <w:rPr>
          <w:sz w:val="24"/>
          <w:szCs w:val="24"/>
          <w:highlight w:val="none"/>
        </w:rPr>
      </w:pPr>
      <w:r>
        <w:rPr>
          <w:rFonts w:hint="eastAsia"/>
          <w:sz w:val="24"/>
          <w:szCs w:val="24"/>
          <w:highlight w:val="none"/>
        </w:rPr>
        <w:t>（提供参加本次政府采购活动前3年内在经营活动中没有重大违法记录的书面声明）</w:t>
      </w:r>
    </w:p>
    <w:p w14:paraId="729B78D3">
      <w:pPr>
        <w:pStyle w:val="9"/>
        <w:spacing w:line="360" w:lineRule="auto"/>
        <w:rPr>
          <w:highlight w:val="none"/>
        </w:rPr>
      </w:pPr>
      <w:r>
        <w:rPr>
          <w:rFonts w:hint="eastAsia"/>
          <w:highlight w:val="none"/>
        </w:rPr>
        <w:t>无重大违法记录声明格式</w:t>
      </w:r>
    </w:p>
    <w:p w14:paraId="3939DCB0">
      <w:pPr>
        <w:widowControl/>
        <w:shd w:val="clear" w:color="auto" w:fill="FFFFFF"/>
        <w:autoSpaceDE/>
        <w:autoSpaceDN/>
        <w:adjustRightInd w:val="0"/>
        <w:snapToGrid w:val="0"/>
        <w:spacing w:line="360" w:lineRule="auto"/>
        <w:ind w:firstLine="480" w:firstLineChars="200"/>
        <w:jc w:val="both"/>
        <w:rPr>
          <w:bCs/>
          <w:sz w:val="24"/>
          <w:szCs w:val="24"/>
          <w:highlight w:val="none"/>
          <w:lang w:val="en-US" w:bidi="ar-SA"/>
        </w:rPr>
      </w:pPr>
      <w:r>
        <w:rPr>
          <w:rFonts w:hint="eastAsia"/>
          <w:sz w:val="24"/>
          <w:szCs w:val="24"/>
          <w:highlight w:val="none"/>
          <w:lang w:bidi="ar-SA"/>
        </w:rPr>
        <w:t>致：XXXXXXXX</w:t>
      </w:r>
      <w:r>
        <w:rPr>
          <w:rFonts w:hint="eastAsia"/>
          <w:sz w:val="24"/>
          <w:szCs w:val="24"/>
          <w:highlight w:val="none"/>
          <w:lang w:val="en-US" w:bidi="ar-SA"/>
        </w:rPr>
        <w:t>(采购人)</w:t>
      </w:r>
    </w:p>
    <w:p w14:paraId="3E973B4C">
      <w:pPr>
        <w:pStyle w:val="11"/>
        <w:adjustRightInd w:val="0"/>
        <w:snapToGrid w:val="0"/>
        <w:spacing w:line="360" w:lineRule="auto"/>
        <w:ind w:left="0" w:leftChars="0" w:firstLine="960" w:firstLineChars="400"/>
        <w:rPr>
          <w:sz w:val="24"/>
          <w:szCs w:val="24"/>
          <w:highlight w:val="none"/>
        </w:rPr>
      </w:pPr>
      <w:r>
        <w:rPr>
          <w:rFonts w:hint="eastAsia"/>
          <w:sz w:val="24"/>
          <w:szCs w:val="24"/>
          <w:highlight w:val="none"/>
          <w:lang w:val="en-US"/>
        </w:rPr>
        <w:t>江苏金永诚建设投资管理咨询有限公司</w:t>
      </w:r>
    </w:p>
    <w:p w14:paraId="4AABA620">
      <w:pPr>
        <w:pStyle w:val="9"/>
        <w:spacing w:line="360" w:lineRule="auto"/>
        <w:ind w:firstLine="480" w:firstLineChars="200"/>
        <w:jc w:val="left"/>
        <w:rPr>
          <w:b w:val="0"/>
          <w:bCs/>
          <w:highlight w:val="none"/>
        </w:rPr>
      </w:pPr>
      <w:r>
        <w:rPr>
          <w:rFonts w:hint="eastAsia"/>
          <w:b w:val="0"/>
          <w:bCs/>
          <w:highlight w:val="none"/>
        </w:rPr>
        <w:t>我单位</w:t>
      </w:r>
      <w:r>
        <w:rPr>
          <w:rFonts w:hint="eastAsia"/>
          <w:b w:val="0"/>
          <w:bCs/>
          <w:highlight w:val="none"/>
          <w:u w:val="single"/>
        </w:rPr>
        <w:t xml:space="preserve"> </w:t>
      </w:r>
      <w:r>
        <w:rPr>
          <w:rFonts w:hint="eastAsia"/>
          <w:b w:val="0"/>
          <w:bCs/>
          <w:highlight w:val="none"/>
          <w:u w:val="single"/>
          <w:lang w:val="en-US"/>
        </w:rPr>
        <w:t xml:space="preserve">               </w:t>
      </w:r>
      <w:r>
        <w:rPr>
          <w:rFonts w:hint="eastAsia"/>
          <w:b w:val="0"/>
          <w:bCs/>
          <w:highlight w:val="none"/>
        </w:rPr>
        <w:t>（投标人名称）郑重声明：</w:t>
      </w:r>
    </w:p>
    <w:p w14:paraId="15C18BD0">
      <w:pPr>
        <w:pStyle w:val="9"/>
        <w:spacing w:line="360" w:lineRule="auto"/>
        <w:ind w:firstLine="480" w:firstLineChars="200"/>
        <w:jc w:val="left"/>
        <w:rPr>
          <w:b w:val="0"/>
          <w:bCs/>
          <w:highlight w:val="none"/>
        </w:rPr>
      </w:pPr>
      <w:r>
        <w:rPr>
          <w:rFonts w:hint="eastAsia"/>
          <w:b w:val="0"/>
          <w:bCs/>
          <w:highlight w:val="none"/>
        </w:rPr>
        <w:t>参加政府采购活动前</w:t>
      </w:r>
      <w:r>
        <w:rPr>
          <w:rFonts w:hint="eastAsia"/>
          <w:b w:val="0"/>
          <w:bCs/>
          <w:spacing w:val="-61"/>
          <w:highlight w:val="none"/>
        </w:rPr>
        <w:t xml:space="preserve"> </w:t>
      </w:r>
      <w:r>
        <w:rPr>
          <w:rFonts w:hint="eastAsia"/>
          <w:b w:val="0"/>
          <w:bCs/>
          <w:highlight w:val="none"/>
        </w:rPr>
        <w:t>3</w:t>
      </w:r>
      <w:r>
        <w:rPr>
          <w:rFonts w:hint="eastAsia"/>
          <w:b w:val="0"/>
          <w:bCs/>
          <w:spacing w:val="-60"/>
          <w:highlight w:val="none"/>
        </w:rPr>
        <w:t xml:space="preserve"> </w:t>
      </w:r>
      <w:r>
        <w:rPr>
          <w:rFonts w:hint="eastAsia"/>
          <w:b w:val="0"/>
          <w:bCs/>
          <w:highlight w:val="none"/>
        </w:rPr>
        <w:t>年内在经营活动中</w:t>
      </w:r>
      <w:r>
        <w:rPr>
          <w:rFonts w:hint="eastAsia"/>
          <w:b w:val="0"/>
          <w:bCs/>
          <w:highlight w:val="none"/>
          <w:u w:val="single"/>
        </w:rPr>
        <w:t xml:space="preserve"> </w:t>
      </w:r>
      <w:r>
        <w:rPr>
          <w:rFonts w:hint="eastAsia"/>
          <w:b w:val="0"/>
          <w:bCs/>
          <w:highlight w:val="none"/>
          <w:u w:val="single"/>
          <w:lang w:val="en-US"/>
        </w:rPr>
        <w:t xml:space="preserve">          </w:t>
      </w:r>
      <w:r>
        <w:rPr>
          <w:rFonts w:hint="eastAsia"/>
          <w:b w:val="0"/>
          <w:bCs/>
          <w:highlight w:val="none"/>
        </w:rPr>
        <w:t>（在下划线上如实填写</w:t>
      </w:r>
      <w:r>
        <w:rPr>
          <w:rFonts w:hint="eastAsia"/>
          <w:b w:val="0"/>
          <w:bCs/>
          <w:spacing w:val="-24"/>
          <w:highlight w:val="none"/>
        </w:rPr>
        <w:t>：</w:t>
      </w:r>
      <w:r>
        <w:rPr>
          <w:rFonts w:hint="eastAsia"/>
          <w:b w:val="0"/>
          <w:bCs/>
          <w:highlight w:val="none"/>
        </w:rPr>
        <w:t>有或</w:t>
      </w:r>
      <w:r>
        <w:rPr>
          <w:rFonts w:hint="eastAsia"/>
          <w:b w:val="0"/>
          <w:bCs/>
          <w:spacing w:val="-18"/>
          <w:highlight w:val="none"/>
        </w:rPr>
        <w:t>没</w:t>
      </w:r>
      <w:r>
        <w:rPr>
          <w:rFonts w:hint="eastAsia"/>
          <w:b w:val="0"/>
          <w:bCs/>
          <w:highlight w:val="none"/>
        </w:rPr>
        <w:t>有）重大违法记录。</w:t>
      </w:r>
    </w:p>
    <w:p w14:paraId="50C531BE">
      <w:pPr>
        <w:pStyle w:val="9"/>
        <w:spacing w:line="360" w:lineRule="auto"/>
        <w:ind w:firstLine="480" w:firstLineChars="200"/>
        <w:jc w:val="left"/>
        <w:rPr>
          <w:b w:val="0"/>
          <w:bCs/>
          <w:highlight w:val="none"/>
        </w:rPr>
      </w:pPr>
      <w:r>
        <w:rPr>
          <w:rFonts w:hint="eastAsia"/>
          <w:b w:val="0"/>
          <w:bCs/>
          <w:highlight w:val="none"/>
        </w:rPr>
        <w:t>（</w:t>
      </w:r>
      <w:r>
        <w:rPr>
          <w:rFonts w:hint="eastAsia"/>
          <w:b w:val="0"/>
          <w:bCs/>
          <w:spacing w:val="-7"/>
          <w:highlight w:val="none"/>
        </w:rPr>
        <w:t>说明：政府采购法第二十二条第一款第五项所称重大违法记录，是指投标人因违</w:t>
      </w:r>
      <w:r>
        <w:rPr>
          <w:rFonts w:hint="eastAsia"/>
          <w:b w:val="0"/>
          <w:bCs/>
          <w:highlight w:val="none"/>
        </w:rPr>
        <w:t>法经营受到刑事处罚或者责令停产停业、吊销许可证或者执照、较大数额罚款等行政处罚。）</w:t>
      </w:r>
    </w:p>
    <w:p w14:paraId="14566AFE">
      <w:pPr>
        <w:pStyle w:val="9"/>
        <w:spacing w:line="360" w:lineRule="auto"/>
        <w:ind w:firstLine="480" w:firstLineChars="200"/>
        <w:jc w:val="left"/>
        <w:rPr>
          <w:b w:val="0"/>
          <w:bCs/>
          <w:spacing w:val="-17"/>
          <w:highlight w:val="none"/>
        </w:rPr>
      </w:pPr>
      <w:r>
        <w:rPr>
          <w:rFonts w:hint="eastAsia"/>
          <w:b w:val="0"/>
          <w:bCs/>
          <w:highlight w:val="none"/>
        </w:rPr>
        <w:t>声明人：（盖章</w:t>
      </w:r>
      <w:r>
        <w:rPr>
          <w:rFonts w:hint="eastAsia"/>
          <w:b w:val="0"/>
          <w:bCs/>
          <w:spacing w:val="-17"/>
          <w:highlight w:val="none"/>
        </w:rPr>
        <w:t xml:space="preserve">） </w:t>
      </w:r>
    </w:p>
    <w:p w14:paraId="3136727C">
      <w:pPr>
        <w:pStyle w:val="9"/>
        <w:spacing w:line="360" w:lineRule="auto"/>
        <w:ind w:firstLine="480" w:firstLineChars="200"/>
        <w:jc w:val="left"/>
        <w:rPr>
          <w:b w:val="0"/>
          <w:bCs/>
          <w:highlight w:val="none"/>
        </w:rPr>
      </w:pPr>
      <w:r>
        <w:rPr>
          <w:rFonts w:hint="eastAsia"/>
          <w:b w:val="0"/>
          <w:bCs/>
          <w:highlight w:val="none"/>
        </w:rPr>
        <w:t>年</w:t>
      </w:r>
      <w:r>
        <w:rPr>
          <w:rFonts w:hint="eastAsia"/>
          <w:b w:val="0"/>
          <w:bCs/>
          <w:highlight w:val="none"/>
          <w:lang w:val="en-US"/>
        </w:rPr>
        <w:t xml:space="preserve">   </w:t>
      </w:r>
      <w:r>
        <w:rPr>
          <w:rFonts w:hint="eastAsia"/>
          <w:b w:val="0"/>
          <w:bCs/>
          <w:highlight w:val="none"/>
        </w:rPr>
        <w:t>月</w:t>
      </w:r>
      <w:r>
        <w:rPr>
          <w:rFonts w:hint="eastAsia"/>
          <w:b w:val="0"/>
          <w:bCs/>
          <w:highlight w:val="none"/>
          <w:lang w:val="en-US"/>
        </w:rPr>
        <w:t xml:space="preserve">   </w:t>
      </w:r>
      <w:r>
        <w:rPr>
          <w:rFonts w:hint="eastAsia"/>
          <w:b w:val="0"/>
          <w:bCs/>
          <w:highlight w:val="none"/>
        </w:rPr>
        <w:t>日</w:t>
      </w:r>
    </w:p>
    <w:p w14:paraId="5991CA13">
      <w:pPr>
        <w:pStyle w:val="9"/>
        <w:spacing w:line="360" w:lineRule="auto"/>
        <w:jc w:val="left"/>
        <w:rPr>
          <w:b w:val="0"/>
          <w:bCs/>
          <w:highlight w:val="none"/>
          <w:lang w:val="en-US"/>
        </w:rPr>
      </w:pPr>
    </w:p>
    <w:p w14:paraId="7F079328">
      <w:pPr>
        <w:pStyle w:val="9"/>
        <w:spacing w:line="360" w:lineRule="auto"/>
        <w:jc w:val="left"/>
        <w:rPr>
          <w:b w:val="0"/>
          <w:bCs/>
          <w:highlight w:val="none"/>
        </w:rPr>
      </w:pPr>
      <w:r>
        <w:rPr>
          <w:rFonts w:hint="eastAsia"/>
          <w:b w:val="0"/>
          <w:bCs/>
          <w:highlight w:val="none"/>
          <w:lang w:val="en-US"/>
        </w:rPr>
        <w:t>3.4</w:t>
      </w:r>
      <w:r>
        <w:rPr>
          <w:rFonts w:hint="eastAsia"/>
          <w:b w:val="0"/>
          <w:bCs/>
          <w:highlight w:val="none"/>
        </w:rPr>
        <w:t>、第一章招标公告中</w:t>
      </w:r>
      <w:r>
        <w:rPr>
          <w:rFonts w:hint="eastAsia"/>
          <w:b w:val="0"/>
          <w:bCs/>
          <w:highlight w:val="none"/>
          <w:lang w:val="en-US"/>
        </w:rPr>
        <w:t>“2.落实政府采购政策需满足的资格要求”的证明文件</w:t>
      </w:r>
    </w:p>
    <w:p w14:paraId="2DD36199">
      <w:pPr>
        <w:pStyle w:val="9"/>
        <w:spacing w:line="360" w:lineRule="auto"/>
        <w:jc w:val="left"/>
        <w:rPr>
          <w:b w:val="0"/>
          <w:bCs/>
          <w:highlight w:val="none"/>
        </w:rPr>
      </w:pPr>
      <w:r>
        <w:rPr>
          <w:rFonts w:hint="eastAsia"/>
          <w:b w:val="0"/>
          <w:bCs/>
          <w:highlight w:val="none"/>
        </w:rPr>
        <w:t>注：投标人应当按照采购文件规定的要求提供相关证明材料，如未做要求，则可以不予提供。</w:t>
      </w:r>
    </w:p>
    <w:p w14:paraId="661AB1BB">
      <w:pPr>
        <w:pStyle w:val="9"/>
        <w:spacing w:line="360" w:lineRule="auto"/>
        <w:jc w:val="left"/>
        <w:rPr>
          <w:b w:val="0"/>
          <w:bCs/>
          <w:highlight w:val="none"/>
        </w:rPr>
      </w:pPr>
      <w:r>
        <w:rPr>
          <w:rFonts w:hint="eastAsia"/>
          <w:b w:val="0"/>
          <w:bCs/>
          <w:highlight w:val="none"/>
          <w:lang w:val="en-US"/>
        </w:rPr>
        <w:t>3.5</w:t>
      </w:r>
      <w:r>
        <w:rPr>
          <w:rFonts w:hint="eastAsia"/>
          <w:b w:val="0"/>
          <w:bCs/>
          <w:highlight w:val="none"/>
        </w:rPr>
        <w:t>、第一章招标公告</w:t>
      </w:r>
      <w:r>
        <w:rPr>
          <w:rFonts w:hint="eastAsia"/>
          <w:b w:val="0"/>
          <w:bCs/>
          <w:highlight w:val="none"/>
          <w:lang w:val="en-US"/>
        </w:rPr>
        <w:t>中“3.本项目的特定资格要求”的证明文件</w:t>
      </w:r>
    </w:p>
    <w:p w14:paraId="7536CE5E">
      <w:pPr>
        <w:pStyle w:val="9"/>
        <w:spacing w:line="360" w:lineRule="auto"/>
        <w:jc w:val="left"/>
        <w:rPr>
          <w:b w:val="0"/>
          <w:bCs/>
          <w:highlight w:val="none"/>
        </w:rPr>
      </w:pPr>
      <w:r>
        <w:rPr>
          <w:rFonts w:hint="eastAsia"/>
          <w:b w:val="0"/>
          <w:bCs/>
          <w:highlight w:val="none"/>
        </w:rPr>
        <w:t>注：投标人应当按照采购文件规定的要求提供相关证明材料，如未做要求，则可以不予提供。</w:t>
      </w:r>
    </w:p>
    <w:p w14:paraId="1931DC67">
      <w:pPr>
        <w:spacing w:line="360" w:lineRule="auto"/>
        <w:rPr>
          <w:bCs/>
          <w:sz w:val="24"/>
          <w:szCs w:val="24"/>
          <w:highlight w:val="none"/>
          <w:lang w:val="en-US"/>
        </w:rPr>
      </w:pPr>
    </w:p>
    <w:p w14:paraId="1921EFC3">
      <w:pPr>
        <w:spacing w:line="360" w:lineRule="auto"/>
        <w:rPr>
          <w:bCs/>
          <w:sz w:val="24"/>
          <w:szCs w:val="24"/>
          <w:highlight w:val="none"/>
          <w:lang w:val="en-US"/>
        </w:rPr>
      </w:pPr>
      <w:r>
        <w:rPr>
          <w:rFonts w:hint="eastAsia"/>
          <w:bCs/>
          <w:sz w:val="24"/>
          <w:szCs w:val="24"/>
          <w:highlight w:val="none"/>
          <w:lang w:val="en-US"/>
        </w:rPr>
        <w:t>3.6、其他材料（承诺书等，自行提供）</w:t>
      </w:r>
    </w:p>
    <w:p w14:paraId="406D4690">
      <w:pPr>
        <w:spacing w:line="360" w:lineRule="auto"/>
        <w:rPr>
          <w:b/>
          <w:bCs/>
          <w:sz w:val="24"/>
          <w:szCs w:val="24"/>
          <w:highlight w:val="none"/>
          <w:lang w:val="en-US"/>
        </w:rPr>
      </w:pPr>
      <w:r>
        <w:rPr>
          <w:rFonts w:hint="eastAsia"/>
          <w:b/>
          <w:bCs/>
          <w:sz w:val="24"/>
          <w:szCs w:val="24"/>
          <w:highlight w:val="none"/>
          <w:lang w:val="en-US"/>
        </w:rPr>
        <w:br w:type="page"/>
      </w:r>
    </w:p>
    <w:p w14:paraId="57E129AB">
      <w:pPr>
        <w:pStyle w:val="9"/>
        <w:spacing w:line="360" w:lineRule="auto"/>
        <w:rPr>
          <w:highlight w:val="none"/>
          <w:lang w:val="en-US"/>
        </w:rPr>
      </w:pPr>
      <w:r>
        <w:rPr>
          <w:rFonts w:hint="eastAsia"/>
          <w:highlight w:val="none"/>
          <w:lang w:val="en-US"/>
        </w:rPr>
        <w:t>3.7、商务条款偏离表格式</w:t>
      </w:r>
    </w:p>
    <w:p w14:paraId="06DF76FB">
      <w:pPr>
        <w:pStyle w:val="9"/>
        <w:spacing w:line="360" w:lineRule="auto"/>
        <w:rPr>
          <w:highlight w:val="none"/>
        </w:rPr>
      </w:pPr>
      <w:r>
        <w:rPr>
          <w:rFonts w:hint="eastAsia"/>
          <w:highlight w:val="none"/>
        </w:rPr>
        <w:t>《商务条款偏离表》</w:t>
      </w:r>
    </w:p>
    <w:p w14:paraId="091F185D">
      <w:pPr>
        <w:pStyle w:val="9"/>
        <w:spacing w:line="360" w:lineRule="auto"/>
        <w:rPr>
          <w:highlight w:val="none"/>
        </w:rPr>
      </w:pPr>
      <w:r>
        <w:rPr>
          <w:rFonts w:hint="eastAsia"/>
          <w:highlight w:val="none"/>
        </w:rPr>
        <w:t>项目名称：</w:t>
      </w:r>
      <w:r>
        <w:rPr>
          <w:rFonts w:hint="eastAsia"/>
          <w:highlight w:val="none"/>
        </w:rPr>
        <w:tab/>
      </w:r>
      <w:r>
        <w:rPr>
          <w:rFonts w:hint="eastAsia"/>
          <w:highlight w:val="none"/>
        </w:rPr>
        <w:t>项目编号：</w:t>
      </w:r>
    </w:p>
    <w:tbl>
      <w:tblPr>
        <w:tblStyle w:val="21"/>
        <w:tblW w:w="102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7"/>
        <w:gridCol w:w="1230"/>
        <w:gridCol w:w="2877"/>
        <w:gridCol w:w="2158"/>
        <w:gridCol w:w="1582"/>
        <w:gridCol w:w="1582"/>
      </w:tblGrid>
      <w:tr w14:paraId="69FF8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jc w:val="center"/>
        </w:trPr>
        <w:tc>
          <w:tcPr>
            <w:tcW w:w="777" w:type="dxa"/>
            <w:tcBorders>
              <w:top w:val="single" w:color="000000" w:sz="6" w:space="0"/>
              <w:left w:val="single" w:color="000000" w:sz="6" w:space="0"/>
              <w:bottom w:val="single" w:color="000000" w:sz="6" w:space="0"/>
              <w:right w:val="single" w:color="000000" w:sz="6" w:space="0"/>
            </w:tcBorders>
            <w:noWrap/>
            <w:vAlign w:val="center"/>
          </w:tcPr>
          <w:p w14:paraId="07EAC442">
            <w:pPr>
              <w:pStyle w:val="29"/>
              <w:spacing w:line="360" w:lineRule="auto"/>
              <w:jc w:val="center"/>
              <w:rPr>
                <w:rFonts w:cs="Times New Roman"/>
                <w:kern w:val="2"/>
                <w:sz w:val="24"/>
                <w:szCs w:val="24"/>
                <w:highlight w:val="none"/>
              </w:rPr>
            </w:pPr>
            <w:r>
              <w:rPr>
                <w:rFonts w:hint="eastAsia" w:cs="Times New Roman"/>
                <w:kern w:val="2"/>
                <w:sz w:val="24"/>
                <w:szCs w:val="24"/>
                <w:highlight w:val="none"/>
              </w:rPr>
              <w:t>序号</w:t>
            </w:r>
          </w:p>
        </w:tc>
        <w:tc>
          <w:tcPr>
            <w:tcW w:w="1230" w:type="dxa"/>
            <w:tcBorders>
              <w:top w:val="single" w:color="000000" w:sz="6" w:space="0"/>
              <w:left w:val="nil"/>
              <w:bottom w:val="single" w:color="000000" w:sz="6" w:space="0"/>
              <w:right w:val="single" w:color="000000" w:sz="6" w:space="0"/>
            </w:tcBorders>
            <w:noWrap/>
            <w:vAlign w:val="center"/>
          </w:tcPr>
          <w:p w14:paraId="5A954ADB">
            <w:pPr>
              <w:pStyle w:val="29"/>
              <w:spacing w:line="360" w:lineRule="auto"/>
              <w:jc w:val="center"/>
              <w:rPr>
                <w:rFonts w:cs="Times New Roman"/>
                <w:kern w:val="2"/>
                <w:sz w:val="24"/>
                <w:szCs w:val="24"/>
                <w:highlight w:val="none"/>
              </w:rPr>
            </w:pPr>
            <w:r>
              <w:rPr>
                <w:rFonts w:hint="eastAsia" w:cs="Times New Roman"/>
                <w:kern w:val="2"/>
                <w:sz w:val="24"/>
                <w:szCs w:val="24"/>
                <w:highlight w:val="none"/>
              </w:rPr>
              <w:t>条目号</w:t>
            </w:r>
          </w:p>
        </w:tc>
        <w:tc>
          <w:tcPr>
            <w:tcW w:w="2877" w:type="dxa"/>
            <w:tcBorders>
              <w:top w:val="single" w:color="000000" w:sz="6" w:space="0"/>
              <w:left w:val="nil"/>
              <w:bottom w:val="single" w:color="000000" w:sz="6" w:space="0"/>
              <w:right w:val="single" w:color="auto" w:sz="4" w:space="0"/>
            </w:tcBorders>
            <w:noWrap/>
            <w:vAlign w:val="center"/>
          </w:tcPr>
          <w:p w14:paraId="4D7037F9">
            <w:pPr>
              <w:pStyle w:val="29"/>
              <w:spacing w:line="360" w:lineRule="auto"/>
              <w:jc w:val="center"/>
              <w:rPr>
                <w:rFonts w:cs="Times New Roman"/>
                <w:kern w:val="2"/>
                <w:sz w:val="24"/>
                <w:szCs w:val="24"/>
                <w:highlight w:val="none"/>
              </w:rPr>
            </w:pPr>
            <w:r>
              <w:rPr>
                <w:rFonts w:hint="eastAsia" w:cs="Times New Roman"/>
                <w:kern w:val="2"/>
                <w:sz w:val="24"/>
                <w:szCs w:val="24"/>
                <w:highlight w:val="none"/>
              </w:rPr>
              <w:t>招标文件要求的商务条款</w:t>
            </w:r>
          </w:p>
        </w:tc>
        <w:tc>
          <w:tcPr>
            <w:tcW w:w="2158" w:type="dxa"/>
            <w:tcBorders>
              <w:top w:val="single" w:color="auto" w:sz="4" w:space="0"/>
              <w:left w:val="single" w:color="auto" w:sz="4" w:space="0"/>
              <w:bottom w:val="single" w:color="auto" w:sz="4" w:space="0"/>
              <w:right w:val="single" w:color="auto" w:sz="4" w:space="0"/>
            </w:tcBorders>
            <w:noWrap/>
            <w:vAlign w:val="center"/>
          </w:tcPr>
          <w:p w14:paraId="32B240EB">
            <w:pPr>
              <w:pStyle w:val="29"/>
              <w:spacing w:line="360" w:lineRule="auto"/>
              <w:jc w:val="center"/>
              <w:rPr>
                <w:rFonts w:cs="Times New Roman"/>
                <w:kern w:val="2"/>
                <w:sz w:val="24"/>
                <w:szCs w:val="24"/>
                <w:highlight w:val="none"/>
              </w:rPr>
            </w:pPr>
            <w:r>
              <w:rPr>
                <w:rFonts w:hint="eastAsia" w:cs="Times New Roman"/>
                <w:kern w:val="2"/>
                <w:sz w:val="24"/>
                <w:szCs w:val="24"/>
                <w:highlight w:val="none"/>
              </w:rPr>
              <w:t>投标响应内容对应简述</w:t>
            </w:r>
          </w:p>
        </w:tc>
        <w:tc>
          <w:tcPr>
            <w:tcW w:w="1582" w:type="dxa"/>
            <w:tcBorders>
              <w:top w:val="single" w:color="000000" w:sz="6" w:space="0"/>
              <w:left w:val="single" w:color="auto" w:sz="4" w:space="0"/>
              <w:bottom w:val="single" w:color="000000" w:sz="6" w:space="0"/>
              <w:right w:val="single" w:color="000000" w:sz="6" w:space="0"/>
            </w:tcBorders>
            <w:noWrap/>
            <w:vAlign w:val="center"/>
          </w:tcPr>
          <w:p w14:paraId="697AC4FC">
            <w:pPr>
              <w:pStyle w:val="29"/>
              <w:spacing w:line="360" w:lineRule="auto"/>
              <w:jc w:val="center"/>
              <w:rPr>
                <w:rFonts w:cs="Times New Roman"/>
                <w:kern w:val="2"/>
                <w:sz w:val="24"/>
                <w:szCs w:val="24"/>
                <w:highlight w:val="none"/>
              </w:rPr>
            </w:pPr>
            <w:r>
              <w:rPr>
                <w:rFonts w:hint="eastAsia" w:cs="Times New Roman"/>
                <w:kern w:val="2"/>
                <w:sz w:val="24"/>
                <w:szCs w:val="24"/>
                <w:highlight w:val="none"/>
              </w:rPr>
              <w:t>偏离</w:t>
            </w:r>
          </w:p>
        </w:tc>
        <w:tc>
          <w:tcPr>
            <w:tcW w:w="1582" w:type="dxa"/>
            <w:tcBorders>
              <w:top w:val="single" w:color="000000" w:sz="6" w:space="0"/>
              <w:left w:val="single" w:color="auto" w:sz="4" w:space="0"/>
              <w:bottom w:val="single" w:color="000000" w:sz="6" w:space="0"/>
              <w:right w:val="single" w:color="000000" w:sz="6" w:space="0"/>
            </w:tcBorders>
            <w:noWrap/>
            <w:vAlign w:val="center"/>
          </w:tcPr>
          <w:p w14:paraId="440D3013">
            <w:pPr>
              <w:pStyle w:val="29"/>
              <w:spacing w:line="360" w:lineRule="auto"/>
              <w:jc w:val="center"/>
              <w:rPr>
                <w:rFonts w:cs="Times New Roman"/>
                <w:kern w:val="2"/>
                <w:sz w:val="24"/>
                <w:szCs w:val="24"/>
                <w:highlight w:val="none"/>
              </w:rPr>
            </w:pPr>
            <w:r>
              <w:rPr>
                <w:rFonts w:hint="eastAsia" w:cs="Times New Roman"/>
                <w:kern w:val="2"/>
                <w:sz w:val="24"/>
                <w:szCs w:val="24"/>
                <w:highlight w:val="none"/>
              </w:rPr>
              <w:t>偏离情况</w:t>
            </w:r>
          </w:p>
          <w:p w14:paraId="7CE79D8F">
            <w:pPr>
              <w:pStyle w:val="29"/>
              <w:spacing w:line="360" w:lineRule="auto"/>
              <w:jc w:val="center"/>
              <w:rPr>
                <w:rFonts w:cs="Times New Roman"/>
                <w:kern w:val="2"/>
                <w:sz w:val="24"/>
                <w:szCs w:val="24"/>
                <w:highlight w:val="none"/>
              </w:rPr>
            </w:pPr>
            <w:r>
              <w:rPr>
                <w:rFonts w:hint="eastAsia" w:cs="Times New Roman"/>
                <w:kern w:val="2"/>
                <w:sz w:val="24"/>
                <w:szCs w:val="24"/>
                <w:highlight w:val="none"/>
              </w:rPr>
              <w:t>详细说明</w:t>
            </w:r>
          </w:p>
        </w:tc>
      </w:tr>
      <w:tr w14:paraId="45AF0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777" w:type="dxa"/>
            <w:tcBorders>
              <w:top w:val="single" w:color="000000" w:sz="6" w:space="0"/>
              <w:left w:val="single" w:color="000000" w:sz="6" w:space="0"/>
              <w:bottom w:val="single" w:color="000000" w:sz="6" w:space="0"/>
              <w:right w:val="single" w:color="000000" w:sz="6" w:space="0"/>
            </w:tcBorders>
            <w:noWrap/>
            <w:vAlign w:val="center"/>
          </w:tcPr>
          <w:p w14:paraId="09832CF1">
            <w:pPr>
              <w:pStyle w:val="29"/>
              <w:spacing w:line="360" w:lineRule="auto"/>
              <w:rPr>
                <w:rFonts w:ascii="Times New Roman"/>
                <w:kern w:val="2"/>
                <w:sz w:val="24"/>
                <w:szCs w:val="24"/>
                <w:highlight w:val="none"/>
              </w:rPr>
            </w:pPr>
          </w:p>
        </w:tc>
        <w:tc>
          <w:tcPr>
            <w:tcW w:w="1230" w:type="dxa"/>
            <w:tcBorders>
              <w:top w:val="single" w:color="000000" w:sz="6" w:space="0"/>
              <w:left w:val="nil"/>
              <w:bottom w:val="single" w:color="000000" w:sz="6" w:space="0"/>
              <w:right w:val="single" w:color="000000" w:sz="6" w:space="0"/>
            </w:tcBorders>
            <w:noWrap/>
            <w:vAlign w:val="center"/>
          </w:tcPr>
          <w:p w14:paraId="0FD0EB3F">
            <w:pPr>
              <w:pStyle w:val="29"/>
              <w:spacing w:line="360" w:lineRule="auto"/>
              <w:rPr>
                <w:rFonts w:ascii="Times New Roman"/>
                <w:kern w:val="2"/>
                <w:sz w:val="24"/>
                <w:szCs w:val="24"/>
                <w:highlight w:val="none"/>
              </w:rPr>
            </w:pPr>
          </w:p>
        </w:tc>
        <w:tc>
          <w:tcPr>
            <w:tcW w:w="2877" w:type="dxa"/>
            <w:tcBorders>
              <w:top w:val="single" w:color="000000" w:sz="6" w:space="0"/>
              <w:left w:val="nil"/>
              <w:bottom w:val="single" w:color="000000" w:sz="6" w:space="0"/>
              <w:right w:val="single" w:color="auto" w:sz="4" w:space="0"/>
            </w:tcBorders>
            <w:noWrap/>
            <w:vAlign w:val="center"/>
          </w:tcPr>
          <w:p w14:paraId="26C759D9">
            <w:pPr>
              <w:pStyle w:val="29"/>
              <w:spacing w:line="360" w:lineRule="auto"/>
              <w:rPr>
                <w:rFonts w:ascii="Times New Roman"/>
                <w:kern w:val="2"/>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noWrap/>
            <w:vAlign w:val="center"/>
          </w:tcPr>
          <w:p w14:paraId="03618892">
            <w:pPr>
              <w:pStyle w:val="29"/>
              <w:spacing w:line="360" w:lineRule="auto"/>
              <w:jc w:val="center"/>
              <w:rPr>
                <w:rFonts w:ascii="Times New Roman"/>
                <w:kern w:val="2"/>
                <w:sz w:val="24"/>
                <w:szCs w:val="24"/>
                <w:highlight w:val="none"/>
              </w:rPr>
            </w:pPr>
          </w:p>
        </w:tc>
        <w:tc>
          <w:tcPr>
            <w:tcW w:w="1582" w:type="dxa"/>
            <w:tcBorders>
              <w:top w:val="single" w:color="000000" w:sz="6" w:space="0"/>
              <w:left w:val="single" w:color="auto" w:sz="4" w:space="0"/>
              <w:bottom w:val="single" w:color="000000" w:sz="6" w:space="0"/>
              <w:right w:val="single" w:color="000000" w:sz="6" w:space="0"/>
            </w:tcBorders>
            <w:noWrap/>
            <w:vAlign w:val="center"/>
          </w:tcPr>
          <w:p w14:paraId="33BBD817">
            <w:pPr>
              <w:pStyle w:val="29"/>
              <w:spacing w:line="360" w:lineRule="auto"/>
              <w:rPr>
                <w:rFonts w:ascii="Times New Roman"/>
                <w:kern w:val="2"/>
                <w:sz w:val="24"/>
                <w:szCs w:val="24"/>
                <w:highlight w:val="none"/>
              </w:rPr>
            </w:pPr>
          </w:p>
        </w:tc>
        <w:tc>
          <w:tcPr>
            <w:tcW w:w="1582" w:type="dxa"/>
            <w:tcBorders>
              <w:top w:val="single" w:color="000000" w:sz="6" w:space="0"/>
              <w:left w:val="single" w:color="auto" w:sz="4" w:space="0"/>
              <w:bottom w:val="single" w:color="000000" w:sz="6" w:space="0"/>
              <w:right w:val="single" w:color="000000" w:sz="6" w:space="0"/>
            </w:tcBorders>
            <w:noWrap/>
            <w:vAlign w:val="center"/>
          </w:tcPr>
          <w:p w14:paraId="38D329FB">
            <w:pPr>
              <w:pStyle w:val="29"/>
              <w:spacing w:line="360" w:lineRule="auto"/>
              <w:jc w:val="center"/>
              <w:rPr>
                <w:rFonts w:ascii="Times New Roman"/>
                <w:kern w:val="2"/>
                <w:sz w:val="24"/>
                <w:szCs w:val="24"/>
                <w:highlight w:val="none"/>
              </w:rPr>
            </w:pPr>
          </w:p>
        </w:tc>
      </w:tr>
      <w:tr w14:paraId="38B5E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77" w:type="dxa"/>
            <w:tcBorders>
              <w:top w:val="single" w:color="000000" w:sz="6" w:space="0"/>
              <w:left w:val="single" w:color="000000" w:sz="6" w:space="0"/>
              <w:bottom w:val="single" w:color="000000" w:sz="6" w:space="0"/>
              <w:right w:val="single" w:color="000000" w:sz="6" w:space="0"/>
            </w:tcBorders>
            <w:noWrap/>
            <w:vAlign w:val="center"/>
          </w:tcPr>
          <w:p w14:paraId="613A90B5">
            <w:pPr>
              <w:pStyle w:val="29"/>
              <w:spacing w:line="360" w:lineRule="auto"/>
              <w:rPr>
                <w:rFonts w:ascii="Times New Roman"/>
                <w:kern w:val="2"/>
                <w:sz w:val="24"/>
                <w:szCs w:val="24"/>
                <w:highlight w:val="none"/>
              </w:rPr>
            </w:pPr>
          </w:p>
        </w:tc>
        <w:tc>
          <w:tcPr>
            <w:tcW w:w="1230" w:type="dxa"/>
            <w:tcBorders>
              <w:top w:val="single" w:color="000000" w:sz="6" w:space="0"/>
              <w:left w:val="nil"/>
              <w:bottom w:val="single" w:color="000000" w:sz="6" w:space="0"/>
              <w:right w:val="single" w:color="000000" w:sz="6" w:space="0"/>
            </w:tcBorders>
            <w:noWrap/>
            <w:vAlign w:val="center"/>
          </w:tcPr>
          <w:p w14:paraId="517E93E9">
            <w:pPr>
              <w:pStyle w:val="29"/>
              <w:spacing w:line="360" w:lineRule="auto"/>
              <w:rPr>
                <w:rFonts w:ascii="Times New Roman"/>
                <w:kern w:val="2"/>
                <w:sz w:val="24"/>
                <w:szCs w:val="24"/>
                <w:highlight w:val="none"/>
              </w:rPr>
            </w:pPr>
          </w:p>
        </w:tc>
        <w:tc>
          <w:tcPr>
            <w:tcW w:w="2877" w:type="dxa"/>
            <w:tcBorders>
              <w:top w:val="single" w:color="000000" w:sz="6" w:space="0"/>
              <w:left w:val="nil"/>
              <w:bottom w:val="single" w:color="000000" w:sz="6" w:space="0"/>
              <w:right w:val="single" w:color="auto" w:sz="4" w:space="0"/>
            </w:tcBorders>
            <w:noWrap/>
            <w:vAlign w:val="center"/>
          </w:tcPr>
          <w:p w14:paraId="2395B862">
            <w:pPr>
              <w:pStyle w:val="29"/>
              <w:spacing w:line="360" w:lineRule="auto"/>
              <w:rPr>
                <w:rFonts w:ascii="Times New Roman"/>
                <w:kern w:val="2"/>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noWrap/>
            <w:vAlign w:val="center"/>
          </w:tcPr>
          <w:p w14:paraId="375ED2DF">
            <w:pPr>
              <w:pStyle w:val="29"/>
              <w:spacing w:line="360" w:lineRule="auto"/>
              <w:jc w:val="center"/>
              <w:rPr>
                <w:rFonts w:ascii="Times New Roman"/>
                <w:kern w:val="2"/>
                <w:sz w:val="24"/>
                <w:szCs w:val="24"/>
                <w:highlight w:val="none"/>
              </w:rPr>
            </w:pPr>
          </w:p>
        </w:tc>
        <w:tc>
          <w:tcPr>
            <w:tcW w:w="1582" w:type="dxa"/>
            <w:tcBorders>
              <w:top w:val="single" w:color="000000" w:sz="6" w:space="0"/>
              <w:left w:val="single" w:color="auto" w:sz="4" w:space="0"/>
              <w:bottom w:val="single" w:color="000000" w:sz="6" w:space="0"/>
              <w:right w:val="single" w:color="000000" w:sz="6" w:space="0"/>
            </w:tcBorders>
            <w:noWrap/>
            <w:vAlign w:val="center"/>
          </w:tcPr>
          <w:p w14:paraId="44D67521">
            <w:pPr>
              <w:pStyle w:val="29"/>
              <w:spacing w:line="360" w:lineRule="auto"/>
              <w:rPr>
                <w:rFonts w:ascii="Times New Roman"/>
                <w:kern w:val="2"/>
                <w:sz w:val="24"/>
                <w:szCs w:val="24"/>
                <w:highlight w:val="none"/>
              </w:rPr>
            </w:pPr>
          </w:p>
        </w:tc>
        <w:tc>
          <w:tcPr>
            <w:tcW w:w="1582" w:type="dxa"/>
            <w:tcBorders>
              <w:top w:val="single" w:color="000000" w:sz="6" w:space="0"/>
              <w:left w:val="single" w:color="auto" w:sz="4" w:space="0"/>
              <w:bottom w:val="single" w:color="000000" w:sz="6" w:space="0"/>
              <w:right w:val="single" w:color="000000" w:sz="6" w:space="0"/>
            </w:tcBorders>
            <w:noWrap/>
            <w:vAlign w:val="center"/>
          </w:tcPr>
          <w:p w14:paraId="7F2CB942">
            <w:pPr>
              <w:pStyle w:val="29"/>
              <w:spacing w:line="360" w:lineRule="auto"/>
              <w:jc w:val="center"/>
              <w:rPr>
                <w:rFonts w:ascii="Times New Roman"/>
                <w:kern w:val="2"/>
                <w:sz w:val="24"/>
                <w:szCs w:val="24"/>
                <w:highlight w:val="none"/>
              </w:rPr>
            </w:pPr>
          </w:p>
        </w:tc>
      </w:tr>
      <w:tr w14:paraId="35866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77" w:type="dxa"/>
            <w:tcBorders>
              <w:top w:val="single" w:color="000000" w:sz="6" w:space="0"/>
              <w:left w:val="single" w:color="000000" w:sz="6" w:space="0"/>
              <w:bottom w:val="single" w:color="000000" w:sz="6" w:space="0"/>
              <w:right w:val="single" w:color="000000" w:sz="6" w:space="0"/>
            </w:tcBorders>
            <w:noWrap/>
            <w:vAlign w:val="center"/>
          </w:tcPr>
          <w:p w14:paraId="24ACAFB0">
            <w:pPr>
              <w:pStyle w:val="29"/>
              <w:spacing w:line="360" w:lineRule="auto"/>
              <w:rPr>
                <w:rFonts w:ascii="Times New Roman"/>
                <w:kern w:val="2"/>
                <w:sz w:val="24"/>
                <w:szCs w:val="24"/>
                <w:highlight w:val="none"/>
              </w:rPr>
            </w:pPr>
          </w:p>
        </w:tc>
        <w:tc>
          <w:tcPr>
            <w:tcW w:w="1230" w:type="dxa"/>
            <w:tcBorders>
              <w:top w:val="single" w:color="000000" w:sz="6" w:space="0"/>
              <w:left w:val="nil"/>
              <w:bottom w:val="single" w:color="000000" w:sz="6" w:space="0"/>
              <w:right w:val="single" w:color="000000" w:sz="6" w:space="0"/>
            </w:tcBorders>
            <w:noWrap/>
            <w:vAlign w:val="center"/>
          </w:tcPr>
          <w:p w14:paraId="2A21AEAA">
            <w:pPr>
              <w:pStyle w:val="29"/>
              <w:spacing w:line="360" w:lineRule="auto"/>
              <w:rPr>
                <w:rFonts w:ascii="Times New Roman"/>
                <w:kern w:val="2"/>
                <w:sz w:val="24"/>
                <w:szCs w:val="24"/>
                <w:highlight w:val="none"/>
              </w:rPr>
            </w:pPr>
          </w:p>
        </w:tc>
        <w:tc>
          <w:tcPr>
            <w:tcW w:w="2877" w:type="dxa"/>
            <w:tcBorders>
              <w:top w:val="single" w:color="000000" w:sz="6" w:space="0"/>
              <w:left w:val="nil"/>
              <w:bottom w:val="single" w:color="000000" w:sz="6" w:space="0"/>
              <w:right w:val="single" w:color="auto" w:sz="4" w:space="0"/>
            </w:tcBorders>
            <w:noWrap/>
            <w:vAlign w:val="center"/>
          </w:tcPr>
          <w:p w14:paraId="2CCF8B8F">
            <w:pPr>
              <w:pStyle w:val="29"/>
              <w:spacing w:line="360" w:lineRule="auto"/>
              <w:rPr>
                <w:rFonts w:ascii="Times New Roman"/>
                <w:kern w:val="2"/>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noWrap/>
            <w:vAlign w:val="center"/>
          </w:tcPr>
          <w:p w14:paraId="432A3DD9">
            <w:pPr>
              <w:pStyle w:val="29"/>
              <w:spacing w:line="360" w:lineRule="auto"/>
              <w:jc w:val="center"/>
              <w:rPr>
                <w:rFonts w:ascii="Times New Roman"/>
                <w:kern w:val="2"/>
                <w:sz w:val="24"/>
                <w:szCs w:val="24"/>
                <w:highlight w:val="none"/>
              </w:rPr>
            </w:pPr>
          </w:p>
        </w:tc>
        <w:tc>
          <w:tcPr>
            <w:tcW w:w="1582" w:type="dxa"/>
            <w:tcBorders>
              <w:top w:val="single" w:color="000000" w:sz="6" w:space="0"/>
              <w:left w:val="single" w:color="auto" w:sz="4" w:space="0"/>
              <w:bottom w:val="single" w:color="000000" w:sz="6" w:space="0"/>
              <w:right w:val="single" w:color="000000" w:sz="6" w:space="0"/>
            </w:tcBorders>
            <w:noWrap/>
            <w:vAlign w:val="center"/>
          </w:tcPr>
          <w:p w14:paraId="716ABB25">
            <w:pPr>
              <w:pStyle w:val="29"/>
              <w:spacing w:line="360" w:lineRule="auto"/>
              <w:rPr>
                <w:rFonts w:ascii="Times New Roman"/>
                <w:kern w:val="2"/>
                <w:sz w:val="24"/>
                <w:szCs w:val="24"/>
                <w:highlight w:val="none"/>
              </w:rPr>
            </w:pPr>
          </w:p>
        </w:tc>
        <w:tc>
          <w:tcPr>
            <w:tcW w:w="1582" w:type="dxa"/>
            <w:tcBorders>
              <w:top w:val="single" w:color="000000" w:sz="6" w:space="0"/>
              <w:left w:val="single" w:color="auto" w:sz="4" w:space="0"/>
              <w:bottom w:val="single" w:color="000000" w:sz="6" w:space="0"/>
              <w:right w:val="single" w:color="000000" w:sz="6" w:space="0"/>
            </w:tcBorders>
            <w:noWrap/>
            <w:vAlign w:val="center"/>
          </w:tcPr>
          <w:p w14:paraId="2539B8B9">
            <w:pPr>
              <w:pStyle w:val="29"/>
              <w:spacing w:line="360" w:lineRule="auto"/>
              <w:jc w:val="center"/>
              <w:rPr>
                <w:rFonts w:ascii="Times New Roman"/>
                <w:kern w:val="2"/>
                <w:sz w:val="24"/>
                <w:szCs w:val="24"/>
                <w:highlight w:val="none"/>
              </w:rPr>
            </w:pPr>
          </w:p>
        </w:tc>
      </w:tr>
      <w:tr w14:paraId="60765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777" w:type="dxa"/>
            <w:tcBorders>
              <w:top w:val="single" w:color="000000" w:sz="6" w:space="0"/>
              <w:left w:val="single" w:color="000000" w:sz="6" w:space="0"/>
              <w:bottom w:val="single" w:color="000000" w:sz="6" w:space="0"/>
              <w:right w:val="single" w:color="000000" w:sz="6" w:space="0"/>
            </w:tcBorders>
            <w:noWrap/>
            <w:vAlign w:val="center"/>
          </w:tcPr>
          <w:p w14:paraId="0F0F43D0">
            <w:pPr>
              <w:pStyle w:val="29"/>
              <w:spacing w:line="360" w:lineRule="auto"/>
              <w:rPr>
                <w:rFonts w:ascii="Times New Roman"/>
                <w:kern w:val="2"/>
                <w:sz w:val="24"/>
                <w:szCs w:val="24"/>
                <w:highlight w:val="none"/>
              </w:rPr>
            </w:pPr>
          </w:p>
        </w:tc>
        <w:tc>
          <w:tcPr>
            <w:tcW w:w="1230" w:type="dxa"/>
            <w:tcBorders>
              <w:top w:val="single" w:color="000000" w:sz="6" w:space="0"/>
              <w:left w:val="nil"/>
              <w:bottom w:val="single" w:color="000000" w:sz="6" w:space="0"/>
              <w:right w:val="single" w:color="000000" w:sz="6" w:space="0"/>
            </w:tcBorders>
            <w:noWrap/>
            <w:vAlign w:val="center"/>
          </w:tcPr>
          <w:p w14:paraId="2EFAF314">
            <w:pPr>
              <w:pStyle w:val="29"/>
              <w:spacing w:line="360" w:lineRule="auto"/>
              <w:rPr>
                <w:rFonts w:ascii="Times New Roman"/>
                <w:kern w:val="2"/>
                <w:sz w:val="24"/>
                <w:szCs w:val="24"/>
                <w:highlight w:val="none"/>
              </w:rPr>
            </w:pPr>
          </w:p>
        </w:tc>
        <w:tc>
          <w:tcPr>
            <w:tcW w:w="2877" w:type="dxa"/>
            <w:tcBorders>
              <w:top w:val="single" w:color="000000" w:sz="6" w:space="0"/>
              <w:left w:val="nil"/>
              <w:bottom w:val="single" w:color="000000" w:sz="6" w:space="0"/>
              <w:right w:val="single" w:color="auto" w:sz="4" w:space="0"/>
            </w:tcBorders>
            <w:noWrap/>
            <w:vAlign w:val="center"/>
          </w:tcPr>
          <w:p w14:paraId="36B62543">
            <w:pPr>
              <w:pStyle w:val="29"/>
              <w:spacing w:line="360" w:lineRule="auto"/>
              <w:rPr>
                <w:rFonts w:ascii="Times New Roman"/>
                <w:kern w:val="2"/>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noWrap/>
            <w:vAlign w:val="center"/>
          </w:tcPr>
          <w:p w14:paraId="481B5488">
            <w:pPr>
              <w:pStyle w:val="29"/>
              <w:spacing w:line="360" w:lineRule="auto"/>
              <w:jc w:val="center"/>
              <w:rPr>
                <w:rFonts w:ascii="Times New Roman"/>
                <w:kern w:val="2"/>
                <w:sz w:val="24"/>
                <w:szCs w:val="24"/>
                <w:highlight w:val="none"/>
              </w:rPr>
            </w:pPr>
          </w:p>
        </w:tc>
        <w:tc>
          <w:tcPr>
            <w:tcW w:w="1582" w:type="dxa"/>
            <w:tcBorders>
              <w:top w:val="single" w:color="000000" w:sz="6" w:space="0"/>
              <w:left w:val="single" w:color="auto" w:sz="4" w:space="0"/>
              <w:bottom w:val="single" w:color="000000" w:sz="6" w:space="0"/>
              <w:right w:val="single" w:color="000000" w:sz="6" w:space="0"/>
            </w:tcBorders>
            <w:noWrap/>
            <w:vAlign w:val="center"/>
          </w:tcPr>
          <w:p w14:paraId="2842DDA3">
            <w:pPr>
              <w:pStyle w:val="29"/>
              <w:spacing w:line="360" w:lineRule="auto"/>
              <w:rPr>
                <w:rFonts w:ascii="Times New Roman"/>
                <w:kern w:val="2"/>
                <w:sz w:val="24"/>
                <w:szCs w:val="24"/>
                <w:highlight w:val="none"/>
              </w:rPr>
            </w:pPr>
          </w:p>
        </w:tc>
        <w:tc>
          <w:tcPr>
            <w:tcW w:w="1582" w:type="dxa"/>
            <w:tcBorders>
              <w:top w:val="single" w:color="000000" w:sz="6" w:space="0"/>
              <w:left w:val="single" w:color="auto" w:sz="4" w:space="0"/>
              <w:bottom w:val="single" w:color="000000" w:sz="6" w:space="0"/>
              <w:right w:val="single" w:color="000000" w:sz="6" w:space="0"/>
            </w:tcBorders>
            <w:noWrap/>
            <w:vAlign w:val="center"/>
          </w:tcPr>
          <w:p w14:paraId="488F2564">
            <w:pPr>
              <w:pStyle w:val="29"/>
              <w:spacing w:line="360" w:lineRule="auto"/>
              <w:jc w:val="center"/>
              <w:rPr>
                <w:rFonts w:ascii="Times New Roman"/>
                <w:kern w:val="2"/>
                <w:sz w:val="24"/>
                <w:szCs w:val="24"/>
                <w:highlight w:val="none"/>
              </w:rPr>
            </w:pPr>
          </w:p>
        </w:tc>
      </w:tr>
      <w:tr w14:paraId="1E815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77" w:type="dxa"/>
            <w:tcBorders>
              <w:top w:val="single" w:color="000000" w:sz="6" w:space="0"/>
              <w:left w:val="single" w:color="000000" w:sz="6" w:space="0"/>
              <w:bottom w:val="single" w:color="000000" w:sz="6" w:space="0"/>
              <w:right w:val="single" w:color="000000" w:sz="6" w:space="0"/>
            </w:tcBorders>
            <w:noWrap/>
            <w:vAlign w:val="center"/>
          </w:tcPr>
          <w:p w14:paraId="3E6AD3AC">
            <w:pPr>
              <w:pStyle w:val="29"/>
              <w:spacing w:line="360" w:lineRule="auto"/>
              <w:rPr>
                <w:rFonts w:ascii="Times New Roman"/>
                <w:kern w:val="2"/>
                <w:sz w:val="24"/>
                <w:szCs w:val="24"/>
                <w:highlight w:val="none"/>
              </w:rPr>
            </w:pPr>
          </w:p>
        </w:tc>
        <w:tc>
          <w:tcPr>
            <w:tcW w:w="1230" w:type="dxa"/>
            <w:tcBorders>
              <w:top w:val="single" w:color="000000" w:sz="6" w:space="0"/>
              <w:left w:val="nil"/>
              <w:bottom w:val="single" w:color="000000" w:sz="6" w:space="0"/>
              <w:right w:val="single" w:color="000000" w:sz="6" w:space="0"/>
            </w:tcBorders>
            <w:noWrap/>
            <w:vAlign w:val="center"/>
          </w:tcPr>
          <w:p w14:paraId="24F4A710">
            <w:pPr>
              <w:pStyle w:val="29"/>
              <w:spacing w:line="360" w:lineRule="auto"/>
              <w:rPr>
                <w:rFonts w:ascii="Times New Roman"/>
                <w:kern w:val="2"/>
                <w:sz w:val="24"/>
                <w:szCs w:val="24"/>
                <w:highlight w:val="none"/>
              </w:rPr>
            </w:pPr>
          </w:p>
        </w:tc>
        <w:tc>
          <w:tcPr>
            <w:tcW w:w="2877" w:type="dxa"/>
            <w:tcBorders>
              <w:top w:val="single" w:color="000000" w:sz="6" w:space="0"/>
              <w:left w:val="nil"/>
              <w:bottom w:val="single" w:color="000000" w:sz="6" w:space="0"/>
              <w:right w:val="single" w:color="auto" w:sz="4" w:space="0"/>
            </w:tcBorders>
            <w:noWrap/>
            <w:vAlign w:val="center"/>
          </w:tcPr>
          <w:p w14:paraId="2A321BFB">
            <w:pPr>
              <w:pStyle w:val="29"/>
              <w:spacing w:line="360" w:lineRule="auto"/>
              <w:rPr>
                <w:rFonts w:ascii="Times New Roman"/>
                <w:kern w:val="2"/>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noWrap/>
            <w:vAlign w:val="center"/>
          </w:tcPr>
          <w:p w14:paraId="1860B91F">
            <w:pPr>
              <w:pStyle w:val="29"/>
              <w:spacing w:line="360" w:lineRule="auto"/>
              <w:jc w:val="center"/>
              <w:rPr>
                <w:rFonts w:ascii="Times New Roman"/>
                <w:kern w:val="2"/>
                <w:sz w:val="24"/>
                <w:szCs w:val="24"/>
                <w:highlight w:val="none"/>
              </w:rPr>
            </w:pPr>
          </w:p>
        </w:tc>
        <w:tc>
          <w:tcPr>
            <w:tcW w:w="1582" w:type="dxa"/>
            <w:tcBorders>
              <w:top w:val="single" w:color="000000" w:sz="6" w:space="0"/>
              <w:left w:val="single" w:color="auto" w:sz="4" w:space="0"/>
              <w:bottom w:val="single" w:color="000000" w:sz="6" w:space="0"/>
              <w:right w:val="single" w:color="000000" w:sz="6" w:space="0"/>
            </w:tcBorders>
            <w:noWrap/>
            <w:vAlign w:val="center"/>
          </w:tcPr>
          <w:p w14:paraId="09697FB6">
            <w:pPr>
              <w:pStyle w:val="29"/>
              <w:spacing w:line="360" w:lineRule="auto"/>
              <w:rPr>
                <w:rFonts w:ascii="Times New Roman"/>
                <w:kern w:val="2"/>
                <w:sz w:val="24"/>
                <w:szCs w:val="24"/>
                <w:highlight w:val="none"/>
              </w:rPr>
            </w:pPr>
          </w:p>
        </w:tc>
        <w:tc>
          <w:tcPr>
            <w:tcW w:w="1582" w:type="dxa"/>
            <w:tcBorders>
              <w:top w:val="single" w:color="000000" w:sz="6" w:space="0"/>
              <w:left w:val="single" w:color="auto" w:sz="4" w:space="0"/>
              <w:bottom w:val="single" w:color="000000" w:sz="6" w:space="0"/>
              <w:right w:val="single" w:color="000000" w:sz="6" w:space="0"/>
            </w:tcBorders>
            <w:noWrap/>
            <w:vAlign w:val="center"/>
          </w:tcPr>
          <w:p w14:paraId="051047FB">
            <w:pPr>
              <w:pStyle w:val="29"/>
              <w:spacing w:line="360" w:lineRule="auto"/>
              <w:jc w:val="center"/>
              <w:rPr>
                <w:rFonts w:ascii="Times New Roman"/>
                <w:kern w:val="2"/>
                <w:sz w:val="24"/>
                <w:szCs w:val="24"/>
                <w:highlight w:val="none"/>
              </w:rPr>
            </w:pPr>
          </w:p>
        </w:tc>
      </w:tr>
      <w:tr w14:paraId="3B0EC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77" w:type="dxa"/>
            <w:tcBorders>
              <w:top w:val="single" w:color="000000" w:sz="6" w:space="0"/>
              <w:left w:val="single" w:color="000000" w:sz="6" w:space="0"/>
              <w:bottom w:val="single" w:color="000000" w:sz="6" w:space="0"/>
              <w:right w:val="single" w:color="000000" w:sz="6" w:space="0"/>
            </w:tcBorders>
            <w:noWrap/>
            <w:vAlign w:val="center"/>
          </w:tcPr>
          <w:p w14:paraId="2387CD40">
            <w:pPr>
              <w:pStyle w:val="29"/>
              <w:spacing w:line="360" w:lineRule="auto"/>
              <w:rPr>
                <w:rFonts w:ascii="Times New Roman"/>
                <w:kern w:val="2"/>
                <w:sz w:val="24"/>
                <w:szCs w:val="24"/>
                <w:highlight w:val="none"/>
              </w:rPr>
            </w:pPr>
          </w:p>
        </w:tc>
        <w:tc>
          <w:tcPr>
            <w:tcW w:w="1230" w:type="dxa"/>
            <w:tcBorders>
              <w:top w:val="single" w:color="000000" w:sz="6" w:space="0"/>
              <w:left w:val="nil"/>
              <w:bottom w:val="single" w:color="000000" w:sz="6" w:space="0"/>
              <w:right w:val="single" w:color="000000" w:sz="6" w:space="0"/>
            </w:tcBorders>
            <w:noWrap/>
            <w:vAlign w:val="center"/>
          </w:tcPr>
          <w:p w14:paraId="30CBB12D">
            <w:pPr>
              <w:pStyle w:val="29"/>
              <w:spacing w:line="360" w:lineRule="auto"/>
              <w:rPr>
                <w:rFonts w:ascii="Times New Roman"/>
                <w:kern w:val="2"/>
                <w:sz w:val="24"/>
                <w:szCs w:val="24"/>
                <w:highlight w:val="none"/>
              </w:rPr>
            </w:pPr>
          </w:p>
        </w:tc>
        <w:tc>
          <w:tcPr>
            <w:tcW w:w="2877" w:type="dxa"/>
            <w:tcBorders>
              <w:top w:val="single" w:color="000000" w:sz="6" w:space="0"/>
              <w:left w:val="nil"/>
              <w:bottom w:val="single" w:color="000000" w:sz="6" w:space="0"/>
              <w:right w:val="single" w:color="auto" w:sz="4" w:space="0"/>
            </w:tcBorders>
            <w:noWrap/>
            <w:vAlign w:val="center"/>
          </w:tcPr>
          <w:p w14:paraId="48E0F0D9">
            <w:pPr>
              <w:pStyle w:val="29"/>
              <w:spacing w:line="360" w:lineRule="auto"/>
              <w:rPr>
                <w:rFonts w:ascii="Times New Roman"/>
                <w:kern w:val="2"/>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noWrap/>
            <w:vAlign w:val="center"/>
          </w:tcPr>
          <w:p w14:paraId="59D0D1B8">
            <w:pPr>
              <w:pStyle w:val="29"/>
              <w:spacing w:line="360" w:lineRule="auto"/>
              <w:jc w:val="center"/>
              <w:rPr>
                <w:rFonts w:ascii="Times New Roman"/>
                <w:kern w:val="2"/>
                <w:sz w:val="24"/>
                <w:szCs w:val="24"/>
                <w:highlight w:val="none"/>
              </w:rPr>
            </w:pPr>
          </w:p>
        </w:tc>
        <w:tc>
          <w:tcPr>
            <w:tcW w:w="1582" w:type="dxa"/>
            <w:tcBorders>
              <w:top w:val="single" w:color="000000" w:sz="6" w:space="0"/>
              <w:left w:val="single" w:color="auto" w:sz="4" w:space="0"/>
              <w:bottom w:val="single" w:color="000000" w:sz="6" w:space="0"/>
              <w:right w:val="single" w:color="000000" w:sz="6" w:space="0"/>
            </w:tcBorders>
            <w:noWrap/>
            <w:vAlign w:val="center"/>
          </w:tcPr>
          <w:p w14:paraId="1902B2B9">
            <w:pPr>
              <w:pStyle w:val="29"/>
              <w:spacing w:line="360" w:lineRule="auto"/>
              <w:rPr>
                <w:rFonts w:ascii="Times New Roman"/>
                <w:kern w:val="2"/>
                <w:sz w:val="24"/>
                <w:szCs w:val="24"/>
                <w:highlight w:val="none"/>
              </w:rPr>
            </w:pPr>
          </w:p>
        </w:tc>
        <w:tc>
          <w:tcPr>
            <w:tcW w:w="1582" w:type="dxa"/>
            <w:tcBorders>
              <w:top w:val="single" w:color="000000" w:sz="6" w:space="0"/>
              <w:left w:val="single" w:color="auto" w:sz="4" w:space="0"/>
              <w:bottom w:val="single" w:color="000000" w:sz="6" w:space="0"/>
              <w:right w:val="single" w:color="000000" w:sz="6" w:space="0"/>
            </w:tcBorders>
            <w:noWrap/>
            <w:vAlign w:val="center"/>
          </w:tcPr>
          <w:p w14:paraId="51A36D37">
            <w:pPr>
              <w:pStyle w:val="29"/>
              <w:spacing w:line="360" w:lineRule="auto"/>
              <w:jc w:val="center"/>
              <w:rPr>
                <w:rFonts w:ascii="Times New Roman"/>
                <w:kern w:val="2"/>
                <w:sz w:val="24"/>
                <w:szCs w:val="24"/>
                <w:highlight w:val="none"/>
              </w:rPr>
            </w:pPr>
          </w:p>
        </w:tc>
      </w:tr>
    </w:tbl>
    <w:p w14:paraId="77788A4E">
      <w:pPr>
        <w:pStyle w:val="9"/>
        <w:spacing w:line="360" w:lineRule="auto"/>
        <w:jc w:val="left"/>
        <w:rPr>
          <w:highlight w:val="none"/>
        </w:rPr>
      </w:pPr>
      <w:r>
        <w:rPr>
          <w:rFonts w:hint="eastAsia"/>
          <w:highlight w:val="none"/>
        </w:rPr>
        <w:t>说明：</w:t>
      </w:r>
    </w:p>
    <w:p w14:paraId="2BE76928">
      <w:pPr>
        <w:pStyle w:val="9"/>
        <w:spacing w:line="360" w:lineRule="auto"/>
        <w:jc w:val="left"/>
        <w:rPr>
          <w:highlight w:val="none"/>
        </w:rPr>
      </w:pPr>
      <w:r>
        <w:rPr>
          <w:rFonts w:hint="eastAsia"/>
          <w:highlight w:val="none"/>
        </w:rPr>
        <w:t>1、如果行数不够，请自行增加。</w:t>
      </w:r>
    </w:p>
    <w:p w14:paraId="57F64436">
      <w:pPr>
        <w:pStyle w:val="9"/>
        <w:spacing w:line="360" w:lineRule="auto"/>
        <w:jc w:val="left"/>
        <w:rPr>
          <w:highlight w:val="none"/>
        </w:rPr>
      </w:pPr>
      <w:r>
        <w:rPr>
          <w:rFonts w:hint="eastAsia"/>
          <w:highlight w:val="none"/>
        </w:rPr>
        <w:t>2、“偏离”栏应注明“</w:t>
      </w:r>
      <w:r>
        <w:rPr>
          <w:rFonts w:hint="eastAsia"/>
          <w:highlight w:val="none"/>
          <w:lang w:val="en-US"/>
        </w:rPr>
        <w:t>无偏离</w:t>
      </w:r>
      <w:r>
        <w:rPr>
          <w:rFonts w:hint="eastAsia"/>
          <w:highlight w:val="none"/>
        </w:rPr>
        <w:t>”或“</w:t>
      </w:r>
      <w:r>
        <w:rPr>
          <w:rFonts w:hint="eastAsia"/>
          <w:highlight w:val="none"/>
          <w:lang w:val="en-US"/>
        </w:rPr>
        <w:t>正偏离</w:t>
      </w:r>
      <w:r>
        <w:rPr>
          <w:rFonts w:hint="eastAsia"/>
          <w:highlight w:val="none"/>
        </w:rPr>
        <w:t>”</w:t>
      </w:r>
      <w:r>
        <w:rPr>
          <w:rFonts w:hint="eastAsia"/>
          <w:highlight w:val="none"/>
          <w:lang w:val="en-US"/>
        </w:rPr>
        <w:t>或</w:t>
      </w:r>
      <w:r>
        <w:rPr>
          <w:rFonts w:hint="eastAsia"/>
          <w:highlight w:val="none"/>
        </w:rPr>
        <w:t>“</w:t>
      </w:r>
      <w:r>
        <w:rPr>
          <w:rFonts w:hint="eastAsia"/>
          <w:highlight w:val="none"/>
          <w:lang w:val="en-US"/>
        </w:rPr>
        <w:t>负</w:t>
      </w:r>
      <w:r>
        <w:rPr>
          <w:rFonts w:hint="eastAsia"/>
          <w:highlight w:val="none"/>
        </w:rPr>
        <w:t>偏离”。</w:t>
      </w:r>
    </w:p>
    <w:p w14:paraId="328440A0">
      <w:pPr>
        <w:pStyle w:val="9"/>
        <w:spacing w:line="360" w:lineRule="auto"/>
        <w:jc w:val="left"/>
        <w:rPr>
          <w:highlight w:val="none"/>
        </w:rPr>
      </w:pPr>
      <w:r>
        <w:rPr>
          <w:rFonts w:hint="eastAsia"/>
          <w:highlight w:val="none"/>
          <w:lang w:val="en-US"/>
        </w:rPr>
        <w:t>3、</w:t>
      </w:r>
      <w:r>
        <w:rPr>
          <w:rFonts w:hint="eastAsia"/>
          <w:highlight w:val="none"/>
        </w:rPr>
        <w:t>投标人应在上表中明确投标文件商务部分与招标文件要求的商务条款偏离情况，如有偏离</w:t>
      </w:r>
      <w:r>
        <w:rPr>
          <w:rFonts w:hint="eastAsia"/>
          <w:bCs/>
          <w:highlight w:val="none"/>
        </w:rPr>
        <w:t>（包括正偏离和负偏离）</w:t>
      </w:r>
      <w:r>
        <w:rPr>
          <w:rFonts w:hint="eastAsia"/>
          <w:highlight w:val="none"/>
        </w:rPr>
        <w:t>,投标人应详细说明，偏离情况详细说明可另页描述，但</w:t>
      </w:r>
      <w:r>
        <w:rPr>
          <w:rFonts w:hint="eastAsia"/>
          <w:bCs/>
          <w:highlight w:val="none"/>
        </w:rPr>
        <w:t>须在“偏离情况详细说明”栏标注其在投标文件对应的页码</w:t>
      </w:r>
      <w:r>
        <w:rPr>
          <w:rFonts w:hint="eastAsia"/>
          <w:highlight w:val="none"/>
        </w:rPr>
        <w:t>，</w:t>
      </w:r>
      <w:r>
        <w:rPr>
          <w:rFonts w:hint="eastAsia"/>
          <w:highlight w:val="none"/>
          <w:lang w:val="en-US"/>
        </w:rPr>
        <w:t>本</w:t>
      </w:r>
      <w:r>
        <w:rPr>
          <w:rFonts w:hint="eastAsia"/>
          <w:highlight w:val="none"/>
        </w:rPr>
        <w:t>表不作为投标人对所投项目关于商务条款等详细描述和说明的替代。</w:t>
      </w:r>
    </w:p>
    <w:p w14:paraId="374B9CBC">
      <w:pPr>
        <w:pStyle w:val="9"/>
        <w:spacing w:line="360" w:lineRule="auto"/>
        <w:jc w:val="left"/>
        <w:rPr>
          <w:highlight w:val="none"/>
          <w:lang w:val="en-US"/>
        </w:rPr>
      </w:pPr>
      <w:r>
        <w:rPr>
          <w:rFonts w:hint="eastAsia"/>
          <w:highlight w:val="none"/>
          <w:lang w:val="en-US"/>
        </w:rPr>
        <w:t>4、本表所称商务条款包括但不限于招标文件第五章公开招标项目需求中的商务条款、第六章合同条款等。</w:t>
      </w:r>
    </w:p>
    <w:p w14:paraId="5EEE0E81">
      <w:pPr>
        <w:pStyle w:val="9"/>
        <w:spacing w:line="360" w:lineRule="auto"/>
        <w:jc w:val="left"/>
        <w:rPr>
          <w:highlight w:val="none"/>
        </w:rPr>
      </w:pPr>
    </w:p>
    <w:p w14:paraId="10C93216">
      <w:pPr>
        <w:pStyle w:val="9"/>
        <w:spacing w:line="360" w:lineRule="auto"/>
        <w:jc w:val="left"/>
        <w:rPr>
          <w:highlight w:val="none"/>
        </w:rPr>
      </w:pPr>
      <w:r>
        <w:rPr>
          <w:rFonts w:hint="eastAsia"/>
          <w:highlight w:val="none"/>
        </w:rPr>
        <w:t>投标人名称：</w:t>
      </w:r>
      <w:r>
        <w:rPr>
          <w:highlight w:val="none"/>
        </w:rPr>
        <w:t xml:space="preserve">        </w:t>
      </w:r>
      <w:r>
        <w:rPr>
          <w:rFonts w:hint="eastAsia"/>
          <w:highlight w:val="none"/>
        </w:rPr>
        <w:t>（盖章）</w:t>
      </w:r>
    </w:p>
    <w:p w14:paraId="69F4FC7F">
      <w:pPr>
        <w:rPr>
          <w:b/>
          <w:sz w:val="24"/>
          <w:szCs w:val="24"/>
          <w:highlight w:val="none"/>
        </w:rPr>
      </w:pPr>
      <w:r>
        <w:rPr>
          <w:rFonts w:hint="eastAsia"/>
          <w:b/>
          <w:sz w:val="24"/>
          <w:szCs w:val="24"/>
          <w:highlight w:val="none"/>
        </w:rPr>
        <w:t>日   期：     年     月     日</w:t>
      </w:r>
    </w:p>
    <w:p w14:paraId="6232E87B">
      <w:pPr>
        <w:adjustRightInd w:val="0"/>
        <w:snapToGrid w:val="0"/>
        <w:spacing w:line="360" w:lineRule="auto"/>
        <w:rPr>
          <w:sz w:val="24"/>
          <w:szCs w:val="24"/>
          <w:highlight w:val="none"/>
        </w:rPr>
      </w:pPr>
    </w:p>
    <w:p w14:paraId="56D43B40">
      <w:pPr>
        <w:pStyle w:val="9"/>
        <w:spacing w:line="360" w:lineRule="auto"/>
        <w:rPr>
          <w:highlight w:val="none"/>
          <w:lang w:val="en-US"/>
        </w:rPr>
      </w:pPr>
    </w:p>
    <w:p w14:paraId="44B8B682">
      <w:pPr>
        <w:pStyle w:val="9"/>
        <w:spacing w:line="360" w:lineRule="auto"/>
        <w:rPr>
          <w:highlight w:val="none"/>
          <w:lang w:val="en-US"/>
        </w:rPr>
        <w:sectPr>
          <w:pgSz w:w="11910" w:h="16840"/>
          <w:pgMar w:top="1440" w:right="1423" w:bottom="920" w:left="1423" w:header="492" w:footer="726" w:gutter="0"/>
          <w:cols w:space="720" w:num="1"/>
          <w:docGrid w:linePitch="312" w:charSpace="0"/>
        </w:sectPr>
      </w:pPr>
      <w:r>
        <w:rPr>
          <w:rFonts w:hint="eastAsia"/>
          <w:highlight w:val="none"/>
          <w:lang w:val="en-US"/>
        </w:rPr>
        <w:t>3.8、投标人认为需要提供的其他商务资料</w:t>
      </w:r>
      <w:r>
        <w:rPr>
          <w:rFonts w:hint="eastAsia"/>
          <w:highlight w:val="none"/>
          <w:lang w:val="en-US"/>
        </w:rPr>
        <w:tab/>
      </w:r>
    </w:p>
    <w:p w14:paraId="5D847C70">
      <w:pPr>
        <w:pStyle w:val="3"/>
        <w:adjustRightInd w:val="0"/>
        <w:snapToGrid w:val="0"/>
        <w:spacing w:line="360" w:lineRule="auto"/>
        <w:ind w:left="0" w:firstLine="0"/>
        <w:jc w:val="both"/>
        <w:rPr>
          <w:sz w:val="24"/>
          <w:szCs w:val="24"/>
          <w:highlight w:val="none"/>
          <w:u w:val="none"/>
          <w:lang w:val="en-US"/>
        </w:rPr>
      </w:pPr>
      <w:bookmarkStart w:id="89" w:name="_Toc225524686"/>
      <w:r>
        <w:rPr>
          <w:rFonts w:hint="eastAsia"/>
          <w:sz w:val="24"/>
          <w:szCs w:val="24"/>
          <w:highlight w:val="none"/>
          <w:u w:val="none"/>
          <w:lang w:val="en-US"/>
        </w:rPr>
        <w:t>四、技术部分</w:t>
      </w:r>
      <w:bookmarkEnd w:id="89"/>
    </w:p>
    <w:p w14:paraId="50CF5DEF">
      <w:pPr>
        <w:pStyle w:val="4"/>
        <w:adjustRightInd w:val="0"/>
        <w:snapToGrid w:val="0"/>
        <w:spacing w:line="360" w:lineRule="auto"/>
        <w:jc w:val="both"/>
        <w:rPr>
          <w:rFonts w:ascii="宋体" w:eastAsia="宋体" w:cs="宋体"/>
          <w:b/>
          <w:sz w:val="24"/>
          <w:szCs w:val="24"/>
          <w:highlight w:val="none"/>
          <w:lang w:val="ja-JP" w:eastAsia="ja-JP" w:bidi="ja-JP"/>
        </w:rPr>
      </w:pPr>
      <w:r>
        <w:rPr>
          <w:rFonts w:hint="eastAsia" w:ascii="宋体" w:eastAsia="宋体" w:cs="宋体"/>
          <w:b/>
          <w:sz w:val="24"/>
          <w:szCs w:val="24"/>
          <w:highlight w:val="none"/>
          <w:lang w:val="en-US" w:bidi="ja-JP"/>
        </w:rPr>
        <w:t>4.1</w:t>
      </w:r>
      <w:r>
        <w:rPr>
          <w:rFonts w:hint="eastAsia" w:ascii="宋体" w:eastAsia="宋体" w:cs="宋体"/>
          <w:b/>
          <w:sz w:val="24"/>
          <w:szCs w:val="24"/>
          <w:highlight w:val="none"/>
          <w:lang w:val="en-US" w:eastAsia="ja-JP" w:bidi="ja-JP"/>
        </w:rPr>
        <w:t>、</w:t>
      </w:r>
      <w:r>
        <w:rPr>
          <w:rFonts w:hint="eastAsia" w:ascii="宋体" w:eastAsia="宋体" w:cs="宋体"/>
          <w:b/>
          <w:sz w:val="24"/>
          <w:szCs w:val="24"/>
          <w:highlight w:val="none"/>
          <w:lang w:val="ja-JP" w:eastAsia="ja-JP" w:bidi="ja-JP"/>
        </w:rPr>
        <w:t>技术条款偏离表格式</w:t>
      </w:r>
    </w:p>
    <w:p w14:paraId="26617500">
      <w:pPr>
        <w:pStyle w:val="9"/>
        <w:spacing w:line="360" w:lineRule="auto"/>
        <w:rPr>
          <w:highlight w:val="none"/>
        </w:rPr>
      </w:pPr>
      <w:r>
        <w:rPr>
          <w:rFonts w:hint="eastAsia"/>
          <w:highlight w:val="none"/>
        </w:rPr>
        <w:t>技术条款偏离表</w:t>
      </w:r>
    </w:p>
    <w:p w14:paraId="68546483">
      <w:pPr>
        <w:pStyle w:val="9"/>
        <w:spacing w:line="360" w:lineRule="auto"/>
        <w:rPr>
          <w:highlight w:val="none"/>
        </w:rPr>
      </w:pPr>
      <w:r>
        <w:rPr>
          <w:rFonts w:hint="eastAsia"/>
          <w:highlight w:val="none"/>
        </w:rPr>
        <w:t>项目名称：</w:t>
      </w:r>
      <w:r>
        <w:rPr>
          <w:rFonts w:hint="eastAsia"/>
          <w:highlight w:val="none"/>
        </w:rPr>
        <w:tab/>
      </w:r>
      <w:r>
        <w:rPr>
          <w:rFonts w:hint="eastAsia"/>
          <w:highlight w:val="none"/>
        </w:rPr>
        <w:t>项目编号：</w:t>
      </w:r>
    </w:p>
    <w:tbl>
      <w:tblPr>
        <w:tblStyle w:val="21"/>
        <w:tblW w:w="1001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2"/>
        <w:gridCol w:w="1207"/>
        <w:gridCol w:w="2824"/>
        <w:gridCol w:w="2118"/>
        <w:gridCol w:w="1553"/>
        <w:gridCol w:w="1553"/>
      </w:tblGrid>
      <w:tr w14:paraId="0205A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6"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14:paraId="3E241C63">
            <w:pPr>
              <w:pStyle w:val="29"/>
              <w:adjustRightInd w:val="0"/>
              <w:snapToGrid w:val="0"/>
              <w:spacing w:line="360" w:lineRule="auto"/>
              <w:jc w:val="center"/>
              <w:rPr>
                <w:rFonts w:cs="Times New Roman"/>
                <w:kern w:val="2"/>
                <w:sz w:val="24"/>
                <w:szCs w:val="24"/>
                <w:highlight w:val="none"/>
              </w:rPr>
            </w:pPr>
            <w:r>
              <w:rPr>
                <w:rFonts w:hint="eastAsia" w:cs="Times New Roman"/>
                <w:kern w:val="2"/>
                <w:sz w:val="24"/>
                <w:szCs w:val="24"/>
                <w:highlight w:val="none"/>
              </w:rPr>
              <w:t>序号</w:t>
            </w:r>
          </w:p>
        </w:tc>
        <w:tc>
          <w:tcPr>
            <w:tcW w:w="1207" w:type="dxa"/>
            <w:tcBorders>
              <w:top w:val="single" w:color="000000" w:sz="6" w:space="0"/>
              <w:left w:val="nil"/>
              <w:bottom w:val="single" w:color="000000" w:sz="6" w:space="0"/>
              <w:right w:val="single" w:color="000000" w:sz="6" w:space="0"/>
            </w:tcBorders>
            <w:noWrap/>
            <w:vAlign w:val="center"/>
          </w:tcPr>
          <w:p w14:paraId="6C44B7B9">
            <w:pPr>
              <w:pStyle w:val="29"/>
              <w:adjustRightInd w:val="0"/>
              <w:snapToGrid w:val="0"/>
              <w:spacing w:line="360" w:lineRule="auto"/>
              <w:jc w:val="center"/>
              <w:rPr>
                <w:rFonts w:cs="Times New Roman"/>
                <w:kern w:val="2"/>
                <w:sz w:val="24"/>
                <w:szCs w:val="24"/>
                <w:highlight w:val="none"/>
              </w:rPr>
            </w:pPr>
            <w:r>
              <w:rPr>
                <w:rFonts w:hint="eastAsia" w:cs="Times New Roman"/>
                <w:kern w:val="2"/>
                <w:sz w:val="24"/>
                <w:szCs w:val="24"/>
                <w:highlight w:val="none"/>
              </w:rPr>
              <w:t>条目号</w:t>
            </w:r>
          </w:p>
        </w:tc>
        <w:tc>
          <w:tcPr>
            <w:tcW w:w="2824" w:type="dxa"/>
            <w:tcBorders>
              <w:top w:val="single" w:color="000000" w:sz="6" w:space="0"/>
              <w:left w:val="nil"/>
              <w:bottom w:val="single" w:color="000000" w:sz="6" w:space="0"/>
              <w:right w:val="single" w:color="auto" w:sz="4" w:space="0"/>
            </w:tcBorders>
            <w:noWrap/>
            <w:vAlign w:val="center"/>
          </w:tcPr>
          <w:p w14:paraId="6C35E494">
            <w:pPr>
              <w:pStyle w:val="29"/>
              <w:adjustRightInd w:val="0"/>
              <w:snapToGrid w:val="0"/>
              <w:spacing w:line="360" w:lineRule="auto"/>
              <w:jc w:val="center"/>
              <w:rPr>
                <w:rFonts w:cs="Times New Roman"/>
                <w:kern w:val="2"/>
                <w:sz w:val="24"/>
                <w:szCs w:val="24"/>
                <w:highlight w:val="none"/>
              </w:rPr>
            </w:pPr>
            <w:r>
              <w:rPr>
                <w:rFonts w:hint="eastAsia" w:cs="Times New Roman"/>
                <w:kern w:val="2"/>
                <w:sz w:val="24"/>
                <w:szCs w:val="24"/>
                <w:highlight w:val="none"/>
              </w:rPr>
              <w:t>招标文件要求的技术条款</w:t>
            </w:r>
          </w:p>
        </w:tc>
        <w:tc>
          <w:tcPr>
            <w:tcW w:w="2118" w:type="dxa"/>
            <w:tcBorders>
              <w:top w:val="single" w:color="auto" w:sz="4" w:space="0"/>
              <w:left w:val="single" w:color="auto" w:sz="4" w:space="0"/>
              <w:bottom w:val="single" w:color="auto" w:sz="4" w:space="0"/>
              <w:right w:val="single" w:color="auto" w:sz="4" w:space="0"/>
            </w:tcBorders>
            <w:noWrap/>
            <w:vAlign w:val="center"/>
          </w:tcPr>
          <w:p w14:paraId="767C4BA2">
            <w:pPr>
              <w:pStyle w:val="29"/>
              <w:adjustRightInd w:val="0"/>
              <w:snapToGrid w:val="0"/>
              <w:spacing w:line="360" w:lineRule="auto"/>
              <w:jc w:val="both"/>
              <w:rPr>
                <w:rFonts w:cs="Times New Roman"/>
                <w:kern w:val="2"/>
                <w:sz w:val="24"/>
                <w:szCs w:val="24"/>
                <w:highlight w:val="none"/>
              </w:rPr>
            </w:pPr>
            <w:r>
              <w:rPr>
                <w:rFonts w:hint="eastAsia" w:cs="Times New Roman"/>
                <w:kern w:val="2"/>
                <w:sz w:val="24"/>
                <w:szCs w:val="24"/>
                <w:highlight w:val="none"/>
              </w:rPr>
              <w:t>投标响应内容对应简述</w:t>
            </w:r>
          </w:p>
        </w:tc>
        <w:tc>
          <w:tcPr>
            <w:tcW w:w="1553" w:type="dxa"/>
            <w:tcBorders>
              <w:top w:val="single" w:color="000000" w:sz="6" w:space="0"/>
              <w:left w:val="single" w:color="auto" w:sz="4" w:space="0"/>
              <w:bottom w:val="single" w:color="000000" w:sz="6" w:space="0"/>
              <w:right w:val="single" w:color="000000" w:sz="6" w:space="0"/>
            </w:tcBorders>
            <w:noWrap/>
            <w:vAlign w:val="center"/>
          </w:tcPr>
          <w:p w14:paraId="1A87EA17">
            <w:pPr>
              <w:pStyle w:val="29"/>
              <w:adjustRightInd w:val="0"/>
              <w:snapToGrid w:val="0"/>
              <w:spacing w:line="360" w:lineRule="auto"/>
              <w:jc w:val="center"/>
              <w:rPr>
                <w:rFonts w:cs="Times New Roman"/>
                <w:kern w:val="2"/>
                <w:sz w:val="24"/>
                <w:szCs w:val="24"/>
                <w:highlight w:val="none"/>
              </w:rPr>
            </w:pPr>
            <w:r>
              <w:rPr>
                <w:rFonts w:hint="eastAsia" w:cs="Times New Roman"/>
                <w:kern w:val="2"/>
                <w:sz w:val="24"/>
                <w:szCs w:val="24"/>
                <w:highlight w:val="none"/>
              </w:rPr>
              <w:t>偏离</w:t>
            </w:r>
          </w:p>
        </w:tc>
        <w:tc>
          <w:tcPr>
            <w:tcW w:w="1553" w:type="dxa"/>
            <w:tcBorders>
              <w:top w:val="single" w:color="000000" w:sz="6" w:space="0"/>
              <w:left w:val="single" w:color="auto" w:sz="4" w:space="0"/>
              <w:bottom w:val="single" w:color="000000" w:sz="6" w:space="0"/>
              <w:right w:val="single" w:color="000000" w:sz="6" w:space="0"/>
            </w:tcBorders>
            <w:noWrap/>
            <w:vAlign w:val="center"/>
          </w:tcPr>
          <w:p w14:paraId="71FAED5B">
            <w:pPr>
              <w:pStyle w:val="29"/>
              <w:adjustRightInd w:val="0"/>
              <w:snapToGrid w:val="0"/>
              <w:spacing w:line="360" w:lineRule="auto"/>
              <w:jc w:val="center"/>
              <w:rPr>
                <w:rFonts w:cs="Times New Roman"/>
                <w:kern w:val="2"/>
                <w:sz w:val="24"/>
                <w:szCs w:val="24"/>
                <w:highlight w:val="none"/>
              </w:rPr>
            </w:pPr>
            <w:r>
              <w:rPr>
                <w:rFonts w:hint="eastAsia" w:cs="Times New Roman"/>
                <w:kern w:val="2"/>
                <w:sz w:val="24"/>
                <w:szCs w:val="24"/>
                <w:highlight w:val="none"/>
              </w:rPr>
              <w:t>偏离情况</w:t>
            </w:r>
          </w:p>
          <w:p w14:paraId="6A8FCA62">
            <w:pPr>
              <w:pStyle w:val="29"/>
              <w:adjustRightInd w:val="0"/>
              <w:snapToGrid w:val="0"/>
              <w:spacing w:line="360" w:lineRule="auto"/>
              <w:jc w:val="center"/>
              <w:rPr>
                <w:rFonts w:cs="Times New Roman"/>
                <w:kern w:val="2"/>
                <w:sz w:val="24"/>
                <w:szCs w:val="24"/>
                <w:highlight w:val="none"/>
              </w:rPr>
            </w:pPr>
            <w:r>
              <w:rPr>
                <w:rFonts w:hint="eastAsia" w:cs="Times New Roman"/>
                <w:kern w:val="2"/>
                <w:sz w:val="24"/>
                <w:szCs w:val="24"/>
                <w:highlight w:val="none"/>
              </w:rPr>
              <w:t>详细说明</w:t>
            </w:r>
          </w:p>
        </w:tc>
      </w:tr>
      <w:tr w14:paraId="31B0B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14:paraId="1733F08B">
            <w:pPr>
              <w:pStyle w:val="29"/>
              <w:spacing w:line="360" w:lineRule="auto"/>
              <w:rPr>
                <w:rFonts w:ascii="Times New Roman"/>
                <w:kern w:val="2"/>
                <w:sz w:val="24"/>
                <w:szCs w:val="24"/>
                <w:highlight w:val="none"/>
              </w:rPr>
            </w:pPr>
          </w:p>
        </w:tc>
        <w:tc>
          <w:tcPr>
            <w:tcW w:w="1207" w:type="dxa"/>
            <w:tcBorders>
              <w:top w:val="single" w:color="000000" w:sz="6" w:space="0"/>
              <w:left w:val="nil"/>
              <w:bottom w:val="single" w:color="000000" w:sz="6" w:space="0"/>
              <w:right w:val="single" w:color="000000" w:sz="6" w:space="0"/>
            </w:tcBorders>
            <w:noWrap/>
            <w:vAlign w:val="center"/>
          </w:tcPr>
          <w:p w14:paraId="29C9D772">
            <w:pPr>
              <w:pStyle w:val="29"/>
              <w:spacing w:line="360" w:lineRule="auto"/>
              <w:rPr>
                <w:rFonts w:ascii="Times New Roman"/>
                <w:kern w:val="2"/>
                <w:sz w:val="24"/>
                <w:szCs w:val="24"/>
                <w:highlight w:val="none"/>
              </w:rPr>
            </w:pPr>
          </w:p>
        </w:tc>
        <w:tc>
          <w:tcPr>
            <w:tcW w:w="2824" w:type="dxa"/>
            <w:tcBorders>
              <w:top w:val="single" w:color="000000" w:sz="6" w:space="0"/>
              <w:left w:val="nil"/>
              <w:bottom w:val="single" w:color="000000" w:sz="6" w:space="0"/>
              <w:right w:val="single" w:color="auto" w:sz="4" w:space="0"/>
            </w:tcBorders>
            <w:noWrap/>
            <w:vAlign w:val="center"/>
          </w:tcPr>
          <w:p w14:paraId="47274BBC">
            <w:pPr>
              <w:pStyle w:val="29"/>
              <w:spacing w:line="360" w:lineRule="auto"/>
              <w:rPr>
                <w:rFonts w:ascii="Times New Roman"/>
                <w:kern w:val="2"/>
                <w:sz w:val="24"/>
                <w:szCs w:val="24"/>
                <w:highlight w:val="none"/>
              </w:rPr>
            </w:pPr>
          </w:p>
        </w:tc>
        <w:tc>
          <w:tcPr>
            <w:tcW w:w="2118" w:type="dxa"/>
            <w:tcBorders>
              <w:top w:val="single" w:color="auto" w:sz="4" w:space="0"/>
              <w:left w:val="single" w:color="auto" w:sz="4" w:space="0"/>
              <w:bottom w:val="single" w:color="auto" w:sz="4" w:space="0"/>
              <w:right w:val="single" w:color="auto" w:sz="4" w:space="0"/>
            </w:tcBorders>
            <w:noWrap/>
            <w:vAlign w:val="center"/>
          </w:tcPr>
          <w:p w14:paraId="678C8304">
            <w:pPr>
              <w:pStyle w:val="29"/>
              <w:spacing w:line="360" w:lineRule="auto"/>
              <w:jc w:val="center"/>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32C182EB">
            <w:pPr>
              <w:pStyle w:val="29"/>
              <w:spacing w:line="360" w:lineRule="auto"/>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184A827B">
            <w:pPr>
              <w:pStyle w:val="29"/>
              <w:spacing w:line="360" w:lineRule="auto"/>
              <w:jc w:val="center"/>
              <w:rPr>
                <w:rFonts w:ascii="Times New Roman"/>
                <w:kern w:val="2"/>
                <w:sz w:val="24"/>
                <w:szCs w:val="24"/>
                <w:highlight w:val="none"/>
              </w:rPr>
            </w:pPr>
          </w:p>
        </w:tc>
      </w:tr>
      <w:tr w14:paraId="58009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14:paraId="3DE896A0">
            <w:pPr>
              <w:pStyle w:val="29"/>
              <w:spacing w:line="360" w:lineRule="auto"/>
              <w:rPr>
                <w:rFonts w:ascii="Times New Roman"/>
                <w:kern w:val="2"/>
                <w:sz w:val="24"/>
                <w:szCs w:val="24"/>
                <w:highlight w:val="none"/>
              </w:rPr>
            </w:pPr>
          </w:p>
        </w:tc>
        <w:tc>
          <w:tcPr>
            <w:tcW w:w="1207" w:type="dxa"/>
            <w:tcBorders>
              <w:top w:val="single" w:color="000000" w:sz="6" w:space="0"/>
              <w:left w:val="nil"/>
              <w:bottom w:val="single" w:color="000000" w:sz="6" w:space="0"/>
              <w:right w:val="single" w:color="000000" w:sz="6" w:space="0"/>
            </w:tcBorders>
            <w:noWrap/>
            <w:vAlign w:val="center"/>
          </w:tcPr>
          <w:p w14:paraId="6B0B842A">
            <w:pPr>
              <w:pStyle w:val="29"/>
              <w:spacing w:line="360" w:lineRule="auto"/>
              <w:rPr>
                <w:rFonts w:ascii="Times New Roman"/>
                <w:kern w:val="2"/>
                <w:sz w:val="24"/>
                <w:szCs w:val="24"/>
                <w:highlight w:val="none"/>
              </w:rPr>
            </w:pPr>
          </w:p>
        </w:tc>
        <w:tc>
          <w:tcPr>
            <w:tcW w:w="2824" w:type="dxa"/>
            <w:tcBorders>
              <w:top w:val="single" w:color="000000" w:sz="6" w:space="0"/>
              <w:left w:val="nil"/>
              <w:bottom w:val="single" w:color="000000" w:sz="6" w:space="0"/>
              <w:right w:val="single" w:color="auto" w:sz="4" w:space="0"/>
            </w:tcBorders>
            <w:noWrap/>
            <w:vAlign w:val="center"/>
          </w:tcPr>
          <w:p w14:paraId="58BF44B9">
            <w:pPr>
              <w:pStyle w:val="29"/>
              <w:spacing w:line="360" w:lineRule="auto"/>
              <w:rPr>
                <w:rFonts w:ascii="Times New Roman"/>
                <w:kern w:val="2"/>
                <w:sz w:val="24"/>
                <w:szCs w:val="24"/>
                <w:highlight w:val="none"/>
              </w:rPr>
            </w:pPr>
          </w:p>
        </w:tc>
        <w:tc>
          <w:tcPr>
            <w:tcW w:w="2118" w:type="dxa"/>
            <w:tcBorders>
              <w:top w:val="single" w:color="auto" w:sz="4" w:space="0"/>
              <w:left w:val="single" w:color="auto" w:sz="4" w:space="0"/>
              <w:bottom w:val="single" w:color="auto" w:sz="4" w:space="0"/>
              <w:right w:val="single" w:color="auto" w:sz="4" w:space="0"/>
            </w:tcBorders>
            <w:noWrap/>
            <w:vAlign w:val="center"/>
          </w:tcPr>
          <w:p w14:paraId="234BAB1E">
            <w:pPr>
              <w:pStyle w:val="29"/>
              <w:spacing w:line="360" w:lineRule="auto"/>
              <w:jc w:val="center"/>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660147B3">
            <w:pPr>
              <w:pStyle w:val="29"/>
              <w:spacing w:line="360" w:lineRule="auto"/>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7B5B22AA">
            <w:pPr>
              <w:pStyle w:val="29"/>
              <w:spacing w:line="360" w:lineRule="auto"/>
              <w:jc w:val="center"/>
              <w:rPr>
                <w:rFonts w:ascii="Times New Roman"/>
                <w:kern w:val="2"/>
                <w:sz w:val="24"/>
                <w:szCs w:val="24"/>
                <w:highlight w:val="none"/>
              </w:rPr>
            </w:pPr>
          </w:p>
        </w:tc>
      </w:tr>
      <w:tr w14:paraId="1B88C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14:paraId="686AD8CF">
            <w:pPr>
              <w:pStyle w:val="29"/>
              <w:spacing w:line="360" w:lineRule="auto"/>
              <w:rPr>
                <w:rFonts w:ascii="Times New Roman"/>
                <w:kern w:val="2"/>
                <w:sz w:val="24"/>
                <w:szCs w:val="24"/>
                <w:highlight w:val="none"/>
              </w:rPr>
            </w:pPr>
          </w:p>
        </w:tc>
        <w:tc>
          <w:tcPr>
            <w:tcW w:w="1207" w:type="dxa"/>
            <w:tcBorders>
              <w:top w:val="single" w:color="000000" w:sz="6" w:space="0"/>
              <w:left w:val="nil"/>
              <w:bottom w:val="single" w:color="000000" w:sz="6" w:space="0"/>
              <w:right w:val="single" w:color="000000" w:sz="6" w:space="0"/>
            </w:tcBorders>
            <w:noWrap/>
            <w:vAlign w:val="center"/>
          </w:tcPr>
          <w:p w14:paraId="2002F408">
            <w:pPr>
              <w:pStyle w:val="29"/>
              <w:spacing w:line="360" w:lineRule="auto"/>
              <w:rPr>
                <w:rFonts w:ascii="Times New Roman"/>
                <w:kern w:val="2"/>
                <w:sz w:val="24"/>
                <w:szCs w:val="24"/>
                <w:highlight w:val="none"/>
              </w:rPr>
            </w:pPr>
          </w:p>
        </w:tc>
        <w:tc>
          <w:tcPr>
            <w:tcW w:w="2824" w:type="dxa"/>
            <w:tcBorders>
              <w:top w:val="single" w:color="000000" w:sz="6" w:space="0"/>
              <w:left w:val="nil"/>
              <w:bottom w:val="single" w:color="000000" w:sz="6" w:space="0"/>
              <w:right w:val="single" w:color="auto" w:sz="4" w:space="0"/>
            </w:tcBorders>
            <w:noWrap/>
            <w:vAlign w:val="center"/>
          </w:tcPr>
          <w:p w14:paraId="0B220F6D">
            <w:pPr>
              <w:pStyle w:val="29"/>
              <w:spacing w:line="360" w:lineRule="auto"/>
              <w:rPr>
                <w:rFonts w:ascii="Times New Roman"/>
                <w:kern w:val="2"/>
                <w:sz w:val="24"/>
                <w:szCs w:val="24"/>
                <w:highlight w:val="none"/>
              </w:rPr>
            </w:pPr>
          </w:p>
        </w:tc>
        <w:tc>
          <w:tcPr>
            <w:tcW w:w="2118" w:type="dxa"/>
            <w:tcBorders>
              <w:top w:val="single" w:color="auto" w:sz="4" w:space="0"/>
              <w:left w:val="single" w:color="auto" w:sz="4" w:space="0"/>
              <w:bottom w:val="single" w:color="auto" w:sz="4" w:space="0"/>
              <w:right w:val="single" w:color="auto" w:sz="4" w:space="0"/>
            </w:tcBorders>
            <w:noWrap/>
            <w:vAlign w:val="center"/>
          </w:tcPr>
          <w:p w14:paraId="7049D907">
            <w:pPr>
              <w:pStyle w:val="29"/>
              <w:spacing w:line="360" w:lineRule="auto"/>
              <w:jc w:val="center"/>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72DED73B">
            <w:pPr>
              <w:pStyle w:val="29"/>
              <w:spacing w:line="360" w:lineRule="auto"/>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5018B013">
            <w:pPr>
              <w:pStyle w:val="29"/>
              <w:spacing w:line="360" w:lineRule="auto"/>
              <w:jc w:val="center"/>
              <w:rPr>
                <w:rFonts w:ascii="Times New Roman"/>
                <w:kern w:val="2"/>
                <w:sz w:val="24"/>
                <w:szCs w:val="24"/>
                <w:highlight w:val="none"/>
              </w:rPr>
            </w:pPr>
          </w:p>
        </w:tc>
      </w:tr>
      <w:tr w14:paraId="6F9A2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14:paraId="7C827C7F">
            <w:pPr>
              <w:pStyle w:val="29"/>
              <w:spacing w:line="360" w:lineRule="auto"/>
              <w:rPr>
                <w:rFonts w:ascii="Times New Roman"/>
                <w:kern w:val="2"/>
                <w:sz w:val="24"/>
                <w:szCs w:val="24"/>
                <w:highlight w:val="none"/>
              </w:rPr>
            </w:pPr>
          </w:p>
        </w:tc>
        <w:tc>
          <w:tcPr>
            <w:tcW w:w="1207" w:type="dxa"/>
            <w:tcBorders>
              <w:top w:val="single" w:color="000000" w:sz="6" w:space="0"/>
              <w:left w:val="nil"/>
              <w:bottom w:val="single" w:color="000000" w:sz="6" w:space="0"/>
              <w:right w:val="single" w:color="000000" w:sz="6" w:space="0"/>
            </w:tcBorders>
            <w:noWrap/>
            <w:vAlign w:val="center"/>
          </w:tcPr>
          <w:p w14:paraId="00B95D62">
            <w:pPr>
              <w:pStyle w:val="29"/>
              <w:spacing w:line="360" w:lineRule="auto"/>
              <w:rPr>
                <w:rFonts w:ascii="Times New Roman"/>
                <w:kern w:val="2"/>
                <w:sz w:val="24"/>
                <w:szCs w:val="24"/>
                <w:highlight w:val="none"/>
              </w:rPr>
            </w:pPr>
          </w:p>
        </w:tc>
        <w:tc>
          <w:tcPr>
            <w:tcW w:w="2824" w:type="dxa"/>
            <w:tcBorders>
              <w:top w:val="single" w:color="000000" w:sz="6" w:space="0"/>
              <w:left w:val="nil"/>
              <w:bottom w:val="single" w:color="000000" w:sz="6" w:space="0"/>
              <w:right w:val="single" w:color="auto" w:sz="4" w:space="0"/>
            </w:tcBorders>
            <w:noWrap/>
            <w:vAlign w:val="center"/>
          </w:tcPr>
          <w:p w14:paraId="23235875">
            <w:pPr>
              <w:pStyle w:val="29"/>
              <w:spacing w:line="360" w:lineRule="auto"/>
              <w:rPr>
                <w:rFonts w:ascii="Times New Roman"/>
                <w:kern w:val="2"/>
                <w:sz w:val="24"/>
                <w:szCs w:val="24"/>
                <w:highlight w:val="none"/>
              </w:rPr>
            </w:pPr>
          </w:p>
        </w:tc>
        <w:tc>
          <w:tcPr>
            <w:tcW w:w="2118" w:type="dxa"/>
            <w:tcBorders>
              <w:top w:val="single" w:color="auto" w:sz="4" w:space="0"/>
              <w:left w:val="single" w:color="auto" w:sz="4" w:space="0"/>
              <w:bottom w:val="single" w:color="auto" w:sz="4" w:space="0"/>
              <w:right w:val="single" w:color="auto" w:sz="4" w:space="0"/>
            </w:tcBorders>
            <w:noWrap/>
            <w:vAlign w:val="center"/>
          </w:tcPr>
          <w:p w14:paraId="6C93A763">
            <w:pPr>
              <w:pStyle w:val="29"/>
              <w:spacing w:line="360" w:lineRule="auto"/>
              <w:jc w:val="center"/>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4E0370F3">
            <w:pPr>
              <w:pStyle w:val="29"/>
              <w:spacing w:line="360" w:lineRule="auto"/>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367AF90B">
            <w:pPr>
              <w:pStyle w:val="29"/>
              <w:spacing w:line="360" w:lineRule="auto"/>
              <w:jc w:val="center"/>
              <w:rPr>
                <w:rFonts w:ascii="Times New Roman"/>
                <w:kern w:val="2"/>
                <w:sz w:val="24"/>
                <w:szCs w:val="24"/>
                <w:highlight w:val="none"/>
              </w:rPr>
            </w:pPr>
          </w:p>
        </w:tc>
      </w:tr>
      <w:tr w14:paraId="07DC7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14:paraId="4A2431D4">
            <w:pPr>
              <w:pStyle w:val="29"/>
              <w:spacing w:line="360" w:lineRule="auto"/>
              <w:rPr>
                <w:rFonts w:ascii="Times New Roman"/>
                <w:kern w:val="2"/>
                <w:sz w:val="24"/>
                <w:szCs w:val="24"/>
                <w:highlight w:val="none"/>
              </w:rPr>
            </w:pPr>
          </w:p>
        </w:tc>
        <w:tc>
          <w:tcPr>
            <w:tcW w:w="1207" w:type="dxa"/>
            <w:tcBorders>
              <w:top w:val="single" w:color="000000" w:sz="6" w:space="0"/>
              <w:left w:val="nil"/>
              <w:bottom w:val="single" w:color="000000" w:sz="6" w:space="0"/>
              <w:right w:val="single" w:color="000000" w:sz="6" w:space="0"/>
            </w:tcBorders>
            <w:noWrap/>
            <w:vAlign w:val="center"/>
          </w:tcPr>
          <w:p w14:paraId="12FB3466">
            <w:pPr>
              <w:pStyle w:val="29"/>
              <w:spacing w:line="360" w:lineRule="auto"/>
              <w:rPr>
                <w:rFonts w:ascii="Times New Roman"/>
                <w:kern w:val="2"/>
                <w:sz w:val="24"/>
                <w:szCs w:val="24"/>
                <w:highlight w:val="none"/>
              </w:rPr>
            </w:pPr>
          </w:p>
        </w:tc>
        <w:tc>
          <w:tcPr>
            <w:tcW w:w="2824" w:type="dxa"/>
            <w:tcBorders>
              <w:top w:val="single" w:color="000000" w:sz="6" w:space="0"/>
              <w:left w:val="nil"/>
              <w:bottom w:val="single" w:color="000000" w:sz="6" w:space="0"/>
              <w:right w:val="single" w:color="auto" w:sz="4" w:space="0"/>
            </w:tcBorders>
            <w:noWrap/>
            <w:vAlign w:val="center"/>
          </w:tcPr>
          <w:p w14:paraId="63901BAD">
            <w:pPr>
              <w:pStyle w:val="29"/>
              <w:spacing w:line="360" w:lineRule="auto"/>
              <w:rPr>
                <w:rFonts w:ascii="Times New Roman"/>
                <w:kern w:val="2"/>
                <w:sz w:val="24"/>
                <w:szCs w:val="24"/>
                <w:highlight w:val="none"/>
              </w:rPr>
            </w:pPr>
          </w:p>
        </w:tc>
        <w:tc>
          <w:tcPr>
            <w:tcW w:w="2118" w:type="dxa"/>
            <w:tcBorders>
              <w:top w:val="single" w:color="auto" w:sz="4" w:space="0"/>
              <w:left w:val="single" w:color="auto" w:sz="4" w:space="0"/>
              <w:bottom w:val="single" w:color="auto" w:sz="4" w:space="0"/>
              <w:right w:val="single" w:color="auto" w:sz="4" w:space="0"/>
            </w:tcBorders>
            <w:noWrap/>
            <w:vAlign w:val="center"/>
          </w:tcPr>
          <w:p w14:paraId="6354424D">
            <w:pPr>
              <w:pStyle w:val="29"/>
              <w:spacing w:line="360" w:lineRule="auto"/>
              <w:jc w:val="center"/>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17D52A80">
            <w:pPr>
              <w:pStyle w:val="29"/>
              <w:spacing w:line="360" w:lineRule="auto"/>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2CF01735">
            <w:pPr>
              <w:pStyle w:val="29"/>
              <w:spacing w:line="360" w:lineRule="auto"/>
              <w:jc w:val="center"/>
              <w:rPr>
                <w:rFonts w:ascii="Times New Roman"/>
                <w:kern w:val="2"/>
                <w:sz w:val="24"/>
                <w:szCs w:val="24"/>
                <w:highlight w:val="none"/>
              </w:rPr>
            </w:pPr>
          </w:p>
        </w:tc>
      </w:tr>
      <w:tr w14:paraId="3CFD4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14:paraId="67737B23">
            <w:pPr>
              <w:pStyle w:val="29"/>
              <w:spacing w:line="360" w:lineRule="auto"/>
              <w:rPr>
                <w:rFonts w:ascii="Times New Roman"/>
                <w:kern w:val="2"/>
                <w:sz w:val="24"/>
                <w:szCs w:val="24"/>
                <w:highlight w:val="none"/>
              </w:rPr>
            </w:pPr>
          </w:p>
        </w:tc>
        <w:tc>
          <w:tcPr>
            <w:tcW w:w="1207" w:type="dxa"/>
            <w:tcBorders>
              <w:top w:val="single" w:color="000000" w:sz="6" w:space="0"/>
              <w:left w:val="nil"/>
              <w:bottom w:val="single" w:color="000000" w:sz="6" w:space="0"/>
              <w:right w:val="single" w:color="000000" w:sz="6" w:space="0"/>
            </w:tcBorders>
            <w:noWrap/>
            <w:vAlign w:val="center"/>
          </w:tcPr>
          <w:p w14:paraId="1A9FBAEA">
            <w:pPr>
              <w:pStyle w:val="29"/>
              <w:spacing w:line="360" w:lineRule="auto"/>
              <w:rPr>
                <w:rFonts w:ascii="Times New Roman"/>
                <w:kern w:val="2"/>
                <w:sz w:val="24"/>
                <w:szCs w:val="24"/>
                <w:highlight w:val="none"/>
              </w:rPr>
            </w:pPr>
          </w:p>
        </w:tc>
        <w:tc>
          <w:tcPr>
            <w:tcW w:w="2824" w:type="dxa"/>
            <w:tcBorders>
              <w:top w:val="single" w:color="000000" w:sz="6" w:space="0"/>
              <w:left w:val="nil"/>
              <w:bottom w:val="single" w:color="000000" w:sz="6" w:space="0"/>
              <w:right w:val="single" w:color="auto" w:sz="4" w:space="0"/>
            </w:tcBorders>
            <w:noWrap/>
            <w:vAlign w:val="center"/>
          </w:tcPr>
          <w:p w14:paraId="0A075D66">
            <w:pPr>
              <w:pStyle w:val="29"/>
              <w:spacing w:line="360" w:lineRule="auto"/>
              <w:rPr>
                <w:rFonts w:ascii="Times New Roman"/>
                <w:kern w:val="2"/>
                <w:sz w:val="24"/>
                <w:szCs w:val="24"/>
                <w:highlight w:val="none"/>
              </w:rPr>
            </w:pPr>
          </w:p>
        </w:tc>
        <w:tc>
          <w:tcPr>
            <w:tcW w:w="2118" w:type="dxa"/>
            <w:tcBorders>
              <w:top w:val="single" w:color="auto" w:sz="4" w:space="0"/>
              <w:left w:val="single" w:color="auto" w:sz="4" w:space="0"/>
              <w:bottom w:val="single" w:color="auto" w:sz="4" w:space="0"/>
              <w:right w:val="single" w:color="auto" w:sz="4" w:space="0"/>
            </w:tcBorders>
            <w:noWrap/>
            <w:vAlign w:val="center"/>
          </w:tcPr>
          <w:p w14:paraId="57EA6FBE">
            <w:pPr>
              <w:pStyle w:val="29"/>
              <w:spacing w:line="360" w:lineRule="auto"/>
              <w:jc w:val="center"/>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526F94EF">
            <w:pPr>
              <w:pStyle w:val="29"/>
              <w:spacing w:line="360" w:lineRule="auto"/>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50C9D8AF">
            <w:pPr>
              <w:pStyle w:val="29"/>
              <w:spacing w:line="360" w:lineRule="auto"/>
              <w:jc w:val="center"/>
              <w:rPr>
                <w:rFonts w:ascii="Times New Roman"/>
                <w:kern w:val="2"/>
                <w:sz w:val="24"/>
                <w:szCs w:val="24"/>
                <w:highlight w:val="none"/>
              </w:rPr>
            </w:pPr>
          </w:p>
        </w:tc>
      </w:tr>
      <w:tr w14:paraId="53B57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14:paraId="17D07EFA">
            <w:pPr>
              <w:pStyle w:val="29"/>
              <w:spacing w:line="360" w:lineRule="auto"/>
              <w:rPr>
                <w:rFonts w:ascii="Times New Roman"/>
                <w:kern w:val="2"/>
                <w:sz w:val="24"/>
                <w:szCs w:val="24"/>
                <w:highlight w:val="none"/>
              </w:rPr>
            </w:pPr>
          </w:p>
        </w:tc>
        <w:tc>
          <w:tcPr>
            <w:tcW w:w="1207" w:type="dxa"/>
            <w:tcBorders>
              <w:top w:val="single" w:color="000000" w:sz="6" w:space="0"/>
              <w:left w:val="nil"/>
              <w:bottom w:val="single" w:color="000000" w:sz="6" w:space="0"/>
              <w:right w:val="single" w:color="000000" w:sz="6" w:space="0"/>
            </w:tcBorders>
            <w:noWrap/>
            <w:vAlign w:val="center"/>
          </w:tcPr>
          <w:p w14:paraId="5D164792">
            <w:pPr>
              <w:pStyle w:val="29"/>
              <w:spacing w:line="360" w:lineRule="auto"/>
              <w:rPr>
                <w:rFonts w:ascii="Times New Roman"/>
                <w:kern w:val="2"/>
                <w:sz w:val="24"/>
                <w:szCs w:val="24"/>
                <w:highlight w:val="none"/>
              </w:rPr>
            </w:pPr>
          </w:p>
        </w:tc>
        <w:tc>
          <w:tcPr>
            <w:tcW w:w="2824" w:type="dxa"/>
            <w:tcBorders>
              <w:top w:val="single" w:color="000000" w:sz="6" w:space="0"/>
              <w:left w:val="nil"/>
              <w:bottom w:val="single" w:color="000000" w:sz="6" w:space="0"/>
              <w:right w:val="single" w:color="auto" w:sz="4" w:space="0"/>
            </w:tcBorders>
            <w:noWrap/>
            <w:vAlign w:val="center"/>
          </w:tcPr>
          <w:p w14:paraId="3F107BA6">
            <w:pPr>
              <w:pStyle w:val="29"/>
              <w:spacing w:line="360" w:lineRule="auto"/>
              <w:rPr>
                <w:rFonts w:ascii="Times New Roman"/>
                <w:kern w:val="2"/>
                <w:sz w:val="24"/>
                <w:szCs w:val="24"/>
                <w:highlight w:val="none"/>
              </w:rPr>
            </w:pPr>
          </w:p>
        </w:tc>
        <w:tc>
          <w:tcPr>
            <w:tcW w:w="2118" w:type="dxa"/>
            <w:tcBorders>
              <w:top w:val="single" w:color="auto" w:sz="4" w:space="0"/>
              <w:left w:val="single" w:color="auto" w:sz="4" w:space="0"/>
              <w:bottom w:val="single" w:color="auto" w:sz="4" w:space="0"/>
              <w:right w:val="single" w:color="auto" w:sz="4" w:space="0"/>
            </w:tcBorders>
            <w:noWrap/>
            <w:vAlign w:val="center"/>
          </w:tcPr>
          <w:p w14:paraId="2A25B321">
            <w:pPr>
              <w:pStyle w:val="29"/>
              <w:spacing w:line="360" w:lineRule="auto"/>
              <w:jc w:val="center"/>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63E19A92">
            <w:pPr>
              <w:pStyle w:val="29"/>
              <w:spacing w:line="360" w:lineRule="auto"/>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56F4544C">
            <w:pPr>
              <w:pStyle w:val="29"/>
              <w:spacing w:line="360" w:lineRule="auto"/>
              <w:jc w:val="center"/>
              <w:rPr>
                <w:rFonts w:ascii="Times New Roman"/>
                <w:kern w:val="2"/>
                <w:sz w:val="24"/>
                <w:szCs w:val="24"/>
                <w:highlight w:val="none"/>
              </w:rPr>
            </w:pPr>
          </w:p>
        </w:tc>
      </w:tr>
      <w:tr w14:paraId="7DC68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14:paraId="3FBD8D4C">
            <w:pPr>
              <w:pStyle w:val="29"/>
              <w:spacing w:line="360" w:lineRule="auto"/>
              <w:rPr>
                <w:rFonts w:ascii="Times New Roman"/>
                <w:kern w:val="2"/>
                <w:sz w:val="24"/>
                <w:szCs w:val="24"/>
                <w:highlight w:val="none"/>
              </w:rPr>
            </w:pPr>
          </w:p>
        </w:tc>
        <w:tc>
          <w:tcPr>
            <w:tcW w:w="1207" w:type="dxa"/>
            <w:tcBorders>
              <w:top w:val="single" w:color="000000" w:sz="6" w:space="0"/>
              <w:left w:val="nil"/>
              <w:bottom w:val="single" w:color="000000" w:sz="6" w:space="0"/>
              <w:right w:val="single" w:color="000000" w:sz="6" w:space="0"/>
            </w:tcBorders>
            <w:noWrap/>
            <w:vAlign w:val="center"/>
          </w:tcPr>
          <w:p w14:paraId="6FD2944B">
            <w:pPr>
              <w:pStyle w:val="29"/>
              <w:spacing w:line="360" w:lineRule="auto"/>
              <w:rPr>
                <w:rFonts w:ascii="Times New Roman"/>
                <w:kern w:val="2"/>
                <w:sz w:val="24"/>
                <w:szCs w:val="24"/>
                <w:highlight w:val="none"/>
              </w:rPr>
            </w:pPr>
          </w:p>
        </w:tc>
        <w:tc>
          <w:tcPr>
            <w:tcW w:w="2824" w:type="dxa"/>
            <w:tcBorders>
              <w:top w:val="single" w:color="000000" w:sz="6" w:space="0"/>
              <w:left w:val="nil"/>
              <w:bottom w:val="single" w:color="000000" w:sz="6" w:space="0"/>
              <w:right w:val="single" w:color="auto" w:sz="4" w:space="0"/>
            </w:tcBorders>
            <w:noWrap/>
            <w:vAlign w:val="center"/>
          </w:tcPr>
          <w:p w14:paraId="2BED93EF">
            <w:pPr>
              <w:pStyle w:val="29"/>
              <w:spacing w:line="360" w:lineRule="auto"/>
              <w:rPr>
                <w:rFonts w:ascii="Times New Roman"/>
                <w:kern w:val="2"/>
                <w:sz w:val="24"/>
                <w:szCs w:val="24"/>
                <w:highlight w:val="none"/>
              </w:rPr>
            </w:pPr>
          </w:p>
        </w:tc>
        <w:tc>
          <w:tcPr>
            <w:tcW w:w="2118" w:type="dxa"/>
            <w:tcBorders>
              <w:top w:val="single" w:color="auto" w:sz="4" w:space="0"/>
              <w:left w:val="single" w:color="auto" w:sz="4" w:space="0"/>
              <w:bottom w:val="single" w:color="auto" w:sz="4" w:space="0"/>
              <w:right w:val="single" w:color="auto" w:sz="4" w:space="0"/>
            </w:tcBorders>
            <w:noWrap/>
            <w:vAlign w:val="center"/>
          </w:tcPr>
          <w:p w14:paraId="7AE74421">
            <w:pPr>
              <w:pStyle w:val="29"/>
              <w:spacing w:line="360" w:lineRule="auto"/>
              <w:jc w:val="center"/>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475A31E6">
            <w:pPr>
              <w:pStyle w:val="29"/>
              <w:spacing w:line="360" w:lineRule="auto"/>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05038C50">
            <w:pPr>
              <w:pStyle w:val="29"/>
              <w:spacing w:line="360" w:lineRule="auto"/>
              <w:jc w:val="center"/>
              <w:rPr>
                <w:rFonts w:ascii="Times New Roman"/>
                <w:kern w:val="2"/>
                <w:sz w:val="24"/>
                <w:szCs w:val="24"/>
                <w:highlight w:val="none"/>
              </w:rPr>
            </w:pPr>
          </w:p>
        </w:tc>
      </w:tr>
      <w:tr w14:paraId="4F788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14:paraId="418104C8">
            <w:pPr>
              <w:pStyle w:val="29"/>
              <w:spacing w:line="360" w:lineRule="auto"/>
              <w:rPr>
                <w:rFonts w:ascii="Times New Roman"/>
                <w:kern w:val="2"/>
                <w:sz w:val="24"/>
                <w:szCs w:val="24"/>
                <w:highlight w:val="none"/>
              </w:rPr>
            </w:pPr>
          </w:p>
        </w:tc>
        <w:tc>
          <w:tcPr>
            <w:tcW w:w="1207" w:type="dxa"/>
            <w:tcBorders>
              <w:top w:val="single" w:color="000000" w:sz="6" w:space="0"/>
              <w:left w:val="nil"/>
              <w:bottom w:val="single" w:color="000000" w:sz="6" w:space="0"/>
              <w:right w:val="single" w:color="000000" w:sz="6" w:space="0"/>
            </w:tcBorders>
            <w:noWrap/>
            <w:vAlign w:val="center"/>
          </w:tcPr>
          <w:p w14:paraId="307511FE">
            <w:pPr>
              <w:pStyle w:val="29"/>
              <w:spacing w:line="360" w:lineRule="auto"/>
              <w:rPr>
                <w:rFonts w:ascii="Times New Roman"/>
                <w:kern w:val="2"/>
                <w:sz w:val="24"/>
                <w:szCs w:val="24"/>
                <w:highlight w:val="none"/>
              </w:rPr>
            </w:pPr>
          </w:p>
        </w:tc>
        <w:tc>
          <w:tcPr>
            <w:tcW w:w="2824" w:type="dxa"/>
            <w:tcBorders>
              <w:top w:val="single" w:color="000000" w:sz="6" w:space="0"/>
              <w:left w:val="nil"/>
              <w:bottom w:val="single" w:color="000000" w:sz="6" w:space="0"/>
              <w:right w:val="single" w:color="auto" w:sz="4" w:space="0"/>
            </w:tcBorders>
            <w:noWrap/>
            <w:vAlign w:val="center"/>
          </w:tcPr>
          <w:p w14:paraId="38F8B3BF">
            <w:pPr>
              <w:pStyle w:val="29"/>
              <w:spacing w:line="360" w:lineRule="auto"/>
              <w:rPr>
                <w:rFonts w:ascii="Times New Roman"/>
                <w:kern w:val="2"/>
                <w:sz w:val="24"/>
                <w:szCs w:val="24"/>
                <w:highlight w:val="none"/>
              </w:rPr>
            </w:pPr>
          </w:p>
        </w:tc>
        <w:tc>
          <w:tcPr>
            <w:tcW w:w="2118" w:type="dxa"/>
            <w:tcBorders>
              <w:top w:val="single" w:color="auto" w:sz="4" w:space="0"/>
              <w:left w:val="single" w:color="auto" w:sz="4" w:space="0"/>
              <w:bottom w:val="single" w:color="auto" w:sz="4" w:space="0"/>
              <w:right w:val="single" w:color="auto" w:sz="4" w:space="0"/>
            </w:tcBorders>
            <w:noWrap/>
            <w:vAlign w:val="center"/>
          </w:tcPr>
          <w:p w14:paraId="0A9EB576">
            <w:pPr>
              <w:pStyle w:val="29"/>
              <w:spacing w:line="360" w:lineRule="auto"/>
              <w:jc w:val="center"/>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2CFF040A">
            <w:pPr>
              <w:pStyle w:val="29"/>
              <w:spacing w:line="360" w:lineRule="auto"/>
              <w:rPr>
                <w:rFonts w:ascii="Times New Roman"/>
                <w:kern w:val="2"/>
                <w:sz w:val="24"/>
                <w:szCs w:val="24"/>
                <w:highlight w:val="none"/>
              </w:rPr>
            </w:pPr>
          </w:p>
        </w:tc>
        <w:tc>
          <w:tcPr>
            <w:tcW w:w="1553" w:type="dxa"/>
            <w:tcBorders>
              <w:top w:val="single" w:color="000000" w:sz="6" w:space="0"/>
              <w:left w:val="single" w:color="auto" w:sz="4" w:space="0"/>
              <w:bottom w:val="single" w:color="000000" w:sz="6" w:space="0"/>
              <w:right w:val="single" w:color="000000" w:sz="6" w:space="0"/>
            </w:tcBorders>
            <w:noWrap/>
            <w:vAlign w:val="center"/>
          </w:tcPr>
          <w:p w14:paraId="29B80FEC">
            <w:pPr>
              <w:pStyle w:val="29"/>
              <w:spacing w:line="360" w:lineRule="auto"/>
              <w:jc w:val="center"/>
              <w:rPr>
                <w:rFonts w:ascii="Times New Roman"/>
                <w:kern w:val="2"/>
                <w:sz w:val="24"/>
                <w:szCs w:val="24"/>
                <w:highlight w:val="none"/>
              </w:rPr>
            </w:pPr>
          </w:p>
        </w:tc>
      </w:tr>
    </w:tbl>
    <w:p w14:paraId="11455EF8">
      <w:pPr>
        <w:pStyle w:val="9"/>
        <w:spacing w:line="360" w:lineRule="auto"/>
        <w:jc w:val="left"/>
        <w:rPr>
          <w:highlight w:val="none"/>
        </w:rPr>
      </w:pPr>
      <w:r>
        <w:rPr>
          <w:rFonts w:hint="eastAsia"/>
          <w:highlight w:val="none"/>
        </w:rPr>
        <w:t>说明：</w:t>
      </w:r>
    </w:p>
    <w:p w14:paraId="2D8822A7">
      <w:pPr>
        <w:pStyle w:val="9"/>
        <w:spacing w:line="360" w:lineRule="auto"/>
        <w:jc w:val="left"/>
        <w:rPr>
          <w:highlight w:val="none"/>
        </w:rPr>
      </w:pPr>
      <w:r>
        <w:rPr>
          <w:rFonts w:hint="eastAsia"/>
          <w:highlight w:val="none"/>
        </w:rPr>
        <w:t>1</w:t>
      </w:r>
      <w:r>
        <w:rPr>
          <w:rFonts w:hint="eastAsia"/>
          <w:highlight w:val="none"/>
          <w:lang w:val="en-US"/>
        </w:rPr>
        <w:t>、</w:t>
      </w:r>
      <w:r>
        <w:rPr>
          <w:rFonts w:hint="eastAsia"/>
          <w:highlight w:val="none"/>
        </w:rPr>
        <w:t>如果行数不够，请自行增加。</w:t>
      </w:r>
    </w:p>
    <w:p w14:paraId="28B0B08C">
      <w:pPr>
        <w:pStyle w:val="9"/>
        <w:spacing w:line="360" w:lineRule="auto"/>
        <w:jc w:val="left"/>
        <w:rPr>
          <w:highlight w:val="none"/>
        </w:rPr>
      </w:pPr>
      <w:r>
        <w:rPr>
          <w:rFonts w:hint="eastAsia"/>
          <w:highlight w:val="none"/>
        </w:rPr>
        <w:t>2、“偏离”栏应注明“</w:t>
      </w:r>
      <w:r>
        <w:rPr>
          <w:rFonts w:hint="eastAsia"/>
          <w:highlight w:val="none"/>
          <w:lang w:val="en-US"/>
        </w:rPr>
        <w:t>无偏离</w:t>
      </w:r>
      <w:r>
        <w:rPr>
          <w:rFonts w:hint="eastAsia"/>
          <w:highlight w:val="none"/>
        </w:rPr>
        <w:t>”或“</w:t>
      </w:r>
      <w:r>
        <w:rPr>
          <w:rFonts w:hint="eastAsia"/>
          <w:highlight w:val="none"/>
          <w:lang w:val="en-US"/>
        </w:rPr>
        <w:t>正偏离</w:t>
      </w:r>
      <w:r>
        <w:rPr>
          <w:rFonts w:hint="eastAsia"/>
          <w:highlight w:val="none"/>
        </w:rPr>
        <w:t>”</w:t>
      </w:r>
      <w:r>
        <w:rPr>
          <w:rFonts w:hint="eastAsia"/>
          <w:highlight w:val="none"/>
          <w:lang w:val="en-US"/>
        </w:rPr>
        <w:t>或</w:t>
      </w:r>
      <w:r>
        <w:rPr>
          <w:rFonts w:hint="eastAsia"/>
          <w:highlight w:val="none"/>
        </w:rPr>
        <w:t>“</w:t>
      </w:r>
      <w:r>
        <w:rPr>
          <w:rFonts w:hint="eastAsia"/>
          <w:highlight w:val="none"/>
          <w:lang w:val="en-US"/>
        </w:rPr>
        <w:t>负</w:t>
      </w:r>
      <w:r>
        <w:rPr>
          <w:rFonts w:hint="eastAsia"/>
          <w:highlight w:val="none"/>
        </w:rPr>
        <w:t>偏离”。</w:t>
      </w:r>
    </w:p>
    <w:p w14:paraId="735B1333">
      <w:pPr>
        <w:pStyle w:val="9"/>
        <w:spacing w:line="360" w:lineRule="auto"/>
        <w:jc w:val="left"/>
        <w:rPr>
          <w:spacing w:val="-3"/>
          <w:highlight w:val="none"/>
        </w:rPr>
      </w:pPr>
      <w:r>
        <w:rPr>
          <w:rFonts w:hint="eastAsia"/>
          <w:highlight w:val="none"/>
          <w:lang w:val="en-US"/>
        </w:rPr>
        <w:t>3、</w:t>
      </w:r>
      <w:r>
        <w:rPr>
          <w:rFonts w:hint="eastAsia"/>
          <w:highlight w:val="none"/>
        </w:rPr>
        <w:t>投标人应在上表中明确投标文件</w:t>
      </w:r>
      <w:r>
        <w:rPr>
          <w:rFonts w:hint="eastAsia"/>
          <w:highlight w:val="none"/>
          <w:lang w:val="en-US"/>
        </w:rPr>
        <w:t>技术</w:t>
      </w:r>
      <w:r>
        <w:rPr>
          <w:rFonts w:hint="eastAsia"/>
          <w:highlight w:val="none"/>
        </w:rPr>
        <w:t>部分与招标文件要求的</w:t>
      </w:r>
      <w:r>
        <w:rPr>
          <w:rFonts w:hint="eastAsia"/>
          <w:highlight w:val="none"/>
          <w:lang w:val="en-US"/>
        </w:rPr>
        <w:t>技术</w:t>
      </w:r>
      <w:r>
        <w:rPr>
          <w:rFonts w:hint="eastAsia"/>
          <w:highlight w:val="none"/>
        </w:rPr>
        <w:t>条款偏离情况，如有偏离</w:t>
      </w:r>
      <w:r>
        <w:rPr>
          <w:rFonts w:hint="eastAsia"/>
          <w:bCs/>
          <w:highlight w:val="none"/>
        </w:rPr>
        <w:t>（包括正偏离和负偏离）</w:t>
      </w:r>
      <w:r>
        <w:rPr>
          <w:rFonts w:hint="eastAsia"/>
          <w:highlight w:val="none"/>
        </w:rPr>
        <w:t>,投标人应详细说明，偏离情况详细说明可另页描述，但</w:t>
      </w:r>
      <w:r>
        <w:rPr>
          <w:rFonts w:hint="eastAsia"/>
          <w:bCs/>
          <w:highlight w:val="none"/>
        </w:rPr>
        <w:t>须在“偏离情况详细说明”栏标注其在投标文件对应的页码</w:t>
      </w:r>
      <w:r>
        <w:rPr>
          <w:rFonts w:hint="eastAsia"/>
          <w:highlight w:val="none"/>
        </w:rPr>
        <w:t>，</w:t>
      </w:r>
      <w:r>
        <w:rPr>
          <w:rFonts w:hint="eastAsia"/>
          <w:highlight w:val="none"/>
          <w:lang w:val="en-US"/>
        </w:rPr>
        <w:t>本</w:t>
      </w:r>
      <w:r>
        <w:rPr>
          <w:rFonts w:hint="eastAsia"/>
          <w:highlight w:val="none"/>
        </w:rPr>
        <w:t>表不作为投标人对所投项目关于</w:t>
      </w:r>
      <w:r>
        <w:rPr>
          <w:rFonts w:hint="eastAsia"/>
          <w:highlight w:val="none"/>
          <w:lang w:val="en-US"/>
        </w:rPr>
        <w:t>技术</w:t>
      </w:r>
      <w:r>
        <w:rPr>
          <w:rFonts w:hint="eastAsia"/>
          <w:highlight w:val="none"/>
        </w:rPr>
        <w:t>条款等详细描述和说明的替代</w:t>
      </w:r>
      <w:r>
        <w:rPr>
          <w:rFonts w:hint="eastAsia"/>
          <w:spacing w:val="-3"/>
          <w:highlight w:val="none"/>
        </w:rPr>
        <w:t>。</w:t>
      </w:r>
    </w:p>
    <w:p w14:paraId="3C9545F9">
      <w:pPr>
        <w:pStyle w:val="9"/>
        <w:spacing w:line="360" w:lineRule="auto"/>
        <w:jc w:val="left"/>
        <w:rPr>
          <w:highlight w:val="none"/>
          <w:lang w:val="en-US"/>
        </w:rPr>
      </w:pPr>
      <w:r>
        <w:rPr>
          <w:rFonts w:hint="eastAsia"/>
          <w:highlight w:val="none"/>
          <w:lang w:val="en-US"/>
        </w:rPr>
        <w:t>4、本表所称技术条款主要针对招标文件第五章公开招标项目需求中的“三、维保服务要求”等。</w:t>
      </w:r>
    </w:p>
    <w:p w14:paraId="1DB63D60">
      <w:pPr>
        <w:pStyle w:val="9"/>
        <w:spacing w:line="360" w:lineRule="auto"/>
        <w:jc w:val="left"/>
        <w:rPr>
          <w:highlight w:val="none"/>
        </w:rPr>
      </w:pPr>
    </w:p>
    <w:p w14:paraId="3809881E">
      <w:pPr>
        <w:pStyle w:val="9"/>
        <w:spacing w:line="360" w:lineRule="auto"/>
        <w:jc w:val="left"/>
        <w:rPr>
          <w:highlight w:val="none"/>
        </w:rPr>
      </w:pPr>
      <w:r>
        <w:rPr>
          <w:rFonts w:hint="eastAsia"/>
          <w:highlight w:val="none"/>
        </w:rPr>
        <w:t>投标人名称：</w:t>
      </w:r>
      <w:r>
        <w:rPr>
          <w:highlight w:val="none"/>
        </w:rPr>
        <w:t xml:space="preserve">        </w:t>
      </w:r>
      <w:r>
        <w:rPr>
          <w:rFonts w:hint="eastAsia"/>
          <w:highlight w:val="none"/>
        </w:rPr>
        <w:t>（盖章）</w:t>
      </w:r>
    </w:p>
    <w:p w14:paraId="14173E5B">
      <w:pPr>
        <w:rPr>
          <w:b/>
          <w:sz w:val="24"/>
          <w:szCs w:val="24"/>
          <w:highlight w:val="none"/>
        </w:rPr>
      </w:pPr>
      <w:r>
        <w:rPr>
          <w:rFonts w:hint="eastAsia"/>
          <w:b/>
          <w:sz w:val="24"/>
          <w:szCs w:val="24"/>
          <w:highlight w:val="none"/>
        </w:rPr>
        <w:t>日   期：     年     月     日</w:t>
      </w:r>
    </w:p>
    <w:p w14:paraId="42234A3F">
      <w:pPr>
        <w:widowControl/>
        <w:autoSpaceDE/>
        <w:autoSpaceDN/>
        <w:spacing w:line="360" w:lineRule="auto"/>
        <w:rPr>
          <w:b/>
          <w:bCs/>
          <w:sz w:val="24"/>
          <w:szCs w:val="24"/>
          <w:highlight w:val="none"/>
          <w:lang w:val="en-US"/>
        </w:rPr>
      </w:pPr>
      <w:r>
        <w:rPr>
          <w:b/>
          <w:bCs/>
          <w:sz w:val="24"/>
          <w:szCs w:val="24"/>
          <w:highlight w:val="none"/>
          <w:lang w:val="en-US"/>
        </w:rPr>
        <w:br w:type="page"/>
      </w:r>
    </w:p>
    <w:p w14:paraId="0808B35E">
      <w:pPr>
        <w:pStyle w:val="4"/>
        <w:tabs>
          <w:tab w:val="left" w:pos="440"/>
          <w:tab w:val="left" w:pos="1760"/>
        </w:tabs>
        <w:adjustRightInd w:val="0"/>
        <w:snapToGrid w:val="0"/>
        <w:spacing w:line="360" w:lineRule="auto"/>
        <w:jc w:val="both"/>
        <w:rPr>
          <w:rFonts w:ascii="宋体" w:eastAsia="宋体" w:cs="宋体"/>
          <w:b/>
          <w:bCs/>
          <w:sz w:val="24"/>
          <w:szCs w:val="24"/>
          <w:highlight w:val="none"/>
          <w:lang w:val="en-US"/>
        </w:rPr>
      </w:pPr>
      <w:r>
        <w:rPr>
          <w:rFonts w:hint="eastAsia" w:ascii="宋体" w:eastAsia="宋体" w:cs="宋体"/>
          <w:b/>
          <w:bCs/>
          <w:sz w:val="24"/>
          <w:szCs w:val="24"/>
          <w:highlight w:val="none"/>
          <w:lang w:val="en-US"/>
        </w:rPr>
        <w:t>4.2、评分标准响应材料</w:t>
      </w:r>
    </w:p>
    <w:p w14:paraId="20BAC54B">
      <w:pPr>
        <w:tabs>
          <w:tab w:val="left" w:pos="440"/>
          <w:tab w:val="left" w:pos="1760"/>
        </w:tabs>
        <w:adjustRightInd w:val="0"/>
        <w:snapToGrid w:val="0"/>
        <w:spacing w:line="360" w:lineRule="auto"/>
        <w:jc w:val="both"/>
        <w:rPr>
          <w:b/>
          <w:bCs/>
          <w:sz w:val="24"/>
          <w:szCs w:val="24"/>
          <w:highlight w:val="none"/>
          <w:lang w:val="en-US"/>
        </w:rPr>
      </w:pPr>
      <w:r>
        <w:rPr>
          <w:rFonts w:hint="eastAsia"/>
          <w:sz w:val="24"/>
          <w:szCs w:val="24"/>
          <w:highlight w:val="none"/>
          <w:lang w:val="en-US"/>
        </w:rPr>
        <w:t>各投标人根据企业自身实际情况以及对本项目的理解，并结合招标文件评分标准中各评审因素提供相关证明文件。</w:t>
      </w:r>
    </w:p>
    <w:p w14:paraId="6F981578">
      <w:pPr>
        <w:pStyle w:val="4"/>
        <w:tabs>
          <w:tab w:val="left" w:pos="440"/>
          <w:tab w:val="left" w:pos="1760"/>
        </w:tabs>
        <w:adjustRightInd w:val="0"/>
        <w:snapToGrid w:val="0"/>
        <w:spacing w:line="360" w:lineRule="auto"/>
        <w:jc w:val="left"/>
        <w:rPr>
          <w:rFonts w:ascii="宋体" w:eastAsia="宋体" w:cs="宋体"/>
          <w:b/>
          <w:bCs/>
          <w:sz w:val="24"/>
          <w:szCs w:val="24"/>
          <w:highlight w:val="none"/>
          <w:lang w:val="en-US" w:bidi="ja-JP"/>
        </w:rPr>
      </w:pPr>
      <w:r>
        <w:rPr>
          <w:rFonts w:hint="eastAsia" w:ascii="宋体" w:eastAsia="宋体" w:cs="宋体"/>
          <w:b/>
          <w:bCs/>
          <w:sz w:val="24"/>
          <w:szCs w:val="24"/>
          <w:highlight w:val="none"/>
          <w:lang w:val="en-US"/>
        </w:rPr>
        <w:t>4.3、</w:t>
      </w:r>
      <w:r>
        <w:rPr>
          <w:rFonts w:hint="eastAsia" w:ascii="宋体" w:eastAsia="宋体" w:cs="宋体"/>
          <w:b/>
          <w:bCs/>
          <w:sz w:val="24"/>
          <w:szCs w:val="24"/>
          <w:highlight w:val="none"/>
          <w:lang w:val="ja-JP" w:eastAsia="ja-JP" w:bidi="ja-JP"/>
        </w:rPr>
        <w:t>项目</w:t>
      </w:r>
      <w:r>
        <w:rPr>
          <w:rFonts w:hint="eastAsia" w:ascii="宋体" w:eastAsia="宋体" w:cs="宋体"/>
          <w:b/>
          <w:bCs/>
          <w:sz w:val="24"/>
          <w:szCs w:val="24"/>
          <w:highlight w:val="none"/>
          <w:lang w:val="en-US" w:bidi="ja-JP"/>
        </w:rPr>
        <w:t>服务</w:t>
      </w:r>
      <w:r>
        <w:rPr>
          <w:rFonts w:hint="eastAsia" w:ascii="宋体" w:eastAsia="宋体" w:cs="宋体"/>
          <w:b/>
          <w:bCs/>
          <w:sz w:val="24"/>
          <w:szCs w:val="24"/>
          <w:highlight w:val="none"/>
          <w:lang w:val="ja-JP" w:eastAsia="ja-JP" w:bidi="ja-JP"/>
        </w:rPr>
        <w:t>实施</w:t>
      </w:r>
      <w:r>
        <w:rPr>
          <w:rFonts w:hint="eastAsia" w:ascii="宋体" w:eastAsia="宋体" w:cs="宋体"/>
          <w:b/>
          <w:bCs/>
          <w:sz w:val="24"/>
          <w:szCs w:val="24"/>
          <w:highlight w:val="none"/>
          <w:lang w:val="en-US" w:bidi="ja-JP"/>
        </w:rPr>
        <w:t>方案</w:t>
      </w:r>
    </w:p>
    <w:p w14:paraId="65F76478">
      <w:pPr>
        <w:pStyle w:val="9"/>
        <w:spacing w:line="360" w:lineRule="auto"/>
        <w:jc w:val="left"/>
        <w:rPr>
          <w:b w:val="0"/>
          <w:bCs/>
          <w:highlight w:val="none"/>
        </w:rPr>
      </w:pPr>
      <w:r>
        <w:rPr>
          <w:rFonts w:hint="eastAsia"/>
          <w:b w:val="0"/>
          <w:bCs/>
          <w:highlight w:val="none"/>
          <w:lang w:val="en-US"/>
        </w:rPr>
        <w:t>各投标人根据所投产品或服务实际情况，以及对采购文件响应程度编制相应方案，格式自拟。包括但不限于项目实施方案、服务承诺等，这些文件可以是文字资料方案、图纸（表）和数据等</w:t>
      </w:r>
      <w:r>
        <w:rPr>
          <w:rFonts w:hint="eastAsia"/>
          <w:b w:val="0"/>
          <w:bCs/>
          <w:highlight w:val="none"/>
        </w:rPr>
        <w:t>。</w:t>
      </w:r>
    </w:p>
    <w:p w14:paraId="54C12DFD">
      <w:pPr>
        <w:pStyle w:val="9"/>
        <w:spacing w:line="360" w:lineRule="auto"/>
        <w:jc w:val="left"/>
        <w:rPr>
          <w:highlight w:val="none"/>
          <w:lang w:val="en-US"/>
        </w:rPr>
      </w:pPr>
      <w:r>
        <w:rPr>
          <w:rFonts w:hint="eastAsia"/>
          <w:highlight w:val="none"/>
          <w:lang w:val="en-US"/>
        </w:rPr>
        <w:t>4.4其他服务方案</w:t>
      </w:r>
    </w:p>
    <w:p w14:paraId="1AD2F812">
      <w:pPr>
        <w:pStyle w:val="9"/>
        <w:spacing w:line="360" w:lineRule="auto"/>
        <w:jc w:val="left"/>
        <w:rPr>
          <w:highlight w:val="none"/>
          <w:lang w:val="en-US"/>
        </w:rPr>
      </w:pPr>
      <w:r>
        <w:rPr>
          <w:rFonts w:hint="eastAsia"/>
          <w:b w:val="0"/>
          <w:bCs/>
          <w:highlight w:val="none"/>
          <w:lang w:val="en-US"/>
        </w:rPr>
        <w:t>各投标人根据企业自身实际情况、招标文件评分标准及项目需求等自行提供</w:t>
      </w:r>
    </w:p>
    <w:p w14:paraId="00964A65">
      <w:pPr>
        <w:pStyle w:val="4"/>
        <w:tabs>
          <w:tab w:val="left" w:pos="1760"/>
        </w:tabs>
        <w:adjustRightInd w:val="0"/>
        <w:snapToGrid w:val="0"/>
        <w:spacing w:line="360" w:lineRule="auto"/>
        <w:jc w:val="left"/>
        <w:rPr>
          <w:rFonts w:ascii="宋体" w:eastAsia="宋体" w:cs="宋体"/>
          <w:b/>
          <w:bCs/>
          <w:sz w:val="24"/>
          <w:szCs w:val="24"/>
          <w:highlight w:val="none"/>
        </w:rPr>
      </w:pPr>
      <w:r>
        <w:rPr>
          <w:rFonts w:hint="eastAsia" w:ascii="宋体" w:eastAsia="宋体" w:cs="宋体"/>
          <w:b/>
          <w:bCs/>
          <w:sz w:val="24"/>
          <w:szCs w:val="24"/>
          <w:highlight w:val="none"/>
          <w:lang w:val="en-US"/>
        </w:rPr>
        <w:t>4.5</w:t>
      </w:r>
      <w:r>
        <w:rPr>
          <w:rFonts w:hint="eastAsia" w:ascii="宋体" w:eastAsia="宋体" w:cs="宋体"/>
          <w:b/>
          <w:bCs/>
          <w:sz w:val="24"/>
          <w:szCs w:val="24"/>
          <w:highlight w:val="none"/>
          <w:lang w:val="ja-JP" w:eastAsia="ja-JP"/>
        </w:rPr>
        <w:t>、</w:t>
      </w:r>
      <w:r>
        <w:rPr>
          <w:rFonts w:hint="eastAsia" w:ascii="宋体" w:eastAsia="宋体" w:cs="宋体"/>
          <w:b/>
          <w:bCs/>
          <w:sz w:val="24"/>
          <w:szCs w:val="24"/>
          <w:highlight w:val="none"/>
          <w:lang w:val="en-US"/>
        </w:rPr>
        <w:t>相关</w:t>
      </w:r>
      <w:r>
        <w:rPr>
          <w:rFonts w:hint="eastAsia" w:ascii="宋体" w:eastAsia="宋体" w:cs="宋体"/>
          <w:b/>
          <w:bCs/>
          <w:sz w:val="24"/>
          <w:szCs w:val="24"/>
          <w:highlight w:val="none"/>
          <w:lang w:val="ja-JP" w:eastAsia="ja-JP"/>
        </w:rPr>
        <w:t>表格（仅供参考，可按需调整或删除）</w:t>
      </w:r>
    </w:p>
    <w:p w14:paraId="1E124886">
      <w:pPr>
        <w:pStyle w:val="37"/>
        <w:ind w:firstLine="0"/>
        <w:rPr>
          <w:b/>
          <w:bCs/>
          <w:sz w:val="24"/>
          <w:szCs w:val="24"/>
          <w:highlight w:val="none"/>
        </w:rPr>
      </w:pPr>
    </w:p>
    <w:p w14:paraId="5CCBD0F7">
      <w:pPr>
        <w:pStyle w:val="37"/>
        <w:ind w:firstLine="0"/>
        <w:rPr>
          <w:b/>
          <w:bCs/>
          <w:sz w:val="24"/>
          <w:szCs w:val="24"/>
          <w:highlight w:val="none"/>
        </w:rPr>
      </w:pPr>
      <w:r>
        <w:rPr>
          <w:b/>
          <w:bCs/>
          <w:sz w:val="24"/>
          <w:szCs w:val="24"/>
          <w:highlight w:val="none"/>
        </w:rPr>
        <w:t>1、业绩清单（参考格式）</w:t>
      </w:r>
    </w:p>
    <w:tbl>
      <w:tblPr>
        <w:tblStyle w:val="21"/>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1679"/>
        <w:gridCol w:w="1506"/>
        <w:gridCol w:w="1757"/>
        <w:gridCol w:w="1699"/>
        <w:gridCol w:w="1923"/>
      </w:tblGrid>
      <w:tr w14:paraId="6263F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tcBorders>
              <w:top w:val="single" w:color="000000" w:sz="4" w:space="0"/>
              <w:left w:val="single" w:color="000000" w:sz="4" w:space="0"/>
              <w:bottom w:val="single" w:color="000000" w:sz="4" w:space="0"/>
              <w:right w:val="single" w:color="000000" w:sz="4" w:space="0"/>
            </w:tcBorders>
            <w:noWrap/>
            <w:vAlign w:val="center"/>
          </w:tcPr>
          <w:p w14:paraId="035C1CB5">
            <w:pPr>
              <w:spacing w:line="360" w:lineRule="auto"/>
              <w:jc w:val="center"/>
              <w:rPr>
                <w:kern w:val="2"/>
                <w:sz w:val="24"/>
                <w:szCs w:val="24"/>
                <w:highlight w:val="none"/>
              </w:rPr>
            </w:pPr>
            <w:r>
              <w:rPr>
                <w:kern w:val="2"/>
                <w:sz w:val="24"/>
                <w:szCs w:val="24"/>
                <w:highlight w:val="none"/>
              </w:rPr>
              <w:t>序号</w:t>
            </w: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0DAFEB50">
            <w:pPr>
              <w:spacing w:line="360" w:lineRule="auto"/>
              <w:jc w:val="center"/>
              <w:rPr>
                <w:kern w:val="2"/>
                <w:sz w:val="24"/>
                <w:szCs w:val="24"/>
                <w:highlight w:val="none"/>
              </w:rPr>
            </w:pPr>
            <w:r>
              <w:rPr>
                <w:kern w:val="2"/>
                <w:sz w:val="24"/>
                <w:szCs w:val="24"/>
                <w:highlight w:val="none"/>
              </w:rPr>
              <w:t>项目名称</w:t>
            </w:r>
          </w:p>
        </w:tc>
        <w:tc>
          <w:tcPr>
            <w:tcW w:w="1506" w:type="dxa"/>
            <w:tcBorders>
              <w:top w:val="single" w:color="000000" w:sz="4" w:space="0"/>
              <w:left w:val="single" w:color="000000" w:sz="4" w:space="0"/>
              <w:bottom w:val="single" w:color="000000" w:sz="4" w:space="0"/>
              <w:right w:val="single" w:color="000000" w:sz="4" w:space="0"/>
            </w:tcBorders>
            <w:noWrap/>
            <w:vAlign w:val="center"/>
          </w:tcPr>
          <w:p w14:paraId="621308E0">
            <w:pPr>
              <w:tabs>
                <w:tab w:val="left" w:pos="6252"/>
              </w:tabs>
              <w:spacing w:line="360" w:lineRule="auto"/>
              <w:jc w:val="center"/>
              <w:rPr>
                <w:kern w:val="2"/>
                <w:sz w:val="24"/>
                <w:szCs w:val="24"/>
                <w:highlight w:val="none"/>
              </w:rPr>
            </w:pPr>
            <w:r>
              <w:rPr>
                <w:kern w:val="2"/>
                <w:sz w:val="24"/>
                <w:szCs w:val="24"/>
                <w:highlight w:val="none"/>
              </w:rPr>
              <w:t>项目时间</w:t>
            </w:r>
          </w:p>
        </w:tc>
        <w:tc>
          <w:tcPr>
            <w:tcW w:w="1757" w:type="dxa"/>
            <w:tcBorders>
              <w:top w:val="single" w:color="000000" w:sz="4" w:space="0"/>
              <w:left w:val="single" w:color="000000" w:sz="4" w:space="0"/>
              <w:bottom w:val="single" w:color="000000" w:sz="4" w:space="0"/>
              <w:right w:val="single" w:color="000000" w:sz="4" w:space="0"/>
            </w:tcBorders>
            <w:noWrap/>
            <w:vAlign w:val="center"/>
          </w:tcPr>
          <w:p w14:paraId="35DFDDBB">
            <w:pPr>
              <w:tabs>
                <w:tab w:val="left" w:pos="6252"/>
              </w:tabs>
              <w:spacing w:line="360" w:lineRule="auto"/>
              <w:jc w:val="center"/>
              <w:rPr>
                <w:kern w:val="2"/>
                <w:sz w:val="24"/>
                <w:szCs w:val="24"/>
                <w:highlight w:val="none"/>
              </w:rPr>
            </w:pPr>
            <w:r>
              <w:rPr>
                <w:kern w:val="2"/>
                <w:sz w:val="24"/>
                <w:szCs w:val="24"/>
                <w:highlight w:val="none"/>
              </w:rPr>
              <w:t>合同金额</w:t>
            </w: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74B0C620">
            <w:pPr>
              <w:tabs>
                <w:tab w:val="left" w:pos="6252"/>
              </w:tabs>
              <w:spacing w:line="360" w:lineRule="auto"/>
              <w:jc w:val="center"/>
              <w:rPr>
                <w:kern w:val="2"/>
                <w:sz w:val="24"/>
                <w:szCs w:val="24"/>
                <w:highlight w:val="none"/>
              </w:rPr>
            </w:pPr>
            <w:r>
              <w:rPr>
                <w:kern w:val="2"/>
                <w:sz w:val="24"/>
                <w:szCs w:val="24"/>
                <w:highlight w:val="none"/>
              </w:rPr>
              <w:t>业主单位及联系电话</w:t>
            </w: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315995F1">
            <w:pPr>
              <w:spacing w:line="360" w:lineRule="auto"/>
              <w:jc w:val="center"/>
              <w:rPr>
                <w:kern w:val="2"/>
                <w:sz w:val="24"/>
                <w:szCs w:val="24"/>
                <w:highlight w:val="none"/>
              </w:rPr>
            </w:pPr>
            <w:r>
              <w:rPr>
                <w:kern w:val="2"/>
                <w:sz w:val="24"/>
                <w:szCs w:val="24"/>
                <w:highlight w:val="none"/>
              </w:rPr>
              <w:t>备注</w:t>
            </w:r>
          </w:p>
        </w:tc>
      </w:tr>
      <w:tr w14:paraId="51F55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tcBorders>
              <w:top w:val="single" w:color="000000" w:sz="4" w:space="0"/>
              <w:left w:val="single" w:color="000000" w:sz="4" w:space="0"/>
              <w:bottom w:val="single" w:color="000000" w:sz="4" w:space="0"/>
              <w:right w:val="single" w:color="000000" w:sz="4" w:space="0"/>
            </w:tcBorders>
            <w:noWrap/>
            <w:vAlign w:val="center"/>
          </w:tcPr>
          <w:p w14:paraId="7C1FE545">
            <w:pPr>
              <w:spacing w:line="360" w:lineRule="auto"/>
              <w:jc w:val="center"/>
              <w:rPr>
                <w:kern w:val="2"/>
                <w:sz w:val="24"/>
                <w:szCs w:val="24"/>
                <w:highlight w:val="none"/>
              </w:rPr>
            </w:pP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25C966C4">
            <w:pPr>
              <w:spacing w:line="360" w:lineRule="auto"/>
              <w:jc w:val="center"/>
              <w:rPr>
                <w:kern w:val="2"/>
                <w:sz w:val="24"/>
                <w:szCs w:val="24"/>
                <w:highlight w:val="none"/>
              </w:rPr>
            </w:pPr>
          </w:p>
        </w:tc>
        <w:tc>
          <w:tcPr>
            <w:tcW w:w="1506" w:type="dxa"/>
            <w:tcBorders>
              <w:top w:val="single" w:color="000000" w:sz="4" w:space="0"/>
              <w:left w:val="single" w:color="000000" w:sz="4" w:space="0"/>
              <w:bottom w:val="single" w:color="000000" w:sz="4" w:space="0"/>
              <w:right w:val="single" w:color="000000" w:sz="4" w:space="0"/>
            </w:tcBorders>
            <w:noWrap/>
          </w:tcPr>
          <w:p w14:paraId="48EA9271">
            <w:pPr>
              <w:spacing w:line="360" w:lineRule="auto"/>
              <w:jc w:val="center"/>
              <w:rPr>
                <w:kern w:val="2"/>
                <w:sz w:val="24"/>
                <w:szCs w:val="24"/>
                <w:highlight w:val="none"/>
              </w:rPr>
            </w:pPr>
          </w:p>
        </w:tc>
        <w:tc>
          <w:tcPr>
            <w:tcW w:w="1757" w:type="dxa"/>
            <w:tcBorders>
              <w:top w:val="single" w:color="000000" w:sz="4" w:space="0"/>
              <w:left w:val="single" w:color="000000" w:sz="4" w:space="0"/>
              <w:bottom w:val="single" w:color="000000" w:sz="4" w:space="0"/>
              <w:right w:val="single" w:color="000000" w:sz="4" w:space="0"/>
            </w:tcBorders>
            <w:noWrap/>
            <w:vAlign w:val="center"/>
          </w:tcPr>
          <w:p w14:paraId="2F397056">
            <w:pPr>
              <w:spacing w:line="360" w:lineRule="auto"/>
              <w:jc w:val="center"/>
              <w:rPr>
                <w:kern w:val="2"/>
                <w:sz w:val="24"/>
                <w:szCs w:val="24"/>
                <w:highlight w:val="none"/>
              </w:rPr>
            </w:pP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435A6FF1">
            <w:pPr>
              <w:spacing w:line="360" w:lineRule="auto"/>
              <w:jc w:val="center"/>
              <w:rPr>
                <w:kern w:val="2"/>
                <w:sz w:val="24"/>
                <w:szCs w:val="24"/>
                <w:highlight w:val="none"/>
              </w:rPr>
            </w:pP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6FF41406">
            <w:pPr>
              <w:spacing w:line="360" w:lineRule="auto"/>
              <w:jc w:val="center"/>
              <w:rPr>
                <w:kern w:val="2"/>
                <w:sz w:val="24"/>
                <w:szCs w:val="24"/>
                <w:highlight w:val="none"/>
              </w:rPr>
            </w:pPr>
          </w:p>
        </w:tc>
      </w:tr>
      <w:tr w14:paraId="0A914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tcBorders>
              <w:top w:val="single" w:color="000000" w:sz="4" w:space="0"/>
              <w:left w:val="single" w:color="000000" w:sz="4" w:space="0"/>
              <w:bottom w:val="single" w:color="000000" w:sz="4" w:space="0"/>
              <w:right w:val="single" w:color="000000" w:sz="4" w:space="0"/>
            </w:tcBorders>
            <w:noWrap/>
            <w:vAlign w:val="center"/>
          </w:tcPr>
          <w:p w14:paraId="1509D5BB">
            <w:pPr>
              <w:spacing w:line="360" w:lineRule="auto"/>
              <w:jc w:val="center"/>
              <w:rPr>
                <w:kern w:val="2"/>
                <w:sz w:val="24"/>
                <w:szCs w:val="24"/>
                <w:highlight w:val="none"/>
              </w:rPr>
            </w:pP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7BC2CFFE">
            <w:pPr>
              <w:spacing w:line="360" w:lineRule="auto"/>
              <w:jc w:val="center"/>
              <w:rPr>
                <w:kern w:val="2"/>
                <w:sz w:val="24"/>
                <w:szCs w:val="24"/>
                <w:highlight w:val="none"/>
              </w:rPr>
            </w:pPr>
          </w:p>
        </w:tc>
        <w:tc>
          <w:tcPr>
            <w:tcW w:w="1506" w:type="dxa"/>
            <w:tcBorders>
              <w:top w:val="single" w:color="000000" w:sz="4" w:space="0"/>
              <w:left w:val="single" w:color="000000" w:sz="4" w:space="0"/>
              <w:bottom w:val="single" w:color="000000" w:sz="4" w:space="0"/>
              <w:right w:val="single" w:color="000000" w:sz="4" w:space="0"/>
            </w:tcBorders>
            <w:noWrap/>
          </w:tcPr>
          <w:p w14:paraId="2EB4E01E">
            <w:pPr>
              <w:spacing w:line="360" w:lineRule="auto"/>
              <w:jc w:val="center"/>
              <w:rPr>
                <w:kern w:val="2"/>
                <w:sz w:val="24"/>
                <w:szCs w:val="24"/>
                <w:highlight w:val="none"/>
              </w:rPr>
            </w:pPr>
          </w:p>
        </w:tc>
        <w:tc>
          <w:tcPr>
            <w:tcW w:w="1757" w:type="dxa"/>
            <w:tcBorders>
              <w:top w:val="single" w:color="000000" w:sz="4" w:space="0"/>
              <w:left w:val="single" w:color="000000" w:sz="4" w:space="0"/>
              <w:bottom w:val="single" w:color="000000" w:sz="4" w:space="0"/>
              <w:right w:val="single" w:color="000000" w:sz="4" w:space="0"/>
            </w:tcBorders>
            <w:noWrap/>
            <w:vAlign w:val="center"/>
          </w:tcPr>
          <w:p w14:paraId="39D2FA3B">
            <w:pPr>
              <w:spacing w:line="360" w:lineRule="auto"/>
              <w:jc w:val="center"/>
              <w:rPr>
                <w:kern w:val="2"/>
                <w:sz w:val="24"/>
                <w:szCs w:val="24"/>
                <w:highlight w:val="none"/>
              </w:rPr>
            </w:pP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137F0411">
            <w:pPr>
              <w:spacing w:line="360" w:lineRule="auto"/>
              <w:jc w:val="center"/>
              <w:rPr>
                <w:kern w:val="2"/>
                <w:sz w:val="24"/>
                <w:szCs w:val="24"/>
                <w:highlight w:val="none"/>
              </w:rPr>
            </w:pP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06B8E406">
            <w:pPr>
              <w:spacing w:line="360" w:lineRule="auto"/>
              <w:jc w:val="center"/>
              <w:rPr>
                <w:kern w:val="2"/>
                <w:sz w:val="24"/>
                <w:szCs w:val="24"/>
                <w:highlight w:val="none"/>
              </w:rPr>
            </w:pPr>
          </w:p>
        </w:tc>
      </w:tr>
      <w:tr w14:paraId="05F01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tcBorders>
              <w:top w:val="single" w:color="000000" w:sz="4" w:space="0"/>
              <w:left w:val="single" w:color="000000" w:sz="4" w:space="0"/>
              <w:bottom w:val="single" w:color="000000" w:sz="4" w:space="0"/>
              <w:right w:val="single" w:color="000000" w:sz="4" w:space="0"/>
            </w:tcBorders>
            <w:noWrap/>
            <w:vAlign w:val="center"/>
          </w:tcPr>
          <w:p w14:paraId="2FD1FF57">
            <w:pPr>
              <w:spacing w:line="360" w:lineRule="auto"/>
              <w:jc w:val="center"/>
              <w:rPr>
                <w:kern w:val="2"/>
                <w:sz w:val="24"/>
                <w:szCs w:val="24"/>
                <w:highlight w:val="none"/>
              </w:rPr>
            </w:pP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7E60CFD1">
            <w:pPr>
              <w:spacing w:line="360" w:lineRule="auto"/>
              <w:jc w:val="center"/>
              <w:rPr>
                <w:kern w:val="2"/>
                <w:sz w:val="24"/>
                <w:szCs w:val="24"/>
                <w:highlight w:val="none"/>
              </w:rPr>
            </w:pPr>
          </w:p>
        </w:tc>
        <w:tc>
          <w:tcPr>
            <w:tcW w:w="1506" w:type="dxa"/>
            <w:tcBorders>
              <w:top w:val="single" w:color="000000" w:sz="4" w:space="0"/>
              <w:left w:val="single" w:color="000000" w:sz="4" w:space="0"/>
              <w:bottom w:val="single" w:color="000000" w:sz="4" w:space="0"/>
              <w:right w:val="single" w:color="000000" w:sz="4" w:space="0"/>
            </w:tcBorders>
            <w:noWrap/>
          </w:tcPr>
          <w:p w14:paraId="39C92871">
            <w:pPr>
              <w:spacing w:line="360" w:lineRule="auto"/>
              <w:jc w:val="center"/>
              <w:rPr>
                <w:kern w:val="2"/>
                <w:sz w:val="24"/>
                <w:szCs w:val="24"/>
                <w:highlight w:val="none"/>
              </w:rPr>
            </w:pPr>
          </w:p>
        </w:tc>
        <w:tc>
          <w:tcPr>
            <w:tcW w:w="1757" w:type="dxa"/>
            <w:tcBorders>
              <w:top w:val="single" w:color="000000" w:sz="4" w:space="0"/>
              <w:left w:val="single" w:color="000000" w:sz="4" w:space="0"/>
              <w:bottom w:val="single" w:color="000000" w:sz="4" w:space="0"/>
              <w:right w:val="single" w:color="000000" w:sz="4" w:space="0"/>
            </w:tcBorders>
            <w:noWrap/>
            <w:vAlign w:val="center"/>
          </w:tcPr>
          <w:p w14:paraId="76140426">
            <w:pPr>
              <w:spacing w:line="360" w:lineRule="auto"/>
              <w:jc w:val="center"/>
              <w:rPr>
                <w:kern w:val="2"/>
                <w:sz w:val="24"/>
                <w:szCs w:val="24"/>
                <w:highlight w:val="none"/>
              </w:rPr>
            </w:pP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5E4BAA6D">
            <w:pPr>
              <w:spacing w:line="360" w:lineRule="auto"/>
              <w:jc w:val="center"/>
              <w:rPr>
                <w:kern w:val="2"/>
                <w:sz w:val="24"/>
                <w:szCs w:val="24"/>
                <w:highlight w:val="none"/>
              </w:rPr>
            </w:pP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71CEA58A">
            <w:pPr>
              <w:spacing w:line="360" w:lineRule="auto"/>
              <w:jc w:val="center"/>
              <w:rPr>
                <w:kern w:val="2"/>
                <w:sz w:val="24"/>
                <w:szCs w:val="24"/>
                <w:highlight w:val="none"/>
              </w:rPr>
            </w:pPr>
          </w:p>
        </w:tc>
      </w:tr>
      <w:tr w14:paraId="2B314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tcBorders>
              <w:top w:val="single" w:color="000000" w:sz="4" w:space="0"/>
              <w:left w:val="single" w:color="000000" w:sz="4" w:space="0"/>
              <w:bottom w:val="single" w:color="000000" w:sz="4" w:space="0"/>
              <w:right w:val="single" w:color="000000" w:sz="4" w:space="0"/>
            </w:tcBorders>
            <w:noWrap/>
            <w:vAlign w:val="center"/>
          </w:tcPr>
          <w:p w14:paraId="7F096149">
            <w:pPr>
              <w:spacing w:line="360" w:lineRule="auto"/>
              <w:jc w:val="center"/>
              <w:rPr>
                <w:kern w:val="2"/>
                <w:sz w:val="24"/>
                <w:szCs w:val="24"/>
                <w:highlight w:val="none"/>
              </w:rPr>
            </w:pP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30908D46">
            <w:pPr>
              <w:spacing w:line="360" w:lineRule="auto"/>
              <w:jc w:val="center"/>
              <w:rPr>
                <w:kern w:val="2"/>
                <w:sz w:val="24"/>
                <w:szCs w:val="24"/>
                <w:highlight w:val="none"/>
              </w:rPr>
            </w:pPr>
          </w:p>
        </w:tc>
        <w:tc>
          <w:tcPr>
            <w:tcW w:w="1506" w:type="dxa"/>
            <w:tcBorders>
              <w:top w:val="single" w:color="000000" w:sz="4" w:space="0"/>
              <w:left w:val="single" w:color="000000" w:sz="4" w:space="0"/>
              <w:bottom w:val="single" w:color="000000" w:sz="4" w:space="0"/>
              <w:right w:val="single" w:color="000000" w:sz="4" w:space="0"/>
            </w:tcBorders>
            <w:noWrap/>
          </w:tcPr>
          <w:p w14:paraId="021BF794">
            <w:pPr>
              <w:spacing w:line="360" w:lineRule="auto"/>
              <w:jc w:val="center"/>
              <w:rPr>
                <w:kern w:val="2"/>
                <w:sz w:val="24"/>
                <w:szCs w:val="24"/>
                <w:highlight w:val="none"/>
              </w:rPr>
            </w:pPr>
          </w:p>
        </w:tc>
        <w:tc>
          <w:tcPr>
            <w:tcW w:w="1757" w:type="dxa"/>
            <w:tcBorders>
              <w:top w:val="single" w:color="000000" w:sz="4" w:space="0"/>
              <w:left w:val="single" w:color="000000" w:sz="4" w:space="0"/>
              <w:bottom w:val="single" w:color="000000" w:sz="4" w:space="0"/>
              <w:right w:val="single" w:color="000000" w:sz="4" w:space="0"/>
            </w:tcBorders>
            <w:noWrap/>
            <w:vAlign w:val="center"/>
          </w:tcPr>
          <w:p w14:paraId="3D5F281A">
            <w:pPr>
              <w:spacing w:line="360" w:lineRule="auto"/>
              <w:jc w:val="center"/>
              <w:rPr>
                <w:kern w:val="2"/>
                <w:sz w:val="24"/>
                <w:szCs w:val="24"/>
                <w:highlight w:val="none"/>
              </w:rPr>
            </w:pP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6DB2B790">
            <w:pPr>
              <w:spacing w:line="360" w:lineRule="auto"/>
              <w:jc w:val="center"/>
              <w:rPr>
                <w:kern w:val="2"/>
                <w:sz w:val="24"/>
                <w:szCs w:val="24"/>
                <w:highlight w:val="none"/>
              </w:rPr>
            </w:pP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12D4D4BC">
            <w:pPr>
              <w:spacing w:line="360" w:lineRule="auto"/>
              <w:jc w:val="center"/>
              <w:rPr>
                <w:kern w:val="2"/>
                <w:sz w:val="24"/>
                <w:szCs w:val="24"/>
                <w:highlight w:val="none"/>
              </w:rPr>
            </w:pPr>
          </w:p>
        </w:tc>
      </w:tr>
      <w:tr w14:paraId="045CD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tcBorders>
              <w:top w:val="single" w:color="000000" w:sz="4" w:space="0"/>
              <w:left w:val="single" w:color="000000" w:sz="4" w:space="0"/>
              <w:bottom w:val="single" w:color="000000" w:sz="4" w:space="0"/>
              <w:right w:val="single" w:color="000000" w:sz="4" w:space="0"/>
            </w:tcBorders>
            <w:noWrap/>
            <w:vAlign w:val="center"/>
          </w:tcPr>
          <w:p w14:paraId="3BE6EE4D">
            <w:pPr>
              <w:spacing w:line="360" w:lineRule="auto"/>
              <w:jc w:val="center"/>
              <w:rPr>
                <w:kern w:val="2"/>
                <w:sz w:val="24"/>
                <w:szCs w:val="24"/>
                <w:highlight w:val="none"/>
              </w:rPr>
            </w:pP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64F282B1">
            <w:pPr>
              <w:spacing w:line="360" w:lineRule="auto"/>
              <w:jc w:val="center"/>
              <w:rPr>
                <w:kern w:val="2"/>
                <w:sz w:val="24"/>
                <w:szCs w:val="24"/>
                <w:highlight w:val="none"/>
              </w:rPr>
            </w:pPr>
          </w:p>
        </w:tc>
        <w:tc>
          <w:tcPr>
            <w:tcW w:w="1506" w:type="dxa"/>
            <w:tcBorders>
              <w:top w:val="single" w:color="000000" w:sz="4" w:space="0"/>
              <w:left w:val="single" w:color="000000" w:sz="4" w:space="0"/>
              <w:bottom w:val="single" w:color="000000" w:sz="4" w:space="0"/>
              <w:right w:val="single" w:color="000000" w:sz="4" w:space="0"/>
            </w:tcBorders>
            <w:noWrap/>
          </w:tcPr>
          <w:p w14:paraId="1B96212C">
            <w:pPr>
              <w:spacing w:line="360" w:lineRule="auto"/>
              <w:jc w:val="center"/>
              <w:rPr>
                <w:kern w:val="2"/>
                <w:sz w:val="24"/>
                <w:szCs w:val="24"/>
                <w:highlight w:val="none"/>
              </w:rPr>
            </w:pPr>
          </w:p>
        </w:tc>
        <w:tc>
          <w:tcPr>
            <w:tcW w:w="1757" w:type="dxa"/>
            <w:tcBorders>
              <w:top w:val="single" w:color="000000" w:sz="4" w:space="0"/>
              <w:left w:val="single" w:color="000000" w:sz="4" w:space="0"/>
              <w:bottom w:val="single" w:color="000000" w:sz="4" w:space="0"/>
              <w:right w:val="single" w:color="000000" w:sz="4" w:space="0"/>
            </w:tcBorders>
            <w:noWrap/>
            <w:vAlign w:val="center"/>
          </w:tcPr>
          <w:p w14:paraId="5E412AE5">
            <w:pPr>
              <w:spacing w:line="360" w:lineRule="auto"/>
              <w:jc w:val="center"/>
              <w:rPr>
                <w:kern w:val="2"/>
                <w:sz w:val="24"/>
                <w:szCs w:val="24"/>
                <w:highlight w:val="none"/>
              </w:rPr>
            </w:pP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0F37EF03">
            <w:pPr>
              <w:spacing w:line="360" w:lineRule="auto"/>
              <w:jc w:val="center"/>
              <w:rPr>
                <w:kern w:val="2"/>
                <w:sz w:val="24"/>
                <w:szCs w:val="24"/>
                <w:highlight w:val="none"/>
              </w:rPr>
            </w:pP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6B280B1E">
            <w:pPr>
              <w:spacing w:line="360" w:lineRule="auto"/>
              <w:jc w:val="center"/>
              <w:rPr>
                <w:kern w:val="2"/>
                <w:sz w:val="24"/>
                <w:szCs w:val="24"/>
                <w:highlight w:val="none"/>
              </w:rPr>
            </w:pPr>
          </w:p>
        </w:tc>
      </w:tr>
      <w:tr w14:paraId="10325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tcBorders>
              <w:top w:val="single" w:color="000000" w:sz="4" w:space="0"/>
              <w:left w:val="single" w:color="000000" w:sz="4" w:space="0"/>
              <w:bottom w:val="single" w:color="000000" w:sz="4" w:space="0"/>
              <w:right w:val="single" w:color="000000" w:sz="4" w:space="0"/>
            </w:tcBorders>
            <w:noWrap/>
            <w:vAlign w:val="center"/>
          </w:tcPr>
          <w:p w14:paraId="224B7584">
            <w:pPr>
              <w:spacing w:line="360" w:lineRule="auto"/>
              <w:jc w:val="center"/>
              <w:rPr>
                <w:kern w:val="2"/>
                <w:sz w:val="24"/>
                <w:szCs w:val="24"/>
                <w:highlight w:val="none"/>
              </w:rPr>
            </w:pP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75982D16">
            <w:pPr>
              <w:spacing w:line="360" w:lineRule="auto"/>
              <w:jc w:val="center"/>
              <w:rPr>
                <w:kern w:val="2"/>
                <w:sz w:val="24"/>
                <w:szCs w:val="24"/>
                <w:highlight w:val="none"/>
              </w:rPr>
            </w:pPr>
          </w:p>
        </w:tc>
        <w:tc>
          <w:tcPr>
            <w:tcW w:w="1506" w:type="dxa"/>
            <w:tcBorders>
              <w:top w:val="single" w:color="000000" w:sz="4" w:space="0"/>
              <w:left w:val="single" w:color="000000" w:sz="4" w:space="0"/>
              <w:bottom w:val="single" w:color="000000" w:sz="4" w:space="0"/>
              <w:right w:val="single" w:color="000000" w:sz="4" w:space="0"/>
            </w:tcBorders>
            <w:noWrap/>
          </w:tcPr>
          <w:p w14:paraId="291053BD">
            <w:pPr>
              <w:spacing w:line="360" w:lineRule="auto"/>
              <w:jc w:val="center"/>
              <w:rPr>
                <w:kern w:val="2"/>
                <w:sz w:val="24"/>
                <w:szCs w:val="24"/>
                <w:highlight w:val="none"/>
              </w:rPr>
            </w:pPr>
          </w:p>
        </w:tc>
        <w:tc>
          <w:tcPr>
            <w:tcW w:w="1757" w:type="dxa"/>
            <w:tcBorders>
              <w:top w:val="single" w:color="000000" w:sz="4" w:space="0"/>
              <w:left w:val="single" w:color="000000" w:sz="4" w:space="0"/>
              <w:bottom w:val="single" w:color="000000" w:sz="4" w:space="0"/>
              <w:right w:val="single" w:color="000000" w:sz="4" w:space="0"/>
            </w:tcBorders>
            <w:noWrap/>
            <w:vAlign w:val="center"/>
          </w:tcPr>
          <w:p w14:paraId="0F223F69">
            <w:pPr>
              <w:spacing w:line="360" w:lineRule="auto"/>
              <w:jc w:val="center"/>
              <w:rPr>
                <w:kern w:val="2"/>
                <w:sz w:val="24"/>
                <w:szCs w:val="24"/>
                <w:highlight w:val="none"/>
              </w:rPr>
            </w:pP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2B588A8B">
            <w:pPr>
              <w:spacing w:line="360" w:lineRule="auto"/>
              <w:jc w:val="center"/>
              <w:rPr>
                <w:kern w:val="2"/>
                <w:sz w:val="24"/>
                <w:szCs w:val="24"/>
                <w:highlight w:val="none"/>
              </w:rPr>
            </w:pP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520BE15D">
            <w:pPr>
              <w:spacing w:line="360" w:lineRule="auto"/>
              <w:jc w:val="center"/>
              <w:rPr>
                <w:kern w:val="2"/>
                <w:sz w:val="24"/>
                <w:szCs w:val="24"/>
                <w:highlight w:val="none"/>
              </w:rPr>
            </w:pPr>
          </w:p>
        </w:tc>
      </w:tr>
      <w:tr w14:paraId="5AAD9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tcBorders>
              <w:top w:val="single" w:color="000000" w:sz="4" w:space="0"/>
              <w:left w:val="single" w:color="000000" w:sz="4" w:space="0"/>
              <w:bottom w:val="single" w:color="000000" w:sz="4" w:space="0"/>
              <w:right w:val="single" w:color="000000" w:sz="4" w:space="0"/>
            </w:tcBorders>
            <w:noWrap/>
            <w:vAlign w:val="center"/>
          </w:tcPr>
          <w:p w14:paraId="60684E5E">
            <w:pPr>
              <w:spacing w:line="360" w:lineRule="auto"/>
              <w:jc w:val="center"/>
              <w:rPr>
                <w:kern w:val="2"/>
                <w:sz w:val="24"/>
                <w:szCs w:val="24"/>
                <w:highlight w:val="none"/>
              </w:rPr>
            </w:pP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4A2D6E2F">
            <w:pPr>
              <w:spacing w:line="360" w:lineRule="auto"/>
              <w:jc w:val="center"/>
              <w:rPr>
                <w:kern w:val="2"/>
                <w:sz w:val="24"/>
                <w:szCs w:val="24"/>
                <w:highlight w:val="none"/>
              </w:rPr>
            </w:pPr>
          </w:p>
        </w:tc>
        <w:tc>
          <w:tcPr>
            <w:tcW w:w="1506" w:type="dxa"/>
            <w:tcBorders>
              <w:top w:val="single" w:color="000000" w:sz="4" w:space="0"/>
              <w:left w:val="single" w:color="000000" w:sz="4" w:space="0"/>
              <w:bottom w:val="single" w:color="000000" w:sz="4" w:space="0"/>
              <w:right w:val="single" w:color="000000" w:sz="4" w:space="0"/>
            </w:tcBorders>
            <w:noWrap/>
          </w:tcPr>
          <w:p w14:paraId="1D3EB8A5">
            <w:pPr>
              <w:spacing w:line="360" w:lineRule="auto"/>
              <w:jc w:val="center"/>
              <w:rPr>
                <w:kern w:val="2"/>
                <w:sz w:val="24"/>
                <w:szCs w:val="24"/>
                <w:highlight w:val="none"/>
              </w:rPr>
            </w:pPr>
          </w:p>
        </w:tc>
        <w:tc>
          <w:tcPr>
            <w:tcW w:w="1757" w:type="dxa"/>
            <w:tcBorders>
              <w:top w:val="single" w:color="000000" w:sz="4" w:space="0"/>
              <w:left w:val="single" w:color="000000" w:sz="4" w:space="0"/>
              <w:bottom w:val="single" w:color="000000" w:sz="4" w:space="0"/>
              <w:right w:val="single" w:color="000000" w:sz="4" w:space="0"/>
            </w:tcBorders>
            <w:noWrap/>
            <w:vAlign w:val="center"/>
          </w:tcPr>
          <w:p w14:paraId="49B1D6CF">
            <w:pPr>
              <w:spacing w:line="360" w:lineRule="auto"/>
              <w:jc w:val="center"/>
              <w:rPr>
                <w:kern w:val="2"/>
                <w:sz w:val="24"/>
                <w:szCs w:val="24"/>
                <w:highlight w:val="none"/>
              </w:rPr>
            </w:pP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122B175E">
            <w:pPr>
              <w:spacing w:line="360" w:lineRule="auto"/>
              <w:jc w:val="center"/>
              <w:rPr>
                <w:kern w:val="2"/>
                <w:sz w:val="24"/>
                <w:szCs w:val="24"/>
                <w:highlight w:val="none"/>
              </w:rPr>
            </w:pP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0C13E0CA">
            <w:pPr>
              <w:spacing w:line="360" w:lineRule="auto"/>
              <w:jc w:val="center"/>
              <w:rPr>
                <w:kern w:val="2"/>
                <w:sz w:val="24"/>
                <w:szCs w:val="24"/>
                <w:highlight w:val="none"/>
              </w:rPr>
            </w:pPr>
          </w:p>
        </w:tc>
      </w:tr>
      <w:tr w14:paraId="0A9A0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tcBorders>
              <w:top w:val="single" w:color="000000" w:sz="4" w:space="0"/>
              <w:left w:val="single" w:color="000000" w:sz="4" w:space="0"/>
              <w:bottom w:val="single" w:color="000000" w:sz="4" w:space="0"/>
              <w:right w:val="single" w:color="000000" w:sz="4" w:space="0"/>
            </w:tcBorders>
            <w:noWrap/>
            <w:vAlign w:val="center"/>
          </w:tcPr>
          <w:p w14:paraId="23AF735C">
            <w:pPr>
              <w:spacing w:line="360" w:lineRule="auto"/>
              <w:jc w:val="center"/>
              <w:rPr>
                <w:kern w:val="2"/>
                <w:sz w:val="24"/>
                <w:szCs w:val="24"/>
                <w:highlight w:val="none"/>
              </w:rPr>
            </w:pP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64CCE161">
            <w:pPr>
              <w:spacing w:line="360" w:lineRule="auto"/>
              <w:jc w:val="center"/>
              <w:rPr>
                <w:kern w:val="2"/>
                <w:sz w:val="24"/>
                <w:szCs w:val="24"/>
                <w:highlight w:val="none"/>
              </w:rPr>
            </w:pPr>
          </w:p>
        </w:tc>
        <w:tc>
          <w:tcPr>
            <w:tcW w:w="1506" w:type="dxa"/>
            <w:tcBorders>
              <w:top w:val="single" w:color="000000" w:sz="4" w:space="0"/>
              <w:left w:val="single" w:color="000000" w:sz="4" w:space="0"/>
              <w:bottom w:val="single" w:color="000000" w:sz="4" w:space="0"/>
              <w:right w:val="single" w:color="000000" w:sz="4" w:space="0"/>
            </w:tcBorders>
            <w:noWrap/>
          </w:tcPr>
          <w:p w14:paraId="0B7BE19D">
            <w:pPr>
              <w:spacing w:line="360" w:lineRule="auto"/>
              <w:jc w:val="center"/>
              <w:rPr>
                <w:kern w:val="2"/>
                <w:sz w:val="24"/>
                <w:szCs w:val="24"/>
                <w:highlight w:val="none"/>
              </w:rPr>
            </w:pPr>
          </w:p>
        </w:tc>
        <w:tc>
          <w:tcPr>
            <w:tcW w:w="1757" w:type="dxa"/>
            <w:tcBorders>
              <w:top w:val="single" w:color="000000" w:sz="4" w:space="0"/>
              <w:left w:val="single" w:color="000000" w:sz="4" w:space="0"/>
              <w:bottom w:val="single" w:color="000000" w:sz="4" w:space="0"/>
              <w:right w:val="single" w:color="000000" w:sz="4" w:space="0"/>
            </w:tcBorders>
            <w:noWrap/>
            <w:vAlign w:val="center"/>
          </w:tcPr>
          <w:p w14:paraId="34F3B885">
            <w:pPr>
              <w:spacing w:line="360" w:lineRule="auto"/>
              <w:jc w:val="center"/>
              <w:rPr>
                <w:kern w:val="2"/>
                <w:sz w:val="24"/>
                <w:szCs w:val="24"/>
                <w:highlight w:val="none"/>
              </w:rPr>
            </w:pP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5D6BE389">
            <w:pPr>
              <w:spacing w:line="360" w:lineRule="auto"/>
              <w:jc w:val="center"/>
              <w:rPr>
                <w:kern w:val="2"/>
                <w:sz w:val="24"/>
                <w:szCs w:val="24"/>
                <w:highlight w:val="none"/>
              </w:rPr>
            </w:pP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300574DD">
            <w:pPr>
              <w:spacing w:line="360" w:lineRule="auto"/>
              <w:jc w:val="center"/>
              <w:rPr>
                <w:kern w:val="2"/>
                <w:sz w:val="24"/>
                <w:szCs w:val="24"/>
                <w:highlight w:val="none"/>
              </w:rPr>
            </w:pPr>
          </w:p>
        </w:tc>
      </w:tr>
      <w:tr w14:paraId="4A044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tcBorders>
              <w:top w:val="single" w:color="000000" w:sz="4" w:space="0"/>
              <w:left w:val="single" w:color="000000" w:sz="4" w:space="0"/>
              <w:bottom w:val="single" w:color="000000" w:sz="4" w:space="0"/>
              <w:right w:val="single" w:color="000000" w:sz="4" w:space="0"/>
            </w:tcBorders>
            <w:noWrap/>
            <w:vAlign w:val="center"/>
          </w:tcPr>
          <w:p w14:paraId="3D832B95">
            <w:pPr>
              <w:spacing w:line="360" w:lineRule="auto"/>
              <w:jc w:val="center"/>
              <w:rPr>
                <w:kern w:val="2"/>
                <w:sz w:val="24"/>
                <w:szCs w:val="24"/>
                <w:highlight w:val="none"/>
              </w:rPr>
            </w:pP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5B2E7608">
            <w:pPr>
              <w:spacing w:line="360" w:lineRule="auto"/>
              <w:jc w:val="center"/>
              <w:rPr>
                <w:kern w:val="2"/>
                <w:sz w:val="24"/>
                <w:szCs w:val="24"/>
                <w:highlight w:val="none"/>
              </w:rPr>
            </w:pPr>
          </w:p>
        </w:tc>
        <w:tc>
          <w:tcPr>
            <w:tcW w:w="1506" w:type="dxa"/>
            <w:tcBorders>
              <w:top w:val="single" w:color="000000" w:sz="4" w:space="0"/>
              <w:left w:val="single" w:color="000000" w:sz="4" w:space="0"/>
              <w:bottom w:val="single" w:color="000000" w:sz="4" w:space="0"/>
              <w:right w:val="single" w:color="000000" w:sz="4" w:space="0"/>
            </w:tcBorders>
            <w:noWrap/>
          </w:tcPr>
          <w:p w14:paraId="187991CC">
            <w:pPr>
              <w:spacing w:line="360" w:lineRule="auto"/>
              <w:jc w:val="center"/>
              <w:rPr>
                <w:kern w:val="2"/>
                <w:sz w:val="24"/>
                <w:szCs w:val="24"/>
                <w:highlight w:val="none"/>
              </w:rPr>
            </w:pPr>
          </w:p>
        </w:tc>
        <w:tc>
          <w:tcPr>
            <w:tcW w:w="1757" w:type="dxa"/>
            <w:tcBorders>
              <w:top w:val="single" w:color="000000" w:sz="4" w:space="0"/>
              <w:left w:val="single" w:color="000000" w:sz="4" w:space="0"/>
              <w:bottom w:val="single" w:color="000000" w:sz="4" w:space="0"/>
              <w:right w:val="single" w:color="000000" w:sz="4" w:space="0"/>
            </w:tcBorders>
            <w:noWrap/>
            <w:vAlign w:val="center"/>
          </w:tcPr>
          <w:p w14:paraId="0BCB4762">
            <w:pPr>
              <w:spacing w:line="360" w:lineRule="auto"/>
              <w:jc w:val="center"/>
              <w:rPr>
                <w:kern w:val="2"/>
                <w:sz w:val="24"/>
                <w:szCs w:val="24"/>
                <w:highlight w:val="none"/>
              </w:rPr>
            </w:pP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088B63D7">
            <w:pPr>
              <w:spacing w:line="360" w:lineRule="auto"/>
              <w:jc w:val="center"/>
              <w:rPr>
                <w:kern w:val="2"/>
                <w:sz w:val="24"/>
                <w:szCs w:val="24"/>
                <w:highlight w:val="none"/>
              </w:rPr>
            </w:pP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434BE931">
            <w:pPr>
              <w:spacing w:line="360" w:lineRule="auto"/>
              <w:jc w:val="center"/>
              <w:rPr>
                <w:kern w:val="2"/>
                <w:sz w:val="24"/>
                <w:szCs w:val="24"/>
                <w:highlight w:val="none"/>
              </w:rPr>
            </w:pPr>
          </w:p>
        </w:tc>
      </w:tr>
    </w:tbl>
    <w:p w14:paraId="5D1F171F">
      <w:pPr>
        <w:pStyle w:val="9"/>
        <w:spacing w:line="360" w:lineRule="auto"/>
        <w:jc w:val="left"/>
        <w:rPr>
          <w:highlight w:val="none"/>
        </w:rPr>
      </w:pPr>
      <w:r>
        <w:rPr>
          <w:rFonts w:hint="eastAsia"/>
          <w:highlight w:val="none"/>
        </w:rPr>
        <w:t>投标人名称：</w:t>
      </w:r>
      <w:r>
        <w:rPr>
          <w:highlight w:val="none"/>
        </w:rPr>
        <w:t xml:space="preserve">        </w:t>
      </w:r>
      <w:r>
        <w:rPr>
          <w:rFonts w:hint="eastAsia"/>
          <w:highlight w:val="none"/>
        </w:rPr>
        <w:t>（盖章）</w:t>
      </w:r>
    </w:p>
    <w:p w14:paraId="2A85EEA0">
      <w:pPr>
        <w:rPr>
          <w:b/>
          <w:sz w:val="24"/>
          <w:szCs w:val="24"/>
          <w:highlight w:val="none"/>
        </w:rPr>
      </w:pPr>
      <w:r>
        <w:rPr>
          <w:rFonts w:hint="eastAsia"/>
          <w:b/>
          <w:sz w:val="24"/>
          <w:szCs w:val="24"/>
          <w:highlight w:val="none"/>
        </w:rPr>
        <w:t>日   期：     年     月     日</w:t>
      </w:r>
    </w:p>
    <w:p w14:paraId="098CD5A7">
      <w:pPr>
        <w:widowControl/>
        <w:spacing w:line="360" w:lineRule="auto"/>
        <w:rPr>
          <w:bCs/>
          <w:sz w:val="24"/>
          <w:szCs w:val="24"/>
          <w:highlight w:val="none"/>
        </w:rPr>
      </w:pPr>
    </w:p>
    <w:p w14:paraId="30868FF1">
      <w:pPr>
        <w:widowControl/>
        <w:autoSpaceDE/>
        <w:autoSpaceDN/>
        <w:rPr>
          <w:b/>
          <w:sz w:val="24"/>
          <w:szCs w:val="24"/>
          <w:highlight w:val="none"/>
        </w:rPr>
      </w:pPr>
      <w:r>
        <w:rPr>
          <w:b/>
          <w:sz w:val="24"/>
          <w:szCs w:val="24"/>
          <w:highlight w:val="none"/>
        </w:rPr>
        <w:br w:type="page"/>
      </w:r>
    </w:p>
    <w:p w14:paraId="6CEB437D">
      <w:pPr>
        <w:widowControl/>
        <w:spacing w:line="360" w:lineRule="auto"/>
        <w:rPr>
          <w:b/>
          <w:sz w:val="24"/>
          <w:szCs w:val="24"/>
          <w:highlight w:val="none"/>
        </w:rPr>
      </w:pPr>
      <w:r>
        <w:rPr>
          <w:b/>
          <w:sz w:val="24"/>
          <w:szCs w:val="24"/>
          <w:highlight w:val="none"/>
        </w:rPr>
        <w:t>2、拟参与本项目服务人员一览表</w:t>
      </w:r>
    </w:p>
    <w:tbl>
      <w:tblPr>
        <w:tblStyle w:val="21"/>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39AC39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ign w:val="center"/>
          </w:tcPr>
          <w:p w14:paraId="6DE1AB03">
            <w:pPr>
              <w:widowControl/>
              <w:spacing w:line="360" w:lineRule="auto"/>
              <w:jc w:val="center"/>
              <w:rPr>
                <w:bCs/>
                <w:kern w:val="2"/>
                <w:sz w:val="24"/>
                <w:szCs w:val="24"/>
                <w:highlight w:val="none"/>
              </w:rPr>
            </w:pPr>
            <w:r>
              <w:rPr>
                <w:bCs/>
                <w:kern w:val="2"/>
                <w:sz w:val="24"/>
                <w:szCs w:val="24"/>
                <w:highlight w:val="none"/>
              </w:rPr>
              <w:t>序号</w:t>
            </w:r>
          </w:p>
        </w:tc>
        <w:tc>
          <w:tcPr>
            <w:tcW w:w="896" w:type="dxa"/>
            <w:tcBorders>
              <w:top w:val="single" w:color="000000" w:sz="4" w:space="0"/>
              <w:left w:val="nil"/>
              <w:bottom w:val="single" w:color="000000" w:sz="4" w:space="0"/>
              <w:right w:val="single" w:color="000000" w:sz="4" w:space="0"/>
            </w:tcBorders>
            <w:noWrap/>
            <w:vAlign w:val="center"/>
          </w:tcPr>
          <w:p w14:paraId="1351C7A8">
            <w:pPr>
              <w:widowControl/>
              <w:spacing w:line="360" w:lineRule="auto"/>
              <w:jc w:val="center"/>
              <w:rPr>
                <w:bCs/>
                <w:kern w:val="2"/>
                <w:sz w:val="24"/>
                <w:szCs w:val="24"/>
                <w:highlight w:val="none"/>
              </w:rPr>
            </w:pPr>
            <w:r>
              <w:rPr>
                <w:bCs/>
                <w:kern w:val="2"/>
                <w:sz w:val="24"/>
                <w:szCs w:val="24"/>
                <w:highlight w:val="none"/>
              </w:rPr>
              <w:t>姓名</w:t>
            </w:r>
          </w:p>
        </w:tc>
        <w:tc>
          <w:tcPr>
            <w:tcW w:w="663" w:type="dxa"/>
            <w:tcBorders>
              <w:top w:val="single" w:color="000000" w:sz="4" w:space="0"/>
              <w:left w:val="nil"/>
              <w:bottom w:val="single" w:color="000000" w:sz="4" w:space="0"/>
              <w:right w:val="single" w:color="000000" w:sz="4" w:space="0"/>
            </w:tcBorders>
            <w:noWrap/>
            <w:vAlign w:val="center"/>
          </w:tcPr>
          <w:p w14:paraId="2F745FA7">
            <w:pPr>
              <w:widowControl/>
              <w:spacing w:line="360" w:lineRule="auto"/>
              <w:jc w:val="center"/>
              <w:rPr>
                <w:bCs/>
                <w:kern w:val="2"/>
                <w:sz w:val="24"/>
                <w:szCs w:val="24"/>
                <w:highlight w:val="none"/>
              </w:rPr>
            </w:pPr>
            <w:r>
              <w:rPr>
                <w:bCs/>
                <w:kern w:val="2"/>
                <w:sz w:val="24"/>
                <w:szCs w:val="24"/>
                <w:highlight w:val="none"/>
              </w:rPr>
              <w:t>性别</w:t>
            </w:r>
          </w:p>
        </w:tc>
        <w:tc>
          <w:tcPr>
            <w:tcW w:w="709" w:type="dxa"/>
            <w:tcBorders>
              <w:top w:val="single" w:color="000000" w:sz="4" w:space="0"/>
              <w:left w:val="nil"/>
              <w:bottom w:val="single" w:color="000000" w:sz="4" w:space="0"/>
              <w:right w:val="single" w:color="000000" w:sz="4" w:space="0"/>
            </w:tcBorders>
            <w:noWrap/>
            <w:vAlign w:val="center"/>
          </w:tcPr>
          <w:p w14:paraId="54712D52">
            <w:pPr>
              <w:widowControl/>
              <w:spacing w:line="360" w:lineRule="auto"/>
              <w:jc w:val="center"/>
              <w:rPr>
                <w:bCs/>
                <w:kern w:val="2"/>
                <w:sz w:val="24"/>
                <w:szCs w:val="24"/>
                <w:highlight w:val="none"/>
              </w:rPr>
            </w:pPr>
            <w:r>
              <w:rPr>
                <w:bCs/>
                <w:kern w:val="2"/>
                <w:sz w:val="24"/>
                <w:szCs w:val="24"/>
                <w:highlight w:val="none"/>
              </w:rPr>
              <w:t>年龄</w:t>
            </w:r>
          </w:p>
        </w:tc>
        <w:tc>
          <w:tcPr>
            <w:tcW w:w="1134" w:type="dxa"/>
            <w:tcBorders>
              <w:top w:val="single" w:color="000000" w:sz="4" w:space="0"/>
              <w:left w:val="nil"/>
              <w:bottom w:val="single" w:color="000000" w:sz="4" w:space="0"/>
              <w:right w:val="single" w:color="000000" w:sz="4" w:space="0"/>
            </w:tcBorders>
            <w:noWrap/>
            <w:vAlign w:val="center"/>
          </w:tcPr>
          <w:p w14:paraId="5DD3AB18">
            <w:pPr>
              <w:widowControl/>
              <w:spacing w:line="360" w:lineRule="auto"/>
              <w:jc w:val="center"/>
              <w:rPr>
                <w:bCs/>
                <w:kern w:val="2"/>
                <w:sz w:val="24"/>
                <w:szCs w:val="24"/>
                <w:highlight w:val="none"/>
              </w:rPr>
            </w:pPr>
            <w:r>
              <w:rPr>
                <w:bCs/>
                <w:kern w:val="2"/>
                <w:sz w:val="24"/>
                <w:szCs w:val="24"/>
                <w:highlight w:val="none"/>
              </w:rPr>
              <w:t>专业</w:t>
            </w:r>
          </w:p>
        </w:tc>
        <w:tc>
          <w:tcPr>
            <w:tcW w:w="931" w:type="dxa"/>
            <w:tcBorders>
              <w:top w:val="single" w:color="000000" w:sz="4" w:space="0"/>
              <w:left w:val="nil"/>
              <w:bottom w:val="single" w:color="000000" w:sz="4" w:space="0"/>
              <w:right w:val="single" w:color="000000" w:sz="4" w:space="0"/>
            </w:tcBorders>
            <w:noWrap/>
            <w:vAlign w:val="center"/>
          </w:tcPr>
          <w:p w14:paraId="1CB08A24">
            <w:pPr>
              <w:widowControl/>
              <w:spacing w:line="360" w:lineRule="auto"/>
              <w:jc w:val="center"/>
              <w:rPr>
                <w:bCs/>
                <w:kern w:val="2"/>
                <w:sz w:val="24"/>
                <w:szCs w:val="24"/>
                <w:highlight w:val="none"/>
              </w:rPr>
            </w:pPr>
            <w:r>
              <w:rPr>
                <w:bCs/>
                <w:kern w:val="2"/>
                <w:sz w:val="24"/>
                <w:szCs w:val="24"/>
                <w:highlight w:val="none"/>
              </w:rPr>
              <w:t>学历</w:t>
            </w:r>
          </w:p>
        </w:tc>
        <w:tc>
          <w:tcPr>
            <w:tcW w:w="1020" w:type="dxa"/>
            <w:tcBorders>
              <w:top w:val="single" w:color="000000" w:sz="4" w:space="0"/>
              <w:left w:val="nil"/>
              <w:bottom w:val="single" w:color="000000" w:sz="4" w:space="0"/>
              <w:right w:val="single" w:color="000000" w:sz="4" w:space="0"/>
            </w:tcBorders>
            <w:noWrap/>
            <w:vAlign w:val="center"/>
          </w:tcPr>
          <w:p w14:paraId="46182354">
            <w:pPr>
              <w:widowControl/>
              <w:spacing w:line="360" w:lineRule="auto"/>
              <w:jc w:val="center"/>
              <w:rPr>
                <w:bCs/>
                <w:kern w:val="2"/>
                <w:sz w:val="24"/>
                <w:szCs w:val="24"/>
                <w:highlight w:val="none"/>
              </w:rPr>
            </w:pPr>
            <w:r>
              <w:rPr>
                <w:bCs/>
                <w:kern w:val="2"/>
                <w:sz w:val="24"/>
                <w:szCs w:val="24"/>
                <w:highlight w:val="none"/>
              </w:rPr>
              <w:t>执业</w:t>
            </w:r>
          </w:p>
          <w:p w14:paraId="756319B2">
            <w:pPr>
              <w:widowControl/>
              <w:spacing w:line="360" w:lineRule="auto"/>
              <w:jc w:val="center"/>
              <w:rPr>
                <w:bCs/>
                <w:kern w:val="2"/>
                <w:sz w:val="24"/>
                <w:szCs w:val="24"/>
                <w:highlight w:val="none"/>
              </w:rPr>
            </w:pPr>
            <w:r>
              <w:rPr>
                <w:bCs/>
                <w:kern w:val="2"/>
                <w:sz w:val="24"/>
                <w:szCs w:val="24"/>
                <w:highlight w:val="none"/>
              </w:rPr>
              <w:t>资格</w:t>
            </w:r>
          </w:p>
        </w:tc>
        <w:tc>
          <w:tcPr>
            <w:tcW w:w="994" w:type="dxa"/>
            <w:tcBorders>
              <w:top w:val="single" w:color="000000" w:sz="4" w:space="0"/>
              <w:left w:val="nil"/>
              <w:bottom w:val="single" w:color="000000" w:sz="4" w:space="0"/>
              <w:right w:val="single" w:color="000000" w:sz="4" w:space="0"/>
            </w:tcBorders>
            <w:noWrap/>
            <w:vAlign w:val="center"/>
          </w:tcPr>
          <w:p w14:paraId="2C39B196">
            <w:pPr>
              <w:widowControl/>
              <w:spacing w:line="360" w:lineRule="auto"/>
              <w:jc w:val="center"/>
              <w:rPr>
                <w:bCs/>
                <w:kern w:val="2"/>
                <w:sz w:val="24"/>
                <w:szCs w:val="24"/>
                <w:highlight w:val="none"/>
              </w:rPr>
            </w:pPr>
            <w:r>
              <w:rPr>
                <w:bCs/>
                <w:kern w:val="2"/>
                <w:sz w:val="24"/>
                <w:szCs w:val="24"/>
                <w:highlight w:val="none"/>
              </w:rPr>
              <w:t>技术职称</w:t>
            </w:r>
          </w:p>
        </w:tc>
        <w:tc>
          <w:tcPr>
            <w:tcW w:w="882" w:type="dxa"/>
            <w:tcBorders>
              <w:top w:val="single" w:color="000000" w:sz="4" w:space="0"/>
              <w:left w:val="nil"/>
              <w:bottom w:val="single" w:color="000000" w:sz="4" w:space="0"/>
              <w:right w:val="single" w:color="000000" w:sz="4" w:space="0"/>
            </w:tcBorders>
            <w:noWrap/>
            <w:vAlign w:val="center"/>
          </w:tcPr>
          <w:p w14:paraId="41C6C04A">
            <w:pPr>
              <w:widowControl/>
              <w:spacing w:line="360" w:lineRule="auto"/>
              <w:jc w:val="center"/>
              <w:rPr>
                <w:bCs/>
                <w:kern w:val="2"/>
                <w:sz w:val="24"/>
                <w:szCs w:val="24"/>
                <w:highlight w:val="none"/>
              </w:rPr>
            </w:pPr>
            <w:r>
              <w:rPr>
                <w:bCs/>
                <w:kern w:val="2"/>
                <w:sz w:val="24"/>
                <w:szCs w:val="24"/>
                <w:highlight w:val="none"/>
              </w:rPr>
              <w:t>相关工作年限</w:t>
            </w:r>
          </w:p>
        </w:tc>
        <w:tc>
          <w:tcPr>
            <w:tcW w:w="850" w:type="dxa"/>
            <w:tcBorders>
              <w:top w:val="single" w:color="000000" w:sz="4" w:space="0"/>
              <w:left w:val="nil"/>
              <w:bottom w:val="single" w:color="000000" w:sz="4" w:space="0"/>
              <w:right w:val="single" w:color="000000" w:sz="4" w:space="0"/>
            </w:tcBorders>
            <w:noWrap/>
            <w:vAlign w:val="center"/>
          </w:tcPr>
          <w:p w14:paraId="51CCBB2C">
            <w:pPr>
              <w:widowControl/>
              <w:spacing w:line="360" w:lineRule="auto"/>
              <w:jc w:val="center"/>
              <w:rPr>
                <w:bCs/>
                <w:kern w:val="2"/>
                <w:sz w:val="24"/>
                <w:szCs w:val="24"/>
                <w:highlight w:val="none"/>
              </w:rPr>
            </w:pPr>
            <w:r>
              <w:rPr>
                <w:rFonts w:hint="eastAsia"/>
                <w:bCs/>
                <w:kern w:val="2"/>
                <w:sz w:val="24"/>
                <w:szCs w:val="24"/>
                <w:highlight w:val="none"/>
              </w:rPr>
              <w:t>岗位</w:t>
            </w:r>
          </w:p>
        </w:tc>
        <w:tc>
          <w:tcPr>
            <w:tcW w:w="851" w:type="dxa"/>
            <w:tcBorders>
              <w:top w:val="single" w:color="000000" w:sz="4" w:space="0"/>
              <w:left w:val="nil"/>
              <w:bottom w:val="single" w:color="000000" w:sz="4" w:space="0"/>
              <w:right w:val="single" w:color="000000" w:sz="4" w:space="0"/>
            </w:tcBorders>
            <w:noWrap/>
            <w:vAlign w:val="center"/>
          </w:tcPr>
          <w:p w14:paraId="27C870A7">
            <w:pPr>
              <w:widowControl/>
              <w:spacing w:line="360" w:lineRule="auto"/>
              <w:jc w:val="center"/>
              <w:rPr>
                <w:bCs/>
                <w:kern w:val="2"/>
                <w:sz w:val="24"/>
                <w:szCs w:val="24"/>
                <w:highlight w:val="none"/>
              </w:rPr>
            </w:pPr>
            <w:r>
              <w:rPr>
                <w:bCs/>
                <w:kern w:val="2"/>
                <w:sz w:val="24"/>
                <w:szCs w:val="24"/>
                <w:highlight w:val="none"/>
              </w:rPr>
              <w:t>备注</w:t>
            </w:r>
          </w:p>
        </w:tc>
      </w:tr>
      <w:tr w14:paraId="491F8A1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64737D29">
            <w:pPr>
              <w:widowControl/>
              <w:spacing w:line="360" w:lineRule="auto"/>
              <w:rPr>
                <w:bCs/>
                <w:kern w:val="2"/>
                <w:sz w:val="24"/>
                <w:szCs w:val="24"/>
                <w:highlight w:val="none"/>
              </w:rPr>
            </w:pPr>
          </w:p>
        </w:tc>
        <w:tc>
          <w:tcPr>
            <w:tcW w:w="896" w:type="dxa"/>
            <w:tcBorders>
              <w:top w:val="single" w:color="000000" w:sz="4" w:space="0"/>
              <w:left w:val="nil"/>
              <w:bottom w:val="single" w:color="000000" w:sz="4" w:space="0"/>
              <w:right w:val="single" w:color="000000" w:sz="4" w:space="0"/>
            </w:tcBorders>
            <w:noWrap/>
          </w:tcPr>
          <w:p w14:paraId="7F1B255B">
            <w:pPr>
              <w:widowControl/>
              <w:spacing w:line="360" w:lineRule="auto"/>
              <w:rPr>
                <w:bCs/>
                <w:kern w:val="2"/>
                <w:sz w:val="24"/>
                <w:szCs w:val="24"/>
                <w:highlight w:val="none"/>
              </w:rPr>
            </w:pPr>
          </w:p>
        </w:tc>
        <w:tc>
          <w:tcPr>
            <w:tcW w:w="663" w:type="dxa"/>
            <w:tcBorders>
              <w:top w:val="single" w:color="000000" w:sz="4" w:space="0"/>
              <w:left w:val="nil"/>
              <w:bottom w:val="single" w:color="000000" w:sz="4" w:space="0"/>
              <w:right w:val="single" w:color="000000" w:sz="4" w:space="0"/>
            </w:tcBorders>
            <w:noWrap/>
          </w:tcPr>
          <w:p w14:paraId="08152DB9">
            <w:pPr>
              <w:widowControl/>
              <w:spacing w:line="360" w:lineRule="auto"/>
              <w:rPr>
                <w:bCs/>
                <w:kern w:val="2"/>
                <w:sz w:val="24"/>
                <w:szCs w:val="24"/>
                <w:highlight w:val="none"/>
              </w:rPr>
            </w:pPr>
          </w:p>
        </w:tc>
        <w:tc>
          <w:tcPr>
            <w:tcW w:w="709" w:type="dxa"/>
            <w:tcBorders>
              <w:top w:val="single" w:color="000000" w:sz="4" w:space="0"/>
              <w:left w:val="nil"/>
              <w:bottom w:val="single" w:color="000000" w:sz="4" w:space="0"/>
              <w:right w:val="single" w:color="000000" w:sz="4" w:space="0"/>
            </w:tcBorders>
            <w:noWrap/>
          </w:tcPr>
          <w:p w14:paraId="3A2F753D">
            <w:pPr>
              <w:widowControl/>
              <w:spacing w:line="360" w:lineRule="auto"/>
              <w:rPr>
                <w:bCs/>
                <w:kern w:val="2"/>
                <w:sz w:val="24"/>
                <w:szCs w:val="24"/>
                <w:highlight w:val="none"/>
              </w:rPr>
            </w:pPr>
          </w:p>
        </w:tc>
        <w:tc>
          <w:tcPr>
            <w:tcW w:w="1134" w:type="dxa"/>
            <w:tcBorders>
              <w:top w:val="single" w:color="000000" w:sz="4" w:space="0"/>
              <w:left w:val="nil"/>
              <w:bottom w:val="single" w:color="000000" w:sz="4" w:space="0"/>
              <w:right w:val="single" w:color="000000" w:sz="4" w:space="0"/>
            </w:tcBorders>
            <w:noWrap/>
          </w:tcPr>
          <w:p w14:paraId="2498C848">
            <w:pPr>
              <w:widowControl/>
              <w:spacing w:line="360" w:lineRule="auto"/>
              <w:rPr>
                <w:bCs/>
                <w:kern w:val="2"/>
                <w:sz w:val="24"/>
                <w:szCs w:val="24"/>
                <w:highlight w:val="none"/>
              </w:rPr>
            </w:pPr>
          </w:p>
        </w:tc>
        <w:tc>
          <w:tcPr>
            <w:tcW w:w="931" w:type="dxa"/>
            <w:tcBorders>
              <w:top w:val="single" w:color="000000" w:sz="4" w:space="0"/>
              <w:left w:val="nil"/>
              <w:bottom w:val="single" w:color="000000" w:sz="4" w:space="0"/>
              <w:right w:val="single" w:color="000000" w:sz="4" w:space="0"/>
            </w:tcBorders>
            <w:noWrap/>
          </w:tcPr>
          <w:p w14:paraId="5F39FBA6">
            <w:pPr>
              <w:widowControl/>
              <w:spacing w:line="360" w:lineRule="auto"/>
              <w:rPr>
                <w:bCs/>
                <w:kern w:val="2"/>
                <w:sz w:val="24"/>
                <w:szCs w:val="24"/>
                <w:highlight w:val="none"/>
              </w:rPr>
            </w:pPr>
          </w:p>
        </w:tc>
        <w:tc>
          <w:tcPr>
            <w:tcW w:w="1020" w:type="dxa"/>
            <w:tcBorders>
              <w:top w:val="single" w:color="000000" w:sz="4" w:space="0"/>
              <w:left w:val="nil"/>
              <w:bottom w:val="single" w:color="000000" w:sz="4" w:space="0"/>
              <w:right w:val="single" w:color="000000" w:sz="4" w:space="0"/>
            </w:tcBorders>
            <w:noWrap/>
          </w:tcPr>
          <w:p w14:paraId="16E4C915">
            <w:pPr>
              <w:widowControl/>
              <w:spacing w:line="360" w:lineRule="auto"/>
              <w:rPr>
                <w:bCs/>
                <w:kern w:val="2"/>
                <w:sz w:val="24"/>
                <w:szCs w:val="24"/>
                <w:highlight w:val="none"/>
              </w:rPr>
            </w:pPr>
          </w:p>
        </w:tc>
        <w:tc>
          <w:tcPr>
            <w:tcW w:w="994" w:type="dxa"/>
            <w:tcBorders>
              <w:top w:val="single" w:color="000000" w:sz="4" w:space="0"/>
              <w:left w:val="nil"/>
              <w:bottom w:val="single" w:color="000000" w:sz="4" w:space="0"/>
              <w:right w:val="single" w:color="000000" w:sz="4" w:space="0"/>
            </w:tcBorders>
            <w:noWrap/>
          </w:tcPr>
          <w:p w14:paraId="794F0491">
            <w:pPr>
              <w:widowControl/>
              <w:spacing w:line="360" w:lineRule="auto"/>
              <w:rPr>
                <w:bCs/>
                <w:kern w:val="2"/>
                <w:sz w:val="24"/>
                <w:szCs w:val="24"/>
                <w:highlight w:val="none"/>
              </w:rPr>
            </w:pPr>
          </w:p>
        </w:tc>
        <w:tc>
          <w:tcPr>
            <w:tcW w:w="882" w:type="dxa"/>
            <w:tcBorders>
              <w:top w:val="single" w:color="000000" w:sz="4" w:space="0"/>
              <w:left w:val="nil"/>
              <w:bottom w:val="single" w:color="000000" w:sz="4" w:space="0"/>
              <w:right w:val="single" w:color="000000" w:sz="4" w:space="0"/>
            </w:tcBorders>
            <w:noWrap/>
          </w:tcPr>
          <w:p w14:paraId="370D20D8">
            <w:pPr>
              <w:widowControl/>
              <w:spacing w:line="360" w:lineRule="auto"/>
              <w:rPr>
                <w:bCs/>
                <w:kern w:val="2"/>
                <w:sz w:val="24"/>
                <w:szCs w:val="24"/>
                <w:highlight w:val="none"/>
              </w:rPr>
            </w:pPr>
          </w:p>
        </w:tc>
        <w:tc>
          <w:tcPr>
            <w:tcW w:w="850" w:type="dxa"/>
            <w:tcBorders>
              <w:top w:val="single" w:color="000000" w:sz="4" w:space="0"/>
              <w:left w:val="nil"/>
              <w:bottom w:val="single" w:color="000000" w:sz="4" w:space="0"/>
              <w:right w:val="single" w:color="000000" w:sz="4" w:space="0"/>
            </w:tcBorders>
            <w:noWrap/>
          </w:tcPr>
          <w:p w14:paraId="074CF023">
            <w:pPr>
              <w:widowControl/>
              <w:spacing w:line="360" w:lineRule="auto"/>
              <w:rPr>
                <w:bCs/>
                <w:kern w:val="2"/>
                <w:sz w:val="24"/>
                <w:szCs w:val="24"/>
                <w:highlight w:val="none"/>
              </w:rPr>
            </w:pPr>
          </w:p>
        </w:tc>
        <w:tc>
          <w:tcPr>
            <w:tcW w:w="851" w:type="dxa"/>
            <w:tcBorders>
              <w:top w:val="single" w:color="000000" w:sz="4" w:space="0"/>
              <w:left w:val="nil"/>
              <w:bottom w:val="single" w:color="000000" w:sz="4" w:space="0"/>
              <w:right w:val="single" w:color="000000" w:sz="4" w:space="0"/>
            </w:tcBorders>
            <w:noWrap/>
          </w:tcPr>
          <w:p w14:paraId="2A3923E2">
            <w:pPr>
              <w:widowControl/>
              <w:spacing w:line="360" w:lineRule="auto"/>
              <w:rPr>
                <w:bCs/>
                <w:kern w:val="2"/>
                <w:sz w:val="24"/>
                <w:szCs w:val="24"/>
                <w:highlight w:val="none"/>
              </w:rPr>
            </w:pPr>
          </w:p>
        </w:tc>
      </w:tr>
      <w:tr w14:paraId="596C4CB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1316B1AA">
            <w:pPr>
              <w:widowControl/>
              <w:spacing w:line="360" w:lineRule="auto"/>
              <w:rPr>
                <w:bCs/>
                <w:kern w:val="2"/>
                <w:sz w:val="24"/>
                <w:szCs w:val="24"/>
                <w:highlight w:val="none"/>
              </w:rPr>
            </w:pPr>
          </w:p>
        </w:tc>
        <w:tc>
          <w:tcPr>
            <w:tcW w:w="896" w:type="dxa"/>
            <w:tcBorders>
              <w:top w:val="single" w:color="000000" w:sz="4" w:space="0"/>
              <w:left w:val="nil"/>
              <w:bottom w:val="single" w:color="000000" w:sz="4" w:space="0"/>
              <w:right w:val="single" w:color="000000" w:sz="4" w:space="0"/>
            </w:tcBorders>
            <w:noWrap/>
          </w:tcPr>
          <w:p w14:paraId="7E8C2271">
            <w:pPr>
              <w:widowControl/>
              <w:spacing w:line="360" w:lineRule="auto"/>
              <w:rPr>
                <w:bCs/>
                <w:kern w:val="2"/>
                <w:sz w:val="24"/>
                <w:szCs w:val="24"/>
                <w:highlight w:val="none"/>
              </w:rPr>
            </w:pPr>
          </w:p>
        </w:tc>
        <w:tc>
          <w:tcPr>
            <w:tcW w:w="663" w:type="dxa"/>
            <w:tcBorders>
              <w:top w:val="single" w:color="000000" w:sz="4" w:space="0"/>
              <w:left w:val="nil"/>
              <w:bottom w:val="single" w:color="000000" w:sz="4" w:space="0"/>
              <w:right w:val="single" w:color="000000" w:sz="4" w:space="0"/>
            </w:tcBorders>
            <w:noWrap/>
          </w:tcPr>
          <w:p w14:paraId="1518AE3E">
            <w:pPr>
              <w:widowControl/>
              <w:spacing w:line="360" w:lineRule="auto"/>
              <w:rPr>
                <w:bCs/>
                <w:kern w:val="2"/>
                <w:sz w:val="24"/>
                <w:szCs w:val="24"/>
                <w:highlight w:val="none"/>
              </w:rPr>
            </w:pPr>
          </w:p>
        </w:tc>
        <w:tc>
          <w:tcPr>
            <w:tcW w:w="709" w:type="dxa"/>
            <w:tcBorders>
              <w:top w:val="single" w:color="000000" w:sz="4" w:space="0"/>
              <w:left w:val="nil"/>
              <w:bottom w:val="single" w:color="000000" w:sz="4" w:space="0"/>
              <w:right w:val="single" w:color="000000" w:sz="4" w:space="0"/>
            </w:tcBorders>
            <w:noWrap/>
          </w:tcPr>
          <w:p w14:paraId="0CA74389">
            <w:pPr>
              <w:widowControl/>
              <w:spacing w:line="360" w:lineRule="auto"/>
              <w:rPr>
                <w:bCs/>
                <w:kern w:val="2"/>
                <w:sz w:val="24"/>
                <w:szCs w:val="24"/>
                <w:highlight w:val="none"/>
              </w:rPr>
            </w:pPr>
          </w:p>
        </w:tc>
        <w:tc>
          <w:tcPr>
            <w:tcW w:w="1134" w:type="dxa"/>
            <w:tcBorders>
              <w:top w:val="single" w:color="000000" w:sz="4" w:space="0"/>
              <w:left w:val="nil"/>
              <w:bottom w:val="single" w:color="000000" w:sz="4" w:space="0"/>
              <w:right w:val="single" w:color="000000" w:sz="4" w:space="0"/>
            </w:tcBorders>
            <w:noWrap/>
          </w:tcPr>
          <w:p w14:paraId="04003539">
            <w:pPr>
              <w:widowControl/>
              <w:spacing w:line="360" w:lineRule="auto"/>
              <w:rPr>
                <w:bCs/>
                <w:kern w:val="2"/>
                <w:sz w:val="24"/>
                <w:szCs w:val="24"/>
                <w:highlight w:val="none"/>
              </w:rPr>
            </w:pPr>
          </w:p>
        </w:tc>
        <w:tc>
          <w:tcPr>
            <w:tcW w:w="931" w:type="dxa"/>
            <w:tcBorders>
              <w:top w:val="single" w:color="000000" w:sz="4" w:space="0"/>
              <w:left w:val="nil"/>
              <w:bottom w:val="single" w:color="000000" w:sz="4" w:space="0"/>
              <w:right w:val="single" w:color="000000" w:sz="4" w:space="0"/>
            </w:tcBorders>
            <w:noWrap/>
          </w:tcPr>
          <w:p w14:paraId="2146A529">
            <w:pPr>
              <w:widowControl/>
              <w:spacing w:line="360" w:lineRule="auto"/>
              <w:rPr>
                <w:bCs/>
                <w:kern w:val="2"/>
                <w:sz w:val="24"/>
                <w:szCs w:val="24"/>
                <w:highlight w:val="none"/>
              </w:rPr>
            </w:pPr>
          </w:p>
        </w:tc>
        <w:tc>
          <w:tcPr>
            <w:tcW w:w="1020" w:type="dxa"/>
            <w:tcBorders>
              <w:top w:val="single" w:color="000000" w:sz="4" w:space="0"/>
              <w:left w:val="nil"/>
              <w:bottom w:val="single" w:color="000000" w:sz="4" w:space="0"/>
              <w:right w:val="single" w:color="000000" w:sz="4" w:space="0"/>
            </w:tcBorders>
            <w:noWrap/>
          </w:tcPr>
          <w:p w14:paraId="58CEB47B">
            <w:pPr>
              <w:widowControl/>
              <w:spacing w:line="360" w:lineRule="auto"/>
              <w:rPr>
                <w:bCs/>
                <w:kern w:val="2"/>
                <w:sz w:val="24"/>
                <w:szCs w:val="24"/>
                <w:highlight w:val="none"/>
              </w:rPr>
            </w:pPr>
          </w:p>
        </w:tc>
        <w:tc>
          <w:tcPr>
            <w:tcW w:w="994" w:type="dxa"/>
            <w:tcBorders>
              <w:top w:val="single" w:color="000000" w:sz="4" w:space="0"/>
              <w:left w:val="nil"/>
              <w:bottom w:val="single" w:color="000000" w:sz="4" w:space="0"/>
              <w:right w:val="single" w:color="000000" w:sz="4" w:space="0"/>
            </w:tcBorders>
            <w:noWrap/>
          </w:tcPr>
          <w:p w14:paraId="0C765CD6">
            <w:pPr>
              <w:widowControl/>
              <w:spacing w:line="360" w:lineRule="auto"/>
              <w:rPr>
                <w:bCs/>
                <w:kern w:val="2"/>
                <w:sz w:val="24"/>
                <w:szCs w:val="24"/>
                <w:highlight w:val="none"/>
              </w:rPr>
            </w:pPr>
          </w:p>
        </w:tc>
        <w:tc>
          <w:tcPr>
            <w:tcW w:w="882" w:type="dxa"/>
            <w:tcBorders>
              <w:top w:val="single" w:color="000000" w:sz="4" w:space="0"/>
              <w:left w:val="nil"/>
              <w:bottom w:val="single" w:color="000000" w:sz="4" w:space="0"/>
              <w:right w:val="single" w:color="000000" w:sz="4" w:space="0"/>
            </w:tcBorders>
            <w:noWrap/>
          </w:tcPr>
          <w:p w14:paraId="757A5036">
            <w:pPr>
              <w:widowControl/>
              <w:spacing w:line="360" w:lineRule="auto"/>
              <w:rPr>
                <w:bCs/>
                <w:kern w:val="2"/>
                <w:sz w:val="24"/>
                <w:szCs w:val="24"/>
                <w:highlight w:val="none"/>
              </w:rPr>
            </w:pPr>
          </w:p>
        </w:tc>
        <w:tc>
          <w:tcPr>
            <w:tcW w:w="850" w:type="dxa"/>
            <w:tcBorders>
              <w:top w:val="single" w:color="000000" w:sz="4" w:space="0"/>
              <w:left w:val="nil"/>
              <w:bottom w:val="single" w:color="000000" w:sz="4" w:space="0"/>
              <w:right w:val="single" w:color="000000" w:sz="4" w:space="0"/>
            </w:tcBorders>
            <w:noWrap/>
          </w:tcPr>
          <w:p w14:paraId="6AF610F3">
            <w:pPr>
              <w:widowControl/>
              <w:spacing w:line="360" w:lineRule="auto"/>
              <w:rPr>
                <w:bCs/>
                <w:kern w:val="2"/>
                <w:sz w:val="24"/>
                <w:szCs w:val="24"/>
                <w:highlight w:val="none"/>
              </w:rPr>
            </w:pPr>
          </w:p>
        </w:tc>
        <w:tc>
          <w:tcPr>
            <w:tcW w:w="851" w:type="dxa"/>
            <w:tcBorders>
              <w:top w:val="single" w:color="000000" w:sz="4" w:space="0"/>
              <w:left w:val="nil"/>
              <w:bottom w:val="single" w:color="000000" w:sz="4" w:space="0"/>
              <w:right w:val="single" w:color="000000" w:sz="4" w:space="0"/>
            </w:tcBorders>
            <w:noWrap/>
          </w:tcPr>
          <w:p w14:paraId="2685B83C">
            <w:pPr>
              <w:widowControl/>
              <w:spacing w:line="360" w:lineRule="auto"/>
              <w:rPr>
                <w:bCs/>
                <w:kern w:val="2"/>
                <w:sz w:val="24"/>
                <w:szCs w:val="24"/>
                <w:highlight w:val="none"/>
              </w:rPr>
            </w:pPr>
          </w:p>
        </w:tc>
      </w:tr>
      <w:tr w14:paraId="66886B0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071D93FA">
            <w:pPr>
              <w:widowControl/>
              <w:spacing w:line="360" w:lineRule="auto"/>
              <w:rPr>
                <w:bCs/>
                <w:kern w:val="2"/>
                <w:sz w:val="24"/>
                <w:szCs w:val="24"/>
                <w:highlight w:val="none"/>
              </w:rPr>
            </w:pPr>
          </w:p>
        </w:tc>
        <w:tc>
          <w:tcPr>
            <w:tcW w:w="896" w:type="dxa"/>
            <w:tcBorders>
              <w:top w:val="single" w:color="000000" w:sz="4" w:space="0"/>
              <w:left w:val="nil"/>
              <w:bottom w:val="single" w:color="000000" w:sz="4" w:space="0"/>
              <w:right w:val="single" w:color="000000" w:sz="4" w:space="0"/>
            </w:tcBorders>
            <w:noWrap/>
          </w:tcPr>
          <w:p w14:paraId="2EDB7ECA">
            <w:pPr>
              <w:widowControl/>
              <w:spacing w:line="360" w:lineRule="auto"/>
              <w:rPr>
                <w:bCs/>
                <w:kern w:val="2"/>
                <w:sz w:val="24"/>
                <w:szCs w:val="24"/>
                <w:highlight w:val="none"/>
              </w:rPr>
            </w:pPr>
          </w:p>
        </w:tc>
        <w:tc>
          <w:tcPr>
            <w:tcW w:w="663" w:type="dxa"/>
            <w:tcBorders>
              <w:top w:val="single" w:color="000000" w:sz="4" w:space="0"/>
              <w:left w:val="nil"/>
              <w:bottom w:val="single" w:color="000000" w:sz="4" w:space="0"/>
              <w:right w:val="single" w:color="000000" w:sz="4" w:space="0"/>
            </w:tcBorders>
            <w:noWrap/>
          </w:tcPr>
          <w:p w14:paraId="1E805273">
            <w:pPr>
              <w:widowControl/>
              <w:spacing w:line="360" w:lineRule="auto"/>
              <w:rPr>
                <w:bCs/>
                <w:kern w:val="2"/>
                <w:sz w:val="24"/>
                <w:szCs w:val="24"/>
                <w:highlight w:val="none"/>
              </w:rPr>
            </w:pPr>
          </w:p>
        </w:tc>
        <w:tc>
          <w:tcPr>
            <w:tcW w:w="709" w:type="dxa"/>
            <w:tcBorders>
              <w:top w:val="single" w:color="000000" w:sz="4" w:space="0"/>
              <w:left w:val="nil"/>
              <w:bottom w:val="single" w:color="000000" w:sz="4" w:space="0"/>
              <w:right w:val="single" w:color="000000" w:sz="4" w:space="0"/>
            </w:tcBorders>
            <w:noWrap/>
          </w:tcPr>
          <w:p w14:paraId="019FB03B">
            <w:pPr>
              <w:widowControl/>
              <w:spacing w:line="360" w:lineRule="auto"/>
              <w:rPr>
                <w:bCs/>
                <w:kern w:val="2"/>
                <w:sz w:val="24"/>
                <w:szCs w:val="24"/>
                <w:highlight w:val="none"/>
              </w:rPr>
            </w:pPr>
          </w:p>
        </w:tc>
        <w:tc>
          <w:tcPr>
            <w:tcW w:w="1134" w:type="dxa"/>
            <w:tcBorders>
              <w:top w:val="single" w:color="000000" w:sz="4" w:space="0"/>
              <w:left w:val="nil"/>
              <w:bottom w:val="single" w:color="000000" w:sz="4" w:space="0"/>
              <w:right w:val="single" w:color="000000" w:sz="4" w:space="0"/>
            </w:tcBorders>
            <w:noWrap/>
          </w:tcPr>
          <w:p w14:paraId="208E59B9">
            <w:pPr>
              <w:widowControl/>
              <w:spacing w:line="360" w:lineRule="auto"/>
              <w:rPr>
                <w:bCs/>
                <w:kern w:val="2"/>
                <w:sz w:val="24"/>
                <w:szCs w:val="24"/>
                <w:highlight w:val="none"/>
              </w:rPr>
            </w:pPr>
          </w:p>
        </w:tc>
        <w:tc>
          <w:tcPr>
            <w:tcW w:w="931" w:type="dxa"/>
            <w:tcBorders>
              <w:top w:val="single" w:color="000000" w:sz="4" w:space="0"/>
              <w:left w:val="nil"/>
              <w:bottom w:val="single" w:color="000000" w:sz="4" w:space="0"/>
              <w:right w:val="single" w:color="000000" w:sz="4" w:space="0"/>
            </w:tcBorders>
            <w:noWrap/>
          </w:tcPr>
          <w:p w14:paraId="73EC0711">
            <w:pPr>
              <w:widowControl/>
              <w:spacing w:line="360" w:lineRule="auto"/>
              <w:rPr>
                <w:bCs/>
                <w:kern w:val="2"/>
                <w:sz w:val="24"/>
                <w:szCs w:val="24"/>
                <w:highlight w:val="none"/>
              </w:rPr>
            </w:pPr>
          </w:p>
        </w:tc>
        <w:tc>
          <w:tcPr>
            <w:tcW w:w="1020" w:type="dxa"/>
            <w:tcBorders>
              <w:top w:val="single" w:color="000000" w:sz="4" w:space="0"/>
              <w:left w:val="nil"/>
              <w:bottom w:val="single" w:color="000000" w:sz="4" w:space="0"/>
              <w:right w:val="single" w:color="000000" w:sz="4" w:space="0"/>
            </w:tcBorders>
            <w:noWrap/>
          </w:tcPr>
          <w:p w14:paraId="09E163C7">
            <w:pPr>
              <w:widowControl/>
              <w:spacing w:line="360" w:lineRule="auto"/>
              <w:rPr>
                <w:bCs/>
                <w:kern w:val="2"/>
                <w:sz w:val="24"/>
                <w:szCs w:val="24"/>
                <w:highlight w:val="none"/>
              </w:rPr>
            </w:pPr>
          </w:p>
        </w:tc>
        <w:tc>
          <w:tcPr>
            <w:tcW w:w="994" w:type="dxa"/>
            <w:tcBorders>
              <w:top w:val="single" w:color="000000" w:sz="4" w:space="0"/>
              <w:left w:val="nil"/>
              <w:bottom w:val="single" w:color="000000" w:sz="4" w:space="0"/>
              <w:right w:val="single" w:color="000000" w:sz="4" w:space="0"/>
            </w:tcBorders>
            <w:noWrap/>
          </w:tcPr>
          <w:p w14:paraId="4D6B0CAC">
            <w:pPr>
              <w:widowControl/>
              <w:spacing w:line="360" w:lineRule="auto"/>
              <w:rPr>
                <w:bCs/>
                <w:kern w:val="2"/>
                <w:sz w:val="24"/>
                <w:szCs w:val="24"/>
                <w:highlight w:val="none"/>
              </w:rPr>
            </w:pPr>
          </w:p>
        </w:tc>
        <w:tc>
          <w:tcPr>
            <w:tcW w:w="882" w:type="dxa"/>
            <w:tcBorders>
              <w:top w:val="single" w:color="000000" w:sz="4" w:space="0"/>
              <w:left w:val="nil"/>
              <w:bottom w:val="single" w:color="000000" w:sz="4" w:space="0"/>
              <w:right w:val="single" w:color="000000" w:sz="4" w:space="0"/>
            </w:tcBorders>
            <w:noWrap/>
          </w:tcPr>
          <w:p w14:paraId="65BE5694">
            <w:pPr>
              <w:widowControl/>
              <w:spacing w:line="360" w:lineRule="auto"/>
              <w:rPr>
                <w:bCs/>
                <w:kern w:val="2"/>
                <w:sz w:val="24"/>
                <w:szCs w:val="24"/>
                <w:highlight w:val="none"/>
              </w:rPr>
            </w:pPr>
          </w:p>
        </w:tc>
        <w:tc>
          <w:tcPr>
            <w:tcW w:w="850" w:type="dxa"/>
            <w:tcBorders>
              <w:top w:val="single" w:color="000000" w:sz="4" w:space="0"/>
              <w:left w:val="nil"/>
              <w:bottom w:val="single" w:color="000000" w:sz="4" w:space="0"/>
              <w:right w:val="single" w:color="000000" w:sz="4" w:space="0"/>
            </w:tcBorders>
            <w:noWrap/>
          </w:tcPr>
          <w:p w14:paraId="3D06E287">
            <w:pPr>
              <w:widowControl/>
              <w:spacing w:line="360" w:lineRule="auto"/>
              <w:rPr>
                <w:bCs/>
                <w:kern w:val="2"/>
                <w:sz w:val="24"/>
                <w:szCs w:val="24"/>
                <w:highlight w:val="none"/>
              </w:rPr>
            </w:pPr>
          </w:p>
        </w:tc>
        <w:tc>
          <w:tcPr>
            <w:tcW w:w="851" w:type="dxa"/>
            <w:tcBorders>
              <w:top w:val="single" w:color="000000" w:sz="4" w:space="0"/>
              <w:left w:val="nil"/>
              <w:bottom w:val="single" w:color="000000" w:sz="4" w:space="0"/>
              <w:right w:val="single" w:color="000000" w:sz="4" w:space="0"/>
            </w:tcBorders>
            <w:noWrap/>
          </w:tcPr>
          <w:p w14:paraId="30326AA0">
            <w:pPr>
              <w:widowControl/>
              <w:spacing w:line="360" w:lineRule="auto"/>
              <w:rPr>
                <w:bCs/>
                <w:kern w:val="2"/>
                <w:sz w:val="24"/>
                <w:szCs w:val="24"/>
                <w:highlight w:val="none"/>
              </w:rPr>
            </w:pPr>
          </w:p>
        </w:tc>
      </w:tr>
      <w:tr w14:paraId="0C8EE01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37741065">
            <w:pPr>
              <w:widowControl/>
              <w:spacing w:line="360" w:lineRule="auto"/>
              <w:rPr>
                <w:bCs/>
                <w:kern w:val="2"/>
                <w:sz w:val="24"/>
                <w:szCs w:val="24"/>
                <w:highlight w:val="none"/>
              </w:rPr>
            </w:pPr>
          </w:p>
        </w:tc>
        <w:tc>
          <w:tcPr>
            <w:tcW w:w="896" w:type="dxa"/>
            <w:tcBorders>
              <w:top w:val="single" w:color="000000" w:sz="4" w:space="0"/>
              <w:left w:val="nil"/>
              <w:bottom w:val="single" w:color="000000" w:sz="4" w:space="0"/>
              <w:right w:val="single" w:color="000000" w:sz="4" w:space="0"/>
            </w:tcBorders>
            <w:noWrap/>
          </w:tcPr>
          <w:p w14:paraId="0B7A7ACD">
            <w:pPr>
              <w:widowControl/>
              <w:spacing w:line="360" w:lineRule="auto"/>
              <w:rPr>
                <w:bCs/>
                <w:kern w:val="2"/>
                <w:sz w:val="24"/>
                <w:szCs w:val="24"/>
                <w:highlight w:val="none"/>
              </w:rPr>
            </w:pPr>
          </w:p>
        </w:tc>
        <w:tc>
          <w:tcPr>
            <w:tcW w:w="663" w:type="dxa"/>
            <w:tcBorders>
              <w:top w:val="single" w:color="000000" w:sz="4" w:space="0"/>
              <w:left w:val="nil"/>
              <w:bottom w:val="single" w:color="000000" w:sz="4" w:space="0"/>
              <w:right w:val="single" w:color="000000" w:sz="4" w:space="0"/>
            </w:tcBorders>
            <w:noWrap/>
          </w:tcPr>
          <w:p w14:paraId="6F5A5186">
            <w:pPr>
              <w:widowControl/>
              <w:spacing w:line="360" w:lineRule="auto"/>
              <w:rPr>
                <w:bCs/>
                <w:kern w:val="2"/>
                <w:sz w:val="24"/>
                <w:szCs w:val="24"/>
                <w:highlight w:val="none"/>
              </w:rPr>
            </w:pPr>
          </w:p>
        </w:tc>
        <w:tc>
          <w:tcPr>
            <w:tcW w:w="709" w:type="dxa"/>
            <w:tcBorders>
              <w:top w:val="single" w:color="000000" w:sz="4" w:space="0"/>
              <w:left w:val="nil"/>
              <w:bottom w:val="single" w:color="000000" w:sz="4" w:space="0"/>
              <w:right w:val="single" w:color="000000" w:sz="4" w:space="0"/>
            </w:tcBorders>
            <w:noWrap/>
          </w:tcPr>
          <w:p w14:paraId="531B9B3A">
            <w:pPr>
              <w:widowControl/>
              <w:spacing w:line="360" w:lineRule="auto"/>
              <w:rPr>
                <w:bCs/>
                <w:kern w:val="2"/>
                <w:sz w:val="24"/>
                <w:szCs w:val="24"/>
                <w:highlight w:val="none"/>
              </w:rPr>
            </w:pPr>
          </w:p>
        </w:tc>
        <w:tc>
          <w:tcPr>
            <w:tcW w:w="1134" w:type="dxa"/>
            <w:tcBorders>
              <w:top w:val="single" w:color="000000" w:sz="4" w:space="0"/>
              <w:left w:val="nil"/>
              <w:bottom w:val="single" w:color="000000" w:sz="4" w:space="0"/>
              <w:right w:val="single" w:color="000000" w:sz="4" w:space="0"/>
            </w:tcBorders>
            <w:noWrap/>
          </w:tcPr>
          <w:p w14:paraId="17AEECFD">
            <w:pPr>
              <w:widowControl/>
              <w:spacing w:line="360" w:lineRule="auto"/>
              <w:rPr>
                <w:bCs/>
                <w:kern w:val="2"/>
                <w:sz w:val="24"/>
                <w:szCs w:val="24"/>
                <w:highlight w:val="none"/>
              </w:rPr>
            </w:pPr>
          </w:p>
        </w:tc>
        <w:tc>
          <w:tcPr>
            <w:tcW w:w="931" w:type="dxa"/>
            <w:tcBorders>
              <w:top w:val="single" w:color="000000" w:sz="4" w:space="0"/>
              <w:left w:val="nil"/>
              <w:bottom w:val="single" w:color="000000" w:sz="4" w:space="0"/>
              <w:right w:val="single" w:color="000000" w:sz="4" w:space="0"/>
            </w:tcBorders>
            <w:noWrap/>
          </w:tcPr>
          <w:p w14:paraId="54A5BC01">
            <w:pPr>
              <w:widowControl/>
              <w:spacing w:line="360" w:lineRule="auto"/>
              <w:rPr>
                <w:bCs/>
                <w:kern w:val="2"/>
                <w:sz w:val="24"/>
                <w:szCs w:val="24"/>
                <w:highlight w:val="none"/>
              </w:rPr>
            </w:pPr>
          </w:p>
        </w:tc>
        <w:tc>
          <w:tcPr>
            <w:tcW w:w="1020" w:type="dxa"/>
            <w:tcBorders>
              <w:top w:val="single" w:color="000000" w:sz="4" w:space="0"/>
              <w:left w:val="nil"/>
              <w:bottom w:val="single" w:color="000000" w:sz="4" w:space="0"/>
              <w:right w:val="single" w:color="000000" w:sz="4" w:space="0"/>
            </w:tcBorders>
            <w:noWrap/>
          </w:tcPr>
          <w:p w14:paraId="7A085044">
            <w:pPr>
              <w:widowControl/>
              <w:spacing w:line="360" w:lineRule="auto"/>
              <w:rPr>
                <w:bCs/>
                <w:kern w:val="2"/>
                <w:sz w:val="24"/>
                <w:szCs w:val="24"/>
                <w:highlight w:val="none"/>
              </w:rPr>
            </w:pPr>
          </w:p>
        </w:tc>
        <w:tc>
          <w:tcPr>
            <w:tcW w:w="994" w:type="dxa"/>
            <w:tcBorders>
              <w:top w:val="single" w:color="000000" w:sz="4" w:space="0"/>
              <w:left w:val="nil"/>
              <w:bottom w:val="single" w:color="000000" w:sz="4" w:space="0"/>
              <w:right w:val="single" w:color="000000" w:sz="4" w:space="0"/>
            </w:tcBorders>
            <w:noWrap/>
          </w:tcPr>
          <w:p w14:paraId="5C6C94CD">
            <w:pPr>
              <w:widowControl/>
              <w:spacing w:line="360" w:lineRule="auto"/>
              <w:rPr>
                <w:bCs/>
                <w:kern w:val="2"/>
                <w:sz w:val="24"/>
                <w:szCs w:val="24"/>
                <w:highlight w:val="none"/>
              </w:rPr>
            </w:pPr>
          </w:p>
        </w:tc>
        <w:tc>
          <w:tcPr>
            <w:tcW w:w="882" w:type="dxa"/>
            <w:tcBorders>
              <w:top w:val="single" w:color="000000" w:sz="4" w:space="0"/>
              <w:left w:val="nil"/>
              <w:bottom w:val="single" w:color="000000" w:sz="4" w:space="0"/>
              <w:right w:val="single" w:color="000000" w:sz="4" w:space="0"/>
            </w:tcBorders>
            <w:noWrap/>
          </w:tcPr>
          <w:p w14:paraId="28431584">
            <w:pPr>
              <w:widowControl/>
              <w:spacing w:line="360" w:lineRule="auto"/>
              <w:rPr>
                <w:bCs/>
                <w:kern w:val="2"/>
                <w:sz w:val="24"/>
                <w:szCs w:val="24"/>
                <w:highlight w:val="none"/>
              </w:rPr>
            </w:pPr>
          </w:p>
        </w:tc>
        <w:tc>
          <w:tcPr>
            <w:tcW w:w="850" w:type="dxa"/>
            <w:tcBorders>
              <w:top w:val="single" w:color="000000" w:sz="4" w:space="0"/>
              <w:left w:val="nil"/>
              <w:bottom w:val="single" w:color="000000" w:sz="4" w:space="0"/>
              <w:right w:val="single" w:color="000000" w:sz="4" w:space="0"/>
            </w:tcBorders>
            <w:noWrap/>
          </w:tcPr>
          <w:p w14:paraId="2CF63CAD">
            <w:pPr>
              <w:widowControl/>
              <w:spacing w:line="360" w:lineRule="auto"/>
              <w:rPr>
                <w:bCs/>
                <w:kern w:val="2"/>
                <w:sz w:val="24"/>
                <w:szCs w:val="24"/>
                <w:highlight w:val="none"/>
              </w:rPr>
            </w:pPr>
          </w:p>
        </w:tc>
        <w:tc>
          <w:tcPr>
            <w:tcW w:w="851" w:type="dxa"/>
            <w:tcBorders>
              <w:top w:val="single" w:color="000000" w:sz="4" w:space="0"/>
              <w:left w:val="nil"/>
              <w:bottom w:val="single" w:color="000000" w:sz="4" w:space="0"/>
              <w:right w:val="single" w:color="000000" w:sz="4" w:space="0"/>
            </w:tcBorders>
            <w:noWrap/>
          </w:tcPr>
          <w:p w14:paraId="06D5AB21">
            <w:pPr>
              <w:widowControl/>
              <w:spacing w:line="360" w:lineRule="auto"/>
              <w:rPr>
                <w:bCs/>
                <w:kern w:val="2"/>
                <w:sz w:val="24"/>
                <w:szCs w:val="24"/>
                <w:highlight w:val="none"/>
              </w:rPr>
            </w:pPr>
          </w:p>
        </w:tc>
      </w:tr>
      <w:tr w14:paraId="459D239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7A1579B5">
            <w:pPr>
              <w:widowControl/>
              <w:spacing w:line="360" w:lineRule="auto"/>
              <w:rPr>
                <w:bCs/>
                <w:kern w:val="2"/>
                <w:sz w:val="24"/>
                <w:szCs w:val="24"/>
                <w:highlight w:val="none"/>
              </w:rPr>
            </w:pPr>
          </w:p>
        </w:tc>
        <w:tc>
          <w:tcPr>
            <w:tcW w:w="896" w:type="dxa"/>
            <w:tcBorders>
              <w:top w:val="single" w:color="000000" w:sz="4" w:space="0"/>
              <w:left w:val="nil"/>
              <w:bottom w:val="single" w:color="000000" w:sz="4" w:space="0"/>
              <w:right w:val="single" w:color="000000" w:sz="4" w:space="0"/>
            </w:tcBorders>
            <w:noWrap/>
          </w:tcPr>
          <w:p w14:paraId="2C687D1F">
            <w:pPr>
              <w:widowControl/>
              <w:spacing w:line="360" w:lineRule="auto"/>
              <w:rPr>
                <w:bCs/>
                <w:kern w:val="2"/>
                <w:sz w:val="24"/>
                <w:szCs w:val="24"/>
                <w:highlight w:val="none"/>
              </w:rPr>
            </w:pPr>
          </w:p>
        </w:tc>
        <w:tc>
          <w:tcPr>
            <w:tcW w:w="663" w:type="dxa"/>
            <w:tcBorders>
              <w:top w:val="single" w:color="000000" w:sz="4" w:space="0"/>
              <w:left w:val="nil"/>
              <w:bottom w:val="single" w:color="000000" w:sz="4" w:space="0"/>
              <w:right w:val="single" w:color="000000" w:sz="4" w:space="0"/>
            </w:tcBorders>
            <w:noWrap/>
          </w:tcPr>
          <w:p w14:paraId="452F7414">
            <w:pPr>
              <w:widowControl/>
              <w:spacing w:line="360" w:lineRule="auto"/>
              <w:rPr>
                <w:bCs/>
                <w:kern w:val="2"/>
                <w:sz w:val="24"/>
                <w:szCs w:val="24"/>
                <w:highlight w:val="none"/>
              </w:rPr>
            </w:pPr>
          </w:p>
        </w:tc>
        <w:tc>
          <w:tcPr>
            <w:tcW w:w="709" w:type="dxa"/>
            <w:tcBorders>
              <w:top w:val="single" w:color="000000" w:sz="4" w:space="0"/>
              <w:left w:val="nil"/>
              <w:bottom w:val="single" w:color="000000" w:sz="4" w:space="0"/>
              <w:right w:val="single" w:color="000000" w:sz="4" w:space="0"/>
            </w:tcBorders>
            <w:noWrap/>
          </w:tcPr>
          <w:p w14:paraId="27D1D854">
            <w:pPr>
              <w:widowControl/>
              <w:spacing w:line="360" w:lineRule="auto"/>
              <w:rPr>
                <w:bCs/>
                <w:kern w:val="2"/>
                <w:sz w:val="24"/>
                <w:szCs w:val="24"/>
                <w:highlight w:val="none"/>
              </w:rPr>
            </w:pPr>
          </w:p>
        </w:tc>
        <w:tc>
          <w:tcPr>
            <w:tcW w:w="1134" w:type="dxa"/>
            <w:tcBorders>
              <w:top w:val="single" w:color="000000" w:sz="4" w:space="0"/>
              <w:left w:val="nil"/>
              <w:bottom w:val="single" w:color="000000" w:sz="4" w:space="0"/>
              <w:right w:val="single" w:color="000000" w:sz="4" w:space="0"/>
            </w:tcBorders>
            <w:noWrap/>
          </w:tcPr>
          <w:p w14:paraId="35DC1005">
            <w:pPr>
              <w:widowControl/>
              <w:spacing w:line="360" w:lineRule="auto"/>
              <w:rPr>
                <w:bCs/>
                <w:kern w:val="2"/>
                <w:sz w:val="24"/>
                <w:szCs w:val="24"/>
                <w:highlight w:val="none"/>
              </w:rPr>
            </w:pPr>
          </w:p>
        </w:tc>
        <w:tc>
          <w:tcPr>
            <w:tcW w:w="931" w:type="dxa"/>
            <w:tcBorders>
              <w:top w:val="single" w:color="000000" w:sz="4" w:space="0"/>
              <w:left w:val="nil"/>
              <w:bottom w:val="single" w:color="000000" w:sz="4" w:space="0"/>
              <w:right w:val="single" w:color="000000" w:sz="4" w:space="0"/>
            </w:tcBorders>
            <w:noWrap/>
          </w:tcPr>
          <w:p w14:paraId="71A87E19">
            <w:pPr>
              <w:widowControl/>
              <w:spacing w:line="360" w:lineRule="auto"/>
              <w:rPr>
                <w:bCs/>
                <w:kern w:val="2"/>
                <w:sz w:val="24"/>
                <w:szCs w:val="24"/>
                <w:highlight w:val="none"/>
              </w:rPr>
            </w:pPr>
          </w:p>
        </w:tc>
        <w:tc>
          <w:tcPr>
            <w:tcW w:w="1020" w:type="dxa"/>
            <w:tcBorders>
              <w:top w:val="single" w:color="000000" w:sz="4" w:space="0"/>
              <w:left w:val="nil"/>
              <w:bottom w:val="single" w:color="000000" w:sz="4" w:space="0"/>
              <w:right w:val="single" w:color="000000" w:sz="4" w:space="0"/>
            </w:tcBorders>
            <w:noWrap/>
          </w:tcPr>
          <w:p w14:paraId="0FE2E65F">
            <w:pPr>
              <w:widowControl/>
              <w:spacing w:line="360" w:lineRule="auto"/>
              <w:rPr>
                <w:bCs/>
                <w:kern w:val="2"/>
                <w:sz w:val="24"/>
                <w:szCs w:val="24"/>
                <w:highlight w:val="none"/>
              </w:rPr>
            </w:pPr>
          </w:p>
        </w:tc>
        <w:tc>
          <w:tcPr>
            <w:tcW w:w="994" w:type="dxa"/>
            <w:tcBorders>
              <w:top w:val="single" w:color="000000" w:sz="4" w:space="0"/>
              <w:left w:val="nil"/>
              <w:bottom w:val="single" w:color="000000" w:sz="4" w:space="0"/>
              <w:right w:val="single" w:color="000000" w:sz="4" w:space="0"/>
            </w:tcBorders>
            <w:noWrap/>
          </w:tcPr>
          <w:p w14:paraId="7DBBE024">
            <w:pPr>
              <w:widowControl/>
              <w:spacing w:line="360" w:lineRule="auto"/>
              <w:rPr>
                <w:bCs/>
                <w:kern w:val="2"/>
                <w:sz w:val="24"/>
                <w:szCs w:val="24"/>
                <w:highlight w:val="none"/>
              </w:rPr>
            </w:pPr>
          </w:p>
        </w:tc>
        <w:tc>
          <w:tcPr>
            <w:tcW w:w="882" w:type="dxa"/>
            <w:tcBorders>
              <w:top w:val="single" w:color="000000" w:sz="4" w:space="0"/>
              <w:left w:val="nil"/>
              <w:bottom w:val="single" w:color="000000" w:sz="4" w:space="0"/>
              <w:right w:val="single" w:color="000000" w:sz="4" w:space="0"/>
            </w:tcBorders>
            <w:noWrap/>
          </w:tcPr>
          <w:p w14:paraId="2DFEB089">
            <w:pPr>
              <w:widowControl/>
              <w:spacing w:line="360" w:lineRule="auto"/>
              <w:rPr>
                <w:bCs/>
                <w:kern w:val="2"/>
                <w:sz w:val="24"/>
                <w:szCs w:val="24"/>
                <w:highlight w:val="none"/>
              </w:rPr>
            </w:pPr>
          </w:p>
        </w:tc>
        <w:tc>
          <w:tcPr>
            <w:tcW w:w="850" w:type="dxa"/>
            <w:tcBorders>
              <w:top w:val="single" w:color="000000" w:sz="4" w:space="0"/>
              <w:left w:val="nil"/>
              <w:bottom w:val="single" w:color="000000" w:sz="4" w:space="0"/>
              <w:right w:val="single" w:color="000000" w:sz="4" w:space="0"/>
            </w:tcBorders>
            <w:noWrap/>
          </w:tcPr>
          <w:p w14:paraId="55D8593B">
            <w:pPr>
              <w:widowControl/>
              <w:spacing w:line="360" w:lineRule="auto"/>
              <w:rPr>
                <w:bCs/>
                <w:kern w:val="2"/>
                <w:sz w:val="24"/>
                <w:szCs w:val="24"/>
                <w:highlight w:val="none"/>
              </w:rPr>
            </w:pPr>
          </w:p>
        </w:tc>
        <w:tc>
          <w:tcPr>
            <w:tcW w:w="851" w:type="dxa"/>
            <w:tcBorders>
              <w:top w:val="single" w:color="000000" w:sz="4" w:space="0"/>
              <w:left w:val="nil"/>
              <w:bottom w:val="single" w:color="000000" w:sz="4" w:space="0"/>
              <w:right w:val="single" w:color="000000" w:sz="4" w:space="0"/>
            </w:tcBorders>
            <w:noWrap/>
          </w:tcPr>
          <w:p w14:paraId="7077064A">
            <w:pPr>
              <w:widowControl/>
              <w:spacing w:line="360" w:lineRule="auto"/>
              <w:rPr>
                <w:bCs/>
                <w:kern w:val="2"/>
                <w:sz w:val="24"/>
                <w:szCs w:val="24"/>
                <w:highlight w:val="none"/>
              </w:rPr>
            </w:pPr>
          </w:p>
        </w:tc>
      </w:tr>
      <w:tr w14:paraId="5A49FA0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6BDE8649">
            <w:pPr>
              <w:widowControl/>
              <w:spacing w:line="360" w:lineRule="auto"/>
              <w:rPr>
                <w:bCs/>
                <w:kern w:val="2"/>
                <w:sz w:val="24"/>
                <w:szCs w:val="24"/>
                <w:highlight w:val="none"/>
              </w:rPr>
            </w:pPr>
          </w:p>
        </w:tc>
        <w:tc>
          <w:tcPr>
            <w:tcW w:w="896" w:type="dxa"/>
            <w:tcBorders>
              <w:top w:val="single" w:color="000000" w:sz="4" w:space="0"/>
              <w:left w:val="nil"/>
              <w:bottom w:val="single" w:color="000000" w:sz="4" w:space="0"/>
              <w:right w:val="single" w:color="000000" w:sz="4" w:space="0"/>
            </w:tcBorders>
            <w:noWrap/>
          </w:tcPr>
          <w:p w14:paraId="6CDFE122">
            <w:pPr>
              <w:widowControl/>
              <w:spacing w:line="360" w:lineRule="auto"/>
              <w:rPr>
                <w:bCs/>
                <w:kern w:val="2"/>
                <w:sz w:val="24"/>
                <w:szCs w:val="24"/>
                <w:highlight w:val="none"/>
              </w:rPr>
            </w:pPr>
          </w:p>
        </w:tc>
        <w:tc>
          <w:tcPr>
            <w:tcW w:w="663" w:type="dxa"/>
            <w:tcBorders>
              <w:top w:val="single" w:color="000000" w:sz="4" w:space="0"/>
              <w:left w:val="nil"/>
              <w:bottom w:val="single" w:color="000000" w:sz="4" w:space="0"/>
              <w:right w:val="single" w:color="000000" w:sz="4" w:space="0"/>
            </w:tcBorders>
            <w:noWrap/>
          </w:tcPr>
          <w:p w14:paraId="54478BC2">
            <w:pPr>
              <w:widowControl/>
              <w:spacing w:line="360" w:lineRule="auto"/>
              <w:rPr>
                <w:bCs/>
                <w:kern w:val="2"/>
                <w:sz w:val="24"/>
                <w:szCs w:val="24"/>
                <w:highlight w:val="none"/>
              </w:rPr>
            </w:pPr>
          </w:p>
        </w:tc>
        <w:tc>
          <w:tcPr>
            <w:tcW w:w="709" w:type="dxa"/>
            <w:tcBorders>
              <w:top w:val="single" w:color="000000" w:sz="4" w:space="0"/>
              <w:left w:val="nil"/>
              <w:bottom w:val="single" w:color="000000" w:sz="4" w:space="0"/>
              <w:right w:val="single" w:color="000000" w:sz="4" w:space="0"/>
            </w:tcBorders>
            <w:noWrap/>
          </w:tcPr>
          <w:p w14:paraId="148464E0">
            <w:pPr>
              <w:widowControl/>
              <w:spacing w:line="360" w:lineRule="auto"/>
              <w:rPr>
                <w:bCs/>
                <w:kern w:val="2"/>
                <w:sz w:val="24"/>
                <w:szCs w:val="24"/>
                <w:highlight w:val="none"/>
              </w:rPr>
            </w:pPr>
          </w:p>
        </w:tc>
        <w:tc>
          <w:tcPr>
            <w:tcW w:w="1134" w:type="dxa"/>
            <w:tcBorders>
              <w:top w:val="single" w:color="000000" w:sz="4" w:space="0"/>
              <w:left w:val="nil"/>
              <w:bottom w:val="single" w:color="000000" w:sz="4" w:space="0"/>
              <w:right w:val="single" w:color="000000" w:sz="4" w:space="0"/>
            </w:tcBorders>
            <w:noWrap/>
          </w:tcPr>
          <w:p w14:paraId="2054038B">
            <w:pPr>
              <w:widowControl/>
              <w:spacing w:line="360" w:lineRule="auto"/>
              <w:rPr>
                <w:bCs/>
                <w:kern w:val="2"/>
                <w:sz w:val="24"/>
                <w:szCs w:val="24"/>
                <w:highlight w:val="none"/>
              </w:rPr>
            </w:pPr>
          </w:p>
        </w:tc>
        <w:tc>
          <w:tcPr>
            <w:tcW w:w="931" w:type="dxa"/>
            <w:tcBorders>
              <w:top w:val="single" w:color="000000" w:sz="4" w:space="0"/>
              <w:left w:val="nil"/>
              <w:bottom w:val="single" w:color="000000" w:sz="4" w:space="0"/>
              <w:right w:val="single" w:color="000000" w:sz="4" w:space="0"/>
            </w:tcBorders>
            <w:noWrap/>
          </w:tcPr>
          <w:p w14:paraId="1BF1551B">
            <w:pPr>
              <w:widowControl/>
              <w:spacing w:line="360" w:lineRule="auto"/>
              <w:rPr>
                <w:bCs/>
                <w:kern w:val="2"/>
                <w:sz w:val="24"/>
                <w:szCs w:val="24"/>
                <w:highlight w:val="none"/>
              </w:rPr>
            </w:pPr>
          </w:p>
        </w:tc>
        <w:tc>
          <w:tcPr>
            <w:tcW w:w="1020" w:type="dxa"/>
            <w:tcBorders>
              <w:top w:val="single" w:color="000000" w:sz="4" w:space="0"/>
              <w:left w:val="nil"/>
              <w:bottom w:val="single" w:color="000000" w:sz="4" w:space="0"/>
              <w:right w:val="single" w:color="000000" w:sz="4" w:space="0"/>
            </w:tcBorders>
            <w:noWrap/>
          </w:tcPr>
          <w:p w14:paraId="3F283AF8">
            <w:pPr>
              <w:widowControl/>
              <w:spacing w:line="360" w:lineRule="auto"/>
              <w:rPr>
                <w:bCs/>
                <w:kern w:val="2"/>
                <w:sz w:val="24"/>
                <w:szCs w:val="24"/>
                <w:highlight w:val="none"/>
              </w:rPr>
            </w:pPr>
          </w:p>
        </w:tc>
        <w:tc>
          <w:tcPr>
            <w:tcW w:w="994" w:type="dxa"/>
            <w:tcBorders>
              <w:top w:val="single" w:color="000000" w:sz="4" w:space="0"/>
              <w:left w:val="nil"/>
              <w:bottom w:val="single" w:color="000000" w:sz="4" w:space="0"/>
              <w:right w:val="single" w:color="000000" w:sz="4" w:space="0"/>
            </w:tcBorders>
            <w:noWrap/>
          </w:tcPr>
          <w:p w14:paraId="1DB7FA93">
            <w:pPr>
              <w:widowControl/>
              <w:spacing w:line="360" w:lineRule="auto"/>
              <w:rPr>
                <w:bCs/>
                <w:kern w:val="2"/>
                <w:sz w:val="24"/>
                <w:szCs w:val="24"/>
                <w:highlight w:val="none"/>
              </w:rPr>
            </w:pPr>
          </w:p>
        </w:tc>
        <w:tc>
          <w:tcPr>
            <w:tcW w:w="882" w:type="dxa"/>
            <w:tcBorders>
              <w:top w:val="single" w:color="000000" w:sz="4" w:space="0"/>
              <w:left w:val="nil"/>
              <w:bottom w:val="single" w:color="000000" w:sz="4" w:space="0"/>
              <w:right w:val="single" w:color="000000" w:sz="4" w:space="0"/>
            </w:tcBorders>
            <w:noWrap/>
          </w:tcPr>
          <w:p w14:paraId="58347C20">
            <w:pPr>
              <w:widowControl/>
              <w:spacing w:line="360" w:lineRule="auto"/>
              <w:rPr>
                <w:bCs/>
                <w:kern w:val="2"/>
                <w:sz w:val="24"/>
                <w:szCs w:val="24"/>
                <w:highlight w:val="none"/>
              </w:rPr>
            </w:pPr>
          </w:p>
        </w:tc>
        <w:tc>
          <w:tcPr>
            <w:tcW w:w="850" w:type="dxa"/>
            <w:tcBorders>
              <w:top w:val="single" w:color="000000" w:sz="4" w:space="0"/>
              <w:left w:val="nil"/>
              <w:bottom w:val="single" w:color="000000" w:sz="4" w:space="0"/>
              <w:right w:val="single" w:color="000000" w:sz="4" w:space="0"/>
            </w:tcBorders>
            <w:noWrap/>
          </w:tcPr>
          <w:p w14:paraId="2A96D605">
            <w:pPr>
              <w:widowControl/>
              <w:spacing w:line="360" w:lineRule="auto"/>
              <w:rPr>
                <w:bCs/>
                <w:kern w:val="2"/>
                <w:sz w:val="24"/>
                <w:szCs w:val="24"/>
                <w:highlight w:val="none"/>
              </w:rPr>
            </w:pPr>
          </w:p>
        </w:tc>
        <w:tc>
          <w:tcPr>
            <w:tcW w:w="851" w:type="dxa"/>
            <w:tcBorders>
              <w:top w:val="single" w:color="000000" w:sz="4" w:space="0"/>
              <w:left w:val="nil"/>
              <w:bottom w:val="single" w:color="000000" w:sz="4" w:space="0"/>
              <w:right w:val="single" w:color="000000" w:sz="4" w:space="0"/>
            </w:tcBorders>
            <w:noWrap/>
          </w:tcPr>
          <w:p w14:paraId="25F72CE0">
            <w:pPr>
              <w:widowControl/>
              <w:spacing w:line="360" w:lineRule="auto"/>
              <w:rPr>
                <w:bCs/>
                <w:kern w:val="2"/>
                <w:sz w:val="24"/>
                <w:szCs w:val="24"/>
                <w:highlight w:val="none"/>
              </w:rPr>
            </w:pPr>
          </w:p>
        </w:tc>
      </w:tr>
      <w:tr w14:paraId="5EABCB6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33CBD643">
            <w:pPr>
              <w:widowControl/>
              <w:spacing w:line="360" w:lineRule="auto"/>
              <w:rPr>
                <w:bCs/>
                <w:kern w:val="2"/>
                <w:sz w:val="24"/>
                <w:szCs w:val="24"/>
                <w:highlight w:val="none"/>
              </w:rPr>
            </w:pPr>
          </w:p>
        </w:tc>
        <w:tc>
          <w:tcPr>
            <w:tcW w:w="896" w:type="dxa"/>
            <w:tcBorders>
              <w:top w:val="single" w:color="000000" w:sz="4" w:space="0"/>
              <w:left w:val="nil"/>
              <w:bottom w:val="single" w:color="000000" w:sz="4" w:space="0"/>
              <w:right w:val="single" w:color="000000" w:sz="4" w:space="0"/>
            </w:tcBorders>
            <w:noWrap/>
          </w:tcPr>
          <w:p w14:paraId="722B3DB9">
            <w:pPr>
              <w:widowControl/>
              <w:spacing w:line="360" w:lineRule="auto"/>
              <w:rPr>
                <w:bCs/>
                <w:kern w:val="2"/>
                <w:sz w:val="24"/>
                <w:szCs w:val="24"/>
                <w:highlight w:val="none"/>
              </w:rPr>
            </w:pPr>
          </w:p>
        </w:tc>
        <w:tc>
          <w:tcPr>
            <w:tcW w:w="663" w:type="dxa"/>
            <w:tcBorders>
              <w:top w:val="single" w:color="000000" w:sz="4" w:space="0"/>
              <w:left w:val="nil"/>
              <w:bottom w:val="single" w:color="000000" w:sz="4" w:space="0"/>
              <w:right w:val="single" w:color="000000" w:sz="4" w:space="0"/>
            </w:tcBorders>
            <w:noWrap/>
          </w:tcPr>
          <w:p w14:paraId="468C2CA4">
            <w:pPr>
              <w:widowControl/>
              <w:spacing w:line="360" w:lineRule="auto"/>
              <w:rPr>
                <w:bCs/>
                <w:kern w:val="2"/>
                <w:sz w:val="24"/>
                <w:szCs w:val="24"/>
                <w:highlight w:val="none"/>
              </w:rPr>
            </w:pPr>
          </w:p>
        </w:tc>
        <w:tc>
          <w:tcPr>
            <w:tcW w:w="709" w:type="dxa"/>
            <w:tcBorders>
              <w:top w:val="single" w:color="000000" w:sz="4" w:space="0"/>
              <w:left w:val="nil"/>
              <w:bottom w:val="single" w:color="000000" w:sz="4" w:space="0"/>
              <w:right w:val="single" w:color="000000" w:sz="4" w:space="0"/>
            </w:tcBorders>
            <w:noWrap/>
          </w:tcPr>
          <w:p w14:paraId="3CC7DD8F">
            <w:pPr>
              <w:widowControl/>
              <w:spacing w:line="360" w:lineRule="auto"/>
              <w:rPr>
                <w:bCs/>
                <w:kern w:val="2"/>
                <w:sz w:val="24"/>
                <w:szCs w:val="24"/>
                <w:highlight w:val="none"/>
              </w:rPr>
            </w:pPr>
          </w:p>
        </w:tc>
        <w:tc>
          <w:tcPr>
            <w:tcW w:w="1134" w:type="dxa"/>
            <w:tcBorders>
              <w:top w:val="single" w:color="000000" w:sz="4" w:space="0"/>
              <w:left w:val="nil"/>
              <w:bottom w:val="single" w:color="000000" w:sz="4" w:space="0"/>
              <w:right w:val="single" w:color="000000" w:sz="4" w:space="0"/>
            </w:tcBorders>
            <w:noWrap/>
          </w:tcPr>
          <w:p w14:paraId="0EA27653">
            <w:pPr>
              <w:widowControl/>
              <w:spacing w:line="360" w:lineRule="auto"/>
              <w:rPr>
                <w:bCs/>
                <w:kern w:val="2"/>
                <w:sz w:val="24"/>
                <w:szCs w:val="24"/>
                <w:highlight w:val="none"/>
              </w:rPr>
            </w:pPr>
          </w:p>
        </w:tc>
        <w:tc>
          <w:tcPr>
            <w:tcW w:w="931" w:type="dxa"/>
            <w:tcBorders>
              <w:top w:val="single" w:color="000000" w:sz="4" w:space="0"/>
              <w:left w:val="nil"/>
              <w:bottom w:val="single" w:color="000000" w:sz="4" w:space="0"/>
              <w:right w:val="single" w:color="000000" w:sz="4" w:space="0"/>
            </w:tcBorders>
            <w:noWrap/>
          </w:tcPr>
          <w:p w14:paraId="1170EE5A">
            <w:pPr>
              <w:widowControl/>
              <w:spacing w:line="360" w:lineRule="auto"/>
              <w:rPr>
                <w:bCs/>
                <w:kern w:val="2"/>
                <w:sz w:val="24"/>
                <w:szCs w:val="24"/>
                <w:highlight w:val="none"/>
              </w:rPr>
            </w:pPr>
          </w:p>
        </w:tc>
        <w:tc>
          <w:tcPr>
            <w:tcW w:w="1020" w:type="dxa"/>
            <w:tcBorders>
              <w:top w:val="single" w:color="000000" w:sz="4" w:space="0"/>
              <w:left w:val="nil"/>
              <w:bottom w:val="single" w:color="000000" w:sz="4" w:space="0"/>
              <w:right w:val="single" w:color="000000" w:sz="4" w:space="0"/>
            </w:tcBorders>
            <w:noWrap/>
          </w:tcPr>
          <w:p w14:paraId="6E5BD791">
            <w:pPr>
              <w:widowControl/>
              <w:spacing w:line="360" w:lineRule="auto"/>
              <w:rPr>
                <w:bCs/>
                <w:kern w:val="2"/>
                <w:sz w:val="24"/>
                <w:szCs w:val="24"/>
                <w:highlight w:val="none"/>
              </w:rPr>
            </w:pPr>
          </w:p>
        </w:tc>
        <w:tc>
          <w:tcPr>
            <w:tcW w:w="994" w:type="dxa"/>
            <w:tcBorders>
              <w:top w:val="single" w:color="000000" w:sz="4" w:space="0"/>
              <w:left w:val="nil"/>
              <w:bottom w:val="single" w:color="000000" w:sz="4" w:space="0"/>
              <w:right w:val="single" w:color="000000" w:sz="4" w:space="0"/>
            </w:tcBorders>
            <w:noWrap/>
          </w:tcPr>
          <w:p w14:paraId="220D3575">
            <w:pPr>
              <w:widowControl/>
              <w:spacing w:line="360" w:lineRule="auto"/>
              <w:rPr>
                <w:bCs/>
                <w:kern w:val="2"/>
                <w:sz w:val="24"/>
                <w:szCs w:val="24"/>
                <w:highlight w:val="none"/>
              </w:rPr>
            </w:pPr>
          </w:p>
        </w:tc>
        <w:tc>
          <w:tcPr>
            <w:tcW w:w="882" w:type="dxa"/>
            <w:tcBorders>
              <w:top w:val="single" w:color="000000" w:sz="4" w:space="0"/>
              <w:left w:val="nil"/>
              <w:bottom w:val="single" w:color="000000" w:sz="4" w:space="0"/>
              <w:right w:val="single" w:color="000000" w:sz="4" w:space="0"/>
            </w:tcBorders>
            <w:noWrap/>
          </w:tcPr>
          <w:p w14:paraId="43D78A60">
            <w:pPr>
              <w:widowControl/>
              <w:spacing w:line="360" w:lineRule="auto"/>
              <w:rPr>
                <w:bCs/>
                <w:kern w:val="2"/>
                <w:sz w:val="24"/>
                <w:szCs w:val="24"/>
                <w:highlight w:val="none"/>
              </w:rPr>
            </w:pPr>
          </w:p>
        </w:tc>
        <w:tc>
          <w:tcPr>
            <w:tcW w:w="850" w:type="dxa"/>
            <w:tcBorders>
              <w:top w:val="single" w:color="000000" w:sz="4" w:space="0"/>
              <w:left w:val="nil"/>
              <w:bottom w:val="single" w:color="000000" w:sz="4" w:space="0"/>
              <w:right w:val="single" w:color="000000" w:sz="4" w:space="0"/>
            </w:tcBorders>
            <w:noWrap/>
          </w:tcPr>
          <w:p w14:paraId="3C31128D">
            <w:pPr>
              <w:widowControl/>
              <w:spacing w:line="360" w:lineRule="auto"/>
              <w:rPr>
                <w:bCs/>
                <w:kern w:val="2"/>
                <w:sz w:val="24"/>
                <w:szCs w:val="24"/>
                <w:highlight w:val="none"/>
              </w:rPr>
            </w:pPr>
          </w:p>
        </w:tc>
        <w:tc>
          <w:tcPr>
            <w:tcW w:w="851" w:type="dxa"/>
            <w:tcBorders>
              <w:top w:val="single" w:color="000000" w:sz="4" w:space="0"/>
              <w:left w:val="nil"/>
              <w:bottom w:val="single" w:color="000000" w:sz="4" w:space="0"/>
              <w:right w:val="single" w:color="000000" w:sz="4" w:space="0"/>
            </w:tcBorders>
            <w:noWrap/>
          </w:tcPr>
          <w:p w14:paraId="2237C7CC">
            <w:pPr>
              <w:widowControl/>
              <w:spacing w:line="360" w:lineRule="auto"/>
              <w:rPr>
                <w:bCs/>
                <w:kern w:val="2"/>
                <w:sz w:val="24"/>
                <w:szCs w:val="24"/>
                <w:highlight w:val="none"/>
              </w:rPr>
            </w:pPr>
          </w:p>
        </w:tc>
      </w:tr>
      <w:tr w14:paraId="58F28CD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3D9966B9">
            <w:pPr>
              <w:widowControl/>
              <w:spacing w:line="360" w:lineRule="auto"/>
              <w:rPr>
                <w:bCs/>
                <w:kern w:val="2"/>
                <w:sz w:val="24"/>
                <w:szCs w:val="24"/>
                <w:highlight w:val="none"/>
              </w:rPr>
            </w:pPr>
          </w:p>
        </w:tc>
        <w:tc>
          <w:tcPr>
            <w:tcW w:w="896" w:type="dxa"/>
            <w:tcBorders>
              <w:top w:val="single" w:color="000000" w:sz="4" w:space="0"/>
              <w:left w:val="nil"/>
              <w:bottom w:val="single" w:color="000000" w:sz="4" w:space="0"/>
              <w:right w:val="single" w:color="000000" w:sz="4" w:space="0"/>
            </w:tcBorders>
            <w:noWrap/>
          </w:tcPr>
          <w:p w14:paraId="1F24082C">
            <w:pPr>
              <w:widowControl/>
              <w:spacing w:line="360" w:lineRule="auto"/>
              <w:rPr>
                <w:bCs/>
                <w:kern w:val="2"/>
                <w:sz w:val="24"/>
                <w:szCs w:val="24"/>
                <w:highlight w:val="none"/>
              </w:rPr>
            </w:pPr>
          </w:p>
        </w:tc>
        <w:tc>
          <w:tcPr>
            <w:tcW w:w="663" w:type="dxa"/>
            <w:tcBorders>
              <w:top w:val="single" w:color="000000" w:sz="4" w:space="0"/>
              <w:left w:val="nil"/>
              <w:bottom w:val="single" w:color="000000" w:sz="4" w:space="0"/>
              <w:right w:val="single" w:color="000000" w:sz="4" w:space="0"/>
            </w:tcBorders>
            <w:noWrap/>
          </w:tcPr>
          <w:p w14:paraId="4908A15C">
            <w:pPr>
              <w:widowControl/>
              <w:spacing w:line="360" w:lineRule="auto"/>
              <w:rPr>
                <w:bCs/>
                <w:kern w:val="2"/>
                <w:sz w:val="24"/>
                <w:szCs w:val="24"/>
                <w:highlight w:val="none"/>
              </w:rPr>
            </w:pPr>
          </w:p>
        </w:tc>
        <w:tc>
          <w:tcPr>
            <w:tcW w:w="709" w:type="dxa"/>
            <w:tcBorders>
              <w:top w:val="single" w:color="000000" w:sz="4" w:space="0"/>
              <w:left w:val="nil"/>
              <w:bottom w:val="single" w:color="000000" w:sz="4" w:space="0"/>
              <w:right w:val="single" w:color="000000" w:sz="4" w:space="0"/>
            </w:tcBorders>
            <w:noWrap/>
          </w:tcPr>
          <w:p w14:paraId="1E7785B5">
            <w:pPr>
              <w:widowControl/>
              <w:spacing w:line="360" w:lineRule="auto"/>
              <w:rPr>
                <w:bCs/>
                <w:kern w:val="2"/>
                <w:sz w:val="24"/>
                <w:szCs w:val="24"/>
                <w:highlight w:val="none"/>
              </w:rPr>
            </w:pPr>
          </w:p>
        </w:tc>
        <w:tc>
          <w:tcPr>
            <w:tcW w:w="1134" w:type="dxa"/>
            <w:tcBorders>
              <w:top w:val="single" w:color="000000" w:sz="4" w:space="0"/>
              <w:left w:val="nil"/>
              <w:bottom w:val="single" w:color="000000" w:sz="4" w:space="0"/>
              <w:right w:val="single" w:color="000000" w:sz="4" w:space="0"/>
            </w:tcBorders>
            <w:noWrap/>
          </w:tcPr>
          <w:p w14:paraId="2772CEF7">
            <w:pPr>
              <w:widowControl/>
              <w:spacing w:line="360" w:lineRule="auto"/>
              <w:rPr>
                <w:bCs/>
                <w:kern w:val="2"/>
                <w:sz w:val="24"/>
                <w:szCs w:val="24"/>
                <w:highlight w:val="none"/>
              </w:rPr>
            </w:pPr>
          </w:p>
        </w:tc>
        <w:tc>
          <w:tcPr>
            <w:tcW w:w="931" w:type="dxa"/>
            <w:tcBorders>
              <w:top w:val="single" w:color="000000" w:sz="4" w:space="0"/>
              <w:left w:val="nil"/>
              <w:bottom w:val="single" w:color="000000" w:sz="4" w:space="0"/>
              <w:right w:val="single" w:color="000000" w:sz="4" w:space="0"/>
            </w:tcBorders>
            <w:noWrap/>
          </w:tcPr>
          <w:p w14:paraId="6D8C8822">
            <w:pPr>
              <w:widowControl/>
              <w:spacing w:line="360" w:lineRule="auto"/>
              <w:rPr>
                <w:bCs/>
                <w:kern w:val="2"/>
                <w:sz w:val="24"/>
                <w:szCs w:val="24"/>
                <w:highlight w:val="none"/>
              </w:rPr>
            </w:pPr>
          </w:p>
        </w:tc>
        <w:tc>
          <w:tcPr>
            <w:tcW w:w="1020" w:type="dxa"/>
            <w:tcBorders>
              <w:top w:val="single" w:color="000000" w:sz="4" w:space="0"/>
              <w:left w:val="nil"/>
              <w:bottom w:val="single" w:color="000000" w:sz="4" w:space="0"/>
              <w:right w:val="single" w:color="000000" w:sz="4" w:space="0"/>
            </w:tcBorders>
            <w:noWrap/>
          </w:tcPr>
          <w:p w14:paraId="1FC93951">
            <w:pPr>
              <w:widowControl/>
              <w:spacing w:line="360" w:lineRule="auto"/>
              <w:rPr>
                <w:bCs/>
                <w:kern w:val="2"/>
                <w:sz w:val="24"/>
                <w:szCs w:val="24"/>
                <w:highlight w:val="none"/>
              </w:rPr>
            </w:pPr>
          </w:p>
        </w:tc>
        <w:tc>
          <w:tcPr>
            <w:tcW w:w="994" w:type="dxa"/>
            <w:tcBorders>
              <w:top w:val="single" w:color="000000" w:sz="4" w:space="0"/>
              <w:left w:val="nil"/>
              <w:bottom w:val="single" w:color="000000" w:sz="4" w:space="0"/>
              <w:right w:val="single" w:color="000000" w:sz="4" w:space="0"/>
            </w:tcBorders>
            <w:noWrap/>
          </w:tcPr>
          <w:p w14:paraId="16BA89A6">
            <w:pPr>
              <w:widowControl/>
              <w:spacing w:line="360" w:lineRule="auto"/>
              <w:rPr>
                <w:bCs/>
                <w:kern w:val="2"/>
                <w:sz w:val="24"/>
                <w:szCs w:val="24"/>
                <w:highlight w:val="none"/>
              </w:rPr>
            </w:pPr>
          </w:p>
        </w:tc>
        <w:tc>
          <w:tcPr>
            <w:tcW w:w="882" w:type="dxa"/>
            <w:tcBorders>
              <w:top w:val="single" w:color="000000" w:sz="4" w:space="0"/>
              <w:left w:val="nil"/>
              <w:bottom w:val="single" w:color="000000" w:sz="4" w:space="0"/>
              <w:right w:val="single" w:color="000000" w:sz="4" w:space="0"/>
            </w:tcBorders>
            <w:noWrap/>
          </w:tcPr>
          <w:p w14:paraId="7C789185">
            <w:pPr>
              <w:widowControl/>
              <w:spacing w:line="360" w:lineRule="auto"/>
              <w:rPr>
                <w:bCs/>
                <w:kern w:val="2"/>
                <w:sz w:val="24"/>
                <w:szCs w:val="24"/>
                <w:highlight w:val="none"/>
              </w:rPr>
            </w:pPr>
          </w:p>
        </w:tc>
        <w:tc>
          <w:tcPr>
            <w:tcW w:w="850" w:type="dxa"/>
            <w:tcBorders>
              <w:top w:val="single" w:color="000000" w:sz="4" w:space="0"/>
              <w:left w:val="nil"/>
              <w:bottom w:val="single" w:color="000000" w:sz="4" w:space="0"/>
              <w:right w:val="single" w:color="000000" w:sz="4" w:space="0"/>
            </w:tcBorders>
            <w:noWrap/>
          </w:tcPr>
          <w:p w14:paraId="2396CB6B">
            <w:pPr>
              <w:widowControl/>
              <w:spacing w:line="360" w:lineRule="auto"/>
              <w:rPr>
                <w:bCs/>
                <w:kern w:val="2"/>
                <w:sz w:val="24"/>
                <w:szCs w:val="24"/>
                <w:highlight w:val="none"/>
              </w:rPr>
            </w:pPr>
          </w:p>
        </w:tc>
        <w:tc>
          <w:tcPr>
            <w:tcW w:w="851" w:type="dxa"/>
            <w:tcBorders>
              <w:top w:val="single" w:color="000000" w:sz="4" w:space="0"/>
              <w:left w:val="nil"/>
              <w:bottom w:val="single" w:color="000000" w:sz="4" w:space="0"/>
              <w:right w:val="single" w:color="000000" w:sz="4" w:space="0"/>
            </w:tcBorders>
            <w:noWrap/>
          </w:tcPr>
          <w:p w14:paraId="334CCAD4">
            <w:pPr>
              <w:widowControl/>
              <w:spacing w:line="360" w:lineRule="auto"/>
              <w:rPr>
                <w:bCs/>
                <w:kern w:val="2"/>
                <w:sz w:val="24"/>
                <w:szCs w:val="24"/>
                <w:highlight w:val="none"/>
              </w:rPr>
            </w:pPr>
          </w:p>
        </w:tc>
      </w:tr>
      <w:tr w14:paraId="3C37F2C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1749E06F">
            <w:pPr>
              <w:widowControl/>
              <w:spacing w:line="360" w:lineRule="auto"/>
              <w:rPr>
                <w:bCs/>
                <w:kern w:val="2"/>
                <w:sz w:val="24"/>
                <w:szCs w:val="24"/>
                <w:highlight w:val="none"/>
              </w:rPr>
            </w:pPr>
          </w:p>
        </w:tc>
        <w:tc>
          <w:tcPr>
            <w:tcW w:w="896" w:type="dxa"/>
            <w:tcBorders>
              <w:top w:val="single" w:color="000000" w:sz="4" w:space="0"/>
              <w:left w:val="nil"/>
              <w:bottom w:val="single" w:color="000000" w:sz="4" w:space="0"/>
              <w:right w:val="single" w:color="000000" w:sz="4" w:space="0"/>
            </w:tcBorders>
            <w:noWrap/>
          </w:tcPr>
          <w:p w14:paraId="4C814661">
            <w:pPr>
              <w:widowControl/>
              <w:spacing w:line="360" w:lineRule="auto"/>
              <w:rPr>
                <w:bCs/>
                <w:kern w:val="2"/>
                <w:sz w:val="24"/>
                <w:szCs w:val="24"/>
                <w:highlight w:val="none"/>
              </w:rPr>
            </w:pPr>
          </w:p>
        </w:tc>
        <w:tc>
          <w:tcPr>
            <w:tcW w:w="663" w:type="dxa"/>
            <w:tcBorders>
              <w:top w:val="single" w:color="000000" w:sz="4" w:space="0"/>
              <w:left w:val="nil"/>
              <w:bottom w:val="single" w:color="000000" w:sz="4" w:space="0"/>
              <w:right w:val="single" w:color="000000" w:sz="4" w:space="0"/>
            </w:tcBorders>
            <w:noWrap/>
          </w:tcPr>
          <w:p w14:paraId="72BA3EE5">
            <w:pPr>
              <w:widowControl/>
              <w:spacing w:line="360" w:lineRule="auto"/>
              <w:rPr>
                <w:bCs/>
                <w:kern w:val="2"/>
                <w:sz w:val="24"/>
                <w:szCs w:val="24"/>
                <w:highlight w:val="none"/>
              </w:rPr>
            </w:pPr>
          </w:p>
        </w:tc>
        <w:tc>
          <w:tcPr>
            <w:tcW w:w="709" w:type="dxa"/>
            <w:tcBorders>
              <w:top w:val="single" w:color="000000" w:sz="4" w:space="0"/>
              <w:left w:val="nil"/>
              <w:bottom w:val="single" w:color="000000" w:sz="4" w:space="0"/>
              <w:right w:val="single" w:color="000000" w:sz="4" w:space="0"/>
            </w:tcBorders>
            <w:noWrap/>
          </w:tcPr>
          <w:p w14:paraId="36B1D9B0">
            <w:pPr>
              <w:widowControl/>
              <w:spacing w:line="360" w:lineRule="auto"/>
              <w:rPr>
                <w:bCs/>
                <w:kern w:val="2"/>
                <w:sz w:val="24"/>
                <w:szCs w:val="24"/>
                <w:highlight w:val="none"/>
              </w:rPr>
            </w:pPr>
          </w:p>
        </w:tc>
        <w:tc>
          <w:tcPr>
            <w:tcW w:w="1134" w:type="dxa"/>
            <w:tcBorders>
              <w:top w:val="single" w:color="000000" w:sz="4" w:space="0"/>
              <w:left w:val="nil"/>
              <w:bottom w:val="single" w:color="000000" w:sz="4" w:space="0"/>
              <w:right w:val="single" w:color="000000" w:sz="4" w:space="0"/>
            </w:tcBorders>
            <w:noWrap/>
          </w:tcPr>
          <w:p w14:paraId="7D417D4C">
            <w:pPr>
              <w:widowControl/>
              <w:spacing w:line="360" w:lineRule="auto"/>
              <w:rPr>
                <w:bCs/>
                <w:kern w:val="2"/>
                <w:sz w:val="24"/>
                <w:szCs w:val="24"/>
                <w:highlight w:val="none"/>
              </w:rPr>
            </w:pPr>
          </w:p>
        </w:tc>
        <w:tc>
          <w:tcPr>
            <w:tcW w:w="931" w:type="dxa"/>
            <w:tcBorders>
              <w:top w:val="single" w:color="000000" w:sz="4" w:space="0"/>
              <w:left w:val="nil"/>
              <w:bottom w:val="single" w:color="000000" w:sz="4" w:space="0"/>
              <w:right w:val="single" w:color="000000" w:sz="4" w:space="0"/>
            </w:tcBorders>
            <w:noWrap/>
          </w:tcPr>
          <w:p w14:paraId="51B1EE4F">
            <w:pPr>
              <w:widowControl/>
              <w:spacing w:line="360" w:lineRule="auto"/>
              <w:rPr>
                <w:bCs/>
                <w:kern w:val="2"/>
                <w:sz w:val="24"/>
                <w:szCs w:val="24"/>
                <w:highlight w:val="none"/>
              </w:rPr>
            </w:pPr>
          </w:p>
        </w:tc>
        <w:tc>
          <w:tcPr>
            <w:tcW w:w="1020" w:type="dxa"/>
            <w:tcBorders>
              <w:top w:val="single" w:color="000000" w:sz="4" w:space="0"/>
              <w:left w:val="nil"/>
              <w:bottom w:val="single" w:color="000000" w:sz="4" w:space="0"/>
              <w:right w:val="single" w:color="000000" w:sz="4" w:space="0"/>
            </w:tcBorders>
            <w:noWrap/>
          </w:tcPr>
          <w:p w14:paraId="3A29A61D">
            <w:pPr>
              <w:widowControl/>
              <w:spacing w:line="360" w:lineRule="auto"/>
              <w:rPr>
                <w:bCs/>
                <w:kern w:val="2"/>
                <w:sz w:val="24"/>
                <w:szCs w:val="24"/>
                <w:highlight w:val="none"/>
              </w:rPr>
            </w:pPr>
          </w:p>
        </w:tc>
        <w:tc>
          <w:tcPr>
            <w:tcW w:w="994" w:type="dxa"/>
            <w:tcBorders>
              <w:top w:val="single" w:color="000000" w:sz="4" w:space="0"/>
              <w:left w:val="nil"/>
              <w:bottom w:val="single" w:color="000000" w:sz="4" w:space="0"/>
              <w:right w:val="single" w:color="000000" w:sz="4" w:space="0"/>
            </w:tcBorders>
            <w:noWrap/>
          </w:tcPr>
          <w:p w14:paraId="75D3D7F2">
            <w:pPr>
              <w:widowControl/>
              <w:spacing w:line="360" w:lineRule="auto"/>
              <w:rPr>
                <w:bCs/>
                <w:kern w:val="2"/>
                <w:sz w:val="24"/>
                <w:szCs w:val="24"/>
                <w:highlight w:val="none"/>
              </w:rPr>
            </w:pPr>
          </w:p>
        </w:tc>
        <w:tc>
          <w:tcPr>
            <w:tcW w:w="882" w:type="dxa"/>
            <w:tcBorders>
              <w:top w:val="single" w:color="000000" w:sz="4" w:space="0"/>
              <w:left w:val="nil"/>
              <w:bottom w:val="single" w:color="000000" w:sz="4" w:space="0"/>
              <w:right w:val="single" w:color="000000" w:sz="4" w:space="0"/>
            </w:tcBorders>
            <w:noWrap/>
          </w:tcPr>
          <w:p w14:paraId="3017DD4D">
            <w:pPr>
              <w:widowControl/>
              <w:spacing w:line="360" w:lineRule="auto"/>
              <w:rPr>
                <w:bCs/>
                <w:kern w:val="2"/>
                <w:sz w:val="24"/>
                <w:szCs w:val="24"/>
                <w:highlight w:val="none"/>
              </w:rPr>
            </w:pPr>
          </w:p>
        </w:tc>
        <w:tc>
          <w:tcPr>
            <w:tcW w:w="850" w:type="dxa"/>
            <w:tcBorders>
              <w:top w:val="single" w:color="000000" w:sz="4" w:space="0"/>
              <w:left w:val="nil"/>
              <w:bottom w:val="single" w:color="000000" w:sz="4" w:space="0"/>
              <w:right w:val="single" w:color="000000" w:sz="4" w:space="0"/>
            </w:tcBorders>
            <w:noWrap/>
          </w:tcPr>
          <w:p w14:paraId="0A655975">
            <w:pPr>
              <w:widowControl/>
              <w:spacing w:line="360" w:lineRule="auto"/>
              <w:rPr>
                <w:bCs/>
                <w:kern w:val="2"/>
                <w:sz w:val="24"/>
                <w:szCs w:val="24"/>
                <w:highlight w:val="none"/>
              </w:rPr>
            </w:pPr>
          </w:p>
        </w:tc>
        <w:tc>
          <w:tcPr>
            <w:tcW w:w="851" w:type="dxa"/>
            <w:tcBorders>
              <w:top w:val="single" w:color="000000" w:sz="4" w:space="0"/>
              <w:left w:val="nil"/>
              <w:bottom w:val="single" w:color="000000" w:sz="4" w:space="0"/>
              <w:right w:val="single" w:color="000000" w:sz="4" w:space="0"/>
            </w:tcBorders>
            <w:noWrap/>
          </w:tcPr>
          <w:p w14:paraId="048F4545">
            <w:pPr>
              <w:widowControl/>
              <w:spacing w:line="360" w:lineRule="auto"/>
              <w:rPr>
                <w:bCs/>
                <w:kern w:val="2"/>
                <w:sz w:val="24"/>
                <w:szCs w:val="24"/>
                <w:highlight w:val="none"/>
              </w:rPr>
            </w:pPr>
          </w:p>
        </w:tc>
      </w:tr>
      <w:tr w14:paraId="7230D76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3C5654EA">
            <w:pPr>
              <w:widowControl/>
              <w:spacing w:line="360" w:lineRule="auto"/>
              <w:rPr>
                <w:bCs/>
                <w:kern w:val="2"/>
                <w:sz w:val="24"/>
                <w:szCs w:val="24"/>
                <w:highlight w:val="none"/>
              </w:rPr>
            </w:pPr>
          </w:p>
        </w:tc>
        <w:tc>
          <w:tcPr>
            <w:tcW w:w="896" w:type="dxa"/>
            <w:tcBorders>
              <w:top w:val="single" w:color="000000" w:sz="4" w:space="0"/>
              <w:left w:val="nil"/>
              <w:bottom w:val="single" w:color="000000" w:sz="4" w:space="0"/>
              <w:right w:val="single" w:color="000000" w:sz="4" w:space="0"/>
            </w:tcBorders>
            <w:noWrap/>
          </w:tcPr>
          <w:p w14:paraId="760EA47E">
            <w:pPr>
              <w:widowControl/>
              <w:spacing w:line="360" w:lineRule="auto"/>
              <w:rPr>
                <w:bCs/>
                <w:kern w:val="2"/>
                <w:sz w:val="24"/>
                <w:szCs w:val="24"/>
                <w:highlight w:val="none"/>
              </w:rPr>
            </w:pPr>
          </w:p>
        </w:tc>
        <w:tc>
          <w:tcPr>
            <w:tcW w:w="663" w:type="dxa"/>
            <w:tcBorders>
              <w:top w:val="single" w:color="000000" w:sz="4" w:space="0"/>
              <w:left w:val="nil"/>
              <w:bottom w:val="single" w:color="000000" w:sz="4" w:space="0"/>
              <w:right w:val="single" w:color="000000" w:sz="4" w:space="0"/>
            </w:tcBorders>
            <w:noWrap/>
          </w:tcPr>
          <w:p w14:paraId="4C659B70">
            <w:pPr>
              <w:widowControl/>
              <w:spacing w:line="360" w:lineRule="auto"/>
              <w:rPr>
                <w:bCs/>
                <w:kern w:val="2"/>
                <w:sz w:val="24"/>
                <w:szCs w:val="24"/>
                <w:highlight w:val="none"/>
              </w:rPr>
            </w:pPr>
          </w:p>
        </w:tc>
        <w:tc>
          <w:tcPr>
            <w:tcW w:w="709" w:type="dxa"/>
            <w:tcBorders>
              <w:top w:val="single" w:color="000000" w:sz="4" w:space="0"/>
              <w:left w:val="nil"/>
              <w:bottom w:val="single" w:color="000000" w:sz="4" w:space="0"/>
              <w:right w:val="single" w:color="000000" w:sz="4" w:space="0"/>
            </w:tcBorders>
            <w:noWrap/>
          </w:tcPr>
          <w:p w14:paraId="4CD8F56B">
            <w:pPr>
              <w:widowControl/>
              <w:spacing w:line="360" w:lineRule="auto"/>
              <w:rPr>
                <w:bCs/>
                <w:kern w:val="2"/>
                <w:sz w:val="24"/>
                <w:szCs w:val="24"/>
                <w:highlight w:val="none"/>
              </w:rPr>
            </w:pPr>
          </w:p>
        </w:tc>
        <w:tc>
          <w:tcPr>
            <w:tcW w:w="1134" w:type="dxa"/>
            <w:tcBorders>
              <w:top w:val="single" w:color="000000" w:sz="4" w:space="0"/>
              <w:left w:val="nil"/>
              <w:bottom w:val="single" w:color="000000" w:sz="4" w:space="0"/>
              <w:right w:val="single" w:color="000000" w:sz="4" w:space="0"/>
            </w:tcBorders>
            <w:noWrap/>
          </w:tcPr>
          <w:p w14:paraId="3CF34178">
            <w:pPr>
              <w:widowControl/>
              <w:spacing w:line="360" w:lineRule="auto"/>
              <w:rPr>
                <w:bCs/>
                <w:kern w:val="2"/>
                <w:sz w:val="24"/>
                <w:szCs w:val="24"/>
                <w:highlight w:val="none"/>
              </w:rPr>
            </w:pPr>
          </w:p>
        </w:tc>
        <w:tc>
          <w:tcPr>
            <w:tcW w:w="931" w:type="dxa"/>
            <w:tcBorders>
              <w:top w:val="single" w:color="000000" w:sz="4" w:space="0"/>
              <w:left w:val="nil"/>
              <w:bottom w:val="single" w:color="000000" w:sz="4" w:space="0"/>
              <w:right w:val="single" w:color="000000" w:sz="4" w:space="0"/>
            </w:tcBorders>
            <w:noWrap/>
          </w:tcPr>
          <w:p w14:paraId="2D753294">
            <w:pPr>
              <w:widowControl/>
              <w:spacing w:line="360" w:lineRule="auto"/>
              <w:rPr>
                <w:bCs/>
                <w:kern w:val="2"/>
                <w:sz w:val="24"/>
                <w:szCs w:val="24"/>
                <w:highlight w:val="none"/>
              </w:rPr>
            </w:pPr>
          </w:p>
        </w:tc>
        <w:tc>
          <w:tcPr>
            <w:tcW w:w="1020" w:type="dxa"/>
            <w:tcBorders>
              <w:top w:val="single" w:color="000000" w:sz="4" w:space="0"/>
              <w:left w:val="nil"/>
              <w:bottom w:val="single" w:color="000000" w:sz="4" w:space="0"/>
              <w:right w:val="single" w:color="000000" w:sz="4" w:space="0"/>
            </w:tcBorders>
            <w:noWrap/>
          </w:tcPr>
          <w:p w14:paraId="27868405">
            <w:pPr>
              <w:widowControl/>
              <w:spacing w:line="360" w:lineRule="auto"/>
              <w:rPr>
                <w:bCs/>
                <w:kern w:val="2"/>
                <w:sz w:val="24"/>
                <w:szCs w:val="24"/>
                <w:highlight w:val="none"/>
              </w:rPr>
            </w:pPr>
          </w:p>
        </w:tc>
        <w:tc>
          <w:tcPr>
            <w:tcW w:w="994" w:type="dxa"/>
            <w:tcBorders>
              <w:top w:val="single" w:color="000000" w:sz="4" w:space="0"/>
              <w:left w:val="nil"/>
              <w:bottom w:val="single" w:color="000000" w:sz="4" w:space="0"/>
              <w:right w:val="single" w:color="000000" w:sz="4" w:space="0"/>
            </w:tcBorders>
            <w:noWrap/>
          </w:tcPr>
          <w:p w14:paraId="5474640B">
            <w:pPr>
              <w:widowControl/>
              <w:spacing w:line="360" w:lineRule="auto"/>
              <w:rPr>
                <w:bCs/>
                <w:kern w:val="2"/>
                <w:sz w:val="24"/>
                <w:szCs w:val="24"/>
                <w:highlight w:val="none"/>
              </w:rPr>
            </w:pPr>
          </w:p>
        </w:tc>
        <w:tc>
          <w:tcPr>
            <w:tcW w:w="882" w:type="dxa"/>
            <w:tcBorders>
              <w:top w:val="single" w:color="000000" w:sz="4" w:space="0"/>
              <w:left w:val="nil"/>
              <w:bottom w:val="single" w:color="000000" w:sz="4" w:space="0"/>
              <w:right w:val="single" w:color="000000" w:sz="4" w:space="0"/>
            </w:tcBorders>
            <w:noWrap/>
          </w:tcPr>
          <w:p w14:paraId="7D2DF18D">
            <w:pPr>
              <w:widowControl/>
              <w:spacing w:line="360" w:lineRule="auto"/>
              <w:rPr>
                <w:bCs/>
                <w:kern w:val="2"/>
                <w:sz w:val="24"/>
                <w:szCs w:val="24"/>
                <w:highlight w:val="none"/>
              </w:rPr>
            </w:pPr>
          </w:p>
        </w:tc>
        <w:tc>
          <w:tcPr>
            <w:tcW w:w="850" w:type="dxa"/>
            <w:tcBorders>
              <w:top w:val="single" w:color="000000" w:sz="4" w:space="0"/>
              <w:left w:val="nil"/>
              <w:bottom w:val="single" w:color="000000" w:sz="4" w:space="0"/>
              <w:right w:val="single" w:color="000000" w:sz="4" w:space="0"/>
            </w:tcBorders>
            <w:noWrap/>
          </w:tcPr>
          <w:p w14:paraId="7282AB00">
            <w:pPr>
              <w:widowControl/>
              <w:spacing w:line="360" w:lineRule="auto"/>
              <w:rPr>
                <w:bCs/>
                <w:kern w:val="2"/>
                <w:sz w:val="24"/>
                <w:szCs w:val="24"/>
                <w:highlight w:val="none"/>
              </w:rPr>
            </w:pPr>
          </w:p>
        </w:tc>
        <w:tc>
          <w:tcPr>
            <w:tcW w:w="851" w:type="dxa"/>
            <w:tcBorders>
              <w:top w:val="single" w:color="000000" w:sz="4" w:space="0"/>
              <w:left w:val="nil"/>
              <w:bottom w:val="single" w:color="000000" w:sz="4" w:space="0"/>
              <w:right w:val="single" w:color="000000" w:sz="4" w:space="0"/>
            </w:tcBorders>
            <w:noWrap/>
          </w:tcPr>
          <w:p w14:paraId="1ED7F6AB">
            <w:pPr>
              <w:widowControl/>
              <w:spacing w:line="360" w:lineRule="auto"/>
              <w:rPr>
                <w:bCs/>
                <w:kern w:val="2"/>
                <w:sz w:val="24"/>
                <w:szCs w:val="24"/>
                <w:highlight w:val="none"/>
              </w:rPr>
            </w:pPr>
          </w:p>
        </w:tc>
      </w:tr>
      <w:tr w14:paraId="36D33B0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4E74333B">
            <w:pPr>
              <w:widowControl/>
              <w:spacing w:line="360" w:lineRule="auto"/>
              <w:rPr>
                <w:bCs/>
                <w:kern w:val="2"/>
                <w:sz w:val="24"/>
                <w:szCs w:val="24"/>
                <w:highlight w:val="none"/>
              </w:rPr>
            </w:pPr>
          </w:p>
        </w:tc>
        <w:tc>
          <w:tcPr>
            <w:tcW w:w="896" w:type="dxa"/>
            <w:tcBorders>
              <w:top w:val="single" w:color="000000" w:sz="4" w:space="0"/>
              <w:left w:val="nil"/>
              <w:bottom w:val="single" w:color="000000" w:sz="4" w:space="0"/>
              <w:right w:val="single" w:color="000000" w:sz="4" w:space="0"/>
            </w:tcBorders>
            <w:noWrap/>
          </w:tcPr>
          <w:p w14:paraId="14C9184D">
            <w:pPr>
              <w:widowControl/>
              <w:spacing w:line="360" w:lineRule="auto"/>
              <w:rPr>
                <w:bCs/>
                <w:kern w:val="2"/>
                <w:sz w:val="24"/>
                <w:szCs w:val="24"/>
                <w:highlight w:val="none"/>
              </w:rPr>
            </w:pPr>
          </w:p>
        </w:tc>
        <w:tc>
          <w:tcPr>
            <w:tcW w:w="663" w:type="dxa"/>
            <w:tcBorders>
              <w:top w:val="single" w:color="000000" w:sz="4" w:space="0"/>
              <w:left w:val="nil"/>
              <w:bottom w:val="single" w:color="000000" w:sz="4" w:space="0"/>
              <w:right w:val="single" w:color="000000" w:sz="4" w:space="0"/>
            </w:tcBorders>
            <w:noWrap/>
          </w:tcPr>
          <w:p w14:paraId="30DA0E0A">
            <w:pPr>
              <w:widowControl/>
              <w:spacing w:line="360" w:lineRule="auto"/>
              <w:rPr>
                <w:bCs/>
                <w:kern w:val="2"/>
                <w:sz w:val="24"/>
                <w:szCs w:val="24"/>
                <w:highlight w:val="none"/>
              </w:rPr>
            </w:pPr>
          </w:p>
        </w:tc>
        <w:tc>
          <w:tcPr>
            <w:tcW w:w="709" w:type="dxa"/>
            <w:tcBorders>
              <w:top w:val="single" w:color="000000" w:sz="4" w:space="0"/>
              <w:left w:val="nil"/>
              <w:bottom w:val="single" w:color="000000" w:sz="4" w:space="0"/>
              <w:right w:val="single" w:color="000000" w:sz="4" w:space="0"/>
            </w:tcBorders>
            <w:noWrap/>
          </w:tcPr>
          <w:p w14:paraId="238E83E5">
            <w:pPr>
              <w:widowControl/>
              <w:spacing w:line="360" w:lineRule="auto"/>
              <w:rPr>
                <w:bCs/>
                <w:kern w:val="2"/>
                <w:sz w:val="24"/>
                <w:szCs w:val="24"/>
                <w:highlight w:val="none"/>
              </w:rPr>
            </w:pPr>
          </w:p>
        </w:tc>
        <w:tc>
          <w:tcPr>
            <w:tcW w:w="1134" w:type="dxa"/>
            <w:tcBorders>
              <w:top w:val="single" w:color="000000" w:sz="4" w:space="0"/>
              <w:left w:val="nil"/>
              <w:bottom w:val="single" w:color="000000" w:sz="4" w:space="0"/>
              <w:right w:val="single" w:color="000000" w:sz="4" w:space="0"/>
            </w:tcBorders>
            <w:noWrap/>
          </w:tcPr>
          <w:p w14:paraId="2E33D772">
            <w:pPr>
              <w:widowControl/>
              <w:spacing w:line="360" w:lineRule="auto"/>
              <w:rPr>
                <w:bCs/>
                <w:kern w:val="2"/>
                <w:sz w:val="24"/>
                <w:szCs w:val="24"/>
                <w:highlight w:val="none"/>
              </w:rPr>
            </w:pPr>
          </w:p>
        </w:tc>
        <w:tc>
          <w:tcPr>
            <w:tcW w:w="931" w:type="dxa"/>
            <w:tcBorders>
              <w:top w:val="single" w:color="000000" w:sz="4" w:space="0"/>
              <w:left w:val="nil"/>
              <w:bottom w:val="single" w:color="000000" w:sz="4" w:space="0"/>
              <w:right w:val="single" w:color="000000" w:sz="4" w:space="0"/>
            </w:tcBorders>
            <w:noWrap/>
          </w:tcPr>
          <w:p w14:paraId="6192E6BD">
            <w:pPr>
              <w:widowControl/>
              <w:spacing w:line="360" w:lineRule="auto"/>
              <w:rPr>
                <w:bCs/>
                <w:kern w:val="2"/>
                <w:sz w:val="24"/>
                <w:szCs w:val="24"/>
                <w:highlight w:val="none"/>
              </w:rPr>
            </w:pPr>
          </w:p>
        </w:tc>
        <w:tc>
          <w:tcPr>
            <w:tcW w:w="1020" w:type="dxa"/>
            <w:tcBorders>
              <w:top w:val="single" w:color="000000" w:sz="4" w:space="0"/>
              <w:left w:val="nil"/>
              <w:bottom w:val="single" w:color="000000" w:sz="4" w:space="0"/>
              <w:right w:val="single" w:color="000000" w:sz="4" w:space="0"/>
            </w:tcBorders>
            <w:noWrap/>
          </w:tcPr>
          <w:p w14:paraId="1041C414">
            <w:pPr>
              <w:widowControl/>
              <w:spacing w:line="360" w:lineRule="auto"/>
              <w:rPr>
                <w:bCs/>
                <w:kern w:val="2"/>
                <w:sz w:val="24"/>
                <w:szCs w:val="24"/>
                <w:highlight w:val="none"/>
              </w:rPr>
            </w:pPr>
          </w:p>
        </w:tc>
        <w:tc>
          <w:tcPr>
            <w:tcW w:w="994" w:type="dxa"/>
            <w:tcBorders>
              <w:top w:val="single" w:color="000000" w:sz="4" w:space="0"/>
              <w:left w:val="nil"/>
              <w:bottom w:val="single" w:color="000000" w:sz="4" w:space="0"/>
              <w:right w:val="single" w:color="000000" w:sz="4" w:space="0"/>
            </w:tcBorders>
            <w:noWrap/>
          </w:tcPr>
          <w:p w14:paraId="557D5E87">
            <w:pPr>
              <w:widowControl/>
              <w:spacing w:line="360" w:lineRule="auto"/>
              <w:rPr>
                <w:bCs/>
                <w:kern w:val="2"/>
                <w:sz w:val="24"/>
                <w:szCs w:val="24"/>
                <w:highlight w:val="none"/>
              </w:rPr>
            </w:pPr>
          </w:p>
        </w:tc>
        <w:tc>
          <w:tcPr>
            <w:tcW w:w="882" w:type="dxa"/>
            <w:tcBorders>
              <w:top w:val="single" w:color="000000" w:sz="4" w:space="0"/>
              <w:left w:val="nil"/>
              <w:bottom w:val="single" w:color="000000" w:sz="4" w:space="0"/>
              <w:right w:val="single" w:color="000000" w:sz="4" w:space="0"/>
            </w:tcBorders>
            <w:noWrap/>
          </w:tcPr>
          <w:p w14:paraId="3FA48002">
            <w:pPr>
              <w:widowControl/>
              <w:spacing w:line="360" w:lineRule="auto"/>
              <w:rPr>
                <w:bCs/>
                <w:kern w:val="2"/>
                <w:sz w:val="24"/>
                <w:szCs w:val="24"/>
                <w:highlight w:val="none"/>
              </w:rPr>
            </w:pPr>
          </w:p>
        </w:tc>
        <w:tc>
          <w:tcPr>
            <w:tcW w:w="850" w:type="dxa"/>
            <w:tcBorders>
              <w:top w:val="single" w:color="000000" w:sz="4" w:space="0"/>
              <w:left w:val="nil"/>
              <w:bottom w:val="single" w:color="000000" w:sz="4" w:space="0"/>
              <w:right w:val="single" w:color="000000" w:sz="4" w:space="0"/>
            </w:tcBorders>
            <w:noWrap/>
          </w:tcPr>
          <w:p w14:paraId="5D440237">
            <w:pPr>
              <w:widowControl/>
              <w:spacing w:line="360" w:lineRule="auto"/>
              <w:rPr>
                <w:bCs/>
                <w:kern w:val="2"/>
                <w:sz w:val="24"/>
                <w:szCs w:val="24"/>
                <w:highlight w:val="none"/>
              </w:rPr>
            </w:pPr>
          </w:p>
        </w:tc>
        <w:tc>
          <w:tcPr>
            <w:tcW w:w="851" w:type="dxa"/>
            <w:tcBorders>
              <w:top w:val="single" w:color="000000" w:sz="4" w:space="0"/>
              <w:left w:val="nil"/>
              <w:bottom w:val="single" w:color="000000" w:sz="4" w:space="0"/>
              <w:right w:val="single" w:color="000000" w:sz="4" w:space="0"/>
            </w:tcBorders>
            <w:noWrap/>
          </w:tcPr>
          <w:p w14:paraId="2C7BDBA1">
            <w:pPr>
              <w:widowControl/>
              <w:spacing w:line="360" w:lineRule="auto"/>
              <w:rPr>
                <w:bCs/>
                <w:kern w:val="2"/>
                <w:sz w:val="24"/>
                <w:szCs w:val="24"/>
                <w:highlight w:val="none"/>
              </w:rPr>
            </w:pPr>
          </w:p>
        </w:tc>
      </w:tr>
    </w:tbl>
    <w:p w14:paraId="03596819">
      <w:pPr>
        <w:pStyle w:val="9"/>
        <w:spacing w:line="360" w:lineRule="auto"/>
        <w:jc w:val="left"/>
        <w:rPr>
          <w:highlight w:val="none"/>
        </w:rPr>
      </w:pPr>
      <w:r>
        <w:rPr>
          <w:rFonts w:hint="eastAsia"/>
          <w:highlight w:val="none"/>
        </w:rPr>
        <w:t>投标人名称：</w:t>
      </w:r>
      <w:r>
        <w:rPr>
          <w:highlight w:val="none"/>
        </w:rPr>
        <w:t xml:space="preserve">        </w:t>
      </w:r>
      <w:r>
        <w:rPr>
          <w:rFonts w:hint="eastAsia"/>
          <w:highlight w:val="none"/>
        </w:rPr>
        <w:t>（盖章）</w:t>
      </w:r>
    </w:p>
    <w:p w14:paraId="1445B896">
      <w:pPr>
        <w:rPr>
          <w:b/>
          <w:sz w:val="24"/>
          <w:szCs w:val="24"/>
          <w:highlight w:val="none"/>
        </w:rPr>
      </w:pPr>
      <w:r>
        <w:rPr>
          <w:rFonts w:hint="eastAsia"/>
          <w:b/>
          <w:sz w:val="24"/>
          <w:szCs w:val="24"/>
          <w:highlight w:val="none"/>
        </w:rPr>
        <w:t>日   期：     年     月     日</w:t>
      </w:r>
    </w:p>
    <w:p w14:paraId="4B550A5F">
      <w:pPr>
        <w:spacing w:line="360" w:lineRule="auto"/>
        <w:ind w:right="-5"/>
        <w:rPr>
          <w:b/>
          <w:sz w:val="24"/>
          <w:szCs w:val="24"/>
          <w:highlight w:val="none"/>
        </w:rPr>
      </w:pPr>
    </w:p>
    <w:p w14:paraId="3D328AF8">
      <w:pPr>
        <w:widowControl/>
        <w:spacing w:line="360" w:lineRule="auto"/>
        <w:rPr>
          <w:b/>
          <w:sz w:val="24"/>
          <w:szCs w:val="24"/>
          <w:highlight w:val="none"/>
          <w:lang w:val="en-US"/>
        </w:rPr>
      </w:pPr>
    </w:p>
    <w:p w14:paraId="56CA3A23">
      <w:pPr>
        <w:pStyle w:val="9"/>
        <w:spacing w:line="360" w:lineRule="auto"/>
        <w:rPr>
          <w:highlight w:val="none"/>
        </w:rPr>
      </w:pPr>
    </w:p>
    <w:p w14:paraId="0BD552EF">
      <w:pPr>
        <w:pStyle w:val="4"/>
        <w:tabs>
          <w:tab w:val="left" w:pos="1760"/>
        </w:tabs>
        <w:adjustRightInd w:val="0"/>
        <w:snapToGrid w:val="0"/>
        <w:spacing w:line="360" w:lineRule="auto"/>
        <w:jc w:val="both"/>
        <w:rPr>
          <w:rFonts w:ascii="宋体" w:eastAsia="宋体" w:cs="宋体"/>
          <w:b/>
          <w:bCs/>
          <w:sz w:val="24"/>
          <w:szCs w:val="24"/>
          <w:highlight w:val="none"/>
          <w:lang w:val="en-US"/>
        </w:rPr>
      </w:pPr>
      <w:r>
        <w:rPr>
          <w:rFonts w:hint="eastAsia" w:ascii="宋体" w:eastAsia="宋体" w:cs="宋体"/>
          <w:b/>
          <w:bCs/>
          <w:sz w:val="24"/>
          <w:szCs w:val="24"/>
          <w:highlight w:val="none"/>
          <w:lang w:val="en-US"/>
        </w:rPr>
        <w:t>4.6、投标人认为需要提供的其他技术资料</w:t>
      </w:r>
    </w:p>
    <w:p w14:paraId="16F3A8D0">
      <w:pPr>
        <w:widowControl/>
        <w:autoSpaceDE/>
        <w:autoSpaceDN/>
        <w:spacing w:line="360" w:lineRule="auto"/>
        <w:rPr>
          <w:sz w:val="24"/>
          <w:szCs w:val="24"/>
          <w:highlight w:val="none"/>
        </w:rPr>
      </w:pPr>
      <w:r>
        <w:rPr>
          <w:highlight w:val="none"/>
        </w:rPr>
        <w:br w:type="page"/>
      </w:r>
    </w:p>
    <w:p w14:paraId="1357B0BD">
      <w:pPr>
        <w:pStyle w:val="9"/>
        <w:spacing w:line="360" w:lineRule="auto"/>
        <w:rPr>
          <w:highlight w:val="none"/>
        </w:rPr>
      </w:pPr>
      <w:r>
        <w:rPr>
          <w:rFonts w:hint="eastAsia"/>
          <w:highlight w:val="none"/>
        </w:rPr>
        <w:t>实质性响应承诺书</w:t>
      </w:r>
    </w:p>
    <w:p w14:paraId="0151EFCF">
      <w:pPr>
        <w:widowControl/>
        <w:shd w:val="clear" w:color="auto" w:fill="FFFFFF"/>
        <w:autoSpaceDE/>
        <w:autoSpaceDN/>
        <w:adjustRightInd w:val="0"/>
        <w:snapToGrid w:val="0"/>
        <w:spacing w:line="360" w:lineRule="auto"/>
        <w:jc w:val="both"/>
        <w:rPr>
          <w:sz w:val="24"/>
          <w:szCs w:val="24"/>
          <w:highlight w:val="none"/>
          <w:lang w:bidi="ar-SA"/>
        </w:rPr>
      </w:pPr>
    </w:p>
    <w:p w14:paraId="491594AA">
      <w:pPr>
        <w:widowControl/>
        <w:shd w:val="clear" w:color="auto" w:fill="FFFFFF"/>
        <w:autoSpaceDE/>
        <w:autoSpaceDN/>
        <w:adjustRightInd w:val="0"/>
        <w:snapToGrid w:val="0"/>
        <w:spacing w:line="360" w:lineRule="auto"/>
        <w:jc w:val="both"/>
        <w:rPr>
          <w:bCs/>
          <w:sz w:val="24"/>
          <w:szCs w:val="24"/>
          <w:highlight w:val="none"/>
          <w:lang w:val="en-US" w:bidi="ar-SA"/>
        </w:rPr>
      </w:pPr>
      <w:r>
        <w:rPr>
          <w:rFonts w:hint="eastAsia"/>
          <w:sz w:val="24"/>
          <w:szCs w:val="24"/>
          <w:highlight w:val="none"/>
          <w:lang w:bidi="ar-SA"/>
        </w:rPr>
        <w:t>致：XXXXXXXX</w:t>
      </w:r>
      <w:r>
        <w:rPr>
          <w:rFonts w:hint="eastAsia"/>
          <w:sz w:val="24"/>
          <w:szCs w:val="24"/>
          <w:highlight w:val="none"/>
          <w:lang w:val="en-US" w:bidi="ar-SA"/>
        </w:rPr>
        <w:t>(采购人)</w:t>
      </w:r>
    </w:p>
    <w:p w14:paraId="2832B32D">
      <w:pPr>
        <w:pStyle w:val="11"/>
        <w:adjustRightInd w:val="0"/>
        <w:snapToGrid w:val="0"/>
        <w:spacing w:line="360" w:lineRule="auto"/>
        <w:ind w:left="0" w:leftChars="0" w:firstLine="480" w:firstLineChars="200"/>
        <w:rPr>
          <w:sz w:val="24"/>
          <w:szCs w:val="24"/>
          <w:highlight w:val="none"/>
        </w:rPr>
      </w:pPr>
      <w:r>
        <w:rPr>
          <w:rFonts w:hint="eastAsia"/>
          <w:sz w:val="24"/>
          <w:szCs w:val="24"/>
          <w:highlight w:val="none"/>
          <w:lang w:val="en-US"/>
        </w:rPr>
        <w:t>江苏金永诚建设投资管理咨询有限公司</w:t>
      </w:r>
    </w:p>
    <w:p w14:paraId="06923D7B">
      <w:pPr>
        <w:pStyle w:val="9"/>
        <w:spacing w:line="360" w:lineRule="auto"/>
        <w:rPr>
          <w:highlight w:val="none"/>
        </w:rPr>
      </w:pPr>
      <w:r>
        <w:rPr>
          <w:rFonts w:hint="eastAsia"/>
          <w:highlight w:val="none"/>
        </w:rPr>
        <w:t>我单位</w:t>
      </w:r>
      <w:r>
        <w:rPr>
          <w:rFonts w:hint="eastAsia"/>
          <w:highlight w:val="none"/>
          <w:u w:val="single"/>
        </w:rPr>
        <w:t xml:space="preserve"> </w:t>
      </w:r>
      <w:r>
        <w:rPr>
          <w:rFonts w:hint="eastAsia"/>
          <w:highlight w:val="none"/>
          <w:u w:val="single"/>
          <w:lang w:val="en-US"/>
        </w:rPr>
        <w:t xml:space="preserve">               </w:t>
      </w:r>
      <w:r>
        <w:rPr>
          <w:rFonts w:hint="eastAsia"/>
          <w:highlight w:val="none"/>
        </w:rPr>
        <w:t>（投标人名称）郑重承诺，响应招标文件中的以下要求：</w:t>
      </w:r>
    </w:p>
    <w:p w14:paraId="42C50AE1">
      <w:pPr>
        <w:spacing w:line="360" w:lineRule="auto"/>
        <w:rPr>
          <w:highlight w:val="none"/>
        </w:rPr>
      </w:pPr>
    </w:p>
    <w:p w14:paraId="3F221FF0">
      <w:pPr>
        <w:spacing w:line="360" w:lineRule="auto"/>
        <w:rPr>
          <w:highlight w:val="none"/>
        </w:rPr>
      </w:pPr>
    </w:p>
    <w:p w14:paraId="7A28F31C">
      <w:pPr>
        <w:spacing w:line="360" w:lineRule="auto"/>
        <w:rPr>
          <w:highlight w:val="none"/>
        </w:rPr>
      </w:pPr>
    </w:p>
    <w:p w14:paraId="415FA163">
      <w:pPr>
        <w:spacing w:line="360" w:lineRule="auto"/>
        <w:rPr>
          <w:highlight w:val="none"/>
        </w:rPr>
      </w:pPr>
    </w:p>
    <w:p w14:paraId="3B2EA5C6">
      <w:pPr>
        <w:spacing w:line="360" w:lineRule="auto"/>
        <w:rPr>
          <w:highlight w:val="none"/>
        </w:rPr>
      </w:pPr>
    </w:p>
    <w:p w14:paraId="2195578C">
      <w:pPr>
        <w:spacing w:line="360" w:lineRule="auto"/>
        <w:rPr>
          <w:highlight w:val="none"/>
        </w:rPr>
      </w:pPr>
    </w:p>
    <w:p w14:paraId="5C9E5812">
      <w:pPr>
        <w:spacing w:line="360" w:lineRule="auto"/>
        <w:rPr>
          <w:highlight w:val="none"/>
        </w:rPr>
      </w:pPr>
    </w:p>
    <w:p w14:paraId="60CC9AFE">
      <w:pPr>
        <w:spacing w:line="360" w:lineRule="auto"/>
        <w:rPr>
          <w:highlight w:val="none"/>
        </w:rPr>
      </w:pPr>
    </w:p>
    <w:p w14:paraId="027EE88B">
      <w:pPr>
        <w:spacing w:line="360" w:lineRule="auto"/>
        <w:rPr>
          <w:highlight w:val="none"/>
        </w:rPr>
      </w:pPr>
    </w:p>
    <w:p w14:paraId="1A810237">
      <w:pPr>
        <w:spacing w:line="360" w:lineRule="auto"/>
        <w:rPr>
          <w:highlight w:val="none"/>
        </w:rPr>
      </w:pPr>
    </w:p>
    <w:p w14:paraId="6959C6F4">
      <w:pPr>
        <w:spacing w:line="360" w:lineRule="auto"/>
        <w:rPr>
          <w:highlight w:val="none"/>
        </w:rPr>
      </w:pPr>
      <w:r>
        <w:rPr>
          <w:rFonts w:hint="eastAsia"/>
          <w:highlight w:val="none"/>
        </w:rPr>
        <w:t xml:space="preserve"> </w:t>
      </w:r>
      <w:r>
        <w:rPr>
          <w:highlight w:val="none"/>
        </w:rPr>
        <w:t xml:space="preserve">   </w:t>
      </w:r>
    </w:p>
    <w:p w14:paraId="343C5C08">
      <w:pPr>
        <w:spacing w:line="360" w:lineRule="auto"/>
        <w:ind w:right="960" w:firstLine="5280" w:firstLineChars="2200"/>
        <w:rPr>
          <w:bCs/>
          <w:sz w:val="24"/>
          <w:szCs w:val="24"/>
          <w:highlight w:val="none"/>
        </w:rPr>
      </w:pPr>
      <w:r>
        <w:rPr>
          <w:rFonts w:hint="eastAsia"/>
          <w:bCs/>
          <w:sz w:val="24"/>
          <w:szCs w:val="24"/>
          <w:highlight w:val="none"/>
        </w:rPr>
        <w:t>公司全称：（盖章）</w:t>
      </w:r>
    </w:p>
    <w:p w14:paraId="5EA61E53">
      <w:pPr>
        <w:spacing w:line="360" w:lineRule="auto"/>
        <w:rPr>
          <w:highlight w:val="none"/>
        </w:rPr>
      </w:pPr>
      <w:r>
        <w:rPr>
          <w:rFonts w:hint="eastAsia"/>
          <w:bCs/>
          <w:sz w:val="24"/>
          <w:szCs w:val="24"/>
          <w:highlight w:val="none"/>
        </w:rPr>
        <w:t xml:space="preserve">                                            承诺时间：</w:t>
      </w:r>
    </w:p>
    <w:p w14:paraId="24680C6D">
      <w:pPr>
        <w:widowControl/>
        <w:autoSpaceDE/>
        <w:autoSpaceDN/>
        <w:spacing w:line="360" w:lineRule="auto"/>
        <w:rPr>
          <w:highlight w:val="none"/>
        </w:rPr>
      </w:pPr>
      <w:r>
        <w:rPr>
          <w:highlight w:val="none"/>
        </w:rPr>
        <w:br w:type="page"/>
      </w:r>
    </w:p>
    <w:p w14:paraId="2BF82A3F">
      <w:pPr>
        <w:adjustRightInd w:val="0"/>
        <w:snapToGrid w:val="0"/>
        <w:spacing w:line="360" w:lineRule="auto"/>
        <w:rPr>
          <w:sz w:val="24"/>
          <w:szCs w:val="24"/>
          <w:highlight w:val="none"/>
        </w:rPr>
        <w:sectPr>
          <w:footerReference r:id="rId9" w:type="default"/>
          <w:pgSz w:w="11910" w:h="16840"/>
          <w:pgMar w:top="1460" w:right="1423" w:bottom="920" w:left="1423" w:header="492" w:footer="726" w:gutter="0"/>
          <w:cols w:space="720" w:num="1"/>
          <w:docGrid w:linePitch="312" w:charSpace="0"/>
        </w:sectPr>
      </w:pPr>
    </w:p>
    <w:p w14:paraId="2A4FB265">
      <w:pPr>
        <w:pStyle w:val="3"/>
        <w:adjustRightInd w:val="0"/>
        <w:snapToGrid w:val="0"/>
        <w:spacing w:line="360" w:lineRule="auto"/>
        <w:ind w:left="0" w:firstLine="0"/>
        <w:jc w:val="both"/>
        <w:rPr>
          <w:sz w:val="24"/>
          <w:szCs w:val="24"/>
          <w:highlight w:val="none"/>
          <w:u w:val="none"/>
          <w:lang w:val="en-US"/>
        </w:rPr>
      </w:pPr>
      <w:bookmarkStart w:id="90" w:name="_Toc225524687"/>
      <w:r>
        <w:rPr>
          <w:rFonts w:hint="eastAsia"/>
          <w:sz w:val="24"/>
          <w:szCs w:val="24"/>
          <w:highlight w:val="none"/>
          <w:u w:val="none"/>
          <w:lang w:val="en-US"/>
        </w:rPr>
        <w:t>五、价格部分</w:t>
      </w:r>
      <w:bookmarkEnd w:id="90"/>
    </w:p>
    <w:p w14:paraId="31FE2339">
      <w:pPr>
        <w:pStyle w:val="4"/>
        <w:adjustRightInd w:val="0"/>
        <w:snapToGrid w:val="0"/>
        <w:spacing w:line="360" w:lineRule="auto"/>
        <w:jc w:val="both"/>
        <w:rPr>
          <w:rFonts w:ascii="宋体" w:eastAsia="宋体" w:cs="宋体"/>
          <w:b/>
          <w:bCs/>
          <w:sz w:val="24"/>
          <w:szCs w:val="24"/>
          <w:highlight w:val="none"/>
        </w:rPr>
      </w:pPr>
      <w:r>
        <w:rPr>
          <w:rFonts w:hint="eastAsia" w:ascii="宋体" w:eastAsia="宋体" w:cs="宋体"/>
          <w:b/>
          <w:bCs/>
          <w:sz w:val="24"/>
          <w:szCs w:val="24"/>
          <w:highlight w:val="none"/>
          <w:lang w:val="en-US"/>
        </w:rPr>
        <w:t>5.1</w:t>
      </w:r>
      <w:r>
        <w:rPr>
          <w:rFonts w:hint="eastAsia" w:ascii="宋体" w:eastAsia="宋体" w:cs="宋体"/>
          <w:b/>
          <w:bCs/>
          <w:sz w:val="24"/>
          <w:szCs w:val="24"/>
          <w:highlight w:val="none"/>
        </w:rPr>
        <w:t>、开标一览表</w:t>
      </w:r>
    </w:p>
    <w:p w14:paraId="7BD94A4A">
      <w:pPr>
        <w:pStyle w:val="9"/>
        <w:spacing w:line="360" w:lineRule="auto"/>
        <w:rPr>
          <w:highlight w:val="none"/>
        </w:rPr>
      </w:pPr>
      <w:r>
        <w:rPr>
          <w:rFonts w:hint="eastAsia"/>
          <w:highlight w:val="none"/>
        </w:rPr>
        <w:t>开标一览表格式</w:t>
      </w:r>
    </w:p>
    <w:p w14:paraId="17C0FB41">
      <w:pPr>
        <w:pStyle w:val="9"/>
        <w:spacing w:line="360" w:lineRule="auto"/>
        <w:rPr>
          <w:highlight w:val="none"/>
        </w:rPr>
      </w:pPr>
    </w:p>
    <w:p w14:paraId="6D701BFF">
      <w:pPr>
        <w:pStyle w:val="9"/>
        <w:spacing w:line="360" w:lineRule="auto"/>
        <w:jc w:val="both"/>
        <w:rPr>
          <w:highlight w:val="none"/>
        </w:rPr>
      </w:pPr>
      <w:r>
        <w:rPr>
          <w:rFonts w:hint="eastAsia"/>
          <w:highlight w:val="none"/>
        </w:rPr>
        <w:t>项目名称：</w:t>
      </w:r>
      <w:r>
        <w:rPr>
          <w:rFonts w:hint="eastAsia"/>
          <w:highlight w:val="none"/>
          <w:lang w:val="en-US"/>
        </w:rPr>
        <w:t xml:space="preserve">                                    </w:t>
      </w:r>
      <w:r>
        <w:rPr>
          <w:rFonts w:hint="eastAsia"/>
          <w:highlight w:val="none"/>
        </w:rPr>
        <w:t>项目编号：</w:t>
      </w:r>
    </w:p>
    <w:tbl>
      <w:tblPr>
        <w:tblStyle w:val="21"/>
        <w:tblW w:w="95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25"/>
        <w:gridCol w:w="4322"/>
        <w:gridCol w:w="2952"/>
      </w:tblGrid>
      <w:tr w14:paraId="21513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82" w:hRule="atLeast"/>
          <w:jc w:val="center"/>
        </w:trPr>
        <w:tc>
          <w:tcPr>
            <w:tcW w:w="2325" w:type="dxa"/>
            <w:tcBorders>
              <w:top w:val="single" w:color="000000" w:sz="4" w:space="0"/>
              <w:left w:val="single" w:color="000000" w:sz="4" w:space="0"/>
              <w:bottom w:val="single" w:color="000000" w:sz="4" w:space="0"/>
              <w:right w:val="single" w:color="000000" w:sz="4" w:space="0"/>
            </w:tcBorders>
            <w:noWrap/>
            <w:vAlign w:val="center"/>
          </w:tcPr>
          <w:p w14:paraId="0061A8AC">
            <w:pPr>
              <w:spacing w:line="360" w:lineRule="auto"/>
              <w:jc w:val="center"/>
              <w:rPr>
                <w:kern w:val="2"/>
                <w:sz w:val="24"/>
                <w:szCs w:val="24"/>
                <w:highlight w:val="none"/>
              </w:rPr>
            </w:pPr>
            <w:r>
              <w:rPr>
                <w:rFonts w:hint="eastAsia"/>
                <w:kern w:val="2"/>
                <w:sz w:val="24"/>
                <w:szCs w:val="24"/>
                <w:highlight w:val="none"/>
              </w:rPr>
              <w:t>投标总报价</w:t>
            </w:r>
          </w:p>
          <w:p w14:paraId="1227C247">
            <w:pPr>
              <w:spacing w:line="360" w:lineRule="auto"/>
              <w:jc w:val="center"/>
              <w:rPr>
                <w:kern w:val="2"/>
                <w:sz w:val="24"/>
                <w:szCs w:val="24"/>
                <w:highlight w:val="none"/>
              </w:rPr>
            </w:pPr>
            <w:r>
              <w:rPr>
                <w:rFonts w:hint="eastAsia"/>
                <w:kern w:val="2"/>
                <w:sz w:val="24"/>
                <w:szCs w:val="24"/>
                <w:highlight w:val="none"/>
              </w:rPr>
              <w:t>（</w:t>
            </w:r>
            <w:r>
              <w:rPr>
                <w:rFonts w:hint="eastAsia"/>
                <w:kern w:val="2"/>
                <w:sz w:val="24"/>
                <w:szCs w:val="24"/>
                <w:highlight w:val="none"/>
                <w:lang w:val="en-US"/>
              </w:rPr>
              <w:t>一年</w:t>
            </w:r>
            <w:r>
              <w:rPr>
                <w:rFonts w:hint="eastAsia"/>
                <w:kern w:val="2"/>
                <w:sz w:val="24"/>
                <w:szCs w:val="24"/>
                <w:highlight w:val="none"/>
              </w:rPr>
              <w:t>）</w:t>
            </w:r>
          </w:p>
        </w:tc>
        <w:tc>
          <w:tcPr>
            <w:tcW w:w="4322" w:type="dxa"/>
            <w:tcBorders>
              <w:top w:val="single" w:color="000000" w:sz="4" w:space="0"/>
              <w:left w:val="single" w:color="000000" w:sz="4" w:space="0"/>
              <w:bottom w:val="single" w:color="000000" w:sz="4" w:space="0"/>
              <w:right w:val="single" w:color="000000" w:sz="4" w:space="0"/>
            </w:tcBorders>
            <w:noWrap/>
            <w:vAlign w:val="center"/>
          </w:tcPr>
          <w:p w14:paraId="6D14032C">
            <w:pPr>
              <w:spacing w:line="360" w:lineRule="auto"/>
              <w:rPr>
                <w:rFonts w:hint="eastAsia"/>
                <w:kern w:val="2"/>
                <w:sz w:val="24"/>
                <w:szCs w:val="24"/>
                <w:highlight w:val="none"/>
                <w:lang w:val="en-US"/>
              </w:rPr>
            </w:pPr>
            <w:r>
              <w:rPr>
                <w:kern w:val="2"/>
                <w:sz w:val="24"/>
                <w:szCs w:val="24"/>
                <w:highlight w:val="none"/>
                <w:lang w:val="en-US"/>
              </w:rPr>
              <w:t>大写（人民币）：</w:t>
            </w:r>
          </w:p>
          <w:p w14:paraId="7F803B43">
            <w:pPr>
              <w:rPr>
                <w:highlight w:val="none"/>
                <w:lang w:val="en-US"/>
              </w:rPr>
            </w:pPr>
            <w:r>
              <w:rPr>
                <w:kern w:val="2"/>
                <w:sz w:val="24"/>
                <w:szCs w:val="24"/>
                <w:highlight w:val="none"/>
                <w:lang w:val="en-US"/>
              </w:rPr>
              <w:t>小写（人民币）：</w:t>
            </w:r>
          </w:p>
        </w:tc>
        <w:tc>
          <w:tcPr>
            <w:tcW w:w="2952" w:type="dxa"/>
            <w:tcBorders>
              <w:top w:val="single" w:color="000000" w:sz="4" w:space="0"/>
              <w:left w:val="single" w:color="000000" w:sz="4" w:space="0"/>
              <w:bottom w:val="single" w:color="000000" w:sz="4" w:space="0"/>
              <w:right w:val="single" w:color="000000" w:sz="4" w:space="0"/>
            </w:tcBorders>
            <w:vAlign w:val="center"/>
          </w:tcPr>
          <w:p w14:paraId="068E8014">
            <w:pPr>
              <w:spacing w:line="360" w:lineRule="auto"/>
              <w:rPr>
                <w:rFonts w:hint="eastAsia"/>
                <w:kern w:val="2"/>
                <w:sz w:val="24"/>
                <w:szCs w:val="24"/>
                <w:highlight w:val="none"/>
                <w:lang w:val="en-US"/>
              </w:rPr>
            </w:pPr>
            <w:r>
              <w:rPr>
                <w:rFonts w:hint="eastAsia"/>
                <w:kern w:val="2"/>
                <w:sz w:val="24"/>
                <w:szCs w:val="24"/>
                <w:highlight w:val="none"/>
                <w:lang w:val="en-US"/>
              </w:rPr>
              <w:t>其中，</w:t>
            </w:r>
          </w:p>
          <w:p w14:paraId="7AD4FBAF">
            <w:pPr>
              <w:spacing w:line="360" w:lineRule="auto"/>
              <w:rPr>
                <w:rFonts w:hint="eastAsia"/>
                <w:kern w:val="2"/>
                <w:sz w:val="24"/>
                <w:szCs w:val="24"/>
                <w:highlight w:val="none"/>
                <w:lang w:val="en-US"/>
              </w:rPr>
            </w:pPr>
            <w:r>
              <w:rPr>
                <w:rFonts w:hint="eastAsia"/>
                <w:kern w:val="2"/>
                <w:sz w:val="24"/>
                <w:szCs w:val="24"/>
                <w:highlight w:val="none"/>
                <w:lang w:val="en-US"/>
              </w:rPr>
              <w:t>驻场服务人员报价：</w:t>
            </w:r>
          </w:p>
          <w:p w14:paraId="67C0B95A">
            <w:pPr>
              <w:spacing w:line="360" w:lineRule="auto"/>
              <w:rPr>
                <w:kern w:val="2"/>
                <w:sz w:val="24"/>
                <w:szCs w:val="24"/>
                <w:highlight w:val="none"/>
                <w:lang w:val="en-US"/>
              </w:rPr>
            </w:pPr>
            <w:r>
              <w:rPr>
                <w:rFonts w:hint="eastAsia"/>
                <w:kern w:val="2"/>
                <w:sz w:val="24"/>
                <w:szCs w:val="24"/>
                <w:highlight w:val="none"/>
                <w:u w:val="single"/>
                <w:lang w:val="en-US"/>
              </w:rPr>
              <w:t xml:space="preserve">    </w:t>
            </w:r>
            <w:r>
              <w:rPr>
                <w:rFonts w:hint="eastAsia"/>
                <w:kern w:val="2"/>
                <w:sz w:val="24"/>
                <w:szCs w:val="24"/>
                <w:highlight w:val="none"/>
                <w:lang w:val="en-US"/>
              </w:rPr>
              <w:t>元/月，</w:t>
            </w:r>
            <w:r>
              <w:rPr>
                <w:rFonts w:hint="eastAsia"/>
                <w:kern w:val="2"/>
                <w:sz w:val="24"/>
                <w:szCs w:val="24"/>
                <w:highlight w:val="none"/>
                <w:u w:val="single"/>
                <w:lang w:val="en-US"/>
              </w:rPr>
              <w:t xml:space="preserve">    </w:t>
            </w:r>
            <w:r>
              <w:rPr>
                <w:rFonts w:hint="eastAsia"/>
                <w:kern w:val="2"/>
                <w:sz w:val="24"/>
                <w:szCs w:val="24"/>
                <w:highlight w:val="none"/>
                <w:lang w:val="en-US"/>
              </w:rPr>
              <w:t xml:space="preserve">元/年 </w:t>
            </w:r>
          </w:p>
        </w:tc>
      </w:tr>
      <w:tr w14:paraId="5D5EC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82" w:hRule="atLeast"/>
          <w:jc w:val="center"/>
        </w:trPr>
        <w:tc>
          <w:tcPr>
            <w:tcW w:w="2325" w:type="dxa"/>
            <w:tcBorders>
              <w:top w:val="single" w:color="000000" w:sz="4" w:space="0"/>
              <w:left w:val="single" w:color="000000" w:sz="4" w:space="0"/>
              <w:bottom w:val="single" w:color="000000" w:sz="4" w:space="0"/>
              <w:right w:val="single" w:color="000000" w:sz="4" w:space="0"/>
            </w:tcBorders>
            <w:noWrap/>
            <w:vAlign w:val="center"/>
          </w:tcPr>
          <w:p w14:paraId="5B3773B6">
            <w:pPr>
              <w:spacing w:line="360" w:lineRule="auto"/>
              <w:jc w:val="center"/>
              <w:rPr>
                <w:kern w:val="2"/>
                <w:sz w:val="24"/>
                <w:szCs w:val="24"/>
                <w:highlight w:val="none"/>
                <w:lang w:val="en-US"/>
              </w:rPr>
            </w:pPr>
            <w:r>
              <w:rPr>
                <w:rFonts w:hint="eastAsia"/>
                <w:kern w:val="2"/>
                <w:sz w:val="24"/>
                <w:szCs w:val="24"/>
                <w:highlight w:val="none"/>
                <w:lang w:val="en-US"/>
              </w:rPr>
              <w:t>投标总报价</w:t>
            </w:r>
          </w:p>
          <w:p w14:paraId="043A2672">
            <w:pPr>
              <w:spacing w:line="360" w:lineRule="auto"/>
              <w:jc w:val="center"/>
              <w:rPr>
                <w:kern w:val="2"/>
                <w:sz w:val="24"/>
                <w:szCs w:val="24"/>
                <w:highlight w:val="none"/>
                <w:lang w:val="en-US"/>
              </w:rPr>
            </w:pPr>
            <w:r>
              <w:rPr>
                <w:rFonts w:hint="eastAsia"/>
                <w:kern w:val="2"/>
                <w:sz w:val="24"/>
                <w:szCs w:val="24"/>
                <w:highlight w:val="none"/>
                <w:lang w:val="en-US"/>
              </w:rPr>
              <w:t>（三年）</w:t>
            </w:r>
          </w:p>
        </w:tc>
        <w:tc>
          <w:tcPr>
            <w:tcW w:w="4322" w:type="dxa"/>
            <w:tcBorders>
              <w:top w:val="single" w:color="000000" w:sz="4" w:space="0"/>
              <w:left w:val="single" w:color="000000" w:sz="4" w:space="0"/>
              <w:bottom w:val="single" w:color="000000" w:sz="4" w:space="0"/>
              <w:right w:val="single" w:color="000000" w:sz="4" w:space="0"/>
            </w:tcBorders>
            <w:noWrap/>
            <w:vAlign w:val="center"/>
          </w:tcPr>
          <w:p w14:paraId="42282194">
            <w:pPr>
              <w:spacing w:line="360" w:lineRule="auto"/>
              <w:rPr>
                <w:rFonts w:hint="eastAsia"/>
                <w:kern w:val="2"/>
                <w:sz w:val="24"/>
                <w:szCs w:val="24"/>
                <w:highlight w:val="none"/>
                <w:lang w:val="en-US"/>
              </w:rPr>
            </w:pPr>
            <w:r>
              <w:rPr>
                <w:kern w:val="2"/>
                <w:sz w:val="24"/>
                <w:szCs w:val="24"/>
                <w:highlight w:val="none"/>
                <w:lang w:val="en-US"/>
              </w:rPr>
              <w:t>大写（人民币）：</w:t>
            </w:r>
          </w:p>
          <w:p w14:paraId="71AC3CD5">
            <w:pPr>
              <w:spacing w:line="360" w:lineRule="auto"/>
              <w:rPr>
                <w:kern w:val="2"/>
                <w:sz w:val="24"/>
                <w:szCs w:val="24"/>
                <w:highlight w:val="none"/>
                <w:lang w:val="en-US"/>
              </w:rPr>
            </w:pPr>
            <w:r>
              <w:rPr>
                <w:kern w:val="2"/>
                <w:sz w:val="24"/>
                <w:szCs w:val="24"/>
                <w:highlight w:val="none"/>
                <w:lang w:val="en-US"/>
              </w:rPr>
              <w:t>小写（人民币）：</w:t>
            </w:r>
          </w:p>
        </w:tc>
        <w:tc>
          <w:tcPr>
            <w:tcW w:w="2952" w:type="dxa"/>
            <w:tcBorders>
              <w:top w:val="single" w:color="000000" w:sz="4" w:space="0"/>
              <w:left w:val="single" w:color="000000" w:sz="4" w:space="0"/>
              <w:bottom w:val="single" w:color="000000" w:sz="4" w:space="0"/>
              <w:right w:val="single" w:color="000000" w:sz="4" w:space="0"/>
            </w:tcBorders>
            <w:vAlign w:val="center"/>
          </w:tcPr>
          <w:p w14:paraId="7FD9A2DE">
            <w:pPr>
              <w:spacing w:line="360" w:lineRule="auto"/>
              <w:rPr>
                <w:rFonts w:hint="eastAsia"/>
                <w:kern w:val="2"/>
                <w:sz w:val="24"/>
                <w:szCs w:val="24"/>
                <w:highlight w:val="none"/>
                <w:lang w:val="en-US"/>
              </w:rPr>
            </w:pPr>
            <w:r>
              <w:rPr>
                <w:rFonts w:hint="eastAsia"/>
                <w:kern w:val="2"/>
                <w:sz w:val="24"/>
                <w:szCs w:val="24"/>
                <w:highlight w:val="none"/>
                <w:lang w:val="en-US"/>
              </w:rPr>
              <w:t>其中，</w:t>
            </w:r>
          </w:p>
          <w:p w14:paraId="4776B4B0">
            <w:pPr>
              <w:spacing w:line="360" w:lineRule="auto"/>
              <w:rPr>
                <w:rFonts w:hint="eastAsia"/>
                <w:kern w:val="2"/>
                <w:sz w:val="24"/>
                <w:szCs w:val="24"/>
                <w:highlight w:val="none"/>
                <w:lang w:val="en-US"/>
              </w:rPr>
            </w:pPr>
            <w:r>
              <w:rPr>
                <w:rFonts w:hint="eastAsia"/>
                <w:kern w:val="2"/>
                <w:sz w:val="24"/>
                <w:szCs w:val="24"/>
                <w:highlight w:val="none"/>
                <w:lang w:val="en-US"/>
              </w:rPr>
              <w:t>驻场服务人员报价：</w:t>
            </w:r>
          </w:p>
          <w:p w14:paraId="36A448FF">
            <w:pPr>
              <w:rPr>
                <w:highlight w:val="none"/>
                <w:lang w:val="en-US"/>
              </w:rPr>
            </w:pPr>
            <w:r>
              <w:rPr>
                <w:rFonts w:hint="eastAsia"/>
                <w:kern w:val="2"/>
                <w:sz w:val="24"/>
                <w:szCs w:val="24"/>
                <w:highlight w:val="none"/>
                <w:lang w:val="en-US"/>
              </w:rPr>
              <w:t>共</w:t>
            </w:r>
            <w:r>
              <w:rPr>
                <w:rFonts w:hint="eastAsia"/>
                <w:kern w:val="2"/>
                <w:sz w:val="24"/>
                <w:szCs w:val="24"/>
                <w:highlight w:val="none"/>
                <w:u w:val="single"/>
                <w:lang w:val="en-US"/>
              </w:rPr>
              <w:t xml:space="preserve">       </w:t>
            </w:r>
            <w:r>
              <w:rPr>
                <w:rFonts w:hint="eastAsia"/>
                <w:kern w:val="2"/>
                <w:sz w:val="24"/>
                <w:szCs w:val="24"/>
                <w:highlight w:val="none"/>
                <w:lang w:val="en-US"/>
              </w:rPr>
              <w:t>元</w:t>
            </w:r>
          </w:p>
        </w:tc>
      </w:tr>
      <w:tr w14:paraId="7C078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2" w:hRule="atLeast"/>
          <w:jc w:val="center"/>
        </w:trPr>
        <w:tc>
          <w:tcPr>
            <w:tcW w:w="2325" w:type="dxa"/>
            <w:tcBorders>
              <w:top w:val="single" w:color="000000" w:sz="4" w:space="0"/>
              <w:left w:val="single" w:color="000000" w:sz="4" w:space="0"/>
              <w:bottom w:val="single" w:color="000000" w:sz="4" w:space="0"/>
              <w:right w:val="single" w:color="000000" w:sz="4" w:space="0"/>
            </w:tcBorders>
            <w:noWrap/>
            <w:vAlign w:val="center"/>
          </w:tcPr>
          <w:p w14:paraId="6E2F4355">
            <w:pPr>
              <w:spacing w:line="360" w:lineRule="auto"/>
              <w:jc w:val="center"/>
              <w:rPr>
                <w:kern w:val="2"/>
                <w:sz w:val="24"/>
                <w:szCs w:val="24"/>
                <w:highlight w:val="none"/>
              </w:rPr>
            </w:pPr>
            <w:r>
              <w:rPr>
                <w:rFonts w:hint="eastAsia"/>
                <w:kern w:val="2"/>
                <w:sz w:val="24"/>
                <w:szCs w:val="24"/>
                <w:highlight w:val="none"/>
              </w:rPr>
              <w:t>合同履行期限</w:t>
            </w:r>
          </w:p>
        </w:tc>
        <w:tc>
          <w:tcPr>
            <w:tcW w:w="7274" w:type="dxa"/>
            <w:gridSpan w:val="2"/>
            <w:tcBorders>
              <w:top w:val="single" w:color="000000" w:sz="4" w:space="0"/>
              <w:left w:val="single" w:color="000000" w:sz="4" w:space="0"/>
              <w:bottom w:val="single" w:color="000000" w:sz="4" w:space="0"/>
              <w:right w:val="single" w:color="000000" w:sz="4" w:space="0"/>
            </w:tcBorders>
            <w:noWrap/>
            <w:vAlign w:val="center"/>
          </w:tcPr>
          <w:p w14:paraId="4276201A">
            <w:pPr>
              <w:spacing w:line="360" w:lineRule="auto"/>
              <w:rPr>
                <w:kern w:val="2"/>
                <w:sz w:val="24"/>
                <w:szCs w:val="24"/>
                <w:highlight w:val="none"/>
                <w:lang w:val="en-US"/>
              </w:rPr>
            </w:pPr>
            <w:r>
              <w:rPr>
                <w:rFonts w:hint="eastAsia"/>
                <w:kern w:val="2"/>
                <w:sz w:val="24"/>
                <w:szCs w:val="24"/>
                <w:highlight w:val="none"/>
                <w:lang w:val="en-US"/>
              </w:rPr>
              <w:t>三年</w:t>
            </w:r>
          </w:p>
        </w:tc>
      </w:tr>
      <w:tr w14:paraId="47FE2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2" w:hRule="atLeast"/>
          <w:jc w:val="center"/>
        </w:trPr>
        <w:tc>
          <w:tcPr>
            <w:tcW w:w="2325" w:type="dxa"/>
            <w:tcBorders>
              <w:top w:val="single" w:color="000000" w:sz="4" w:space="0"/>
              <w:left w:val="single" w:color="000000" w:sz="4" w:space="0"/>
              <w:bottom w:val="single" w:color="000000" w:sz="4" w:space="0"/>
              <w:right w:val="single" w:color="000000" w:sz="4" w:space="0"/>
            </w:tcBorders>
            <w:noWrap/>
            <w:vAlign w:val="center"/>
          </w:tcPr>
          <w:p w14:paraId="68F346F4">
            <w:pPr>
              <w:spacing w:line="360" w:lineRule="auto"/>
              <w:jc w:val="center"/>
              <w:rPr>
                <w:kern w:val="2"/>
                <w:sz w:val="24"/>
                <w:szCs w:val="24"/>
                <w:highlight w:val="none"/>
              </w:rPr>
            </w:pPr>
            <w:r>
              <w:rPr>
                <w:rFonts w:hint="eastAsia"/>
                <w:kern w:val="2"/>
                <w:sz w:val="24"/>
                <w:szCs w:val="24"/>
                <w:highlight w:val="none"/>
              </w:rPr>
              <w:t>项目经理</w:t>
            </w:r>
          </w:p>
        </w:tc>
        <w:tc>
          <w:tcPr>
            <w:tcW w:w="7274" w:type="dxa"/>
            <w:gridSpan w:val="2"/>
            <w:tcBorders>
              <w:top w:val="single" w:color="000000" w:sz="4" w:space="0"/>
              <w:left w:val="single" w:color="000000" w:sz="4" w:space="0"/>
              <w:bottom w:val="single" w:color="000000" w:sz="4" w:space="0"/>
              <w:right w:val="single" w:color="000000" w:sz="4" w:space="0"/>
            </w:tcBorders>
            <w:noWrap/>
            <w:vAlign w:val="center"/>
          </w:tcPr>
          <w:p w14:paraId="6026E922">
            <w:pPr>
              <w:spacing w:line="360" w:lineRule="auto"/>
              <w:rPr>
                <w:kern w:val="2"/>
                <w:sz w:val="24"/>
                <w:szCs w:val="24"/>
                <w:highlight w:val="none"/>
                <w:lang w:val="en-US"/>
              </w:rPr>
            </w:pPr>
          </w:p>
        </w:tc>
      </w:tr>
      <w:tr w14:paraId="01600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82" w:hRule="atLeast"/>
          <w:jc w:val="center"/>
        </w:trPr>
        <w:tc>
          <w:tcPr>
            <w:tcW w:w="2325" w:type="dxa"/>
            <w:tcBorders>
              <w:top w:val="single" w:color="000000" w:sz="4" w:space="0"/>
              <w:left w:val="single" w:color="000000" w:sz="4" w:space="0"/>
              <w:bottom w:val="single" w:color="000000" w:sz="4" w:space="0"/>
              <w:right w:val="single" w:color="000000" w:sz="4" w:space="0"/>
            </w:tcBorders>
            <w:noWrap/>
          </w:tcPr>
          <w:p w14:paraId="54F7BE47">
            <w:pPr>
              <w:spacing w:line="360" w:lineRule="auto"/>
              <w:jc w:val="center"/>
              <w:rPr>
                <w:kern w:val="2"/>
                <w:sz w:val="24"/>
                <w:szCs w:val="24"/>
                <w:highlight w:val="none"/>
              </w:rPr>
            </w:pPr>
            <w:r>
              <w:rPr>
                <w:rFonts w:hint="eastAsia"/>
                <w:kern w:val="2"/>
                <w:sz w:val="24"/>
                <w:szCs w:val="24"/>
                <w:highlight w:val="none"/>
              </w:rPr>
              <w:t>是否属于小微型企业</w:t>
            </w:r>
          </w:p>
          <w:p w14:paraId="2877ACBF">
            <w:pPr>
              <w:pStyle w:val="38"/>
              <w:numPr>
                <w:ilvl w:val="0"/>
                <w:numId w:val="0"/>
              </w:numPr>
              <w:spacing w:line="360" w:lineRule="auto"/>
              <w:rPr>
                <w:rFonts w:ascii="宋体" w:hAnsi="宋体"/>
                <w:kern w:val="2"/>
                <w:sz w:val="24"/>
                <w:szCs w:val="24"/>
                <w:highlight w:val="none"/>
              </w:rPr>
            </w:pPr>
            <w:bookmarkStart w:id="91" w:name="_Toc1174"/>
            <w:bookmarkStart w:id="92" w:name="_Toc21060"/>
            <w:r>
              <w:rPr>
                <w:rFonts w:hint="eastAsia" w:ascii="Times New Roman" w:eastAsia="宋体" w:cs="Times New Roman"/>
                <w:kern w:val="2"/>
                <w:sz w:val="24"/>
                <w:szCs w:val="24"/>
                <w:highlight w:val="none"/>
                <w:lang w:val="en-US" w:bidi="ar-SA"/>
              </w:rPr>
              <w:t>（</w:t>
            </w:r>
            <w:r>
              <w:rPr>
                <w:rFonts w:ascii="Times New Roman" w:eastAsia="宋体" w:cs="Times New Roman"/>
                <w:kern w:val="2"/>
                <w:sz w:val="24"/>
                <w:szCs w:val="24"/>
                <w:highlight w:val="none"/>
                <w:lang w:val="en-US" w:bidi="ar-SA"/>
              </w:rPr>
              <w:t>请打√</w:t>
            </w:r>
            <w:r>
              <w:rPr>
                <w:rFonts w:hint="eastAsia" w:ascii="Times New Roman" w:eastAsia="宋体" w:cs="Times New Roman"/>
                <w:kern w:val="2"/>
                <w:sz w:val="24"/>
                <w:szCs w:val="24"/>
                <w:highlight w:val="none"/>
                <w:lang w:val="en-US" w:bidi="ar-SA"/>
              </w:rPr>
              <w:t>）</w:t>
            </w:r>
            <w:bookmarkEnd w:id="91"/>
            <w:bookmarkEnd w:id="92"/>
          </w:p>
        </w:tc>
        <w:tc>
          <w:tcPr>
            <w:tcW w:w="7274" w:type="dxa"/>
            <w:gridSpan w:val="2"/>
            <w:tcBorders>
              <w:top w:val="single" w:color="000000" w:sz="4" w:space="0"/>
              <w:left w:val="single" w:color="000000" w:sz="4" w:space="0"/>
              <w:bottom w:val="single" w:color="000000" w:sz="4" w:space="0"/>
              <w:right w:val="single" w:color="000000" w:sz="4" w:space="0"/>
            </w:tcBorders>
            <w:noWrap/>
          </w:tcPr>
          <w:p w14:paraId="57D9996A">
            <w:pPr>
              <w:pStyle w:val="28"/>
              <w:spacing w:line="360" w:lineRule="auto"/>
              <w:ind w:firstLine="210"/>
              <w:rPr>
                <w:kern w:val="2"/>
                <w:szCs w:val="24"/>
                <w:highlight w:val="none"/>
              </w:rPr>
            </w:pPr>
            <w:r>
              <w:rPr>
                <w:rFonts w:ascii="Wingdings 2" w:hAnsi="Wingdings 2" w:eastAsia="Wingdings 2" w:cs="Wingdings 2"/>
                <w:b w:val="0"/>
                <w:kern w:val="2"/>
                <w:szCs w:val="24"/>
                <w:highlight w:val="none"/>
                <w:lang w:val="en-US" w:bidi="ar-SA"/>
              </w:rPr>
              <w:t></w:t>
            </w:r>
            <w:r>
              <w:rPr>
                <w:rFonts w:hint="eastAsia" w:ascii="Times New Roman" w:cs="Times New Roman"/>
                <w:b w:val="0"/>
                <w:kern w:val="2"/>
                <w:szCs w:val="24"/>
                <w:highlight w:val="none"/>
                <w:lang w:val="en-US" w:bidi="ar-SA"/>
              </w:rPr>
              <w:t>是</w:t>
            </w:r>
            <w:r>
              <w:rPr>
                <w:rFonts w:ascii="Times New Roman" w:cs="Times New Roman"/>
                <w:b w:val="0"/>
                <w:kern w:val="2"/>
                <w:szCs w:val="24"/>
                <w:highlight w:val="none"/>
                <w:lang w:val="en-US" w:bidi="ar-SA"/>
              </w:rPr>
              <w:t xml:space="preserve">                       </w:t>
            </w:r>
            <w:r>
              <w:rPr>
                <w:rFonts w:ascii="Wingdings 2" w:hAnsi="Wingdings 2" w:eastAsia="Wingdings 2" w:cs="Wingdings 2"/>
                <w:b w:val="0"/>
                <w:kern w:val="2"/>
                <w:szCs w:val="24"/>
                <w:highlight w:val="none"/>
                <w:lang w:val="en-US" w:bidi="ar-SA"/>
              </w:rPr>
              <w:t></w:t>
            </w:r>
            <w:r>
              <w:rPr>
                <w:rFonts w:hint="eastAsia" w:ascii="Times New Roman" w:cs="Times New Roman"/>
                <w:b w:val="0"/>
                <w:kern w:val="2"/>
                <w:szCs w:val="24"/>
                <w:highlight w:val="none"/>
                <w:lang w:val="en-US" w:bidi="ar-SA"/>
              </w:rPr>
              <w:t>否</w:t>
            </w:r>
          </w:p>
        </w:tc>
      </w:tr>
      <w:tr w14:paraId="5FEEF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3" w:hRule="atLeast"/>
          <w:jc w:val="center"/>
        </w:trPr>
        <w:tc>
          <w:tcPr>
            <w:tcW w:w="9599" w:type="dxa"/>
            <w:gridSpan w:val="3"/>
            <w:tcBorders>
              <w:top w:val="single" w:color="000000" w:sz="4" w:space="0"/>
              <w:left w:val="single" w:color="000000" w:sz="4" w:space="0"/>
              <w:bottom w:val="single" w:color="000000" w:sz="4" w:space="0"/>
              <w:right w:val="single" w:color="000000" w:sz="4" w:space="0"/>
            </w:tcBorders>
            <w:noWrap/>
          </w:tcPr>
          <w:p w14:paraId="1CB977D1">
            <w:pPr>
              <w:spacing w:line="360" w:lineRule="auto"/>
              <w:ind w:firstLine="105"/>
              <w:rPr>
                <w:kern w:val="2"/>
                <w:sz w:val="24"/>
                <w:szCs w:val="24"/>
                <w:highlight w:val="none"/>
              </w:rPr>
            </w:pPr>
            <w:r>
              <w:rPr>
                <w:rFonts w:hint="eastAsia"/>
                <w:b/>
                <w:kern w:val="2"/>
                <w:sz w:val="24"/>
                <w:szCs w:val="24"/>
                <w:highlight w:val="none"/>
              </w:rPr>
              <w:t>“是否属于小微型企业”栏内</w:t>
            </w:r>
            <w:r>
              <w:rPr>
                <w:rFonts w:hint="eastAsia"/>
                <w:b/>
                <w:kern w:val="2"/>
                <w:sz w:val="24"/>
                <w:szCs w:val="24"/>
                <w:highlight w:val="none"/>
                <w:lang w:val="en-US"/>
              </w:rPr>
              <w:t>请勾选</w:t>
            </w:r>
            <w:r>
              <w:rPr>
                <w:rFonts w:hint="eastAsia"/>
                <w:b/>
                <w:kern w:val="2"/>
                <w:sz w:val="24"/>
                <w:szCs w:val="24"/>
                <w:highlight w:val="none"/>
              </w:rPr>
              <w:t>“是”或“否”。如</w:t>
            </w:r>
            <w:r>
              <w:rPr>
                <w:rFonts w:hint="eastAsia"/>
                <w:b/>
                <w:kern w:val="2"/>
                <w:sz w:val="24"/>
                <w:szCs w:val="24"/>
                <w:highlight w:val="none"/>
                <w:lang w:val="en-US"/>
              </w:rPr>
              <w:t>勾选</w:t>
            </w:r>
            <w:r>
              <w:rPr>
                <w:rFonts w:hint="eastAsia"/>
                <w:b/>
                <w:kern w:val="2"/>
                <w:sz w:val="24"/>
                <w:szCs w:val="24"/>
                <w:highlight w:val="none"/>
              </w:rPr>
              <w:t>“是”，投标人</w:t>
            </w:r>
            <w:r>
              <w:rPr>
                <w:rFonts w:hint="eastAsia"/>
                <w:b/>
                <w:kern w:val="2"/>
                <w:sz w:val="24"/>
                <w:szCs w:val="24"/>
                <w:highlight w:val="none"/>
                <w:lang w:val="en-US"/>
              </w:rPr>
              <w:t>需同时提供中小企业声明函。</w:t>
            </w:r>
          </w:p>
        </w:tc>
      </w:tr>
    </w:tbl>
    <w:p w14:paraId="0B851EE0">
      <w:pPr>
        <w:pStyle w:val="9"/>
        <w:spacing w:line="360" w:lineRule="auto"/>
        <w:ind w:firstLine="482" w:firstLineChars="200"/>
        <w:jc w:val="left"/>
        <w:rPr>
          <w:highlight w:val="none"/>
        </w:rPr>
      </w:pPr>
    </w:p>
    <w:p w14:paraId="23AF8236">
      <w:pPr>
        <w:pStyle w:val="9"/>
        <w:spacing w:line="360" w:lineRule="auto"/>
        <w:ind w:firstLine="482" w:firstLineChars="200"/>
        <w:jc w:val="left"/>
        <w:rPr>
          <w:spacing w:val="-18"/>
          <w:highlight w:val="none"/>
        </w:rPr>
      </w:pPr>
      <w:r>
        <w:rPr>
          <w:rFonts w:hint="eastAsia"/>
          <w:highlight w:val="none"/>
        </w:rPr>
        <w:t>投标人：</w:t>
      </w:r>
      <w:r>
        <w:rPr>
          <w:rFonts w:hint="eastAsia"/>
          <w:highlight w:val="none"/>
          <w:u w:val="single"/>
        </w:rPr>
        <w:t xml:space="preserve"> </w:t>
      </w:r>
      <w:r>
        <w:rPr>
          <w:rFonts w:hint="eastAsia"/>
          <w:highlight w:val="none"/>
          <w:u w:val="single"/>
        </w:rPr>
        <w:tab/>
      </w:r>
      <w:r>
        <w:rPr>
          <w:rFonts w:hint="eastAsia"/>
          <w:highlight w:val="none"/>
        </w:rPr>
        <w:t>（盖章</w:t>
      </w:r>
      <w:r>
        <w:rPr>
          <w:rFonts w:hint="eastAsia"/>
          <w:spacing w:val="-18"/>
          <w:highlight w:val="none"/>
        </w:rPr>
        <w:t xml:space="preserve">） </w:t>
      </w:r>
    </w:p>
    <w:p w14:paraId="446AE795">
      <w:pPr>
        <w:pStyle w:val="9"/>
        <w:spacing w:line="360" w:lineRule="auto"/>
        <w:ind w:firstLine="482" w:firstLineChars="200"/>
        <w:jc w:val="left"/>
        <w:rPr>
          <w:highlight w:val="none"/>
        </w:rPr>
      </w:pPr>
      <w:r>
        <w:rPr>
          <w:rFonts w:hint="eastAsia"/>
          <w:highlight w:val="none"/>
        </w:rPr>
        <w:t>法定代表人或授权代理人：</w:t>
      </w:r>
      <w:r>
        <w:rPr>
          <w:rFonts w:hint="eastAsia"/>
          <w:highlight w:val="none"/>
          <w:u w:val="single"/>
        </w:rPr>
        <w:t xml:space="preserve"> </w:t>
      </w:r>
      <w:r>
        <w:rPr>
          <w:rFonts w:hint="eastAsia"/>
          <w:highlight w:val="none"/>
          <w:u w:val="single"/>
        </w:rPr>
        <w:tab/>
      </w:r>
      <w:r>
        <w:rPr>
          <w:rFonts w:hint="eastAsia"/>
          <w:highlight w:val="none"/>
        </w:rPr>
        <w:t xml:space="preserve">（签字或盖章） </w:t>
      </w:r>
    </w:p>
    <w:p w14:paraId="693C6C63">
      <w:pPr>
        <w:pStyle w:val="9"/>
        <w:spacing w:line="360" w:lineRule="auto"/>
        <w:ind w:firstLine="482" w:firstLineChars="200"/>
        <w:jc w:val="left"/>
        <w:rPr>
          <w:highlight w:val="none"/>
        </w:rPr>
      </w:pPr>
      <w:r>
        <w:rPr>
          <w:rFonts w:hint="eastAsia"/>
          <w:highlight w:val="none"/>
        </w:rPr>
        <w:t xml:space="preserve">日   期： </w:t>
      </w:r>
      <w:r>
        <w:rPr>
          <w:rFonts w:hint="eastAsia"/>
          <w:highlight w:val="none"/>
          <w:lang w:val="en-US"/>
        </w:rPr>
        <w:t xml:space="preserve">    </w:t>
      </w:r>
      <w:r>
        <w:rPr>
          <w:rFonts w:hint="eastAsia"/>
          <w:highlight w:val="none"/>
        </w:rPr>
        <w:t xml:space="preserve">年 </w:t>
      </w:r>
      <w:r>
        <w:rPr>
          <w:rFonts w:hint="eastAsia"/>
          <w:highlight w:val="none"/>
          <w:lang w:val="en-US"/>
        </w:rPr>
        <w:t xml:space="preserve">    </w:t>
      </w:r>
      <w:r>
        <w:rPr>
          <w:rFonts w:hint="eastAsia"/>
          <w:highlight w:val="none"/>
        </w:rPr>
        <w:t xml:space="preserve">月 </w:t>
      </w:r>
      <w:r>
        <w:rPr>
          <w:rFonts w:hint="eastAsia"/>
          <w:highlight w:val="none"/>
          <w:lang w:val="en-US"/>
        </w:rPr>
        <w:t xml:space="preserve">    </w:t>
      </w:r>
      <w:r>
        <w:rPr>
          <w:rFonts w:hint="eastAsia"/>
          <w:highlight w:val="none"/>
        </w:rPr>
        <w:t>日</w:t>
      </w:r>
    </w:p>
    <w:p w14:paraId="3849199A">
      <w:pPr>
        <w:adjustRightInd w:val="0"/>
        <w:snapToGrid w:val="0"/>
        <w:spacing w:line="360" w:lineRule="auto"/>
        <w:jc w:val="both"/>
        <w:rPr>
          <w:sz w:val="24"/>
          <w:szCs w:val="24"/>
          <w:highlight w:val="none"/>
        </w:rPr>
        <w:sectPr>
          <w:pgSz w:w="11910" w:h="16840"/>
          <w:pgMar w:top="1440" w:right="1423" w:bottom="920" w:left="1423" w:header="492" w:footer="726" w:gutter="0"/>
          <w:cols w:space="720" w:num="1"/>
          <w:docGrid w:linePitch="312" w:charSpace="0"/>
        </w:sectPr>
      </w:pPr>
    </w:p>
    <w:p w14:paraId="097B544C">
      <w:pPr>
        <w:pStyle w:val="4"/>
        <w:adjustRightInd w:val="0"/>
        <w:snapToGrid w:val="0"/>
        <w:spacing w:line="360" w:lineRule="auto"/>
        <w:jc w:val="both"/>
        <w:rPr>
          <w:rFonts w:ascii="宋体" w:eastAsia="宋体" w:cs="宋体"/>
          <w:b/>
          <w:bCs/>
          <w:sz w:val="24"/>
          <w:szCs w:val="24"/>
          <w:highlight w:val="none"/>
        </w:rPr>
      </w:pPr>
      <w:r>
        <w:rPr>
          <w:rFonts w:hint="eastAsia" w:ascii="宋体" w:eastAsia="宋体" w:cs="宋体"/>
          <w:b/>
          <w:bCs/>
          <w:sz w:val="24"/>
          <w:szCs w:val="24"/>
          <w:highlight w:val="none"/>
          <w:lang w:val="en-US"/>
        </w:rPr>
        <w:t>5.2、投标</w:t>
      </w:r>
      <w:r>
        <w:rPr>
          <w:rFonts w:hint="eastAsia" w:ascii="宋体" w:eastAsia="宋体" w:cs="宋体"/>
          <w:b/>
          <w:bCs/>
          <w:sz w:val="24"/>
          <w:szCs w:val="24"/>
          <w:highlight w:val="none"/>
        </w:rPr>
        <w:t>报价明细表（</w:t>
      </w:r>
      <w:r>
        <w:rPr>
          <w:rFonts w:hint="eastAsia" w:ascii="宋体" w:eastAsia="宋体" w:cs="宋体"/>
          <w:b/>
          <w:bCs/>
          <w:sz w:val="24"/>
          <w:szCs w:val="24"/>
          <w:highlight w:val="none"/>
          <w:lang w:val="en-US"/>
        </w:rPr>
        <w:t>自行提供</w:t>
      </w:r>
      <w:r>
        <w:rPr>
          <w:rFonts w:hint="eastAsia" w:ascii="宋体" w:eastAsia="宋体" w:cs="宋体"/>
          <w:b/>
          <w:bCs/>
          <w:sz w:val="24"/>
          <w:szCs w:val="24"/>
          <w:highlight w:val="none"/>
        </w:rPr>
        <w:t>）</w:t>
      </w:r>
    </w:p>
    <w:p w14:paraId="77B42DCC">
      <w:pPr>
        <w:pStyle w:val="11"/>
        <w:spacing w:line="360" w:lineRule="auto"/>
        <w:ind w:left="0" w:leftChars="0"/>
        <w:rPr>
          <w:sz w:val="24"/>
          <w:szCs w:val="24"/>
          <w:highlight w:val="none"/>
        </w:rPr>
      </w:pPr>
    </w:p>
    <w:p w14:paraId="079D49B9">
      <w:pPr>
        <w:spacing w:line="360" w:lineRule="auto"/>
        <w:jc w:val="center"/>
        <w:rPr>
          <w:sz w:val="24"/>
          <w:szCs w:val="24"/>
          <w:highlight w:val="none"/>
        </w:rPr>
      </w:pPr>
      <w:r>
        <w:rPr>
          <w:rFonts w:hint="eastAsia"/>
          <w:b/>
          <w:bCs/>
          <w:sz w:val="24"/>
          <w:szCs w:val="24"/>
          <w:highlight w:val="none"/>
        </w:rPr>
        <w:t>投标报价明细表（</w:t>
      </w:r>
      <w:r>
        <w:rPr>
          <w:rFonts w:hint="eastAsia"/>
          <w:b/>
          <w:bCs/>
          <w:sz w:val="24"/>
          <w:szCs w:val="24"/>
          <w:highlight w:val="none"/>
          <w:lang w:val="en-US"/>
        </w:rPr>
        <w:t>（含驻场人员报价表）</w:t>
      </w:r>
      <w:r>
        <w:rPr>
          <w:rFonts w:hint="eastAsia"/>
          <w:b/>
          <w:bCs/>
          <w:sz w:val="24"/>
          <w:szCs w:val="24"/>
          <w:highlight w:val="none"/>
        </w:rPr>
        <w:t>）</w:t>
      </w:r>
    </w:p>
    <w:p w14:paraId="45AB2CD8">
      <w:pPr>
        <w:widowControl/>
        <w:autoSpaceDE/>
        <w:autoSpaceDN/>
        <w:spacing w:line="360" w:lineRule="auto"/>
        <w:rPr>
          <w:b/>
          <w:sz w:val="24"/>
          <w:szCs w:val="24"/>
          <w:highlight w:val="none"/>
          <w:lang w:val="en-US" w:bidi="ja-JP"/>
        </w:rPr>
      </w:pPr>
      <w:r>
        <w:rPr>
          <w:b/>
          <w:sz w:val="24"/>
          <w:szCs w:val="24"/>
          <w:highlight w:val="none"/>
          <w:lang w:val="en-US" w:bidi="ja-JP"/>
        </w:rPr>
        <w:br w:type="page"/>
      </w:r>
    </w:p>
    <w:p w14:paraId="6934BB32">
      <w:pPr>
        <w:pStyle w:val="26"/>
        <w:spacing w:line="360" w:lineRule="auto"/>
        <w:ind w:left="0" w:firstLine="0"/>
        <w:outlineLvl w:val="2"/>
        <w:rPr>
          <w:b/>
          <w:sz w:val="24"/>
          <w:szCs w:val="24"/>
          <w:highlight w:val="none"/>
          <w:lang w:val="ja-JP" w:bidi="ja-JP"/>
        </w:rPr>
      </w:pPr>
      <w:r>
        <w:rPr>
          <w:rFonts w:hint="eastAsia"/>
          <w:b/>
          <w:sz w:val="24"/>
          <w:szCs w:val="24"/>
          <w:highlight w:val="none"/>
          <w:lang w:val="en-US" w:bidi="ja-JP"/>
        </w:rPr>
        <w:t>5.3</w:t>
      </w:r>
      <w:r>
        <w:rPr>
          <w:rFonts w:hint="eastAsia"/>
          <w:b/>
          <w:sz w:val="24"/>
          <w:szCs w:val="24"/>
          <w:highlight w:val="none"/>
          <w:lang w:val="ja-JP" w:bidi="ja-JP"/>
        </w:rPr>
        <w:t>享受政府采购政策优惠的证明资料和清单表</w:t>
      </w:r>
    </w:p>
    <w:p w14:paraId="1CF7978E">
      <w:pPr>
        <w:spacing w:line="360" w:lineRule="auto"/>
        <w:outlineLvl w:val="3"/>
        <w:rPr>
          <w:b/>
          <w:sz w:val="24"/>
          <w:szCs w:val="24"/>
          <w:highlight w:val="none"/>
        </w:rPr>
      </w:pPr>
      <w:r>
        <w:rPr>
          <w:rFonts w:hint="eastAsia"/>
          <w:b/>
          <w:sz w:val="24"/>
          <w:szCs w:val="24"/>
          <w:highlight w:val="none"/>
        </w:rPr>
        <w:t>（</w:t>
      </w:r>
      <w:r>
        <w:rPr>
          <w:rFonts w:hint="eastAsia"/>
          <w:b/>
          <w:sz w:val="24"/>
          <w:szCs w:val="24"/>
          <w:highlight w:val="none"/>
          <w:lang w:val="en-US"/>
        </w:rPr>
        <w:t>1</w:t>
      </w:r>
      <w:r>
        <w:rPr>
          <w:rFonts w:hint="eastAsia"/>
          <w:b/>
          <w:sz w:val="24"/>
          <w:szCs w:val="24"/>
          <w:highlight w:val="none"/>
        </w:rPr>
        <w:t>）中小企业声明函格式</w:t>
      </w:r>
    </w:p>
    <w:p w14:paraId="4C113AAA">
      <w:pPr>
        <w:widowControl/>
        <w:autoSpaceDE/>
        <w:autoSpaceDN/>
        <w:spacing w:line="360" w:lineRule="auto"/>
        <w:jc w:val="center"/>
        <w:rPr>
          <w:b/>
          <w:bCs/>
          <w:sz w:val="24"/>
          <w:szCs w:val="24"/>
          <w:highlight w:val="none"/>
        </w:rPr>
      </w:pPr>
      <w:bookmarkStart w:id="93" w:name="_Hlk66863893"/>
    </w:p>
    <w:p w14:paraId="4CD9D3A4">
      <w:pPr>
        <w:widowControl/>
        <w:autoSpaceDE/>
        <w:autoSpaceDN/>
        <w:spacing w:line="360" w:lineRule="auto"/>
        <w:jc w:val="center"/>
        <w:rPr>
          <w:b/>
          <w:bCs/>
          <w:sz w:val="24"/>
          <w:szCs w:val="24"/>
          <w:highlight w:val="none"/>
        </w:rPr>
      </w:pPr>
      <w:r>
        <w:rPr>
          <w:rFonts w:hint="eastAsia"/>
          <w:b/>
          <w:bCs/>
          <w:sz w:val="24"/>
          <w:szCs w:val="24"/>
          <w:highlight w:val="none"/>
        </w:rPr>
        <w:t>中小企业声明函（工程、服务）</w:t>
      </w:r>
    </w:p>
    <w:p w14:paraId="714C92F8">
      <w:pPr>
        <w:pStyle w:val="9"/>
        <w:spacing w:line="360" w:lineRule="auto"/>
        <w:ind w:firstLine="480" w:firstLineChars="200"/>
        <w:jc w:val="left"/>
        <w:rPr>
          <w:b w:val="0"/>
          <w:bCs/>
          <w:highlight w:val="none"/>
        </w:rPr>
      </w:pPr>
      <w:r>
        <w:rPr>
          <w:b w:val="0"/>
          <w:bCs/>
          <w:highlight w:val="none"/>
        </w:rPr>
        <w:t>本公司（联合体）郑重声明，根据《政府采购促进中小企业发展管理办法》（财库﹝2020﹞46号）的规定，本公司（联合体）参加</w:t>
      </w:r>
      <w:r>
        <w:rPr>
          <w:b w:val="0"/>
          <w:bCs/>
          <w:highlight w:val="none"/>
          <w:u w:val="single"/>
        </w:rPr>
        <w:t>（单位名称）</w:t>
      </w:r>
      <w:r>
        <w:rPr>
          <w:b w:val="0"/>
          <w:bCs/>
          <w:highlight w:val="none"/>
        </w:rPr>
        <w:t>的</w:t>
      </w:r>
      <w:r>
        <w:rPr>
          <w:b w:val="0"/>
          <w:bCs/>
          <w:highlight w:val="none"/>
          <w:u w:val="single"/>
        </w:rPr>
        <w:t>（项目名称）</w:t>
      </w:r>
      <w:r>
        <w:rPr>
          <w:b w:val="0"/>
          <w:bCs/>
          <w:highlight w:val="none"/>
        </w:rPr>
        <w:t>采购活动，工程的施工单位全部为符合政策要求的中小企业（或者：服务 全部由符合政策要求的中小企业承接）。相关企业（含联合 体中的中小企业、签订分包意向协议的中小企业）的具体情况如下：</w:t>
      </w:r>
    </w:p>
    <w:p w14:paraId="26FBBC5A">
      <w:pPr>
        <w:pStyle w:val="9"/>
        <w:spacing w:line="360" w:lineRule="auto"/>
        <w:ind w:firstLine="480" w:firstLineChars="200"/>
        <w:jc w:val="left"/>
        <w:rPr>
          <w:b w:val="0"/>
          <w:bCs/>
          <w:highlight w:val="none"/>
        </w:rPr>
      </w:pPr>
      <w:r>
        <w:rPr>
          <w:b w:val="0"/>
          <w:bCs/>
          <w:highlight w:val="none"/>
        </w:rPr>
        <w:t>1.</w:t>
      </w:r>
      <w:r>
        <w:rPr>
          <w:b w:val="0"/>
          <w:bCs/>
          <w:highlight w:val="none"/>
          <w:u w:val="single"/>
        </w:rPr>
        <w:t xml:space="preserve"> （标的名称）</w:t>
      </w:r>
      <w:r>
        <w:rPr>
          <w:b w:val="0"/>
          <w:bCs/>
          <w:highlight w:val="none"/>
        </w:rPr>
        <w:t xml:space="preserve"> ，属于</w:t>
      </w:r>
      <w:r>
        <w:rPr>
          <w:b w:val="0"/>
          <w:bCs/>
          <w:highlight w:val="none"/>
          <w:u w:val="single"/>
        </w:rPr>
        <w:t>（采购文件中明确的所属行业）</w:t>
      </w:r>
      <w:r>
        <w:rPr>
          <w:b w:val="0"/>
          <w:bCs/>
          <w:highlight w:val="none"/>
        </w:rPr>
        <w:t>； 承建（承接）企业为</w:t>
      </w:r>
      <w:r>
        <w:rPr>
          <w:b w:val="0"/>
          <w:bCs/>
          <w:highlight w:val="none"/>
          <w:u w:val="single"/>
        </w:rPr>
        <w:t>（企业名称）</w:t>
      </w:r>
      <w:r>
        <w:rPr>
          <w:b w:val="0"/>
          <w:bCs/>
          <w:highlight w:val="none"/>
        </w:rPr>
        <w:t>，从业人员</w:t>
      </w:r>
      <w:r>
        <w:rPr>
          <w:b w:val="0"/>
          <w:bCs/>
          <w:highlight w:val="none"/>
          <w:u w:val="single"/>
        </w:rPr>
        <w:t xml:space="preserve"> </w:t>
      </w:r>
      <w:r>
        <w:rPr>
          <w:rFonts w:hint="eastAsia"/>
          <w:b w:val="0"/>
          <w:bCs/>
          <w:highlight w:val="none"/>
          <w:u w:val="single"/>
          <w:lang w:val="en-US"/>
        </w:rPr>
        <w:t xml:space="preserve"> </w:t>
      </w:r>
      <w:r>
        <w:rPr>
          <w:b w:val="0"/>
          <w:bCs/>
          <w:highlight w:val="none"/>
          <w:u w:val="single"/>
        </w:rPr>
        <w:t xml:space="preserve"> </w:t>
      </w:r>
      <w:r>
        <w:rPr>
          <w:b w:val="0"/>
          <w:bCs/>
          <w:highlight w:val="none"/>
        </w:rPr>
        <w:t>人，营业收入为</w:t>
      </w:r>
      <w:r>
        <w:rPr>
          <w:b w:val="0"/>
          <w:bCs/>
          <w:highlight w:val="none"/>
          <w:u w:val="single"/>
        </w:rPr>
        <w:t xml:space="preserve"> </w:t>
      </w:r>
      <w:r>
        <w:rPr>
          <w:rFonts w:hint="eastAsia"/>
          <w:b w:val="0"/>
          <w:bCs/>
          <w:highlight w:val="none"/>
          <w:u w:val="single"/>
          <w:lang w:val="en-US"/>
        </w:rPr>
        <w:t xml:space="preserve"> </w:t>
      </w:r>
      <w:r>
        <w:rPr>
          <w:b w:val="0"/>
          <w:bCs/>
          <w:highlight w:val="none"/>
          <w:u w:val="single"/>
        </w:rPr>
        <w:t xml:space="preserve"> </w:t>
      </w:r>
      <w:r>
        <w:rPr>
          <w:b w:val="0"/>
          <w:bCs/>
          <w:highlight w:val="none"/>
        </w:rPr>
        <w:t>万元，资产总额为</w:t>
      </w:r>
      <w:r>
        <w:rPr>
          <w:rFonts w:hint="eastAsia"/>
          <w:b w:val="0"/>
          <w:bCs/>
          <w:highlight w:val="none"/>
          <w:u w:val="single"/>
        </w:rPr>
        <w:t xml:space="preserve"> </w:t>
      </w:r>
      <w:r>
        <w:rPr>
          <w:rFonts w:hint="eastAsia"/>
          <w:b w:val="0"/>
          <w:bCs/>
          <w:highlight w:val="none"/>
          <w:u w:val="single"/>
          <w:lang w:val="en-US"/>
        </w:rPr>
        <w:t xml:space="preserve"> </w:t>
      </w:r>
      <w:r>
        <w:rPr>
          <w:b w:val="0"/>
          <w:bCs/>
          <w:highlight w:val="none"/>
          <w:u w:val="single"/>
        </w:rPr>
        <w:t xml:space="preserve"> </w:t>
      </w:r>
      <w:r>
        <w:rPr>
          <w:b w:val="0"/>
          <w:bCs/>
          <w:highlight w:val="none"/>
        </w:rPr>
        <w:t>万元，属</w:t>
      </w:r>
      <w:r>
        <w:rPr>
          <w:rFonts w:hint="eastAsia"/>
          <w:b w:val="0"/>
          <w:bCs/>
          <w:highlight w:val="none"/>
        </w:rPr>
        <w:t>于</w:t>
      </w:r>
      <w:r>
        <w:rPr>
          <w:rFonts w:hint="eastAsia"/>
          <w:b w:val="0"/>
          <w:bCs/>
          <w:highlight w:val="none"/>
          <w:u w:val="single"/>
        </w:rPr>
        <w:t>（中型企业、</w:t>
      </w:r>
      <w:r>
        <w:rPr>
          <w:b w:val="0"/>
          <w:bCs/>
          <w:highlight w:val="none"/>
          <w:u w:val="single"/>
        </w:rPr>
        <w:t xml:space="preserve"> 小型企业、微型企业）</w:t>
      </w:r>
      <w:r>
        <w:rPr>
          <w:b w:val="0"/>
          <w:bCs/>
          <w:highlight w:val="none"/>
        </w:rPr>
        <w:t>；</w:t>
      </w:r>
    </w:p>
    <w:p w14:paraId="1B0DC479">
      <w:pPr>
        <w:pStyle w:val="9"/>
        <w:spacing w:line="360" w:lineRule="auto"/>
        <w:ind w:firstLine="480" w:firstLineChars="200"/>
        <w:jc w:val="left"/>
        <w:rPr>
          <w:b w:val="0"/>
          <w:bCs/>
          <w:highlight w:val="none"/>
        </w:rPr>
      </w:pPr>
      <w:r>
        <w:rPr>
          <w:b w:val="0"/>
          <w:bCs/>
          <w:highlight w:val="none"/>
        </w:rPr>
        <w:t xml:space="preserve">2. </w:t>
      </w:r>
      <w:r>
        <w:rPr>
          <w:b w:val="0"/>
          <w:bCs/>
          <w:highlight w:val="none"/>
          <w:u w:val="single"/>
        </w:rPr>
        <w:t xml:space="preserve"> （标的名称）</w:t>
      </w:r>
      <w:r>
        <w:rPr>
          <w:b w:val="0"/>
          <w:bCs/>
          <w:highlight w:val="none"/>
        </w:rPr>
        <w:t xml:space="preserve"> ，属于</w:t>
      </w:r>
      <w:r>
        <w:rPr>
          <w:b w:val="0"/>
          <w:bCs/>
          <w:highlight w:val="none"/>
          <w:u w:val="single"/>
        </w:rPr>
        <w:t>（采购文件中明确的所属行业）</w:t>
      </w:r>
      <w:r>
        <w:rPr>
          <w:b w:val="0"/>
          <w:bCs/>
          <w:highlight w:val="none"/>
        </w:rPr>
        <w:t>； 承建（承接）企业为</w:t>
      </w:r>
      <w:r>
        <w:rPr>
          <w:b w:val="0"/>
          <w:bCs/>
          <w:highlight w:val="none"/>
          <w:u w:val="single"/>
        </w:rPr>
        <w:t>（企业名称）</w:t>
      </w:r>
      <w:r>
        <w:rPr>
          <w:b w:val="0"/>
          <w:bCs/>
          <w:highlight w:val="none"/>
        </w:rPr>
        <w:t>，从业人员</w:t>
      </w:r>
      <w:r>
        <w:rPr>
          <w:b w:val="0"/>
          <w:bCs/>
          <w:highlight w:val="none"/>
          <w:u w:val="single"/>
        </w:rPr>
        <w:t xml:space="preserve"> </w:t>
      </w:r>
      <w:r>
        <w:rPr>
          <w:rFonts w:hint="eastAsia"/>
          <w:b w:val="0"/>
          <w:bCs/>
          <w:highlight w:val="none"/>
          <w:u w:val="single"/>
          <w:lang w:val="en-US"/>
        </w:rPr>
        <w:t xml:space="preserve"> </w:t>
      </w:r>
      <w:r>
        <w:rPr>
          <w:b w:val="0"/>
          <w:bCs/>
          <w:highlight w:val="none"/>
          <w:u w:val="single"/>
        </w:rPr>
        <w:t xml:space="preserve"> </w:t>
      </w:r>
      <w:r>
        <w:rPr>
          <w:b w:val="0"/>
          <w:bCs/>
          <w:highlight w:val="none"/>
        </w:rPr>
        <w:t>人，营业收入为</w:t>
      </w:r>
      <w:r>
        <w:rPr>
          <w:b w:val="0"/>
          <w:bCs/>
          <w:highlight w:val="none"/>
          <w:u w:val="single"/>
        </w:rPr>
        <w:t xml:space="preserve"> </w:t>
      </w:r>
      <w:r>
        <w:rPr>
          <w:rFonts w:hint="eastAsia"/>
          <w:b w:val="0"/>
          <w:bCs/>
          <w:highlight w:val="none"/>
          <w:u w:val="single"/>
          <w:lang w:val="en-US"/>
        </w:rPr>
        <w:t xml:space="preserve"> </w:t>
      </w:r>
      <w:r>
        <w:rPr>
          <w:b w:val="0"/>
          <w:bCs/>
          <w:highlight w:val="none"/>
          <w:u w:val="single"/>
        </w:rPr>
        <w:t xml:space="preserve"> </w:t>
      </w:r>
      <w:r>
        <w:rPr>
          <w:b w:val="0"/>
          <w:bCs/>
          <w:highlight w:val="none"/>
        </w:rPr>
        <w:t>万元，资产总额为</w:t>
      </w:r>
      <w:r>
        <w:rPr>
          <w:rFonts w:hint="eastAsia"/>
          <w:b w:val="0"/>
          <w:bCs/>
          <w:highlight w:val="none"/>
          <w:u w:val="single"/>
        </w:rPr>
        <w:t xml:space="preserve"> </w:t>
      </w:r>
      <w:r>
        <w:rPr>
          <w:rFonts w:hint="eastAsia"/>
          <w:b w:val="0"/>
          <w:bCs/>
          <w:highlight w:val="none"/>
          <w:u w:val="single"/>
          <w:lang w:val="en-US"/>
        </w:rPr>
        <w:t xml:space="preserve"> </w:t>
      </w:r>
      <w:r>
        <w:rPr>
          <w:b w:val="0"/>
          <w:bCs/>
          <w:highlight w:val="none"/>
          <w:u w:val="single"/>
        </w:rPr>
        <w:t xml:space="preserve"> </w:t>
      </w:r>
      <w:r>
        <w:rPr>
          <w:b w:val="0"/>
          <w:bCs/>
          <w:highlight w:val="none"/>
        </w:rPr>
        <w:t>万元，属</w:t>
      </w:r>
      <w:r>
        <w:rPr>
          <w:rFonts w:hint="eastAsia"/>
          <w:b w:val="0"/>
          <w:bCs/>
          <w:highlight w:val="none"/>
        </w:rPr>
        <w:t>于</w:t>
      </w:r>
      <w:r>
        <w:rPr>
          <w:rFonts w:hint="eastAsia"/>
          <w:b w:val="0"/>
          <w:bCs/>
          <w:highlight w:val="none"/>
          <w:u w:val="single"/>
        </w:rPr>
        <w:t>（中型企业、</w:t>
      </w:r>
      <w:r>
        <w:rPr>
          <w:b w:val="0"/>
          <w:bCs/>
          <w:highlight w:val="none"/>
          <w:u w:val="single"/>
        </w:rPr>
        <w:t xml:space="preserve"> 小型企业、微型企业）</w:t>
      </w:r>
      <w:r>
        <w:rPr>
          <w:b w:val="0"/>
          <w:bCs/>
          <w:highlight w:val="none"/>
        </w:rPr>
        <w:t>；</w:t>
      </w:r>
    </w:p>
    <w:p w14:paraId="5A224FBB">
      <w:pPr>
        <w:pStyle w:val="9"/>
        <w:spacing w:line="360" w:lineRule="auto"/>
        <w:ind w:firstLine="480" w:firstLineChars="200"/>
        <w:jc w:val="left"/>
        <w:rPr>
          <w:b w:val="0"/>
          <w:bCs/>
          <w:highlight w:val="none"/>
        </w:rPr>
      </w:pPr>
      <w:r>
        <w:rPr>
          <w:b w:val="0"/>
          <w:bCs/>
          <w:highlight w:val="none"/>
        </w:rPr>
        <w:t xml:space="preserve"> ……</w:t>
      </w:r>
    </w:p>
    <w:p w14:paraId="48E05038">
      <w:pPr>
        <w:pStyle w:val="9"/>
        <w:spacing w:line="360" w:lineRule="auto"/>
        <w:ind w:firstLine="480" w:firstLineChars="200"/>
        <w:jc w:val="left"/>
        <w:rPr>
          <w:b w:val="0"/>
          <w:bCs/>
          <w:highlight w:val="none"/>
        </w:rPr>
      </w:pPr>
      <w:r>
        <w:rPr>
          <w:b w:val="0"/>
          <w:bCs/>
          <w:highlight w:val="none"/>
        </w:rPr>
        <w:t>以上企业，不属于大企业的分支机构，不存在控股股东 为大企业的情形，也不存在与大企业的负责人为同一人的情 形。</w:t>
      </w:r>
    </w:p>
    <w:p w14:paraId="57198722">
      <w:pPr>
        <w:pStyle w:val="9"/>
        <w:spacing w:line="360" w:lineRule="auto"/>
        <w:ind w:firstLine="480" w:firstLineChars="200"/>
        <w:jc w:val="left"/>
        <w:rPr>
          <w:b w:val="0"/>
          <w:bCs/>
          <w:highlight w:val="none"/>
        </w:rPr>
      </w:pPr>
      <w:r>
        <w:rPr>
          <w:b w:val="0"/>
          <w:bCs/>
          <w:highlight w:val="none"/>
        </w:rPr>
        <w:t xml:space="preserve">本企业对上述声明内容的真实性负责。如有虚假，将依法承担相应责任。 </w:t>
      </w:r>
    </w:p>
    <w:p w14:paraId="05F0FD8E">
      <w:pPr>
        <w:pStyle w:val="9"/>
        <w:spacing w:line="360" w:lineRule="auto"/>
        <w:ind w:firstLine="480" w:firstLineChars="200"/>
        <w:jc w:val="left"/>
        <w:rPr>
          <w:b w:val="0"/>
          <w:bCs/>
          <w:highlight w:val="none"/>
        </w:rPr>
      </w:pPr>
      <w:r>
        <w:rPr>
          <w:b w:val="0"/>
          <w:bCs/>
          <w:highlight w:val="none"/>
        </w:rPr>
        <w:t>企业名称（盖章）：</w:t>
      </w:r>
    </w:p>
    <w:p w14:paraId="0C69F194">
      <w:pPr>
        <w:pStyle w:val="9"/>
        <w:spacing w:line="360" w:lineRule="auto"/>
        <w:ind w:firstLine="480" w:firstLineChars="200"/>
        <w:jc w:val="left"/>
        <w:rPr>
          <w:b w:val="0"/>
          <w:bCs/>
          <w:highlight w:val="none"/>
        </w:rPr>
      </w:pPr>
      <w:r>
        <w:rPr>
          <w:b w:val="0"/>
          <w:bCs/>
          <w:highlight w:val="none"/>
        </w:rPr>
        <w:t>日 期：</w:t>
      </w:r>
    </w:p>
    <w:p w14:paraId="7ABC46D0">
      <w:pPr>
        <w:pStyle w:val="9"/>
        <w:spacing w:line="360" w:lineRule="auto"/>
        <w:ind w:firstLine="482" w:firstLineChars="200"/>
        <w:jc w:val="left"/>
        <w:rPr>
          <w:highlight w:val="none"/>
        </w:rPr>
      </w:pPr>
      <w:r>
        <w:rPr>
          <w:rFonts w:hint="eastAsia"/>
          <w:highlight w:val="none"/>
        </w:rPr>
        <w:t>备注</w:t>
      </w:r>
      <w:r>
        <w:rPr>
          <w:highlight w:val="none"/>
        </w:rPr>
        <w:t>1：从业人员、营业收入、资产总额填报上一年度数据，无上一年度数据的新成立企业可不填报。</w:t>
      </w:r>
    </w:p>
    <w:p w14:paraId="1C163E68">
      <w:pPr>
        <w:pStyle w:val="9"/>
        <w:spacing w:line="360" w:lineRule="auto"/>
        <w:ind w:firstLine="482" w:firstLineChars="200"/>
        <w:jc w:val="left"/>
        <w:rPr>
          <w:highlight w:val="none"/>
        </w:rPr>
      </w:pPr>
      <w:r>
        <w:rPr>
          <w:rFonts w:hint="eastAsia"/>
          <w:highlight w:val="none"/>
        </w:rPr>
        <w:t>备注</w:t>
      </w:r>
      <w:r>
        <w:rPr>
          <w:highlight w:val="none"/>
        </w:rPr>
        <w:t>2：供应商如不提供此声明函，价格将不做相应扣除。</w:t>
      </w:r>
    </w:p>
    <w:p w14:paraId="57FB1981">
      <w:pPr>
        <w:pStyle w:val="9"/>
        <w:spacing w:line="360" w:lineRule="auto"/>
        <w:ind w:firstLine="482" w:firstLineChars="200"/>
        <w:jc w:val="left"/>
        <w:rPr>
          <w:highlight w:val="none"/>
        </w:rPr>
      </w:pPr>
      <w:r>
        <w:rPr>
          <w:rFonts w:hint="eastAsia"/>
          <w:highlight w:val="none"/>
        </w:rPr>
        <w:t>备注3：“中小企业划型标准”详见《关于印发中小企业划型标准规定的通知》工信部联企业〔</w:t>
      </w:r>
      <w:r>
        <w:rPr>
          <w:highlight w:val="none"/>
        </w:rPr>
        <w:t>2011〕300号，供应商也可登录中华人民共和国工信部官网，使用“中小企业规模类型自测小程序”进行企业规模自测。</w:t>
      </w:r>
    </w:p>
    <w:bookmarkEnd w:id="93"/>
    <w:p w14:paraId="387525BC">
      <w:pPr>
        <w:widowControl/>
        <w:autoSpaceDE/>
        <w:autoSpaceDN/>
        <w:spacing w:line="360" w:lineRule="auto"/>
        <w:rPr>
          <w:b/>
          <w:sz w:val="24"/>
          <w:szCs w:val="24"/>
          <w:highlight w:val="none"/>
        </w:rPr>
      </w:pPr>
      <w:r>
        <w:rPr>
          <w:b/>
          <w:sz w:val="24"/>
          <w:szCs w:val="24"/>
          <w:highlight w:val="none"/>
        </w:rPr>
        <w:br w:type="page"/>
      </w:r>
    </w:p>
    <w:p w14:paraId="159CE755">
      <w:pPr>
        <w:spacing w:line="360" w:lineRule="auto"/>
        <w:ind w:left="100"/>
        <w:outlineLvl w:val="3"/>
        <w:rPr>
          <w:b/>
          <w:sz w:val="24"/>
          <w:szCs w:val="24"/>
          <w:highlight w:val="none"/>
        </w:rPr>
      </w:pPr>
      <w:r>
        <w:rPr>
          <w:rFonts w:hint="eastAsia"/>
          <w:b/>
          <w:sz w:val="24"/>
          <w:szCs w:val="24"/>
          <w:highlight w:val="none"/>
        </w:rPr>
        <w:t>（</w:t>
      </w:r>
      <w:r>
        <w:rPr>
          <w:rFonts w:hint="eastAsia"/>
          <w:b/>
          <w:sz w:val="24"/>
          <w:szCs w:val="24"/>
          <w:highlight w:val="none"/>
          <w:lang w:val="en-US"/>
        </w:rPr>
        <w:t>2</w:t>
      </w:r>
      <w:r>
        <w:rPr>
          <w:rFonts w:hint="eastAsia"/>
          <w:b/>
          <w:sz w:val="24"/>
          <w:szCs w:val="24"/>
          <w:highlight w:val="none"/>
        </w:rPr>
        <w:t>）残疾人福利性单位声明函格式</w:t>
      </w:r>
    </w:p>
    <w:p w14:paraId="024EF769">
      <w:pPr>
        <w:spacing w:line="360" w:lineRule="auto"/>
        <w:ind w:firstLine="482" w:firstLineChars="200"/>
        <w:jc w:val="center"/>
        <w:rPr>
          <w:b/>
          <w:sz w:val="24"/>
          <w:szCs w:val="24"/>
          <w:highlight w:val="none"/>
        </w:rPr>
      </w:pPr>
    </w:p>
    <w:p w14:paraId="18F4502E">
      <w:pPr>
        <w:spacing w:line="360" w:lineRule="auto"/>
        <w:ind w:firstLine="482" w:firstLineChars="200"/>
        <w:jc w:val="center"/>
        <w:rPr>
          <w:sz w:val="24"/>
          <w:szCs w:val="24"/>
          <w:highlight w:val="none"/>
        </w:rPr>
      </w:pPr>
      <w:r>
        <w:rPr>
          <w:rFonts w:hint="eastAsia"/>
          <w:b/>
          <w:sz w:val="24"/>
          <w:szCs w:val="24"/>
          <w:highlight w:val="none"/>
        </w:rPr>
        <w:t>残疾人福利性单位声明函</w:t>
      </w:r>
    </w:p>
    <w:p w14:paraId="530FAF5C">
      <w:pPr>
        <w:spacing w:line="360" w:lineRule="auto"/>
        <w:ind w:firstLine="480" w:firstLineChars="200"/>
        <w:rPr>
          <w:sz w:val="24"/>
          <w:szCs w:val="24"/>
          <w:highlight w:val="none"/>
        </w:rPr>
      </w:pPr>
    </w:p>
    <w:p w14:paraId="1C3334C9">
      <w:pPr>
        <w:spacing w:line="360" w:lineRule="auto"/>
        <w:ind w:firstLine="480" w:firstLineChars="200"/>
        <w:rPr>
          <w:sz w:val="24"/>
          <w:szCs w:val="24"/>
          <w:highlight w:val="none"/>
        </w:rPr>
      </w:pPr>
      <w:r>
        <w:rPr>
          <w:rFonts w:hint="eastAsia"/>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sz w:val="24"/>
          <w:szCs w:val="24"/>
          <w:highlight w:val="none"/>
          <w:u w:val="single"/>
        </w:rPr>
        <w:t xml:space="preserve"> </w:t>
      </w:r>
      <w:r>
        <w:rPr>
          <w:rFonts w:hint="eastAsia"/>
          <w:sz w:val="24"/>
          <w:szCs w:val="24"/>
          <w:highlight w:val="none"/>
          <w:u w:val="single"/>
          <w:lang w:val="en-US"/>
        </w:rPr>
        <w:t xml:space="preserve"> </w:t>
      </w:r>
      <w:r>
        <w:rPr>
          <w:rFonts w:hint="eastAsia"/>
          <w:sz w:val="24"/>
          <w:szCs w:val="24"/>
          <w:highlight w:val="none"/>
          <w:u w:val="single"/>
        </w:rPr>
        <w:t xml:space="preserve">              </w:t>
      </w:r>
      <w:r>
        <w:rPr>
          <w:rFonts w:hint="eastAsia"/>
          <w:sz w:val="24"/>
          <w:szCs w:val="24"/>
          <w:highlight w:val="none"/>
        </w:rPr>
        <w:t>单位的</w:t>
      </w:r>
      <w:r>
        <w:rPr>
          <w:rFonts w:hint="eastAsia"/>
          <w:sz w:val="24"/>
          <w:szCs w:val="24"/>
          <w:highlight w:val="none"/>
          <w:u w:val="single"/>
        </w:rPr>
        <w:t xml:space="preserve">              </w:t>
      </w:r>
      <w:r>
        <w:rPr>
          <w:rFonts w:hint="eastAsia"/>
          <w:sz w:val="24"/>
          <w:szCs w:val="24"/>
          <w:highlight w:val="none"/>
        </w:rPr>
        <w:t>项目采购活动提供本单位制造的货物（由本单位承担工程/提供服务），或者提供其他残疾人福利性单位制造的货物（不包括使用非残疾人福利性单位注册商标的货物）。</w:t>
      </w:r>
    </w:p>
    <w:p w14:paraId="118A4F76">
      <w:pPr>
        <w:spacing w:line="360" w:lineRule="auto"/>
        <w:rPr>
          <w:sz w:val="24"/>
          <w:szCs w:val="24"/>
          <w:highlight w:val="none"/>
        </w:rPr>
      </w:pPr>
      <w:r>
        <w:rPr>
          <w:rFonts w:hint="eastAsia"/>
          <w:sz w:val="24"/>
          <w:szCs w:val="24"/>
          <w:highlight w:val="none"/>
        </w:rPr>
        <w:t>本单位对上述声明的真实性负责。如有虚假，将依法承担相应责任。</w:t>
      </w:r>
    </w:p>
    <w:p w14:paraId="684F26E7">
      <w:pPr>
        <w:spacing w:line="360" w:lineRule="auto"/>
        <w:rPr>
          <w:sz w:val="24"/>
          <w:szCs w:val="24"/>
          <w:highlight w:val="none"/>
        </w:rPr>
      </w:pPr>
    </w:p>
    <w:p w14:paraId="50952778">
      <w:pPr>
        <w:spacing w:line="360" w:lineRule="auto"/>
        <w:ind w:firstLine="4560" w:firstLineChars="1900"/>
        <w:rPr>
          <w:sz w:val="24"/>
          <w:szCs w:val="24"/>
          <w:highlight w:val="none"/>
        </w:rPr>
      </w:pPr>
      <w:r>
        <w:rPr>
          <w:rFonts w:hint="eastAsia"/>
          <w:sz w:val="24"/>
          <w:szCs w:val="24"/>
          <w:highlight w:val="none"/>
        </w:rPr>
        <w:t xml:space="preserve">单位名称（盖章）： </w:t>
      </w:r>
    </w:p>
    <w:p w14:paraId="402FDAA9">
      <w:pPr>
        <w:spacing w:line="360" w:lineRule="auto"/>
        <w:ind w:firstLine="4560" w:firstLineChars="1900"/>
        <w:rPr>
          <w:sz w:val="24"/>
          <w:szCs w:val="24"/>
          <w:highlight w:val="none"/>
        </w:rPr>
      </w:pPr>
      <w:r>
        <w:rPr>
          <w:rFonts w:hint="eastAsia"/>
          <w:sz w:val="24"/>
          <w:szCs w:val="24"/>
          <w:highlight w:val="none"/>
        </w:rPr>
        <w:t>日</w:t>
      </w:r>
      <w:r>
        <w:rPr>
          <w:rFonts w:hint="eastAsia"/>
          <w:sz w:val="24"/>
          <w:szCs w:val="24"/>
          <w:highlight w:val="none"/>
        </w:rPr>
        <w:tab/>
      </w:r>
      <w:r>
        <w:rPr>
          <w:rFonts w:hint="eastAsia"/>
          <w:sz w:val="24"/>
          <w:szCs w:val="24"/>
          <w:highlight w:val="none"/>
        </w:rPr>
        <w:t>期：</w:t>
      </w:r>
    </w:p>
    <w:p w14:paraId="1156EAEA">
      <w:pPr>
        <w:spacing w:line="360" w:lineRule="auto"/>
        <w:ind w:left="100"/>
        <w:outlineLvl w:val="3"/>
        <w:rPr>
          <w:b/>
          <w:sz w:val="24"/>
          <w:szCs w:val="24"/>
          <w:highlight w:val="none"/>
        </w:rPr>
      </w:pPr>
      <w:r>
        <w:rPr>
          <w:rFonts w:hint="eastAsia"/>
          <w:b/>
          <w:sz w:val="24"/>
          <w:szCs w:val="24"/>
          <w:highlight w:val="none"/>
        </w:rPr>
        <w:t>（</w:t>
      </w:r>
      <w:r>
        <w:rPr>
          <w:rFonts w:hint="eastAsia"/>
          <w:b/>
          <w:sz w:val="24"/>
          <w:szCs w:val="24"/>
          <w:highlight w:val="none"/>
          <w:lang w:val="en-US"/>
        </w:rPr>
        <w:t>3</w:t>
      </w:r>
      <w:r>
        <w:rPr>
          <w:rFonts w:hint="eastAsia"/>
          <w:b/>
          <w:sz w:val="24"/>
          <w:szCs w:val="24"/>
          <w:highlight w:val="none"/>
        </w:rPr>
        <w:t>）属于监狱企业的证明文件</w:t>
      </w:r>
    </w:p>
    <w:p w14:paraId="402C8C6B">
      <w:pPr>
        <w:spacing w:line="360" w:lineRule="auto"/>
        <w:ind w:firstLine="480" w:firstLineChars="200"/>
        <w:rPr>
          <w:sz w:val="24"/>
          <w:szCs w:val="24"/>
          <w:highlight w:val="none"/>
        </w:rPr>
      </w:pPr>
      <w:r>
        <w:rPr>
          <w:rFonts w:hint="eastAsia"/>
          <w:sz w:val="24"/>
          <w:szCs w:val="24"/>
          <w:highlight w:val="none"/>
        </w:rPr>
        <w:t>提供由省级以上监狱管理局、戒毒管理局(含新疆生产建设兵团)出具的属于监狱企业的证明文件</w:t>
      </w:r>
    </w:p>
    <w:p w14:paraId="733311BC">
      <w:pPr>
        <w:spacing w:line="360" w:lineRule="auto"/>
        <w:rPr>
          <w:sz w:val="24"/>
          <w:szCs w:val="24"/>
          <w:highlight w:val="none"/>
          <w:lang w:val="en-US"/>
        </w:rPr>
      </w:pPr>
      <w:r>
        <w:rPr>
          <w:rFonts w:hint="eastAsia"/>
          <w:sz w:val="24"/>
          <w:szCs w:val="24"/>
          <w:highlight w:val="none"/>
          <w:lang w:val="en-US"/>
        </w:rPr>
        <w:br w:type="page"/>
      </w:r>
    </w:p>
    <w:p w14:paraId="5316E907">
      <w:pPr>
        <w:pStyle w:val="3"/>
        <w:adjustRightInd w:val="0"/>
        <w:snapToGrid w:val="0"/>
        <w:spacing w:line="360" w:lineRule="auto"/>
        <w:ind w:left="0" w:firstLine="0"/>
        <w:jc w:val="both"/>
        <w:rPr>
          <w:sz w:val="24"/>
          <w:szCs w:val="24"/>
          <w:highlight w:val="none"/>
          <w:u w:val="none"/>
          <w:lang w:val="en-US"/>
        </w:rPr>
      </w:pPr>
      <w:bookmarkStart w:id="94" w:name="_Toc225524688"/>
      <w:r>
        <w:rPr>
          <w:rFonts w:hint="eastAsia"/>
          <w:sz w:val="24"/>
          <w:szCs w:val="24"/>
          <w:highlight w:val="none"/>
          <w:u w:val="none"/>
          <w:lang w:val="en-US"/>
        </w:rPr>
        <w:t>六、其他部分</w:t>
      </w:r>
      <w:bookmarkEnd w:id="94"/>
    </w:p>
    <w:p w14:paraId="7EDEBAE6">
      <w:pPr>
        <w:pStyle w:val="4"/>
        <w:adjustRightInd w:val="0"/>
        <w:snapToGrid w:val="0"/>
        <w:spacing w:line="360" w:lineRule="auto"/>
        <w:jc w:val="both"/>
        <w:rPr>
          <w:rFonts w:ascii="宋体" w:eastAsia="宋体" w:cs="宋体"/>
          <w:b/>
          <w:sz w:val="24"/>
          <w:szCs w:val="24"/>
          <w:highlight w:val="none"/>
        </w:rPr>
      </w:pPr>
      <w:r>
        <w:rPr>
          <w:rFonts w:hint="eastAsia" w:ascii="宋体" w:eastAsia="宋体" w:cs="宋体"/>
          <w:b/>
          <w:bCs/>
          <w:sz w:val="24"/>
          <w:szCs w:val="24"/>
          <w:highlight w:val="none"/>
          <w:lang w:val="en-US" w:bidi="ja-JP"/>
        </w:rPr>
        <w:t>6.1、政府采购投标担保函（如有需要）</w:t>
      </w:r>
    </w:p>
    <w:p w14:paraId="54E0A461">
      <w:pPr>
        <w:pStyle w:val="9"/>
        <w:spacing w:line="360" w:lineRule="auto"/>
        <w:ind w:firstLine="482" w:firstLineChars="200"/>
        <w:jc w:val="left"/>
        <w:rPr>
          <w:highlight w:val="none"/>
        </w:rPr>
      </w:pPr>
      <w:r>
        <w:rPr>
          <w:rFonts w:hint="eastAsia"/>
          <w:highlight w:val="none"/>
        </w:rPr>
        <w:t>致：</w:t>
      </w:r>
      <w:r>
        <w:rPr>
          <w:rFonts w:hint="eastAsia"/>
          <w:highlight w:val="none"/>
          <w:lang w:val="en-US"/>
        </w:rPr>
        <w:t>江苏金永诚建设投资管理咨询有限公司</w:t>
      </w:r>
    </w:p>
    <w:p w14:paraId="04CD1ED5">
      <w:pPr>
        <w:pStyle w:val="9"/>
        <w:spacing w:line="360" w:lineRule="auto"/>
        <w:ind w:firstLine="482" w:firstLineChars="200"/>
        <w:jc w:val="left"/>
        <w:rPr>
          <w:highlight w:val="none"/>
        </w:rPr>
      </w:pPr>
      <w:r>
        <w:rPr>
          <w:rFonts w:hint="eastAsia"/>
          <w:highlight w:val="none"/>
        </w:rPr>
        <w:t>鉴于</w:t>
      </w:r>
      <w:r>
        <w:rPr>
          <w:rFonts w:hint="eastAsia"/>
          <w:highlight w:val="none"/>
          <w:u w:val="single"/>
        </w:rPr>
        <w:t xml:space="preserve"> </w:t>
      </w:r>
      <w:r>
        <w:rPr>
          <w:rFonts w:hint="eastAsia"/>
          <w:highlight w:val="none"/>
          <w:u w:val="single"/>
        </w:rPr>
        <w:tab/>
      </w:r>
      <w:r>
        <w:rPr>
          <w:rFonts w:hint="eastAsia"/>
          <w:highlight w:val="none"/>
        </w:rPr>
        <w:t>（以下简称“投标人”）拟参加编号为</w:t>
      </w:r>
      <w:r>
        <w:rPr>
          <w:rFonts w:hint="eastAsia"/>
          <w:highlight w:val="none"/>
          <w:u w:val="single"/>
        </w:rPr>
        <w:t xml:space="preserve"> </w:t>
      </w:r>
      <w:r>
        <w:rPr>
          <w:rFonts w:hint="eastAsia"/>
          <w:highlight w:val="none"/>
          <w:u w:val="single"/>
          <w:lang w:val="en-US"/>
        </w:rPr>
        <w:t xml:space="preserve">            </w:t>
      </w:r>
      <w:r>
        <w:rPr>
          <w:rFonts w:hint="eastAsia"/>
          <w:highlight w:val="none"/>
        </w:rPr>
        <w:t>的</w:t>
      </w:r>
    </w:p>
    <w:p w14:paraId="0CDF5B74">
      <w:pPr>
        <w:pStyle w:val="9"/>
        <w:spacing w:line="360" w:lineRule="auto"/>
        <w:ind w:firstLine="482" w:firstLineChars="200"/>
        <w:jc w:val="left"/>
        <w:rPr>
          <w:highlight w:val="none"/>
        </w:rPr>
      </w:pPr>
      <w:r>
        <w:rPr>
          <w:rFonts w:hint="eastAsia"/>
          <w:highlight w:val="none"/>
          <w:u w:val="single"/>
        </w:rPr>
        <w:t xml:space="preserve"> </w:t>
      </w:r>
      <w:r>
        <w:rPr>
          <w:rFonts w:hint="eastAsia"/>
          <w:highlight w:val="none"/>
          <w:u w:val="single"/>
        </w:rPr>
        <w:tab/>
      </w:r>
      <w:r>
        <w:rPr>
          <w:rFonts w:hint="eastAsia"/>
          <w:highlight w:val="none"/>
        </w:rPr>
        <w:t>项目（以下简称“本项目”</w:t>
      </w:r>
      <w:r>
        <w:rPr>
          <w:rFonts w:hint="eastAsia"/>
          <w:spacing w:val="3"/>
          <w:highlight w:val="none"/>
        </w:rPr>
        <w:t>）</w:t>
      </w:r>
      <w:r>
        <w:rPr>
          <w:rFonts w:hint="eastAsia"/>
          <w:highlight w:val="none"/>
        </w:rPr>
        <w:t>投标，根据本项目招标文件，投标人</w:t>
      </w:r>
      <w:r>
        <w:rPr>
          <w:rFonts w:hint="eastAsia"/>
          <w:spacing w:val="-4"/>
          <w:highlight w:val="none"/>
        </w:rPr>
        <w:t>参加投标时应向你方交纳投标保证金，且可以投标担保函的形式交纳投标保证金。应</w:t>
      </w:r>
      <w:r>
        <w:rPr>
          <w:rFonts w:hint="eastAsia"/>
          <w:highlight w:val="none"/>
        </w:rPr>
        <w:t>投标人的申请，我方以保证的方式向你方提供如下投标保证金担保：</w:t>
      </w:r>
    </w:p>
    <w:p w14:paraId="56173AB9">
      <w:pPr>
        <w:pStyle w:val="9"/>
        <w:spacing w:line="360" w:lineRule="auto"/>
        <w:ind w:firstLine="482" w:firstLineChars="200"/>
        <w:jc w:val="left"/>
        <w:rPr>
          <w:highlight w:val="none"/>
        </w:rPr>
      </w:pPr>
      <w:r>
        <w:rPr>
          <w:rFonts w:hint="eastAsia"/>
          <w:highlight w:val="none"/>
        </w:rPr>
        <w:t>一、保证责任的情形及保证金额</w:t>
      </w:r>
    </w:p>
    <w:p w14:paraId="32074598">
      <w:pPr>
        <w:pStyle w:val="9"/>
        <w:spacing w:line="360" w:lineRule="auto"/>
        <w:ind w:firstLine="482" w:firstLineChars="200"/>
        <w:jc w:val="left"/>
        <w:rPr>
          <w:highlight w:val="none"/>
        </w:rPr>
      </w:pPr>
      <w:r>
        <w:rPr>
          <w:rFonts w:hint="eastAsia"/>
          <w:highlight w:val="none"/>
        </w:rPr>
        <w:t>（一）在投标人出现下列情形之一时，我方承担保证责任：</w:t>
      </w:r>
    </w:p>
    <w:p w14:paraId="32FB69A1">
      <w:pPr>
        <w:pStyle w:val="26"/>
        <w:tabs>
          <w:tab w:val="left" w:pos="980"/>
        </w:tabs>
        <w:adjustRightInd w:val="0"/>
        <w:snapToGrid w:val="0"/>
        <w:spacing w:line="360" w:lineRule="auto"/>
        <w:ind w:left="-361" w:firstLine="480" w:firstLineChars="200"/>
        <w:rPr>
          <w:sz w:val="24"/>
          <w:szCs w:val="24"/>
          <w:highlight w:val="none"/>
        </w:rPr>
      </w:pPr>
      <w:r>
        <w:rPr>
          <w:rFonts w:hint="eastAsia"/>
          <w:sz w:val="24"/>
          <w:szCs w:val="24"/>
          <w:highlight w:val="none"/>
          <w:lang w:val="en-US"/>
        </w:rPr>
        <w:t>1.</w:t>
      </w:r>
      <w:r>
        <w:rPr>
          <w:rFonts w:hint="eastAsia"/>
          <w:sz w:val="24"/>
          <w:szCs w:val="24"/>
          <w:highlight w:val="none"/>
        </w:rPr>
        <w:t>中标后投标人无正当理由不与采购人签订《政府采购合同》；</w:t>
      </w:r>
    </w:p>
    <w:p w14:paraId="5A7AA012">
      <w:pPr>
        <w:pStyle w:val="26"/>
        <w:tabs>
          <w:tab w:val="left" w:pos="980"/>
        </w:tabs>
        <w:adjustRightInd w:val="0"/>
        <w:snapToGrid w:val="0"/>
        <w:spacing w:line="360" w:lineRule="auto"/>
        <w:ind w:left="-361" w:firstLine="480" w:firstLineChars="200"/>
        <w:rPr>
          <w:sz w:val="24"/>
          <w:szCs w:val="24"/>
          <w:highlight w:val="none"/>
        </w:rPr>
      </w:pPr>
      <w:r>
        <w:rPr>
          <w:rFonts w:hint="eastAsia"/>
          <w:sz w:val="24"/>
          <w:szCs w:val="24"/>
          <w:highlight w:val="none"/>
          <w:lang w:val="en-US"/>
        </w:rPr>
        <w:t>2.</w:t>
      </w:r>
      <w:r>
        <w:rPr>
          <w:rFonts w:hint="eastAsia"/>
          <w:sz w:val="24"/>
          <w:szCs w:val="24"/>
          <w:highlight w:val="none"/>
        </w:rPr>
        <w:t>招标文件规定的投标人应当缴纳保证金的其他情形。</w:t>
      </w:r>
    </w:p>
    <w:p w14:paraId="2B754A72">
      <w:pPr>
        <w:pStyle w:val="9"/>
        <w:spacing w:line="360" w:lineRule="auto"/>
        <w:ind w:firstLine="482" w:firstLineChars="200"/>
        <w:jc w:val="left"/>
        <w:rPr>
          <w:highlight w:val="none"/>
        </w:rPr>
      </w:pPr>
      <w:r>
        <w:rPr>
          <w:rFonts w:hint="eastAsia"/>
          <w:highlight w:val="none"/>
        </w:rPr>
        <w:t>（二</w:t>
      </w:r>
      <w:r>
        <w:rPr>
          <w:rFonts w:hint="eastAsia"/>
          <w:spacing w:val="-15"/>
          <w:highlight w:val="none"/>
        </w:rPr>
        <w:t>）</w:t>
      </w:r>
      <w:r>
        <w:rPr>
          <w:rFonts w:hint="eastAsia"/>
          <w:highlight w:val="none"/>
        </w:rPr>
        <w:t>我方承担保证责任的最高金额为人民币</w:t>
      </w:r>
      <w:r>
        <w:rPr>
          <w:rFonts w:hint="eastAsia"/>
          <w:highlight w:val="none"/>
          <w:u w:val="single"/>
        </w:rPr>
        <w:t xml:space="preserve"> </w:t>
      </w:r>
      <w:r>
        <w:rPr>
          <w:rFonts w:hint="eastAsia"/>
          <w:highlight w:val="none"/>
          <w:u w:val="single"/>
        </w:rPr>
        <w:tab/>
      </w:r>
      <w:r>
        <w:rPr>
          <w:rFonts w:hint="eastAsia"/>
          <w:spacing w:val="-12"/>
          <w:highlight w:val="none"/>
        </w:rPr>
        <w:t>元</w:t>
      </w:r>
      <w:r>
        <w:rPr>
          <w:rFonts w:hint="eastAsia"/>
          <w:highlight w:val="none"/>
        </w:rPr>
        <w:t>（大写</w:t>
      </w:r>
      <w:r>
        <w:rPr>
          <w:rFonts w:hint="eastAsia"/>
          <w:highlight w:val="none"/>
          <w:u w:val="single"/>
        </w:rPr>
        <w:t xml:space="preserve"> </w:t>
      </w:r>
      <w:r>
        <w:rPr>
          <w:rFonts w:hint="eastAsia"/>
          <w:highlight w:val="none"/>
          <w:u w:val="single"/>
        </w:rPr>
        <w:tab/>
      </w:r>
      <w:r>
        <w:rPr>
          <w:rFonts w:hint="eastAsia"/>
          <w:spacing w:val="-14"/>
          <w:highlight w:val="none"/>
        </w:rPr>
        <w:t>），</w:t>
      </w:r>
      <w:r>
        <w:rPr>
          <w:rFonts w:hint="eastAsia"/>
          <w:highlight w:val="none"/>
        </w:rPr>
        <w:t>即本</w:t>
      </w:r>
      <w:r>
        <w:rPr>
          <w:rFonts w:hint="eastAsia"/>
          <w:spacing w:val="-18"/>
          <w:highlight w:val="none"/>
        </w:rPr>
        <w:t>项</w:t>
      </w:r>
      <w:r>
        <w:rPr>
          <w:rFonts w:hint="eastAsia"/>
          <w:highlight w:val="none"/>
        </w:rPr>
        <w:t>目的投标保证金金额。</w:t>
      </w:r>
    </w:p>
    <w:p w14:paraId="0CC8A38E">
      <w:pPr>
        <w:pStyle w:val="9"/>
        <w:spacing w:line="360" w:lineRule="auto"/>
        <w:ind w:firstLine="482" w:firstLineChars="200"/>
        <w:jc w:val="left"/>
        <w:rPr>
          <w:highlight w:val="none"/>
        </w:rPr>
      </w:pPr>
      <w:r>
        <w:rPr>
          <w:rFonts w:hint="eastAsia"/>
          <w:highlight w:val="none"/>
        </w:rPr>
        <w:t>二、保证的方式及保证期间</w:t>
      </w:r>
    </w:p>
    <w:p w14:paraId="17392124">
      <w:pPr>
        <w:pStyle w:val="9"/>
        <w:spacing w:line="360" w:lineRule="auto"/>
        <w:ind w:firstLine="482" w:firstLineChars="200"/>
        <w:jc w:val="left"/>
        <w:rPr>
          <w:highlight w:val="none"/>
        </w:rPr>
      </w:pPr>
      <w:r>
        <w:rPr>
          <w:rFonts w:hint="eastAsia"/>
          <w:highlight w:val="none"/>
        </w:rPr>
        <w:t>我方保证的方式为：连带责任保证。</w:t>
      </w:r>
    </w:p>
    <w:p w14:paraId="541A8325">
      <w:pPr>
        <w:pStyle w:val="9"/>
        <w:spacing w:line="360" w:lineRule="auto"/>
        <w:ind w:firstLine="482" w:firstLineChars="200"/>
        <w:jc w:val="left"/>
        <w:rPr>
          <w:spacing w:val="-17"/>
          <w:highlight w:val="none"/>
        </w:rPr>
      </w:pPr>
      <w:r>
        <w:rPr>
          <w:rFonts w:hint="eastAsia"/>
          <w:highlight w:val="none"/>
        </w:rPr>
        <w:t>我方的保证期间为：自本保函生效之日起</w:t>
      </w:r>
      <w:r>
        <w:rPr>
          <w:rFonts w:hint="eastAsia"/>
          <w:highlight w:val="none"/>
          <w:u w:val="single"/>
        </w:rPr>
        <w:t xml:space="preserve"> </w:t>
      </w:r>
      <w:r>
        <w:rPr>
          <w:rFonts w:hint="eastAsia"/>
          <w:highlight w:val="none"/>
          <w:u w:val="single"/>
        </w:rPr>
        <w:tab/>
      </w:r>
      <w:r>
        <w:rPr>
          <w:rFonts w:hint="eastAsia"/>
          <w:highlight w:val="none"/>
        </w:rPr>
        <w:t>个月止</w:t>
      </w:r>
      <w:r>
        <w:rPr>
          <w:rFonts w:hint="eastAsia"/>
          <w:spacing w:val="-17"/>
          <w:highlight w:val="none"/>
        </w:rPr>
        <w:t>。</w:t>
      </w:r>
    </w:p>
    <w:p w14:paraId="4FFFA2C3">
      <w:pPr>
        <w:pStyle w:val="9"/>
        <w:spacing w:line="360" w:lineRule="auto"/>
        <w:ind w:firstLine="482" w:firstLineChars="200"/>
        <w:jc w:val="left"/>
        <w:rPr>
          <w:highlight w:val="none"/>
        </w:rPr>
      </w:pPr>
      <w:r>
        <w:rPr>
          <w:rFonts w:hint="eastAsia"/>
          <w:highlight w:val="none"/>
        </w:rPr>
        <w:t>三、承担保证责任的程序</w:t>
      </w:r>
    </w:p>
    <w:p w14:paraId="77FEAF4B">
      <w:pPr>
        <w:pStyle w:val="26"/>
        <w:tabs>
          <w:tab w:val="left" w:pos="981"/>
        </w:tabs>
        <w:adjustRightInd w:val="0"/>
        <w:snapToGrid w:val="0"/>
        <w:spacing w:line="360" w:lineRule="auto"/>
        <w:ind w:left="0" w:firstLine="480" w:firstLineChars="200"/>
        <w:rPr>
          <w:sz w:val="24"/>
          <w:szCs w:val="24"/>
          <w:highlight w:val="none"/>
        </w:rPr>
      </w:pPr>
      <w:r>
        <w:rPr>
          <w:rFonts w:hint="eastAsia"/>
          <w:sz w:val="24"/>
          <w:szCs w:val="24"/>
          <w:highlight w:val="none"/>
          <w:lang w:val="en-US"/>
        </w:rPr>
        <w:t>1.</w:t>
      </w:r>
      <w:r>
        <w:rPr>
          <w:rFonts w:hint="eastAsia"/>
          <w:sz w:val="24"/>
          <w:szCs w:val="24"/>
          <w:highlight w:val="none"/>
        </w:rPr>
        <w:t>你方要求我方承担保证责任的，应在本保函保证期间内向我方发出书面索赔通知。</w:t>
      </w:r>
      <w:r>
        <w:rPr>
          <w:rFonts w:hint="eastAsia"/>
          <w:spacing w:val="-4"/>
          <w:sz w:val="24"/>
          <w:szCs w:val="24"/>
          <w:highlight w:val="none"/>
        </w:rPr>
        <w:t>索赔通知应写明要求索赔的金额，支付款项应到达的账号，并附有证明投标人发生我方</w:t>
      </w:r>
      <w:r>
        <w:rPr>
          <w:rFonts w:hint="eastAsia"/>
          <w:sz w:val="24"/>
          <w:szCs w:val="24"/>
          <w:highlight w:val="none"/>
        </w:rPr>
        <w:t>应承担保证责任情形的事实材料。</w:t>
      </w:r>
    </w:p>
    <w:p w14:paraId="2C290874">
      <w:pPr>
        <w:pStyle w:val="26"/>
        <w:tabs>
          <w:tab w:val="left" w:pos="981"/>
          <w:tab w:val="left" w:pos="6061"/>
        </w:tabs>
        <w:adjustRightInd w:val="0"/>
        <w:snapToGrid w:val="0"/>
        <w:spacing w:line="360" w:lineRule="auto"/>
        <w:ind w:left="0" w:firstLine="480" w:firstLineChars="200"/>
        <w:rPr>
          <w:sz w:val="24"/>
          <w:szCs w:val="24"/>
          <w:highlight w:val="none"/>
        </w:rPr>
      </w:pPr>
      <w:r>
        <w:rPr>
          <w:rFonts w:hint="eastAsia"/>
          <w:sz w:val="24"/>
          <w:szCs w:val="24"/>
          <w:highlight w:val="none"/>
          <w:lang w:val="en-US"/>
        </w:rPr>
        <w:t>2.</w:t>
      </w:r>
      <w:r>
        <w:rPr>
          <w:rFonts w:hint="eastAsia"/>
          <w:sz w:val="24"/>
          <w:szCs w:val="24"/>
          <w:highlight w:val="none"/>
        </w:rPr>
        <w:t>我方在收到索赔通知及相关证明材料后，在</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rPr>
        <w:t>个工作日内进行审查，符合应承</w:t>
      </w:r>
      <w:r>
        <w:rPr>
          <w:rFonts w:hint="eastAsia"/>
          <w:spacing w:val="-13"/>
          <w:sz w:val="24"/>
          <w:szCs w:val="24"/>
          <w:highlight w:val="none"/>
        </w:rPr>
        <w:t>担</w:t>
      </w:r>
      <w:r>
        <w:rPr>
          <w:rFonts w:hint="eastAsia"/>
          <w:sz w:val="24"/>
          <w:szCs w:val="24"/>
          <w:highlight w:val="none"/>
        </w:rPr>
        <w:t>保证责任情形的，我方应按照你方的要求代投标人向你方支付投标保证金。</w:t>
      </w:r>
    </w:p>
    <w:p w14:paraId="290D2052">
      <w:pPr>
        <w:pStyle w:val="9"/>
        <w:spacing w:line="360" w:lineRule="auto"/>
        <w:ind w:firstLine="482" w:firstLineChars="200"/>
        <w:jc w:val="left"/>
        <w:rPr>
          <w:highlight w:val="none"/>
        </w:rPr>
      </w:pPr>
      <w:r>
        <w:rPr>
          <w:rFonts w:hint="eastAsia"/>
          <w:highlight w:val="none"/>
        </w:rPr>
        <w:t>四、保证责任的终止</w:t>
      </w:r>
    </w:p>
    <w:p w14:paraId="5A99EFB4">
      <w:pPr>
        <w:pStyle w:val="26"/>
        <w:tabs>
          <w:tab w:val="left" w:pos="981"/>
        </w:tabs>
        <w:adjustRightInd w:val="0"/>
        <w:snapToGrid w:val="0"/>
        <w:spacing w:line="360" w:lineRule="auto"/>
        <w:ind w:left="0" w:firstLine="480" w:firstLineChars="200"/>
        <w:rPr>
          <w:sz w:val="24"/>
          <w:szCs w:val="24"/>
          <w:highlight w:val="none"/>
        </w:rPr>
      </w:pPr>
      <w:r>
        <w:rPr>
          <w:rFonts w:hint="eastAsia"/>
          <w:sz w:val="24"/>
          <w:szCs w:val="24"/>
          <w:highlight w:val="none"/>
          <w:lang w:val="en-US"/>
        </w:rPr>
        <w:t>1.</w:t>
      </w:r>
      <w:r>
        <w:rPr>
          <w:rFonts w:hint="eastAsia"/>
          <w:sz w:val="24"/>
          <w:szCs w:val="24"/>
          <w:highlight w:val="none"/>
        </w:rPr>
        <w:t>保证期间届满你方未向我方书面主张保证责任的，自保证期间届满次日起，我方保证责任自动终止。</w:t>
      </w:r>
    </w:p>
    <w:p w14:paraId="5F1893D1">
      <w:pPr>
        <w:pStyle w:val="26"/>
        <w:tabs>
          <w:tab w:val="left" w:pos="981"/>
        </w:tabs>
        <w:adjustRightInd w:val="0"/>
        <w:snapToGrid w:val="0"/>
        <w:spacing w:line="360" w:lineRule="auto"/>
        <w:ind w:left="0" w:firstLine="480" w:firstLineChars="200"/>
        <w:rPr>
          <w:sz w:val="24"/>
          <w:szCs w:val="24"/>
          <w:highlight w:val="none"/>
        </w:rPr>
      </w:pPr>
      <w:r>
        <w:rPr>
          <w:rFonts w:hint="eastAsia"/>
          <w:sz w:val="24"/>
          <w:szCs w:val="24"/>
          <w:highlight w:val="none"/>
          <w:lang w:val="en-US"/>
        </w:rPr>
        <w:t>2.</w:t>
      </w:r>
      <w:r>
        <w:rPr>
          <w:rFonts w:hint="eastAsia"/>
          <w:sz w:val="24"/>
          <w:szCs w:val="24"/>
          <w:highlight w:val="none"/>
        </w:rPr>
        <w:t>我方按照本保函向你贵方履行了保证责任后，自我方向你贵方支付款项（支付款项从我方账户划出）之日起，保证责任终止。</w:t>
      </w:r>
    </w:p>
    <w:p w14:paraId="2D4EC3B7">
      <w:pPr>
        <w:pStyle w:val="9"/>
        <w:spacing w:line="360" w:lineRule="auto"/>
        <w:ind w:firstLine="482" w:firstLineChars="200"/>
        <w:jc w:val="left"/>
        <w:rPr>
          <w:highlight w:val="none"/>
        </w:rPr>
      </w:pPr>
      <w:r>
        <w:rPr>
          <w:rFonts w:hint="eastAsia"/>
          <w:highlight w:val="none"/>
        </w:rPr>
        <w:t>按照法律法规的规定或出现我方保证责任终止的其它情形的，我方在本保函项下的保证责任亦终止。</w:t>
      </w:r>
      <w:bookmarkStart w:id="95" w:name="_bookmark1"/>
      <w:bookmarkEnd w:id="95"/>
    </w:p>
    <w:p w14:paraId="28A80E33">
      <w:pPr>
        <w:pStyle w:val="9"/>
        <w:spacing w:line="360" w:lineRule="auto"/>
        <w:ind w:firstLine="482" w:firstLineChars="200"/>
        <w:jc w:val="left"/>
        <w:rPr>
          <w:highlight w:val="none"/>
        </w:rPr>
      </w:pPr>
      <w:r>
        <w:rPr>
          <w:rFonts w:hint="eastAsia"/>
          <w:highlight w:val="none"/>
        </w:rPr>
        <w:t>五、免责条款</w:t>
      </w:r>
    </w:p>
    <w:p w14:paraId="272D0273">
      <w:pPr>
        <w:pStyle w:val="26"/>
        <w:tabs>
          <w:tab w:val="left" w:pos="981"/>
        </w:tabs>
        <w:adjustRightInd w:val="0"/>
        <w:snapToGrid w:val="0"/>
        <w:spacing w:line="360" w:lineRule="auto"/>
        <w:ind w:left="0" w:firstLine="480" w:firstLineChars="200"/>
        <w:rPr>
          <w:sz w:val="24"/>
          <w:szCs w:val="24"/>
          <w:highlight w:val="none"/>
        </w:rPr>
      </w:pPr>
      <w:r>
        <w:rPr>
          <w:rFonts w:hint="eastAsia"/>
          <w:sz w:val="24"/>
          <w:szCs w:val="24"/>
          <w:highlight w:val="none"/>
          <w:lang w:val="en-US"/>
        </w:rPr>
        <w:t>1.</w:t>
      </w:r>
      <w:r>
        <w:rPr>
          <w:rFonts w:hint="eastAsia"/>
          <w:sz w:val="24"/>
          <w:szCs w:val="24"/>
          <w:highlight w:val="none"/>
        </w:rPr>
        <w:t>依照法律规定或你方与投标人的另行约定，全部或者部分免除投标人投标保证金义务时，我方亦免除相应的保证责任。</w:t>
      </w:r>
    </w:p>
    <w:p w14:paraId="2F0BAE20">
      <w:pPr>
        <w:pStyle w:val="26"/>
        <w:tabs>
          <w:tab w:val="left" w:pos="981"/>
        </w:tabs>
        <w:adjustRightInd w:val="0"/>
        <w:snapToGrid w:val="0"/>
        <w:spacing w:line="360" w:lineRule="auto"/>
        <w:ind w:left="0" w:firstLine="480" w:firstLineChars="200"/>
        <w:rPr>
          <w:sz w:val="24"/>
          <w:szCs w:val="24"/>
          <w:highlight w:val="none"/>
        </w:rPr>
      </w:pPr>
      <w:r>
        <w:rPr>
          <w:rFonts w:hint="eastAsia"/>
          <w:sz w:val="24"/>
          <w:szCs w:val="24"/>
          <w:highlight w:val="none"/>
          <w:lang w:val="en-US"/>
        </w:rPr>
        <w:t>2.</w:t>
      </w:r>
      <w:r>
        <w:rPr>
          <w:rFonts w:hint="eastAsia"/>
          <w:sz w:val="24"/>
          <w:szCs w:val="24"/>
          <w:highlight w:val="none"/>
        </w:rPr>
        <w:t>因你方原因致使投标人发生本保函第一条第（一）款约定情形的，我方不承担保证责任。</w:t>
      </w:r>
    </w:p>
    <w:p w14:paraId="6EE3C7C1">
      <w:pPr>
        <w:pStyle w:val="26"/>
        <w:tabs>
          <w:tab w:val="left" w:pos="980"/>
        </w:tabs>
        <w:adjustRightInd w:val="0"/>
        <w:snapToGrid w:val="0"/>
        <w:spacing w:line="360" w:lineRule="auto"/>
        <w:ind w:left="-361" w:firstLine="480" w:firstLineChars="200"/>
        <w:rPr>
          <w:sz w:val="24"/>
          <w:szCs w:val="24"/>
          <w:highlight w:val="none"/>
        </w:rPr>
      </w:pPr>
      <w:r>
        <w:rPr>
          <w:rFonts w:hint="eastAsia"/>
          <w:sz w:val="24"/>
          <w:szCs w:val="24"/>
          <w:highlight w:val="none"/>
          <w:lang w:val="en-US"/>
        </w:rPr>
        <w:t>3.</w:t>
      </w:r>
      <w:r>
        <w:rPr>
          <w:rFonts w:hint="eastAsia"/>
          <w:sz w:val="24"/>
          <w:szCs w:val="24"/>
          <w:highlight w:val="none"/>
        </w:rPr>
        <w:t>因不可抗力造成投标人发生本保函第一条约定情形的，我方不承担保证责任。</w:t>
      </w:r>
    </w:p>
    <w:p w14:paraId="2A28CEF0">
      <w:pPr>
        <w:pStyle w:val="26"/>
        <w:tabs>
          <w:tab w:val="left" w:pos="981"/>
        </w:tabs>
        <w:adjustRightInd w:val="0"/>
        <w:snapToGrid w:val="0"/>
        <w:spacing w:line="360" w:lineRule="auto"/>
        <w:ind w:left="0" w:firstLine="480" w:firstLineChars="200"/>
        <w:rPr>
          <w:sz w:val="24"/>
          <w:szCs w:val="24"/>
          <w:highlight w:val="none"/>
        </w:rPr>
      </w:pPr>
      <w:r>
        <w:rPr>
          <w:rFonts w:hint="eastAsia"/>
          <w:sz w:val="24"/>
          <w:szCs w:val="24"/>
          <w:highlight w:val="none"/>
          <w:lang w:val="en-US"/>
        </w:rPr>
        <w:t>4.</w:t>
      </w:r>
      <w:r>
        <w:rPr>
          <w:rFonts w:hint="eastAsia"/>
          <w:sz w:val="24"/>
          <w:szCs w:val="24"/>
          <w:highlight w:val="none"/>
        </w:rPr>
        <w:t>你方或其他有权机关对招标文件进行任何澄清或修改，加重我方保证责任的，我方对加重部分不承担保证责任，但该澄清或修改经我方事先书面同意的除外。</w:t>
      </w:r>
    </w:p>
    <w:p w14:paraId="6A59E2FE">
      <w:pPr>
        <w:pStyle w:val="9"/>
        <w:spacing w:line="360" w:lineRule="auto"/>
        <w:ind w:firstLine="482" w:firstLineChars="200"/>
        <w:jc w:val="left"/>
        <w:rPr>
          <w:highlight w:val="none"/>
        </w:rPr>
      </w:pPr>
      <w:r>
        <w:rPr>
          <w:rFonts w:hint="eastAsia"/>
          <w:highlight w:val="none"/>
        </w:rPr>
        <w:t>六、争议的解决</w:t>
      </w:r>
    </w:p>
    <w:p w14:paraId="3CBBDBE9">
      <w:pPr>
        <w:pStyle w:val="9"/>
        <w:spacing w:line="360" w:lineRule="auto"/>
        <w:ind w:firstLine="482" w:firstLineChars="200"/>
        <w:jc w:val="left"/>
        <w:rPr>
          <w:highlight w:val="none"/>
        </w:rPr>
      </w:pPr>
      <w:r>
        <w:rPr>
          <w:rFonts w:hint="eastAsia"/>
          <w:highlight w:val="none"/>
        </w:rPr>
        <w:t>因本保函发生的纠纷</w:t>
      </w:r>
      <w:r>
        <w:rPr>
          <w:rFonts w:hint="eastAsia"/>
          <w:spacing w:val="-12"/>
          <w:highlight w:val="none"/>
        </w:rPr>
        <w:t>，</w:t>
      </w:r>
      <w:r>
        <w:rPr>
          <w:rFonts w:hint="eastAsia"/>
          <w:highlight w:val="none"/>
        </w:rPr>
        <w:t>由你我双方协商解决</w:t>
      </w:r>
      <w:r>
        <w:rPr>
          <w:rFonts w:hint="eastAsia"/>
          <w:spacing w:val="-12"/>
          <w:highlight w:val="none"/>
        </w:rPr>
        <w:t>，</w:t>
      </w:r>
      <w:r>
        <w:rPr>
          <w:rFonts w:hint="eastAsia"/>
          <w:highlight w:val="none"/>
        </w:rPr>
        <w:t>协商不成的</w:t>
      </w:r>
      <w:r>
        <w:rPr>
          <w:rFonts w:hint="eastAsia"/>
          <w:spacing w:val="-15"/>
          <w:highlight w:val="none"/>
        </w:rPr>
        <w:t>，</w:t>
      </w:r>
      <w:r>
        <w:rPr>
          <w:rFonts w:hint="eastAsia"/>
          <w:highlight w:val="none"/>
        </w:rPr>
        <w:t>通过诉讼程序解决</w:t>
      </w:r>
      <w:r>
        <w:rPr>
          <w:rFonts w:hint="eastAsia"/>
          <w:spacing w:val="-15"/>
          <w:highlight w:val="none"/>
        </w:rPr>
        <w:t>，</w:t>
      </w:r>
      <w:r>
        <w:rPr>
          <w:rFonts w:hint="eastAsia"/>
          <w:highlight w:val="none"/>
        </w:rPr>
        <w:t>诉讼</w:t>
      </w:r>
      <w:r>
        <w:rPr>
          <w:rFonts w:hint="eastAsia"/>
          <w:spacing w:val="-17"/>
          <w:highlight w:val="none"/>
        </w:rPr>
        <w:t>管</w:t>
      </w:r>
      <w:r>
        <w:rPr>
          <w:rFonts w:hint="eastAsia"/>
          <w:highlight w:val="none"/>
        </w:rPr>
        <w:t>辖地法院为</w:t>
      </w:r>
      <w:r>
        <w:rPr>
          <w:rFonts w:hint="eastAsia"/>
          <w:highlight w:val="none"/>
          <w:u w:val="single"/>
        </w:rPr>
        <w:t xml:space="preserve"> </w:t>
      </w:r>
      <w:r>
        <w:rPr>
          <w:rFonts w:hint="eastAsia"/>
          <w:highlight w:val="none"/>
          <w:u w:val="single"/>
        </w:rPr>
        <w:tab/>
      </w:r>
      <w:r>
        <w:rPr>
          <w:rFonts w:hint="eastAsia"/>
          <w:highlight w:val="none"/>
        </w:rPr>
        <w:t>法院。</w:t>
      </w:r>
    </w:p>
    <w:p w14:paraId="4F1A61E1">
      <w:pPr>
        <w:pStyle w:val="9"/>
        <w:spacing w:line="360" w:lineRule="auto"/>
        <w:ind w:firstLine="482" w:firstLineChars="200"/>
        <w:jc w:val="left"/>
        <w:rPr>
          <w:highlight w:val="none"/>
        </w:rPr>
      </w:pPr>
      <w:r>
        <w:rPr>
          <w:rFonts w:hint="eastAsia"/>
          <w:highlight w:val="none"/>
        </w:rPr>
        <w:t>七、保函的生效</w:t>
      </w:r>
    </w:p>
    <w:p w14:paraId="12E78A1C">
      <w:pPr>
        <w:pStyle w:val="9"/>
        <w:spacing w:line="360" w:lineRule="auto"/>
        <w:ind w:firstLine="482" w:firstLineChars="200"/>
        <w:jc w:val="left"/>
        <w:rPr>
          <w:highlight w:val="none"/>
        </w:rPr>
      </w:pPr>
      <w:r>
        <w:rPr>
          <w:rFonts w:hint="eastAsia"/>
          <w:highlight w:val="none"/>
        </w:rPr>
        <w:t>本保函自我方加盖公章之日起生效。</w:t>
      </w:r>
    </w:p>
    <w:p w14:paraId="58EF49CB">
      <w:pPr>
        <w:pStyle w:val="9"/>
        <w:spacing w:line="360" w:lineRule="auto"/>
        <w:ind w:firstLine="482" w:firstLineChars="200"/>
        <w:jc w:val="left"/>
        <w:rPr>
          <w:highlight w:val="none"/>
        </w:rPr>
      </w:pPr>
      <w:r>
        <w:rPr>
          <w:rFonts w:hint="eastAsia"/>
          <w:highlight w:val="none"/>
        </w:rPr>
        <w:t xml:space="preserve">保证人：（盖章） </w:t>
      </w:r>
    </w:p>
    <w:p w14:paraId="5940AC74">
      <w:pPr>
        <w:pStyle w:val="9"/>
        <w:spacing w:line="360" w:lineRule="auto"/>
        <w:ind w:firstLine="482" w:firstLineChars="200"/>
        <w:jc w:val="left"/>
        <w:rPr>
          <w:spacing w:val="-17"/>
          <w:sz w:val="21"/>
          <w:szCs w:val="21"/>
          <w:highlight w:val="none"/>
        </w:rPr>
        <w:sectPr>
          <w:footerReference r:id="rId10" w:type="default"/>
          <w:pgSz w:w="11910" w:h="16840"/>
          <w:pgMar w:top="1460" w:right="1423" w:bottom="920" w:left="1423" w:header="492" w:footer="726" w:gutter="0"/>
          <w:cols w:space="720" w:num="1"/>
          <w:docGrid w:linePitch="312" w:charSpace="0"/>
        </w:sectPr>
      </w:pPr>
      <w:r>
        <w:rPr>
          <w:rFonts w:hint="eastAsia"/>
          <w:highlight w:val="none"/>
        </w:rPr>
        <w:t>年</w:t>
      </w:r>
      <w:r>
        <w:rPr>
          <w:rFonts w:hint="eastAsia"/>
          <w:highlight w:val="none"/>
          <w:lang w:val="en-US"/>
        </w:rPr>
        <w:t xml:space="preserve">   </w:t>
      </w:r>
      <w:r>
        <w:rPr>
          <w:rFonts w:hint="eastAsia"/>
          <w:highlight w:val="none"/>
        </w:rPr>
        <w:t>月</w:t>
      </w:r>
      <w:r>
        <w:rPr>
          <w:rFonts w:hint="eastAsia"/>
          <w:highlight w:val="none"/>
          <w:lang w:val="en-US"/>
        </w:rPr>
        <w:t xml:space="preserve">   日</w:t>
      </w:r>
      <w:r>
        <w:rPr>
          <w:rFonts w:hint="eastAsia"/>
          <w:sz w:val="21"/>
          <w:szCs w:val="21"/>
          <w:highlight w:val="none"/>
        </w:rPr>
        <w:tab/>
      </w:r>
    </w:p>
    <w:p w14:paraId="260890FC">
      <w:pPr>
        <w:spacing w:line="360" w:lineRule="auto"/>
        <w:ind w:left="-51" w:leftChars="-23" w:right="-68" w:rightChars="-31"/>
        <w:jc w:val="center"/>
        <w:rPr>
          <w:rFonts w:ascii="仿宋" w:eastAsia="仿宋" w:cs="Times New Roman"/>
          <w:b/>
          <w:sz w:val="30"/>
          <w:szCs w:val="30"/>
          <w:highlight w:val="none"/>
        </w:rPr>
      </w:pPr>
      <w:bookmarkStart w:id="96" w:name="_Toc476153619"/>
      <w:r>
        <w:rPr>
          <w:rFonts w:hint="eastAsia" w:ascii="仿宋" w:eastAsia="仿宋" w:cs="Times New Roman"/>
          <w:b/>
          <w:sz w:val="30"/>
          <w:szCs w:val="30"/>
          <w:highlight w:val="none"/>
        </w:rPr>
        <w:t>中小企业划型标准</w:t>
      </w:r>
      <w:bookmarkEnd w:id="96"/>
    </w:p>
    <w:tbl>
      <w:tblPr>
        <w:tblStyle w:val="21"/>
        <w:tblW w:w="14895" w:type="dxa"/>
        <w:jc w:val="center"/>
        <w:tblLayout w:type="fixed"/>
        <w:tblCellMar>
          <w:top w:w="0" w:type="dxa"/>
          <w:left w:w="108" w:type="dxa"/>
          <w:bottom w:w="0" w:type="dxa"/>
          <w:right w:w="108" w:type="dxa"/>
        </w:tblCellMar>
      </w:tblPr>
      <w:tblGrid>
        <w:gridCol w:w="651"/>
        <w:gridCol w:w="1990"/>
        <w:gridCol w:w="1045"/>
        <w:gridCol w:w="1116"/>
        <w:gridCol w:w="959"/>
        <w:gridCol w:w="1044"/>
        <w:gridCol w:w="1046"/>
        <w:gridCol w:w="1017"/>
        <w:gridCol w:w="1055"/>
        <w:gridCol w:w="1053"/>
        <w:gridCol w:w="1023"/>
        <w:gridCol w:w="1043"/>
        <w:gridCol w:w="992"/>
        <w:gridCol w:w="861"/>
      </w:tblGrid>
      <w:tr w14:paraId="1CF0E642">
        <w:tblPrEx>
          <w:tblCellMar>
            <w:top w:w="0" w:type="dxa"/>
            <w:left w:w="108" w:type="dxa"/>
            <w:bottom w:w="0" w:type="dxa"/>
            <w:right w:w="108" w:type="dxa"/>
          </w:tblCellMar>
        </w:tblPrEx>
        <w:trPr>
          <w:trHeight w:val="500" w:hRule="atLeast"/>
          <w:tblHeader/>
          <w:jc w:val="center"/>
        </w:trPr>
        <w:tc>
          <w:tcPr>
            <w:tcW w:w="651" w:type="dxa"/>
            <w:vMerge w:val="restart"/>
            <w:tcBorders>
              <w:top w:val="single" w:color="auto" w:sz="4" w:space="0"/>
              <w:left w:val="single" w:color="auto" w:sz="4" w:space="0"/>
              <w:right w:val="single" w:color="auto" w:sz="4" w:space="0"/>
            </w:tcBorders>
            <w:shd w:val="clear" w:color="auto" w:fill="auto"/>
            <w:noWrap/>
            <w:vAlign w:val="center"/>
          </w:tcPr>
          <w:p w14:paraId="0545E3CB">
            <w:pPr>
              <w:spacing w:line="360" w:lineRule="auto"/>
              <w:ind w:left="-51" w:leftChars="-23" w:right="-68" w:rightChars="-31"/>
              <w:jc w:val="center"/>
              <w:rPr>
                <w:b/>
                <w:kern w:val="2"/>
                <w:szCs w:val="21"/>
                <w:highlight w:val="none"/>
              </w:rPr>
            </w:pPr>
            <w:r>
              <w:rPr>
                <w:rFonts w:hint="eastAsia"/>
                <w:b/>
                <w:kern w:val="2"/>
                <w:szCs w:val="21"/>
                <w:highlight w:val="none"/>
              </w:rPr>
              <w:t>序号</w:t>
            </w:r>
          </w:p>
        </w:tc>
        <w:tc>
          <w:tcPr>
            <w:tcW w:w="1990" w:type="dxa"/>
            <w:vMerge w:val="restart"/>
            <w:tcBorders>
              <w:top w:val="single" w:color="auto" w:sz="4" w:space="0"/>
              <w:left w:val="nil"/>
              <w:right w:val="single" w:color="auto" w:sz="4" w:space="0"/>
            </w:tcBorders>
            <w:shd w:val="clear" w:color="auto" w:fill="auto"/>
            <w:noWrap/>
            <w:vAlign w:val="center"/>
          </w:tcPr>
          <w:p w14:paraId="1B0A77D2">
            <w:pPr>
              <w:spacing w:line="360" w:lineRule="auto"/>
              <w:ind w:left="-51" w:leftChars="-23" w:right="-68" w:rightChars="-31"/>
              <w:jc w:val="center"/>
              <w:rPr>
                <w:b/>
                <w:kern w:val="2"/>
                <w:szCs w:val="21"/>
                <w:highlight w:val="none"/>
              </w:rPr>
            </w:pPr>
            <w:r>
              <w:rPr>
                <w:rFonts w:hint="eastAsia"/>
                <w:b/>
                <w:kern w:val="2"/>
                <w:szCs w:val="21"/>
                <w:highlight w:val="none"/>
              </w:rPr>
              <w:t>行业</w:t>
            </w:r>
          </w:p>
        </w:tc>
        <w:tc>
          <w:tcPr>
            <w:tcW w:w="3120" w:type="dxa"/>
            <w:gridSpan w:val="3"/>
            <w:tcBorders>
              <w:top w:val="single" w:color="auto" w:sz="4" w:space="0"/>
              <w:left w:val="nil"/>
              <w:bottom w:val="single" w:color="auto" w:sz="4" w:space="0"/>
              <w:right w:val="single" w:color="auto" w:sz="4" w:space="0"/>
            </w:tcBorders>
            <w:shd w:val="clear" w:color="auto" w:fill="auto"/>
            <w:noWrap/>
            <w:vAlign w:val="center"/>
          </w:tcPr>
          <w:p w14:paraId="0F3F64CA">
            <w:pPr>
              <w:spacing w:line="360" w:lineRule="auto"/>
              <w:ind w:left="-51" w:leftChars="-23" w:right="-68" w:rightChars="-31"/>
              <w:jc w:val="center"/>
              <w:rPr>
                <w:b/>
                <w:kern w:val="2"/>
                <w:szCs w:val="21"/>
                <w:highlight w:val="none"/>
              </w:rPr>
            </w:pPr>
            <w:r>
              <w:rPr>
                <w:rFonts w:hint="eastAsia"/>
                <w:b/>
                <w:kern w:val="2"/>
                <w:szCs w:val="21"/>
                <w:highlight w:val="none"/>
              </w:rPr>
              <w:t>大型企业</w:t>
            </w:r>
          </w:p>
        </w:tc>
        <w:tc>
          <w:tcPr>
            <w:tcW w:w="3107" w:type="dxa"/>
            <w:gridSpan w:val="3"/>
            <w:tcBorders>
              <w:top w:val="single" w:color="auto" w:sz="4" w:space="0"/>
              <w:left w:val="nil"/>
              <w:bottom w:val="single" w:color="auto" w:sz="4" w:space="0"/>
              <w:right w:val="single" w:color="auto" w:sz="4" w:space="0"/>
            </w:tcBorders>
            <w:shd w:val="clear" w:color="auto" w:fill="auto"/>
            <w:noWrap/>
            <w:vAlign w:val="center"/>
          </w:tcPr>
          <w:p w14:paraId="57C2FF96">
            <w:pPr>
              <w:spacing w:line="360" w:lineRule="auto"/>
              <w:ind w:left="-51" w:leftChars="-23" w:right="-68" w:rightChars="-31"/>
              <w:jc w:val="center"/>
              <w:rPr>
                <w:b/>
                <w:kern w:val="2"/>
                <w:szCs w:val="21"/>
                <w:highlight w:val="none"/>
              </w:rPr>
            </w:pPr>
            <w:r>
              <w:rPr>
                <w:rFonts w:hint="eastAsia"/>
                <w:b/>
                <w:kern w:val="2"/>
                <w:szCs w:val="21"/>
                <w:highlight w:val="none"/>
              </w:rPr>
              <w:t>中型企业</w:t>
            </w:r>
          </w:p>
        </w:tc>
        <w:tc>
          <w:tcPr>
            <w:tcW w:w="3131" w:type="dxa"/>
            <w:gridSpan w:val="3"/>
            <w:tcBorders>
              <w:top w:val="single" w:color="auto" w:sz="4" w:space="0"/>
              <w:left w:val="nil"/>
              <w:bottom w:val="single" w:color="auto" w:sz="4" w:space="0"/>
              <w:right w:val="single" w:color="auto" w:sz="4" w:space="0"/>
            </w:tcBorders>
            <w:shd w:val="clear" w:color="auto" w:fill="auto"/>
            <w:noWrap/>
            <w:vAlign w:val="center"/>
          </w:tcPr>
          <w:p w14:paraId="7974E973">
            <w:pPr>
              <w:spacing w:line="360" w:lineRule="auto"/>
              <w:ind w:left="-51" w:leftChars="-23" w:right="-68" w:rightChars="-31"/>
              <w:jc w:val="center"/>
              <w:rPr>
                <w:b/>
                <w:kern w:val="2"/>
                <w:szCs w:val="21"/>
                <w:highlight w:val="none"/>
              </w:rPr>
            </w:pPr>
            <w:r>
              <w:rPr>
                <w:rFonts w:hint="eastAsia"/>
                <w:b/>
                <w:kern w:val="2"/>
                <w:szCs w:val="21"/>
                <w:highlight w:val="none"/>
              </w:rPr>
              <w:t>小型企业</w:t>
            </w:r>
          </w:p>
        </w:tc>
        <w:tc>
          <w:tcPr>
            <w:tcW w:w="2896" w:type="dxa"/>
            <w:gridSpan w:val="3"/>
            <w:tcBorders>
              <w:top w:val="single" w:color="auto" w:sz="4" w:space="0"/>
              <w:left w:val="nil"/>
              <w:bottom w:val="single" w:color="auto" w:sz="4" w:space="0"/>
              <w:right w:val="single" w:color="auto" w:sz="4" w:space="0"/>
            </w:tcBorders>
            <w:shd w:val="clear" w:color="auto" w:fill="auto"/>
            <w:noWrap/>
            <w:vAlign w:val="center"/>
          </w:tcPr>
          <w:p w14:paraId="51656CFB">
            <w:pPr>
              <w:spacing w:line="360" w:lineRule="auto"/>
              <w:ind w:left="-51" w:leftChars="-23" w:right="-68" w:rightChars="-31"/>
              <w:jc w:val="center"/>
              <w:rPr>
                <w:b/>
                <w:kern w:val="2"/>
                <w:szCs w:val="21"/>
                <w:highlight w:val="none"/>
              </w:rPr>
            </w:pPr>
            <w:r>
              <w:rPr>
                <w:rFonts w:hint="eastAsia"/>
                <w:b/>
                <w:kern w:val="2"/>
                <w:szCs w:val="21"/>
                <w:highlight w:val="none"/>
              </w:rPr>
              <w:t>微型企业</w:t>
            </w:r>
          </w:p>
        </w:tc>
      </w:tr>
      <w:tr w14:paraId="2780DD53">
        <w:tblPrEx>
          <w:tblCellMar>
            <w:top w:w="0" w:type="dxa"/>
            <w:left w:w="108" w:type="dxa"/>
            <w:bottom w:w="0" w:type="dxa"/>
            <w:right w:w="108" w:type="dxa"/>
          </w:tblCellMar>
        </w:tblPrEx>
        <w:trPr>
          <w:trHeight w:val="226" w:hRule="atLeast"/>
          <w:tblHeader/>
          <w:jc w:val="center"/>
        </w:trPr>
        <w:tc>
          <w:tcPr>
            <w:tcW w:w="651" w:type="dxa"/>
            <w:vMerge w:val="continue"/>
            <w:tcBorders>
              <w:left w:val="single" w:color="auto" w:sz="4" w:space="0"/>
              <w:bottom w:val="single" w:color="auto" w:sz="4" w:space="0"/>
              <w:right w:val="single" w:color="auto" w:sz="4" w:space="0"/>
            </w:tcBorders>
            <w:shd w:val="clear" w:color="auto" w:fill="auto"/>
            <w:noWrap/>
            <w:vAlign w:val="center"/>
          </w:tcPr>
          <w:p w14:paraId="2452A17E">
            <w:pPr>
              <w:spacing w:line="360" w:lineRule="auto"/>
              <w:rPr>
                <w:highlight w:val="none"/>
              </w:rPr>
            </w:pPr>
          </w:p>
        </w:tc>
        <w:tc>
          <w:tcPr>
            <w:tcW w:w="1990" w:type="dxa"/>
            <w:vMerge w:val="continue"/>
            <w:tcBorders>
              <w:left w:val="nil"/>
              <w:bottom w:val="single" w:color="auto" w:sz="4" w:space="0"/>
              <w:right w:val="single" w:color="auto" w:sz="4" w:space="0"/>
            </w:tcBorders>
            <w:shd w:val="clear" w:color="auto" w:fill="auto"/>
            <w:noWrap/>
            <w:vAlign w:val="center"/>
          </w:tcPr>
          <w:p w14:paraId="63BD5908">
            <w:pPr>
              <w:spacing w:line="360" w:lineRule="auto"/>
              <w:rPr>
                <w:highlight w:val="none"/>
              </w:rPr>
            </w:pPr>
          </w:p>
        </w:tc>
        <w:tc>
          <w:tcPr>
            <w:tcW w:w="1045" w:type="dxa"/>
            <w:tcBorders>
              <w:top w:val="nil"/>
              <w:left w:val="nil"/>
              <w:bottom w:val="single" w:color="auto" w:sz="4" w:space="0"/>
              <w:right w:val="single" w:color="auto" w:sz="4" w:space="0"/>
            </w:tcBorders>
            <w:shd w:val="clear" w:color="auto" w:fill="auto"/>
            <w:noWrap/>
            <w:vAlign w:val="center"/>
          </w:tcPr>
          <w:p w14:paraId="1B01BDBE">
            <w:pPr>
              <w:spacing w:line="360" w:lineRule="auto"/>
              <w:ind w:left="-51" w:leftChars="-23" w:right="-68" w:rightChars="-31"/>
              <w:jc w:val="center"/>
              <w:rPr>
                <w:b/>
                <w:kern w:val="2"/>
                <w:szCs w:val="21"/>
                <w:highlight w:val="none"/>
              </w:rPr>
            </w:pPr>
            <w:r>
              <w:rPr>
                <w:rFonts w:hint="eastAsia"/>
                <w:b/>
                <w:kern w:val="2"/>
                <w:szCs w:val="21"/>
                <w:highlight w:val="none"/>
              </w:rPr>
              <w:t>营业收入</w:t>
            </w:r>
          </w:p>
          <w:p w14:paraId="4AFD7DF7">
            <w:pPr>
              <w:spacing w:line="360" w:lineRule="auto"/>
              <w:ind w:left="-51" w:leftChars="-23" w:right="-68" w:rightChars="-31"/>
              <w:jc w:val="center"/>
              <w:rPr>
                <w:b/>
                <w:kern w:val="2"/>
                <w:szCs w:val="21"/>
                <w:highlight w:val="none"/>
              </w:rPr>
            </w:pPr>
            <w:r>
              <w:rPr>
                <w:rFonts w:hint="eastAsia"/>
                <w:b/>
                <w:kern w:val="2"/>
                <w:szCs w:val="21"/>
                <w:highlight w:val="none"/>
              </w:rPr>
              <w:t>(万元)</w:t>
            </w:r>
          </w:p>
        </w:tc>
        <w:tc>
          <w:tcPr>
            <w:tcW w:w="1116" w:type="dxa"/>
            <w:tcBorders>
              <w:top w:val="nil"/>
              <w:left w:val="nil"/>
              <w:bottom w:val="single" w:color="auto" w:sz="4" w:space="0"/>
              <w:right w:val="single" w:color="auto" w:sz="4" w:space="0"/>
            </w:tcBorders>
            <w:shd w:val="clear" w:color="auto" w:fill="auto"/>
            <w:noWrap/>
            <w:vAlign w:val="center"/>
          </w:tcPr>
          <w:p w14:paraId="48293289">
            <w:pPr>
              <w:spacing w:line="360" w:lineRule="auto"/>
              <w:ind w:left="-51" w:leftChars="-23" w:right="-68" w:rightChars="-31"/>
              <w:jc w:val="center"/>
              <w:rPr>
                <w:b/>
                <w:kern w:val="2"/>
                <w:szCs w:val="21"/>
                <w:highlight w:val="none"/>
              </w:rPr>
            </w:pPr>
            <w:r>
              <w:rPr>
                <w:rFonts w:hint="eastAsia"/>
                <w:b/>
                <w:kern w:val="2"/>
                <w:szCs w:val="21"/>
                <w:highlight w:val="none"/>
              </w:rPr>
              <w:t>从业人员</w:t>
            </w:r>
          </w:p>
          <w:p w14:paraId="1645B99A">
            <w:pPr>
              <w:spacing w:line="360" w:lineRule="auto"/>
              <w:ind w:left="-51" w:leftChars="-23" w:right="-68" w:rightChars="-31"/>
              <w:jc w:val="center"/>
              <w:rPr>
                <w:b/>
                <w:kern w:val="2"/>
                <w:szCs w:val="21"/>
                <w:highlight w:val="none"/>
              </w:rPr>
            </w:pPr>
            <w:r>
              <w:rPr>
                <w:rFonts w:hint="eastAsia"/>
                <w:b/>
                <w:kern w:val="2"/>
                <w:szCs w:val="21"/>
                <w:highlight w:val="none"/>
              </w:rPr>
              <w:t>(人)</w:t>
            </w:r>
          </w:p>
        </w:tc>
        <w:tc>
          <w:tcPr>
            <w:tcW w:w="959" w:type="dxa"/>
            <w:tcBorders>
              <w:top w:val="nil"/>
              <w:left w:val="nil"/>
              <w:bottom w:val="single" w:color="auto" w:sz="4" w:space="0"/>
              <w:right w:val="single" w:color="auto" w:sz="4" w:space="0"/>
            </w:tcBorders>
            <w:shd w:val="clear" w:color="auto" w:fill="auto"/>
            <w:noWrap/>
            <w:vAlign w:val="center"/>
          </w:tcPr>
          <w:p w14:paraId="0A650924">
            <w:pPr>
              <w:spacing w:line="360" w:lineRule="auto"/>
              <w:ind w:left="-51" w:leftChars="-23" w:right="-68" w:rightChars="-31"/>
              <w:jc w:val="center"/>
              <w:rPr>
                <w:b/>
                <w:kern w:val="2"/>
                <w:szCs w:val="21"/>
                <w:highlight w:val="none"/>
              </w:rPr>
            </w:pPr>
            <w:r>
              <w:rPr>
                <w:rFonts w:hint="eastAsia"/>
                <w:b/>
                <w:kern w:val="2"/>
                <w:szCs w:val="21"/>
                <w:highlight w:val="none"/>
              </w:rPr>
              <w:t>总资产</w:t>
            </w:r>
          </w:p>
          <w:p w14:paraId="47A010FB">
            <w:pPr>
              <w:spacing w:line="360" w:lineRule="auto"/>
              <w:ind w:left="-51" w:leftChars="-23" w:right="-68" w:rightChars="-31"/>
              <w:jc w:val="center"/>
              <w:rPr>
                <w:b/>
                <w:kern w:val="2"/>
                <w:szCs w:val="21"/>
                <w:highlight w:val="none"/>
              </w:rPr>
            </w:pPr>
            <w:r>
              <w:rPr>
                <w:rFonts w:hint="eastAsia"/>
                <w:b/>
                <w:kern w:val="2"/>
                <w:szCs w:val="21"/>
                <w:highlight w:val="none"/>
              </w:rPr>
              <w:t>(万元)</w:t>
            </w:r>
          </w:p>
        </w:tc>
        <w:tc>
          <w:tcPr>
            <w:tcW w:w="1044" w:type="dxa"/>
            <w:tcBorders>
              <w:top w:val="nil"/>
              <w:left w:val="nil"/>
              <w:bottom w:val="single" w:color="auto" w:sz="4" w:space="0"/>
              <w:right w:val="single" w:color="auto" w:sz="4" w:space="0"/>
            </w:tcBorders>
            <w:shd w:val="clear" w:color="auto" w:fill="auto"/>
            <w:noWrap/>
            <w:vAlign w:val="center"/>
          </w:tcPr>
          <w:p w14:paraId="08F3373D">
            <w:pPr>
              <w:spacing w:line="360" w:lineRule="auto"/>
              <w:ind w:left="-51" w:leftChars="-23" w:right="-68" w:rightChars="-31"/>
              <w:jc w:val="center"/>
              <w:rPr>
                <w:b/>
                <w:kern w:val="2"/>
                <w:szCs w:val="21"/>
                <w:highlight w:val="none"/>
              </w:rPr>
            </w:pPr>
            <w:r>
              <w:rPr>
                <w:rFonts w:hint="eastAsia"/>
                <w:b/>
                <w:kern w:val="2"/>
                <w:szCs w:val="21"/>
                <w:highlight w:val="none"/>
              </w:rPr>
              <w:t>营业收入</w:t>
            </w:r>
          </w:p>
          <w:p w14:paraId="4A74B803">
            <w:pPr>
              <w:spacing w:line="360" w:lineRule="auto"/>
              <w:ind w:left="-51" w:leftChars="-23" w:right="-68" w:rightChars="-31"/>
              <w:jc w:val="center"/>
              <w:rPr>
                <w:b/>
                <w:kern w:val="2"/>
                <w:szCs w:val="21"/>
                <w:highlight w:val="none"/>
              </w:rPr>
            </w:pPr>
            <w:r>
              <w:rPr>
                <w:rFonts w:hint="eastAsia"/>
                <w:b/>
                <w:kern w:val="2"/>
                <w:szCs w:val="21"/>
                <w:highlight w:val="none"/>
              </w:rPr>
              <w:t>(万元)</w:t>
            </w:r>
          </w:p>
        </w:tc>
        <w:tc>
          <w:tcPr>
            <w:tcW w:w="1046" w:type="dxa"/>
            <w:tcBorders>
              <w:top w:val="nil"/>
              <w:left w:val="nil"/>
              <w:bottom w:val="single" w:color="auto" w:sz="4" w:space="0"/>
              <w:right w:val="single" w:color="auto" w:sz="4" w:space="0"/>
            </w:tcBorders>
            <w:shd w:val="clear" w:color="auto" w:fill="auto"/>
            <w:noWrap/>
            <w:vAlign w:val="center"/>
          </w:tcPr>
          <w:p w14:paraId="2738694C">
            <w:pPr>
              <w:spacing w:line="360" w:lineRule="auto"/>
              <w:ind w:left="-51" w:leftChars="-23" w:right="-68" w:rightChars="-31"/>
              <w:jc w:val="center"/>
              <w:rPr>
                <w:b/>
                <w:kern w:val="2"/>
                <w:szCs w:val="21"/>
                <w:highlight w:val="none"/>
              </w:rPr>
            </w:pPr>
            <w:r>
              <w:rPr>
                <w:rFonts w:hint="eastAsia"/>
                <w:b/>
                <w:kern w:val="2"/>
                <w:szCs w:val="21"/>
                <w:highlight w:val="none"/>
              </w:rPr>
              <w:t>从业人员</w:t>
            </w:r>
          </w:p>
          <w:p w14:paraId="19770CF2">
            <w:pPr>
              <w:spacing w:line="360" w:lineRule="auto"/>
              <w:ind w:left="-51" w:leftChars="-23" w:right="-68" w:rightChars="-31"/>
              <w:jc w:val="center"/>
              <w:rPr>
                <w:b/>
                <w:kern w:val="2"/>
                <w:szCs w:val="21"/>
                <w:highlight w:val="none"/>
              </w:rPr>
            </w:pPr>
            <w:r>
              <w:rPr>
                <w:rFonts w:hint="eastAsia"/>
                <w:b/>
                <w:kern w:val="2"/>
                <w:szCs w:val="21"/>
                <w:highlight w:val="none"/>
              </w:rPr>
              <w:t>(人)</w:t>
            </w:r>
          </w:p>
        </w:tc>
        <w:tc>
          <w:tcPr>
            <w:tcW w:w="1017" w:type="dxa"/>
            <w:tcBorders>
              <w:top w:val="nil"/>
              <w:left w:val="nil"/>
              <w:bottom w:val="single" w:color="auto" w:sz="4" w:space="0"/>
              <w:right w:val="single" w:color="auto" w:sz="4" w:space="0"/>
            </w:tcBorders>
            <w:shd w:val="clear" w:color="auto" w:fill="auto"/>
            <w:noWrap/>
            <w:vAlign w:val="center"/>
          </w:tcPr>
          <w:p w14:paraId="20795988">
            <w:pPr>
              <w:spacing w:line="360" w:lineRule="auto"/>
              <w:ind w:left="-51" w:leftChars="-23" w:right="-68" w:rightChars="-31"/>
              <w:jc w:val="center"/>
              <w:rPr>
                <w:b/>
                <w:kern w:val="2"/>
                <w:szCs w:val="21"/>
                <w:highlight w:val="none"/>
              </w:rPr>
            </w:pPr>
            <w:r>
              <w:rPr>
                <w:rFonts w:hint="eastAsia"/>
                <w:b/>
                <w:kern w:val="2"/>
                <w:szCs w:val="21"/>
                <w:highlight w:val="none"/>
              </w:rPr>
              <w:t>总资产</w:t>
            </w:r>
          </w:p>
          <w:p w14:paraId="07F7BAB2">
            <w:pPr>
              <w:spacing w:line="360" w:lineRule="auto"/>
              <w:ind w:left="-51" w:leftChars="-23" w:right="-68" w:rightChars="-31"/>
              <w:jc w:val="center"/>
              <w:rPr>
                <w:b/>
                <w:kern w:val="2"/>
                <w:szCs w:val="21"/>
                <w:highlight w:val="none"/>
              </w:rPr>
            </w:pPr>
            <w:r>
              <w:rPr>
                <w:rFonts w:hint="eastAsia"/>
                <w:b/>
                <w:kern w:val="2"/>
                <w:szCs w:val="21"/>
                <w:highlight w:val="none"/>
              </w:rPr>
              <w:t>(万元)</w:t>
            </w:r>
          </w:p>
        </w:tc>
        <w:tc>
          <w:tcPr>
            <w:tcW w:w="1055" w:type="dxa"/>
            <w:tcBorders>
              <w:top w:val="nil"/>
              <w:left w:val="nil"/>
              <w:bottom w:val="single" w:color="auto" w:sz="4" w:space="0"/>
              <w:right w:val="single" w:color="auto" w:sz="4" w:space="0"/>
            </w:tcBorders>
            <w:shd w:val="clear" w:color="auto" w:fill="auto"/>
            <w:noWrap/>
            <w:vAlign w:val="center"/>
          </w:tcPr>
          <w:p w14:paraId="17DA7838">
            <w:pPr>
              <w:spacing w:line="360" w:lineRule="auto"/>
              <w:ind w:left="-51" w:leftChars="-23" w:right="-68" w:rightChars="-31"/>
              <w:jc w:val="center"/>
              <w:rPr>
                <w:b/>
                <w:kern w:val="2"/>
                <w:szCs w:val="21"/>
                <w:highlight w:val="none"/>
              </w:rPr>
            </w:pPr>
            <w:r>
              <w:rPr>
                <w:rFonts w:hint="eastAsia"/>
                <w:b/>
                <w:kern w:val="2"/>
                <w:szCs w:val="21"/>
                <w:highlight w:val="none"/>
              </w:rPr>
              <w:t>营业收入</w:t>
            </w:r>
          </w:p>
          <w:p w14:paraId="138EFD5F">
            <w:pPr>
              <w:spacing w:line="360" w:lineRule="auto"/>
              <w:ind w:left="-51" w:leftChars="-23" w:right="-68" w:rightChars="-31"/>
              <w:jc w:val="center"/>
              <w:rPr>
                <w:b/>
                <w:kern w:val="2"/>
                <w:szCs w:val="21"/>
                <w:highlight w:val="none"/>
              </w:rPr>
            </w:pPr>
            <w:r>
              <w:rPr>
                <w:rFonts w:hint="eastAsia"/>
                <w:b/>
                <w:kern w:val="2"/>
                <w:szCs w:val="21"/>
                <w:highlight w:val="none"/>
              </w:rPr>
              <w:t>(万元)</w:t>
            </w:r>
          </w:p>
        </w:tc>
        <w:tc>
          <w:tcPr>
            <w:tcW w:w="1053" w:type="dxa"/>
            <w:tcBorders>
              <w:top w:val="nil"/>
              <w:left w:val="nil"/>
              <w:bottom w:val="single" w:color="auto" w:sz="4" w:space="0"/>
              <w:right w:val="single" w:color="auto" w:sz="4" w:space="0"/>
            </w:tcBorders>
            <w:shd w:val="clear" w:color="auto" w:fill="auto"/>
            <w:noWrap/>
            <w:vAlign w:val="center"/>
          </w:tcPr>
          <w:p w14:paraId="704FF64A">
            <w:pPr>
              <w:spacing w:line="360" w:lineRule="auto"/>
              <w:ind w:left="123" w:leftChars="-23" w:right="-68" w:rightChars="-31" w:hanging="174" w:hangingChars="79"/>
              <w:jc w:val="center"/>
              <w:rPr>
                <w:b/>
                <w:kern w:val="2"/>
                <w:szCs w:val="21"/>
                <w:highlight w:val="none"/>
              </w:rPr>
            </w:pPr>
            <w:r>
              <w:rPr>
                <w:rFonts w:hint="eastAsia"/>
                <w:b/>
                <w:kern w:val="2"/>
                <w:szCs w:val="21"/>
                <w:highlight w:val="none"/>
              </w:rPr>
              <w:t>从业人员</w:t>
            </w:r>
          </w:p>
          <w:p w14:paraId="2B4C898D">
            <w:pPr>
              <w:spacing w:line="360" w:lineRule="auto"/>
              <w:ind w:left="-51" w:leftChars="-23" w:right="-68" w:rightChars="-31"/>
              <w:jc w:val="center"/>
              <w:rPr>
                <w:b/>
                <w:kern w:val="2"/>
                <w:szCs w:val="21"/>
                <w:highlight w:val="none"/>
              </w:rPr>
            </w:pPr>
            <w:r>
              <w:rPr>
                <w:rFonts w:hint="eastAsia"/>
                <w:b/>
                <w:kern w:val="2"/>
                <w:szCs w:val="21"/>
                <w:highlight w:val="none"/>
              </w:rPr>
              <w:t>(人)</w:t>
            </w:r>
          </w:p>
        </w:tc>
        <w:tc>
          <w:tcPr>
            <w:tcW w:w="1023" w:type="dxa"/>
            <w:tcBorders>
              <w:top w:val="nil"/>
              <w:left w:val="nil"/>
              <w:bottom w:val="single" w:color="auto" w:sz="4" w:space="0"/>
              <w:right w:val="single" w:color="auto" w:sz="4" w:space="0"/>
            </w:tcBorders>
            <w:shd w:val="clear" w:color="auto" w:fill="auto"/>
            <w:noWrap/>
            <w:vAlign w:val="center"/>
          </w:tcPr>
          <w:p w14:paraId="6B6B8218">
            <w:pPr>
              <w:spacing w:line="360" w:lineRule="auto"/>
              <w:ind w:left="-51" w:leftChars="-23" w:right="-68" w:rightChars="-31"/>
              <w:jc w:val="center"/>
              <w:rPr>
                <w:b/>
                <w:kern w:val="2"/>
                <w:szCs w:val="21"/>
                <w:highlight w:val="none"/>
              </w:rPr>
            </w:pPr>
            <w:r>
              <w:rPr>
                <w:rFonts w:hint="eastAsia"/>
                <w:b/>
                <w:kern w:val="2"/>
                <w:szCs w:val="21"/>
                <w:highlight w:val="none"/>
              </w:rPr>
              <w:t>总资产</w:t>
            </w:r>
          </w:p>
          <w:p w14:paraId="6FEB1714">
            <w:pPr>
              <w:spacing w:line="360" w:lineRule="auto"/>
              <w:ind w:left="-51" w:leftChars="-23" w:right="-68" w:rightChars="-31"/>
              <w:jc w:val="center"/>
              <w:rPr>
                <w:b/>
                <w:kern w:val="2"/>
                <w:szCs w:val="21"/>
                <w:highlight w:val="none"/>
              </w:rPr>
            </w:pPr>
            <w:r>
              <w:rPr>
                <w:rFonts w:hint="eastAsia"/>
                <w:b/>
                <w:kern w:val="2"/>
                <w:szCs w:val="21"/>
                <w:highlight w:val="none"/>
              </w:rPr>
              <w:t>(万元)</w:t>
            </w:r>
          </w:p>
        </w:tc>
        <w:tc>
          <w:tcPr>
            <w:tcW w:w="1043" w:type="dxa"/>
            <w:tcBorders>
              <w:top w:val="nil"/>
              <w:left w:val="nil"/>
              <w:bottom w:val="single" w:color="auto" w:sz="4" w:space="0"/>
              <w:right w:val="single" w:color="auto" w:sz="4" w:space="0"/>
            </w:tcBorders>
            <w:shd w:val="clear" w:color="auto" w:fill="auto"/>
            <w:noWrap/>
            <w:vAlign w:val="center"/>
          </w:tcPr>
          <w:p w14:paraId="7D1C1693">
            <w:pPr>
              <w:spacing w:line="360" w:lineRule="auto"/>
              <w:ind w:left="-51" w:leftChars="-23" w:right="-68" w:rightChars="-31"/>
              <w:jc w:val="center"/>
              <w:rPr>
                <w:b/>
                <w:kern w:val="2"/>
                <w:szCs w:val="21"/>
                <w:highlight w:val="none"/>
              </w:rPr>
            </w:pPr>
            <w:r>
              <w:rPr>
                <w:rFonts w:hint="eastAsia"/>
                <w:b/>
                <w:kern w:val="2"/>
                <w:szCs w:val="21"/>
                <w:highlight w:val="none"/>
              </w:rPr>
              <w:t>营业收入</w:t>
            </w:r>
          </w:p>
          <w:p w14:paraId="11358BF6">
            <w:pPr>
              <w:spacing w:line="360" w:lineRule="auto"/>
              <w:ind w:left="-51" w:leftChars="-23" w:right="-68" w:rightChars="-31"/>
              <w:jc w:val="center"/>
              <w:rPr>
                <w:b/>
                <w:kern w:val="2"/>
                <w:szCs w:val="21"/>
                <w:highlight w:val="none"/>
              </w:rPr>
            </w:pPr>
            <w:r>
              <w:rPr>
                <w:rFonts w:hint="eastAsia"/>
                <w:b/>
                <w:kern w:val="2"/>
                <w:szCs w:val="21"/>
                <w:highlight w:val="none"/>
              </w:rPr>
              <w:t>(万元)</w:t>
            </w:r>
          </w:p>
        </w:tc>
        <w:tc>
          <w:tcPr>
            <w:tcW w:w="992" w:type="dxa"/>
            <w:tcBorders>
              <w:top w:val="nil"/>
              <w:left w:val="nil"/>
              <w:bottom w:val="single" w:color="auto" w:sz="4" w:space="0"/>
              <w:right w:val="single" w:color="auto" w:sz="4" w:space="0"/>
            </w:tcBorders>
            <w:shd w:val="clear" w:color="auto" w:fill="auto"/>
            <w:noWrap/>
            <w:vAlign w:val="center"/>
          </w:tcPr>
          <w:p w14:paraId="0CCF7968">
            <w:pPr>
              <w:spacing w:line="360" w:lineRule="auto"/>
              <w:ind w:left="-51" w:leftChars="-23" w:right="-68" w:rightChars="-31"/>
              <w:jc w:val="center"/>
              <w:rPr>
                <w:b/>
                <w:kern w:val="2"/>
                <w:szCs w:val="21"/>
                <w:highlight w:val="none"/>
              </w:rPr>
            </w:pPr>
            <w:r>
              <w:rPr>
                <w:rFonts w:hint="eastAsia"/>
                <w:b/>
                <w:kern w:val="2"/>
                <w:szCs w:val="21"/>
                <w:highlight w:val="none"/>
              </w:rPr>
              <w:t>从业人员</w:t>
            </w:r>
          </w:p>
          <w:p w14:paraId="00E35542">
            <w:pPr>
              <w:spacing w:line="360" w:lineRule="auto"/>
              <w:ind w:left="-51" w:leftChars="-23" w:right="-68" w:rightChars="-31"/>
              <w:jc w:val="center"/>
              <w:rPr>
                <w:b/>
                <w:kern w:val="2"/>
                <w:szCs w:val="21"/>
                <w:highlight w:val="none"/>
              </w:rPr>
            </w:pPr>
            <w:r>
              <w:rPr>
                <w:rFonts w:hint="eastAsia"/>
                <w:b/>
                <w:kern w:val="2"/>
                <w:szCs w:val="21"/>
                <w:highlight w:val="none"/>
              </w:rPr>
              <w:t>(人)</w:t>
            </w:r>
          </w:p>
        </w:tc>
        <w:tc>
          <w:tcPr>
            <w:tcW w:w="861" w:type="dxa"/>
            <w:tcBorders>
              <w:top w:val="nil"/>
              <w:left w:val="nil"/>
              <w:bottom w:val="single" w:color="auto" w:sz="4" w:space="0"/>
              <w:right w:val="single" w:color="auto" w:sz="4" w:space="0"/>
            </w:tcBorders>
            <w:shd w:val="clear" w:color="auto" w:fill="auto"/>
            <w:noWrap/>
            <w:vAlign w:val="center"/>
          </w:tcPr>
          <w:p w14:paraId="2239DD75">
            <w:pPr>
              <w:spacing w:line="360" w:lineRule="auto"/>
              <w:ind w:left="-51" w:leftChars="-23" w:right="-68" w:rightChars="-31"/>
              <w:jc w:val="center"/>
              <w:rPr>
                <w:b/>
                <w:kern w:val="2"/>
                <w:szCs w:val="21"/>
                <w:highlight w:val="none"/>
              </w:rPr>
            </w:pPr>
            <w:r>
              <w:rPr>
                <w:rFonts w:hint="eastAsia"/>
                <w:b/>
                <w:kern w:val="2"/>
                <w:szCs w:val="21"/>
                <w:highlight w:val="none"/>
              </w:rPr>
              <w:t>总资产</w:t>
            </w:r>
          </w:p>
          <w:p w14:paraId="77CF8542">
            <w:pPr>
              <w:spacing w:line="360" w:lineRule="auto"/>
              <w:ind w:left="-51" w:leftChars="-23" w:right="-68" w:rightChars="-31"/>
              <w:jc w:val="center"/>
              <w:rPr>
                <w:b/>
                <w:kern w:val="2"/>
                <w:szCs w:val="21"/>
                <w:highlight w:val="none"/>
              </w:rPr>
            </w:pPr>
            <w:r>
              <w:rPr>
                <w:rFonts w:hint="eastAsia"/>
                <w:b/>
                <w:kern w:val="2"/>
                <w:szCs w:val="21"/>
                <w:highlight w:val="none"/>
              </w:rPr>
              <w:t>(万元)</w:t>
            </w:r>
          </w:p>
        </w:tc>
      </w:tr>
      <w:tr w14:paraId="7579FD12">
        <w:tblPrEx>
          <w:tblCellMar>
            <w:top w:w="0" w:type="dxa"/>
            <w:left w:w="108" w:type="dxa"/>
            <w:bottom w:w="0" w:type="dxa"/>
            <w:right w:w="108" w:type="dxa"/>
          </w:tblCellMar>
        </w:tblPrEx>
        <w:trPr>
          <w:trHeight w:val="369" w:hRule="atLeast"/>
          <w:jc w:val="center"/>
        </w:trPr>
        <w:tc>
          <w:tcPr>
            <w:tcW w:w="6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B562CC">
            <w:pPr>
              <w:spacing w:line="360" w:lineRule="auto"/>
              <w:ind w:left="-112" w:leftChars="-51" w:right="-112" w:rightChars="-51"/>
              <w:jc w:val="center"/>
              <w:rPr>
                <w:bCs/>
                <w:kern w:val="2"/>
                <w:szCs w:val="21"/>
                <w:highlight w:val="none"/>
              </w:rPr>
            </w:pPr>
            <w:r>
              <w:rPr>
                <w:rFonts w:hint="eastAsia"/>
                <w:bCs/>
                <w:kern w:val="2"/>
                <w:szCs w:val="21"/>
                <w:highlight w:val="none"/>
              </w:rPr>
              <w:t>1</w:t>
            </w:r>
          </w:p>
        </w:tc>
        <w:tc>
          <w:tcPr>
            <w:tcW w:w="1990" w:type="dxa"/>
            <w:tcBorders>
              <w:top w:val="single" w:color="auto" w:sz="4" w:space="0"/>
              <w:left w:val="nil"/>
              <w:bottom w:val="single" w:color="auto" w:sz="4" w:space="0"/>
              <w:right w:val="single" w:color="auto" w:sz="4" w:space="0"/>
            </w:tcBorders>
            <w:shd w:val="clear" w:color="auto" w:fill="auto"/>
            <w:noWrap/>
            <w:vAlign w:val="center"/>
          </w:tcPr>
          <w:p w14:paraId="228175B9">
            <w:pPr>
              <w:spacing w:line="360" w:lineRule="auto"/>
              <w:ind w:left="-29" w:leftChars="-13" w:right="-68" w:rightChars="-31"/>
              <w:rPr>
                <w:bCs/>
                <w:kern w:val="2"/>
                <w:szCs w:val="21"/>
                <w:highlight w:val="none"/>
              </w:rPr>
            </w:pPr>
            <w:r>
              <w:rPr>
                <w:rFonts w:hint="eastAsia"/>
                <w:bCs/>
                <w:kern w:val="2"/>
                <w:szCs w:val="21"/>
                <w:highlight w:val="none"/>
              </w:rPr>
              <w:t>农、林、牧、渔业</w:t>
            </w:r>
          </w:p>
        </w:tc>
        <w:tc>
          <w:tcPr>
            <w:tcW w:w="1045" w:type="dxa"/>
            <w:tcBorders>
              <w:top w:val="single" w:color="auto" w:sz="4" w:space="0"/>
              <w:left w:val="nil"/>
              <w:bottom w:val="single" w:color="auto" w:sz="4" w:space="0"/>
              <w:right w:val="single" w:color="auto" w:sz="4" w:space="0"/>
            </w:tcBorders>
            <w:shd w:val="clear" w:color="auto" w:fill="auto"/>
            <w:noWrap/>
            <w:vAlign w:val="center"/>
          </w:tcPr>
          <w:p w14:paraId="38CE7102">
            <w:pPr>
              <w:widowControl/>
              <w:spacing w:line="360" w:lineRule="auto"/>
              <w:ind w:left="-112" w:leftChars="-51" w:right="-112" w:rightChars="-51"/>
              <w:jc w:val="center"/>
              <w:rPr>
                <w:kern w:val="2"/>
                <w:szCs w:val="21"/>
                <w:highlight w:val="none"/>
              </w:rPr>
            </w:pPr>
            <w:r>
              <w:rPr>
                <w:rFonts w:hint="eastAsia"/>
                <w:kern w:val="2"/>
                <w:szCs w:val="21"/>
                <w:highlight w:val="none"/>
              </w:rPr>
              <w:t>≥20000</w:t>
            </w:r>
          </w:p>
        </w:tc>
        <w:tc>
          <w:tcPr>
            <w:tcW w:w="1116" w:type="dxa"/>
            <w:tcBorders>
              <w:top w:val="nil"/>
              <w:left w:val="nil"/>
              <w:bottom w:val="single" w:color="auto" w:sz="4" w:space="0"/>
              <w:right w:val="single" w:color="auto" w:sz="4" w:space="0"/>
            </w:tcBorders>
            <w:shd w:val="clear" w:color="auto" w:fill="auto"/>
            <w:noWrap/>
            <w:vAlign w:val="center"/>
          </w:tcPr>
          <w:p w14:paraId="6D9BF5FB">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959" w:type="dxa"/>
            <w:tcBorders>
              <w:top w:val="nil"/>
              <w:left w:val="nil"/>
              <w:bottom w:val="single" w:color="auto" w:sz="4" w:space="0"/>
              <w:right w:val="single" w:color="auto" w:sz="4" w:space="0"/>
            </w:tcBorders>
            <w:shd w:val="clear" w:color="auto" w:fill="auto"/>
            <w:noWrap/>
            <w:vAlign w:val="center"/>
          </w:tcPr>
          <w:p w14:paraId="5A08ABC5">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6AB3A24A">
            <w:pPr>
              <w:widowControl/>
              <w:spacing w:line="360" w:lineRule="auto"/>
              <w:ind w:left="-112" w:leftChars="-51" w:right="-112" w:rightChars="-51"/>
              <w:jc w:val="center"/>
              <w:rPr>
                <w:kern w:val="2"/>
                <w:szCs w:val="21"/>
                <w:highlight w:val="none"/>
              </w:rPr>
            </w:pPr>
            <w:r>
              <w:rPr>
                <w:rFonts w:hint="eastAsia"/>
                <w:kern w:val="2"/>
                <w:szCs w:val="21"/>
                <w:highlight w:val="none"/>
              </w:rPr>
              <w:t>≥500</w:t>
            </w:r>
          </w:p>
        </w:tc>
        <w:tc>
          <w:tcPr>
            <w:tcW w:w="1046" w:type="dxa"/>
            <w:tcBorders>
              <w:top w:val="nil"/>
              <w:left w:val="nil"/>
              <w:bottom w:val="single" w:color="auto" w:sz="4" w:space="0"/>
              <w:right w:val="single" w:color="auto" w:sz="4" w:space="0"/>
            </w:tcBorders>
            <w:shd w:val="clear" w:color="auto" w:fill="auto"/>
            <w:noWrap/>
            <w:vAlign w:val="center"/>
          </w:tcPr>
          <w:p w14:paraId="7E61A460">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17" w:type="dxa"/>
            <w:tcBorders>
              <w:top w:val="nil"/>
              <w:left w:val="nil"/>
              <w:bottom w:val="single" w:color="auto" w:sz="4" w:space="0"/>
              <w:right w:val="single" w:color="auto" w:sz="4" w:space="0"/>
            </w:tcBorders>
            <w:shd w:val="clear" w:color="auto" w:fill="auto"/>
            <w:noWrap/>
            <w:vAlign w:val="center"/>
          </w:tcPr>
          <w:p w14:paraId="07FDB993">
            <w:pPr>
              <w:widowControl/>
              <w:spacing w:line="360" w:lineRule="auto"/>
              <w:jc w:val="center"/>
              <w:rPr>
                <w:kern w:val="2"/>
                <w:szCs w:val="21"/>
                <w:highlight w:val="none"/>
              </w:rPr>
            </w:pPr>
            <w:r>
              <w:rPr>
                <w:rFonts w:hint="eastAsia"/>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788479A0">
            <w:pPr>
              <w:widowControl/>
              <w:spacing w:line="360" w:lineRule="auto"/>
              <w:jc w:val="center"/>
              <w:rPr>
                <w:kern w:val="2"/>
                <w:szCs w:val="21"/>
                <w:highlight w:val="none"/>
              </w:rPr>
            </w:pPr>
            <w:r>
              <w:rPr>
                <w:rFonts w:hint="eastAsia"/>
                <w:kern w:val="2"/>
                <w:szCs w:val="21"/>
                <w:highlight w:val="none"/>
              </w:rPr>
              <w:t>≥50</w:t>
            </w:r>
          </w:p>
        </w:tc>
        <w:tc>
          <w:tcPr>
            <w:tcW w:w="1053" w:type="dxa"/>
            <w:tcBorders>
              <w:top w:val="nil"/>
              <w:left w:val="nil"/>
              <w:bottom w:val="single" w:color="auto" w:sz="4" w:space="0"/>
              <w:right w:val="single" w:color="auto" w:sz="4" w:space="0"/>
            </w:tcBorders>
            <w:shd w:val="clear" w:color="auto" w:fill="auto"/>
            <w:noWrap/>
            <w:vAlign w:val="center"/>
          </w:tcPr>
          <w:p w14:paraId="6E32DBAF">
            <w:pPr>
              <w:widowControl/>
              <w:spacing w:line="360" w:lineRule="auto"/>
              <w:jc w:val="center"/>
              <w:rPr>
                <w:kern w:val="2"/>
                <w:szCs w:val="21"/>
                <w:highlight w:val="none"/>
              </w:rPr>
            </w:pPr>
            <w:r>
              <w:rPr>
                <w:rFonts w:hint="eastAsia"/>
                <w:kern w:val="2"/>
                <w:szCs w:val="21"/>
                <w:highlight w:val="none"/>
              </w:rPr>
              <w:t>　</w:t>
            </w:r>
          </w:p>
        </w:tc>
        <w:tc>
          <w:tcPr>
            <w:tcW w:w="1023" w:type="dxa"/>
            <w:tcBorders>
              <w:top w:val="nil"/>
              <w:left w:val="nil"/>
              <w:bottom w:val="single" w:color="auto" w:sz="4" w:space="0"/>
              <w:right w:val="single" w:color="auto" w:sz="4" w:space="0"/>
            </w:tcBorders>
            <w:shd w:val="clear" w:color="auto" w:fill="auto"/>
            <w:noWrap/>
            <w:vAlign w:val="center"/>
          </w:tcPr>
          <w:p w14:paraId="07F537B1">
            <w:pPr>
              <w:widowControl/>
              <w:spacing w:line="360" w:lineRule="auto"/>
              <w:jc w:val="center"/>
              <w:rPr>
                <w:kern w:val="2"/>
                <w:szCs w:val="21"/>
                <w:highlight w:val="none"/>
              </w:rPr>
            </w:pPr>
            <w:r>
              <w:rPr>
                <w:rFonts w:hint="eastAsia"/>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541CFAB5">
            <w:pPr>
              <w:widowControl/>
              <w:spacing w:line="360" w:lineRule="auto"/>
              <w:jc w:val="center"/>
              <w:rPr>
                <w:kern w:val="2"/>
                <w:szCs w:val="21"/>
                <w:highlight w:val="none"/>
              </w:rPr>
            </w:pPr>
            <w:r>
              <w:rPr>
                <w:rFonts w:hint="eastAsia"/>
                <w:kern w:val="2"/>
                <w:szCs w:val="21"/>
                <w:highlight w:val="none"/>
              </w:rPr>
              <w:t>＜50</w:t>
            </w:r>
          </w:p>
        </w:tc>
        <w:tc>
          <w:tcPr>
            <w:tcW w:w="992" w:type="dxa"/>
            <w:tcBorders>
              <w:top w:val="nil"/>
              <w:left w:val="nil"/>
              <w:bottom w:val="single" w:color="auto" w:sz="4" w:space="0"/>
              <w:right w:val="single" w:color="auto" w:sz="4" w:space="0"/>
            </w:tcBorders>
            <w:shd w:val="clear" w:color="auto" w:fill="auto"/>
            <w:noWrap/>
            <w:vAlign w:val="center"/>
          </w:tcPr>
          <w:p w14:paraId="61161FB3">
            <w:pPr>
              <w:widowControl/>
              <w:spacing w:line="360" w:lineRule="auto"/>
              <w:jc w:val="center"/>
              <w:rPr>
                <w:kern w:val="2"/>
                <w:szCs w:val="21"/>
                <w:highlight w:val="none"/>
              </w:rPr>
            </w:pPr>
            <w:r>
              <w:rPr>
                <w:rFonts w:hint="eastAsia"/>
                <w:kern w:val="2"/>
                <w:szCs w:val="21"/>
                <w:highlight w:val="none"/>
              </w:rPr>
              <w:t>　</w:t>
            </w:r>
          </w:p>
        </w:tc>
        <w:tc>
          <w:tcPr>
            <w:tcW w:w="861" w:type="dxa"/>
            <w:tcBorders>
              <w:top w:val="nil"/>
              <w:left w:val="nil"/>
              <w:bottom w:val="single" w:color="auto" w:sz="4" w:space="0"/>
              <w:right w:val="single" w:color="auto" w:sz="4" w:space="0"/>
            </w:tcBorders>
            <w:shd w:val="clear" w:color="auto" w:fill="auto"/>
            <w:noWrap/>
            <w:vAlign w:val="center"/>
          </w:tcPr>
          <w:p w14:paraId="08AFFE58">
            <w:pPr>
              <w:widowControl/>
              <w:spacing w:line="360" w:lineRule="auto"/>
              <w:jc w:val="center"/>
              <w:rPr>
                <w:kern w:val="2"/>
                <w:szCs w:val="21"/>
                <w:highlight w:val="none"/>
              </w:rPr>
            </w:pPr>
            <w:r>
              <w:rPr>
                <w:rFonts w:hint="eastAsia"/>
                <w:kern w:val="2"/>
                <w:szCs w:val="21"/>
                <w:highlight w:val="none"/>
              </w:rPr>
              <w:t>　</w:t>
            </w:r>
          </w:p>
        </w:tc>
      </w:tr>
      <w:tr w14:paraId="28852CBC">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18F2A5DC">
            <w:pPr>
              <w:widowControl/>
              <w:spacing w:line="360" w:lineRule="auto"/>
              <w:ind w:left="-112" w:leftChars="-51" w:right="-112" w:rightChars="-51"/>
              <w:jc w:val="center"/>
              <w:rPr>
                <w:bCs/>
                <w:kern w:val="2"/>
                <w:szCs w:val="21"/>
                <w:highlight w:val="none"/>
              </w:rPr>
            </w:pPr>
            <w:r>
              <w:rPr>
                <w:rFonts w:hint="eastAsia"/>
                <w:bCs/>
                <w:kern w:val="2"/>
                <w:szCs w:val="21"/>
                <w:highlight w:val="none"/>
              </w:rPr>
              <w:t>2</w:t>
            </w:r>
          </w:p>
        </w:tc>
        <w:tc>
          <w:tcPr>
            <w:tcW w:w="1990" w:type="dxa"/>
            <w:tcBorders>
              <w:top w:val="nil"/>
              <w:left w:val="nil"/>
              <w:bottom w:val="single" w:color="auto" w:sz="4" w:space="0"/>
              <w:right w:val="single" w:color="auto" w:sz="4" w:space="0"/>
            </w:tcBorders>
            <w:shd w:val="clear" w:color="auto" w:fill="auto"/>
            <w:noWrap/>
            <w:vAlign w:val="center"/>
          </w:tcPr>
          <w:p w14:paraId="370D4220">
            <w:pPr>
              <w:spacing w:line="360" w:lineRule="auto"/>
              <w:ind w:left="-29" w:leftChars="-13" w:right="-68" w:rightChars="-31"/>
              <w:rPr>
                <w:bCs/>
                <w:kern w:val="2"/>
                <w:szCs w:val="21"/>
                <w:highlight w:val="none"/>
              </w:rPr>
            </w:pPr>
            <w:r>
              <w:rPr>
                <w:rFonts w:hint="eastAsia"/>
                <w:bCs/>
                <w:kern w:val="2"/>
                <w:szCs w:val="21"/>
                <w:highlight w:val="none"/>
              </w:rPr>
              <w:t>工业</w:t>
            </w:r>
          </w:p>
        </w:tc>
        <w:tc>
          <w:tcPr>
            <w:tcW w:w="1045" w:type="dxa"/>
            <w:tcBorders>
              <w:top w:val="nil"/>
              <w:left w:val="nil"/>
              <w:bottom w:val="single" w:color="auto" w:sz="4" w:space="0"/>
              <w:right w:val="single" w:color="auto" w:sz="4" w:space="0"/>
            </w:tcBorders>
            <w:shd w:val="clear" w:color="auto" w:fill="auto"/>
            <w:noWrap/>
            <w:vAlign w:val="center"/>
          </w:tcPr>
          <w:p w14:paraId="128E78F0">
            <w:pPr>
              <w:widowControl/>
              <w:spacing w:line="360" w:lineRule="auto"/>
              <w:ind w:left="-112" w:leftChars="-51" w:right="-112" w:rightChars="-51"/>
              <w:jc w:val="center"/>
              <w:rPr>
                <w:kern w:val="2"/>
                <w:szCs w:val="21"/>
                <w:highlight w:val="none"/>
              </w:rPr>
            </w:pPr>
            <w:r>
              <w:rPr>
                <w:rFonts w:hint="eastAsia"/>
                <w:kern w:val="2"/>
                <w:szCs w:val="21"/>
                <w:highlight w:val="none"/>
              </w:rPr>
              <w:t>≥40000</w:t>
            </w:r>
          </w:p>
        </w:tc>
        <w:tc>
          <w:tcPr>
            <w:tcW w:w="1116" w:type="dxa"/>
            <w:tcBorders>
              <w:top w:val="nil"/>
              <w:left w:val="nil"/>
              <w:bottom w:val="single" w:color="auto" w:sz="4" w:space="0"/>
              <w:right w:val="single" w:color="auto" w:sz="4" w:space="0"/>
            </w:tcBorders>
            <w:shd w:val="clear" w:color="auto" w:fill="auto"/>
            <w:noWrap/>
            <w:vAlign w:val="center"/>
          </w:tcPr>
          <w:p w14:paraId="5E47028E">
            <w:pPr>
              <w:widowControl/>
              <w:spacing w:line="360" w:lineRule="auto"/>
              <w:ind w:left="-112" w:leftChars="-51" w:right="-112" w:rightChars="-51"/>
              <w:jc w:val="center"/>
              <w:rPr>
                <w:kern w:val="2"/>
                <w:szCs w:val="21"/>
                <w:highlight w:val="none"/>
              </w:rPr>
            </w:pPr>
            <w:r>
              <w:rPr>
                <w:rFonts w:hint="eastAsia"/>
                <w:kern w:val="2"/>
                <w:szCs w:val="21"/>
                <w:highlight w:val="none"/>
              </w:rPr>
              <w:t>≥1000</w:t>
            </w:r>
          </w:p>
        </w:tc>
        <w:tc>
          <w:tcPr>
            <w:tcW w:w="959" w:type="dxa"/>
            <w:tcBorders>
              <w:top w:val="nil"/>
              <w:left w:val="nil"/>
              <w:bottom w:val="single" w:color="auto" w:sz="4" w:space="0"/>
              <w:right w:val="single" w:color="auto" w:sz="4" w:space="0"/>
            </w:tcBorders>
            <w:shd w:val="clear" w:color="auto" w:fill="auto"/>
            <w:noWrap/>
            <w:vAlign w:val="center"/>
          </w:tcPr>
          <w:p w14:paraId="55DE0A92">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33D59B6C">
            <w:pPr>
              <w:widowControl/>
              <w:spacing w:line="360" w:lineRule="auto"/>
              <w:ind w:left="-112" w:leftChars="-51" w:right="-112" w:rightChars="-51"/>
              <w:jc w:val="center"/>
              <w:rPr>
                <w:kern w:val="2"/>
                <w:szCs w:val="21"/>
                <w:highlight w:val="none"/>
              </w:rPr>
            </w:pPr>
            <w:r>
              <w:rPr>
                <w:rFonts w:hint="eastAsia"/>
                <w:kern w:val="2"/>
                <w:szCs w:val="21"/>
                <w:highlight w:val="none"/>
              </w:rPr>
              <w:t>≥2000</w:t>
            </w:r>
          </w:p>
        </w:tc>
        <w:tc>
          <w:tcPr>
            <w:tcW w:w="1046" w:type="dxa"/>
            <w:tcBorders>
              <w:top w:val="nil"/>
              <w:left w:val="nil"/>
              <w:bottom w:val="single" w:color="auto" w:sz="4" w:space="0"/>
              <w:right w:val="single" w:color="auto" w:sz="4" w:space="0"/>
            </w:tcBorders>
            <w:shd w:val="clear" w:color="auto" w:fill="auto"/>
            <w:noWrap/>
            <w:vAlign w:val="center"/>
          </w:tcPr>
          <w:p w14:paraId="3317EF4D">
            <w:pPr>
              <w:widowControl/>
              <w:spacing w:line="360" w:lineRule="auto"/>
              <w:ind w:left="-112" w:leftChars="-51" w:right="-112" w:rightChars="-51"/>
              <w:jc w:val="center"/>
              <w:rPr>
                <w:kern w:val="2"/>
                <w:szCs w:val="21"/>
                <w:highlight w:val="none"/>
              </w:rPr>
            </w:pPr>
            <w:r>
              <w:rPr>
                <w:rFonts w:hint="eastAsia"/>
                <w:kern w:val="2"/>
                <w:szCs w:val="21"/>
                <w:highlight w:val="none"/>
              </w:rPr>
              <w:t>≥300</w:t>
            </w:r>
          </w:p>
        </w:tc>
        <w:tc>
          <w:tcPr>
            <w:tcW w:w="1017" w:type="dxa"/>
            <w:tcBorders>
              <w:top w:val="nil"/>
              <w:left w:val="nil"/>
              <w:bottom w:val="single" w:color="auto" w:sz="4" w:space="0"/>
              <w:right w:val="single" w:color="auto" w:sz="4" w:space="0"/>
            </w:tcBorders>
            <w:shd w:val="clear" w:color="auto" w:fill="auto"/>
            <w:noWrap/>
            <w:vAlign w:val="center"/>
          </w:tcPr>
          <w:p w14:paraId="3037C8B1">
            <w:pPr>
              <w:widowControl/>
              <w:spacing w:line="360" w:lineRule="auto"/>
              <w:jc w:val="center"/>
              <w:rPr>
                <w:kern w:val="2"/>
                <w:szCs w:val="21"/>
                <w:highlight w:val="none"/>
              </w:rPr>
            </w:pPr>
            <w:r>
              <w:rPr>
                <w:rFonts w:hint="eastAsia"/>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4D5A9B9F">
            <w:pPr>
              <w:widowControl/>
              <w:spacing w:line="360" w:lineRule="auto"/>
              <w:jc w:val="center"/>
              <w:rPr>
                <w:kern w:val="2"/>
                <w:szCs w:val="21"/>
                <w:highlight w:val="none"/>
              </w:rPr>
            </w:pPr>
            <w:r>
              <w:rPr>
                <w:rFonts w:hint="eastAsia"/>
                <w:kern w:val="2"/>
                <w:szCs w:val="21"/>
                <w:highlight w:val="none"/>
              </w:rPr>
              <w:t>≥300</w:t>
            </w:r>
          </w:p>
        </w:tc>
        <w:tc>
          <w:tcPr>
            <w:tcW w:w="1053" w:type="dxa"/>
            <w:tcBorders>
              <w:top w:val="nil"/>
              <w:left w:val="nil"/>
              <w:bottom w:val="single" w:color="auto" w:sz="4" w:space="0"/>
              <w:right w:val="single" w:color="auto" w:sz="4" w:space="0"/>
            </w:tcBorders>
            <w:shd w:val="clear" w:color="auto" w:fill="auto"/>
            <w:noWrap/>
            <w:vAlign w:val="center"/>
          </w:tcPr>
          <w:p w14:paraId="1E0FDE31">
            <w:pPr>
              <w:widowControl/>
              <w:spacing w:line="360" w:lineRule="auto"/>
              <w:jc w:val="center"/>
              <w:rPr>
                <w:kern w:val="2"/>
                <w:szCs w:val="21"/>
                <w:highlight w:val="none"/>
              </w:rPr>
            </w:pPr>
            <w:r>
              <w:rPr>
                <w:rFonts w:hint="eastAsia"/>
                <w:kern w:val="2"/>
                <w:szCs w:val="21"/>
                <w:highlight w:val="none"/>
              </w:rPr>
              <w:t>≥20</w:t>
            </w:r>
          </w:p>
        </w:tc>
        <w:tc>
          <w:tcPr>
            <w:tcW w:w="1023" w:type="dxa"/>
            <w:tcBorders>
              <w:top w:val="nil"/>
              <w:left w:val="nil"/>
              <w:bottom w:val="single" w:color="auto" w:sz="4" w:space="0"/>
              <w:right w:val="single" w:color="auto" w:sz="4" w:space="0"/>
            </w:tcBorders>
            <w:shd w:val="clear" w:color="auto" w:fill="auto"/>
            <w:noWrap/>
            <w:vAlign w:val="center"/>
          </w:tcPr>
          <w:p w14:paraId="52790917">
            <w:pPr>
              <w:widowControl/>
              <w:spacing w:line="360" w:lineRule="auto"/>
              <w:jc w:val="center"/>
              <w:rPr>
                <w:kern w:val="2"/>
                <w:szCs w:val="21"/>
                <w:highlight w:val="none"/>
              </w:rPr>
            </w:pPr>
            <w:r>
              <w:rPr>
                <w:rFonts w:hint="eastAsia"/>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1351B891">
            <w:pPr>
              <w:widowControl/>
              <w:spacing w:line="360" w:lineRule="auto"/>
              <w:jc w:val="center"/>
              <w:rPr>
                <w:kern w:val="2"/>
                <w:szCs w:val="21"/>
                <w:highlight w:val="none"/>
              </w:rPr>
            </w:pPr>
            <w:r>
              <w:rPr>
                <w:rFonts w:hint="eastAsia"/>
                <w:kern w:val="2"/>
                <w:szCs w:val="21"/>
                <w:highlight w:val="none"/>
              </w:rPr>
              <w:t>＜300</w:t>
            </w:r>
          </w:p>
        </w:tc>
        <w:tc>
          <w:tcPr>
            <w:tcW w:w="992" w:type="dxa"/>
            <w:tcBorders>
              <w:top w:val="nil"/>
              <w:left w:val="nil"/>
              <w:bottom w:val="single" w:color="auto" w:sz="4" w:space="0"/>
              <w:right w:val="single" w:color="auto" w:sz="4" w:space="0"/>
            </w:tcBorders>
            <w:shd w:val="clear" w:color="auto" w:fill="auto"/>
            <w:noWrap/>
            <w:vAlign w:val="center"/>
          </w:tcPr>
          <w:p w14:paraId="48F65863">
            <w:pPr>
              <w:widowControl/>
              <w:spacing w:line="360" w:lineRule="auto"/>
              <w:jc w:val="center"/>
              <w:rPr>
                <w:kern w:val="2"/>
                <w:szCs w:val="21"/>
                <w:highlight w:val="none"/>
              </w:rPr>
            </w:pPr>
            <w:r>
              <w:rPr>
                <w:rFonts w:hint="eastAsia"/>
                <w:kern w:val="2"/>
                <w:szCs w:val="21"/>
                <w:highlight w:val="none"/>
              </w:rPr>
              <w:t>＜20</w:t>
            </w:r>
          </w:p>
        </w:tc>
        <w:tc>
          <w:tcPr>
            <w:tcW w:w="861" w:type="dxa"/>
            <w:tcBorders>
              <w:top w:val="nil"/>
              <w:left w:val="nil"/>
              <w:bottom w:val="single" w:color="auto" w:sz="4" w:space="0"/>
              <w:right w:val="single" w:color="auto" w:sz="4" w:space="0"/>
            </w:tcBorders>
            <w:shd w:val="clear" w:color="auto" w:fill="auto"/>
            <w:noWrap/>
            <w:vAlign w:val="center"/>
          </w:tcPr>
          <w:p w14:paraId="07A55536">
            <w:pPr>
              <w:widowControl/>
              <w:spacing w:line="360" w:lineRule="auto"/>
              <w:jc w:val="center"/>
              <w:rPr>
                <w:kern w:val="2"/>
                <w:szCs w:val="21"/>
                <w:highlight w:val="none"/>
              </w:rPr>
            </w:pPr>
            <w:r>
              <w:rPr>
                <w:rFonts w:hint="eastAsia"/>
                <w:kern w:val="2"/>
                <w:szCs w:val="21"/>
                <w:highlight w:val="none"/>
              </w:rPr>
              <w:t>　</w:t>
            </w:r>
          </w:p>
        </w:tc>
      </w:tr>
      <w:tr w14:paraId="5A4DBC1B">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644B9EEB">
            <w:pPr>
              <w:widowControl/>
              <w:spacing w:line="360" w:lineRule="auto"/>
              <w:ind w:left="-112" w:leftChars="-51" w:right="-112" w:rightChars="-51"/>
              <w:jc w:val="center"/>
              <w:rPr>
                <w:bCs/>
                <w:kern w:val="2"/>
                <w:szCs w:val="21"/>
                <w:highlight w:val="none"/>
              </w:rPr>
            </w:pPr>
            <w:r>
              <w:rPr>
                <w:rFonts w:hint="eastAsia"/>
                <w:bCs/>
                <w:kern w:val="2"/>
                <w:szCs w:val="21"/>
                <w:highlight w:val="none"/>
              </w:rPr>
              <w:t>3</w:t>
            </w:r>
          </w:p>
        </w:tc>
        <w:tc>
          <w:tcPr>
            <w:tcW w:w="1990" w:type="dxa"/>
            <w:tcBorders>
              <w:top w:val="nil"/>
              <w:left w:val="nil"/>
              <w:bottom w:val="single" w:color="auto" w:sz="4" w:space="0"/>
              <w:right w:val="single" w:color="auto" w:sz="4" w:space="0"/>
            </w:tcBorders>
            <w:shd w:val="clear" w:color="auto" w:fill="auto"/>
            <w:noWrap/>
            <w:vAlign w:val="center"/>
          </w:tcPr>
          <w:p w14:paraId="5B356BA3">
            <w:pPr>
              <w:spacing w:line="360" w:lineRule="auto"/>
              <w:ind w:left="-29" w:leftChars="-13" w:right="-68" w:rightChars="-31"/>
              <w:rPr>
                <w:bCs/>
                <w:kern w:val="2"/>
                <w:szCs w:val="21"/>
                <w:highlight w:val="none"/>
              </w:rPr>
            </w:pPr>
            <w:r>
              <w:rPr>
                <w:rFonts w:hint="eastAsia"/>
                <w:bCs/>
                <w:kern w:val="2"/>
                <w:szCs w:val="21"/>
                <w:highlight w:val="none"/>
              </w:rPr>
              <w:t>建筑业</w:t>
            </w:r>
          </w:p>
        </w:tc>
        <w:tc>
          <w:tcPr>
            <w:tcW w:w="1045" w:type="dxa"/>
            <w:tcBorders>
              <w:top w:val="nil"/>
              <w:left w:val="nil"/>
              <w:bottom w:val="single" w:color="auto" w:sz="4" w:space="0"/>
              <w:right w:val="single" w:color="auto" w:sz="4" w:space="0"/>
            </w:tcBorders>
            <w:shd w:val="clear" w:color="auto" w:fill="auto"/>
            <w:noWrap/>
            <w:vAlign w:val="center"/>
          </w:tcPr>
          <w:p w14:paraId="25D1DF28">
            <w:pPr>
              <w:widowControl/>
              <w:spacing w:line="360" w:lineRule="auto"/>
              <w:ind w:left="-112" w:leftChars="-51" w:right="-112" w:rightChars="-51"/>
              <w:jc w:val="center"/>
              <w:rPr>
                <w:kern w:val="2"/>
                <w:szCs w:val="21"/>
                <w:highlight w:val="none"/>
              </w:rPr>
            </w:pPr>
            <w:r>
              <w:rPr>
                <w:rFonts w:hint="eastAsia"/>
                <w:kern w:val="2"/>
                <w:szCs w:val="21"/>
                <w:highlight w:val="none"/>
              </w:rPr>
              <w:t>≥80000</w:t>
            </w:r>
          </w:p>
        </w:tc>
        <w:tc>
          <w:tcPr>
            <w:tcW w:w="1116" w:type="dxa"/>
            <w:tcBorders>
              <w:top w:val="nil"/>
              <w:left w:val="nil"/>
              <w:bottom w:val="single" w:color="auto" w:sz="4" w:space="0"/>
              <w:right w:val="single" w:color="auto" w:sz="4" w:space="0"/>
            </w:tcBorders>
            <w:shd w:val="clear" w:color="auto" w:fill="auto"/>
            <w:noWrap/>
            <w:vAlign w:val="center"/>
          </w:tcPr>
          <w:p w14:paraId="7E188492">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959" w:type="dxa"/>
            <w:tcBorders>
              <w:top w:val="nil"/>
              <w:left w:val="nil"/>
              <w:bottom w:val="single" w:color="auto" w:sz="4" w:space="0"/>
              <w:right w:val="single" w:color="auto" w:sz="4" w:space="0"/>
            </w:tcBorders>
            <w:shd w:val="clear" w:color="auto" w:fill="auto"/>
            <w:noWrap/>
            <w:vAlign w:val="center"/>
          </w:tcPr>
          <w:p w14:paraId="53979E68">
            <w:pPr>
              <w:widowControl/>
              <w:spacing w:line="360" w:lineRule="auto"/>
              <w:ind w:left="-112" w:leftChars="-51" w:right="-112" w:rightChars="-51"/>
              <w:jc w:val="center"/>
              <w:rPr>
                <w:kern w:val="2"/>
                <w:szCs w:val="21"/>
                <w:highlight w:val="none"/>
              </w:rPr>
            </w:pPr>
            <w:r>
              <w:rPr>
                <w:rFonts w:hint="eastAsia"/>
                <w:kern w:val="2"/>
                <w:szCs w:val="21"/>
                <w:highlight w:val="none"/>
              </w:rPr>
              <w:t>≥80000</w:t>
            </w:r>
          </w:p>
        </w:tc>
        <w:tc>
          <w:tcPr>
            <w:tcW w:w="1044" w:type="dxa"/>
            <w:tcBorders>
              <w:top w:val="nil"/>
              <w:left w:val="nil"/>
              <w:bottom w:val="single" w:color="auto" w:sz="4" w:space="0"/>
              <w:right w:val="single" w:color="auto" w:sz="4" w:space="0"/>
            </w:tcBorders>
            <w:shd w:val="clear" w:color="auto" w:fill="auto"/>
            <w:noWrap/>
            <w:vAlign w:val="center"/>
          </w:tcPr>
          <w:p w14:paraId="112FC57C">
            <w:pPr>
              <w:widowControl/>
              <w:spacing w:line="360" w:lineRule="auto"/>
              <w:ind w:left="-112" w:leftChars="-51" w:right="-112" w:rightChars="-51"/>
              <w:jc w:val="center"/>
              <w:rPr>
                <w:kern w:val="2"/>
                <w:szCs w:val="21"/>
                <w:highlight w:val="none"/>
              </w:rPr>
            </w:pPr>
            <w:r>
              <w:rPr>
                <w:rFonts w:hint="eastAsia"/>
                <w:kern w:val="2"/>
                <w:szCs w:val="21"/>
                <w:highlight w:val="none"/>
              </w:rPr>
              <w:t>≥5000</w:t>
            </w:r>
          </w:p>
        </w:tc>
        <w:tc>
          <w:tcPr>
            <w:tcW w:w="1046" w:type="dxa"/>
            <w:tcBorders>
              <w:top w:val="nil"/>
              <w:left w:val="nil"/>
              <w:bottom w:val="single" w:color="auto" w:sz="4" w:space="0"/>
              <w:right w:val="single" w:color="auto" w:sz="4" w:space="0"/>
            </w:tcBorders>
            <w:shd w:val="clear" w:color="auto" w:fill="auto"/>
            <w:noWrap/>
            <w:vAlign w:val="center"/>
          </w:tcPr>
          <w:p w14:paraId="4B13996F">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17" w:type="dxa"/>
            <w:tcBorders>
              <w:top w:val="nil"/>
              <w:left w:val="nil"/>
              <w:bottom w:val="single" w:color="auto" w:sz="4" w:space="0"/>
              <w:right w:val="single" w:color="auto" w:sz="4" w:space="0"/>
            </w:tcBorders>
            <w:shd w:val="clear" w:color="auto" w:fill="auto"/>
            <w:noWrap/>
            <w:vAlign w:val="center"/>
          </w:tcPr>
          <w:p w14:paraId="0A1AB58B">
            <w:pPr>
              <w:widowControl/>
              <w:spacing w:line="360" w:lineRule="auto"/>
              <w:jc w:val="center"/>
              <w:rPr>
                <w:kern w:val="2"/>
                <w:szCs w:val="21"/>
                <w:highlight w:val="none"/>
              </w:rPr>
            </w:pPr>
            <w:r>
              <w:rPr>
                <w:rFonts w:hint="eastAsia"/>
                <w:kern w:val="2"/>
                <w:szCs w:val="21"/>
                <w:highlight w:val="none"/>
              </w:rPr>
              <w:t>≥5000</w:t>
            </w:r>
          </w:p>
        </w:tc>
        <w:tc>
          <w:tcPr>
            <w:tcW w:w="1055" w:type="dxa"/>
            <w:tcBorders>
              <w:top w:val="nil"/>
              <w:left w:val="nil"/>
              <w:bottom w:val="single" w:color="auto" w:sz="4" w:space="0"/>
              <w:right w:val="single" w:color="auto" w:sz="4" w:space="0"/>
            </w:tcBorders>
            <w:shd w:val="clear" w:color="auto" w:fill="auto"/>
            <w:noWrap/>
            <w:vAlign w:val="center"/>
          </w:tcPr>
          <w:p w14:paraId="5F5BF580">
            <w:pPr>
              <w:widowControl/>
              <w:spacing w:line="360" w:lineRule="auto"/>
              <w:jc w:val="center"/>
              <w:rPr>
                <w:kern w:val="2"/>
                <w:szCs w:val="21"/>
                <w:highlight w:val="none"/>
              </w:rPr>
            </w:pPr>
            <w:r>
              <w:rPr>
                <w:rFonts w:hint="eastAsia"/>
                <w:kern w:val="2"/>
                <w:szCs w:val="21"/>
                <w:highlight w:val="none"/>
              </w:rPr>
              <w:t>≥300</w:t>
            </w:r>
          </w:p>
        </w:tc>
        <w:tc>
          <w:tcPr>
            <w:tcW w:w="1053" w:type="dxa"/>
            <w:tcBorders>
              <w:top w:val="nil"/>
              <w:left w:val="nil"/>
              <w:bottom w:val="single" w:color="auto" w:sz="4" w:space="0"/>
              <w:right w:val="single" w:color="auto" w:sz="4" w:space="0"/>
            </w:tcBorders>
            <w:shd w:val="clear" w:color="auto" w:fill="auto"/>
            <w:noWrap/>
            <w:vAlign w:val="center"/>
          </w:tcPr>
          <w:p w14:paraId="348A311A">
            <w:pPr>
              <w:widowControl/>
              <w:spacing w:line="360" w:lineRule="auto"/>
              <w:jc w:val="center"/>
              <w:rPr>
                <w:kern w:val="2"/>
                <w:szCs w:val="21"/>
                <w:highlight w:val="none"/>
              </w:rPr>
            </w:pPr>
            <w:r>
              <w:rPr>
                <w:rFonts w:hint="eastAsia"/>
                <w:kern w:val="2"/>
                <w:szCs w:val="21"/>
                <w:highlight w:val="none"/>
              </w:rPr>
              <w:t>　</w:t>
            </w:r>
          </w:p>
        </w:tc>
        <w:tc>
          <w:tcPr>
            <w:tcW w:w="1023" w:type="dxa"/>
            <w:tcBorders>
              <w:top w:val="nil"/>
              <w:left w:val="nil"/>
              <w:bottom w:val="single" w:color="auto" w:sz="4" w:space="0"/>
              <w:right w:val="single" w:color="auto" w:sz="4" w:space="0"/>
            </w:tcBorders>
            <w:shd w:val="clear" w:color="auto" w:fill="auto"/>
            <w:noWrap/>
            <w:vAlign w:val="center"/>
          </w:tcPr>
          <w:p w14:paraId="3476BC10">
            <w:pPr>
              <w:widowControl/>
              <w:spacing w:line="360" w:lineRule="auto"/>
              <w:jc w:val="center"/>
              <w:rPr>
                <w:kern w:val="2"/>
                <w:szCs w:val="21"/>
                <w:highlight w:val="none"/>
              </w:rPr>
            </w:pPr>
            <w:r>
              <w:rPr>
                <w:rFonts w:hint="eastAsia"/>
                <w:kern w:val="2"/>
                <w:szCs w:val="21"/>
                <w:highlight w:val="none"/>
              </w:rPr>
              <w:t>≥300</w:t>
            </w:r>
          </w:p>
        </w:tc>
        <w:tc>
          <w:tcPr>
            <w:tcW w:w="1043" w:type="dxa"/>
            <w:tcBorders>
              <w:top w:val="nil"/>
              <w:left w:val="nil"/>
              <w:bottom w:val="single" w:color="auto" w:sz="4" w:space="0"/>
              <w:right w:val="single" w:color="auto" w:sz="4" w:space="0"/>
            </w:tcBorders>
            <w:shd w:val="clear" w:color="auto" w:fill="auto"/>
            <w:noWrap/>
            <w:vAlign w:val="center"/>
          </w:tcPr>
          <w:p w14:paraId="470EE63E">
            <w:pPr>
              <w:widowControl/>
              <w:spacing w:line="360" w:lineRule="auto"/>
              <w:jc w:val="center"/>
              <w:rPr>
                <w:kern w:val="2"/>
                <w:szCs w:val="21"/>
                <w:highlight w:val="none"/>
              </w:rPr>
            </w:pPr>
            <w:r>
              <w:rPr>
                <w:rFonts w:hint="eastAsia"/>
                <w:kern w:val="2"/>
                <w:szCs w:val="21"/>
                <w:highlight w:val="none"/>
              </w:rPr>
              <w:t>＜300</w:t>
            </w:r>
          </w:p>
        </w:tc>
        <w:tc>
          <w:tcPr>
            <w:tcW w:w="992" w:type="dxa"/>
            <w:tcBorders>
              <w:top w:val="nil"/>
              <w:left w:val="nil"/>
              <w:bottom w:val="single" w:color="auto" w:sz="4" w:space="0"/>
              <w:right w:val="single" w:color="auto" w:sz="4" w:space="0"/>
            </w:tcBorders>
            <w:shd w:val="clear" w:color="auto" w:fill="auto"/>
            <w:noWrap/>
            <w:vAlign w:val="center"/>
          </w:tcPr>
          <w:p w14:paraId="0B69B3FC">
            <w:pPr>
              <w:widowControl/>
              <w:spacing w:line="360" w:lineRule="auto"/>
              <w:jc w:val="center"/>
              <w:rPr>
                <w:kern w:val="2"/>
                <w:szCs w:val="21"/>
                <w:highlight w:val="none"/>
              </w:rPr>
            </w:pPr>
            <w:r>
              <w:rPr>
                <w:rFonts w:hint="eastAsia"/>
                <w:kern w:val="2"/>
                <w:szCs w:val="21"/>
                <w:highlight w:val="none"/>
              </w:rPr>
              <w:t>　</w:t>
            </w:r>
          </w:p>
        </w:tc>
        <w:tc>
          <w:tcPr>
            <w:tcW w:w="861" w:type="dxa"/>
            <w:tcBorders>
              <w:top w:val="nil"/>
              <w:left w:val="nil"/>
              <w:bottom w:val="single" w:color="auto" w:sz="4" w:space="0"/>
              <w:right w:val="single" w:color="auto" w:sz="4" w:space="0"/>
            </w:tcBorders>
            <w:shd w:val="clear" w:color="auto" w:fill="auto"/>
            <w:noWrap/>
            <w:vAlign w:val="center"/>
          </w:tcPr>
          <w:p w14:paraId="34EB0DEA">
            <w:pPr>
              <w:widowControl/>
              <w:spacing w:line="360" w:lineRule="auto"/>
              <w:jc w:val="center"/>
              <w:rPr>
                <w:kern w:val="2"/>
                <w:szCs w:val="21"/>
                <w:highlight w:val="none"/>
              </w:rPr>
            </w:pPr>
            <w:r>
              <w:rPr>
                <w:rFonts w:hint="eastAsia"/>
                <w:kern w:val="2"/>
                <w:szCs w:val="21"/>
                <w:highlight w:val="none"/>
              </w:rPr>
              <w:t>＜300</w:t>
            </w:r>
          </w:p>
        </w:tc>
      </w:tr>
      <w:tr w14:paraId="543D575D">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5EFB2D19">
            <w:pPr>
              <w:widowControl/>
              <w:spacing w:line="360" w:lineRule="auto"/>
              <w:ind w:left="-112" w:leftChars="-51" w:right="-112" w:rightChars="-51"/>
              <w:jc w:val="center"/>
              <w:rPr>
                <w:bCs/>
                <w:kern w:val="2"/>
                <w:szCs w:val="21"/>
                <w:highlight w:val="none"/>
              </w:rPr>
            </w:pPr>
            <w:r>
              <w:rPr>
                <w:rFonts w:hint="eastAsia"/>
                <w:bCs/>
                <w:kern w:val="2"/>
                <w:szCs w:val="21"/>
                <w:highlight w:val="none"/>
              </w:rPr>
              <w:t>4</w:t>
            </w:r>
          </w:p>
        </w:tc>
        <w:tc>
          <w:tcPr>
            <w:tcW w:w="1990" w:type="dxa"/>
            <w:tcBorders>
              <w:top w:val="nil"/>
              <w:left w:val="nil"/>
              <w:bottom w:val="single" w:color="auto" w:sz="4" w:space="0"/>
              <w:right w:val="single" w:color="auto" w:sz="4" w:space="0"/>
            </w:tcBorders>
            <w:shd w:val="clear" w:color="auto" w:fill="auto"/>
            <w:noWrap/>
            <w:vAlign w:val="center"/>
          </w:tcPr>
          <w:p w14:paraId="798D29C0">
            <w:pPr>
              <w:spacing w:line="360" w:lineRule="auto"/>
              <w:ind w:left="-29" w:leftChars="-13" w:right="-68" w:rightChars="-31"/>
              <w:rPr>
                <w:bCs/>
                <w:kern w:val="2"/>
                <w:szCs w:val="21"/>
                <w:highlight w:val="none"/>
              </w:rPr>
            </w:pPr>
            <w:r>
              <w:rPr>
                <w:rFonts w:hint="eastAsia"/>
                <w:bCs/>
                <w:kern w:val="2"/>
                <w:szCs w:val="21"/>
                <w:highlight w:val="none"/>
              </w:rPr>
              <w:t>批发业</w:t>
            </w:r>
          </w:p>
        </w:tc>
        <w:tc>
          <w:tcPr>
            <w:tcW w:w="1045" w:type="dxa"/>
            <w:tcBorders>
              <w:top w:val="nil"/>
              <w:left w:val="nil"/>
              <w:bottom w:val="single" w:color="auto" w:sz="4" w:space="0"/>
              <w:right w:val="single" w:color="auto" w:sz="4" w:space="0"/>
            </w:tcBorders>
            <w:shd w:val="clear" w:color="auto" w:fill="auto"/>
            <w:noWrap/>
            <w:vAlign w:val="center"/>
          </w:tcPr>
          <w:p w14:paraId="3ECB5A59">
            <w:pPr>
              <w:widowControl/>
              <w:spacing w:line="360" w:lineRule="auto"/>
              <w:ind w:left="-112" w:leftChars="-51" w:right="-112" w:rightChars="-51"/>
              <w:jc w:val="center"/>
              <w:rPr>
                <w:kern w:val="2"/>
                <w:szCs w:val="21"/>
                <w:highlight w:val="none"/>
              </w:rPr>
            </w:pPr>
            <w:r>
              <w:rPr>
                <w:rFonts w:hint="eastAsia"/>
                <w:kern w:val="2"/>
                <w:szCs w:val="21"/>
                <w:highlight w:val="none"/>
              </w:rPr>
              <w:t>≥40000</w:t>
            </w:r>
          </w:p>
        </w:tc>
        <w:tc>
          <w:tcPr>
            <w:tcW w:w="1116" w:type="dxa"/>
            <w:tcBorders>
              <w:top w:val="nil"/>
              <w:left w:val="nil"/>
              <w:bottom w:val="single" w:color="auto" w:sz="4" w:space="0"/>
              <w:right w:val="single" w:color="auto" w:sz="4" w:space="0"/>
            </w:tcBorders>
            <w:shd w:val="clear" w:color="auto" w:fill="auto"/>
            <w:noWrap/>
            <w:vAlign w:val="center"/>
          </w:tcPr>
          <w:p w14:paraId="3DFEC8FF">
            <w:pPr>
              <w:widowControl/>
              <w:spacing w:line="360" w:lineRule="auto"/>
              <w:ind w:left="-112" w:leftChars="-51" w:right="-112" w:rightChars="-51"/>
              <w:jc w:val="center"/>
              <w:rPr>
                <w:kern w:val="2"/>
                <w:szCs w:val="21"/>
                <w:highlight w:val="none"/>
              </w:rPr>
            </w:pPr>
            <w:r>
              <w:rPr>
                <w:rFonts w:hint="eastAsia"/>
                <w:kern w:val="2"/>
                <w:szCs w:val="21"/>
                <w:highlight w:val="none"/>
              </w:rPr>
              <w:t>≥200</w:t>
            </w:r>
          </w:p>
        </w:tc>
        <w:tc>
          <w:tcPr>
            <w:tcW w:w="959" w:type="dxa"/>
            <w:tcBorders>
              <w:top w:val="nil"/>
              <w:left w:val="nil"/>
              <w:bottom w:val="single" w:color="auto" w:sz="4" w:space="0"/>
              <w:right w:val="single" w:color="auto" w:sz="4" w:space="0"/>
            </w:tcBorders>
            <w:shd w:val="clear" w:color="auto" w:fill="auto"/>
            <w:noWrap/>
            <w:vAlign w:val="center"/>
          </w:tcPr>
          <w:p w14:paraId="7CAF779A">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75DC090D">
            <w:pPr>
              <w:widowControl/>
              <w:spacing w:line="360" w:lineRule="auto"/>
              <w:ind w:left="-112" w:leftChars="-51" w:right="-112" w:rightChars="-51"/>
              <w:jc w:val="center"/>
              <w:rPr>
                <w:kern w:val="2"/>
                <w:szCs w:val="21"/>
                <w:highlight w:val="none"/>
              </w:rPr>
            </w:pPr>
            <w:r>
              <w:rPr>
                <w:rFonts w:hint="eastAsia"/>
                <w:kern w:val="2"/>
                <w:szCs w:val="21"/>
                <w:highlight w:val="none"/>
              </w:rPr>
              <w:t>≥5000</w:t>
            </w:r>
          </w:p>
        </w:tc>
        <w:tc>
          <w:tcPr>
            <w:tcW w:w="1046" w:type="dxa"/>
            <w:tcBorders>
              <w:top w:val="nil"/>
              <w:left w:val="nil"/>
              <w:bottom w:val="single" w:color="auto" w:sz="4" w:space="0"/>
              <w:right w:val="single" w:color="auto" w:sz="4" w:space="0"/>
            </w:tcBorders>
            <w:shd w:val="clear" w:color="auto" w:fill="auto"/>
            <w:noWrap/>
            <w:vAlign w:val="center"/>
          </w:tcPr>
          <w:p w14:paraId="04BA7CCB">
            <w:pPr>
              <w:widowControl/>
              <w:spacing w:line="360" w:lineRule="auto"/>
              <w:ind w:left="-112" w:leftChars="-51" w:right="-112" w:rightChars="-51"/>
              <w:jc w:val="center"/>
              <w:rPr>
                <w:kern w:val="2"/>
                <w:szCs w:val="21"/>
                <w:highlight w:val="none"/>
              </w:rPr>
            </w:pPr>
            <w:r>
              <w:rPr>
                <w:rFonts w:hint="eastAsia"/>
                <w:kern w:val="2"/>
                <w:szCs w:val="21"/>
                <w:highlight w:val="none"/>
              </w:rPr>
              <w:t>≥20</w:t>
            </w:r>
          </w:p>
        </w:tc>
        <w:tc>
          <w:tcPr>
            <w:tcW w:w="1017" w:type="dxa"/>
            <w:tcBorders>
              <w:top w:val="nil"/>
              <w:left w:val="nil"/>
              <w:bottom w:val="single" w:color="auto" w:sz="4" w:space="0"/>
              <w:right w:val="single" w:color="auto" w:sz="4" w:space="0"/>
            </w:tcBorders>
            <w:shd w:val="clear" w:color="auto" w:fill="auto"/>
            <w:noWrap/>
            <w:vAlign w:val="center"/>
          </w:tcPr>
          <w:p w14:paraId="1CAA5968">
            <w:pPr>
              <w:widowControl/>
              <w:spacing w:line="360" w:lineRule="auto"/>
              <w:jc w:val="center"/>
              <w:rPr>
                <w:kern w:val="2"/>
                <w:szCs w:val="21"/>
                <w:highlight w:val="none"/>
              </w:rPr>
            </w:pPr>
            <w:r>
              <w:rPr>
                <w:rFonts w:hint="eastAsia"/>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46AEEC74">
            <w:pPr>
              <w:widowControl/>
              <w:spacing w:line="360" w:lineRule="auto"/>
              <w:jc w:val="center"/>
              <w:rPr>
                <w:kern w:val="2"/>
                <w:szCs w:val="21"/>
                <w:highlight w:val="none"/>
              </w:rPr>
            </w:pPr>
            <w:r>
              <w:rPr>
                <w:rFonts w:hint="eastAsia"/>
                <w:kern w:val="2"/>
                <w:szCs w:val="21"/>
                <w:highlight w:val="none"/>
              </w:rPr>
              <w:t>≥1000</w:t>
            </w:r>
          </w:p>
        </w:tc>
        <w:tc>
          <w:tcPr>
            <w:tcW w:w="1053" w:type="dxa"/>
            <w:tcBorders>
              <w:top w:val="nil"/>
              <w:left w:val="nil"/>
              <w:bottom w:val="single" w:color="auto" w:sz="4" w:space="0"/>
              <w:right w:val="single" w:color="auto" w:sz="4" w:space="0"/>
            </w:tcBorders>
            <w:shd w:val="clear" w:color="auto" w:fill="auto"/>
            <w:noWrap/>
            <w:vAlign w:val="center"/>
          </w:tcPr>
          <w:p w14:paraId="7F9E534E">
            <w:pPr>
              <w:widowControl/>
              <w:spacing w:line="360" w:lineRule="auto"/>
              <w:jc w:val="center"/>
              <w:rPr>
                <w:kern w:val="2"/>
                <w:szCs w:val="21"/>
                <w:highlight w:val="none"/>
              </w:rPr>
            </w:pPr>
            <w:r>
              <w:rPr>
                <w:rFonts w:hint="eastAsia"/>
                <w:kern w:val="2"/>
                <w:szCs w:val="21"/>
                <w:highlight w:val="none"/>
              </w:rPr>
              <w:t>≥10</w:t>
            </w:r>
          </w:p>
        </w:tc>
        <w:tc>
          <w:tcPr>
            <w:tcW w:w="1023" w:type="dxa"/>
            <w:tcBorders>
              <w:top w:val="nil"/>
              <w:left w:val="nil"/>
              <w:bottom w:val="single" w:color="auto" w:sz="4" w:space="0"/>
              <w:right w:val="single" w:color="auto" w:sz="4" w:space="0"/>
            </w:tcBorders>
            <w:shd w:val="clear" w:color="auto" w:fill="auto"/>
            <w:noWrap/>
            <w:vAlign w:val="center"/>
          </w:tcPr>
          <w:p w14:paraId="06268B1A">
            <w:pPr>
              <w:widowControl/>
              <w:spacing w:line="360" w:lineRule="auto"/>
              <w:jc w:val="center"/>
              <w:rPr>
                <w:kern w:val="2"/>
                <w:szCs w:val="21"/>
                <w:highlight w:val="none"/>
              </w:rPr>
            </w:pPr>
            <w:r>
              <w:rPr>
                <w:rFonts w:hint="eastAsia"/>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575A411F">
            <w:pPr>
              <w:widowControl/>
              <w:spacing w:line="360" w:lineRule="auto"/>
              <w:jc w:val="center"/>
              <w:rPr>
                <w:kern w:val="2"/>
                <w:szCs w:val="21"/>
                <w:highlight w:val="none"/>
              </w:rPr>
            </w:pPr>
            <w:r>
              <w:rPr>
                <w:rFonts w:hint="eastAsia"/>
                <w:kern w:val="2"/>
                <w:szCs w:val="21"/>
                <w:highlight w:val="none"/>
              </w:rPr>
              <w:t>＜1000</w:t>
            </w:r>
          </w:p>
        </w:tc>
        <w:tc>
          <w:tcPr>
            <w:tcW w:w="992" w:type="dxa"/>
            <w:tcBorders>
              <w:top w:val="nil"/>
              <w:left w:val="nil"/>
              <w:bottom w:val="single" w:color="auto" w:sz="4" w:space="0"/>
              <w:right w:val="single" w:color="auto" w:sz="4" w:space="0"/>
            </w:tcBorders>
            <w:shd w:val="clear" w:color="auto" w:fill="auto"/>
            <w:noWrap/>
            <w:vAlign w:val="center"/>
          </w:tcPr>
          <w:p w14:paraId="602E889D">
            <w:pPr>
              <w:widowControl/>
              <w:spacing w:line="360" w:lineRule="auto"/>
              <w:jc w:val="center"/>
              <w:rPr>
                <w:kern w:val="2"/>
                <w:szCs w:val="21"/>
                <w:highlight w:val="none"/>
              </w:rPr>
            </w:pPr>
            <w:r>
              <w:rPr>
                <w:rFonts w:hint="eastAsia"/>
                <w:kern w:val="2"/>
                <w:szCs w:val="21"/>
                <w:highlight w:val="none"/>
              </w:rPr>
              <w:t>＜5</w:t>
            </w:r>
          </w:p>
        </w:tc>
        <w:tc>
          <w:tcPr>
            <w:tcW w:w="861" w:type="dxa"/>
            <w:tcBorders>
              <w:top w:val="nil"/>
              <w:left w:val="nil"/>
              <w:bottom w:val="single" w:color="auto" w:sz="4" w:space="0"/>
              <w:right w:val="single" w:color="auto" w:sz="4" w:space="0"/>
            </w:tcBorders>
            <w:shd w:val="clear" w:color="auto" w:fill="auto"/>
            <w:noWrap/>
            <w:vAlign w:val="center"/>
          </w:tcPr>
          <w:p w14:paraId="66D843F9">
            <w:pPr>
              <w:widowControl/>
              <w:spacing w:line="360" w:lineRule="auto"/>
              <w:jc w:val="center"/>
              <w:rPr>
                <w:kern w:val="2"/>
                <w:szCs w:val="21"/>
                <w:highlight w:val="none"/>
              </w:rPr>
            </w:pPr>
            <w:r>
              <w:rPr>
                <w:rFonts w:hint="eastAsia"/>
                <w:kern w:val="2"/>
                <w:szCs w:val="21"/>
                <w:highlight w:val="none"/>
              </w:rPr>
              <w:t>　</w:t>
            </w:r>
          </w:p>
        </w:tc>
      </w:tr>
      <w:tr w14:paraId="37134B9A">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36B4B96B">
            <w:pPr>
              <w:widowControl/>
              <w:spacing w:line="360" w:lineRule="auto"/>
              <w:ind w:left="-112" w:leftChars="-51" w:right="-112" w:rightChars="-51"/>
              <w:jc w:val="center"/>
              <w:rPr>
                <w:bCs/>
                <w:kern w:val="2"/>
                <w:szCs w:val="21"/>
                <w:highlight w:val="none"/>
              </w:rPr>
            </w:pPr>
            <w:r>
              <w:rPr>
                <w:rFonts w:hint="eastAsia"/>
                <w:bCs/>
                <w:kern w:val="2"/>
                <w:szCs w:val="21"/>
                <w:highlight w:val="none"/>
              </w:rPr>
              <w:t>5</w:t>
            </w:r>
          </w:p>
        </w:tc>
        <w:tc>
          <w:tcPr>
            <w:tcW w:w="1990" w:type="dxa"/>
            <w:tcBorders>
              <w:top w:val="nil"/>
              <w:left w:val="nil"/>
              <w:bottom w:val="single" w:color="auto" w:sz="4" w:space="0"/>
              <w:right w:val="single" w:color="auto" w:sz="4" w:space="0"/>
            </w:tcBorders>
            <w:shd w:val="clear" w:color="auto" w:fill="auto"/>
            <w:noWrap/>
            <w:vAlign w:val="center"/>
          </w:tcPr>
          <w:p w14:paraId="398C922F">
            <w:pPr>
              <w:spacing w:line="360" w:lineRule="auto"/>
              <w:ind w:left="-29" w:leftChars="-13" w:right="-68" w:rightChars="-31"/>
              <w:rPr>
                <w:bCs/>
                <w:kern w:val="2"/>
                <w:szCs w:val="21"/>
                <w:highlight w:val="none"/>
              </w:rPr>
            </w:pPr>
            <w:r>
              <w:rPr>
                <w:rFonts w:hint="eastAsia"/>
                <w:bCs/>
                <w:kern w:val="2"/>
                <w:szCs w:val="21"/>
                <w:highlight w:val="none"/>
              </w:rPr>
              <w:t>零售业</w:t>
            </w:r>
          </w:p>
        </w:tc>
        <w:tc>
          <w:tcPr>
            <w:tcW w:w="1045" w:type="dxa"/>
            <w:tcBorders>
              <w:top w:val="nil"/>
              <w:left w:val="nil"/>
              <w:bottom w:val="single" w:color="auto" w:sz="4" w:space="0"/>
              <w:right w:val="single" w:color="auto" w:sz="4" w:space="0"/>
            </w:tcBorders>
            <w:shd w:val="clear" w:color="auto" w:fill="auto"/>
            <w:noWrap/>
            <w:vAlign w:val="center"/>
          </w:tcPr>
          <w:p w14:paraId="63293A72">
            <w:pPr>
              <w:widowControl/>
              <w:spacing w:line="360" w:lineRule="auto"/>
              <w:ind w:left="-112" w:leftChars="-51" w:right="-112" w:rightChars="-51"/>
              <w:jc w:val="center"/>
              <w:rPr>
                <w:kern w:val="2"/>
                <w:szCs w:val="21"/>
                <w:highlight w:val="none"/>
              </w:rPr>
            </w:pPr>
            <w:r>
              <w:rPr>
                <w:rFonts w:hint="eastAsia"/>
                <w:kern w:val="2"/>
                <w:szCs w:val="21"/>
                <w:highlight w:val="none"/>
              </w:rPr>
              <w:t>≥20000</w:t>
            </w:r>
          </w:p>
        </w:tc>
        <w:tc>
          <w:tcPr>
            <w:tcW w:w="1116" w:type="dxa"/>
            <w:tcBorders>
              <w:top w:val="nil"/>
              <w:left w:val="nil"/>
              <w:bottom w:val="single" w:color="auto" w:sz="4" w:space="0"/>
              <w:right w:val="single" w:color="auto" w:sz="4" w:space="0"/>
            </w:tcBorders>
            <w:shd w:val="clear" w:color="auto" w:fill="auto"/>
            <w:noWrap/>
            <w:vAlign w:val="center"/>
          </w:tcPr>
          <w:p w14:paraId="77B49F54">
            <w:pPr>
              <w:widowControl/>
              <w:spacing w:line="360" w:lineRule="auto"/>
              <w:ind w:left="-112" w:leftChars="-51" w:right="-112" w:rightChars="-51"/>
              <w:jc w:val="center"/>
              <w:rPr>
                <w:kern w:val="2"/>
                <w:szCs w:val="21"/>
                <w:highlight w:val="none"/>
              </w:rPr>
            </w:pPr>
            <w:r>
              <w:rPr>
                <w:rFonts w:hint="eastAsia"/>
                <w:kern w:val="2"/>
                <w:szCs w:val="21"/>
                <w:highlight w:val="none"/>
              </w:rPr>
              <w:t>≥300</w:t>
            </w:r>
          </w:p>
        </w:tc>
        <w:tc>
          <w:tcPr>
            <w:tcW w:w="959" w:type="dxa"/>
            <w:tcBorders>
              <w:top w:val="nil"/>
              <w:left w:val="nil"/>
              <w:bottom w:val="single" w:color="auto" w:sz="4" w:space="0"/>
              <w:right w:val="single" w:color="auto" w:sz="4" w:space="0"/>
            </w:tcBorders>
            <w:shd w:val="clear" w:color="auto" w:fill="auto"/>
            <w:noWrap/>
            <w:vAlign w:val="center"/>
          </w:tcPr>
          <w:p w14:paraId="2F69FD1F">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514224E4">
            <w:pPr>
              <w:widowControl/>
              <w:spacing w:line="360" w:lineRule="auto"/>
              <w:ind w:left="-112" w:leftChars="-51" w:right="-112" w:rightChars="-51"/>
              <w:jc w:val="center"/>
              <w:rPr>
                <w:kern w:val="2"/>
                <w:szCs w:val="21"/>
                <w:highlight w:val="none"/>
              </w:rPr>
            </w:pPr>
            <w:r>
              <w:rPr>
                <w:rFonts w:hint="eastAsia"/>
                <w:kern w:val="2"/>
                <w:szCs w:val="21"/>
                <w:highlight w:val="none"/>
              </w:rPr>
              <w:t>≥500</w:t>
            </w:r>
          </w:p>
        </w:tc>
        <w:tc>
          <w:tcPr>
            <w:tcW w:w="1046" w:type="dxa"/>
            <w:tcBorders>
              <w:top w:val="nil"/>
              <w:left w:val="nil"/>
              <w:bottom w:val="single" w:color="auto" w:sz="4" w:space="0"/>
              <w:right w:val="single" w:color="auto" w:sz="4" w:space="0"/>
            </w:tcBorders>
            <w:shd w:val="clear" w:color="auto" w:fill="auto"/>
            <w:noWrap/>
            <w:vAlign w:val="center"/>
          </w:tcPr>
          <w:p w14:paraId="2A0690EA">
            <w:pPr>
              <w:widowControl/>
              <w:spacing w:line="360" w:lineRule="auto"/>
              <w:ind w:left="-112" w:leftChars="-51" w:right="-112" w:rightChars="-51"/>
              <w:jc w:val="center"/>
              <w:rPr>
                <w:kern w:val="2"/>
                <w:szCs w:val="21"/>
                <w:highlight w:val="none"/>
              </w:rPr>
            </w:pPr>
            <w:r>
              <w:rPr>
                <w:rFonts w:hint="eastAsia"/>
                <w:kern w:val="2"/>
                <w:szCs w:val="21"/>
                <w:highlight w:val="none"/>
              </w:rPr>
              <w:t>≥50</w:t>
            </w:r>
          </w:p>
        </w:tc>
        <w:tc>
          <w:tcPr>
            <w:tcW w:w="1017" w:type="dxa"/>
            <w:tcBorders>
              <w:top w:val="nil"/>
              <w:left w:val="nil"/>
              <w:bottom w:val="single" w:color="auto" w:sz="4" w:space="0"/>
              <w:right w:val="single" w:color="auto" w:sz="4" w:space="0"/>
            </w:tcBorders>
            <w:shd w:val="clear" w:color="auto" w:fill="auto"/>
            <w:noWrap/>
            <w:vAlign w:val="center"/>
          </w:tcPr>
          <w:p w14:paraId="631CF08A">
            <w:pPr>
              <w:widowControl/>
              <w:spacing w:line="360" w:lineRule="auto"/>
              <w:jc w:val="center"/>
              <w:rPr>
                <w:kern w:val="2"/>
                <w:szCs w:val="21"/>
                <w:highlight w:val="none"/>
              </w:rPr>
            </w:pPr>
            <w:r>
              <w:rPr>
                <w:rFonts w:hint="eastAsia"/>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1D2575D5">
            <w:pPr>
              <w:widowControl/>
              <w:spacing w:line="360" w:lineRule="auto"/>
              <w:jc w:val="center"/>
              <w:rPr>
                <w:kern w:val="2"/>
                <w:szCs w:val="21"/>
                <w:highlight w:val="none"/>
              </w:rPr>
            </w:pPr>
            <w:r>
              <w:rPr>
                <w:rFonts w:hint="eastAsia"/>
                <w:kern w:val="2"/>
                <w:szCs w:val="21"/>
                <w:highlight w:val="none"/>
              </w:rPr>
              <w:t>≥100</w:t>
            </w:r>
          </w:p>
        </w:tc>
        <w:tc>
          <w:tcPr>
            <w:tcW w:w="1053" w:type="dxa"/>
            <w:tcBorders>
              <w:top w:val="nil"/>
              <w:left w:val="nil"/>
              <w:bottom w:val="single" w:color="auto" w:sz="4" w:space="0"/>
              <w:right w:val="single" w:color="auto" w:sz="4" w:space="0"/>
            </w:tcBorders>
            <w:shd w:val="clear" w:color="auto" w:fill="auto"/>
            <w:noWrap/>
            <w:vAlign w:val="center"/>
          </w:tcPr>
          <w:p w14:paraId="60AA6FFD">
            <w:pPr>
              <w:widowControl/>
              <w:spacing w:line="360" w:lineRule="auto"/>
              <w:jc w:val="center"/>
              <w:rPr>
                <w:kern w:val="2"/>
                <w:szCs w:val="21"/>
                <w:highlight w:val="none"/>
              </w:rPr>
            </w:pPr>
            <w:r>
              <w:rPr>
                <w:rFonts w:hint="eastAsia"/>
                <w:kern w:val="2"/>
                <w:szCs w:val="21"/>
                <w:highlight w:val="none"/>
              </w:rPr>
              <w:t>≥10</w:t>
            </w:r>
          </w:p>
        </w:tc>
        <w:tc>
          <w:tcPr>
            <w:tcW w:w="1023" w:type="dxa"/>
            <w:tcBorders>
              <w:top w:val="nil"/>
              <w:left w:val="nil"/>
              <w:bottom w:val="single" w:color="auto" w:sz="4" w:space="0"/>
              <w:right w:val="single" w:color="auto" w:sz="4" w:space="0"/>
            </w:tcBorders>
            <w:shd w:val="clear" w:color="auto" w:fill="auto"/>
            <w:noWrap/>
            <w:vAlign w:val="center"/>
          </w:tcPr>
          <w:p w14:paraId="78DFFD3E">
            <w:pPr>
              <w:widowControl/>
              <w:spacing w:line="360" w:lineRule="auto"/>
              <w:jc w:val="center"/>
              <w:rPr>
                <w:kern w:val="2"/>
                <w:szCs w:val="21"/>
                <w:highlight w:val="none"/>
              </w:rPr>
            </w:pPr>
            <w:r>
              <w:rPr>
                <w:rFonts w:hint="eastAsia"/>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7B873F06">
            <w:pPr>
              <w:widowControl/>
              <w:spacing w:line="360" w:lineRule="auto"/>
              <w:jc w:val="center"/>
              <w:rPr>
                <w:kern w:val="2"/>
                <w:szCs w:val="21"/>
                <w:highlight w:val="none"/>
              </w:rPr>
            </w:pPr>
            <w:r>
              <w:rPr>
                <w:rFonts w:hint="eastAsia"/>
                <w:kern w:val="2"/>
                <w:szCs w:val="21"/>
                <w:highlight w:val="none"/>
              </w:rPr>
              <w:t>＜100</w:t>
            </w:r>
          </w:p>
        </w:tc>
        <w:tc>
          <w:tcPr>
            <w:tcW w:w="992" w:type="dxa"/>
            <w:tcBorders>
              <w:top w:val="nil"/>
              <w:left w:val="nil"/>
              <w:bottom w:val="single" w:color="auto" w:sz="4" w:space="0"/>
              <w:right w:val="single" w:color="auto" w:sz="4" w:space="0"/>
            </w:tcBorders>
            <w:shd w:val="clear" w:color="auto" w:fill="auto"/>
            <w:noWrap/>
            <w:vAlign w:val="center"/>
          </w:tcPr>
          <w:p w14:paraId="0F771602">
            <w:pPr>
              <w:widowControl/>
              <w:spacing w:line="360" w:lineRule="auto"/>
              <w:jc w:val="center"/>
              <w:rPr>
                <w:kern w:val="2"/>
                <w:szCs w:val="21"/>
                <w:highlight w:val="none"/>
              </w:rPr>
            </w:pPr>
            <w:r>
              <w:rPr>
                <w:rFonts w:hint="eastAsia"/>
                <w:kern w:val="2"/>
                <w:szCs w:val="21"/>
                <w:highlight w:val="none"/>
              </w:rPr>
              <w:t>＜10</w:t>
            </w:r>
          </w:p>
        </w:tc>
        <w:tc>
          <w:tcPr>
            <w:tcW w:w="861" w:type="dxa"/>
            <w:tcBorders>
              <w:top w:val="nil"/>
              <w:left w:val="nil"/>
              <w:bottom w:val="single" w:color="auto" w:sz="4" w:space="0"/>
              <w:right w:val="single" w:color="auto" w:sz="4" w:space="0"/>
            </w:tcBorders>
            <w:shd w:val="clear" w:color="auto" w:fill="auto"/>
            <w:noWrap/>
            <w:vAlign w:val="center"/>
          </w:tcPr>
          <w:p w14:paraId="1A14C2A8">
            <w:pPr>
              <w:widowControl/>
              <w:spacing w:line="360" w:lineRule="auto"/>
              <w:jc w:val="center"/>
              <w:rPr>
                <w:kern w:val="2"/>
                <w:szCs w:val="21"/>
                <w:highlight w:val="none"/>
              </w:rPr>
            </w:pPr>
            <w:r>
              <w:rPr>
                <w:rFonts w:hint="eastAsia"/>
                <w:kern w:val="2"/>
                <w:szCs w:val="21"/>
                <w:highlight w:val="none"/>
              </w:rPr>
              <w:t>　</w:t>
            </w:r>
          </w:p>
        </w:tc>
      </w:tr>
      <w:tr w14:paraId="505AAF06">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25CBA02A">
            <w:pPr>
              <w:widowControl/>
              <w:spacing w:line="360" w:lineRule="auto"/>
              <w:ind w:left="-112" w:leftChars="-51" w:right="-112" w:rightChars="-51"/>
              <w:jc w:val="center"/>
              <w:rPr>
                <w:bCs/>
                <w:kern w:val="2"/>
                <w:szCs w:val="21"/>
                <w:highlight w:val="none"/>
              </w:rPr>
            </w:pPr>
            <w:r>
              <w:rPr>
                <w:rFonts w:hint="eastAsia"/>
                <w:bCs/>
                <w:kern w:val="2"/>
                <w:szCs w:val="21"/>
                <w:highlight w:val="none"/>
              </w:rPr>
              <w:t>6</w:t>
            </w:r>
          </w:p>
        </w:tc>
        <w:tc>
          <w:tcPr>
            <w:tcW w:w="1990" w:type="dxa"/>
            <w:tcBorders>
              <w:top w:val="nil"/>
              <w:left w:val="nil"/>
              <w:bottom w:val="single" w:color="auto" w:sz="4" w:space="0"/>
              <w:right w:val="single" w:color="auto" w:sz="4" w:space="0"/>
            </w:tcBorders>
            <w:shd w:val="clear" w:color="auto" w:fill="auto"/>
            <w:noWrap/>
            <w:vAlign w:val="center"/>
          </w:tcPr>
          <w:p w14:paraId="1167EDC1">
            <w:pPr>
              <w:spacing w:line="360" w:lineRule="auto"/>
              <w:ind w:left="-29" w:leftChars="-13" w:right="-68" w:rightChars="-31"/>
              <w:rPr>
                <w:bCs/>
                <w:kern w:val="2"/>
                <w:szCs w:val="21"/>
                <w:highlight w:val="none"/>
              </w:rPr>
            </w:pPr>
            <w:r>
              <w:rPr>
                <w:rFonts w:hint="eastAsia"/>
                <w:bCs/>
                <w:kern w:val="2"/>
                <w:szCs w:val="21"/>
                <w:highlight w:val="none"/>
              </w:rPr>
              <w:t>交通运输业</w:t>
            </w:r>
          </w:p>
        </w:tc>
        <w:tc>
          <w:tcPr>
            <w:tcW w:w="1045" w:type="dxa"/>
            <w:tcBorders>
              <w:top w:val="nil"/>
              <w:left w:val="nil"/>
              <w:bottom w:val="single" w:color="auto" w:sz="4" w:space="0"/>
              <w:right w:val="single" w:color="auto" w:sz="4" w:space="0"/>
            </w:tcBorders>
            <w:shd w:val="clear" w:color="auto" w:fill="auto"/>
            <w:noWrap/>
            <w:vAlign w:val="center"/>
          </w:tcPr>
          <w:p w14:paraId="297DCB90">
            <w:pPr>
              <w:widowControl/>
              <w:spacing w:line="360" w:lineRule="auto"/>
              <w:ind w:left="-112" w:leftChars="-51" w:right="-112" w:rightChars="-51"/>
              <w:jc w:val="center"/>
              <w:rPr>
                <w:kern w:val="2"/>
                <w:szCs w:val="21"/>
                <w:highlight w:val="none"/>
              </w:rPr>
            </w:pPr>
            <w:r>
              <w:rPr>
                <w:rFonts w:hint="eastAsia"/>
                <w:kern w:val="2"/>
                <w:szCs w:val="21"/>
                <w:highlight w:val="none"/>
              </w:rPr>
              <w:t>≥30000</w:t>
            </w:r>
          </w:p>
        </w:tc>
        <w:tc>
          <w:tcPr>
            <w:tcW w:w="1116" w:type="dxa"/>
            <w:tcBorders>
              <w:top w:val="nil"/>
              <w:left w:val="nil"/>
              <w:bottom w:val="single" w:color="auto" w:sz="4" w:space="0"/>
              <w:right w:val="single" w:color="auto" w:sz="4" w:space="0"/>
            </w:tcBorders>
            <w:shd w:val="clear" w:color="auto" w:fill="auto"/>
            <w:noWrap/>
            <w:vAlign w:val="center"/>
          </w:tcPr>
          <w:p w14:paraId="53EE2F00">
            <w:pPr>
              <w:widowControl/>
              <w:spacing w:line="360" w:lineRule="auto"/>
              <w:ind w:left="-112" w:leftChars="-51" w:right="-112" w:rightChars="-51"/>
              <w:jc w:val="center"/>
              <w:rPr>
                <w:kern w:val="2"/>
                <w:szCs w:val="21"/>
                <w:highlight w:val="none"/>
              </w:rPr>
            </w:pPr>
            <w:r>
              <w:rPr>
                <w:rFonts w:hint="eastAsia"/>
                <w:kern w:val="2"/>
                <w:szCs w:val="21"/>
                <w:highlight w:val="none"/>
              </w:rPr>
              <w:t>≥1000</w:t>
            </w:r>
          </w:p>
        </w:tc>
        <w:tc>
          <w:tcPr>
            <w:tcW w:w="959" w:type="dxa"/>
            <w:tcBorders>
              <w:top w:val="nil"/>
              <w:left w:val="nil"/>
              <w:bottom w:val="single" w:color="auto" w:sz="4" w:space="0"/>
              <w:right w:val="single" w:color="auto" w:sz="4" w:space="0"/>
            </w:tcBorders>
            <w:shd w:val="clear" w:color="auto" w:fill="auto"/>
            <w:noWrap/>
            <w:vAlign w:val="center"/>
          </w:tcPr>
          <w:p w14:paraId="3F7F80DE">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07E71C64">
            <w:pPr>
              <w:widowControl/>
              <w:spacing w:line="360" w:lineRule="auto"/>
              <w:ind w:left="-112" w:leftChars="-51" w:right="-112" w:rightChars="-51"/>
              <w:jc w:val="center"/>
              <w:rPr>
                <w:kern w:val="2"/>
                <w:szCs w:val="21"/>
                <w:highlight w:val="none"/>
              </w:rPr>
            </w:pPr>
            <w:r>
              <w:rPr>
                <w:rFonts w:hint="eastAsia"/>
                <w:kern w:val="2"/>
                <w:szCs w:val="21"/>
                <w:highlight w:val="none"/>
              </w:rPr>
              <w:t>≥3000</w:t>
            </w:r>
          </w:p>
        </w:tc>
        <w:tc>
          <w:tcPr>
            <w:tcW w:w="1046" w:type="dxa"/>
            <w:tcBorders>
              <w:top w:val="nil"/>
              <w:left w:val="nil"/>
              <w:bottom w:val="single" w:color="auto" w:sz="4" w:space="0"/>
              <w:right w:val="single" w:color="auto" w:sz="4" w:space="0"/>
            </w:tcBorders>
            <w:shd w:val="clear" w:color="auto" w:fill="auto"/>
            <w:noWrap/>
            <w:vAlign w:val="center"/>
          </w:tcPr>
          <w:p w14:paraId="444FC3BE">
            <w:pPr>
              <w:widowControl/>
              <w:spacing w:line="360" w:lineRule="auto"/>
              <w:ind w:left="-112" w:leftChars="-51" w:right="-112" w:rightChars="-51"/>
              <w:jc w:val="center"/>
              <w:rPr>
                <w:kern w:val="2"/>
                <w:szCs w:val="21"/>
                <w:highlight w:val="none"/>
              </w:rPr>
            </w:pPr>
            <w:r>
              <w:rPr>
                <w:rFonts w:hint="eastAsia"/>
                <w:kern w:val="2"/>
                <w:szCs w:val="21"/>
                <w:highlight w:val="none"/>
              </w:rPr>
              <w:t>≥300</w:t>
            </w:r>
          </w:p>
        </w:tc>
        <w:tc>
          <w:tcPr>
            <w:tcW w:w="1017" w:type="dxa"/>
            <w:tcBorders>
              <w:top w:val="nil"/>
              <w:left w:val="nil"/>
              <w:bottom w:val="single" w:color="auto" w:sz="4" w:space="0"/>
              <w:right w:val="single" w:color="auto" w:sz="4" w:space="0"/>
            </w:tcBorders>
            <w:shd w:val="clear" w:color="auto" w:fill="auto"/>
            <w:noWrap/>
            <w:vAlign w:val="center"/>
          </w:tcPr>
          <w:p w14:paraId="2AD27BCB">
            <w:pPr>
              <w:widowControl/>
              <w:spacing w:line="360" w:lineRule="auto"/>
              <w:jc w:val="center"/>
              <w:rPr>
                <w:kern w:val="2"/>
                <w:szCs w:val="21"/>
                <w:highlight w:val="none"/>
              </w:rPr>
            </w:pPr>
            <w:r>
              <w:rPr>
                <w:rFonts w:hint="eastAsia"/>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659D35EC">
            <w:pPr>
              <w:widowControl/>
              <w:spacing w:line="360" w:lineRule="auto"/>
              <w:jc w:val="center"/>
              <w:rPr>
                <w:kern w:val="2"/>
                <w:szCs w:val="21"/>
                <w:highlight w:val="none"/>
              </w:rPr>
            </w:pPr>
            <w:r>
              <w:rPr>
                <w:rFonts w:hint="eastAsia"/>
                <w:kern w:val="2"/>
                <w:szCs w:val="21"/>
                <w:highlight w:val="none"/>
              </w:rPr>
              <w:t>≥200</w:t>
            </w:r>
          </w:p>
        </w:tc>
        <w:tc>
          <w:tcPr>
            <w:tcW w:w="1053" w:type="dxa"/>
            <w:tcBorders>
              <w:top w:val="nil"/>
              <w:left w:val="nil"/>
              <w:bottom w:val="single" w:color="auto" w:sz="4" w:space="0"/>
              <w:right w:val="single" w:color="auto" w:sz="4" w:space="0"/>
            </w:tcBorders>
            <w:shd w:val="clear" w:color="auto" w:fill="auto"/>
            <w:noWrap/>
            <w:vAlign w:val="center"/>
          </w:tcPr>
          <w:p w14:paraId="0CB520DF">
            <w:pPr>
              <w:widowControl/>
              <w:spacing w:line="360" w:lineRule="auto"/>
              <w:jc w:val="center"/>
              <w:rPr>
                <w:kern w:val="2"/>
                <w:szCs w:val="21"/>
                <w:highlight w:val="none"/>
              </w:rPr>
            </w:pPr>
            <w:r>
              <w:rPr>
                <w:rFonts w:hint="eastAsia"/>
                <w:kern w:val="2"/>
                <w:szCs w:val="21"/>
                <w:highlight w:val="none"/>
              </w:rPr>
              <w:t>≥20</w:t>
            </w:r>
          </w:p>
        </w:tc>
        <w:tc>
          <w:tcPr>
            <w:tcW w:w="1023" w:type="dxa"/>
            <w:tcBorders>
              <w:top w:val="nil"/>
              <w:left w:val="nil"/>
              <w:bottom w:val="single" w:color="auto" w:sz="4" w:space="0"/>
              <w:right w:val="single" w:color="auto" w:sz="4" w:space="0"/>
            </w:tcBorders>
            <w:shd w:val="clear" w:color="auto" w:fill="auto"/>
            <w:noWrap/>
            <w:vAlign w:val="center"/>
          </w:tcPr>
          <w:p w14:paraId="3A85F229">
            <w:pPr>
              <w:widowControl/>
              <w:spacing w:line="360" w:lineRule="auto"/>
              <w:jc w:val="center"/>
              <w:rPr>
                <w:kern w:val="2"/>
                <w:szCs w:val="21"/>
                <w:highlight w:val="none"/>
              </w:rPr>
            </w:pPr>
            <w:r>
              <w:rPr>
                <w:rFonts w:hint="eastAsia"/>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74CE8D08">
            <w:pPr>
              <w:widowControl/>
              <w:spacing w:line="360" w:lineRule="auto"/>
              <w:jc w:val="center"/>
              <w:rPr>
                <w:kern w:val="2"/>
                <w:szCs w:val="21"/>
                <w:highlight w:val="none"/>
              </w:rPr>
            </w:pPr>
            <w:r>
              <w:rPr>
                <w:rFonts w:hint="eastAsia"/>
                <w:kern w:val="2"/>
                <w:szCs w:val="21"/>
                <w:highlight w:val="none"/>
              </w:rPr>
              <w:t>＜200</w:t>
            </w:r>
          </w:p>
        </w:tc>
        <w:tc>
          <w:tcPr>
            <w:tcW w:w="992" w:type="dxa"/>
            <w:tcBorders>
              <w:top w:val="nil"/>
              <w:left w:val="nil"/>
              <w:bottom w:val="single" w:color="auto" w:sz="4" w:space="0"/>
              <w:right w:val="single" w:color="auto" w:sz="4" w:space="0"/>
            </w:tcBorders>
            <w:shd w:val="clear" w:color="auto" w:fill="auto"/>
            <w:noWrap/>
            <w:vAlign w:val="center"/>
          </w:tcPr>
          <w:p w14:paraId="438FAFC5">
            <w:pPr>
              <w:widowControl/>
              <w:spacing w:line="360" w:lineRule="auto"/>
              <w:jc w:val="center"/>
              <w:rPr>
                <w:kern w:val="2"/>
                <w:szCs w:val="21"/>
                <w:highlight w:val="none"/>
              </w:rPr>
            </w:pPr>
            <w:r>
              <w:rPr>
                <w:rFonts w:hint="eastAsia"/>
                <w:kern w:val="2"/>
                <w:szCs w:val="21"/>
                <w:highlight w:val="none"/>
              </w:rPr>
              <w:t>＜20</w:t>
            </w:r>
          </w:p>
        </w:tc>
        <w:tc>
          <w:tcPr>
            <w:tcW w:w="861" w:type="dxa"/>
            <w:tcBorders>
              <w:top w:val="nil"/>
              <w:left w:val="nil"/>
              <w:bottom w:val="single" w:color="auto" w:sz="4" w:space="0"/>
              <w:right w:val="single" w:color="auto" w:sz="4" w:space="0"/>
            </w:tcBorders>
            <w:shd w:val="clear" w:color="auto" w:fill="auto"/>
            <w:noWrap/>
            <w:vAlign w:val="center"/>
          </w:tcPr>
          <w:p w14:paraId="30A2ECA6">
            <w:pPr>
              <w:widowControl/>
              <w:spacing w:line="360" w:lineRule="auto"/>
              <w:jc w:val="center"/>
              <w:rPr>
                <w:kern w:val="2"/>
                <w:szCs w:val="21"/>
                <w:highlight w:val="none"/>
              </w:rPr>
            </w:pPr>
            <w:r>
              <w:rPr>
                <w:rFonts w:hint="eastAsia"/>
                <w:kern w:val="2"/>
                <w:szCs w:val="21"/>
                <w:highlight w:val="none"/>
              </w:rPr>
              <w:t>　</w:t>
            </w:r>
          </w:p>
        </w:tc>
      </w:tr>
      <w:tr w14:paraId="0EAA0026">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5701AD8A">
            <w:pPr>
              <w:widowControl/>
              <w:spacing w:line="360" w:lineRule="auto"/>
              <w:ind w:left="-112" w:leftChars="-51" w:right="-112" w:rightChars="-51"/>
              <w:jc w:val="center"/>
              <w:rPr>
                <w:bCs/>
                <w:kern w:val="2"/>
                <w:szCs w:val="21"/>
                <w:highlight w:val="none"/>
              </w:rPr>
            </w:pPr>
            <w:r>
              <w:rPr>
                <w:rFonts w:hint="eastAsia"/>
                <w:bCs/>
                <w:kern w:val="2"/>
                <w:szCs w:val="21"/>
                <w:highlight w:val="none"/>
              </w:rPr>
              <w:t>7</w:t>
            </w:r>
          </w:p>
        </w:tc>
        <w:tc>
          <w:tcPr>
            <w:tcW w:w="1990" w:type="dxa"/>
            <w:tcBorders>
              <w:top w:val="nil"/>
              <w:left w:val="nil"/>
              <w:bottom w:val="single" w:color="auto" w:sz="4" w:space="0"/>
              <w:right w:val="single" w:color="auto" w:sz="4" w:space="0"/>
            </w:tcBorders>
            <w:shd w:val="clear" w:color="auto" w:fill="auto"/>
            <w:noWrap/>
            <w:vAlign w:val="center"/>
          </w:tcPr>
          <w:p w14:paraId="1418A432">
            <w:pPr>
              <w:spacing w:line="360" w:lineRule="auto"/>
              <w:ind w:left="-29" w:leftChars="-13" w:right="-68" w:rightChars="-31"/>
              <w:rPr>
                <w:bCs/>
                <w:kern w:val="2"/>
                <w:szCs w:val="21"/>
                <w:highlight w:val="none"/>
              </w:rPr>
            </w:pPr>
            <w:r>
              <w:rPr>
                <w:rFonts w:hint="eastAsia"/>
                <w:bCs/>
                <w:kern w:val="2"/>
                <w:szCs w:val="21"/>
                <w:highlight w:val="none"/>
              </w:rPr>
              <w:t>仓储业</w:t>
            </w:r>
          </w:p>
        </w:tc>
        <w:tc>
          <w:tcPr>
            <w:tcW w:w="1045" w:type="dxa"/>
            <w:tcBorders>
              <w:top w:val="nil"/>
              <w:left w:val="nil"/>
              <w:bottom w:val="single" w:color="auto" w:sz="4" w:space="0"/>
              <w:right w:val="single" w:color="auto" w:sz="4" w:space="0"/>
            </w:tcBorders>
            <w:shd w:val="clear" w:color="auto" w:fill="auto"/>
            <w:noWrap/>
            <w:vAlign w:val="center"/>
          </w:tcPr>
          <w:p w14:paraId="0037AD6A">
            <w:pPr>
              <w:widowControl/>
              <w:spacing w:line="360" w:lineRule="auto"/>
              <w:ind w:left="-112" w:leftChars="-51" w:right="-112" w:rightChars="-51"/>
              <w:jc w:val="center"/>
              <w:rPr>
                <w:kern w:val="2"/>
                <w:szCs w:val="21"/>
                <w:highlight w:val="none"/>
              </w:rPr>
            </w:pPr>
            <w:r>
              <w:rPr>
                <w:rFonts w:hint="eastAsia"/>
                <w:kern w:val="2"/>
                <w:szCs w:val="21"/>
                <w:highlight w:val="none"/>
              </w:rPr>
              <w:t>≥30000</w:t>
            </w:r>
          </w:p>
        </w:tc>
        <w:tc>
          <w:tcPr>
            <w:tcW w:w="1116" w:type="dxa"/>
            <w:tcBorders>
              <w:top w:val="nil"/>
              <w:left w:val="nil"/>
              <w:bottom w:val="single" w:color="auto" w:sz="4" w:space="0"/>
              <w:right w:val="single" w:color="auto" w:sz="4" w:space="0"/>
            </w:tcBorders>
            <w:shd w:val="clear" w:color="auto" w:fill="auto"/>
            <w:noWrap/>
            <w:vAlign w:val="center"/>
          </w:tcPr>
          <w:p w14:paraId="368ADC84">
            <w:pPr>
              <w:widowControl/>
              <w:spacing w:line="360" w:lineRule="auto"/>
              <w:ind w:left="-112" w:leftChars="-51" w:right="-112" w:rightChars="-51"/>
              <w:jc w:val="center"/>
              <w:rPr>
                <w:kern w:val="2"/>
                <w:szCs w:val="21"/>
                <w:highlight w:val="none"/>
              </w:rPr>
            </w:pPr>
            <w:r>
              <w:rPr>
                <w:rFonts w:hint="eastAsia"/>
                <w:kern w:val="2"/>
                <w:szCs w:val="21"/>
                <w:highlight w:val="none"/>
              </w:rPr>
              <w:t>≥200</w:t>
            </w:r>
          </w:p>
        </w:tc>
        <w:tc>
          <w:tcPr>
            <w:tcW w:w="959" w:type="dxa"/>
            <w:tcBorders>
              <w:top w:val="nil"/>
              <w:left w:val="nil"/>
              <w:bottom w:val="single" w:color="auto" w:sz="4" w:space="0"/>
              <w:right w:val="single" w:color="auto" w:sz="4" w:space="0"/>
            </w:tcBorders>
            <w:shd w:val="clear" w:color="auto" w:fill="auto"/>
            <w:noWrap/>
            <w:vAlign w:val="center"/>
          </w:tcPr>
          <w:p w14:paraId="783046B7">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11DCE3DB">
            <w:pPr>
              <w:widowControl/>
              <w:spacing w:line="360" w:lineRule="auto"/>
              <w:ind w:left="-112" w:leftChars="-51" w:right="-112" w:rightChars="-51"/>
              <w:jc w:val="center"/>
              <w:rPr>
                <w:kern w:val="2"/>
                <w:szCs w:val="21"/>
                <w:highlight w:val="none"/>
              </w:rPr>
            </w:pPr>
            <w:r>
              <w:rPr>
                <w:rFonts w:hint="eastAsia"/>
                <w:kern w:val="2"/>
                <w:szCs w:val="21"/>
                <w:highlight w:val="none"/>
              </w:rPr>
              <w:t>≥1000</w:t>
            </w:r>
          </w:p>
        </w:tc>
        <w:tc>
          <w:tcPr>
            <w:tcW w:w="1046" w:type="dxa"/>
            <w:tcBorders>
              <w:top w:val="nil"/>
              <w:left w:val="nil"/>
              <w:bottom w:val="single" w:color="auto" w:sz="4" w:space="0"/>
              <w:right w:val="single" w:color="auto" w:sz="4" w:space="0"/>
            </w:tcBorders>
            <w:shd w:val="clear" w:color="auto" w:fill="auto"/>
            <w:noWrap/>
            <w:vAlign w:val="center"/>
          </w:tcPr>
          <w:p w14:paraId="761BB024">
            <w:pPr>
              <w:widowControl/>
              <w:spacing w:line="360" w:lineRule="auto"/>
              <w:ind w:left="-112" w:leftChars="-51" w:right="-112" w:rightChars="-51"/>
              <w:jc w:val="center"/>
              <w:rPr>
                <w:kern w:val="2"/>
                <w:szCs w:val="21"/>
                <w:highlight w:val="none"/>
              </w:rPr>
            </w:pPr>
            <w:r>
              <w:rPr>
                <w:rFonts w:hint="eastAsia"/>
                <w:kern w:val="2"/>
                <w:szCs w:val="21"/>
                <w:highlight w:val="none"/>
              </w:rPr>
              <w:t>≥100</w:t>
            </w:r>
          </w:p>
        </w:tc>
        <w:tc>
          <w:tcPr>
            <w:tcW w:w="1017" w:type="dxa"/>
            <w:tcBorders>
              <w:top w:val="nil"/>
              <w:left w:val="nil"/>
              <w:bottom w:val="single" w:color="auto" w:sz="4" w:space="0"/>
              <w:right w:val="single" w:color="auto" w:sz="4" w:space="0"/>
            </w:tcBorders>
            <w:shd w:val="clear" w:color="auto" w:fill="auto"/>
            <w:noWrap/>
            <w:vAlign w:val="center"/>
          </w:tcPr>
          <w:p w14:paraId="342F130E">
            <w:pPr>
              <w:widowControl/>
              <w:spacing w:line="360" w:lineRule="auto"/>
              <w:jc w:val="center"/>
              <w:rPr>
                <w:kern w:val="2"/>
                <w:szCs w:val="21"/>
                <w:highlight w:val="none"/>
              </w:rPr>
            </w:pPr>
            <w:r>
              <w:rPr>
                <w:rFonts w:hint="eastAsia"/>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2A4D7C33">
            <w:pPr>
              <w:widowControl/>
              <w:spacing w:line="360" w:lineRule="auto"/>
              <w:jc w:val="center"/>
              <w:rPr>
                <w:kern w:val="2"/>
                <w:szCs w:val="21"/>
                <w:highlight w:val="none"/>
              </w:rPr>
            </w:pPr>
            <w:r>
              <w:rPr>
                <w:rFonts w:hint="eastAsia"/>
                <w:kern w:val="2"/>
                <w:szCs w:val="21"/>
                <w:highlight w:val="none"/>
              </w:rPr>
              <w:t>≥100</w:t>
            </w:r>
          </w:p>
        </w:tc>
        <w:tc>
          <w:tcPr>
            <w:tcW w:w="1053" w:type="dxa"/>
            <w:tcBorders>
              <w:top w:val="nil"/>
              <w:left w:val="nil"/>
              <w:bottom w:val="single" w:color="auto" w:sz="4" w:space="0"/>
              <w:right w:val="single" w:color="auto" w:sz="4" w:space="0"/>
            </w:tcBorders>
            <w:shd w:val="clear" w:color="auto" w:fill="auto"/>
            <w:noWrap/>
            <w:vAlign w:val="center"/>
          </w:tcPr>
          <w:p w14:paraId="7E28466F">
            <w:pPr>
              <w:widowControl/>
              <w:spacing w:line="360" w:lineRule="auto"/>
              <w:jc w:val="center"/>
              <w:rPr>
                <w:kern w:val="2"/>
                <w:szCs w:val="21"/>
                <w:highlight w:val="none"/>
              </w:rPr>
            </w:pPr>
            <w:r>
              <w:rPr>
                <w:rFonts w:hint="eastAsia"/>
                <w:kern w:val="2"/>
                <w:szCs w:val="21"/>
                <w:highlight w:val="none"/>
              </w:rPr>
              <w:t>≥20</w:t>
            </w:r>
          </w:p>
        </w:tc>
        <w:tc>
          <w:tcPr>
            <w:tcW w:w="1023" w:type="dxa"/>
            <w:tcBorders>
              <w:top w:val="nil"/>
              <w:left w:val="nil"/>
              <w:bottom w:val="single" w:color="auto" w:sz="4" w:space="0"/>
              <w:right w:val="single" w:color="auto" w:sz="4" w:space="0"/>
            </w:tcBorders>
            <w:shd w:val="clear" w:color="auto" w:fill="auto"/>
            <w:noWrap/>
            <w:vAlign w:val="center"/>
          </w:tcPr>
          <w:p w14:paraId="1E635EFF">
            <w:pPr>
              <w:widowControl/>
              <w:spacing w:line="360" w:lineRule="auto"/>
              <w:jc w:val="center"/>
              <w:rPr>
                <w:kern w:val="2"/>
                <w:szCs w:val="21"/>
                <w:highlight w:val="none"/>
              </w:rPr>
            </w:pPr>
            <w:r>
              <w:rPr>
                <w:rFonts w:hint="eastAsia"/>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5278CA1A">
            <w:pPr>
              <w:widowControl/>
              <w:spacing w:line="360" w:lineRule="auto"/>
              <w:jc w:val="center"/>
              <w:rPr>
                <w:kern w:val="2"/>
                <w:szCs w:val="21"/>
                <w:highlight w:val="none"/>
              </w:rPr>
            </w:pPr>
            <w:r>
              <w:rPr>
                <w:rFonts w:hint="eastAsia"/>
                <w:kern w:val="2"/>
                <w:szCs w:val="21"/>
                <w:highlight w:val="none"/>
              </w:rPr>
              <w:t>＜100</w:t>
            </w:r>
          </w:p>
        </w:tc>
        <w:tc>
          <w:tcPr>
            <w:tcW w:w="992" w:type="dxa"/>
            <w:tcBorders>
              <w:top w:val="nil"/>
              <w:left w:val="nil"/>
              <w:bottom w:val="single" w:color="auto" w:sz="4" w:space="0"/>
              <w:right w:val="single" w:color="auto" w:sz="4" w:space="0"/>
            </w:tcBorders>
            <w:shd w:val="clear" w:color="auto" w:fill="auto"/>
            <w:noWrap/>
            <w:vAlign w:val="center"/>
          </w:tcPr>
          <w:p w14:paraId="786B523F">
            <w:pPr>
              <w:widowControl/>
              <w:spacing w:line="360" w:lineRule="auto"/>
              <w:jc w:val="center"/>
              <w:rPr>
                <w:kern w:val="2"/>
                <w:szCs w:val="21"/>
                <w:highlight w:val="none"/>
              </w:rPr>
            </w:pPr>
            <w:r>
              <w:rPr>
                <w:rFonts w:hint="eastAsia"/>
                <w:kern w:val="2"/>
                <w:szCs w:val="21"/>
                <w:highlight w:val="none"/>
              </w:rPr>
              <w:t>＜20</w:t>
            </w:r>
          </w:p>
        </w:tc>
        <w:tc>
          <w:tcPr>
            <w:tcW w:w="861" w:type="dxa"/>
            <w:tcBorders>
              <w:top w:val="nil"/>
              <w:left w:val="nil"/>
              <w:bottom w:val="single" w:color="auto" w:sz="4" w:space="0"/>
              <w:right w:val="single" w:color="auto" w:sz="4" w:space="0"/>
            </w:tcBorders>
            <w:shd w:val="clear" w:color="auto" w:fill="auto"/>
            <w:noWrap/>
            <w:vAlign w:val="center"/>
          </w:tcPr>
          <w:p w14:paraId="160A427B">
            <w:pPr>
              <w:widowControl/>
              <w:spacing w:line="360" w:lineRule="auto"/>
              <w:jc w:val="center"/>
              <w:rPr>
                <w:kern w:val="2"/>
                <w:szCs w:val="21"/>
                <w:highlight w:val="none"/>
              </w:rPr>
            </w:pPr>
            <w:r>
              <w:rPr>
                <w:rFonts w:hint="eastAsia"/>
                <w:kern w:val="2"/>
                <w:szCs w:val="21"/>
                <w:highlight w:val="none"/>
              </w:rPr>
              <w:t>　</w:t>
            </w:r>
          </w:p>
        </w:tc>
      </w:tr>
      <w:tr w14:paraId="5AD86C86">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5C78975C">
            <w:pPr>
              <w:widowControl/>
              <w:spacing w:line="360" w:lineRule="auto"/>
              <w:ind w:left="-112" w:leftChars="-51" w:right="-112" w:rightChars="-51"/>
              <w:jc w:val="center"/>
              <w:rPr>
                <w:bCs/>
                <w:kern w:val="2"/>
                <w:szCs w:val="21"/>
                <w:highlight w:val="none"/>
              </w:rPr>
            </w:pPr>
            <w:r>
              <w:rPr>
                <w:rFonts w:hint="eastAsia"/>
                <w:bCs/>
                <w:kern w:val="2"/>
                <w:szCs w:val="21"/>
                <w:highlight w:val="none"/>
              </w:rPr>
              <w:t>8</w:t>
            </w:r>
          </w:p>
        </w:tc>
        <w:tc>
          <w:tcPr>
            <w:tcW w:w="1990" w:type="dxa"/>
            <w:tcBorders>
              <w:top w:val="nil"/>
              <w:left w:val="nil"/>
              <w:bottom w:val="single" w:color="auto" w:sz="4" w:space="0"/>
              <w:right w:val="single" w:color="auto" w:sz="4" w:space="0"/>
            </w:tcBorders>
            <w:shd w:val="clear" w:color="auto" w:fill="auto"/>
            <w:noWrap/>
            <w:vAlign w:val="center"/>
          </w:tcPr>
          <w:p w14:paraId="2DBCF3F4">
            <w:pPr>
              <w:spacing w:line="360" w:lineRule="auto"/>
              <w:ind w:left="-29" w:leftChars="-13" w:right="-68" w:rightChars="-31"/>
              <w:rPr>
                <w:bCs/>
                <w:kern w:val="2"/>
                <w:szCs w:val="21"/>
                <w:highlight w:val="none"/>
              </w:rPr>
            </w:pPr>
            <w:r>
              <w:rPr>
                <w:rFonts w:hint="eastAsia"/>
                <w:bCs/>
                <w:kern w:val="2"/>
                <w:szCs w:val="21"/>
                <w:highlight w:val="none"/>
              </w:rPr>
              <w:t>邮政业</w:t>
            </w:r>
          </w:p>
        </w:tc>
        <w:tc>
          <w:tcPr>
            <w:tcW w:w="1045" w:type="dxa"/>
            <w:tcBorders>
              <w:top w:val="nil"/>
              <w:left w:val="nil"/>
              <w:bottom w:val="single" w:color="auto" w:sz="4" w:space="0"/>
              <w:right w:val="single" w:color="auto" w:sz="4" w:space="0"/>
            </w:tcBorders>
            <w:shd w:val="clear" w:color="auto" w:fill="auto"/>
            <w:noWrap/>
            <w:vAlign w:val="center"/>
          </w:tcPr>
          <w:p w14:paraId="15BDCEA3">
            <w:pPr>
              <w:widowControl/>
              <w:spacing w:line="360" w:lineRule="auto"/>
              <w:ind w:left="-112" w:leftChars="-51" w:right="-112" w:rightChars="-51"/>
              <w:jc w:val="center"/>
              <w:rPr>
                <w:kern w:val="2"/>
                <w:szCs w:val="21"/>
                <w:highlight w:val="none"/>
              </w:rPr>
            </w:pPr>
            <w:r>
              <w:rPr>
                <w:rFonts w:hint="eastAsia"/>
                <w:kern w:val="2"/>
                <w:szCs w:val="21"/>
                <w:highlight w:val="none"/>
              </w:rPr>
              <w:t>≥30000</w:t>
            </w:r>
          </w:p>
        </w:tc>
        <w:tc>
          <w:tcPr>
            <w:tcW w:w="1116" w:type="dxa"/>
            <w:tcBorders>
              <w:top w:val="nil"/>
              <w:left w:val="nil"/>
              <w:bottom w:val="single" w:color="auto" w:sz="4" w:space="0"/>
              <w:right w:val="single" w:color="auto" w:sz="4" w:space="0"/>
            </w:tcBorders>
            <w:shd w:val="clear" w:color="auto" w:fill="auto"/>
            <w:noWrap/>
            <w:vAlign w:val="center"/>
          </w:tcPr>
          <w:p w14:paraId="6D10EA1F">
            <w:pPr>
              <w:widowControl/>
              <w:spacing w:line="360" w:lineRule="auto"/>
              <w:ind w:left="-112" w:leftChars="-51" w:right="-112" w:rightChars="-51"/>
              <w:jc w:val="center"/>
              <w:rPr>
                <w:kern w:val="2"/>
                <w:szCs w:val="21"/>
                <w:highlight w:val="none"/>
              </w:rPr>
            </w:pPr>
            <w:r>
              <w:rPr>
                <w:rFonts w:hint="eastAsia"/>
                <w:kern w:val="2"/>
                <w:szCs w:val="21"/>
                <w:highlight w:val="none"/>
              </w:rPr>
              <w:t>≥1000</w:t>
            </w:r>
          </w:p>
        </w:tc>
        <w:tc>
          <w:tcPr>
            <w:tcW w:w="959" w:type="dxa"/>
            <w:tcBorders>
              <w:top w:val="nil"/>
              <w:left w:val="nil"/>
              <w:bottom w:val="single" w:color="auto" w:sz="4" w:space="0"/>
              <w:right w:val="single" w:color="auto" w:sz="4" w:space="0"/>
            </w:tcBorders>
            <w:shd w:val="clear" w:color="auto" w:fill="auto"/>
            <w:noWrap/>
            <w:vAlign w:val="center"/>
          </w:tcPr>
          <w:p w14:paraId="70AF0F62">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4CD1D26F">
            <w:pPr>
              <w:widowControl/>
              <w:spacing w:line="360" w:lineRule="auto"/>
              <w:ind w:left="-112" w:leftChars="-51" w:right="-112" w:rightChars="-51"/>
              <w:jc w:val="center"/>
              <w:rPr>
                <w:kern w:val="2"/>
                <w:szCs w:val="21"/>
                <w:highlight w:val="none"/>
              </w:rPr>
            </w:pPr>
            <w:r>
              <w:rPr>
                <w:rFonts w:hint="eastAsia"/>
                <w:kern w:val="2"/>
                <w:szCs w:val="21"/>
                <w:highlight w:val="none"/>
              </w:rPr>
              <w:t>≥2000</w:t>
            </w:r>
          </w:p>
        </w:tc>
        <w:tc>
          <w:tcPr>
            <w:tcW w:w="1046" w:type="dxa"/>
            <w:tcBorders>
              <w:top w:val="nil"/>
              <w:left w:val="nil"/>
              <w:bottom w:val="single" w:color="auto" w:sz="4" w:space="0"/>
              <w:right w:val="single" w:color="auto" w:sz="4" w:space="0"/>
            </w:tcBorders>
            <w:shd w:val="clear" w:color="auto" w:fill="auto"/>
            <w:noWrap/>
            <w:vAlign w:val="center"/>
          </w:tcPr>
          <w:p w14:paraId="378CFB5C">
            <w:pPr>
              <w:widowControl/>
              <w:spacing w:line="360" w:lineRule="auto"/>
              <w:ind w:left="-112" w:leftChars="-51" w:right="-112" w:rightChars="-51"/>
              <w:jc w:val="center"/>
              <w:rPr>
                <w:kern w:val="2"/>
                <w:szCs w:val="21"/>
                <w:highlight w:val="none"/>
              </w:rPr>
            </w:pPr>
            <w:r>
              <w:rPr>
                <w:rFonts w:hint="eastAsia"/>
                <w:kern w:val="2"/>
                <w:szCs w:val="21"/>
                <w:highlight w:val="none"/>
              </w:rPr>
              <w:t>≥300</w:t>
            </w:r>
          </w:p>
        </w:tc>
        <w:tc>
          <w:tcPr>
            <w:tcW w:w="1017" w:type="dxa"/>
            <w:tcBorders>
              <w:top w:val="nil"/>
              <w:left w:val="nil"/>
              <w:bottom w:val="single" w:color="auto" w:sz="4" w:space="0"/>
              <w:right w:val="single" w:color="auto" w:sz="4" w:space="0"/>
            </w:tcBorders>
            <w:shd w:val="clear" w:color="auto" w:fill="auto"/>
            <w:noWrap/>
            <w:vAlign w:val="center"/>
          </w:tcPr>
          <w:p w14:paraId="7CEFD658">
            <w:pPr>
              <w:widowControl/>
              <w:spacing w:line="360" w:lineRule="auto"/>
              <w:jc w:val="center"/>
              <w:rPr>
                <w:kern w:val="2"/>
                <w:szCs w:val="21"/>
                <w:highlight w:val="none"/>
              </w:rPr>
            </w:pPr>
            <w:r>
              <w:rPr>
                <w:rFonts w:hint="eastAsia"/>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5247B447">
            <w:pPr>
              <w:widowControl/>
              <w:spacing w:line="360" w:lineRule="auto"/>
              <w:jc w:val="center"/>
              <w:rPr>
                <w:kern w:val="2"/>
                <w:szCs w:val="21"/>
                <w:highlight w:val="none"/>
              </w:rPr>
            </w:pPr>
            <w:r>
              <w:rPr>
                <w:rFonts w:hint="eastAsia"/>
                <w:kern w:val="2"/>
                <w:szCs w:val="21"/>
                <w:highlight w:val="none"/>
              </w:rPr>
              <w:t>≥100</w:t>
            </w:r>
          </w:p>
        </w:tc>
        <w:tc>
          <w:tcPr>
            <w:tcW w:w="1053" w:type="dxa"/>
            <w:tcBorders>
              <w:top w:val="nil"/>
              <w:left w:val="nil"/>
              <w:bottom w:val="single" w:color="auto" w:sz="4" w:space="0"/>
              <w:right w:val="single" w:color="auto" w:sz="4" w:space="0"/>
            </w:tcBorders>
            <w:shd w:val="clear" w:color="auto" w:fill="auto"/>
            <w:noWrap/>
            <w:vAlign w:val="center"/>
          </w:tcPr>
          <w:p w14:paraId="6CEDC22E">
            <w:pPr>
              <w:widowControl/>
              <w:spacing w:line="360" w:lineRule="auto"/>
              <w:jc w:val="center"/>
              <w:rPr>
                <w:kern w:val="2"/>
                <w:szCs w:val="21"/>
                <w:highlight w:val="none"/>
              </w:rPr>
            </w:pPr>
            <w:r>
              <w:rPr>
                <w:rFonts w:hint="eastAsia"/>
                <w:kern w:val="2"/>
                <w:szCs w:val="21"/>
                <w:highlight w:val="none"/>
              </w:rPr>
              <w:t>≥20</w:t>
            </w:r>
          </w:p>
        </w:tc>
        <w:tc>
          <w:tcPr>
            <w:tcW w:w="1023" w:type="dxa"/>
            <w:tcBorders>
              <w:top w:val="nil"/>
              <w:left w:val="nil"/>
              <w:bottom w:val="single" w:color="auto" w:sz="4" w:space="0"/>
              <w:right w:val="single" w:color="auto" w:sz="4" w:space="0"/>
            </w:tcBorders>
            <w:shd w:val="clear" w:color="auto" w:fill="auto"/>
            <w:noWrap/>
            <w:vAlign w:val="center"/>
          </w:tcPr>
          <w:p w14:paraId="14577772">
            <w:pPr>
              <w:widowControl/>
              <w:spacing w:line="360" w:lineRule="auto"/>
              <w:jc w:val="center"/>
              <w:rPr>
                <w:kern w:val="2"/>
                <w:szCs w:val="21"/>
                <w:highlight w:val="none"/>
              </w:rPr>
            </w:pPr>
            <w:r>
              <w:rPr>
                <w:rFonts w:hint="eastAsia"/>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54B87B25">
            <w:pPr>
              <w:widowControl/>
              <w:spacing w:line="360" w:lineRule="auto"/>
              <w:jc w:val="center"/>
              <w:rPr>
                <w:kern w:val="2"/>
                <w:szCs w:val="21"/>
                <w:highlight w:val="none"/>
              </w:rPr>
            </w:pPr>
            <w:r>
              <w:rPr>
                <w:rFonts w:hint="eastAsia"/>
                <w:kern w:val="2"/>
                <w:szCs w:val="21"/>
                <w:highlight w:val="none"/>
              </w:rPr>
              <w:t>＜100</w:t>
            </w:r>
          </w:p>
        </w:tc>
        <w:tc>
          <w:tcPr>
            <w:tcW w:w="992" w:type="dxa"/>
            <w:tcBorders>
              <w:top w:val="nil"/>
              <w:left w:val="nil"/>
              <w:bottom w:val="single" w:color="auto" w:sz="4" w:space="0"/>
              <w:right w:val="single" w:color="auto" w:sz="4" w:space="0"/>
            </w:tcBorders>
            <w:shd w:val="clear" w:color="auto" w:fill="auto"/>
            <w:noWrap/>
            <w:vAlign w:val="center"/>
          </w:tcPr>
          <w:p w14:paraId="0D40EFBF">
            <w:pPr>
              <w:widowControl/>
              <w:spacing w:line="360" w:lineRule="auto"/>
              <w:jc w:val="center"/>
              <w:rPr>
                <w:kern w:val="2"/>
                <w:szCs w:val="21"/>
                <w:highlight w:val="none"/>
              </w:rPr>
            </w:pPr>
            <w:r>
              <w:rPr>
                <w:rFonts w:hint="eastAsia"/>
                <w:kern w:val="2"/>
                <w:szCs w:val="21"/>
                <w:highlight w:val="none"/>
              </w:rPr>
              <w:t>＜20</w:t>
            </w:r>
          </w:p>
        </w:tc>
        <w:tc>
          <w:tcPr>
            <w:tcW w:w="861" w:type="dxa"/>
            <w:tcBorders>
              <w:top w:val="nil"/>
              <w:left w:val="nil"/>
              <w:bottom w:val="single" w:color="auto" w:sz="4" w:space="0"/>
              <w:right w:val="single" w:color="auto" w:sz="4" w:space="0"/>
            </w:tcBorders>
            <w:shd w:val="clear" w:color="auto" w:fill="auto"/>
            <w:noWrap/>
            <w:vAlign w:val="center"/>
          </w:tcPr>
          <w:p w14:paraId="2E2BF833">
            <w:pPr>
              <w:widowControl/>
              <w:spacing w:line="360" w:lineRule="auto"/>
              <w:jc w:val="center"/>
              <w:rPr>
                <w:kern w:val="2"/>
                <w:szCs w:val="21"/>
                <w:highlight w:val="none"/>
              </w:rPr>
            </w:pPr>
            <w:r>
              <w:rPr>
                <w:rFonts w:hint="eastAsia"/>
                <w:kern w:val="2"/>
                <w:szCs w:val="21"/>
                <w:highlight w:val="none"/>
              </w:rPr>
              <w:t>　</w:t>
            </w:r>
          </w:p>
        </w:tc>
      </w:tr>
      <w:tr w14:paraId="78215E6C">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0E668D58">
            <w:pPr>
              <w:widowControl/>
              <w:spacing w:line="360" w:lineRule="auto"/>
              <w:ind w:left="-112" w:leftChars="-51" w:right="-112" w:rightChars="-51"/>
              <w:jc w:val="center"/>
              <w:rPr>
                <w:bCs/>
                <w:kern w:val="2"/>
                <w:szCs w:val="21"/>
                <w:highlight w:val="none"/>
              </w:rPr>
            </w:pPr>
            <w:r>
              <w:rPr>
                <w:rFonts w:hint="eastAsia"/>
                <w:bCs/>
                <w:kern w:val="2"/>
                <w:szCs w:val="21"/>
                <w:highlight w:val="none"/>
              </w:rPr>
              <w:t>9</w:t>
            </w:r>
          </w:p>
        </w:tc>
        <w:tc>
          <w:tcPr>
            <w:tcW w:w="1990" w:type="dxa"/>
            <w:tcBorders>
              <w:top w:val="nil"/>
              <w:left w:val="nil"/>
              <w:bottom w:val="single" w:color="auto" w:sz="4" w:space="0"/>
              <w:right w:val="single" w:color="auto" w:sz="4" w:space="0"/>
            </w:tcBorders>
            <w:shd w:val="clear" w:color="auto" w:fill="auto"/>
            <w:noWrap/>
            <w:vAlign w:val="center"/>
          </w:tcPr>
          <w:p w14:paraId="26703703">
            <w:pPr>
              <w:spacing w:line="360" w:lineRule="auto"/>
              <w:ind w:left="-29" w:leftChars="-13" w:right="-68" w:rightChars="-31"/>
              <w:rPr>
                <w:bCs/>
                <w:kern w:val="2"/>
                <w:szCs w:val="21"/>
                <w:highlight w:val="none"/>
              </w:rPr>
            </w:pPr>
            <w:r>
              <w:rPr>
                <w:rFonts w:hint="eastAsia"/>
                <w:bCs/>
                <w:kern w:val="2"/>
                <w:szCs w:val="21"/>
                <w:highlight w:val="none"/>
              </w:rPr>
              <w:t>住宿业</w:t>
            </w:r>
          </w:p>
        </w:tc>
        <w:tc>
          <w:tcPr>
            <w:tcW w:w="1045" w:type="dxa"/>
            <w:tcBorders>
              <w:top w:val="nil"/>
              <w:left w:val="nil"/>
              <w:bottom w:val="single" w:color="auto" w:sz="4" w:space="0"/>
              <w:right w:val="single" w:color="auto" w:sz="4" w:space="0"/>
            </w:tcBorders>
            <w:shd w:val="clear" w:color="auto" w:fill="auto"/>
            <w:noWrap/>
            <w:vAlign w:val="center"/>
          </w:tcPr>
          <w:p w14:paraId="4F1854A9">
            <w:pPr>
              <w:widowControl/>
              <w:spacing w:line="360" w:lineRule="auto"/>
              <w:ind w:left="-112" w:leftChars="-51" w:right="-112" w:rightChars="-51"/>
              <w:jc w:val="center"/>
              <w:rPr>
                <w:kern w:val="2"/>
                <w:szCs w:val="21"/>
                <w:highlight w:val="none"/>
              </w:rPr>
            </w:pPr>
            <w:r>
              <w:rPr>
                <w:rFonts w:hint="eastAsia"/>
                <w:kern w:val="2"/>
                <w:szCs w:val="21"/>
                <w:highlight w:val="none"/>
              </w:rPr>
              <w:t>≥10000</w:t>
            </w:r>
          </w:p>
        </w:tc>
        <w:tc>
          <w:tcPr>
            <w:tcW w:w="1116" w:type="dxa"/>
            <w:tcBorders>
              <w:top w:val="nil"/>
              <w:left w:val="nil"/>
              <w:bottom w:val="single" w:color="auto" w:sz="4" w:space="0"/>
              <w:right w:val="single" w:color="auto" w:sz="4" w:space="0"/>
            </w:tcBorders>
            <w:shd w:val="clear" w:color="auto" w:fill="auto"/>
            <w:noWrap/>
            <w:vAlign w:val="center"/>
          </w:tcPr>
          <w:p w14:paraId="0ABC2769">
            <w:pPr>
              <w:widowControl/>
              <w:spacing w:line="360" w:lineRule="auto"/>
              <w:ind w:left="-112" w:leftChars="-51" w:right="-112" w:rightChars="-51"/>
              <w:jc w:val="center"/>
              <w:rPr>
                <w:kern w:val="2"/>
                <w:szCs w:val="21"/>
                <w:highlight w:val="none"/>
              </w:rPr>
            </w:pPr>
            <w:r>
              <w:rPr>
                <w:rFonts w:hint="eastAsia"/>
                <w:kern w:val="2"/>
                <w:szCs w:val="21"/>
                <w:highlight w:val="none"/>
              </w:rPr>
              <w:t>≥300</w:t>
            </w:r>
          </w:p>
        </w:tc>
        <w:tc>
          <w:tcPr>
            <w:tcW w:w="959" w:type="dxa"/>
            <w:tcBorders>
              <w:top w:val="nil"/>
              <w:left w:val="nil"/>
              <w:bottom w:val="single" w:color="auto" w:sz="4" w:space="0"/>
              <w:right w:val="single" w:color="auto" w:sz="4" w:space="0"/>
            </w:tcBorders>
            <w:shd w:val="clear" w:color="auto" w:fill="auto"/>
            <w:noWrap/>
            <w:vAlign w:val="center"/>
          </w:tcPr>
          <w:p w14:paraId="0150172C">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3279C287">
            <w:pPr>
              <w:widowControl/>
              <w:spacing w:line="360" w:lineRule="auto"/>
              <w:ind w:left="-112" w:leftChars="-51" w:right="-112" w:rightChars="-51"/>
              <w:jc w:val="center"/>
              <w:rPr>
                <w:kern w:val="2"/>
                <w:szCs w:val="21"/>
                <w:highlight w:val="none"/>
              </w:rPr>
            </w:pPr>
            <w:r>
              <w:rPr>
                <w:rFonts w:hint="eastAsia"/>
                <w:kern w:val="2"/>
                <w:szCs w:val="21"/>
                <w:highlight w:val="none"/>
              </w:rPr>
              <w:t>≥2000</w:t>
            </w:r>
          </w:p>
        </w:tc>
        <w:tc>
          <w:tcPr>
            <w:tcW w:w="1046" w:type="dxa"/>
            <w:tcBorders>
              <w:top w:val="nil"/>
              <w:left w:val="nil"/>
              <w:bottom w:val="single" w:color="auto" w:sz="4" w:space="0"/>
              <w:right w:val="single" w:color="auto" w:sz="4" w:space="0"/>
            </w:tcBorders>
            <w:shd w:val="clear" w:color="auto" w:fill="auto"/>
            <w:noWrap/>
            <w:vAlign w:val="center"/>
          </w:tcPr>
          <w:p w14:paraId="41E750D8">
            <w:pPr>
              <w:widowControl/>
              <w:spacing w:line="360" w:lineRule="auto"/>
              <w:ind w:left="-112" w:leftChars="-51" w:right="-112" w:rightChars="-51"/>
              <w:jc w:val="center"/>
              <w:rPr>
                <w:kern w:val="2"/>
                <w:szCs w:val="21"/>
                <w:highlight w:val="none"/>
              </w:rPr>
            </w:pPr>
            <w:r>
              <w:rPr>
                <w:rFonts w:hint="eastAsia"/>
                <w:kern w:val="2"/>
                <w:szCs w:val="21"/>
                <w:highlight w:val="none"/>
              </w:rPr>
              <w:t>≥100</w:t>
            </w:r>
          </w:p>
        </w:tc>
        <w:tc>
          <w:tcPr>
            <w:tcW w:w="1017" w:type="dxa"/>
            <w:tcBorders>
              <w:top w:val="nil"/>
              <w:left w:val="nil"/>
              <w:bottom w:val="single" w:color="auto" w:sz="4" w:space="0"/>
              <w:right w:val="single" w:color="auto" w:sz="4" w:space="0"/>
            </w:tcBorders>
            <w:shd w:val="clear" w:color="auto" w:fill="auto"/>
            <w:noWrap/>
            <w:vAlign w:val="center"/>
          </w:tcPr>
          <w:p w14:paraId="276DBEBA">
            <w:pPr>
              <w:widowControl/>
              <w:spacing w:line="360" w:lineRule="auto"/>
              <w:jc w:val="center"/>
              <w:rPr>
                <w:kern w:val="2"/>
                <w:szCs w:val="21"/>
                <w:highlight w:val="none"/>
              </w:rPr>
            </w:pPr>
            <w:r>
              <w:rPr>
                <w:rFonts w:hint="eastAsia"/>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13BB1076">
            <w:pPr>
              <w:widowControl/>
              <w:spacing w:line="360" w:lineRule="auto"/>
              <w:jc w:val="center"/>
              <w:rPr>
                <w:kern w:val="2"/>
                <w:szCs w:val="21"/>
                <w:highlight w:val="none"/>
              </w:rPr>
            </w:pPr>
            <w:r>
              <w:rPr>
                <w:rFonts w:hint="eastAsia"/>
                <w:kern w:val="2"/>
                <w:szCs w:val="21"/>
                <w:highlight w:val="none"/>
              </w:rPr>
              <w:t>≥100</w:t>
            </w:r>
          </w:p>
        </w:tc>
        <w:tc>
          <w:tcPr>
            <w:tcW w:w="1053" w:type="dxa"/>
            <w:tcBorders>
              <w:top w:val="nil"/>
              <w:left w:val="nil"/>
              <w:bottom w:val="single" w:color="auto" w:sz="4" w:space="0"/>
              <w:right w:val="single" w:color="auto" w:sz="4" w:space="0"/>
            </w:tcBorders>
            <w:shd w:val="clear" w:color="auto" w:fill="auto"/>
            <w:noWrap/>
            <w:vAlign w:val="center"/>
          </w:tcPr>
          <w:p w14:paraId="5538C0C1">
            <w:pPr>
              <w:widowControl/>
              <w:spacing w:line="360" w:lineRule="auto"/>
              <w:jc w:val="center"/>
              <w:rPr>
                <w:kern w:val="2"/>
                <w:szCs w:val="21"/>
                <w:highlight w:val="none"/>
              </w:rPr>
            </w:pPr>
            <w:r>
              <w:rPr>
                <w:rFonts w:hint="eastAsia"/>
                <w:kern w:val="2"/>
                <w:szCs w:val="21"/>
                <w:highlight w:val="none"/>
              </w:rPr>
              <w:t>≥10</w:t>
            </w:r>
          </w:p>
        </w:tc>
        <w:tc>
          <w:tcPr>
            <w:tcW w:w="1023" w:type="dxa"/>
            <w:tcBorders>
              <w:top w:val="nil"/>
              <w:left w:val="nil"/>
              <w:bottom w:val="single" w:color="auto" w:sz="4" w:space="0"/>
              <w:right w:val="single" w:color="auto" w:sz="4" w:space="0"/>
            </w:tcBorders>
            <w:shd w:val="clear" w:color="auto" w:fill="auto"/>
            <w:noWrap/>
            <w:vAlign w:val="center"/>
          </w:tcPr>
          <w:p w14:paraId="75721EC8">
            <w:pPr>
              <w:widowControl/>
              <w:spacing w:line="360" w:lineRule="auto"/>
              <w:jc w:val="center"/>
              <w:rPr>
                <w:kern w:val="2"/>
                <w:szCs w:val="21"/>
                <w:highlight w:val="none"/>
              </w:rPr>
            </w:pPr>
            <w:r>
              <w:rPr>
                <w:rFonts w:hint="eastAsia"/>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132297ED">
            <w:pPr>
              <w:widowControl/>
              <w:spacing w:line="360" w:lineRule="auto"/>
              <w:jc w:val="center"/>
              <w:rPr>
                <w:kern w:val="2"/>
                <w:szCs w:val="21"/>
                <w:highlight w:val="none"/>
              </w:rPr>
            </w:pPr>
            <w:r>
              <w:rPr>
                <w:rFonts w:hint="eastAsia"/>
                <w:kern w:val="2"/>
                <w:szCs w:val="21"/>
                <w:highlight w:val="none"/>
              </w:rPr>
              <w:t>＜100</w:t>
            </w:r>
          </w:p>
        </w:tc>
        <w:tc>
          <w:tcPr>
            <w:tcW w:w="992" w:type="dxa"/>
            <w:tcBorders>
              <w:top w:val="nil"/>
              <w:left w:val="nil"/>
              <w:bottom w:val="single" w:color="auto" w:sz="4" w:space="0"/>
              <w:right w:val="single" w:color="auto" w:sz="4" w:space="0"/>
            </w:tcBorders>
            <w:shd w:val="clear" w:color="auto" w:fill="auto"/>
            <w:noWrap/>
            <w:vAlign w:val="center"/>
          </w:tcPr>
          <w:p w14:paraId="71EB69BF">
            <w:pPr>
              <w:widowControl/>
              <w:spacing w:line="360" w:lineRule="auto"/>
              <w:jc w:val="center"/>
              <w:rPr>
                <w:kern w:val="2"/>
                <w:szCs w:val="21"/>
                <w:highlight w:val="none"/>
              </w:rPr>
            </w:pPr>
            <w:r>
              <w:rPr>
                <w:rFonts w:hint="eastAsia"/>
                <w:kern w:val="2"/>
                <w:szCs w:val="21"/>
                <w:highlight w:val="none"/>
              </w:rPr>
              <w:t>＜10</w:t>
            </w:r>
          </w:p>
        </w:tc>
        <w:tc>
          <w:tcPr>
            <w:tcW w:w="861" w:type="dxa"/>
            <w:tcBorders>
              <w:top w:val="nil"/>
              <w:left w:val="nil"/>
              <w:bottom w:val="single" w:color="auto" w:sz="4" w:space="0"/>
              <w:right w:val="single" w:color="auto" w:sz="4" w:space="0"/>
            </w:tcBorders>
            <w:shd w:val="clear" w:color="auto" w:fill="auto"/>
            <w:noWrap/>
            <w:vAlign w:val="center"/>
          </w:tcPr>
          <w:p w14:paraId="0E09F92C">
            <w:pPr>
              <w:widowControl/>
              <w:spacing w:line="360" w:lineRule="auto"/>
              <w:jc w:val="center"/>
              <w:rPr>
                <w:kern w:val="2"/>
                <w:szCs w:val="21"/>
                <w:highlight w:val="none"/>
              </w:rPr>
            </w:pPr>
            <w:r>
              <w:rPr>
                <w:rFonts w:hint="eastAsia"/>
                <w:kern w:val="2"/>
                <w:szCs w:val="21"/>
                <w:highlight w:val="none"/>
              </w:rPr>
              <w:t>　</w:t>
            </w:r>
          </w:p>
        </w:tc>
      </w:tr>
      <w:tr w14:paraId="462C56EF">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17114C8A">
            <w:pPr>
              <w:widowControl/>
              <w:spacing w:line="360" w:lineRule="auto"/>
              <w:ind w:left="-112" w:leftChars="-51" w:right="-112" w:rightChars="-51"/>
              <w:jc w:val="center"/>
              <w:rPr>
                <w:bCs/>
                <w:kern w:val="2"/>
                <w:szCs w:val="21"/>
                <w:highlight w:val="none"/>
              </w:rPr>
            </w:pPr>
            <w:r>
              <w:rPr>
                <w:rFonts w:hint="eastAsia"/>
                <w:bCs/>
                <w:kern w:val="2"/>
                <w:szCs w:val="21"/>
                <w:highlight w:val="none"/>
              </w:rPr>
              <w:t>10</w:t>
            </w:r>
          </w:p>
        </w:tc>
        <w:tc>
          <w:tcPr>
            <w:tcW w:w="1990" w:type="dxa"/>
            <w:tcBorders>
              <w:top w:val="nil"/>
              <w:left w:val="nil"/>
              <w:bottom w:val="single" w:color="auto" w:sz="4" w:space="0"/>
              <w:right w:val="single" w:color="auto" w:sz="4" w:space="0"/>
            </w:tcBorders>
            <w:shd w:val="clear" w:color="auto" w:fill="auto"/>
            <w:noWrap/>
            <w:vAlign w:val="center"/>
          </w:tcPr>
          <w:p w14:paraId="282FD76A">
            <w:pPr>
              <w:spacing w:line="360" w:lineRule="auto"/>
              <w:ind w:left="-29" w:leftChars="-13" w:right="-68" w:rightChars="-31"/>
              <w:rPr>
                <w:bCs/>
                <w:kern w:val="2"/>
                <w:szCs w:val="21"/>
                <w:highlight w:val="none"/>
              </w:rPr>
            </w:pPr>
            <w:r>
              <w:rPr>
                <w:rFonts w:hint="eastAsia"/>
                <w:bCs/>
                <w:kern w:val="2"/>
                <w:szCs w:val="21"/>
                <w:highlight w:val="none"/>
              </w:rPr>
              <w:t>餐饮业</w:t>
            </w:r>
          </w:p>
        </w:tc>
        <w:tc>
          <w:tcPr>
            <w:tcW w:w="1045" w:type="dxa"/>
            <w:tcBorders>
              <w:top w:val="nil"/>
              <w:left w:val="nil"/>
              <w:bottom w:val="single" w:color="auto" w:sz="4" w:space="0"/>
              <w:right w:val="single" w:color="auto" w:sz="4" w:space="0"/>
            </w:tcBorders>
            <w:shd w:val="clear" w:color="auto" w:fill="auto"/>
            <w:noWrap/>
            <w:vAlign w:val="center"/>
          </w:tcPr>
          <w:p w14:paraId="7ECA9654">
            <w:pPr>
              <w:widowControl/>
              <w:spacing w:line="360" w:lineRule="auto"/>
              <w:ind w:left="-112" w:leftChars="-51" w:right="-112" w:rightChars="-51"/>
              <w:jc w:val="center"/>
              <w:rPr>
                <w:kern w:val="2"/>
                <w:szCs w:val="21"/>
                <w:highlight w:val="none"/>
              </w:rPr>
            </w:pPr>
            <w:r>
              <w:rPr>
                <w:rFonts w:hint="eastAsia"/>
                <w:kern w:val="2"/>
                <w:szCs w:val="21"/>
                <w:highlight w:val="none"/>
              </w:rPr>
              <w:t>≥10000</w:t>
            </w:r>
          </w:p>
        </w:tc>
        <w:tc>
          <w:tcPr>
            <w:tcW w:w="1116" w:type="dxa"/>
            <w:tcBorders>
              <w:top w:val="nil"/>
              <w:left w:val="nil"/>
              <w:bottom w:val="single" w:color="auto" w:sz="4" w:space="0"/>
              <w:right w:val="single" w:color="auto" w:sz="4" w:space="0"/>
            </w:tcBorders>
            <w:shd w:val="clear" w:color="auto" w:fill="auto"/>
            <w:noWrap/>
            <w:vAlign w:val="center"/>
          </w:tcPr>
          <w:p w14:paraId="547CE4EA">
            <w:pPr>
              <w:widowControl/>
              <w:spacing w:line="360" w:lineRule="auto"/>
              <w:ind w:left="-112" w:leftChars="-51" w:right="-112" w:rightChars="-51"/>
              <w:jc w:val="center"/>
              <w:rPr>
                <w:kern w:val="2"/>
                <w:szCs w:val="21"/>
                <w:highlight w:val="none"/>
              </w:rPr>
            </w:pPr>
            <w:r>
              <w:rPr>
                <w:rFonts w:hint="eastAsia"/>
                <w:kern w:val="2"/>
                <w:szCs w:val="21"/>
                <w:highlight w:val="none"/>
              </w:rPr>
              <w:t>≥300</w:t>
            </w:r>
          </w:p>
        </w:tc>
        <w:tc>
          <w:tcPr>
            <w:tcW w:w="959" w:type="dxa"/>
            <w:tcBorders>
              <w:top w:val="nil"/>
              <w:left w:val="nil"/>
              <w:bottom w:val="single" w:color="auto" w:sz="4" w:space="0"/>
              <w:right w:val="single" w:color="auto" w:sz="4" w:space="0"/>
            </w:tcBorders>
            <w:shd w:val="clear" w:color="auto" w:fill="auto"/>
            <w:noWrap/>
            <w:vAlign w:val="center"/>
          </w:tcPr>
          <w:p w14:paraId="644BA3FE">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2F88904A">
            <w:pPr>
              <w:widowControl/>
              <w:spacing w:line="360" w:lineRule="auto"/>
              <w:ind w:left="-112" w:leftChars="-51" w:right="-112" w:rightChars="-51"/>
              <w:jc w:val="center"/>
              <w:rPr>
                <w:kern w:val="2"/>
                <w:szCs w:val="21"/>
                <w:highlight w:val="none"/>
              </w:rPr>
            </w:pPr>
            <w:r>
              <w:rPr>
                <w:rFonts w:hint="eastAsia"/>
                <w:kern w:val="2"/>
                <w:szCs w:val="21"/>
                <w:highlight w:val="none"/>
              </w:rPr>
              <w:t>≥2000</w:t>
            </w:r>
          </w:p>
        </w:tc>
        <w:tc>
          <w:tcPr>
            <w:tcW w:w="1046" w:type="dxa"/>
            <w:tcBorders>
              <w:top w:val="nil"/>
              <w:left w:val="nil"/>
              <w:bottom w:val="single" w:color="auto" w:sz="4" w:space="0"/>
              <w:right w:val="single" w:color="auto" w:sz="4" w:space="0"/>
            </w:tcBorders>
            <w:shd w:val="clear" w:color="auto" w:fill="auto"/>
            <w:noWrap/>
            <w:vAlign w:val="center"/>
          </w:tcPr>
          <w:p w14:paraId="3762CA1E">
            <w:pPr>
              <w:widowControl/>
              <w:spacing w:line="360" w:lineRule="auto"/>
              <w:ind w:left="-112" w:leftChars="-51" w:right="-112" w:rightChars="-51"/>
              <w:jc w:val="center"/>
              <w:rPr>
                <w:kern w:val="2"/>
                <w:szCs w:val="21"/>
                <w:highlight w:val="none"/>
              </w:rPr>
            </w:pPr>
            <w:r>
              <w:rPr>
                <w:rFonts w:hint="eastAsia"/>
                <w:kern w:val="2"/>
                <w:szCs w:val="21"/>
                <w:highlight w:val="none"/>
              </w:rPr>
              <w:t>≥100</w:t>
            </w:r>
          </w:p>
        </w:tc>
        <w:tc>
          <w:tcPr>
            <w:tcW w:w="1017" w:type="dxa"/>
            <w:tcBorders>
              <w:top w:val="nil"/>
              <w:left w:val="nil"/>
              <w:bottom w:val="single" w:color="auto" w:sz="4" w:space="0"/>
              <w:right w:val="single" w:color="auto" w:sz="4" w:space="0"/>
            </w:tcBorders>
            <w:shd w:val="clear" w:color="auto" w:fill="auto"/>
            <w:noWrap/>
            <w:vAlign w:val="center"/>
          </w:tcPr>
          <w:p w14:paraId="571DAB62">
            <w:pPr>
              <w:widowControl/>
              <w:spacing w:line="360" w:lineRule="auto"/>
              <w:jc w:val="center"/>
              <w:rPr>
                <w:kern w:val="2"/>
                <w:szCs w:val="21"/>
                <w:highlight w:val="none"/>
              </w:rPr>
            </w:pPr>
            <w:r>
              <w:rPr>
                <w:rFonts w:hint="eastAsia"/>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41F6274F">
            <w:pPr>
              <w:widowControl/>
              <w:spacing w:line="360" w:lineRule="auto"/>
              <w:jc w:val="center"/>
              <w:rPr>
                <w:kern w:val="2"/>
                <w:szCs w:val="21"/>
                <w:highlight w:val="none"/>
              </w:rPr>
            </w:pPr>
            <w:r>
              <w:rPr>
                <w:rFonts w:hint="eastAsia"/>
                <w:kern w:val="2"/>
                <w:szCs w:val="21"/>
                <w:highlight w:val="none"/>
              </w:rPr>
              <w:t>≥100</w:t>
            </w:r>
          </w:p>
        </w:tc>
        <w:tc>
          <w:tcPr>
            <w:tcW w:w="1053" w:type="dxa"/>
            <w:tcBorders>
              <w:top w:val="nil"/>
              <w:left w:val="nil"/>
              <w:bottom w:val="single" w:color="auto" w:sz="4" w:space="0"/>
              <w:right w:val="single" w:color="auto" w:sz="4" w:space="0"/>
            </w:tcBorders>
            <w:shd w:val="clear" w:color="auto" w:fill="auto"/>
            <w:noWrap/>
            <w:vAlign w:val="center"/>
          </w:tcPr>
          <w:p w14:paraId="73BFB47F">
            <w:pPr>
              <w:widowControl/>
              <w:spacing w:line="360" w:lineRule="auto"/>
              <w:jc w:val="center"/>
              <w:rPr>
                <w:kern w:val="2"/>
                <w:szCs w:val="21"/>
                <w:highlight w:val="none"/>
              </w:rPr>
            </w:pPr>
            <w:r>
              <w:rPr>
                <w:rFonts w:hint="eastAsia"/>
                <w:kern w:val="2"/>
                <w:szCs w:val="21"/>
                <w:highlight w:val="none"/>
              </w:rPr>
              <w:t>≥10</w:t>
            </w:r>
          </w:p>
        </w:tc>
        <w:tc>
          <w:tcPr>
            <w:tcW w:w="1023" w:type="dxa"/>
            <w:tcBorders>
              <w:top w:val="nil"/>
              <w:left w:val="nil"/>
              <w:bottom w:val="single" w:color="auto" w:sz="4" w:space="0"/>
              <w:right w:val="single" w:color="auto" w:sz="4" w:space="0"/>
            </w:tcBorders>
            <w:shd w:val="clear" w:color="auto" w:fill="auto"/>
            <w:noWrap/>
            <w:vAlign w:val="center"/>
          </w:tcPr>
          <w:p w14:paraId="030B9F7D">
            <w:pPr>
              <w:widowControl/>
              <w:spacing w:line="360" w:lineRule="auto"/>
              <w:jc w:val="center"/>
              <w:rPr>
                <w:kern w:val="2"/>
                <w:szCs w:val="21"/>
                <w:highlight w:val="none"/>
              </w:rPr>
            </w:pPr>
            <w:r>
              <w:rPr>
                <w:rFonts w:hint="eastAsia"/>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421089D3">
            <w:pPr>
              <w:widowControl/>
              <w:spacing w:line="360" w:lineRule="auto"/>
              <w:jc w:val="center"/>
              <w:rPr>
                <w:kern w:val="2"/>
                <w:szCs w:val="21"/>
                <w:highlight w:val="none"/>
              </w:rPr>
            </w:pPr>
            <w:r>
              <w:rPr>
                <w:rFonts w:hint="eastAsia"/>
                <w:kern w:val="2"/>
                <w:szCs w:val="21"/>
                <w:highlight w:val="none"/>
              </w:rPr>
              <w:t>＜100</w:t>
            </w:r>
          </w:p>
        </w:tc>
        <w:tc>
          <w:tcPr>
            <w:tcW w:w="992" w:type="dxa"/>
            <w:tcBorders>
              <w:top w:val="nil"/>
              <w:left w:val="nil"/>
              <w:bottom w:val="single" w:color="auto" w:sz="4" w:space="0"/>
              <w:right w:val="single" w:color="auto" w:sz="4" w:space="0"/>
            </w:tcBorders>
            <w:shd w:val="clear" w:color="auto" w:fill="auto"/>
            <w:noWrap/>
            <w:vAlign w:val="center"/>
          </w:tcPr>
          <w:p w14:paraId="693A9C4D">
            <w:pPr>
              <w:widowControl/>
              <w:spacing w:line="360" w:lineRule="auto"/>
              <w:jc w:val="center"/>
              <w:rPr>
                <w:kern w:val="2"/>
                <w:szCs w:val="21"/>
                <w:highlight w:val="none"/>
              </w:rPr>
            </w:pPr>
            <w:r>
              <w:rPr>
                <w:rFonts w:hint="eastAsia"/>
                <w:kern w:val="2"/>
                <w:szCs w:val="21"/>
                <w:highlight w:val="none"/>
              </w:rPr>
              <w:t>＜10</w:t>
            </w:r>
          </w:p>
        </w:tc>
        <w:tc>
          <w:tcPr>
            <w:tcW w:w="861" w:type="dxa"/>
            <w:tcBorders>
              <w:top w:val="nil"/>
              <w:left w:val="nil"/>
              <w:bottom w:val="single" w:color="auto" w:sz="4" w:space="0"/>
              <w:right w:val="single" w:color="auto" w:sz="4" w:space="0"/>
            </w:tcBorders>
            <w:shd w:val="clear" w:color="auto" w:fill="auto"/>
            <w:noWrap/>
            <w:vAlign w:val="center"/>
          </w:tcPr>
          <w:p w14:paraId="61B8C4E5">
            <w:pPr>
              <w:widowControl/>
              <w:spacing w:line="360" w:lineRule="auto"/>
              <w:jc w:val="center"/>
              <w:rPr>
                <w:kern w:val="2"/>
                <w:szCs w:val="21"/>
                <w:highlight w:val="none"/>
              </w:rPr>
            </w:pPr>
            <w:r>
              <w:rPr>
                <w:rFonts w:hint="eastAsia"/>
                <w:kern w:val="2"/>
                <w:szCs w:val="21"/>
                <w:highlight w:val="none"/>
              </w:rPr>
              <w:t>　</w:t>
            </w:r>
          </w:p>
        </w:tc>
      </w:tr>
      <w:tr w14:paraId="74260ABA">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3E5E4620">
            <w:pPr>
              <w:widowControl/>
              <w:spacing w:line="360" w:lineRule="auto"/>
              <w:ind w:left="-112" w:leftChars="-51" w:right="-112" w:rightChars="-51"/>
              <w:jc w:val="center"/>
              <w:rPr>
                <w:b/>
                <w:kern w:val="2"/>
                <w:szCs w:val="21"/>
                <w:highlight w:val="none"/>
              </w:rPr>
            </w:pPr>
            <w:r>
              <w:rPr>
                <w:rFonts w:hint="eastAsia"/>
                <w:b/>
                <w:kern w:val="2"/>
                <w:szCs w:val="21"/>
                <w:highlight w:val="none"/>
              </w:rPr>
              <w:t>11</w:t>
            </w:r>
          </w:p>
        </w:tc>
        <w:tc>
          <w:tcPr>
            <w:tcW w:w="1990" w:type="dxa"/>
            <w:tcBorders>
              <w:top w:val="nil"/>
              <w:left w:val="nil"/>
              <w:bottom w:val="single" w:color="auto" w:sz="4" w:space="0"/>
              <w:right w:val="single" w:color="auto" w:sz="4" w:space="0"/>
            </w:tcBorders>
            <w:shd w:val="clear" w:color="auto" w:fill="auto"/>
            <w:noWrap/>
            <w:vAlign w:val="center"/>
          </w:tcPr>
          <w:p w14:paraId="51B3C1DD">
            <w:pPr>
              <w:spacing w:line="360" w:lineRule="auto"/>
              <w:ind w:left="-29" w:leftChars="-13" w:right="-68" w:rightChars="-31"/>
              <w:rPr>
                <w:b/>
                <w:kern w:val="2"/>
                <w:szCs w:val="21"/>
                <w:highlight w:val="none"/>
              </w:rPr>
            </w:pPr>
            <w:r>
              <w:rPr>
                <w:rFonts w:hint="eastAsia"/>
                <w:b/>
                <w:kern w:val="2"/>
                <w:szCs w:val="21"/>
                <w:highlight w:val="none"/>
              </w:rPr>
              <w:t>信息传输业</w:t>
            </w:r>
          </w:p>
        </w:tc>
        <w:tc>
          <w:tcPr>
            <w:tcW w:w="1045" w:type="dxa"/>
            <w:tcBorders>
              <w:top w:val="nil"/>
              <w:left w:val="nil"/>
              <w:bottom w:val="single" w:color="auto" w:sz="4" w:space="0"/>
              <w:right w:val="single" w:color="auto" w:sz="4" w:space="0"/>
            </w:tcBorders>
            <w:shd w:val="clear" w:color="auto" w:fill="auto"/>
            <w:noWrap/>
            <w:vAlign w:val="center"/>
          </w:tcPr>
          <w:p w14:paraId="5A9260A2">
            <w:pPr>
              <w:widowControl/>
              <w:spacing w:line="360" w:lineRule="auto"/>
              <w:ind w:left="-112" w:leftChars="-51" w:right="-112" w:rightChars="-51"/>
              <w:jc w:val="center"/>
              <w:rPr>
                <w:b/>
                <w:kern w:val="2"/>
                <w:szCs w:val="21"/>
                <w:highlight w:val="none"/>
              </w:rPr>
            </w:pPr>
            <w:r>
              <w:rPr>
                <w:rFonts w:hint="eastAsia"/>
                <w:b/>
                <w:kern w:val="2"/>
                <w:szCs w:val="21"/>
                <w:highlight w:val="none"/>
              </w:rPr>
              <w:t>≥100000</w:t>
            </w:r>
          </w:p>
        </w:tc>
        <w:tc>
          <w:tcPr>
            <w:tcW w:w="1116" w:type="dxa"/>
            <w:tcBorders>
              <w:top w:val="nil"/>
              <w:left w:val="nil"/>
              <w:bottom w:val="single" w:color="auto" w:sz="4" w:space="0"/>
              <w:right w:val="single" w:color="auto" w:sz="4" w:space="0"/>
            </w:tcBorders>
            <w:shd w:val="clear" w:color="auto" w:fill="auto"/>
            <w:noWrap/>
            <w:vAlign w:val="center"/>
          </w:tcPr>
          <w:p w14:paraId="5E90DF91">
            <w:pPr>
              <w:widowControl/>
              <w:spacing w:line="360" w:lineRule="auto"/>
              <w:ind w:left="-112" w:leftChars="-51" w:right="-112" w:rightChars="-51"/>
              <w:jc w:val="center"/>
              <w:rPr>
                <w:b/>
                <w:kern w:val="2"/>
                <w:szCs w:val="21"/>
                <w:highlight w:val="none"/>
              </w:rPr>
            </w:pPr>
            <w:r>
              <w:rPr>
                <w:rFonts w:hint="eastAsia"/>
                <w:b/>
                <w:kern w:val="2"/>
                <w:szCs w:val="21"/>
                <w:highlight w:val="none"/>
              </w:rPr>
              <w:t>≥2000</w:t>
            </w:r>
          </w:p>
        </w:tc>
        <w:tc>
          <w:tcPr>
            <w:tcW w:w="959" w:type="dxa"/>
            <w:tcBorders>
              <w:top w:val="nil"/>
              <w:left w:val="nil"/>
              <w:bottom w:val="single" w:color="auto" w:sz="4" w:space="0"/>
              <w:right w:val="single" w:color="auto" w:sz="4" w:space="0"/>
            </w:tcBorders>
            <w:shd w:val="clear" w:color="auto" w:fill="auto"/>
            <w:noWrap/>
            <w:vAlign w:val="center"/>
          </w:tcPr>
          <w:p w14:paraId="625DFFCA">
            <w:pPr>
              <w:widowControl/>
              <w:spacing w:line="360" w:lineRule="auto"/>
              <w:ind w:left="-112" w:leftChars="-51" w:right="-112" w:rightChars="-51"/>
              <w:jc w:val="center"/>
              <w:rPr>
                <w:b/>
                <w:kern w:val="2"/>
                <w:szCs w:val="21"/>
                <w:highlight w:val="none"/>
              </w:rPr>
            </w:pPr>
            <w:r>
              <w:rPr>
                <w:rFonts w:hint="eastAsia"/>
                <w:b/>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11B934D3">
            <w:pPr>
              <w:widowControl/>
              <w:spacing w:line="360" w:lineRule="auto"/>
              <w:ind w:left="-112" w:leftChars="-51" w:right="-112" w:rightChars="-51"/>
              <w:jc w:val="center"/>
              <w:rPr>
                <w:b/>
                <w:kern w:val="2"/>
                <w:szCs w:val="21"/>
                <w:highlight w:val="none"/>
              </w:rPr>
            </w:pPr>
            <w:r>
              <w:rPr>
                <w:rFonts w:hint="eastAsia"/>
                <w:b/>
                <w:kern w:val="2"/>
                <w:szCs w:val="21"/>
                <w:highlight w:val="none"/>
              </w:rPr>
              <w:t>≥1000</w:t>
            </w:r>
          </w:p>
        </w:tc>
        <w:tc>
          <w:tcPr>
            <w:tcW w:w="1046" w:type="dxa"/>
            <w:tcBorders>
              <w:top w:val="nil"/>
              <w:left w:val="nil"/>
              <w:bottom w:val="single" w:color="auto" w:sz="4" w:space="0"/>
              <w:right w:val="single" w:color="auto" w:sz="4" w:space="0"/>
            </w:tcBorders>
            <w:shd w:val="clear" w:color="auto" w:fill="auto"/>
            <w:noWrap/>
            <w:vAlign w:val="center"/>
          </w:tcPr>
          <w:p w14:paraId="4FBB034D">
            <w:pPr>
              <w:widowControl/>
              <w:spacing w:line="360" w:lineRule="auto"/>
              <w:ind w:left="-112" w:leftChars="-51" w:right="-112" w:rightChars="-51"/>
              <w:jc w:val="center"/>
              <w:rPr>
                <w:b/>
                <w:kern w:val="2"/>
                <w:szCs w:val="21"/>
                <w:highlight w:val="none"/>
              </w:rPr>
            </w:pPr>
            <w:r>
              <w:rPr>
                <w:rFonts w:hint="eastAsia"/>
                <w:b/>
                <w:kern w:val="2"/>
                <w:szCs w:val="21"/>
                <w:highlight w:val="none"/>
              </w:rPr>
              <w:t>≥100</w:t>
            </w:r>
          </w:p>
        </w:tc>
        <w:tc>
          <w:tcPr>
            <w:tcW w:w="1017" w:type="dxa"/>
            <w:tcBorders>
              <w:top w:val="nil"/>
              <w:left w:val="nil"/>
              <w:bottom w:val="single" w:color="auto" w:sz="4" w:space="0"/>
              <w:right w:val="single" w:color="auto" w:sz="4" w:space="0"/>
            </w:tcBorders>
            <w:shd w:val="clear" w:color="auto" w:fill="auto"/>
            <w:noWrap/>
            <w:vAlign w:val="center"/>
          </w:tcPr>
          <w:p w14:paraId="4B8205A4">
            <w:pPr>
              <w:widowControl/>
              <w:spacing w:line="360" w:lineRule="auto"/>
              <w:jc w:val="center"/>
              <w:rPr>
                <w:b/>
                <w:kern w:val="2"/>
                <w:szCs w:val="21"/>
                <w:highlight w:val="none"/>
              </w:rPr>
            </w:pPr>
            <w:r>
              <w:rPr>
                <w:rFonts w:hint="eastAsia"/>
                <w:b/>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2DB5CDD0">
            <w:pPr>
              <w:widowControl/>
              <w:spacing w:line="360" w:lineRule="auto"/>
              <w:jc w:val="center"/>
              <w:rPr>
                <w:b/>
                <w:kern w:val="2"/>
                <w:szCs w:val="21"/>
                <w:highlight w:val="none"/>
              </w:rPr>
            </w:pPr>
            <w:r>
              <w:rPr>
                <w:rFonts w:hint="eastAsia"/>
                <w:b/>
                <w:kern w:val="2"/>
                <w:szCs w:val="21"/>
                <w:highlight w:val="none"/>
              </w:rPr>
              <w:t>≥100</w:t>
            </w:r>
          </w:p>
        </w:tc>
        <w:tc>
          <w:tcPr>
            <w:tcW w:w="1053" w:type="dxa"/>
            <w:tcBorders>
              <w:top w:val="nil"/>
              <w:left w:val="nil"/>
              <w:bottom w:val="single" w:color="auto" w:sz="4" w:space="0"/>
              <w:right w:val="single" w:color="auto" w:sz="4" w:space="0"/>
            </w:tcBorders>
            <w:shd w:val="clear" w:color="auto" w:fill="auto"/>
            <w:noWrap/>
            <w:vAlign w:val="center"/>
          </w:tcPr>
          <w:p w14:paraId="5A4F1C87">
            <w:pPr>
              <w:widowControl/>
              <w:spacing w:line="360" w:lineRule="auto"/>
              <w:jc w:val="center"/>
              <w:rPr>
                <w:b/>
                <w:kern w:val="2"/>
                <w:szCs w:val="21"/>
                <w:highlight w:val="none"/>
              </w:rPr>
            </w:pPr>
            <w:r>
              <w:rPr>
                <w:rFonts w:hint="eastAsia"/>
                <w:b/>
                <w:kern w:val="2"/>
                <w:szCs w:val="21"/>
                <w:highlight w:val="none"/>
              </w:rPr>
              <w:t>≥10</w:t>
            </w:r>
          </w:p>
        </w:tc>
        <w:tc>
          <w:tcPr>
            <w:tcW w:w="1023" w:type="dxa"/>
            <w:tcBorders>
              <w:top w:val="nil"/>
              <w:left w:val="nil"/>
              <w:bottom w:val="single" w:color="auto" w:sz="4" w:space="0"/>
              <w:right w:val="single" w:color="auto" w:sz="4" w:space="0"/>
            </w:tcBorders>
            <w:shd w:val="clear" w:color="auto" w:fill="auto"/>
            <w:noWrap/>
            <w:vAlign w:val="center"/>
          </w:tcPr>
          <w:p w14:paraId="75B4881F">
            <w:pPr>
              <w:widowControl/>
              <w:spacing w:line="360" w:lineRule="auto"/>
              <w:jc w:val="center"/>
              <w:rPr>
                <w:b/>
                <w:kern w:val="2"/>
                <w:szCs w:val="21"/>
                <w:highlight w:val="none"/>
              </w:rPr>
            </w:pPr>
            <w:r>
              <w:rPr>
                <w:rFonts w:hint="eastAsia"/>
                <w:b/>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1003C125">
            <w:pPr>
              <w:widowControl/>
              <w:spacing w:line="360" w:lineRule="auto"/>
              <w:jc w:val="center"/>
              <w:rPr>
                <w:b/>
                <w:kern w:val="2"/>
                <w:szCs w:val="21"/>
                <w:highlight w:val="none"/>
              </w:rPr>
            </w:pPr>
            <w:r>
              <w:rPr>
                <w:rFonts w:hint="eastAsia"/>
                <w:b/>
                <w:kern w:val="2"/>
                <w:szCs w:val="21"/>
                <w:highlight w:val="none"/>
              </w:rPr>
              <w:t>＜100</w:t>
            </w:r>
          </w:p>
        </w:tc>
        <w:tc>
          <w:tcPr>
            <w:tcW w:w="992" w:type="dxa"/>
            <w:tcBorders>
              <w:top w:val="nil"/>
              <w:left w:val="nil"/>
              <w:bottom w:val="single" w:color="auto" w:sz="4" w:space="0"/>
              <w:right w:val="single" w:color="auto" w:sz="4" w:space="0"/>
            </w:tcBorders>
            <w:shd w:val="clear" w:color="auto" w:fill="auto"/>
            <w:noWrap/>
            <w:vAlign w:val="center"/>
          </w:tcPr>
          <w:p w14:paraId="00FC00A7">
            <w:pPr>
              <w:widowControl/>
              <w:spacing w:line="360" w:lineRule="auto"/>
              <w:jc w:val="center"/>
              <w:rPr>
                <w:b/>
                <w:kern w:val="2"/>
                <w:szCs w:val="21"/>
                <w:highlight w:val="none"/>
              </w:rPr>
            </w:pPr>
            <w:r>
              <w:rPr>
                <w:rFonts w:hint="eastAsia"/>
                <w:b/>
                <w:kern w:val="2"/>
                <w:szCs w:val="21"/>
                <w:highlight w:val="none"/>
              </w:rPr>
              <w:t>＜10</w:t>
            </w:r>
          </w:p>
        </w:tc>
        <w:tc>
          <w:tcPr>
            <w:tcW w:w="861" w:type="dxa"/>
            <w:tcBorders>
              <w:top w:val="nil"/>
              <w:left w:val="nil"/>
              <w:bottom w:val="single" w:color="auto" w:sz="4" w:space="0"/>
              <w:right w:val="single" w:color="auto" w:sz="4" w:space="0"/>
            </w:tcBorders>
            <w:shd w:val="clear" w:color="auto" w:fill="auto"/>
            <w:noWrap/>
            <w:vAlign w:val="center"/>
          </w:tcPr>
          <w:p w14:paraId="6B01D8C1">
            <w:pPr>
              <w:widowControl/>
              <w:spacing w:line="360" w:lineRule="auto"/>
              <w:jc w:val="center"/>
              <w:rPr>
                <w:b/>
                <w:kern w:val="2"/>
                <w:szCs w:val="21"/>
                <w:highlight w:val="none"/>
              </w:rPr>
            </w:pPr>
            <w:r>
              <w:rPr>
                <w:rFonts w:hint="eastAsia"/>
                <w:b/>
                <w:kern w:val="2"/>
                <w:szCs w:val="21"/>
                <w:highlight w:val="none"/>
              </w:rPr>
              <w:t>　</w:t>
            </w:r>
          </w:p>
        </w:tc>
      </w:tr>
      <w:tr w14:paraId="6A7FCF63">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6A7C4E17">
            <w:pPr>
              <w:widowControl/>
              <w:spacing w:line="360" w:lineRule="auto"/>
              <w:ind w:left="-112" w:leftChars="-51" w:right="-112" w:rightChars="-51"/>
              <w:jc w:val="center"/>
              <w:rPr>
                <w:b/>
                <w:kern w:val="2"/>
                <w:szCs w:val="21"/>
                <w:highlight w:val="none"/>
              </w:rPr>
            </w:pPr>
            <w:r>
              <w:rPr>
                <w:rFonts w:hint="eastAsia"/>
                <w:b/>
                <w:kern w:val="2"/>
                <w:szCs w:val="21"/>
                <w:highlight w:val="none"/>
              </w:rPr>
              <w:t>12</w:t>
            </w:r>
          </w:p>
        </w:tc>
        <w:tc>
          <w:tcPr>
            <w:tcW w:w="1990" w:type="dxa"/>
            <w:tcBorders>
              <w:top w:val="nil"/>
              <w:left w:val="nil"/>
              <w:bottom w:val="single" w:color="auto" w:sz="4" w:space="0"/>
              <w:right w:val="single" w:color="auto" w:sz="4" w:space="0"/>
            </w:tcBorders>
            <w:shd w:val="clear" w:color="auto" w:fill="auto"/>
            <w:noWrap/>
            <w:vAlign w:val="center"/>
          </w:tcPr>
          <w:p w14:paraId="3A28D7E7">
            <w:pPr>
              <w:spacing w:line="360" w:lineRule="auto"/>
              <w:ind w:left="-29" w:leftChars="-13" w:right="-68" w:rightChars="-31"/>
              <w:rPr>
                <w:b/>
                <w:kern w:val="2"/>
                <w:szCs w:val="21"/>
                <w:highlight w:val="none"/>
              </w:rPr>
            </w:pPr>
            <w:r>
              <w:rPr>
                <w:rFonts w:hint="eastAsia"/>
                <w:b/>
                <w:kern w:val="2"/>
                <w:szCs w:val="21"/>
                <w:highlight w:val="none"/>
              </w:rPr>
              <w:t>软件和信息技术</w:t>
            </w:r>
          </w:p>
          <w:p w14:paraId="26DA2B59">
            <w:pPr>
              <w:spacing w:line="360" w:lineRule="auto"/>
              <w:ind w:left="-29" w:leftChars="-13" w:right="-68" w:rightChars="-31"/>
              <w:rPr>
                <w:b/>
                <w:kern w:val="2"/>
                <w:szCs w:val="21"/>
                <w:highlight w:val="none"/>
              </w:rPr>
            </w:pPr>
            <w:r>
              <w:rPr>
                <w:rFonts w:hint="eastAsia"/>
                <w:b/>
                <w:kern w:val="2"/>
                <w:szCs w:val="21"/>
                <w:highlight w:val="none"/>
              </w:rPr>
              <w:t>服务业</w:t>
            </w:r>
          </w:p>
        </w:tc>
        <w:tc>
          <w:tcPr>
            <w:tcW w:w="1045" w:type="dxa"/>
            <w:tcBorders>
              <w:top w:val="nil"/>
              <w:left w:val="nil"/>
              <w:bottom w:val="single" w:color="auto" w:sz="4" w:space="0"/>
              <w:right w:val="single" w:color="auto" w:sz="4" w:space="0"/>
            </w:tcBorders>
            <w:shd w:val="clear" w:color="auto" w:fill="auto"/>
            <w:noWrap/>
            <w:vAlign w:val="center"/>
          </w:tcPr>
          <w:p w14:paraId="1C997A53">
            <w:pPr>
              <w:widowControl/>
              <w:spacing w:line="360" w:lineRule="auto"/>
              <w:ind w:left="-112" w:leftChars="-51" w:right="-112" w:rightChars="-51"/>
              <w:jc w:val="center"/>
              <w:rPr>
                <w:b/>
                <w:kern w:val="2"/>
                <w:szCs w:val="21"/>
                <w:highlight w:val="none"/>
              </w:rPr>
            </w:pPr>
            <w:r>
              <w:rPr>
                <w:rFonts w:hint="eastAsia"/>
                <w:b/>
                <w:kern w:val="2"/>
                <w:szCs w:val="21"/>
                <w:highlight w:val="none"/>
              </w:rPr>
              <w:t>≥10000</w:t>
            </w:r>
          </w:p>
        </w:tc>
        <w:tc>
          <w:tcPr>
            <w:tcW w:w="1116" w:type="dxa"/>
            <w:tcBorders>
              <w:top w:val="nil"/>
              <w:left w:val="nil"/>
              <w:bottom w:val="single" w:color="auto" w:sz="4" w:space="0"/>
              <w:right w:val="single" w:color="auto" w:sz="4" w:space="0"/>
            </w:tcBorders>
            <w:shd w:val="clear" w:color="auto" w:fill="auto"/>
            <w:noWrap/>
            <w:vAlign w:val="center"/>
          </w:tcPr>
          <w:p w14:paraId="3F1DAA44">
            <w:pPr>
              <w:widowControl/>
              <w:spacing w:line="360" w:lineRule="auto"/>
              <w:ind w:left="-112" w:leftChars="-51" w:right="-112" w:rightChars="-51"/>
              <w:jc w:val="center"/>
              <w:rPr>
                <w:b/>
                <w:kern w:val="2"/>
                <w:szCs w:val="21"/>
                <w:highlight w:val="none"/>
              </w:rPr>
            </w:pPr>
            <w:r>
              <w:rPr>
                <w:rFonts w:hint="eastAsia"/>
                <w:b/>
                <w:kern w:val="2"/>
                <w:szCs w:val="21"/>
                <w:highlight w:val="none"/>
              </w:rPr>
              <w:t>≥300</w:t>
            </w:r>
          </w:p>
        </w:tc>
        <w:tc>
          <w:tcPr>
            <w:tcW w:w="959" w:type="dxa"/>
            <w:tcBorders>
              <w:top w:val="nil"/>
              <w:left w:val="nil"/>
              <w:bottom w:val="single" w:color="auto" w:sz="4" w:space="0"/>
              <w:right w:val="single" w:color="auto" w:sz="4" w:space="0"/>
            </w:tcBorders>
            <w:shd w:val="clear" w:color="auto" w:fill="auto"/>
            <w:noWrap/>
            <w:vAlign w:val="center"/>
          </w:tcPr>
          <w:p w14:paraId="329644F0">
            <w:pPr>
              <w:widowControl/>
              <w:spacing w:line="360" w:lineRule="auto"/>
              <w:ind w:left="-112" w:leftChars="-51" w:right="-112" w:rightChars="-51"/>
              <w:jc w:val="center"/>
              <w:rPr>
                <w:b/>
                <w:kern w:val="2"/>
                <w:szCs w:val="21"/>
                <w:highlight w:val="none"/>
              </w:rPr>
            </w:pPr>
            <w:r>
              <w:rPr>
                <w:rFonts w:hint="eastAsia"/>
                <w:b/>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786F47C1">
            <w:pPr>
              <w:widowControl/>
              <w:spacing w:line="360" w:lineRule="auto"/>
              <w:ind w:left="-112" w:leftChars="-51" w:right="-112" w:rightChars="-51"/>
              <w:jc w:val="center"/>
              <w:rPr>
                <w:b/>
                <w:kern w:val="2"/>
                <w:szCs w:val="21"/>
                <w:highlight w:val="none"/>
              </w:rPr>
            </w:pPr>
            <w:r>
              <w:rPr>
                <w:rFonts w:hint="eastAsia"/>
                <w:b/>
                <w:kern w:val="2"/>
                <w:szCs w:val="21"/>
                <w:highlight w:val="none"/>
              </w:rPr>
              <w:t>≥1000</w:t>
            </w:r>
          </w:p>
        </w:tc>
        <w:tc>
          <w:tcPr>
            <w:tcW w:w="1046" w:type="dxa"/>
            <w:tcBorders>
              <w:top w:val="nil"/>
              <w:left w:val="nil"/>
              <w:bottom w:val="single" w:color="auto" w:sz="4" w:space="0"/>
              <w:right w:val="single" w:color="auto" w:sz="4" w:space="0"/>
            </w:tcBorders>
            <w:shd w:val="clear" w:color="auto" w:fill="auto"/>
            <w:noWrap/>
            <w:vAlign w:val="center"/>
          </w:tcPr>
          <w:p w14:paraId="27E733C4">
            <w:pPr>
              <w:widowControl/>
              <w:spacing w:line="360" w:lineRule="auto"/>
              <w:ind w:left="-112" w:leftChars="-51" w:right="-112" w:rightChars="-51"/>
              <w:jc w:val="center"/>
              <w:rPr>
                <w:b/>
                <w:kern w:val="2"/>
                <w:szCs w:val="21"/>
                <w:highlight w:val="none"/>
              </w:rPr>
            </w:pPr>
            <w:r>
              <w:rPr>
                <w:rFonts w:hint="eastAsia"/>
                <w:b/>
                <w:kern w:val="2"/>
                <w:szCs w:val="21"/>
                <w:highlight w:val="none"/>
              </w:rPr>
              <w:t>≥100</w:t>
            </w:r>
          </w:p>
        </w:tc>
        <w:tc>
          <w:tcPr>
            <w:tcW w:w="1017" w:type="dxa"/>
            <w:tcBorders>
              <w:top w:val="nil"/>
              <w:left w:val="nil"/>
              <w:bottom w:val="single" w:color="auto" w:sz="4" w:space="0"/>
              <w:right w:val="single" w:color="auto" w:sz="4" w:space="0"/>
            </w:tcBorders>
            <w:shd w:val="clear" w:color="auto" w:fill="auto"/>
            <w:noWrap/>
            <w:vAlign w:val="center"/>
          </w:tcPr>
          <w:p w14:paraId="07594804">
            <w:pPr>
              <w:widowControl/>
              <w:spacing w:line="360" w:lineRule="auto"/>
              <w:jc w:val="center"/>
              <w:rPr>
                <w:b/>
                <w:kern w:val="2"/>
                <w:szCs w:val="21"/>
                <w:highlight w:val="none"/>
              </w:rPr>
            </w:pPr>
            <w:r>
              <w:rPr>
                <w:rFonts w:hint="eastAsia"/>
                <w:b/>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12B8F786">
            <w:pPr>
              <w:widowControl/>
              <w:spacing w:line="360" w:lineRule="auto"/>
              <w:jc w:val="center"/>
              <w:rPr>
                <w:b/>
                <w:kern w:val="2"/>
                <w:szCs w:val="21"/>
                <w:highlight w:val="none"/>
              </w:rPr>
            </w:pPr>
            <w:r>
              <w:rPr>
                <w:rFonts w:hint="eastAsia"/>
                <w:b/>
                <w:kern w:val="2"/>
                <w:szCs w:val="21"/>
                <w:highlight w:val="none"/>
              </w:rPr>
              <w:t>≥50</w:t>
            </w:r>
          </w:p>
        </w:tc>
        <w:tc>
          <w:tcPr>
            <w:tcW w:w="1053" w:type="dxa"/>
            <w:tcBorders>
              <w:top w:val="nil"/>
              <w:left w:val="nil"/>
              <w:bottom w:val="single" w:color="auto" w:sz="4" w:space="0"/>
              <w:right w:val="single" w:color="auto" w:sz="4" w:space="0"/>
            </w:tcBorders>
            <w:shd w:val="clear" w:color="auto" w:fill="auto"/>
            <w:noWrap/>
            <w:vAlign w:val="center"/>
          </w:tcPr>
          <w:p w14:paraId="3B9D0A94">
            <w:pPr>
              <w:widowControl/>
              <w:spacing w:line="360" w:lineRule="auto"/>
              <w:jc w:val="center"/>
              <w:rPr>
                <w:b/>
                <w:kern w:val="2"/>
                <w:szCs w:val="21"/>
                <w:highlight w:val="none"/>
              </w:rPr>
            </w:pPr>
            <w:r>
              <w:rPr>
                <w:rFonts w:hint="eastAsia"/>
                <w:b/>
                <w:kern w:val="2"/>
                <w:szCs w:val="21"/>
                <w:highlight w:val="none"/>
              </w:rPr>
              <w:t>≥10</w:t>
            </w:r>
          </w:p>
        </w:tc>
        <w:tc>
          <w:tcPr>
            <w:tcW w:w="1023" w:type="dxa"/>
            <w:tcBorders>
              <w:top w:val="nil"/>
              <w:left w:val="nil"/>
              <w:bottom w:val="single" w:color="auto" w:sz="4" w:space="0"/>
              <w:right w:val="single" w:color="auto" w:sz="4" w:space="0"/>
            </w:tcBorders>
            <w:shd w:val="clear" w:color="auto" w:fill="auto"/>
            <w:noWrap/>
            <w:vAlign w:val="center"/>
          </w:tcPr>
          <w:p w14:paraId="3BADE8E7">
            <w:pPr>
              <w:widowControl/>
              <w:spacing w:line="360" w:lineRule="auto"/>
              <w:jc w:val="center"/>
              <w:rPr>
                <w:b/>
                <w:kern w:val="2"/>
                <w:szCs w:val="21"/>
                <w:highlight w:val="none"/>
              </w:rPr>
            </w:pPr>
            <w:r>
              <w:rPr>
                <w:rFonts w:hint="eastAsia"/>
                <w:b/>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0E145471">
            <w:pPr>
              <w:widowControl/>
              <w:spacing w:line="360" w:lineRule="auto"/>
              <w:jc w:val="center"/>
              <w:rPr>
                <w:b/>
                <w:kern w:val="2"/>
                <w:szCs w:val="21"/>
                <w:highlight w:val="none"/>
              </w:rPr>
            </w:pPr>
            <w:r>
              <w:rPr>
                <w:rFonts w:hint="eastAsia"/>
                <w:b/>
                <w:kern w:val="2"/>
                <w:szCs w:val="21"/>
                <w:highlight w:val="none"/>
              </w:rPr>
              <w:t>＜50</w:t>
            </w:r>
          </w:p>
        </w:tc>
        <w:tc>
          <w:tcPr>
            <w:tcW w:w="992" w:type="dxa"/>
            <w:tcBorders>
              <w:top w:val="nil"/>
              <w:left w:val="nil"/>
              <w:bottom w:val="single" w:color="auto" w:sz="4" w:space="0"/>
              <w:right w:val="single" w:color="auto" w:sz="4" w:space="0"/>
            </w:tcBorders>
            <w:shd w:val="clear" w:color="auto" w:fill="auto"/>
            <w:noWrap/>
            <w:vAlign w:val="center"/>
          </w:tcPr>
          <w:p w14:paraId="6C9EF310">
            <w:pPr>
              <w:widowControl/>
              <w:spacing w:line="360" w:lineRule="auto"/>
              <w:jc w:val="center"/>
              <w:rPr>
                <w:b/>
                <w:kern w:val="2"/>
                <w:szCs w:val="21"/>
                <w:highlight w:val="none"/>
              </w:rPr>
            </w:pPr>
            <w:r>
              <w:rPr>
                <w:rFonts w:hint="eastAsia"/>
                <w:b/>
                <w:kern w:val="2"/>
                <w:szCs w:val="21"/>
                <w:highlight w:val="none"/>
              </w:rPr>
              <w:t>＜10</w:t>
            </w:r>
          </w:p>
        </w:tc>
        <w:tc>
          <w:tcPr>
            <w:tcW w:w="861" w:type="dxa"/>
            <w:tcBorders>
              <w:top w:val="nil"/>
              <w:left w:val="nil"/>
              <w:bottom w:val="single" w:color="auto" w:sz="4" w:space="0"/>
              <w:right w:val="single" w:color="auto" w:sz="4" w:space="0"/>
            </w:tcBorders>
            <w:shd w:val="clear" w:color="auto" w:fill="auto"/>
            <w:noWrap/>
            <w:vAlign w:val="center"/>
          </w:tcPr>
          <w:p w14:paraId="3E4D936F">
            <w:pPr>
              <w:widowControl/>
              <w:spacing w:line="360" w:lineRule="auto"/>
              <w:jc w:val="center"/>
              <w:rPr>
                <w:b/>
                <w:kern w:val="2"/>
                <w:szCs w:val="21"/>
                <w:highlight w:val="none"/>
              </w:rPr>
            </w:pPr>
            <w:r>
              <w:rPr>
                <w:rFonts w:hint="eastAsia"/>
                <w:b/>
                <w:kern w:val="2"/>
                <w:szCs w:val="21"/>
                <w:highlight w:val="none"/>
              </w:rPr>
              <w:t>　</w:t>
            </w:r>
          </w:p>
        </w:tc>
      </w:tr>
      <w:tr w14:paraId="6BE159F3">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3BF92AE0">
            <w:pPr>
              <w:widowControl/>
              <w:spacing w:line="360" w:lineRule="auto"/>
              <w:ind w:left="-112" w:leftChars="-51" w:right="-112" w:rightChars="-51"/>
              <w:jc w:val="center"/>
              <w:rPr>
                <w:bCs/>
                <w:kern w:val="2"/>
                <w:szCs w:val="21"/>
                <w:highlight w:val="none"/>
              </w:rPr>
            </w:pPr>
            <w:r>
              <w:rPr>
                <w:rFonts w:hint="eastAsia"/>
                <w:bCs/>
                <w:kern w:val="2"/>
                <w:szCs w:val="21"/>
                <w:highlight w:val="none"/>
              </w:rPr>
              <w:t>13</w:t>
            </w:r>
          </w:p>
        </w:tc>
        <w:tc>
          <w:tcPr>
            <w:tcW w:w="1990" w:type="dxa"/>
            <w:tcBorders>
              <w:top w:val="nil"/>
              <w:left w:val="nil"/>
              <w:bottom w:val="single" w:color="auto" w:sz="4" w:space="0"/>
              <w:right w:val="single" w:color="auto" w:sz="4" w:space="0"/>
            </w:tcBorders>
            <w:shd w:val="clear" w:color="auto" w:fill="auto"/>
            <w:noWrap/>
            <w:vAlign w:val="center"/>
          </w:tcPr>
          <w:p w14:paraId="5904311E">
            <w:pPr>
              <w:spacing w:line="360" w:lineRule="auto"/>
              <w:ind w:left="-29" w:leftChars="-13" w:right="-68" w:rightChars="-31"/>
              <w:rPr>
                <w:bCs/>
                <w:kern w:val="2"/>
                <w:szCs w:val="21"/>
                <w:highlight w:val="none"/>
              </w:rPr>
            </w:pPr>
            <w:r>
              <w:rPr>
                <w:rFonts w:hint="eastAsia"/>
                <w:bCs/>
                <w:kern w:val="2"/>
                <w:szCs w:val="21"/>
                <w:highlight w:val="none"/>
              </w:rPr>
              <w:t>房地产开发经验</w:t>
            </w:r>
          </w:p>
        </w:tc>
        <w:tc>
          <w:tcPr>
            <w:tcW w:w="1045" w:type="dxa"/>
            <w:tcBorders>
              <w:top w:val="nil"/>
              <w:left w:val="nil"/>
              <w:bottom w:val="single" w:color="auto" w:sz="4" w:space="0"/>
              <w:right w:val="single" w:color="auto" w:sz="4" w:space="0"/>
            </w:tcBorders>
            <w:shd w:val="clear" w:color="auto" w:fill="auto"/>
            <w:noWrap/>
            <w:vAlign w:val="center"/>
          </w:tcPr>
          <w:p w14:paraId="52AE4DA7">
            <w:pPr>
              <w:widowControl/>
              <w:spacing w:line="360" w:lineRule="auto"/>
              <w:ind w:left="-112" w:leftChars="-51" w:right="-112" w:rightChars="-51"/>
              <w:jc w:val="center"/>
              <w:rPr>
                <w:kern w:val="2"/>
                <w:szCs w:val="21"/>
                <w:highlight w:val="none"/>
              </w:rPr>
            </w:pPr>
            <w:r>
              <w:rPr>
                <w:rFonts w:hint="eastAsia"/>
                <w:kern w:val="2"/>
                <w:szCs w:val="21"/>
                <w:highlight w:val="none"/>
              </w:rPr>
              <w:t>≥200000</w:t>
            </w:r>
          </w:p>
        </w:tc>
        <w:tc>
          <w:tcPr>
            <w:tcW w:w="1116" w:type="dxa"/>
            <w:tcBorders>
              <w:top w:val="nil"/>
              <w:left w:val="nil"/>
              <w:bottom w:val="single" w:color="auto" w:sz="4" w:space="0"/>
              <w:right w:val="single" w:color="auto" w:sz="4" w:space="0"/>
            </w:tcBorders>
            <w:shd w:val="clear" w:color="auto" w:fill="auto"/>
            <w:noWrap/>
            <w:vAlign w:val="center"/>
          </w:tcPr>
          <w:p w14:paraId="76EBF2CC">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959" w:type="dxa"/>
            <w:tcBorders>
              <w:top w:val="nil"/>
              <w:left w:val="nil"/>
              <w:bottom w:val="single" w:color="auto" w:sz="4" w:space="0"/>
              <w:right w:val="single" w:color="auto" w:sz="4" w:space="0"/>
            </w:tcBorders>
            <w:shd w:val="clear" w:color="auto" w:fill="auto"/>
            <w:noWrap/>
            <w:vAlign w:val="center"/>
          </w:tcPr>
          <w:p w14:paraId="77843FDD">
            <w:pPr>
              <w:widowControl/>
              <w:spacing w:line="360" w:lineRule="auto"/>
              <w:ind w:left="-112" w:leftChars="-51" w:right="-112" w:rightChars="-51"/>
              <w:jc w:val="center"/>
              <w:rPr>
                <w:kern w:val="2"/>
                <w:szCs w:val="21"/>
                <w:highlight w:val="none"/>
              </w:rPr>
            </w:pPr>
            <w:r>
              <w:rPr>
                <w:rFonts w:hint="eastAsia"/>
                <w:kern w:val="2"/>
                <w:szCs w:val="21"/>
                <w:highlight w:val="none"/>
              </w:rPr>
              <w:t>或,≥10000</w:t>
            </w:r>
          </w:p>
        </w:tc>
        <w:tc>
          <w:tcPr>
            <w:tcW w:w="1044" w:type="dxa"/>
            <w:tcBorders>
              <w:top w:val="nil"/>
              <w:left w:val="nil"/>
              <w:bottom w:val="single" w:color="auto" w:sz="4" w:space="0"/>
              <w:right w:val="single" w:color="auto" w:sz="4" w:space="0"/>
            </w:tcBorders>
            <w:shd w:val="clear" w:color="auto" w:fill="auto"/>
            <w:noWrap/>
            <w:vAlign w:val="center"/>
          </w:tcPr>
          <w:p w14:paraId="67FEFC06">
            <w:pPr>
              <w:widowControl/>
              <w:spacing w:line="360" w:lineRule="auto"/>
              <w:ind w:left="-112" w:leftChars="-51" w:right="-112" w:rightChars="-51"/>
              <w:jc w:val="center"/>
              <w:rPr>
                <w:kern w:val="2"/>
                <w:szCs w:val="21"/>
                <w:highlight w:val="none"/>
              </w:rPr>
            </w:pPr>
            <w:r>
              <w:rPr>
                <w:rFonts w:hint="eastAsia"/>
                <w:kern w:val="2"/>
                <w:szCs w:val="21"/>
                <w:highlight w:val="none"/>
              </w:rPr>
              <w:t>≥1000</w:t>
            </w:r>
          </w:p>
        </w:tc>
        <w:tc>
          <w:tcPr>
            <w:tcW w:w="1046" w:type="dxa"/>
            <w:tcBorders>
              <w:top w:val="nil"/>
              <w:left w:val="nil"/>
              <w:bottom w:val="single" w:color="auto" w:sz="4" w:space="0"/>
              <w:right w:val="single" w:color="auto" w:sz="4" w:space="0"/>
            </w:tcBorders>
            <w:shd w:val="clear" w:color="auto" w:fill="auto"/>
            <w:noWrap/>
            <w:vAlign w:val="center"/>
          </w:tcPr>
          <w:p w14:paraId="2545F3CC">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17" w:type="dxa"/>
            <w:tcBorders>
              <w:top w:val="nil"/>
              <w:left w:val="nil"/>
              <w:bottom w:val="single" w:color="auto" w:sz="4" w:space="0"/>
              <w:right w:val="single" w:color="auto" w:sz="4" w:space="0"/>
            </w:tcBorders>
            <w:shd w:val="clear" w:color="auto" w:fill="auto"/>
            <w:noWrap/>
            <w:vAlign w:val="center"/>
          </w:tcPr>
          <w:p w14:paraId="354E37BE">
            <w:pPr>
              <w:widowControl/>
              <w:spacing w:line="360" w:lineRule="auto"/>
              <w:jc w:val="center"/>
              <w:rPr>
                <w:kern w:val="2"/>
                <w:szCs w:val="21"/>
                <w:highlight w:val="none"/>
              </w:rPr>
            </w:pPr>
            <w:r>
              <w:rPr>
                <w:rFonts w:hint="eastAsia"/>
                <w:kern w:val="2"/>
                <w:szCs w:val="21"/>
                <w:highlight w:val="none"/>
              </w:rPr>
              <w:t>且,≥5000</w:t>
            </w:r>
          </w:p>
        </w:tc>
        <w:tc>
          <w:tcPr>
            <w:tcW w:w="1055" w:type="dxa"/>
            <w:tcBorders>
              <w:top w:val="nil"/>
              <w:left w:val="nil"/>
              <w:bottom w:val="single" w:color="auto" w:sz="4" w:space="0"/>
              <w:right w:val="single" w:color="auto" w:sz="4" w:space="0"/>
            </w:tcBorders>
            <w:shd w:val="clear" w:color="auto" w:fill="auto"/>
            <w:noWrap/>
            <w:vAlign w:val="center"/>
          </w:tcPr>
          <w:p w14:paraId="0788D032">
            <w:pPr>
              <w:widowControl/>
              <w:spacing w:line="360" w:lineRule="auto"/>
              <w:jc w:val="center"/>
              <w:rPr>
                <w:kern w:val="2"/>
                <w:szCs w:val="21"/>
                <w:highlight w:val="none"/>
              </w:rPr>
            </w:pPr>
            <w:r>
              <w:rPr>
                <w:rFonts w:hint="eastAsia"/>
                <w:kern w:val="2"/>
                <w:szCs w:val="21"/>
                <w:highlight w:val="none"/>
              </w:rPr>
              <w:t>≥100</w:t>
            </w:r>
          </w:p>
        </w:tc>
        <w:tc>
          <w:tcPr>
            <w:tcW w:w="1053" w:type="dxa"/>
            <w:tcBorders>
              <w:top w:val="nil"/>
              <w:left w:val="nil"/>
              <w:bottom w:val="single" w:color="auto" w:sz="4" w:space="0"/>
              <w:right w:val="single" w:color="auto" w:sz="4" w:space="0"/>
            </w:tcBorders>
            <w:shd w:val="clear" w:color="auto" w:fill="auto"/>
            <w:noWrap/>
            <w:vAlign w:val="center"/>
          </w:tcPr>
          <w:p w14:paraId="4B38C44E">
            <w:pPr>
              <w:widowControl/>
              <w:spacing w:line="360" w:lineRule="auto"/>
              <w:jc w:val="center"/>
              <w:rPr>
                <w:kern w:val="2"/>
                <w:szCs w:val="21"/>
                <w:highlight w:val="none"/>
              </w:rPr>
            </w:pPr>
            <w:r>
              <w:rPr>
                <w:rFonts w:hint="eastAsia"/>
                <w:kern w:val="2"/>
                <w:szCs w:val="21"/>
                <w:highlight w:val="none"/>
              </w:rPr>
              <w:t>　</w:t>
            </w:r>
          </w:p>
        </w:tc>
        <w:tc>
          <w:tcPr>
            <w:tcW w:w="1023" w:type="dxa"/>
            <w:tcBorders>
              <w:top w:val="nil"/>
              <w:left w:val="nil"/>
              <w:bottom w:val="single" w:color="auto" w:sz="4" w:space="0"/>
              <w:right w:val="single" w:color="auto" w:sz="4" w:space="0"/>
            </w:tcBorders>
            <w:shd w:val="clear" w:color="auto" w:fill="auto"/>
            <w:noWrap/>
            <w:vAlign w:val="center"/>
          </w:tcPr>
          <w:p w14:paraId="188493E5">
            <w:pPr>
              <w:widowControl/>
              <w:spacing w:line="360" w:lineRule="auto"/>
              <w:jc w:val="center"/>
              <w:rPr>
                <w:kern w:val="2"/>
                <w:szCs w:val="21"/>
                <w:highlight w:val="none"/>
              </w:rPr>
            </w:pPr>
            <w:r>
              <w:rPr>
                <w:rFonts w:hint="eastAsia"/>
                <w:kern w:val="2"/>
                <w:szCs w:val="21"/>
                <w:highlight w:val="none"/>
              </w:rPr>
              <w:t>且,≥2000</w:t>
            </w:r>
          </w:p>
        </w:tc>
        <w:tc>
          <w:tcPr>
            <w:tcW w:w="1043" w:type="dxa"/>
            <w:tcBorders>
              <w:top w:val="nil"/>
              <w:left w:val="nil"/>
              <w:bottom w:val="single" w:color="auto" w:sz="4" w:space="0"/>
              <w:right w:val="single" w:color="auto" w:sz="4" w:space="0"/>
            </w:tcBorders>
            <w:shd w:val="clear" w:color="auto" w:fill="auto"/>
            <w:noWrap/>
            <w:vAlign w:val="center"/>
          </w:tcPr>
          <w:p w14:paraId="7681B670">
            <w:pPr>
              <w:widowControl/>
              <w:spacing w:line="360" w:lineRule="auto"/>
              <w:jc w:val="center"/>
              <w:rPr>
                <w:kern w:val="2"/>
                <w:szCs w:val="21"/>
                <w:highlight w:val="none"/>
              </w:rPr>
            </w:pPr>
            <w:r>
              <w:rPr>
                <w:rFonts w:hint="eastAsia"/>
                <w:kern w:val="2"/>
                <w:szCs w:val="21"/>
                <w:highlight w:val="none"/>
              </w:rPr>
              <w:t>＜100</w:t>
            </w:r>
          </w:p>
        </w:tc>
        <w:tc>
          <w:tcPr>
            <w:tcW w:w="992" w:type="dxa"/>
            <w:tcBorders>
              <w:top w:val="nil"/>
              <w:left w:val="nil"/>
              <w:bottom w:val="single" w:color="auto" w:sz="4" w:space="0"/>
              <w:right w:val="single" w:color="auto" w:sz="4" w:space="0"/>
            </w:tcBorders>
            <w:shd w:val="clear" w:color="auto" w:fill="auto"/>
            <w:noWrap/>
            <w:vAlign w:val="center"/>
          </w:tcPr>
          <w:p w14:paraId="54887CCF">
            <w:pPr>
              <w:widowControl/>
              <w:spacing w:line="360" w:lineRule="auto"/>
              <w:jc w:val="center"/>
              <w:rPr>
                <w:kern w:val="2"/>
                <w:szCs w:val="21"/>
                <w:highlight w:val="none"/>
              </w:rPr>
            </w:pPr>
            <w:r>
              <w:rPr>
                <w:rFonts w:hint="eastAsia"/>
                <w:kern w:val="2"/>
                <w:szCs w:val="21"/>
                <w:highlight w:val="none"/>
              </w:rPr>
              <w:t>　</w:t>
            </w:r>
          </w:p>
        </w:tc>
        <w:tc>
          <w:tcPr>
            <w:tcW w:w="861" w:type="dxa"/>
            <w:tcBorders>
              <w:top w:val="nil"/>
              <w:left w:val="nil"/>
              <w:bottom w:val="single" w:color="auto" w:sz="4" w:space="0"/>
              <w:right w:val="single" w:color="auto" w:sz="4" w:space="0"/>
            </w:tcBorders>
            <w:shd w:val="clear" w:color="auto" w:fill="auto"/>
            <w:noWrap/>
            <w:vAlign w:val="center"/>
          </w:tcPr>
          <w:p w14:paraId="3B7112EC">
            <w:pPr>
              <w:widowControl/>
              <w:spacing w:line="360" w:lineRule="auto"/>
              <w:jc w:val="center"/>
              <w:rPr>
                <w:kern w:val="2"/>
                <w:szCs w:val="21"/>
                <w:highlight w:val="none"/>
              </w:rPr>
            </w:pPr>
            <w:r>
              <w:rPr>
                <w:rFonts w:hint="eastAsia"/>
                <w:kern w:val="2"/>
                <w:szCs w:val="21"/>
                <w:highlight w:val="none"/>
              </w:rPr>
              <w:t>或,＜2000</w:t>
            </w:r>
          </w:p>
        </w:tc>
      </w:tr>
      <w:tr w14:paraId="6669CB5E">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402178B6">
            <w:pPr>
              <w:widowControl/>
              <w:spacing w:line="360" w:lineRule="auto"/>
              <w:ind w:left="-112" w:leftChars="-51" w:right="-112" w:rightChars="-51"/>
              <w:jc w:val="center"/>
              <w:rPr>
                <w:bCs/>
                <w:kern w:val="2"/>
                <w:szCs w:val="21"/>
                <w:highlight w:val="none"/>
              </w:rPr>
            </w:pPr>
            <w:r>
              <w:rPr>
                <w:rFonts w:hint="eastAsia"/>
                <w:bCs/>
                <w:kern w:val="2"/>
                <w:szCs w:val="21"/>
                <w:highlight w:val="none"/>
              </w:rPr>
              <w:t>14</w:t>
            </w:r>
          </w:p>
        </w:tc>
        <w:tc>
          <w:tcPr>
            <w:tcW w:w="1990" w:type="dxa"/>
            <w:tcBorders>
              <w:top w:val="nil"/>
              <w:left w:val="nil"/>
              <w:bottom w:val="single" w:color="auto" w:sz="4" w:space="0"/>
              <w:right w:val="single" w:color="auto" w:sz="4" w:space="0"/>
            </w:tcBorders>
            <w:shd w:val="clear" w:color="auto" w:fill="auto"/>
            <w:noWrap/>
            <w:vAlign w:val="center"/>
          </w:tcPr>
          <w:p w14:paraId="72CD4F24">
            <w:pPr>
              <w:spacing w:line="360" w:lineRule="auto"/>
              <w:ind w:left="-29" w:leftChars="-13" w:right="-68" w:rightChars="-31"/>
              <w:rPr>
                <w:bCs/>
                <w:kern w:val="2"/>
                <w:szCs w:val="21"/>
                <w:highlight w:val="none"/>
              </w:rPr>
            </w:pPr>
            <w:r>
              <w:rPr>
                <w:rFonts w:hint="eastAsia"/>
                <w:bCs/>
                <w:kern w:val="2"/>
                <w:szCs w:val="21"/>
                <w:highlight w:val="none"/>
              </w:rPr>
              <w:t>物业管理</w:t>
            </w:r>
          </w:p>
        </w:tc>
        <w:tc>
          <w:tcPr>
            <w:tcW w:w="1045" w:type="dxa"/>
            <w:tcBorders>
              <w:top w:val="nil"/>
              <w:left w:val="nil"/>
              <w:bottom w:val="single" w:color="auto" w:sz="4" w:space="0"/>
              <w:right w:val="single" w:color="auto" w:sz="4" w:space="0"/>
            </w:tcBorders>
            <w:shd w:val="clear" w:color="auto" w:fill="auto"/>
            <w:noWrap/>
            <w:vAlign w:val="center"/>
          </w:tcPr>
          <w:p w14:paraId="575AEF4C">
            <w:pPr>
              <w:widowControl/>
              <w:spacing w:line="360" w:lineRule="auto"/>
              <w:ind w:left="-112" w:leftChars="-51" w:right="-112" w:rightChars="-51"/>
              <w:jc w:val="center"/>
              <w:rPr>
                <w:kern w:val="2"/>
                <w:szCs w:val="21"/>
                <w:highlight w:val="none"/>
              </w:rPr>
            </w:pPr>
            <w:r>
              <w:rPr>
                <w:rFonts w:hint="eastAsia"/>
                <w:kern w:val="2"/>
                <w:szCs w:val="21"/>
                <w:highlight w:val="none"/>
              </w:rPr>
              <w:t>≥5000</w:t>
            </w:r>
          </w:p>
        </w:tc>
        <w:tc>
          <w:tcPr>
            <w:tcW w:w="1116" w:type="dxa"/>
            <w:tcBorders>
              <w:top w:val="nil"/>
              <w:left w:val="nil"/>
              <w:bottom w:val="single" w:color="auto" w:sz="4" w:space="0"/>
              <w:right w:val="single" w:color="auto" w:sz="4" w:space="0"/>
            </w:tcBorders>
            <w:shd w:val="clear" w:color="auto" w:fill="auto"/>
            <w:noWrap/>
            <w:vAlign w:val="center"/>
          </w:tcPr>
          <w:p w14:paraId="06CC1BF7">
            <w:pPr>
              <w:widowControl/>
              <w:spacing w:line="360" w:lineRule="auto"/>
              <w:ind w:left="-112" w:leftChars="-51" w:right="-112" w:rightChars="-51"/>
              <w:jc w:val="center"/>
              <w:rPr>
                <w:kern w:val="2"/>
                <w:szCs w:val="21"/>
                <w:highlight w:val="none"/>
              </w:rPr>
            </w:pPr>
            <w:r>
              <w:rPr>
                <w:rFonts w:hint="eastAsia"/>
                <w:kern w:val="2"/>
                <w:szCs w:val="21"/>
                <w:highlight w:val="none"/>
              </w:rPr>
              <w:t>≥1000</w:t>
            </w:r>
          </w:p>
        </w:tc>
        <w:tc>
          <w:tcPr>
            <w:tcW w:w="959" w:type="dxa"/>
            <w:tcBorders>
              <w:top w:val="nil"/>
              <w:left w:val="nil"/>
              <w:bottom w:val="single" w:color="auto" w:sz="4" w:space="0"/>
              <w:right w:val="single" w:color="auto" w:sz="4" w:space="0"/>
            </w:tcBorders>
            <w:shd w:val="clear" w:color="auto" w:fill="auto"/>
            <w:noWrap/>
            <w:vAlign w:val="center"/>
          </w:tcPr>
          <w:p w14:paraId="79C81E7D">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74E23C4D">
            <w:pPr>
              <w:widowControl/>
              <w:spacing w:line="360" w:lineRule="auto"/>
              <w:ind w:left="-112" w:leftChars="-51" w:right="-112" w:rightChars="-51"/>
              <w:jc w:val="center"/>
              <w:rPr>
                <w:kern w:val="2"/>
                <w:szCs w:val="21"/>
                <w:highlight w:val="none"/>
              </w:rPr>
            </w:pPr>
            <w:r>
              <w:rPr>
                <w:rFonts w:hint="eastAsia"/>
                <w:kern w:val="2"/>
                <w:szCs w:val="21"/>
                <w:highlight w:val="none"/>
              </w:rPr>
              <w:t>≥1000</w:t>
            </w:r>
          </w:p>
        </w:tc>
        <w:tc>
          <w:tcPr>
            <w:tcW w:w="1046" w:type="dxa"/>
            <w:tcBorders>
              <w:top w:val="nil"/>
              <w:left w:val="nil"/>
              <w:bottom w:val="single" w:color="auto" w:sz="4" w:space="0"/>
              <w:right w:val="single" w:color="auto" w:sz="4" w:space="0"/>
            </w:tcBorders>
            <w:shd w:val="clear" w:color="auto" w:fill="auto"/>
            <w:noWrap/>
            <w:vAlign w:val="center"/>
          </w:tcPr>
          <w:p w14:paraId="760CA79E">
            <w:pPr>
              <w:widowControl/>
              <w:spacing w:line="360" w:lineRule="auto"/>
              <w:ind w:left="-112" w:leftChars="-51" w:right="-112" w:rightChars="-51"/>
              <w:jc w:val="center"/>
              <w:rPr>
                <w:kern w:val="2"/>
                <w:szCs w:val="21"/>
                <w:highlight w:val="none"/>
              </w:rPr>
            </w:pPr>
            <w:r>
              <w:rPr>
                <w:rFonts w:hint="eastAsia"/>
                <w:kern w:val="2"/>
                <w:szCs w:val="21"/>
                <w:highlight w:val="none"/>
              </w:rPr>
              <w:t>≥300</w:t>
            </w:r>
          </w:p>
        </w:tc>
        <w:tc>
          <w:tcPr>
            <w:tcW w:w="1017" w:type="dxa"/>
            <w:tcBorders>
              <w:top w:val="nil"/>
              <w:left w:val="nil"/>
              <w:bottom w:val="single" w:color="auto" w:sz="4" w:space="0"/>
              <w:right w:val="single" w:color="auto" w:sz="4" w:space="0"/>
            </w:tcBorders>
            <w:shd w:val="clear" w:color="auto" w:fill="auto"/>
            <w:noWrap/>
            <w:vAlign w:val="center"/>
          </w:tcPr>
          <w:p w14:paraId="6CE3F378">
            <w:pPr>
              <w:widowControl/>
              <w:spacing w:line="360" w:lineRule="auto"/>
              <w:jc w:val="center"/>
              <w:rPr>
                <w:kern w:val="2"/>
                <w:szCs w:val="21"/>
                <w:highlight w:val="none"/>
              </w:rPr>
            </w:pPr>
            <w:r>
              <w:rPr>
                <w:rFonts w:hint="eastAsia"/>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785A2E1B">
            <w:pPr>
              <w:widowControl/>
              <w:spacing w:line="360" w:lineRule="auto"/>
              <w:jc w:val="center"/>
              <w:rPr>
                <w:kern w:val="2"/>
                <w:szCs w:val="21"/>
                <w:highlight w:val="none"/>
              </w:rPr>
            </w:pPr>
            <w:r>
              <w:rPr>
                <w:rFonts w:hint="eastAsia"/>
                <w:kern w:val="2"/>
                <w:szCs w:val="21"/>
                <w:highlight w:val="none"/>
              </w:rPr>
              <w:t>≥500</w:t>
            </w:r>
          </w:p>
        </w:tc>
        <w:tc>
          <w:tcPr>
            <w:tcW w:w="1053" w:type="dxa"/>
            <w:tcBorders>
              <w:top w:val="nil"/>
              <w:left w:val="nil"/>
              <w:bottom w:val="single" w:color="auto" w:sz="4" w:space="0"/>
              <w:right w:val="single" w:color="auto" w:sz="4" w:space="0"/>
            </w:tcBorders>
            <w:shd w:val="clear" w:color="auto" w:fill="auto"/>
            <w:noWrap/>
            <w:vAlign w:val="center"/>
          </w:tcPr>
          <w:p w14:paraId="0D442864">
            <w:pPr>
              <w:widowControl/>
              <w:spacing w:line="360" w:lineRule="auto"/>
              <w:jc w:val="center"/>
              <w:rPr>
                <w:kern w:val="2"/>
                <w:szCs w:val="21"/>
                <w:highlight w:val="none"/>
              </w:rPr>
            </w:pPr>
            <w:r>
              <w:rPr>
                <w:rFonts w:hint="eastAsia"/>
                <w:kern w:val="2"/>
                <w:szCs w:val="21"/>
                <w:highlight w:val="none"/>
              </w:rPr>
              <w:t>≥100</w:t>
            </w:r>
          </w:p>
        </w:tc>
        <w:tc>
          <w:tcPr>
            <w:tcW w:w="1023" w:type="dxa"/>
            <w:tcBorders>
              <w:top w:val="nil"/>
              <w:left w:val="nil"/>
              <w:bottom w:val="single" w:color="auto" w:sz="4" w:space="0"/>
              <w:right w:val="single" w:color="auto" w:sz="4" w:space="0"/>
            </w:tcBorders>
            <w:shd w:val="clear" w:color="auto" w:fill="auto"/>
            <w:noWrap/>
            <w:vAlign w:val="center"/>
          </w:tcPr>
          <w:p w14:paraId="70496AD5">
            <w:pPr>
              <w:widowControl/>
              <w:spacing w:line="360" w:lineRule="auto"/>
              <w:jc w:val="center"/>
              <w:rPr>
                <w:kern w:val="2"/>
                <w:szCs w:val="21"/>
                <w:highlight w:val="none"/>
              </w:rPr>
            </w:pPr>
            <w:r>
              <w:rPr>
                <w:rFonts w:hint="eastAsia"/>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55D005BD">
            <w:pPr>
              <w:widowControl/>
              <w:spacing w:line="360" w:lineRule="auto"/>
              <w:jc w:val="center"/>
              <w:rPr>
                <w:kern w:val="2"/>
                <w:szCs w:val="21"/>
                <w:highlight w:val="none"/>
              </w:rPr>
            </w:pPr>
            <w:r>
              <w:rPr>
                <w:rFonts w:hint="eastAsia"/>
                <w:kern w:val="2"/>
                <w:szCs w:val="21"/>
                <w:highlight w:val="none"/>
              </w:rPr>
              <w:t>＜500</w:t>
            </w:r>
          </w:p>
        </w:tc>
        <w:tc>
          <w:tcPr>
            <w:tcW w:w="992" w:type="dxa"/>
            <w:tcBorders>
              <w:top w:val="nil"/>
              <w:left w:val="nil"/>
              <w:bottom w:val="single" w:color="auto" w:sz="4" w:space="0"/>
              <w:right w:val="single" w:color="auto" w:sz="4" w:space="0"/>
            </w:tcBorders>
            <w:shd w:val="clear" w:color="auto" w:fill="auto"/>
            <w:noWrap/>
            <w:vAlign w:val="center"/>
          </w:tcPr>
          <w:p w14:paraId="50100B71">
            <w:pPr>
              <w:widowControl/>
              <w:spacing w:line="360" w:lineRule="auto"/>
              <w:jc w:val="center"/>
              <w:rPr>
                <w:kern w:val="2"/>
                <w:szCs w:val="21"/>
                <w:highlight w:val="none"/>
              </w:rPr>
            </w:pPr>
            <w:r>
              <w:rPr>
                <w:rFonts w:hint="eastAsia"/>
                <w:kern w:val="2"/>
                <w:szCs w:val="21"/>
                <w:highlight w:val="none"/>
              </w:rPr>
              <w:t>＜100</w:t>
            </w:r>
          </w:p>
        </w:tc>
        <w:tc>
          <w:tcPr>
            <w:tcW w:w="861" w:type="dxa"/>
            <w:tcBorders>
              <w:top w:val="nil"/>
              <w:left w:val="nil"/>
              <w:bottom w:val="single" w:color="auto" w:sz="4" w:space="0"/>
              <w:right w:val="single" w:color="auto" w:sz="4" w:space="0"/>
            </w:tcBorders>
            <w:shd w:val="clear" w:color="auto" w:fill="auto"/>
            <w:noWrap/>
            <w:vAlign w:val="center"/>
          </w:tcPr>
          <w:p w14:paraId="256F4B47">
            <w:pPr>
              <w:widowControl/>
              <w:spacing w:line="360" w:lineRule="auto"/>
              <w:jc w:val="center"/>
              <w:rPr>
                <w:kern w:val="2"/>
                <w:szCs w:val="21"/>
                <w:highlight w:val="none"/>
              </w:rPr>
            </w:pPr>
            <w:r>
              <w:rPr>
                <w:rFonts w:hint="eastAsia"/>
                <w:kern w:val="2"/>
                <w:szCs w:val="21"/>
                <w:highlight w:val="none"/>
              </w:rPr>
              <w:t>　</w:t>
            </w:r>
          </w:p>
        </w:tc>
      </w:tr>
      <w:tr w14:paraId="5DA75F35">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6500F6EE">
            <w:pPr>
              <w:widowControl/>
              <w:spacing w:line="360" w:lineRule="auto"/>
              <w:ind w:left="-112" w:leftChars="-51" w:right="-112" w:rightChars="-51"/>
              <w:jc w:val="center"/>
              <w:rPr>
                <w:bCs/>
                <w:kern w:val="2"/>
                <w:szCs w:val="21"/>
                <w:highlight w:val="none"/>
              </w:rPr>
            </w:pPr>
            <w:r>
              <w:rPr>
                <w:rFonts w:hint="eastAsia"/>
                <w:bCs/>
                <w:kern w:val="2"/>
                <w:szCs w:val="21"/>
                <w:highlight w:val="none"/>
              </w:rPr>
              <w:t>15</w:t>
            </w:r>
          </w:p>
        </w:tc>
        <w:tc>
          <w:tcPr>
            <w:tcW w:w="1990" w:type="dxa"/>
            <w:tcBorders>
              <w:top w:val="nil"/>
              <w:left w:val="nil"/>
              <w:bottom w:val="single" w:color="auto" w:sz="4" w:space="0"/>
              <w:right w:val="single" w:color="auto" w:sz="4" w:space="0"/>
            </w:tcBorders>
            <w:shd w:val="clear" w:color="auto" w:fill="auto"/>
            <w:noWrap/>
            <w:vAlign w:val="center"/>
          </w:tcPr>
          <w:p w14:paraId="56965D91">
            <w:pPr>
              <w:spacing w:line="360" w:lineRule="auto"/>
              <w:ind w:left="-29" w:leftChars="-13" w:right="-68" w:rightChars="-31"/>
              <w:rPr>
                <w:bCs/>
                <w:kern w:val="2"/>
                <w:szCs w:val="21"/>
                <w:highlight w:val="none"/>
              </w:rPr>
            </w:pPr>
            <w:r>
              <w:rPr>
                <w:rFonts w:hint="eastAsia"/>
                <w:bCs/>
                <w:kern w:val="2"/>
                <w:szCs w:val="21"/>
                <w:highlight w:val="none"/>
              </w:rPr>
              <w:t>租赁和商务服务业</w:t>
            </w:r>
          </w:p>
        </w:tc>
        <w:tc>
          <w:tcPr>
            <w:tcW w:w="1045" w:type="dxa"/>
            <w:tcBorders>
              <w:top w:val="nil"/>
              <w:left w:val="nil"/>
              <w:bottom w:val="single" w:color="auto" w:sz="4" w:space="0"/>
              <w:right w:val="single" w:color="auto" w:sz="4" w:space="0"/>
            </w:tcBorders>
            <w:shd w:val="clear" w:color="auto" w:fill="auto"/>
            <w:noWrap/>
            <w:vAlign w:val="center"/>
          </w:tcPr>
          <w:p w14:paraId="2E8F3419">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116" w:type="dxa"/>
            <w:tcBorders>
              <w:top w:val="nil"/>
              <w:left w:val="nil"/>
              <w:bottom w:val="single" w:color="auto" w:sz="4" w:space="0"/>
              <w:right w:val="single" w:color="auto" w:sz="4" w:space="0"/>
            </w:tcBorders>
            <w:shd w:val="clear" w:color="auto" w:fill="auto"/>
            <w:noWrap/>
            <w:vAlign w:val="center"/>
          </w:tcPr>
          <w:p w14:paraId="5513059E">
            <w:pPr>
              <w:widowControl/>
              <w:spacing w:line="360" w:lineRule="auto"/>
              <w:ind w:left="-112" w:leftChars="-51" w:right="-112" w:rightChars="-51"/>
              <w:jc w:val="center"/>
              <w:rPr>
                <w:kern w:val="2"/>
                <w:szCs w:val="21"/>
                <w:highlight w:val="none"/>
              </w:rPr>
            </w:pPr>
            <w:r>
              <w:rPr>
                <w:rFonts w:hint="eastAsia"/>
                <w:kern w:val="2"/>
                <w:szCs w:val="21"/>
                <w:highlight w:val="none"/>
              </w:rPr>
              <w:t>≥300</w:t>
            </w:r>
          </w:p>
        </w:tc>
        <w:tc>
          <w:tcPr>
            <w:tcW w:w="959" w:type="dxa"/>
            <w:tcBorders>
              <w:top w:val="nil"/>
              <w:left w:val="nil"/>
              <w:bottom w:val="single" w:color="auto" w:sz="4" w:space="0"/>
              <w:right w:val="single" w:color="auto" w:sz="4" w:space="0"/>
            </w:tcBorders>
            <w:shd w:val="clear" w:color="auto" w:fill="auto"/>
            <w:noWrap/>
            <w:vAlign w:val="center"/>
          </w:tcPr>
          <w:p w14:paraId="435F82DE">
            <w:pPr>
              <w:widowControl/>
              <w:spacing w:line="360" w:lineRule="auto"/>
              <w:ind w:left="-112" w:leftChars="-51" w:right="-112" w:rightChars="-51"/>
              <w:jc w:val="center"/>
              <w:rPr>
                <w:kern w:val="2"/>
                <w:szCs w:val="21"/>
                <w:highlight w:val="none"/>
              </w:rPr>
            </w:pPr>
            <w:r>
              <w:rPr>
                <w:rFonts w:hint="eastAsia"/>
                <w:kern w:val="2"/>
                <w:szCs w:val="21"/>
                <w:highlight w:val="none"/>
              </w:rPr>
              <w:t>或,≥120000</w:t>
            </w:r>
          </w:p>
        </w:tc>
        <w:tc>
          <w:tcPr>
            <w:tcW w:w="1044" w:type="dxa"/>
            <w:tcBorders>
              <w:top w:val="nil"/>
              <w:left w:val="nil"/>
              <w:bottom w:val="single" w:color="auto" w:sz="4" w:space="0"/>
              <w:right w:val="single" w:color="auto" w:sz="4" w:space="0"/>
            </w:tcBorders>
            <w:shd w:val="clear" w:color="auto" w:fill="auto"/>
            <w:noWrap/>
            <w:vAlign w:val="center"/>
          </w:tcPr>
          <w:p w14:paraId="18CD0EFB">
            <w:pPr>
              <w:widowControl/>
              <w:spacing w:line="360" w:lineRule="auto"/>
              <w:ind w:left="-112" w:leftChars="-51" w:right="-112" w:rightChars="-51"/>
              <w:jc w:val="center"/>
              <w:rPr>
                <w:kern w:val="2"/>
                <w:szCs w:val="21"/>
                <w:highlight w:val="none"/>
              </w:rPr>
            </w:pPr>
            <w:r>
              <w:rPr>
                <w:rFonts w:hint="eastAsia"/>
                <w:kern w:val="2"/>
                <w:szCs w:val="21"/>
                <w:highlight w:val="none"/>
              </w:rPr>
              <w:t>　</w:t>
            </w:r>
          </w:p>
        </w:tc>
        <w:tc>
          <w:tcPr>
            <w:tcW w:w="1046" w:type="dxa"/>
            <w:tcBorders>
              <w:top w:val="nil"/>
              <w:left w:val="nil"/>
              <w:bottom w:val="single" w:color="auto" w:sz="4" w:space="0"/>
              <w:right w:val="single" w:color="auto" w:sz="4" w:space="0"/>
            </w:tcBorders>
            <w:shd w:val="clear" w:color="auto" w:fill="auto"/>
            <w:noWrap/>
            <w:vAlign w:val="center"/>
          </w:tcPr>
          <w:p w14:paraId="0D0CFDAF">
            <w:pPr>
              <w:widowControl/>
              <w:spacing w:line="360" w:lineRule="auto"/>
              <w:ind w:left="-112" w:leftChars="-51" w:right="-112" w:rightChars="-51"/>
              <w:jc w:val="center"/>
              <w:rPr>
                <w:kern w:val="2"/>
                <w:szCs w:val="21"/>
                <w:highlight w:val="none"/>
              </w:rPr>
            </w:pPr>
            <w:r>
              <w:rPr>
                <w:rFonts w:hint="eastAsia"/>
                <w:kern w:val="2"/>
                <w:szCs w:val="21"/>
                <w:highlight w:val="none"/>
              </w:rPr>
              <w:t>≥100</w:t>
            </w:r>
          </w:p>
        </w:tc>
        <w:tc>
          <w:tcPr>
            <w:tcW w:w="1017" w:type="dxa"/>
            <w:tcBorders>
              <w:top w:val="nil"/>
              <w:left w:val="nil"/>
              <w:bottom w:val="single" w:color="auto" w:sz="4" w:space="0"/>
              <w:right w:val="single" w:color="auto" w:sz="4" w:space="0"/>
            </w:tcBorders>
            <w:shd w:val="clear" w:color="auto" w:fill="auto"/>
            <w:noWrap/>
            <w:vAlign w:val="center"/>
          </w:tcPr>
          <w:p w14:paraId="273137A0">
            <w:pPr>
              <w:widowControl/>
              <w:spacing w:line="360" w:lineRule="auto"/>
              <w:jc w:val="center"/>
              <w:rPr>
                <w:kern w:val="2"/>
                <w:szCs w:val="21"/>
                <w:highlight w:val="none"/>
              </w:rPr>
            </w:pPr>
            <w:r>
              <w:rPr>
                <w:rFonts w:hint="eastAsia"/>
                <w:kern w:val="2"/>
                <w:szCs w:val="21"/>
                <w:highlight w:val="none"/>
              </w:rPr>
              <w:t>且,≥8000</w:t>
            </w:r>
          </w:p>
        </w:tc>
        <w:tc>
          <w:tcPr>
            <w:tcW w:w="1055" w:type="dxa"/>
            <w:tcBorders>
              <w:top w:val="nil"/>
              <w:left w:val="nil"/>
              <w:bottom w:val="single" w:color="auto" w:sz="4" w:space="0"/>
              <w:right w:val="single" w:color="auto" w:sz="4" w:space="0"/>
            </w:tcBorders>
            <w:shd w:val="clear" w:color="auto" w:fill="auto"/>
            <w:noWrap/>
            <w:vAlign w:val="center"/>
          </w:tcPr>
          <w:p w14:paraId="5A73326E">
            <w:pPr>
              <w:widowControl/>
              <w:spacing w:line="360" w:lineRule="auto"/>
              <w:jc w:val="center"/>
              <w:rPr>
                <w:kern w:val="2"/>
                <w:szCs w:val="21"/>
                <w:highlight w:val="none"/>
              </w:rPr>
            </w:pPr>
            <w:r>
              <w:rPr>
                <w:rFonts w:hint="eastAsia"/>
                <w:kern w:val="2"/>
                <w:szCs w:val="21"/>
                <w:highlight w:val="none"/>
              </w:rPr>
              <w:t>　</w:t>
            </w:r>
          </w:p>
        </w:tc>
        <w:tc>
          <w:tcPr>
            <w:tcW w:w="1053" w:type="dxa"/>
            <w:tcBorders>
              <w:top w:val="nil"/>
              <w:left w:val="nil"/>
              <w:bottom w:val="single" w:color="auto" w:sz="4" w:space="0"/>
              <w:right w:val="single" w:color="auto" w:sz="4" w:space="0"/>
            </w:tcBorders>
            <w:shd w:val="clear" w:color="auto" w:fill="auto"/>
            <w:noWrap/>
            <w:vAlign w:val="center"/>
          </w:tcPr>
          <w:p w14:paraId="7168A680">
            <w:pPr>
              <w:widowControl/>
              <w:spacing w:line="360" w:lineRule="auto"/>
              <w:jc w:val="center"/>
              <w:rPr>
                <w:kern w:val="2"/>
                <w:szCs w:val="21"/>
                <w:highlight w:val="none"/>
              </w:rPr>
            </w:pPr>
            <w:r>
              <w:rPr>
                <w:rFonts w:hint="eastAsia"/>
                <w:kern w:val="2"/>
                <w:szCs w:val="21"/>
                <w:highlight w:val="none"/>
              </w:rPr>
              <w:t>≥10</w:t>
            </w:r>
          </w:p>
        </w:tc>
        <w:tc>
          <w:tcPr>
            <w:tcW w:w="1023" w:type="dxa"/>
            <w:tcBorders>
              <w:top w:val="nil"/>
              <w:left w:val="nil"/>
              <w:bottom w:val="single" w:color="auto" w:sz="4" w:space="0"/>
              <w:right w:val="single" w:color="auto" w:sz="4" w:space="0"/>
            </w:tcBorders>
            <w:shd w:val="clear" w:color="auto" w:fill="auto"/>
            <w:noWrap/>
            <w:vAlign w:val="center"/>
          </w:tcPr>
          <w:p w14:paraId="452413D2">
            <w:pPr>
              <w:widowControl/>
              <w:spacing w:line="360" w:lineRule="auto"/>
              <w:jc w:val="center"/>
              <w:rPr>
                <w:kern w:val="2"/>
                <w:szCs w:val="21"/>
                <w:highlight w:val="none"/>
              </w:rPr>
            </w:pPr>
            <w:r>
              <w:rPr>
                <w:rFonts w:hint="eastAsia"/>
                <w:kern w:val="2"/>
                <w:szCs w:val="21"/>
                <w:highlight w:val="none"/>
              </w:rPr>
              <w:t>且,≥100</w:t>
            </w:r>
          </w:p>
        </w:tc>
        <w:tc>
          <w:tcPr>
            <w:tcW w:w="1043" w:type="dxa"/>
            <w:tcBorders>
              <w:top w:val="nil"/>
              <w:left w:val="nil"/>
              <w:bottom w:val="single" w:color="auto" w:sz="4" w:space="0"/>
              <w:right w:val="single" w:color="auto" w:sz="4" w:space="0"/>
            </w:tcBorders>
            <w:shd w:val="clear" w:color="auto" w:fill="auto"/>
            <w:noWrap/>
            <w:vAlign w:val="center"/>
          </w:tcPr>
          <w:p w14:paraId="2BB06CA3">
            <w:pPr>
              <w:widowControl/>
              <w:spacing w:line="360" w:lineRule="auto"/>
              <w:jc w:val="center"/>
              <w:rPr>
                <w:kern w:val="2"/>
                <w:szCs w:val="21"/>
                <w:highlight w:val="none"/>
              </w:rPr>
            </w:pPr>
            <w:r>
              <w:rPr>
                <w:rFonts w:hint="eastAsia"/>
                <w:kern w:val="2"/>
                <w:szCs w:val="21"/>
                <w:highlight w:val="none"/>
              </w:rPr>
              <w:t>　</w:t>
            </w:r>
          </w:p>
        </w:tc>
        <w:tc>
          <w:tcPr>
            <w:tcW w:w="992" w:type="dxa"/>
            <w:tcBorders>
              <w:top w:val="nil"/>
              <w:left w:val="nil"/>
              <w:bottom w:val="single" w:color="auto" w:sz="4" w:space="0"/>
              <w:right w:val="single" w:color="auto" w:sz="4" w:space="0"/>
            </w:tcBorders>
            <w:shd w:val="clear" w:color="auto" w:fill="auto"/>
            <w:noWrap/>
            <w:vAlign w:val="center"/>
          </w:tcPr>
          <w:p w14:paraId="4653C88C">
            <w:pPr>
              <w:widowControl/>
              <w:spacing w:line="360" w:lineRule="auto"/>
              <w:jc w:val="center"/>
              <w:rPr>
                <w:kern w:val="2"/>
                <w:szCs w:val="21"/>
                <w:highlight w:val="none"/>
              </w:rPr>
            </w:pPr>
            <w:r>
              <w:rPr>
                <w:rFonts w:hint="eastAsia"/>
                <w:kern w:val="2"/>
                <w:szCs w:val="21"/>
                <w:highlight w:val="none"/>
              </w:rPr>
              <w:t>＜10</w:t>
            </w:r>
          </w:p>
        </w:tc>
        <w:tc>
          <w:tcPr>
            <w:tcW w:w="861" w:type="dxa"/>
            <w:tcBorders>
              <w:top w:val="nil"/>
              <w:left w:val="nil"/>
              <w:bottom w:val="single" w:color="auto" w:sz="4" w:space="0"/>
              <w:right w:val="single" w:color="auto" w:sz="4" w:space="0"/>
            </w:tcBorders>
            <w:shd w:val="clear" w:color="auto" w:fill="auto"/>
            <w:noWrap/>
            <w:vAlign w:val="center"/>
          </w:tcPr>
          <w:p w14:paraId="56611E75">
            <w:pPr>
              <w:widowControl/>
              <w:spacing w:line="360" w:lineRule="auto"/>
              <w:jc w:val="center"/>
              <w:rPr>
                <w:kern w:val="2"/>
                <w:szCs w:val="21"/>
                <w:highlight w:val="none"/>
              </w:rPr>
            </w:pPr>
            <w:r>
              <w:rPr>
                <w:rFonts w:hint="eastAsia"/>
                <w:kern w:val="2"/>
                <w:szCs w:val="21"/>
                <w:highlight w:val="none"/>
              </w:rPr>
              <w:t>或,＜100</w:t>
            </w:r>
          </w:p>
        </w:tc>
      </w:tr>
      <w:tr w14:paraId="7672535E">
        <w:tblPrEx>
          <w:tblCellMar>
            <w:top w:w="0" w:type="dxa"/>
            <w:left w:w="108" w:type="dxa"/>
            <w:bottom w:w="0" w:type="dxa"/>
            <w:right w:w="108" w:type="dxa"/>
          </w:tblCellMar>
        </w:tblPrEx>
        <w:trPr>
          <w:trHeight w:val="369" w:hRule="atLeast"/>
          <w:jc w:val="center"/>
        </w:trPr>
        <w:tc>
          <w:tcPr>
            <w:tcW w:w="651" w:type="dxa"/>
            <w:tcBorders>
              <w:top w:val="nil"/>
              <w:left w:val="single" w:color="auto" w:sz="4" w:space="0"/>
              <w:bottom w:val="single" w:color="auto" w:sz="4" w:space="0"/>
              <w:right w:val="single" w:color="auto" w:sz="4" w:space="0"/>
            </w:tcBorders>
            <w:shd w:val="clear" w:color="auto" w:fill="auto"/>
            <w:noWrap/>
            <w:vAlign w:val="center"/>
          </w:tcPr>
          <w:p w14:paraId="47D90142">
            <w:pPr>
              <w:widowControl/>
              <w:spacing w:line="360" w:lineRule="auto"/>
              <w:ind w:left="-112" w:leftChars="-51" w:right="-112" w:rightChars="-51"/>
              <w:jc w:val="center"/>
              <w:rPr>
                <w:b/>
                <w:kern w:val="2"/>
                <w:szCs w:val="21"/>
                <w:highlight w:val="none"/>
              </w:rPr>
            </w:pPr>
            <w:r>
              <w:rPr>
                <w:rFonts w:hint="eastAsia"/>
                <w:b/>
                <w:kern w:val="2"/>
                <w:szCs w:val="21"/>
                <w:highlight w:val="none"/>
              </w:rPr>
              <w:t>16</w:t>
            </w:r>
          </w:p>
        </w:tc>
        <w:tc>
          <w:tcPr>
            <w:tcW w:w="1990" w:type="dxa"/>
            <w:tcBorders>
              <w:top w:val="nil"/>
              <w:left w:val="nil"/>
              <w:bottom w:val="single" w:color="auto" w:sz="4" w:space="0"/>
              <w:right w:val="single" w:color="auto" w:sz="4" w:space="0"/>
            </w:tcBorders>
            <w:shd w:val="clear" w:color="auto" w:fill="auto"/>
            <w:noWrap/>
            <w:vAlign w:val="center"/>
          </w:tcPr>
          <w:p w14:paraId="52F1F0A9">
            <w:pPr>
              <w:spacing w:line="360" w:lineRule="auto"/>
              <w:ind w:left="-29" w:leftChars="-13" w:right="-68" w:rightChars="-31"/>
              <w:rPr>
                <w:b/>
                <w:kern w:val="2"/>
                <w:szCs w:val="21"/>
                <w:highlight w:val="none"/>
              </w:rPr>
            </w:pPr>
            <w:r>
              <w:rPr>
                <w:rFonts w:hint="eastAsia"/>
                <w:b/>
                <w:kern w:val="2"/>
                <w:szCs w:val="21"/>
                <w:highlight w:val="none"/>
              </w:rPr>
              <w:t>其他未列明行业</w:t>
            </w:r>
          </w:p>
        </w:tc>
        <w:tc>
          <w:tcPr>
            <w:tcW w:w="1045" w:type="dxa"/>
            <w:tcBorders>
              <w:top w:val="nil"/>
              <w:left w:val="nil"/>
              <w:bottom w:val="single" w:color="auto" w:sz="4" w:space="0"/>
              <w:right w:val="single" w:color="auto" w:sz="4" w:space="0"/>
            </w:tcBorders>
            <w:shd w:val="clear" w:color="auto" w:fill="auto"/>
            <w:noWrap/>
            <w:vAlign w:val="center"/>
          </w:tcPr>
          <w:p w14:paraId="61AD5431">
            <w:pPr>
              <w:widowControl/>
              <w:spacing w:line="360" w:lineRule="auto"/>
              <w:ind w:left="-112" w:leftChars="-51" w:right="-112" w:rightChars="-51"/>
              <w:jc w:val="center"/>
              <w:rPr>
                <w:b/>
                <w:kern w:val="2"/>
                <w:szCs w:val="21"/>
                <w:highlight w:val="none"/>
              </w:rPr>
            </w:pPr>
            <w:r>
              <w:rPr>
                <w:rFonts w:hint="eastAsia"/>
                <w:b/>
                <w:kern w:val="2"/>
                <w:szCs w:val="21"/>
                <w:highlight w:val="none"/>
              </w:rPr>
              <w:t>　</w:t>
            </w:r>
          </w:p>
        </w:tc>
        <w:tc>
          <w:tcPr>
            <w:tcW w:w="1116" w:type="dxa"/>
            <w:tcBorders>
              <w:top w:val="nil"/>
              <w:left w:val="nil"/>
              <w:bottom w:val="single" w:color="auto" w:sz="4" w:space="0"/>
              <w:right w:val="single" w:color="auto" w:sz="4" w:space="0"/>
            </w:tcBorders>
            <w:shd w:val="clear" w:color="auto" w:fill="auto"/>
            <w:noWrap/>
            <w:vAlign w:val="center"/>
          </w:tcPr>
          <w:p w14:paraId="4B4D3A4B">
            <w:pPr>
              <w:widowControl/>
              <w:spacing w:line="360" w:lineRule="auto"/>
              <w:ind w:left="-112" w:leftChars="-51" w:right="-112" w:rightChars="-51"/>
              <w:jc w:val="center"/>
              <w:rPr>
                <w:b/>
                <w:kern w:val="2"/>
                <w:szCs w:val="21"/>
                <w:highlight w:val="none"/>
              </w:rPr>
            </w:pPr>
            <w:r>
              <w:rPr>
                <w:rFonts w:hint="eastAsia"/>
                <w:b/>
                <w:kern w:val="2"/>
                <w:szCs w:val="21"/>
                <w:highlight w:val="none"/>
              </w:rPr>
              <w:t>≥300</w:t>
            </w:r>
          </w:p>
        </w:tc>
        <w:tc>
          <w:tcPr>
            <w:tcW w:w="959" w:type="dxa"/>
            <w:tcBorders>
              <w:top w:val="nil"/>
              <w:left w:val="nil"/>
              <w:bottom w:val="single" w:color="auto" w:sz="4" w:space="0"/>
              <w:right w:val="single" w:color="auto" w:sz="4" w:space="0"/>
            </w:tcBorders>
            <w:shd w:val="clear" w:color="auto" w:fill="auto"/>
            <w:noWrap/>
            <w:vAlign w:val="center"/>
          </w:tcPr>
          <w:p w14:paraId="6D340CC4">
            <w:pPr>
              <w:widowControl/>
              <w:spacing w:line="360" w:lineRule="auto"/>
              <w:ind w:left="-112" w:leftChars="-51" w:right="-112" w:rightChars="-51"/>
              <w:jc w:val="center"/>
              <w:rPr>
                <w:b/>
                <w:kern w:val="2"/>
                <w:szCs w:val="21"/>
                <w:highlight w:val="none"/>
              </w:rPr>
            </w:pPr>
            <w:r>
              <w:rPr>
                <w:rFonts w:hint="eastAsia"/>
                <w:b/>
                <w:kern w:val="2"/>
                <w:szCs w:val="21"/>
                <w:highlight w:val="none"/>
              </w:rPr>
              <w:t>　</w:t>
            </w:r>
          </w:p>
        </w:tc>
        <w:tc>
          <w:tcPr>
            <w:tcW w:w="1044" w:type="dxa"/>
            <w:tcBorders>
              <w:top w:val="nil"/>
              <w:left w:val="nil"/>
              <w:bottom w:val="single" w:color="auto" w:sz="4" w:space="0"/>
              <w:right w:val="single" w:color="auto" w:sz="4" w:space="0"/>
            </w:tcBorders>
            <w:shd w:val="clear" w:color="auto" w:fill="auto"/>
            <w:noWrap/>
            <w:vAlign w:val="center"/>
          </w:tcPr>
          <w:p w14:paraId="252DC573">
            <w:pPr>
              <w:widowControl/>
              <w:spacing w:line="360" w:lineRule="auto"/>
              <w:ind w:left="-112" w:leftChars="-51" w:right="-112" w:rightChars="-51"/>
              <w:jc w:val="center"/>
              <w:rPr>
                <w:b/>
                <w:kern w:val="2"/>
                <w:szCs w:val="21"/>
                <w:highlight w:val="none"/>
              </w:rPr>
            </w:pPr>
            <w:r>
              <w:rPr>
                <w:rFonts w:hint="eastAsia"/>
                <w:b/>
                <w:kern w:val="2"/>
                <w:szCs w:val="21"/>
                <w:highlight w:val="none"/>
              </w:rPr>
              <w:t>　</w:t>
            </w:r>
          </w:p>
        </w:tc>
        <w:tc>
          <w:tcPr>
            <w:tcW w:w="1046" w:type="dxa"/>
            <w:tcBorders>
              <w:top w:val="nil"/>
              <w:left w:val="nil"/>
              <w:bottom w:val="single" w:color="auto" w:sz="4" w:space="0"/>
              <w:right w:val="single" w:color="auto" w:sz="4" w:space="0"/>
            </w:tcBorders>
            <w:shd w:val="clear" w:color="auto" w:fill="auto"/>
            <w:noWrap/>
            <w:vAlign w:val="center"/>
          </w:tcPr>
          <w:p w14:paraId="3C149C1A">
            <w:pPr>
              <w:widowControl/>
              <w:spacing w:line="360" w:lineRule="auto"/>
              <w:ind w:left="-112" w:leftChars="-51" w:right="-112" w:rightChars="-51"/>
              <w:jc w:val="center"/>
              <w:rPr>
                <w:b/>
                <w:kern w:val="2"/>
                <w:szCs w:val="21"/>
                <w:highlight w:val="none"/>
              </w:rPr>
            </w:pPr>
            <w:r>
              <w:rPr>
                <w:rFonts w:hint="eastAsia"/>
                <w:b/>
                <w:kern w:val="2"/>
                <w:szCs w:val="21"/>
                <w:highlight w:val="none"/>
              </w:rPr>
              <w:t>≥100</w:t>
            </w:r>
          </w:p>
        </w:tc>
        <w:tc>
          <w:tcPr>
            <w:tcW w:w="1017" w:type="dxa"/>
            <w:tcBorders>
              <w:top w:val="nil"/>
              <w:left w:val="nil"/>
              <w:bottom w:val="single" w:color="auto" w:sz="4" w:space="0"/>
              <w:right w:val="single" w:color="auto" w:sz="4" w:space="0"/>
            </w:tcBorders>
            <w:shd w:val="clear" w:color="auto" w:fill="auto"/>
            <w:noWrap/>
            <w:vAlign w:val="center"/>
          </w:tcPr>
          <w:p w14:paraId="22F4514A">
            <w:pPr>
              <w:widowControl/>
              <w:spacing w:line="360" w:lineRule="auto"/>
              <w:jc w:val="center"/>
              <w:rPr>
                <w:b/>
                <w:kern w:val="2"/>
                <w:szCs w:val="21"/>
                <w:highlight w:val="none"/>
              </w:rPr>
            </w:pPr>
            <w:r>
              <w:rPr>
                <w:rFonts w:hint="eastAsia"/>
                <w:b/>
                <w:kern w:val="2"/>
                <w:szCs w:val="21"/>
                <w:highlight w:val="none"/>
              </w:rPr>
              <w:t>　</w:t>
            </w:r>
          </w:p>
        </w:tc>
        <w:tc>
          <w:tcPr>
            <w:tcW w:w="1055" w:type="dxa"/>
            <w:tcBorders>
              <w:top w:val="nil"/>
              <w:left w:val="nil"/>
              <w:bottom w:val="single" w:color="auto" w:sz="4" w:space="0"/>
              <w:right w:val="single" w:color="auto" w:sz="4" w:space="0"/>
            </w:tcBorders>
            <w:shd w:val="clear" w:color="auto" w:fill="auto"/>
            <w:noWrap/>
            <w:vAlign w:val="center"/>
          </w:tcPr>
          <w:p w14:paraId="48C733C5">
            <w:pPr>
              <w:widowControl/>
              <w:spacing w:line="360" w:lineRule="auto"/>
              <w:jc w:val="center"/>
              <w:rPr>
                <w:b/>
                <w:kern w:val="2"/>
                <w:szCs w:val="21"/>
                <w:highlight w:val="none"/>
              </w:rPr>
            </w:pPr>
            <w:r>
              <w:rPr>
                <w:rFonts w:hint="eastAsia"/>
                <w:b/>
                <w:kern w:val="2"/>
                <w:szCs w:val="21"/>
                <w:highlight w:val="none"/>
              </w:rPr>
              <w:t>　</w:t>
            </w:r>
          </w:p>
        </w:tc>
        <w:tc>
          <w:tcPr>
            <w:tcW w:w="1053" w:type="dxa"/>
            <w:tcBorders>
              <w:top w:val="nil"/>
              <w:left w:val="nil"/>
              <w:bottom w:val="single" w:color="auto" w:sz="4" w:space="0"/>
              <w:right w:val="single" w:color="auto" w:sz="4" w:space="0"/>
            </w:tcBorders>
            <w:shd w:val="clear" w:color="auto" w:fill="auto"/>
            <w:noWrap/>
            <w:vAlign w:val="center"/>
          </w:tcPr>
          <w:p w14:paraId="3690DE61">
            <w:pPr>
              <w:widowControl/>
              <w:spacing w:line="360" w:lineRule="auto"/>
              <w:jc w:val="center"/>
              <w:rPr>
                <w:b/>
                <w:kern w:val="2"/>
                <w:szCs w:val="21"/>
                <w:highlight w:val="none"/>
              </w:rPr>
            </w:pPr>
            <w:r>
              <w:rPr>
                <w:rFonts w:hint="eastAsia"/>
                <w:b/>
                <w:kern w:val="2"/>
                <w:szCs w:val="21"/>
                <w:highlight w:val="none"/>
              </w:rPr>
              <w:t>≥10</w:t>
            </w:r>
          </w:p>
        </w:tc>
        <w:tc>
          <w:tcPr>
            <w:tcW w:w="1023" w:type="dxa"/>
            <w:tcBorders>
              <w:top w:val="nil"/>
              <w:left w:val="nil"/>
              <w:bottom w:val="single" w:color="auto" w:sz="4" w:space="0"/>
              <w:right w:val="single" w:color="auto" w:sz="4" w:space="0"/>
            </w:tcBorders>
            <w:shd w:val="clear" w:color="auto" w:fill="auto"/>
            <w:noWrap/>
            <w:vAlign w:val="center"/>
          </w:tcPr>
          <w:p w14:paraId="472C77E3">
            <w:pPr>
              <w:widowControl/>
              <w:spacing w:line="360" w:lineRule="auto"/>
              <w:jc w:val="center"/>
              <w:rPr>
                <w:b/>
                <w:kern w:val="2"/>
                <w:szCs w:val="21"/>
                <w:highlight w:val="none"/>
              </w:rPr>
            </w:pPr>
            <w:r>
              <w:rPr>
                <w:rFonts w:hint="eastAsia"/>
                <w:b/>
                <w:kern w:val="2"/>
                <w:szCs w:val="21"/>
                <w:highlight w:val="none"/>
              </w:rPr>
              <w:t>　</w:t>
            </w:r>
          </w:p>
        </w:tc>
        <w:tc>
          <w:tcPr>
            <w:tcW w:w="1043" w:type="dxa"/>
            <w:tcBorders>
              <w:top w:val="nil"/>
              <w:left w:val="nil"/>
              <w:bottom w:val="single" w:color="auto" w:sz="4" w:space="0"/>
              <w:right w:val="single" w:color="auto" w:sz="4" w:space="0"/>
            </w:tcBorders>
            <w:shd w:val="clear" w:color="auto" w:fill="auto"/>
            <w:noWrap/>
            <w:vAlign w:val="center"/>
          </w:tcPr>
          <w:p w14:paraId="794A75CF">
            <w:pPr>
              <w:widowControl/>
              <w:spacing w:line="360" w:lineRule="auto"/>
              <w:jc w:val="center"/>
              <w:rPr>
                <w:b/>
                <w:kern w:val="2"/>
                <w:szCs w:val="21"/>
                <w:highlight w:val="none"/>
              </w:rPr>
            </w:pPr>
            <w:r>
              <w:rPr>
                <w:rFonts w:hint="eastAsia"/>
                <w:b/>
                <w:kern w:val="2"/>
                <w:szCs w:val="21"/>
                <w:highlight w:val="none"/>
              </w:rPr>
              <w:t>　</w:t>
            </w:r>
          </w:p>
        </w:tc>
        <w:tc>
          <w:tcPr>
            <w:tcW w:w="992" w:type="dxa"/>
            <w:tcBorders>
              <w:top w:val="nil"/>
              <w:left w:val="nil"/>
              <w:bottom w:val="single" w:color="auto" w:sz="4" w:space="0"/>
              <w:right w:val="single" w:color="auto" w:sz="4" w:space="0"/>
            </w:tcBorders>
            <w:shd w:val="clear" w:color="auto" w:fill="auto"/>
            <w:noWrap/>
            <w:vAlign w:val="center"/>
          </w:tcPr>
          <w:p w14:paraId="63F2F2C6">
            <w:pPr>
              <w:widowControl/>
              <w:spacing w:line="360" w:lineRule="auto"/>
              <w:jc w:val="center"/>
              <w:rPr>
                <w:b/>
                <w:kern w:val="2"/>
                <w:szCs w:val="21"/>
                <w:highlight w:val="none"/>
              </w:rPr>
            </w:pPr>
            <w:r>
              <w:rPr>
                <w:rFonts w:hint="eastAsia"/>
                <w:b/>
                <w:kern w:val="2"/>
                <w:szCs w:val="21"/>
                <w:highlight w:val="none"/>
              </w:rPr>
              <w:t>＜10</w:t>
            </w:r>
          </w:p>
        </w:tc>
        <w:tc>
          <w:tcPr>
            <w:tcW w:w="861" w:type="dxa"/>
            <w:tcBorders>
              <w:top w:val="nil"/>
              <w:left w:val="nil"/>
              <w:bottom w:val="single" w:color="auto" w:sz="4" w:space="0"/>
              <w:right w:val="single" w:color="auto" w:sz="4" w:space="0"/>
            </w:tcBorders>
            <w:shd w:val="clear" w:color="auto" w:fill="auto"/>
            <w:noWrap/>
            <w:vAlign w:val="center"/>
          </w:tcPr>
          <w:p w14:paraId="56B6E46A">
            <w:pPr>
              <w:widowControl/>
              <w:spacing w:line="360" w:lineRule="auto"/>
              <w:jc w:val="center"/>
              <w:rPr>
                <w:b/>
                <w:kern w:val="2"/>
                <w:szCs w:val="21"/>
                <w:highlight w:val="none"/>
              </w:rPr>
            </w:pPr>
            <w:r>
              <w:rPr>
                <w:rFonts w:hint="eastAsia"/>
                <w:b/>
                <w:kern w:val="2"/>
                <w:szCs w:val="21"/>
                <w:highlight w:val="none"/>
              </w:rPr>
              <w:t>　</w:t>
            </w:r>
          </w:p>
        </w:tc>
      </w:tr>
    </w:tbl>
    <w:p w14:paraId="76C9D903">
      <w:pPr>
        <w:spacing w:line="360" w:lineRule="auto"/>
        <w:rPr>
          <w:highlight w:val="none"/>
        </w:rPr>
      </w:pPr>
    </w:p>
    <w:sectPr>
      <w:footerReference r:id="rId11" w:type="default"/>
      <w:pgSz w:w="16840" w:h="11910" w:orient="landscape"/>
      <w:pgMar w:top="799" w:right="1423" w:bottom="799" w:left="1423" w:header="493" w:footer="726"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SimSun-ExtB"/>
    <w:panose1 w:val="00000000000000000000"/>
    <w:charset w:val="86"/>
    <w:family w:val="script"/>
    <w:pitch w:val="default"/>
    <w:sig w:usb0="00000000" w:usb1="00000000" w:usb2="00000000" w:usb3="00000000" w:csb0="00040000" w:csb1="00000000"/>
  </w:font>
  <w:font w:name="SimSun-ExtB">
    <w:panose1 w:val="02010609060101010101"/>
    <w:charset w:val="86"/>
    <w:family w:val="auto"/>
    <w:pitch w:val="default"/>
    <w:sig w:usb0="00000001" w:usb1="02000000" w:usb2="00000000"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98C60">
    <w:pPr>
      <w:snapToGrid w:val="0"/>
    </w:pPr>
    <w:r>
      <w:rPr>
        <w:sz w:val="18"/>
        <w:lang w:val="en-US" w:bidi="ar-SA"/>
      </w:rPr>
      <w:pict>
        <v:rect id="文本框 6" o:spid="_x0000_s1026" o:spt="1" style="position:absolute;left:0pt;margin-left:210.95pt;margin-top:6.55pt;height:12.55pt;width:9pt;mso-position-horizontal-relative:margin;z-index:251659264;mso-width-relative:page;mso-height-relative:page;" filled="f" stroked="f" coordsize="21600,21600" o:gfxdata="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uqtIJ9kAAAAJAQAADwAAAAAAAAABACAAAAAi&#10;AAAAZHJzL2Rvd25yZXYueG1sUEsBAhQAFAAAAAgAh07iQDKM7RwJAgAABAQAAA4AAAAAAAAAAQAg&#10;AAAAKAEAAGRycy9lMm9Eb2MueG1sUEsFBgAAAAAGAAYAWQEAAKMFAAAAAA==&#10;">
          <v:path/>
          <v:fill on="f" focussize="0,0"/>
          <v:stroke on="f" joinstyle="round"/>
          <v:imagedata o:title=""/>
          <o:lock v:ext="edit"/>
          <v:textbox inset="0mm,0mm,0mm,0mm">
            <w:txbxContent>
              <w:p w14:paraId="044D7E9F">
                <w:pPr>
                  <w:snapToGrid w:val="0"/>
                  <w:rPr>
                    <w:sz w:val="18"/>
                  </w:rPr>
                </w:pPr>
              </w:p>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A58D3">
    <w:pPr>
      <w:pStyle w:val="9"/>
    </w:pPr>
    <w:r>
      <w:rPr>
        <w:lang w:val="en-US" w:bidi="ar-SA"/>
      </w:rPr>
      <w:pict>
        <v:rect id="文本框 1026" o:spid="_x0000_s1032" o:spt="1" style="position:absolute;left:0pt;margin-left:255.15pt;margin-top:0.25pt;height:15pt;width:57.6pt;mso-position-horizontal-relative:margin;z-index:251660288;mso-width-relative:page;mso-height-relative:page;" filled="f" stroked="f" coordsize="21600,21600" o:gfxdata="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qJHO+1wAAAAcBAAAPAAAAAAAAAAEAIAAA&#10;ACIAAABkcnMvZG93bnJldi54bWxQSwECFAAUAAAACACHTuJAmINjmA0CAAAHBAAADgAAAAAAAAAB&#10;ACAAAAAmAQAAZHJzL2Uyb0RvYy54bWxQSwUGAAAAAAYABgBZAQAApQUAAAAA&#10;">
          <v:path/>
          <v:fill on="f" focussize="0,0"/>
          <v:stroke on="f" joinstyle="round"/>
          <v:imagedata o:title=""/>
          <o:lock v:ext="edit"/>
          <v:textbox inset="0mm,0mm,0mm,0mm">
            <w:txbxContent>
              <w:p w14:paraId="48E8D79B">
                <w:pPr>
                  <w:pStyle w:val="14"/>
                </w:pPr>
                <w:r>
                  <w:fldChar w:fldCharType="begin"/>
                </w:r>
                <w:r>
                  <w:instrText xml:space="preserve"> PAGE  \* MERGEFORMAT </w:instrText>
                </w:r>
                <w:r>
                  <w:fldChar w:fldCharType="separate"/>
                </w:r>
                <w:r>
                  <w:t>33</w:t>
                </w:r>
                <w:r>
                  <w:fldChar w:fldCharType="end"/>
                </w:r>
              </w:p>
            </w:txbxContent>
          </v:textbox>
        </v:rect>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6886D">
    <w:pPr>
      <w:pStyle w:val="9"/>
    </w:pPr>
    <w:r>
      <w:rPr>
        <w:lang w:val="en-US" w:bidi="ar-SA"/>
      </w:rPr>
      <w:pict>
        <v:rect id="文本框 1027" o:spid="_x0000_s1031" o:spt="1" style="position:absolute;left:0pt;margin-top:0pt;height:11.65pt;width:9pt;mso-position-horizontal:center;mso-position-horizontal-relative:margin;mso-wrap-style:none;z-index:251661312;mso-width-relative:page;mso-height-relative:page;" filled="f" stroked="f" coordsize="21600,21600" o:gfxdata="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XeSf6tAAAAADAQAADwAAAAAAAAABACAAAAAiAAAAZHJz&#10;L2Rvd25yZXYueG1sUEsBAhQAFAAAAAgAh07iQLlqskAMAgAABQQAAA4AAAAAAAAAAQAgAAAAHwEA&#10;AGRycy9lMm9Eb2MueG1sUEsFBgAAAAAGAAYAWQEAAJ0FAAAAAA==&#10;">
          <v:path/>
          <v:fill on="f" focussize="0,0"/>
          <v:stroke on="f" joinstyle="round"/>
          <v:imagedata o:title=""/>
          <o:lock v:ext="edit"/>
          <v:textbox inset="0mm,0mm,0mm,0mm" style="mso-fit-shape-to-text:t;">
            <w:txbxContent>
              <w:p w14:paraId="18A553CC">
                <w:pPr>
                  <w:pStyle w:val="14"/>
                </w:pPr>
                <w:r>
                  <w:fldChar w:fldCharType="begin"/>
                </w:r>
                <w:r>
                  <w:instrText xml:space="preserve"> PAGE  \* MERGEFORMAT </w:instrText>
                </w:r>
                <w:r>
                  <w:fldChar w:fldCharType="separate"/>
                </w:r>
                <w:r>
                  <w:t>75</w:t>
                </w:r>
                <w:r>
                  <w:fldChar w:fldCharType="end"/>
                </w:r>
              </w:p>
            </w:txbxContent>
          </v:textbox>
        </v:rect>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5F314">
    <w:pPr>
      <w:pStyle w:val="9"/>
    </w:pPr>
    <w:r>
      <w:rPr>
        <w:lang w:val="en-US" w:bidi="ar-SA"/>
      </w:rPr>
      <w:pict>
        <v:rect id="文本框 1028" o:spid="_x0000_s1030" o:spt="1" style="position:absolute;left:0pt;margin-top:0pt;height:11.65pt;width:9pt;mso-position-horizontal:center;mso-position-horizontal-relative:margin;mso-wrap-style:none;z-index:251662336;mso-width-relative:page;mso-height-relative:page;" filled="f" stroked="f" coordsize="21600,21600" o:gfxdata="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XeSf6tAAAAADAQAADwAAAAAAAAABACAAAAAiAAAAZHJz&#10;L2Rvd25yZXYueG1sUEsBAhQAFAAAAAgAh07iQHCvs3EMAgAABgQAAA4AAAAAAAAAAQAgAAAAHwEA&#10;AGRycy9lMm9Eb2MueG1sUEsFBgAAAAAGAAYAWQEAAJ0FAAAAAA==&#10;">
          <v:path/>
          <v:fill on="f" focussize="0,0"/>
          <v:stroke on="f" joinstyle="round"/>
          <v:imagedata o:title=""/>
          <o:lock v:ext="edit"/>
          <v:textbox inset="0mm,0mm,0mm,0mm" style="mso-fit-shape-to-text:t;">
            <w:txbxContent>
              <w:p w14:paraId="05C99A4D">
                <w:pPr>
                  <w:pStyle w:val="14"/>
                </w:pPr>
                <w:r>
                  <w:fldChar w:fldCharType="begin"/>
                </w:r>
                <w:r>
                  <w:instrText xml:space="preserve"> PAGE  \* MERGEFORMAT </w:instrText>
                </w:r>
                <w:r>
                  <w:fldChar w:fldCharType="separate"/>
                </w:r>
                <w:r>
                  <w:t>84</w:t>
                </w:r>
                <w:r>
                  <w:fldChar w:fldCharType="end"/>
                </w:r>
              </w:p>
            </w:txbxContent>
          </v:textbox>
        </v:rect>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0B4D8">
    <w:pPr>
      <w:pStyle w:val="9"/>
    </w:pPr>
    <w:r>
      <w:rPr>
        <w:lang w:val="en-US" w:bidi="ar-SA"/>
      </w:rPr>
      <w:pict>
        <v:rect id="文本框 1030" o:spid="_x0000_s1029" o:spt="1" style="position:absolute;left:0pt;margin-top:0pt;height:11.65pt;width:9pt;mso-position-horizontal:center;mso-position-horizontal-relative:margin;mso-wrap-style:none;z-index:251662336;mso-width-relative:page;mso-height-relative:page;" filled="f" stroked="f" coordsize="21600,21600" o:gfxdata="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F3kn+rQAAAAAwEAAA8AAAAAAAAAAQAgAAAAIgAAAGRycy9k&#10;b3ducmV2LnhtbFBLAQIUABQAAAAIAIdO4kDFwDQrCgIAAAYEAAAOAAAAAAAAAAEAIAAAAB8BAABk&#10;cnMvZTJvRG9jLnhtbFBLBQYAAAAABgAGAFkBAACbBQAAAAA=&#10;">
          <v:path/>
          <v:fill on="f" focussize="0,0"/>
          <v:stroke on="f" joinstyle="round"/>
          <v:imagedata o:title=""/>
          <o:lock v:ext="edit"/>
          <v:textbox inset="0mm,0mm,0mm,0mm" style="mso-fit-shape-to-text:t;">
            <w:txbxContent>
              <w:p w14:paraId="447309BF">
                <w:pPr>
                  <w:pStyle w:val="14"/>
                </w:pPr>
                <w:r>
                  <w:fldChar w:fldCharType="begin"/>
                </w:r>
                <w:r>
                  <w:instrText xml:space="preserve"> PAGE  \* MERGEFORMAT </w:instrText>
                </w:r>
                <w:r>
                  <w:fldChar w:fldCharType="separate"/>
                </w:r>
                <w:r>
                  <w:t>89</w:t>
                </w:r>
                <w:r>
                  <w:fldChar w:fldCharType="end"/>
                </w:r>
              </w:p>
            </w:txbxContent>
          </v:textbox>
        </v:rect>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30A03">
    <w:pPr>
      <w:pStyle w:val="9"/>
    </w:pPr>
    <w:r>
      <w:rPr>
        <w:lang w:val="en-US" w:bidi="ar-SA"/>
      </w:rPr>
      <w:pict>
        <v:rect id="文本框 1031" o:spid="_x0000_s1028" o:spt="1" style="position:absolute;left:0pt;margin-top:0pt;height:11.65pt;width:9pt;mso-position-horizontal:center;mso-position-horizontal-relative:margin;mso-wrap-style:none;z-index:251663360;mso-width-relative:page;mso-height-relative:page;" filled="f" stroked="f" coordsize="21600,21600" o:gfxdata="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XeSf6tAAAAADAQAADwAAAAAAAAABACAAAAAiAAAAZHJz&#10;L2Rvd25yZXYueG1sUEsBAhQAFAAAAAgAh07iQNzrhRYMAgAABgQAAA4AAAAAAAAAAQAgAAAAHwEA&#10;AGRycy9lMm9Eb2MueG1sUEsFBgAAAAAGAAYAWQEAAJ0FAAAAAA==&#10;">
          <v:path/>
          <v:fill on="f" focussize="0,0"/>
          <v:stroke on="f" joinstyle="round"/>
          <v:imagedata o:title=""/>
          <o:lock v:ext="edit"/>
          <v:textbox inset="0mm,0mm,0mm,0mm" style="mso-fit-shape-to-text:t;">
            <w:txbxContent>
              <w:p w14:paraId="3FE6B79B">
                <w:pPr>
                  <w:pStyle w:val="14"/>
                </w:pPr>
                <w:r>
                  <w:fldChar w:fldCharType="begin"/>
                </w:r>
                <w:r>
                  <w:instrText xml:space="preserve"> PAGE  \* MERGEFORMAT </w:instrText>
                </w:r>
                <w:r>
                  <w:fldChar w:fldCharType="separate"/>
                </w:r>
                <w:r>
                  <w:t>94</w:t>
                </w:r>
                <w:r>
                  <w:fldChar w:fldCharType="end"/>
                </w:r>
              </w:p>
            </w:txbxContent>
          </v:textbox>
        </v:rect>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9C4B3">
    <w:pPr>
      <w:pStyle w:val="9"/>
    </w:pPr>
    <w:r>
      <w:rPr>
        <w:lang w:val="en-US" w:bidi="ar-SA"/>
      </w:rPr>
      <w:pict>
        <v:rect id="文本框 1032" o:spid="_x0000_s1027" o:spt="1" style="position:absolute;left:0pt;margin-top:0pt;height:11.65pt;width:9pt;mso-position-horizontal:center;mso-position-horizontal-relative:margin;mso-wrap-style:none;z-index:251664384;mso-width-relative:page;mso-height-relative:page;" filled="f" stroked="f" coordsize="21600,21600" o:gfxdata="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XeSf6tAAAAADAQAADwAAAAAAAAABACAAAAAiAAAAZHJz&#10;L2Rvd25yZXYueG1sUEsBAhQAFAAAAAgAh07iQPeWVlAMAgAABgQAAA4AAAAAAAAAAQAgAAAAHwEA&#10;AGRycy9lMm9Eb2MueG1sUEsFBgAAAAAGAAYAWQEAAJ0FAAAAAA==&#10;">
          <v:path/>
          <v:fill on="f" focussize="0,0"/>
          <v:stroke on="f" joinstyle="round"/>
          <v:imagedata o:title=""/>
          <o:lock v:ext="edit"/>
          <v:textbox inset="0mm,0mm,0mm,0mm" style="mso-fit-shape-to-text:t;">
            <w:txbxContent>
              <w:p w14:paraId="397ED0E8">
                <w:pPr>
                  <w:pStyle w:val="14"/>
                </w:pPr>
                <w:r>
                  <w:fldChar w:fldCharType="begin"/>
                </w:r>
                <w:r>
                  <w:instrText xml:space="preserve"> PAGE  \* MERGEFORMAT </w:instrText>
                </w:r>
                <w:r>
                  <w:fldChar w:fldCharType="separate"/>
                </w:r>
                <w:r>
                  <w:t>96</w:t>
                </w:r>
                <w:r>
                  <w:fldChar w:fldCharType="end"/>
                </w:r>
              </w:p>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AA87C">
    <w:pPr>
      <w:tabs>
        <w:tab w:val="left" w:pos="238"/>
      </w:tabs>
      <w:rPr>
        <w:sz w:val="18"/>
      </w:rPr>
    </w:pPr>
  </w:p>
  <w:p w14:paraId="7117D040">
    <w:pPr>
      <w:tabs>
        <w:tab w:val="left" w:pos="238"/>
      </w:tabs>
      <w:jc w:val="center"/>
      <w:rPr>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63E76">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D4DC06"/>
    <w:multiLevelType w:val="singleLevel"/>
    <w:tmpl w:val="8BD4DC06"/>
    <w:lvl w:ilvl="0" w:tentative="0">
      <w:start w:val="1"/>
      <w:numFmt w:val="decimal"/>
      <w:lvlText w:val="(%1)"/>
      <w:lvlJc w:val="left"/>
      <w:pPr>
        <w:tabs>
          <w:tab w:val="left" w:pos="0"/>
        </w:tabs>
        <w:ind w:left="0" w:firstLine="0"/>
      </w:pPr>
      <w:rPr>
        <w:b/>
        <w:bCs/>
      </w:rPr>
    </w:lvl>
  </w:abstractNum>
  <w:abstractNum w:abstractNumId="1">
    <w:nsid w:val="B0ED9BEA"/>
    <w:multiLevelType w:val="multilevel"/>
    <w:tmpl w:val="B0ED9BEA"/>
    <w:lvl w:ilvl="0" w:tentative="0">
      <w:start w:val="3"/>
      <w:numFmt w:val="decimal"/>
      <w:lvlText w:val="%1"/>
      <w:lvlJc w:val="left"/>
      <w:pPr>
        <w:tabs>
          <w:tab w:val="left" w:pos="0"/>
        </w:tabs>
        <w:ind w:left="1278" w:hanging="420"/>
      </w:pPr>
      <w:rPr>
        <w:rFonts w:hint="default"/>
      </w:rPr>
    </w:lvl>
    <w:lvl w:ilvl="1" w:tentative="0">
      <w:start w:val="1"/>
      <w:numFmt w:val="decimal"/>
      <w:lvlText w:val="%1.%2"/>
      <w:lvlJc w:val="left"/>
      <w:pPr>
        <w:tabs>
          <w:tab w:val="left" w:pos="0"/>
        </w:tabs>
        <w:ind w:left="1278" w:hanging="420"/>
      </w:pPr>
      <w:rPr>
        <w:rFonts w:hint="default" w:ascii="宋体" w:hAnsi="宋体" w:eastAsia="宋体" w:cs="宋体"/>
        <w:w w:val="100"/>
        <w:sz w:val="24"/>
        <w:szCs w:val="24"/>
      </w:rPr>
    </w:lvl>
    <w:lvl w:ilvl="2" w:tentative="0">
      <w:start w:val="0"/>
      <w:numFmt w:val="bullet"/>
      <w:lvlText w:val="•"/>
      <w:lvlJc w:val="left"/>
      <w:pPr>
        <w:tabs>
          <w:tab w:val="left" w:pos="0"/>
        </w:tabs>
        <w:ind w:left="3085" w:hanging="420"/>
      </w:pPr>
      <w:rPr>
        <w:rFonts w:hint="default"/>
      </w:rPr>
    </w:lvl>
    <w:lvl w:ilvl="3" w:tentative="0">
      <w:start w:val="0"/>
      <w:numFmt w:val="bullet"/>
      <w:lvlText w:val="•"/>
      <w:lvlJc w:val="left"/>
      <w:pPr>
        <w:tabs>
          <w:tab w:val="left" w:pos="0"/>
        </w:tabs>
        <w:ind w:left="3987" w:hanging="420"/>
      </w:pPr>
      <w:rPr>
        <w:rFonts w:hint="default"/>
      </w:rPr>
    </w:lvl>
    <w:lvl w:ilvl="4" w:tentative="0">
      <w:start w:val="0"/>
      <w:numFmt w:val="bullet"/>
      <w:lvlText w:val="•"/>
      <w:lvlJc w:val="left"/>
      <w:pPr>
        <w:tabs>
          <w:tab w:val="left" w:pos="0"/>
        </w:tabs>
        <w:ind w:left="4890" w:hanging="420"/>
      </w:pPr>
      <w:rPr>
        <w:rFonts w:hint="default"/>
      </w:rPr>
    </w:lvl>
    <w:lvl w:ilvl="5" w:tentative="0">
      <w:start w:val="0"/>
      <w:numFmt w:val="bullet"/>
      <w:lvlText w:val="•"/>
      <w:lvlJc w:val="left"/>
      <w:pPr>
        <w:tabs>
          <w:tab w:val="left" w:pos="0"/>
        </w:tabs>
        <w:ind w:left="5793" w:hanging="420"/>
      </w:pPr>
      <w:rPr>
        <w:rFonts w:hint="default"/>
      </w:rPr>
    </w:lvl>
    <w:lvl w:ilvl="6" w:tentative="0">
      <w:start w:val="0"/>
      <w:numFmt w:val="bullet"/>
      <w:lvlText w:val="•"/>
      <w:lvlJc w:val="left"/>
      <w:pPr>
        <w:tabs>
          <w:tab w:val="left" w:pos="0"/>
        </w:tabs>
        <w:ind w:left="6695" w:hanging="420"/>
      </w:pPr>
      <w:rPr>
        <w:rFonts w:hint="default"/>
      </w:rPr>
    </w:lvl>
    <w:lvl w:ilvl="7" w:tentative="0">
      <w:start w:val="0"/>
      <w:numFmt w:val="bullet"/>
      <w:lvlText w:val="•"/>
      <w:lvlJc w:val="left"/>
      <w:pPr>
        <w:tabs>
          <w:tab w:val="left" w:pos="0"/>
        </w:tabs>
        <w:ind w:left="7598" w:hanging="420"/>
      </w:pPr>
      <w:rPr>
        <w:rFonts w:hint="default"/>
      </w:rPr>
    </w:lvl>
    <w:lvl w:ilvl="8" w:tentative="0">
      <w:start w:val="0"/>
      <w:numFmt w:val="bullet"/>
      <w:lvlText w:val="•"/>
      <w:lvlJc w:val="left"/>
      <w:pPr>
        <w:tabs>
          <w:tab w:val="left" w:pos="0"/>
        </w:tabs>
        <w:ind w:left="8500" w:hanging="420"/>
      </w:pPr>
      <w:rPr>
        <w:rFonts w:hint="default"/>
      </w:rPr>
    </w:lvl>
  </w:abstractNum>
  <w:abstractNum w:abstractNumId="2">
    <w:nsid w:val="C7C76EBF"/>
    <w:multiLevelType w:val="singleLevel"/>
    <w:tmpl w:val="C7C76EBF"/>
    <w:lvl w:ilvl="0" w:tentative="0">
      <w:start w:val="1"/>
      <w:numFmt w:val="decimal"/>
      <w:lvlText w:val="(%1)"/>
      <w:lvlJc w:val="left"/>
      <w:pPr>
        <w:tabs>
          <w:tab w:val="left" w:pos="0"/>
        </w:tabs>
        <w:ind w:left="0" w:firstLine="0"/>
      </w:pPr>
    </w:lvl>
  </w:abstractNum>
  <w:abstractNum w:abstractNumId="3">
    <w:nsid w:val="D818D6C2"/>
    <w:multiLevelType w:val="singleLevel"/>
    <w:tmpl w:val="D818D6C2"/>
    <w:lvl w:ilvl="0" w:tentative="0">
      <w:start w:val="1"/>
      <w:numFmt w:val="chineseCounting"/>
      <w:suff w:val="nothing"/>
      <w:lvlText w:val="%1、"/>
      <w:lvlJc w:val="left"/>
      <w:pPr>
        <w:tabs>
          <w:tab w:val="left" w:pos="0"/>
        </w:tabs>
        <w:ind w:left="0" w:firstLine="0"/>
      </w:pPr>
      <w:rPr>
        <w:rFonts w:hint="eastAsia"/>
      </w:rPr>
    </w:lvl>
  </w:abstractNum>
  <w:abstractNum w:abstractNumId="4">
    <w:nsid w:val="DB90829D"/>
    <w:multiLevelType w:val="singleLevel"/>
    <w:tmpl w:val="DB90829D"/>
    <w:lvl w:ilvl="0" w:tentative="0">
      <w:start w:val="1"/>
      <w:numFmt w:val="decimal"/>
      <w:lvlText w:val="(%1)"/>
      <w:lvlJc w:val="left"/>
      <w:pPr>
        <w:tabs>
          <w:tab w:val="left" w:pos="0"/>
        </w:tabs>
        <w:ind w:left="0" w:firstLine="0"/>
      </w:pPr>
    </w:lvl>
  </w:abstractNum>
  <w:abstractNum w:abstractNumId="5">
    <w:nsid w:val="04056154"/>
    <w:multiLevelType w:val="singleLevel"/>
    <w:tmpl w:val="04056154"/>
    <w:lvl w:ilvl="0" w:tentative="0">
      <w:start w:val="1"/>
      <w:numFmt w:val="decimal"/>
      <w:lvlText w:val="(%1)"/>
      <w:lvlJc w:val="left"/>
      <w:pPr>
        <w:tabs>
          <w:tab w:val="left" w:pos="0"/>
        </w:tabs>
        <w:ind w:left="0" w:firstLine="0"/>
      </w:pPr>
    </w:lvl>
  </w:abstractNum>
  <w:abstractNum w:abstractNumId="6">
    <w:nsid w:val="06B20B8B"/>
    <w:multiLevelType w:val="singleLevel"/>
    <w:tmpl w:val="06B20B8B"/>
    <w:lvl w:ilvl="0" w:tentative="0">
      <w:start w:val="1"/>
      <w:numFmt w:val="decimal"/>
      <w:lvlText w:val="(%1)"/>
      <w:lvlJc w:val="left"/>
      <w:pPr>
        <w:tabs>
          <w:tab w:val="left" w:pos="0"/>
        </w:tabs>
        <w:ind w:left="0" w:firstLine="0"/>
      </w:pPr>
    </w:lvl>
  </w:abstractNum>
  <w:abstractNum w:abstractNumId="7">
    <w:nsid w:val="1ADF0AEC"/>
    <w:multiLevelType w:val="singleLevel"/>
    <w:tmpl w:val="1ADF0AEC"/>
    <w:lvl w:ilvl="0" w:tentative="0">
      <w:start w:val="1"/>
      <w:numFmt w:val="decimal"/>
      <w:lvlText w:val="(%1)"/>
      <w:lvlJc w:val="left"/>
      <w:pPr>
        <w:tabs>
          <w:tab w:val="left" w:pos="0"/>
        </w:tabs>
        <w:ind w:left="0" w:firstLine="0"/>
      </w:pPr>
    </w:lvl>
  </w:abstractNum>
  <w:abstractNum w:abstractNumId="8">
    <w:nsid w:val="251FC30F"/>
    <w:multiLevelType w:val="singleLevel"/>
    <w:tmpl w:val="251FC30F"/>
    <w:lvl w:ilvl="0" w:tentative="0">
      <w:start w:val="1"/>
      <w:numFmt w:val="decimal"/>
      <w:suff w:val="nothing"/>
      <w:lvlText w:val="%1、"/>
      <w:lvlJc w:val="left"/>
    </w:lvl>
  </w:abstractNum>
  <w:abstractNum w:abstractNumId="9">
    <w:nsid w:val="2771416A"/>
    <w:multiLevelType w:val="singleLevel"/>
    <w:tmpl w:val="2771416A"/>
    <w:lvl w:ilvl="0" w:tentative="0">
      <w:start w:val="3"/>
      <w:numFmt w:val="chineseCounting"/>
      <w:suff w:val="nothing"/>
      <w:lvlText w:val="%1、"/>
      <w:lvlJc w:val="left"/>
      <w:rPr>
        <w:rFonts w:hint="eastAsia"/>
      </w:rPr>
    </w:lvl>
  </w:abstractNum>
  <w:abstractNum w:abstractNumId="10">
    <w:nsid w:val="2BC50A39"/>
    <w:multiLevelType w:val="singleLevel"/>
    <w:tmpl w:val="2BC50A39"/>
    <w:lvl w:ilvl="0" w:tentative="0">
      <w:start w:val="1"/>
      <w:numFmt w:val="decimal"/>
      <w:suff w:val="nothing"/>
      <w:lvlText w:val="（%1）"/>
      <w:lvlJc w:val="left"/>
      <w:pPr>
        <w:tabs>
          <w:tab w:val="left" w:pos="0"/>
        </w:tabs>
        <w:ind w:left="0" w:firstLine="0"/>
      </w:pPr>
    </w:lvl>
  </w:abstractNum>
  <w:abstractNum w:abstractNumId="11">
    <w:nsid w:val="31BB16F9"/>
    <w:multiLevelType w:val="singleLevel"/>
    <w:tmpl w:val="31BB16F9"/>
    <w:lvl w:ilvl="0" w:tentative="0">
      <w:start w:val="1"/>
      <w:numFmt w:val="decimal"/>
      <w:lvlText w:val="(%1)"/>
      <w:lvlJc w:val="left"/>
      <w:pPr>
        <w:tabs>
          <w:tab w:val="left" w:pos="0"/>
        </w:tabs>
        <w:ind w:left="0" w:firstLine="0"/>
      </w:pPr>
    </w:lvl>
  </w:abstractNum>
  <w:abstractNum w:abstractNumId="12">
    <w:nsid w:val="36384B18"/>
    <w:multiLevelType w:val="singleLevel"/>
    <w:tmpl w:val="36384B18"/>
    <w:lvl w:ilvl="0" w:tentative="0">
      <w:start w:val="1"/>
      <w:numFmt w:val="decimal"/>
      <w:lvlText w:val="(%1)"/>
      <w:lvlJc w:val="left"/>
      <w:pPr>
        <w:tabs>
          <w:tab w:val="left" w:pos="0"/>
        </w:tabs>
        <w:ind w:left="0" w:firstLine="0"/>
      </w:pPr>
    </w:lvl>
  </w:abstractNum>
  <w:abstractNum w:abstractNumId="13">
    <w:nsid w:val="417F77CB"/>
    <w:multiLevelType w:val="singleLevel"/>
    <w:tmpl w:val="417F77CB"/>
    <w:lvl w:ilvl="0" w:tentative="0">
      <w:start w:val="1"/>
      <w:numFmt w:val="decimal"/>
      <w:lvlText w:val="(%1)"/>
      <w:lvlJc w:val="left"/>
      <w:pPr>
        <w:tabs>
          <w:tab w:val="left" w:pos="0"/>
        </w:tabs>
        <w:ind w:left="0" w:firstLine="0"/>
      </w:pPr>
    </w:lvl>
  </w:abstractNum>
  <w:abstractNum w:abstractNumId="14">
    <w:nsid w:val="440D7B80"/>
    <w:multiLevelType w:val="singleLevel"/>
    <w:tmpl w:val="440D7B80"/>
    <w:lvl w:ilvl="0" w:tentative="0">
      <w:start w:val="1"/>
      <w:numFmt w:val="decimal"/>
      <w:lvlText w:val="(%1)"/>
      <w:lvlJc w:val="left"/>
      <w:pPr>
        <w:tabs>
          <w:tab w:val="left" w:pos="0"/>
        </w:tabs>
        <w:ind w:left="0" w:firstLine="0"/>
      </w:pPr>
    </w:lvl>
  </w:abstractNum>
  <w:abstractNum w:abstractNumId="15">
    <w:nsid w:val="49C139E1"/>
    <w:multiLevelType w:val="singleLevel"/>
    <w:tmpl w:val="49C139E1"/>
    <w:lvl w:ilvl="0" w:tentative="0">
      <w:start w:val="1"/>
      <w:numFmt w:val="decimal"/>
      <w:lvlText w:val="(%1)"/>
      <w:lvlJc w:val="left"/>
      <w:pPr>
        <w:tabs>
          <w:tab w:val="left" w:pos="0"/>
        </w:tabs>
        <w:ind w:left="0" w:firstLine="0"/>
      </w:pPr>
    </w:lvl>
  </w:abstractNum>
  <w:abstractNum w:abstractNumId="16">
    <w:nsid w:val="4E317A65"/>
    <w:multiLevelType w:val="singleLevel"/>
    <w:tmpl w:val="4E317A65"/>
    <w:lvl w:ilvl="0" w:tentative="0">
      <w:start w:val="1"/>
      <w:numFmt w:val="decimal"/>
      <w:lvlText w:val="(%1)"/>
      <w:lvlJc w:val="left"/>
      <w:pPr>
        <w:tabs>
          <w:tab w:val="left" w:pos="0"/>
        </w:tabs>
        <w:ind w:left="0" w:firstLine="0"/>
      </w:pPr>
    </w:lvl>
  </w:abstractNum>
  <w:abstractNum w:abstractNumId="17">
    <w:nsid w:val="51113418"/>
    <w:multiLevelType w:val="singleLevel"/>
    <w:tmpl w:val="51113418"/>
    <w:lvl w:ilvl="0" w:tentative="0">
      <w:start w:val="1"/>
      <w:numFmt w:val="decimal"/>
      <w:lvlText w:val="(%1)"/>
      <w:lvlJc w:val="left"/>
      <w:pPr>
        <w:tabs>
          <w:tab w:val="left" w:pos="0"/>
        </w:tabs>
        <w:ind w:left="0" w:firstLine="0"/>
      </w:pPr>
    </w:lvl>
  </w:abstractNum>
  <w:abstractNum w:abstractNumId="18">
    <w:nsid w:val="608AE20D"/>
    <w:multiLevelType w:val="multilevel"/>
    <w:tmpl w:val="608AE20D"/>
    <w:lvl w:ilvl="0" w:tentative="0">
      <w:start w:val="1"/>
      <w:numFmt w:val="upperLetter"/>
      <w:pStyle w:val="38"/>
      <w:lvlText w:val="%1．"/>
      <w:lvlJc w:val="left"/>
      <w:pPr>
        <w:tabs>
          <w:tab w:val="left" w:pos="0"/>
        </w:tabs>
        <w:ind w:left="480" w:hanging="480"/>
      </w:pPr>
      <w:rPr>
        <w:rFonts w:hint="eastAsia"/>
      </w:rPr>
    </w:lvl>
    <w:lvl w:ilvl="1" w:tentative="0">
      <w:start w:val="1"/>
      <w:numFmt w:val="bullet"/>
      <w:lvlText w:val="o"/>
      <w:lvlJc w:val="left"/>
      <w:pPr>
        <w:tabs>
          <w:tab w:val="left" w:pos="0"/>
        </w:tabs>
        <w:ind w:left="1440" w:hanging="360"/>
      </w:pPr>
      <w:rPr>
        <w:rFonts w:hint="default" w:ascii="Courier New" w:hAnsi="Courier New" w:eastAsia="Courier New" w:cs="Courier New"/>
      </w:rPr>
    </w:lvl>
    <w:lvl w:ilvl="2" w:tentative="0">
      <w:start w:val="1"/>
      <w:numFmt w:val="bullet"/>
      <w:lvlText w:val="§"/>
      <w:lvlJc w:val="left"/>
      <w:pPr>
        <w:tabs>
          <w:tab w:val="left" w:pos="0"/>
        </w:tabs>
        <w:ind w:left="2160" w:hanging="360"/>
      </w:pPr>
      <w:rPr>
        <w:rFonts w:hint="default" w:ascii="Wingdings" w:hAnsi="Wingdings" w:eastAsia="Wingdings" w:cs="Wingdings"/>
      </w:rPr>
    </w:lvl>
    <w:lvl w:ilvl="3" w:tentative="0">
      <w:start w:val="1"/>
      <w:numFmt w:val="bullet"/>
      <w:lvlText w:val="·"/>
      <w:lvlJc w:val="left"/>
      <w:pPr>
        <w:tabs>
          <w:tab w:val="left" w:pos="0"/>
        </w:tabs>
        <w:ind w:left="2880" w:hanging="360"/>
      </w:pPr>
      <w:rPr>
        <w:rFonts w:hint="default" w:ascii="Symbol" w:hAnsi="Symbol" w:eastAsia="Symbol" w:cs="Symbol"/>
      </w:rPr>
    </w:lvl>
    <w:lvl w:ilvl="4" w:tentative="0">
      <w:start w:val="1"/>
      <w:numFmt w:val="bullet"/>
      <w:lvlText w:val="o"/>
      <w:lvlJc w:val="left"/>
      <w:pPr>
        <w:tabs>
          <w:tab w:val="left" w:pos="0"/>
        </w:tabs>
        <w:ind w:left="3600" w:hanging="360"/>
      </w:pPr>
      <w:rPr>
        <w:rFonts w:hint="default" w:ascii="Courier New" w:hAnsi="Courier New" w:eastAsia="Courier New" w:cs="Courier New"/>
      </w:rPr>
    </w:lvl>
    <w:lvl w:ilvl="5" w:tentative="0">
      <w:start w:val="1"/>
      <w:numFmt w:val="bullet"/>
      <w:lvlText w:val="§"/>
      <w:lvlJc w:val="left"/>
      <w:pPr>
        <w:tabs>
          <w:tab w:val="left" w:pos="0"/>
        </w:tabs>
        <w:ind w:left="4320" w:hanging="360"/>
      </w:pPr>
      <w:rPr>
        <w:rFonts w:hint="default" w:ascii="Wingdings" w:hAnsi="Wingdings" w:eastAsia="Wingdings" w:cs="Wingdings"/>
      </w:rPr>
    </w:lvl>
    <w:lvl w:ilvl="6" w:tentative="0">
      <w:start w:val="1"/>
      <w:numFmt w:val="bullet"/>
      <w:lvlText w:val="·"/>
      <w:lvlJc w:val="left"/>
      <w:pPr>
        <w:tabs>
          <w:tab w:val="left" w:pos="0"/>
        </w:tabs>
        <w:ind w:left="5040" w:hanging="360"/>
      </w:pPr>
      <w:rPr>
        <w:rFonts w:hint="default" w:ascii="Symbol" w:hAnsi="Symbol" w:eastAsia="Symbol" w:cs="Symbol"/>
      </w:rPr>
    </w:lvl>
    <w:lvl w:ilvl="7" w:tentative="0">
      <w:start w:val="1"/>
      <w:numFmt w:val="bullet"/>
      <w:lvlText w:val="o"/>
      <w:lvlJc w:val="left"/>
      <w:pPr>
        <w:tabs>
          <w:tab w:val="left" w:pos="0"/>
        </w:tabs>
        <w:ind w:left="5760" w:hanging="360"/>
      </w:pPr>
      <w:rPr>
        <w:rFonts w:hint="default" w:ascii="Courier New" w:hAnsi="Courier New" w:eastAsia="Courier New" w:cs="Courier New"/>
      </w:rPr>
    </w:lvl>
    <w:lvl w:ilvl="8" w:tentative="0">
      <w:start w:val="1"/>
      <w:numFmt w:val="bullet"/>
      <w:lvlText w:val="§"/>
      <w:lvlJc w:val="left"/>
      <w:pPr>
        <w:tabs>
          <w:tab w:val="left" w:pos="0"/>
        </w:tabs>
        <w:ind w:left="6480" w:hanging="360"/>
      </w:pPr>
      <w:rPr>
        <w:rFonts w:hint="default" w:ascii="Wingdings" w:hAnsi="Wingdings" w:eastAsia="Wingdings" w:cs="Wingdings"/>
      </w:rPr>
    </w:lvl>
  </w:abstractNum>
  <w:abstractNum w:abstractNumId="19">
    <w:nsid w:val="63323EC8"/>
    <w:multiLevelType w:val="multilevel"/>
    <w:tmpl w:val="63323EC8"/>
    <w:lvl w:ilvl="0" w:tentative="0">
      <w:start w:val="1"/>
      <w:numFmt w:val="japaneseCounting"/>
      <w:lvlText w:val="%1、"/>
      <w:lvlJc w:val="left"/>
      <w:pPr>
        <w:tabs>
          <w:tab w:val="left" w:pos="0"/>
        </w:tabs>
        <w:ind w:left="420" w:hanging="420"/>
      </w:pPr>
      <w:rPr>
        <w:rFonts w:hint="default"/>
      </w:rPr>
    </w:lvl>
    <w:lvl w:ilvl="1" w:tentative="0">
      <w:start w:val="1"/>
      <w:numFmt w:val="lowerLetter"/>
      <w:lvlText w:val="%2)"/>
      <w:lvlJc w:val="left"/>
      <w:pPr>
        <w:tabs>
          <w:tab w:val="left" w:pos="0"/>
        </w:tabs>
        <w:ind w:left="840" w:hanging="420"/>
      </w:pPr>
    </w:lvl>
    <w:lvl w:ilvl="2" w:tentative="0">
      <w:start w:val="1"/>
      <w:numFmt w:val="lowerRoman"/>
      <w:lvlText w:val="%3."/>
      <w:lvlJc w:val="right"/>
      <w:pPr>
        <w:tabs>
          <w:tab w:val="left" w:pos="0"/>
        </w:tabs>
        <w:ind w:left="1260" w:hanging="420"/>
      </w:p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abstractNum w:abstractNumId="20">
    <w:nsid w:val="65426B84"/>
    <w:multiLevelType w:val="singleLevel"/>
    <w:tmpl w:val="65426B84"/>
    <w:lvl w:ilvl="0" w:tentative="0">
      <w:start w:val="1"/>
      <w:numFmt w:val="decimal"/>
      <w:lvlText w:val="(%1)"/>
      <w:lvlJc w:val="left"/>
      <w:pPr>
        <w:tabs>
          <w:tab w:val="left" w:pos="0"/>
        </w:tabs>
        <w:ind w:left="0" w:firstLine="0"/>
      </w:pPr>
    </w:lvl>
  </w:abstractNum>
  <w:abstractNum w:abstractNumId="21">
    <w:nsid w:val="66977AB7"/>
    <w:multiLevelType w:val="singleLevel"/>
    <w:tmpl w:val="66977AB7"/>
    <w:lvl w:ilvl="0" w:tentative="0">
      <w:start w:val="1"/>
      <w:numFmt w:val="decimal"/>
      <w:lvlText w:val="(%1)"/>
      <w:lvlJc w:val="left"/>
      <w:pPr>
        <w:tabs>
          <w:tab w:val="left" w:pos="0"/>
        </w:tabs>
        <w:ind w:left="0" w:firstLine="0"/>
      </w:pPr>
    </w:lvl>
  </w:abstractNum>
  <w:abstractNum w:abstractNumId="22">
    <w:nsid w:val="6B09101D"/>
    <w:multiLevelType w:val="singleLevel"/>
    <w:tmpl w:val="6B09101D"/>
    <w:lvl w:ilvl="0" w:tentative="0">
      <w:start w:val="1"/>
      <w:numFmt w:val="decimal"/>
      <w:lvlText w:val="(%1)"/>
      <w:lvlJc w:val="left"/>
      <w:pPr>
        <w:tabs>
          <w:tab w:val="left" w:pos="0"/>
        </w:tabs>
        <w:ind w:left="0" w:firstLine="0"/>
      </w:pPr>
      <w:rPr>
        <w:b w:val="0"/>
        <w:bCs w:val="0"/>
      </w:rPr>
    </w:lvl>
  </w:abstractNum>
  <w:abstractNum w:abstractNumId="23">
    <w:nsid w:val="6EC720E2"/>
    <w:multiLevelType w:val="singleLevel"/>
    <w:tmpl w:val="6EC720E2"/>
    <w:lvl w:ilvl="0" w:tentative="0">
      <w:start w:val="1"/>
      <w:numFmt w:val="decimal"/>
      <w:lvlText w:val="(%1)"/>
      <w:lvlJc w:val="left"/>
      <w:pPr>
        <w:tabs>
          <w:tab w:val="left" w:pos="0"/>
        </w:tabs>
        <w:ind w:left="0" w:firstLine="0"/>
      </w:pPr>
    </w:lvl>
  </w:abstractNum>
  <w:abstractNum w:abstractNumId="24">
    <w:nsid w:val="77874A30"/>
    <w:multiLevelType w:val="singleLevel"/>
    <w:tmpl w:val="77874A30"/>
    <w:lvl w:ilvl="0" w:tentative="0">
      <w:start w:val="1"/>
      <w:numFmt w:val="decimal"/>
      <w:lvlText w:val="(%1)"/>
      <w:lvlJc w:val="left"/>
      <w:pPr>
        <w:tabs>
          <w:tab w:val="left" w:pos="0"/>
        </w:tabs>
        <w:ind w:left="0" w:firstLine="0"/>
      </w:pPr>
    </w:lvl>
  </w:abstractNum>
  <w:abstractNum w:abstractNumId="25">
    <w:nsid w:val="7F373A02"/>
    <w:multiLevelType w:val="singleLevel"/>
    <w:tmpl w:val="7F373A02"/>
    <w:lvl w:ilvl="0" w:tentative="0">
      <w:start w:val="1"/>
      <w:numFmt w:val="decimal"/>
      <w:lvlText w:val="(%1)"/>
      <w:lvlJc w:val="left"/>
      <w:pPr>
        <w:tabs>
          <w:tab w:val="left" w:pos="0"/>
        </w:tabs>
        <w:ind w:left="0" w:firstLine="0"/>
      </w:pPr>
    </w:lvl>
  </w:abstractNum>
  <w:num w:numId="1">
    <w:abstractNumId w:val="18"/>
  </w:num>
  <w:num w:numId="2">
    <w:abstractNumId w:val="0"/>
  </w:num>
  <w:num w:numId="3">
    <w:abstractNumId w:val="22"/>
  </w:num>
  <w:num w:numId="4">
    <w:abstractNumId w:val="2"/>
  </w:num>
  <w:num w:numId="5">
    <w:abstractNumId w:val="4"/>
  </w:num>
  <w:num w:numId="6">
    <w:abstractNumId w:val="1"/>
  </w:num>
  <w:num w:numId="7">
    <w:abstractNumId w:val="21"/>
  </w:num>
  <w:num w:numId="8">
    <w:abstractNumId w:val="13"/>
  </w:num>
  <w:num w:numId="9">
    <w:abstractNumId w:val="23"/>
  </w:num>
  <w:num w:numId="10">
    <w:abstractNumId w:val="20"/>
  </w:num>
  <w:num w:numId="11">
    <w:abstractNumId w:val="16"/>
  </w:num>
  <w:num w:numId="12">
    <w:abstractNumId w:val="5"/>
  </w:num>
  <w:num w:numId="13">
    <w:abstractNumId w:val="25"/>
  </w:num>
  <w:num w:numId="14">
    <w:abstractNumId w:val="11"/>
  </w:num>
  <w:num w:numId="15">
    <w:abstractNumId w:val="7"/>
  </w:num>
  <w:num w:numId="16">
    <w:abstractNumId w:val="15"/>
  </w:num>
  <w:num w:numId="17">
    <w:abstractNumId w:val="6"/>
  </w:num>
  <w:num w:numId="18">
    <w:abstractNumId w:val="17"/>
  </w:num>
  <w:num w:numId="19">
    <w:abstractNumId w:val="14"/>
  </w:num>
  <w:num w:numId="20">
    <w:abstractNumId w:val="12"/>
  </w:num>
  <w:num w:numId="21">
    <w:abstractNumId w:val="19"/>
  </w:num>
  <w:num w:numId="22">
    <w:abstractNumId w:val="10"/>
  </w:num>
  <w:num w:numId="23">
    <w:abstractNumId w:val="24"/>
  </w:num>
  <w:num w:numId="24">
    <w:abstractNumId w:val="9"/>
  </w:num>
  <w:num w:numId="25">
    <w:abstractNumId w:val="8"/>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0"/>
  <w:drawingGridHorizontalSpacing w:val="110"/>
  <w:drawingGridVerticalSpacing w:val="156"/>
  <w:displayHorizontalDrawingGridEvery w:val="1"/>
  <w:displayVerticalDrawingGridEvery w:val="1"/>
  <w:noPunctuationKerning w:val="1"/>
  <w:characterSpacingControl w:val="doNotCompress"/>
  <w:hdrShapeDefaults>
    <o:shapelayout v:ext="edit">
      <o:idmap v:ext="edit" data="1"/>
    </o:shapelayout>
  </w:hdrShapeDefaults>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NiNDgxYzJhM2U2MWM2YjE5MjcyYWJjYWJlZjIwNWYifQ=="/>
  </w:docVars>
  <w:rsids>
    <w:rsidRoot w:val="00DD100C"/>
    <w:rsid w:val="00023C76"/>
    <w:rsid w:val="00025D28"/>
    <w:rsid w:val="00072C72"/>
    <w:rsid w:val="00086FB9"/>
    <w:rsid w:val="000969AD"/>
    <w:rsid w:val="000B1BFB"/>
    <w:rsid w:val="000B6A54"/>
    <w:rsid w:val="00107695"/>
    <w:rsid w:val="0011265E"/>
    <w:rsid w:val="00112CD3"/>
    <w:rsid w:val="001278C2"/>
    <w:rsid w:val="00133DDA"/>
    <w:rsid w:val="00140197"/>
    <w:rsid w:val="001436C3"/>
    <w:rsid w:val="00157182"/>
    <w:rsid w:val="00164C26"/>
    <w:rsid w:val="001705A6"/>
    <w:rsid w:val="0018449A"/>
    <w:rsid w:val="0018557B"/>
    <w:rsid w:val="00191A0C"/>
    <w:rsid w:val="00195200"/>
    <w:rsid w:val="001D4DED"/>
    <w:rsid w:val="001E5875"/>
    <w:rsid w:val="00215AA4"/>
    <w:rsid w:val="00220D77"/>
    <w:rsid w:val="00234A68"/>
    <w:rsid w:val="00246AF7"/>
    <w:rsid w:val="00252083"/>
    <w:rsid w:val="00252B92"/>
    <w:rsid w:val="002A15E1"/>
    <w:rsid w:val="002B3DC2"/>
    <w:rsid w:val="002C53FF"/>
    <w:rsid w:val="002E7B7E"/>
    <w:rsid w:val="003075C2"/>
    <w:rsid w:val="00312D77"/>
    <w:rsid w:val="003548B7"/>
    <w:rsid w:val="003550AC"/>
    <w:rsid w:val="0037438C"/>
    <w:rsid w:val="0039686B"/>
    <w:rsid w:val="004147E8"/>
    <w:rsid w:val="00415454"/>
    <w:rsid w:val="00416146"/>
    <w:rsid w:val="004439C6"/>
    <w:rsid w:val="00450166"/>
    <w:rsid w:val="00473B46"/>
    <w:rsid w:val="00485FBF"/>
    <w:rsid w:val="004B6A43"/>
    <w:rsid w:val="004C0D62"/>
    <w:rsid w:val="004D4771"/>
    <w:rsid w:val="004E0863"/>
    <w:rsid w:val="004E616D"/>
    <w:rsid w:val="004F2C83"/>
    <w:rsid w:val="004F41DF"/>
    <w:rsid w:val="00505EAB"/>
    <w:rsid w:val="005069CE"/>
    <w:rsid w:val="00540E74"/>
    <w:rsid w:val="005628F9"/>
    <w:rsid w:val="005B0863"/>
    <w:rsid w:val="005C59C4"/>
    <w:rsid w:val="005C6B61"/>
    <w:rsid w:val="005F7DB8"/>
    <w:rsid w:val="00607C19"/>
    <w:rsid w:val="00616890"/>
    <w:rsid w:val="00623BF4"/>
    <w:rsid w:val="006320FB"/>
    <w:rsid w:val="006360BD"/>
    <w:rsid w:val="00653D47"/>
    <w:rsid w:val="00666768"/>
    <w:rsid w:val="006A517F"/>
    <w:rsid w:val="006B7C2D"/>
    <w:rsid w:val="006D338A"/>
    <w:rsid w:val="006D7742"/>
    <w:rsid w:val="00704336"/>
    <w:rsid w:val="007227D9"/>
    <w:rsid w:val="007233B6"/>
    <w:rsid w:val="00730368"/>
    <w:rsid w:val="00731723"/>
    <w:rsid w:val="0073192F"/>
    <w:rsid w:val="00756277"/>
    <w:rsid w:val="007854B7"/>
    <w:rsid w:val="007E6C17"/>
    <w:rsid w:val="00802A89"/>
    <w:rsid w:val="00804C1C"/>
    <w:rsid w:val="008252EA"/>
    <w:rsid w:val="00831043"/>
    <w:rsid w:val="00846638"/>
    <w:rsid w:val="00861DAB"/>
    <w:rsid w:val="00862EB3"/>
    <w:rsid w:val="00863B49"/>
    <w:rsid w:val="00867791"/>
    <w:rsid w:val="0087167F"/>
    <w:rsid w:val="00875715"/>
    <w:rsid w:val="00891ED7"/>
    <w:rsid w:val="008A4BCA"/>
    <w:rsid w:val="008C3473"/>
    <w:rsid w:val="008D0AB3"/>
    <w:rsid w:val="008F56F8"/>
    <w:rsid w:val="00910111"/>
    <w:rsid w:val="009610B2"/>
    <w:rsid w:val="009C15CF"/>
    <w:rsid w:val="009C25F8"/>
    <w:rsid w:val="009D01D7"/>
    <w:rsid w:val="009D3E83"/>
    <w:rsid w:val="009E1444"/>
    <w:rsid w:val="009E2BA8"/>
    <w:rsid w:val="009F2E6D"/>
    <w:rsid w:val="00A143B7"/>
    <w:rsid w:val="00A23CB5"/>
    <w:rsid w:val="00A45ED1"/>
    <w:rsid w:val="00A55CB5"/>
    <w:rsid w:val="00A953D0"/>
    <w:rsid w:val="00A969CA"/>
    <w:rsid w:val="00AB42E9"/>
    <w:rsid w:val="00AC2CC4"/>
    <w:rsid w:val="00AE0535"/>
    <w:rsid w:val="00B06E28"/>
    <w:rsid w:val="00B47CB5"/>
    <w:rsid w:val="00B6252F"/>
    <w:rsid w:val="00B63312"/>
    <w:rsid w:val="00B671A0"/>
    <w:rsid w:val="00B77E7D"/>
    <w:rsid w:val="00B97397"/>
    <w:rsid w:val="00BA5526"/>
    <w:rsid w:val="00BE3374"/>
    <w:rsid w:val="00BF706B"/>
    <w:rsid w:val="00C06279"/>
    <w:rsid w:val="00C13948"/>
    <w:rsid w:val="00C20BE6"/>
    <w:rsid w:val="00C3649B"/>
    <w:rsid w:val="00C36A5A"/>
    <w:rsid w:val="00C573CA"/>
    <w:rsid w:val="00C603FA"/>
    <w:rsid w:val="00C909C3"/>
    <w:rsid w:val="00CC6919"/>
    <w:rsid w:val="00CD3354"/>
    <w:rsid w:val="00CE3DEE"/>
    <w:rsid w:val="00CE49F5"/>
    <w:rsid w:val="00CF3F1F"/>
    <w:rsid w:val="00D20CAC"/>
    <w:rsid w:val="00D46244"/>
    <w:rsid w:val="00D47AA5"/>
    <w:rsid w:val="00D74CD2"/>
    <w:rsid w:val="00D81CB3"/>
    <w:rsid w:val="00D87405"/>
    <w:rsid w:val="00DB4050"/>
    <w:rsid w:val="00DD100C"/>
    <w:rsid w:val="00DD1D5D"/>
    <w:rsid w:val="00DD3C16"/>
    <w:rsid w:val="00DE46EF"/>
    <w:rsid w:val="00DF5B4B"/>
    <w:rsid w:val="00E072C8"/>
    <w:rsid w:val="00E1425E"/>
    <w:rsid w:val="00E504B7"/>
    <w:rsid w:val="00E73D54"/>
    <w:rsid w:val="00E9007B"/>
    <w:rsid w:val="00F14472"/>
    <w:rsid w:val="00F149A5"/>
    <w:rsid w:val="00F14A43"/>
    <w:rsid w:val="00F35FE9"/>
    <w:rsid w:val="00F827ED"/>
    <w:rsid w:val="00F8324F"/>
    <w:rsid w:val="00FB00F2"/>
    <w:rsid w:val="00FC4E19"/>
    <w:rsid w:val="00FC7126"/>
    <w:rsid w:val="00FE1814"/>
    <w:rsid w:val="00FE25AF"/>
    <w:rsid w:val="00FF1173"/>
    <w:rsid w:val="010D427B"/>
    <w:rsid w:val="01141165"/>
    <w:rsid w:val="011C626C"/>
    <w:rsid w:val="011E3D92"/>
    <w:rsid w:val="01207566"/>
    <w:rsid w:val="01233A9E"/>
    <w:rsid w:val="012F41F1"/>
    <w:rsid w:val="01350AD8"/>
    <w:rsid w:val="014359D0"/>
    <w:rsid w:val="01477F3A"/>
    <w:rsid w:val="014A2DD9"/>
    <w:rsid w:val="015A69D2"/>
    <w:rsid w:val="016D6AC7"/>
    <w:rsid w:val="017936BE"/>
    <w:rsid w:val="01937524"/>
    <w:rsid w:val="01973B44"/>
    <w:rsid w:val="01992377"/>
    <w:rsid w:val="01A425EF"/>
    <w:rsid w:val="01A544B3"/>
    <w:rsid w:val="01B82438"/>
    <w:rsid w:val="01C452C5"/>
    <w:rsid w:val="01CA5CC8"/>
    <w:rsid w:val="01CE57B8"/>
    <w:rsid w:val="01D92217"/>
    <w:rsid w:val="01E811AC"/>
    <w:rsid w:val="02006853"/>
    <w:rsid w:val="020C29E1"/>
    <w:rsid w:val="021A2659"/>
    <w:rsid w:val="02245871"/>
    <w:rsid w:val="02296A57"/>
    <w:rsid w:val="02380E83"/>
    <w:rsid w:val="023A5733"/>
    <w:rsid w:val="02696A5B"/>
    <w:rsid w:val="026B1786"/>
    <w:rsid w:val="02715C45"/>
    <w:rsid w:val="02726930"/>
    <w:rsid w:val="02890D36"/>
    <w:rsid w:val="028B36A9"/>
    <w:rsid w:val="02A01AC6"/>
    <w:rsid w:val="02A47345"/>
    <w:rsid w:val="02A9449A"/>
    <w:rsid w:val="02AD361F"/>
    <w:rsid w:val="02B04EBD"/>
    <w:rsid w:val="02CB1CF7"/>
    <w:rsid w:val="02DA63DE"/>
    <w:rsid w:val="02F32FFC"/>
    <w:rsid w:val="03097284"/>
    <w:rsid w:val="031C2553"/>
    <w:rsid w:val="032000D3"/>
    <w:rsid w:val="03247659"/>
    <w:rsid w:val="032558AB"/>
    <w:rsid w:val="03255A72"/>
    <w:rsid w:val="032F672A"/>
    <w:rsid w:val="033145F7"/>
    <w:rsid w:val="0345286E"/>
    <w:rsid w:val="034F71B9"/>
    <w:rsid w:val="03502CFD"/>
    <w:rsid w:val="035241C7"/>
    <w:rsid w:val="0356663D"/>
    <w:rsid w:val="03625E00"/>
    <w:rsid w:val="036916A9"/>
    <w:rsid w:val="036A1510"/>
    <w:rsid w:val="03766107"/>
    <w:rsid w:val="03773C2D"/>
    <w:rsid w:val="03805A4B"/>
    <w:rsid w:val="03821A3F"/>
    <w:rsid w:val="03962305"/>
    <w:rsid w:val="03A50209"/>
    <w:rsid w:val="03C303B5"/>
    <w:rsid w:val="03C350C4"/>
    <w:rsid w:val="03D746CC"/>
    <w:rsid w:val="03E11578"/>
    <w:rsid w:val="03E37E33"/>
    <w:rsid w:val="03E60C72"/>
    <w:rsid w:val="03E66A74"/>
    <w:rsid w:val="03E84175"/>
    <w:rsid w:val="03EC51DC"/>
    <w:rsid w:val="03EC63C9"/>
    <w:rsid w:val="03F359AA"/>
    <w:rsid w:val="03F761D8"/>
    <w:rsid w:val="03F91E91"/>
    <w:rsid w:val="04194CE4"/>
    <w:rsid w:val="041E3785"/>
    <w:rsid w:val="04223B99"/>
    <w:rsid w:val="042774DD"/>
    <w:rsid w:val="042A0CA0"/>
    <w:rsid w:val="043245B9"/>
    <w:rsid w:val="04384204"/>
    <w:rsid w:val="043F3383"/>
    <w:rsid w:val="044C50BA"/>
    <w:rsid w:val="044F3F0E"/>
    <w:rsid w:val="0452028F"/>
    <w:rsid w:val="04602B3A"/>
    <w:rsid w:val="04675678"/>
    <w:rsid w:val="049820AD"/>
    <w:rsid w:val="049A5E25"/>
    <w:rsid w:val="04A42800"/>
    <w:rsid w:val="04AC4660"/>
    <w:rsid w:val="04B35139"/>
    <w:rsid w:val="04B65AC7"/>
    <w:rsid w:val="04C53BE1"/>
    <w:rsid w:val="04C83EAE"/>
    <w:rsid w:val="04D72BD5"/>
    <w:rsid w:val="04DE21B6"/>
    <w:rsid w:val="04F47838"/>
    <w:rsid w:val="04F574FF"/>
    <w:rsid w:val="050339CA"/>
    <w:rsid w:val="050F05C1"/>
    <w:rsid w:val="050F7E3A"/>
    <w:rsid w:val="05111EB2"/>
    <w:rsid w:val="051A6F66"/>
    <w:rsid w:val="051F632A"/>
    <w:rsid w:val="0520306A"/>
    <w:rsid w:val="05290F57"/>
    <w:rsid w:val="053A4F12"/>
    <w:rsid w:val="055C757F"/>
    <w:rsid w:val="05622E1E"/>
    <w:rsid w:val="056A3A4A"/>
    <w:rsid w:val="056A6870"/>
    <w:rsid w:val="056C3FAD"/>
    <w:rsid w:val="056E228E"/>
    <w:rsid w:val="057161FA"/>
    <w:rsid w:val="05796E8A"/>
    <w:rsid w:val="058368B9"/>
    <w:rsid w:val="05945B90"/>
    <w:rsid w:val="05B253F0"/>
    <w:rsid w:val="05B71BF0"/>
    <w:rsid w:val="05BB42A5"/>
    <w:rsid w:val="05C0366A"/>
    <w:rsid w:val="05CC0260"/>
    <w:rsid w:val="05D617A2"/>
    <w:rsid w:val="05DD06BF"/>
    <w:rsid w:val="05EB5EC4"/>
    <w:rsid w:val="06370BFC"/>
    <w:rsid w:val="064E035C"/>
    <w:rsid w:val="06573059"/>
    <w:rsid w:val="0664493D"/>
    <w:rsid w:val="067B57E2"/>
    <w:rsid w:val="067E4D07"/>
    <w:rsid w:val="068E3768"/>
    <w:rsid w:val="068F16B5"/>
    <w:rsid w:val="06986394"/>
    <w:rsid w:val="069B1F0D"/>
    <w:rsid w:val="069C2465"/>
    <w:rsid w:val="06BA082C"/>
    <w:rsid w:val="06F37A6F"/>
    <w:rsid w:val="06FA704F"/>
    <w:rsid w:val="070E48A8"/>
    <w:rsid w:val="071219F9"/>
    <w:rsid w:val="07177C01"/>
    <w:rsid w:val="071D689A"/>
    <w:rsid w:val="071E2E8C"/>
    <w:rsid w:val="07246EC6"/>
    <w:rsid w:val="07323C5D"/>
    <w:rsid w:val="07454E7C"/>
    <w:rsid w:val="074A1D85"/>
    <w:rsid w:val="07550729"/>
    <w:rsid w:val="07610F29"/>
    <w:rsid w:val="07621BB5"/>
    <w:rsid w:val="076247BA"/>
    <w:rsid w:val="0765096C"/>
    <w:rsid w:val="07682493"/>
    <w:rsid w:val="077A1F3E"/>
    <w:rsid w:val="07871169"/>
    <w:rsid w:val="078D1810"/>
    <w:rsid w:val="079275D3"/>
    <w:rsid w:val="079A1D02"/>
    <w:rsid w:val="07A70F85"/>
    <w:rsid w:val="07AE5CDD"/>
    <w:rsid w:val="07B305C0"/>
    <w:rsid w:val="07C05BA3"/>
    <w:rsid w:val="07C4574A"/>
    <w:rsid w:val="07C82CA9"/>
    <w:rsid w:val="07C84A57"/>
    <w:rsid w:val="07CA7B4D"/>
    <w:rsid w:val="07CB1548"/>
    <w:rsid w:val="07DC0503"/>
    <w:rsid w:val="07DC6674"/>
    <w:rsid w:val="07EF0236"/>
    <w:rsid w:val="07F97307"/>
    <w:rsid w:val="080261BB"/>
    <w:rsid w:val="080B2B96"/>
    <w:rsid w:val="08201685"/>
    <w:rsid w:val="082E7378"/>
    <w:rsid w:val="083E224D"/>
    <w:rsid w:val="084E7652"/>
    <w:rsid w:val="084E78AD"/>
    <w:rsid w:val="08510EF1"/>
    <w:rsid w:val="085D5AE7"/>
    <w:rsid w:val="08690779"/>
    <w:rsid w:val="086F3665"/>
    <w:rsid w:val="087370B9"/>
    <w:rsid w:val="08872B64"/>
    <w:rsid w:val="089A2898"/>
    <w:rsid w:val="08A41020"/>
    <w:rsid w:val="08AB57EE"/>
    <w:rsid w:val="08BA6B70"/>
    <w:rsid w:val="08BC56D2"/>
    <w:rsid w:val="08C2594B"/>
    <w:rsid w:val="08C35D78"/>
    <w:rsid w:val="08E53B03"/>
    <w:rsid w:val="08EA042D"/>
    <w:rsid w:val="090C0FA9"/>
    <w:rsid w:val="090C38C7"/>
    <w:rsid w:val="091066B6"/>
    <w:rsid w:val="091F16FC"/>
    <w:rsid w:val="09234464"/>
    <w:rsid w:val="09287EA3"/>
    <w:rsid w:val="09322AD0"/>
    <w:rsid w:val="0937305E"/>
    <w:rsid w:val="093C56FD"/>
    <w:rsid w:val="09422505"/>
    <w:rsid w:val="094E5430"/>
    <w:rsid w:val="096B7D90"/>
    <w:rsid w:val="09724070"/>
    <w:rsid w:val="09750C0F"/>
    <w:rsid w:val="097906FF"/>
    <w:rsid w:val="09953447"/>
    <w:rsid w:val="09B54DB8"/>
    <w:rsid w:val="09B8481F"/>
    <w:rsid w:val="09BE680A"/>
    <w:rsid w:val="09E431C6"/>
    <w:rsid w:val="09EC7974"/>
    <w:rsid w:val="09F2400E"/>
    <w:rsid w:val="09F66964"/>
    <w:rsid w:val="0A157CFC"/>
    <w:rsid w:val="0A173A74"/>
    <w:rsid w:val="0A1E12A6"/>
    <w:rsid w:val="0A2C0F15"/>
    <w:rsid w:val="0A2D14EA"/>
    <w:rsid w:val="0A2E773B"/>
    <w:rsid w:val="0A41496A"/>
    <w:rsid w:val="0A4526BD"/>
    <w:rsid w:val="0A6273E5"/>
    <w:rsid w:val="0A636CB9"/>
    <w:rsid w:val="0A6F38B0"/>
    <w:rsid w:val="0A766682"/>
    <w:rsid w:val="0A7C7EC1"/>
    <w:rsid w:val="0A802D7B"/>
    <w:rsid w:val="0A93412F"/>
    <w:rsid w:val="0A96708F"/>
    <w:rsid w:val="0ABB08A3"/>
    <w:rsid w:val="0AC27289"/>
    <w:rsid w:val="0AD35BED"/>
    <w:rsid w:val="0ADA341F"/>
    <w:rsid w:val="0AEB2006"/>
    <w:rsid w:val="0AF85654"/>
    <w:rsid w:val="0B09160F"/>
    <w:rsid w:val="0B177C56"/>
    <w:rsid w:val="0B3133D7"/>
    <w:rsid w:val="0B423968"/>
    <w:rsid w:val="0B480F24"/>
    <w:rsid w:val="0B4B60CB"/>
    <w:rsid w:val="0B4D3088"/>
    <w:rsid w:val="0B5D4FB1"/>
    <w:rsid w:val="0B611439"/>
    <w:rsid w:val="0B6251C3"/>
    <w:rsid w:val="0B626F71"/>
    <w:rsid w:val="0B6C77CA"/>
    <w:rsid w:val="0B770C6E"/>
    <w:rsid w:val="0B7713DE"/>
    <w:rsid w:val="0B816673"/>
    <w:rsid w:val="0B901D30"/>
    <w:rsid w:val="0B9315F7"/>
    <w:rsid w:val="0B946FB5"/>
    <w:rsid w:val="0BA23811"/>
    <w:rsid w:val="0BB05F2E"/>
    <w:rsid w:val="0BB07505"/>
    <w:rsid w:val="0BB51888"/>
    <w:rsid w:val="0BC35C62"/>
    <w:rsid w:val="0BC55E7E"/>
    <w:rsid w:val="0BD905FA"/>
    <w:rsid w:val="0BDB7944"/>
    <w:rsid w:val="0BF84E2F"/>
    <w:rsid w:val="0BFD175A"/>
    <w:rsid w:val="0C0011BA"/>
    <w:rsid w:val="0C085D6A"/>
    <w:rsid w:val="0C161D3B"/>
    <w:rsid w:val="0C1969E9"/>
    <w:rsid w:val="0C1B3CF0"/>
    <w:rsid w:val="0C2F0B8D"/>
    <w:rsid w:val="0C4843B9"/>
    <w:rsid w:val="0C4A6DBA"/>
    <w:rsid w:val="0C597D15"/>
    <w:rsid w:val="0C790A16"/>
    <w:rsid w:val="0C8278CB"/>
    <w:rsid w:val="0C847C19"/>
    <w:rsid w:val="0C886EAB"/>
    <w:rsid w:val="0C8C0749"/>
    <w:rsid w:val="0C95536B"/>
    <w:rsid w:val="0C9814DA"/>
    <w:rsid w:val="0CA535B9"/>
    <w:rsid w:val="0CA84E57"/>
    <w:rsid w:val="0CB207C8"/>
    <w:rsid w:val="0CD12600"/>
    <w:rsid w:val="0CEA53B1"/>
    <w:rsid w:val="0CFB2419"/>
    <w:rsid w:val="0D053F9C"/>
    <w:rsid w:val="0D18022F"/>
    <w:rsid w:val="0D3D5EE8"/>
    <w:rsid w:val="0D5154EF"/>
    <w:rsid w:val="0D5A713B"/>
    <w:rsid w:val="0D6E42F3"/>
    <w:rsid w:val="0D780CCE"/>
    <w:rsid w:val="0D904269"/>
    <w:rsid w:val="0D950309"/>
    <w:rsid w:val="0D9F502D"/>
    <w:rsid w:val="0DA6583B"/>
    <w:rsid w:val="0DA90E87"/>
    <w:rsid w:val="0DB937C0"/>
    <w:rsid w:val="0DBE6D1A"/>
    <w:rsid w:val="0DBF06AB"/>
    <w:rsid w:val="0DBF6A34"/>
    <w:rsid w:val="0DC83A03"/>
    <w:rsid w:val="0DD6427F"/>
    <w:rsid w:val="0DF50570"/>
    <w:rsid w:val="0DFD5905"/>
    <w:rsid w:val="0DFE5677"/>
    <w:rsid w:val="0E0279EF"/>
    <w:rsid w:val="0E0802A4"/>
    <w:rsid w:val="0E160A2D"/>
    <w:rsid w:val="0E1C5AFD"/>
    <w:rsid w:val="0E511C4A"/>
    <w:rsid w:val="0E593A5D"/>
    <w:rsid w:val="0E770F85"/>
    <w:rsid w:val="0E8B67DF"/>
    <w:rsid w:val="0EAA3109"/>
    <w:rsid w:val="0ECA4681"/>
    <w:rsid w:val="0ECB4325"/>
    <w:rsid w:val="0ECF491D"/>
    <w:rsid w:val="0EDA076B"/>
    <w:rsid w:val="0EDB79CE"/>
    <w:rsid w:val="0EEF0419"/>
    <w:rsid w:val="0EF34C60"/>
    <w:rsid w:val="0F040758"/>
    <w:rsid w:val="0F0A5EF6"/>
    <w:rsid w:val="0F16254C"/>
    <w:rsid w:val="0F4277E5"/>
    <w:rsid w:val="0F4C2EA3"/>
    <w:rsid w:val="0F5A74AF"/>
    <w:rsid w:val="0F5B4403"/>
    <w:rsid w:val="0F624FAC"/>
    <w:rsid w:val="0F6C4862"/>
    <w:rsid w:val="0F74096A"/>
    <w:rsid w:val="0F783207"/>
    <w:rsid w:val="0F786D63"/>
    <w:rsid w:val="0F825E34"/>
    <w:rsid w:val="0F8B2F3A"/>
    <w:rsid w:val="0F8C280E"/>
    <w:rsid w:val="0F8E4CC1"/>
    <w:rsid w:val="0FA222AF"/>
    <w:rsid w:val="0FA61B22"/>
    <w:rsid w:val="0FC569E2"/>
    <w:rsid w:val="0FC87CEA"/>
    <w:rsid w:val="0FCE0E85"/>
    <w:rsid w:val="0FCF7BC5"/>
    <w:rsid w:val="0FDB7FAB"/>
    <w:rsid w:val="0FDC5544"/>
    <w:rsid w:val="0FDF3286"/>
    <w:rsid w:val="0FE63AC6"/>
    <w:rsid w:val="0FED14FF"/>
    <w:rsid w:val="0FF21238"/>
    <w:rsid w:val="10046849"/>
    <w:rsid w:val="100B339B"/>
    <w:rsid w:val="100D7863"/>
    <w:rsid w:val="10134CDE"/>
    <w:rsid w:val="102869DB"/>
    <w:rsid w:val="10394744"/>
    <w:rsid w:val="1054157E"/>
    <w:rsid w:val="10607C17"/>
    <w:rsid w:val="106D2640"/>
    <w:rsid w:val="10741C20"/>
    <w:rsid w:val="10771710"/>
    <w:rsid w:val="10774D14"/>
    <w:rsid w:val="108A2C16"/>
    <w:rsid w:val="108D4F96"/>
    <w:rsid w:val="108F6CF1"/>
    <w:rsid w:val="10912349"/>
    <w:rsid w:val="109E78EF"/>
    <w:rsid w:val="10A73DA4"/>
    <w:rsid w:val="10BC7123"/>
    <w:rsid w:val="10E16B8A"/>
    <w:rsid w:val="10E80EC6"/>
    <w:rsid w:val="10F36FE9"/>
    <w:rsid w:val="10FB73D4"/>
    <w:rsid w:val="10FD7E68"/>
    <w:rsid w:val="110E4E87"/>
    <w:rsid w:val="11193B49"/>
    <w:rsid w:val="112C0844"/>
    <w:rsid w:val="112C24FB"/>
    <w:rsid w:val="11300785"/>
    <w:rsid w:val="113B273E"/>
    <w:rsid w:val="1145793C"/>
    <w:rsid w:val="114A472F"/>
    <w:rsid w:val="114E4A0A"/>
    <w:rsid w:val="11535CDA"/>
    <w:rsid w:val="11692E07"/>
    <w:rsid w:val="117F262B"/>
    <w:rsid w:val="118A3AC3"/>
    <w:rsid w:val="118E0AC0"/>
    <w:rsid w:val="11AC4F7C"/>
    <w:rsid w:val="11C30ED8"/>
    <w:rsid w:val="11C444E1"/>
    <w:rsid w:val="11C97D4A"/>
    <w:rsid w:val="11D72467"/>
    <w:rsid w:val="11E608FC"/>
    <w:rsid w:val="12152F8F"/>
    <w:rsid w:val="12380A2C"/>
    <w:rsid w:val="1241411F"/>
    <w:rsid w:val="12452986"/>
    <w:rsid w:val="127C0125"/>
    <w:rsid w:val="127E7529"/>
    <w:rsid w:val="12B044CD"/>
    <w:rsid w:val="12B26A30"/>
    <w:rsid w:val="12B66520"/>
    <w:rsid w:val="12BB1444"/>
    <w:rsid w:val="12C64289"/>
    <w:rsid w:val="12CA3D79"/>
    <w:rsid w:val="12D40754"/>
    <w:rsid w:val="12E2190B"/>
    <w:rsid w:val="12F17558"/>
    <w:rsid w:val="12F47048"/>
    <w:rsid w:val="1301025E"/>
    <w:rsid w:val="13056DFF"/>
    <w:rsid w:val="13143247"/>
    <w:rsid w:val="13166FBF"/>
    <w:rsid w:val="131E7C21"/>
    <w:rsid w:val="133B6A25"/>
    <w:rsid w:val="133F5D80"/>
    <w:rsid w:val="13451652"/>
    <w:rsid w:val="13484123"/>
    <w:rsid w:val="13494D5B"/>
    <w:rsid w:val="13517FF7"/>
    <w:rsid w:val="13570030"/>
    <w:rsid w:val="135B0E75"/>
    <w:rsid w:val="13631AD8"/>
    <w:rsid w:val="136D537D"/>
    <w:rsid w:val="137479D7"/>
    <w:rsid w:val="137D0DEC"/>
    <w:rsid w:val="138E06DF"/>
    <w:rsid w:val="138E08C8"/>
    <w:rsid w:val="13DE7224"/>
    <w:rsid w:val="13E946D3"/>
    <w:rsid w:val="13F23BE8"/>
    <w:rsid w:val="13F50978"/>
    <w:rsid w:val="13F76DF0"/>
    <w:rsid w:val="1403063E"/>
    <w:rsid w:val="14105255"/>
    <w:rsid w:val="14117786"/>
    <w:rsid w:val="141719D2"/>
    <w:rsid w:val="1418784B"/>
    <w:rsid w:val="14297055"/>
    <w:rsid w:val="142C6505"/>
    <w:rsid w:val="143E0542"/>
    <w:rsid w:val="144C07BE"/>
    <w:rsid w:val="144E4536"/>
    <w:rsid w:val="14531B4D"/>
    <w:rsid w:val="145D74FB"/>
    <w:rsid w:val="147D38AA"/>
    <w:rsid w:val="14847F58"/>
    <w:rsid w:val="14885C9A"/>
    <w:rsid w:val="1491254B"/>
    <w:rsid w:val="14946D53"/>
    <w:rsid w:val="14972381"/>
    <w:rsid w:val="14983A03"/>
    <w:rsid w:val="149A16E8"/>
    <w:rsid w:val="14A27BF9"/>
    <w:rsid w:val="14A971C5"/>
    <w:rsid w:val="14B057A5"/>
    <w:rsid w:val="14CF1B1B"/>
    <w:rsid w:val="14D7277E"/>
    <w:rsid w:val="14F450DE"/>
    <w:rsid w:val="150A66AF"/>
    <w:rsid w:val="150B7C96"/>
    <w:rsid w:val="150C1E94"/>
    <w:rsid w:val="15127621"/>
    <w:rsid w:val="15145780"/>
    <w:rsid w:val="15190FE8"/>
    <w:rsid w:val="152359C3"/>
    <w:rsid w:val="153D5C5E"/>
    <w:rsid w:val="15406575"/>
    <w:rsid w:val="154D2014"/>
    <w:rsid w:val="15587D3B"/>
    <w:rsid w:val="155B33AF"/>
    <w:rsid w:val="15602773"/>
    <w:rsid w:val="156B7CAF"/>
    <w:rsid w:val="1573694A"/>
    <w:rsid w:val="157F52EF"/>
    <w:rsid w:val="158226E9"/>
    <w:rsid w:val="158635A0"/>
    <w:rsid w:val="158C2838"/>
    <w:rsid w:val="158F1A82"/>
    <w:rsid w:val="159643E7"/>
    <w:rsid w:val="159B19FD"/>
    <w:rsid w:val="15A00DC2"/>
    <w:rsid w:val="15A563D8"/>
    <w:rsid w:val="15A83398"/>
    <w:rsid w:val="15DA1E69"/>
    <w:rsid w:val="15DC256D"/>
    <w:rsid w:val="15DD0268"/>
    <w:rsid w:val="15DD3DC4"/>
    <w:rsid w:val="15E05662"/>
    <w:rsid w:val="15E0567B"/>
    <w:rsid w:val="15E32D52"/>
    <w:rsid w:val="15E7507B"/>
    <w:rsid w:val="15EC2259"/>
    <w:rsid w:val="15FD4466"/>
    <w:rsid w:val="16070E41"/>
    <w:rsid w:val="160E4BCE"/>
    <w:rsid w:val="161377E5"/>
    <w:rsid w:val="161A6DC6"/>
    <w:rsid w:val="161C2B3E"/>
    <w:rsid w:val="161D68B6"/>
    <w:rsid w:val="16290DB7"/>
    <w:rsid w:val="16337E88"/>
    <w:rsid w:val="163559AE"/>
    <w:rsid w:val="1656474A"/>
    <w:rsid w:val="16664E01"/>
    <w:rsid w:val="166E2C6E"/>
    <w:rsid w:val="16943AE7"/>
    <w:rsid w:val="16955F3B"/>
    <w:rsid w:val="169731FB"/>
    <w:rsid w:val="16A55F6D"/>
    <w:rsid w:val="16BA2357"/>
    <w:rsid w:val="16C86822"/>
    <w:rsid w:val="16E573D4"/>
    <w:rsid w:val="16F941FF"/>
    <w:rsid w:val="17046984"/>
    <w:rsid w:val="17076407"/>
    <w:rsid w:val="170C48BF"/>
    <w:rsid w:val="171D50F7"/>
    <w:rsid w:val="17237EFC"/>
    <w:rsid w:val="17365E81"/>
    <w:rsid w:val="1744663C"/>
    <w:rsid w:val="17453A4C"/>
    <w:rsid w:val="17467C1C"/>
    <w:rsid w:val="174B41D2"/>
    <w:rsid w:val="174D36C8"/>
    <w:rsid w:val="174E7B68"/>
    <w:rsid w:val="1763479D"/>
    <w:rsid w:val="176D1177"/>
    <w:rsid w:val="176F2F9C"/>
    <w:rsid w:val="17872239"/>
    <w:rsid w:val="178C31AD"/>
    <w:rsid w:val="17990293"/>
    <w:rsid w:val="17AE3C6A"/>
    <w:rsid w:val="17BD00A2"/>
    <w:rsid w:val="17BD3EAD"/>
    <w:rsid w:val="17BF5E77"/>
    <w:rsid w:val="17C0574B"/>
    <w:rsid w:val="17C57205"/>
    <w:rsid w:val="17D11706"/>
    <w:rsid w:val="17D26A45"/>
    <w:rsid w:val="17D47448"/>
    <w:rsid w:val="17DC7AB4"/>
    <w:rsid w:val="17F11DA8"/>
    <w:rsid w:val="17FA40E5"/>
    <w:rsid w:val="17FF2717"/>
    <w:rsid w:val="182202C6"/>
    <w:rsid w:val="18251A52"/>
    <w:rsid w:val="182D2239"/>
    <w:rsid w:val="18300061"/>
    <w:rsid w:val="183539C6"/>
    <w:rsid w:val="183F2B14"/>
    <w:rsid w:val="18491BE4"/>
    <w:rsid w:val="18567E5D"/>
    <w:rsid w:val="185B4833"/>
    <w:rsid w:val="186C142F"/>
    <w:rsid w:val="18764BC3"/>
    <w:rsid w:val="187B6DBF"/>
    <w:rsid w:val="188A661C"/>
    <w:rsid w:val="189D783A"/>
    <w:rsid w:val="18A15615"/>
    <w:rsid w:val="18A62DDE"/>
    <w:rsid w:val="18A73371"/>
    <w:rsid w:val="18BF1EA7"/>
    <w:rsid w:val="18C43019"/>
    <w:rsid w:val="18D94D16"/>
    <w:rsid w:val="18DF3465"/>
    <w:rsid w:val="18E11E1D"/>
    <w:rsid w:val="18EB2C9C"/>
    <w:rsid w:val="18F47C3A"/>
    <w:rsid w:val="18F7519C"/>
    <w:rsid w:val="18FA6A3B"/>
    <w:rsid w:val="18FB7D8E"/>
    <w:rsid w:val="18FF04F5"/>
    <w:rsid w:val="19006747"/>
    <w:rsid w:val="191F46F3"/>
    <w:rsid w:val="1921046B"/>
    <w:rsid w:val="192A5572"/>
    <w:rsid w:val="19301518"/>
    <w:rsid w:val="19304489"/>
    <w:rsid w:val="19305329"/>
    <w:rsid w:val="193B4290"/>
    <w:rsid w:val="193B6F43"/>
    <w:rsid w:val="19516FA3"/>
    <w:rsid w:val="19730CB1"/>
    <w:rsid w:val="198F74A6"/>
    <w:rsid w:val="19AD57B1"/>
    <w:rsid w:val="19C72DC1"/>
    <w:rsid w:val="19C92FDD"/>
    <w:rsid w:val="19CC51AB"/>
    <w:rsid w:val="19D64257"/>
    <w:rsid w:val="19DA3CF6"/>
    <w:rsid w:val="19DE010A"/>
    <w:rsid w:val="19DF45AE"/>
    <w:rsid w:val="19E27BFB"/>
    <w:rsid w:val="19E41BC5"/>
    <w:rsid w:val="19E971DB"/>
    <w:rsid w:val="19EA2F53"/>
    <w:rsid w:val="19EC0A79"/>
    <w:rsid w:val="19EC5296"/>
    <w:rsid w:val="19F26FDA"/>
    <w:rsid w:val="19F416DC"/>
    <w:rsid w:val="1A02029D"/>
    <w:rsid w:val="1A051A51"/>
    <w:rsid w:val="1A091A57"/>
    <w:rsid w:val="1A0933D9"/>
    <w:rsid w:val="1A143B2C"/>
    <w:rsid w:val="1A2E4BEE"/>
    <w:rsid w:val="1A337C08"/>
    <w:rsid w:val="1A5B175B"/>
    <w:rsid w:val="1A6B6A63"/>
    <w:rsid w:val="1A6E4F9F"/>
    <w:rsid w:val="1A7B3BAB"/>
    <w:rsid w:val="1A8B0292"/>
    <w:rsid w:val="1A976C37"/>
    <w:rsid w:val="1AB01AA7"/>
    <w:rsid w:val="1AC004BD"/>
    <w:rsid w:val="1AC33221"/>
    <w:rsid w:val="1AC3610A"/>
    <w:rsid w:val="1AD03EF7"/>
    <w:rsid w:val="1AD34932"/>
    <w:rsid w:val="1AE41750"/>
    <w:rsid w:val="1B102545"/>
    <w:rsid w:val="1B114DCB"/>
    <w:rsid w:val="1B2B3823"/>
    <w:rsid w:val="1B3C173F"/>
    <w:rsid w:val="1B3F53B7"/>
    <w:rsid w:val="1B504B5D"/>
    <w:rsid w:val="1B5A7C65"/>
    <w:rsid w:val="1B701236"/>
    <w:rsid w:val="1B861760"/>
    <w:rsid w:val="1B872AB8"/>
    <w:rsid w:val="1B8D003A"/>
    <w:rsid w:val="1B90717A"/>
    <w:rsid w:val="1BAB226E"/>
    <w:rsid w:val="1BAC6712"/>
    <w:rsid w:val="1BC16115"/>
    <w:rsid w:val="1BC17CE4"/>
    <w:rsid w:val="1BC25F36"/>
    <w:rsid w:val="1BD82798"/>
    <w:rsid w:val="1BDF0F49"/>
    <w:rsid w:val="1BDF1ECC"/>
    <w:rsid w:val="1BEC6B0F"/>
    <w:rsid w:val="1BF65BDF"/>
    <w:rsid w:val="1BFB4FA4"/>
    <w:rsid w:val="1BFE66F0"/>
    <w:rsid w:val="1C024584"/>
    <w:rsid w:val="1C097B8F"/>
    <w:rsid w:val="1C0E15A4"/>
    <w:rsid w:val="1C1B283C"/>
    <w:rsid w:val="1C200EAE"/>
    <w:rsid w:val="1C395ACC"/>
    <w:rsid w:val="1C3A52E8"/>
    <w:rsid w:val="1C4A1A87"/>
    <w:rsid w:val="1C5C23DC"/>
    <w:rsid w:val="1C634044"/>
    <w:rsid w:val="1C6B5FFE"/>
    <w:rsid w:val="1C86170A"/>
    <w:rsid w:val="1CA47A0D"/>
    <w:rsid w:val="1CA72AA1"/>
    <w:rsid w:val="1CAC4E19"/>
    <w:rsid w:val="1CC21F65"/>
    <w:rsid w:val="1CC8130B"/>
    <w:rsid w:val="1CDC0B3F"/>
    <w:rsid w:val="1CF87735"/>
    <w:rsid w:val="1CFA0AA4"/>
    <w:rsid w:val="1D031FA5"/>
    <w:rsid w:val="1D0B44EE"/>
    <w:rsid w:val="1D0B7468"/>
    <w:rsid w:val="1D0F70BC"/>
    <w:rsid w:val="1D1207F7"/>
    <w:rsid w:val="1D134E28"/>
    <w:rsid w:val="1D230C56"/>
    <w:rsid w:val="1D463497"/>
    <w:rsid w:val="1D6E4A9C"/>
    <w:rsid w:val="1D6F4BB8"/>
    <w:rsid w:val="1D76522A"/>
    <w:rsid w:val="1D796CA4"/>
    <w:rsid w:val="1D915330"/>
    <w:rsid w:val="1D921938"/>
    <w:rsid w:val="1D927B8A"/>
    <w:rsid w:val="1D9743C3"/>
    <w:rsid w:val="1D9B4C90"/>
    <w:rsid w:val="1D9C02F4"/>
    <w:rsid w:val="1DA43419"/>
    <w:rsid w:val="1DBD517C"/>
    <w:rsid w:val="1DDD1F18"/>
    <w:rsid w:val="1DE859FC"/>
    <w:rsid w:val="1DF660B5"/>
    <w:rsid w:val="1DF83E91"/>
    <w:rsid w:val="1E081852"/>
    <w:rsid w:val="1E147B9C"/>
    <w:rsid w:val="1E1D5F75"/>
    <w:rsid w:val="1E276524"/>
    <w:rsid w:val="1E2B344E"/>
    <w:rsid w:val="1E2C078D"/>
    <w:rsid w:val="1E363C0A"/>
    <w:rsid w:val="1E49383C"/>
    <w:rsid w:val="1E522E75"/>
    <w:rsid w:val="1E6A6074"/>
    <w:rsid w:val="1E83119C"/>
    <w:rsid w:val="1E931057"/>
    <w:rsid w:val="1EA062D6"/>
    <w:rsid w:val="1EA5569B"/>
    <w:rsid w:val="1EA71413"/>
    <w:rsid w:val="1EAD7DE2"/>
    <w:rsid w:val="1EC60D44"/>
    <w:rsid w:val="1EC93137"/>
    <w:rsid w:val="1ECA3667"/>
    <w:rsid w:val="1ED32208"/>
    <w:rsid w:val="1ED9336F"/>
    <w:rsid w:val="1EE15BD2"/>
    <w:rsid w:val="1EE95587"/>
    <w:rsid w:val="1EFB52BB"/>
    <w:rsid w:val="1F102F5E"/>
    <w:rsid w:val="1F163F8E"/>
    <w:rsid w:val="1F1C595D"/>
    <w:rsid w:val="1F2448BB"/>
    <w:rsid w:val="1F295B07"/>
    <w:rsid w:val="1F332CA6"/>
    <w:rsid w:val="1F410312"/>
    <w:rsid w:val="1F427541"/>
    <w:rsid w:val="1F432984"/>
    <w:rsid w:val="1F505606"/>
    <w:rsid w:val="1F560746"/>
    <w:rsid w:val="1F6D6B9B"/>
    <w:rsid w:val="1F722827"/>
    <w:rsid w:val="1F772D2E"/>
    <w:rsid w:val="1F8424B8"/>
    <w:rsid w:val="1F9000F9"/>
    <w:rsid w:val="1F947BE9"/>
    <w:rsid w:val="1FA92F69"/>
    <w:rsid w:val="1FB2188E"/>
    <w:rsid w:val="1FB45B95"/>
    <w:rsid w:val="1FB931AC"/>
    <w:rsid w:val="1FD9384E"/>
    <w:rsid w:val="1FDE70B6"/>
    <w:rsid w:val="1FEE3C71"/>
    <w:rsid w:val="1FEE4DB0"/>
    <w:rsid w:val="20166850"/>
    <w:rsid w:val="202A22FB"/>
    <w:rsid w:val="202F63D0"/>
    <w:rsid w:val="202F7912"/>
    <w:rsid w:val="203211B0"/>
    <w:rsid w:val="203A6D77"/>
    <w:rsid w:val="204213F3"/>
    <w:rsid w:val="204A474C"/>
    <w:rsid w:val="20546E99"/>
    <w:rsid w:val="20547378"/>
    <w:rsid w:val="206E5844"/>
    <w:rsid w:val="20855784"/>
    <w:rsid w:val="209D66EF"/>
    <w:rsid w:val="20C756E7"/>
    <w:rsid w:val="20DF30E6"/>
    <w:rsid w:val="20E73D48"/>
    <w:rsid w:val="20E93F65"/>
    <w:rsid w:val="210C1A01"/>
    <w:rsid w:val="21127D99"/>
    <w:rsid w:val="211636D4"/>
    <w:rsid w:val="211C5AF0"/>
    <w:rsid w:val="211F34E2"/>
    <w:rsid w:val="212B4228"/>
    <w:rsid w:val="21372D0F"/>
    <w:rsid w:val="213D14CF"/>
    <w:rsid w:val="21463165"/>
    <w:rsid w:val="21570ECE"/>
    <w:rsid w:val="21751354"/>
    <w:rsid w:val="217960B9"/>
    <w:rsid w:val="21845A3B"/>
    <w:rsid w:val="219D08AB"/>
    <w:rsid w:val="21AD0AEE"/>
    <w:rsid w:val="21B3582C"/>
    <w:rsid w:val="21BF0821"/>
    <w:rsid w:val="21CE2E82"/>
    <w:rsid w:val="21D97B35"/>
    <w:rsid w:val="21E72028"/>
    <w:rsid w:val="21F7620D"/>
    <w:rsid w:val="220D659B"/>
    <w:rsid w:val="221A5500"/>
    <w:rsid w:val="221C3EC6"/>
    <w:rsid w:val="2221328A"/>
    <w:rsid w:val="22274D44"/>
    <w:rsid w:val="2238098F"/>
    <w:rsid w:val="223E74A6"/>
    <w:rsid w:val="22761828"/>
    <w:rsid w:val="227F12D0"/>
    <w:rsid w:val="22800451"/>
    <w:rsid w:val="22834F2F"/>
    <w:rsid w:val="22853819"/>
    <w:rsid w:val="228D26CE"/>
    <w:rsid w:val="228E32C0"/>
    <w:rsid w:val="22C57572"/>
    <w:rsid w:val="22C72083"/>
    <w:rsid w:val="22D609DF"/>
    <w:rsid w:val="22DF73CD"/>
    <w:rsid w:val="22F14E9B"/>
    <w:rsid w:val="22F369D5"/>
    <w:rsid w:val="23055898"/>
    <w:rsid w:val="23130E25"/>
    <w:rsid w:val="23137077"/>
    <w:rsid w:val="23396480"/>
    <w:rsid w:val="234A05BF"/>
    <w:rsid w:val="235651B5"/>
    <w:rsid w:val="2366364A"/>
    <w:rsid w:val="238773C3"/>
    <w:rsid w:val="23977CA8"/>
    <w:rsid w:val="239857CE"/>
    <w:rsid w:val="239B2AE6"/>
    <w:rsid w:val="23A979DB"/>
    <w:rsid w:val="23B4085A"/>
    <w:rsid w:val="23BE3486"/>
    <w:rsid w:val="23D87C19"/>
    <w:rsid w:val="23DF21E5"/>
    <w:rsid w:val="23DF33FD"/>
    <w:rsid w:val="23F1199F"/>
    <w:rsid w:val="23F21382"/>
    <w:rsid w:val="23F6158E"/>
    <w:rsid w:val="23FA0237"/>
    <w:rsid w:val="23FE7D27"/>
    <w:rsid w:val="2406098A"/>
    <w:rsid w:val="24086E35"/>
    <w:rsid w:val="241276EE"/>
    <w:rsid w:val="241A51F1"/>
    <w:rsid w:val="242E3FEA"/>
    <w:rsid w:val="24356AF4"/>
    <w:rsid w:val="24381196"/>
    <w:rsid w:val="243A7C66"/>
    <w:rsid w:val="24651B54"/>
    <w:rsid w:val="24673315"/>
    <w:rsid w:val="246B154C"/>
    <w:rsid w:val="247C18F0"/>
    <w:rsid w:val="248024EA"/>
    <w:rsid w:val="24971117"/>
    <w:rsid w:val="249B4065"/>
    <w:rsid w:val="249C559F"/>
    <w:rsid w:val="24A055F8"/>
    <w:rsid w:val="24A13BA8"/>
    <w:rsid w:val="24B17ABD"/>
    <w:rsid w:val="24BB1774"/>
    <w:rsid w:val="24BC729A"/>
    <w:rsid w:val="24D31BA1"/>
    <w:rsid w:val="24E24519"/>
    <w:rsid w:val="24E94533"/>
    <w:rsid w:val="24F133E8"/>
    <w:rsid w:val="24F224E9"/>
    <w:rsid w:val="24F76BB2"/>
    <w:rsid w:val="24F86524"/>
    <w:rsid w:val="25036248"/>
    <w:rsid w:val="25090731"/>
    <w:rsid w:val="25165411"/>
    <w:rsid w:val="251C1EE5"/>
    <w:rsid w:val="25276E09"/>
    <w:rsid w:val="252C4420"/>
    <w:rsid w:val="254C6870"/>
    <w:rsid w:val="25583467"/>
    <w:rsid w:val="256911D0"/>
    <w:rsid w:val="2574294D"/>
    <w:rsid w:val="25872895"/>
    <w:rsid w:val="259B2F43"/>
    <w:rsid w:val="259C15A5"/>
    <w:rsid w:val="25A477D9"/>
    <w:rsid w:val="25C26B32"/>
    <w:rsid w:val="25DE7B57"/>
    <w:rsid w:val="25E26A3A"/>
    <w:rsid w:val="25E33337"/>
    <w:rsid w:val="25E82C2C"/>
    <w:rsid w:val="25F032CE"/>
    <w:rsid w:val="25F0544D"/>
    <w:rsid w:val="25F747AF"/>
    <w:rsid w:val="25FC2044"/>
    <w:rsid w:val="26143B64"/>
    <w:rsid w:val="2616700A"/>
    <w:rsid w:val="262E5F76"/>
    <w:rsid w:val="263537A8"/>
    <w:rsid w:val="263E265D"/>
    <w:rsid w:val="265170F2"/>
    <w:rsid w:val="26591245"/>
    <w:rsid w:val="26690388"/>
    <w:rsid w:val="266F7EE1"/>
    <w:rsid w:val="26771A93"/>
    <w:rsid w:val="26802C75"/>
    <w:rsid w:val="26A85D28"/>
    <w:rsid w:val="26C678B5"/>
    <w:rsid w:val="26D3789B"/>
    <w:rsid w:val="26DB7EAB"/>
    <w:rsid w:val="26E8081A"/>
    <w:rsid w:val="26FC4887"/>
    <w:rsid w:val="26FC6002"/>
    <w:rsid w:val="27004A09"/>
    <w:rsid w:val="270F3FF9"/>
    <w:rsid w:val="271433BD"/>
    <w:rsid w:val="27165388"/>
    <w:rsid w:val="27391076"/>
    <w:rsid w:val="273F48DE"/>
    <w:rsid w:val="27561C28"/>
    <w:rsid w:val="27657C2C"/>
    <w:rsid w:val="27750300"/>
    <w:rsid w:val="27782C4C"/>
    <w:rsid w:val="27783B5E"/>
    <w:rsid w:val="27863752"/>
    <w:rsid w:val="278A18D2"/>
    <w:rsid w:val="27A6495D"/>
    <w:rsid w:val="27B7260C"/>
    <w:rsid w:val="27BF157B"/>
    <w:rsid w:val="27CF4BFA"/>
    <w:rsid w:val="27D16E52"/>
    <w:rsid w:val="27DD7C53"/>
    <w:rsid w:val="280E414A"/>
    <w:rsid w:val="281875F2"/>
    <w:rsid w:val="281C69CE"/>
    <w:rsid w:val="28216E50"/>
    <w:rsid w:val="28255F5E"/>
    <w:rsid w:val="282E04AF"/>
    <w:rsid w:val="28373807"/>
    <w:rsid w:val="28390BA4"/>
    <w:rsid w:val="283D6944"/>
    <w:rsid w:val="28416434"/>
    <w:rsid w:val="284D4DD9"/>
    <w:rsid w:val="284D76B0"/>
    <w:rsid w:val="2852704F"/>
    <w:rsid w:val="28594B9F"/>
    <w:rsid w:val="285F68BA"/>
    <w:rsid w:val="28650375"/>
    <w:rsid w:val="28697739"/>
    <w:rsid w:val="28724840"/>
    <w:rsid w:val="287C56BE"/>
    <w:rsid w:val="288307FB"/>
    <w:rsid w:val="28991DCC"/>
    <w:rsid w:val="289E594F"/>
    <w:rsid w:val="28AF7842"/>
    <w:rsid w:val="28B6620C"/>
    <w:rsid w:val="28CA45C8"/>
    <w:rsid w:val="28CB4DAA"/>
    <w:rsid w:val="28CD7CC8"/>
    <w:rsid w:val="28D6498F"/>
    <w:rsid w:val="28DA0229"/>
    <w:rsid w:val="28E079FB"/>
    <w:rsid w:val="28EA6ABB"/>
    <w:rsid w:val="28F2772E"/>
    <w:rsid w:val="28F416F8"/>
    <w:rsid w:val="28F74D45"/>
    <w:rsid w:val="2900009D"/>
    <w:rsid w:val="29017971"/>
    <w:rsid w:val="290D1266"/>
    <w:rsid w:val="29315FA2"/>
    <w:rsid w:val="293E1FBE"/>
    <w:rsid w:val="29455AB0"/>
    <w:rsid w:val="294837F2"/>
    <w:rsid w:val="294A30C6"/>
    <w:rsid w:val="29692B9A"/>
    <w:rsid w:val="296A200A"/>
    <w:rsid w:val="29747D10"/>
    <w:rsid w:val="2996214F"/>
    <w:rsid w:val="2996688C"/>
    <w:rsid w:val="29AA0009"/>
    <w:rsid w:val="29AF561F"/>
    <w:rsid w:val="29BC518D"/>
    <w:rsid w:val="29BD6749"/>
    <w:rsid w:val="29C25353"/>
    <w:rsid w:val="29C400CD"/>
    <w:rsid w:val="29C410CB"/>
    <w:rsid w:val="29C72969"/>
    <w:rsid w:val="29CC4423"/>
    <w:rsid w:val="29CD70E8"/>
    <w:rsid w:val="29E143F9"/>
    <w:rsid w:val="29E928DF"/>
    <w:rsid w:val="2A1B4A63"/>
    <w:rsid w:val="2A1D07DB"/>
    <w:rsid w:val="2A2158AB"/>
    <w:rsid w:val="2A261D32"/>
    <w:rsid w:val="2A285235"/>
    <w:rsid w:val="2A2B593B"/>
    <w:rsid w:val="2A506E02"/>
    <w:rsid w:val="2A514230"/>
    <w:rsid w:val="2A5561C7"/>
    <w:rsid w:val="2A6308E4"/>
    <w:rsid w:val="2A816FBC"/>
    <w:rsid w:val="2A900FAD"/>
    <w:rsid w:val="2A9515BF"/>
    <w:rsid w:val="2A9C3B72"/>
    <w:rsid w:val="2A9C5BA4"/>
    <w:rsid w:val="2A9F6179"/>
    <w:rsid w:val="2AA66B98"/>
    <w:rsid w:val="2ACA02C2"/>
    <w:rsid w:val="2ACB46DB"/>
    <w:rsid w:val="2AD36BD5"/>
    <w:rsid w:val="2AD50959"/>
    <w:rsid w:val="2AD8308E"/>
    <w:rsid w:val="2B084FE7"/>
    <w:rsid w:val="2B0C0F7B"/>
    <w:rsid w:val="2B0E0484"/>
    <w:rsid w:val="2B14398C"/>
    <w:rsid w:val="2B25203D"/>
    <w:rsid w:val="2B2A4E34"/>
    <w:rsid w:val="2B2C517A"/>
    <w:rsid w:val="2B45623B"/>
    <w:rsid w:val="2B6E5792"/>
    <w:rsid w:val="2B873EF8"/>
    <w:rsid w:val="2B8F0E0F"/>
    <w:rsid w:val="2B9B5E5B"/>
    <w:rsid w:val="2BB26BC5"/>
    <w:rsid w:val="2BB94533"/>
    <w:rsid w:val="2BC43604"/>
    <w:rsid w:val="2BF436AD"/>
    <w:rsid w:val="2BFE1402"/>
    <w:rsid w:val="2C3062B8"/>
    <w:rsid w:val="2C3167C0"/>
    <w:rsid w:val="2C3A1B18"/>
    <w:rsid w:val="2C4C3333"/>
    <w:rsid w:val="2C4C3C7B"/>
    <w:rsid w:val="2C6575BF"/>
    <w:rsid w:val="2C6D52D0"/>
    <w:rsid w:val="2C730B86"/>
    <w:rsid w:val="2C7566AC"/>
    <w:rsid w:val="2C772424"/>
    <w:rsid w:val="2C8B3FBA"/>
    <w:rsid w:val="2CA70830"/>
    <w:rsid w:val="2CA952D4"/>
    <w:rsid w:val="2CAA2705"/>
    <w:rsid w:val="2CB177FA"/>
    <w:rsid w:val="2CB844A1"/>
    <w:rsid w:val="2CC54192"/>
    <w:rsid w:val="2CCC159E"/>
    <w:rsid w:val="2CD00C85"/>
    <w:rsid w:val="2CD71115"/>
    <w:rsid w:val="2CEF36B5"/>
    <w:rsid w:val="2CF577ED"/>
    <w:rsid w:val="2D085772"/>
    <w:rsid w:val="2D142369"/>
    <w:rsid w:val="2D216834"/>
    <w:rsid w:val="2D2D51D9"/>
    <w:rsid w:val="2D3B5B48"/>
    <w:rsid w:val="2D4D555B"/>
    <w:rsid w:val="2D5F6C93"/>
    <w:rsid w:val="2D624AE2"/>
    <w:rsid w:val="2D634703"/>
    <w:rsid w:val="2D68440E"/>
    <w:rsid w:val="2D724D1D"/>
    <w:rsid w:val="2D7921CC"/>
    <w:rsid w:val="2D7D351A"/>
    <w:rsid w:val="2D8C63A3"/>
    <w:rsid w:val="2D973E98"/>
    <w:rsid w:val="2D9D45BF"/>
    <w:rsid w:val="2DAF531C"/>
    <w:rsid w:val="2DD67732"/>
    <w:rsid w:val="2DD85145"/>
    <w:rsid w:val="2DE6065A"/>
    <w:rsid w:val="2E020D89"/>
    <w:rsid w:val="2E04418C"/>
    <w:rsid w:val="2E0A551A"/>
    <w:rsid w:val="2E113916"/>
    <w:rsid w:val="2E1D3E2F"/>
    <w:rsid w:val="2E296B95"/>
    <w:rsid w:val="2E3F3416"/>
    <w:rsid w:val="2E402CEA"/>
    <w:rsid w:val="2E53788E"/>
    <w:rsid w:val="2E5C271C"/>
    <w:rsid w:val="2E6266B9"/>
    <w:rsid w:val="2E9077CD"/>
    <w:rsid w:val="2E9C4F2B"/>
    <w:rsid w:val="2EC21951"/>
    <w:rsid w:val="2EC27BA3"/>
    <w:rsid w:val="2EC31520"/>
    <w:rsid w:val="2EC61441"/>
    <w:rsid w:val="2EC91791"/>
    <w:rsid w:val="2ECA3572"/>
    <w:rsid w:val="2ECE6548"/>
    <w:rsid w:val="2EDA313F"/>
    <w:rsid w:val="2EE23DA1"/>
    <w:rsid w:val="2EEA070E"/>
    <w:rsid w:val="2EEA47D6"/>
    <w:rsid w:val="2F1F6DA3"/>
    <w:rsid w:val="2F283EAA"/>
    <w:rsid w:val="2F2F5238"/>
    <w:rsid w:val="2F464330"/>
    <w:rsid w:val="2F48361F"/>
    <w:rsid w:val="2F61116A"/>
    <w:rsid w:val="2F70526B"/>
    <w:rsid w:val="2F7470EF"/>
    <w:rsid w:val="2F7B222C"/>
    <w:rsid w:val="2F8860C3"/>
    <w:rsid w:val="2F8B61E7"/>
    <w:rsid w:val="2F8D1867"/>
    <w:rsid w:val="2F9F3B9F"/>
    <w:rsid w:val="2FB120F1"/>
    <w:rsid w:val="2FB7522E"/>
    <w:rsid w:val="2FBC2844"/>
    <w:rsid w:val="2FCA5E76"/>
    <w:rsid w:val="2FD8768A"/>
    <w:rsid w:val="2FDE577C"/>
    <w:rsid w:val="2FE37089"/>
    <w:rsid w:val="2FF52573"/>
    <w:rsid w:val="2FF81ACE"/>
    <w:rsid w:val="30110DE2"/>
    <w:rsid w:val="301341BC"/>
    <w:rsid w:val="301C445C"/>
    <w:rsid w:val="301F3682"/>
    <w:rsid w:val="302A3C52"/>
    <w:rsid w:val="302E2617"/>
    <w:rsid w:val="303C4FF7"/>
    <w:rsid w:val="30466CDD"/>
    <w:rsid w:val="304732AA"/>
    <w:rsid w:val="304C1E1A"/>
    <w:rsid w:val="308912DA"/>
    <w:rsid w:val="308A2D31"/>
    <w:rsid w:val="309F019C"/>
    <w:rsid w:val="309F1F4A"/>
    <w:rsid w:val="30AD41EB"/>
    <w:rsid w:val="30B25918"/>
    <w:rsid w:val="30C22BBE"/>
    <w:rsid w:val="30C605ED"/>
    <w:rsid w:val="30C929B7"/>
    <w:rsid w:val="30D50061"/>
    <w:rsid w:val="30D7502F"/>
    <w:rsid w:val="30DA10AD"/>
    <w:rsid w:val="310C0C59"/>
    <w:rsid w:val="311A3CC6"/>
    <w:rsid w:val="31280191"/>
    <w:rsid w:val="313660E1"/>
    <w:rsid w:val="313E0256"/>
    <w:rsid w:val="315174A9"/>
    <w:rsid w:val="316350FE"/>
    <w:rsid w:val="316C47F3"/>
    <w:rsid w:val="316C61B0"/>
    <w:rsid w:val="318D26EA"/>
    <w:rsid w:val="31971BEA"/>
    <w:rsid w:val="319B6C78"/>
    <w:rsid w:val="319F5101"/>
    <w:rsid w:val="31A6555A"/>
    <w:rsid w:val="31CF4AB1"/>
    <w:rsid w:val="31D34F15"/>
    <w:rsid w:val="31DE2F3F"/>
    <w:rsid w:val="31EF0871"/>
    <w:rsid w:val="31F664E1"/>
    <w:rsid w:val="31FA62F1"/>
    <w:rsid w:val="32081D71"/>
    <w:rsid w:val="320A3D3B"/>
    <w:rsid w:val="320C7AB3"/>
    <w:rsid w:val="32242AD2"/>
    <w:rsid w:val="323A4620"/>
    <w:rsid w:val="32513929"/>
    <w:rsid w:val="326438BC"/>
    <w:rsid w:val="3268280F"/>
    <w:rsid w:val="32713DBA"/>
    <w:rsid w:val="32794A1C"/>
    <w:rsid w:val="327E6FE5"/>
    <w:rsid w:val="32827A03"/>
    <w:rsid w:val="32870003"/>
    <w:rsid w:val="328C72C2"/>
    <w:rsid w:val="329A5F94"/>
    <w:rsid w:val="329C3F31"/>
    <w:rsid w:val="32A73FA5"/>
    <w:rsid w:val="32A970B0"/>
    <w:rsid w:val="32AA645E"/>
    <w:rsid w:val="32B465D4"/>
    <w:rsid w:val="32C637A7"/>
    <w:rsid w:val="32DC6C40"/>
    <w:rsid w:val="32EC24A6"/>
    <w:rsid w:val="32FD564D"/>
    <w:rsid w:val="33067842"/>
    <w:rsid w:val="330F27A2"/>
    <w:rsid w:val="3318228B"/>
    <w:rsid w:val="332901F1"/>
    <w:rsid w:val="3330157F"/>
    <w:rsid w:val="333D4F0D"/>
    <w:rsid w:val="333F17C2"/>
    <w:rsid w:val="33466FF4"/>
    <w:rsid w:val="335B4D4D"/>
    <w:rsid w:val="335C6818"/>
    <w:rsid w:val="33692FD3"/>
    <w:rsid w:val="336978E6"/>
    <w:rsid w:val="337628CA"/>
    <w:rsid w:val="338B0EAB"/>
    <w:rsid w:val="339729FC"/>
    <w:rsid w:val="339D6497"/>
    <w:rsid w:val="33AD497E"/>
    <w:rsid w:val="33B01A25"/>
    <w:rsid w:val="33C024F3"/>
    <w:rsid w:val="33CF2B46"/>
    <w:rsid w:val="33F6401E"/>
    <w:rsid w:val="33F64577"/>
    <w:rsid w:val="33FC674F"/>
    <w:rsid w:val="341B5D8B"/>
    <w:rsid w:val="34367D00"/>
    <w:rsid w:val="3444054E"/>
    <w:rsid w:val="344C59DD"/>
    <w:rsid w:val="34577539"/>
    <w:rsid w:val="34596AF6"/>
    <w:rsid w:val="345D3255"/>
    <w:rsid w:val="34650A83"/>
    <w:rsid w:val="34763909"/>
    <w:rsid w:val="347A3597"/>
    <w:rsid w:val="348103B3"/>
    <w:rsid w:val="34987FD8"/>
    <w:rsid w:val="349B511E"/>
    <w:rsid w:val="34B97CBD"/>
    <w:rsid w:val="34C46423"/>
    <w:rsid w:val="34DA0A32"/>
    <w:rsid w:val="34DD1293"/>
    <w:rsid w:val="34EA5DCD"/>
    <w:rsid w:val="34EE2F66"/>
    <w:rsid w:val="34F62354"/>
    <w:rsid w:val="35064C8D"/>
    <w:rsid w:val="351006CF"/>
    <w:rsid w:val="3517780F"/>
    <w:rsid w:val="3518289E"/>
    <w:rsid w:val="351C6C16"/>
    <w:rsid w:val="35215623"/>
    <w:rsid w:val="3522139B"/>
    <w:rsid w:val="353B24CA"/>
    <w:rsid w:val="354B6B44"/>
    <w:rsid w:val="35523A2F"/>
    <w:rsid w:val="35544FF1"/>
    <w:rsid w:val="356815AA"/>
    <w:rsid w:val="35831E3A"/>
    <w:rsid w:val="35876BB7"/>
    <w:rsid w:val="358A766C"/>
    <w:rsid w:val="358E6A31"/>
    <w:rsid w:val="359027A9"/>
    <w:rsid w:val="35A11008"/>
    <w:rsid w:val="35A3072E"/>
    <w:rsid w:val="35A61253"/>
    <w:rsid w:val="35AF0CFE"/>
    <w:rsid w:val="35AF70D3"/>
    <w:rsid w:val="35BC49A2"/>
    <w:rsid w:val="35BC70FA"/>
    <w:rsid w:val="35D501BC"/>
    <w:rsid w:val="35DF1DC3"/>
    <w:rsid w:val="35E0728C"/>
    <w:rsid w:val="35FA7C22"/>
    <w:rsid w:val="3600792F"/>
    <w:rsid w:val="36274EBB"/>
    <w:rsid w:val="362A0508"/>
    <w:rsid w:val="36453593"/>
    <w:rsid w:val="36502520"/>
    <w:rsid w:val="365B4B65"/>
    <w:rsid w:val="365B6913"/>
    <w:rsid w:val="36617CA1"/>
    <w:rsid w:val="36794FEB"/>
    <w:rsid w:val="367A14DF"/>
    <w:rsid w:val="367A26EC"/>
    <w:rsid w:val="3693173C"/>
    <w:rsid w:val="36965B9D"/>
    <w:rsid w:val="3699040F"/>
    <w:rsid w:val="369C6238"/>
    <w:rsid w:val="369F7DF7"/>
    <w:rsid w:val="36AB0190"/>
    <w:rsid w:val="36B6605D"/>
    <w:rsid w:val="36C3270A"/>
    <w:rsid w:val="36CC7811"/>
    <w:rsid w:val="36D641AB"/>
    <w:rsid w:val="36D95377"/>
    <w:rsid w:val="36DA3A0A"/>
    <w:rsid w:val="36EE5F2E"/>
    <w:rsid w:val="36F01751"/>
    <w:rsid w:val="36F36B33"/>
    <w:rsid w:val="36FA64BE"/>
    <w:rsid w:val="370451FC"/>
    <w:rsid w:val="37092982"/>
    <w:rsid w:val="37180EE6"/>
    <w:rsid w:val="37184804"/>
    <w:rsid w:val="3726190B"/>
    <w:rsid w:val="372861FA"/>
    <w:rsid w:val="372907BF"/>
    <w:rsid w:val="372B2789"/>
    <w:rsid w:val="373A29CC"/>
    <w:rsid w:val="37437BB7"/>
    <w:rsid w:val="37454504"/>
    <w:rsid w:val="374C2700"/>
    <w:rsid w:val="375F2433"/>
    <w:rsid w:val="376161AB"/>
    <w:rsid w:val="378679C0"/>
    <w:rsid w:val="378712A8"/>
    <w:rsid w:val="378955B8"/>
    <w:rsid w:val="378B382E"/>
    <w:rsid w:val="378C0B8A"/>
    <w:rsid w:val="37941532"/>
    <w:rsid w:val="37945E99"/>
    <w:rsid w:val="379E64F3"/>
    <w:rsid w:val="37A10C9D"/>
    <w:rsid w:val="37A20571"/>
    <w:rsid w:val="37A27996"/>
    <w:rsid w:val="37A45211"/>
    <w:rsid w:val="37AC7B74"/>
    <w:rsid w:val="37CE779B"/>
    <w:rsid w:val="37EC4B4C"/>
    <w:rsid w:val="37FE7E9E"/>
    <w:rsid w:val="38033706"/>
    <w:rsid w:val="380F5C07"/>
    <w:rsid w:val="38163439"/>
    <w:rsid w:val="38196101"/>
    <w:rsid w:val="381E409C"/>
    <w:rsid w:val="382221C6"/>
    <w:rsid w:val="382A2A41"/>
    <w:rsid w:val="38305B7D"/>
    <w:rsid w:val="3834566E"/>
    <w:rsid w:val="384A30E3"/>
    <w:rsid w:val="384D4981"/>
    <w:rsid w:val="385B6485"/>
    <w:rsid w:val="38740160"/>
    <w:rsid w:val="38763ED8"/>
    <w:rsid w:val="387939C8"/>
    <w:rsid w:val="388D2FD0"/>
    <w:rsid w:val="389205E6"/>
    <w:rsid w:val="38926838"/>
    <w:rsid w:val="389B67A0"/>
    <w:rsid w:val="38A50319"/>
    <w:rsid w:val="38A8605B"/>
    <w:rsid w:val="38AC5B4C"/>
    <w:rsid w:val="38D5710E"/>
    <w:rsid w:val="38F80D91"/>
    <w:rsid w:val="38FD1534"/>
    <w:rsid w:val="38FF1191"/>
    <w:rsid w:val="390F1A9A"/>
    <w:rsid w:val="393A4F06"/>
    <w:rsid w:val="393B7CF1"/>
    <w:rsid w:val="39400042"/>
    <w:rsid w:val="39445D84"/>
    <w:rsid w:val="394538AA"/>
    <w:rsid w:val="394A16DD"/>
    <w:rsid w:val="3955089B"/>
    <w:rsid w:val="395D2055"/>
    <w:rsid w:val="396106E4"/>
    <w:rsid w:val="39623434"/>
    <w:rsid w:val="396A4FBD"/>
    <w:rsid w:val="396C0E37"/>
    <w:rsid w:val="3971644D"/>
    <w:rsid w:val="397D3F60"/>
    <w:rsid w:val="398919E9"/>
    <w:rsid w:val="39A22797"/>
    <w:rsid w:val="39A22AAB"/>
    <w:rsid w:val="39A92C0E"/>
    <w:rsid w:val="39BA4298"/>
    <w:rsid w:val="39DB1DF9"/>
    <w:rsid w:val="39DD11A6"/>
    <w:rsid w:val="39EF620D"/>
    <w:rsid w:val="39F21A1E"/>
    <w:rsid w:val="3A0C25C8"/>
    <w:rsid w:val="3A30619B"/>
    <w:rsid w:val="3A323E2F"/>
    <w:rsid w:val="3A325BDD"/>
    <w:rsid w:val="3A396F6B"/>
    <w:rsid w:val="3A4A6127"/>
    <w:rsid w:val="3A684EE0"/>
    <w:rsid w:val="3A782F7C"/>
    <w:rsid w:val="3A8B4E96"/>
    <w:rsid w:val="3A8D375B"/>
    <w:rsid w:val="3A915FFB"/>
    <w:rsid w:val="3A9B05D4"/>
    <w:rsid w:val="3AA7481D"/>
    <w:rsid w:val="3ADB6274"/>
    <w:rsid w:val="3AEA6D99"/>
    <w:rsid w:val="3AF27644"/>
    <w:rsid w:val="3B1E4DAE"/>
    <w:rsid w:val="3B261E1B"/>
    <w:rsid w:val="3B350DB1"/>
    <w:rsid w:val="3B3D2A8B"/>
    <w:rsid w:val="3B3D6F2F"/>
    <w:rsid w:val="3B497682"/>
    <w:rsid w:val="3B502023"/>
    <w:rsid w:val="3B5335CD"/>
    <w:rsid w:val="3B5E1F75"/>
    <w:rsid w:val="3B8B1A48"/>
    <w:rsid w:val="3B974891"/>
    <w:rsid w:val="3B9968D7"/>
    <w:rsid w:val="3B9F54F4"/>
    <w:rsid w:val="3BAB20EB"/>
    <w:rsid w:val="3BB15227"/>
    <w:rsid w:val="3BB84F7B"/>
    <w:rsid w:val="3BBE7A10"/>
    <w:rsid w:val="3BC907C3"/>
    <w:rsid w:val="3BCD19E7"/>
    <w:rsid w:val="3BD553B9"/>
    <w:rsid w:val="3BD71483"/>
    <w:rsid w:val="3BD939C5"/>
    <w:rsid w:val="3BE15B0C"/>
    <w:rsid w:val="3BEE0229"/>
    <w:rsid w:val="3BF07AFD"/>
    <w:rsid w:val="3C08753D"/>
    <w:rsid w:val="3C0E4317"/>
    <w:rsid w:val="3C234382"/>
    <w:rsid w:val="3C2A262C"/>
    <w:rsid w:val="3C3B10F1"/>
    <w:rsid w:val="3C4542ED"/>
    <w:rsid w:val="3C4732AC"/>
    <w:rsid w:val="3C520284"/>
    <w:rsid w:val="3C522566"/>
    <w:rsid w:val="3C536A3E"/>
    <w:rsid w:val="3C565E2F"/>
    <w:rsid w:val="3C5C33E5"/>
    <w:rsid w:val="3C6B187A"/>
    <w:rsid w:val="3C700EF0"/>
    <w:rsid w:val="3C7544A7"/>
    <w:rsid w:val="3C81109D"/>
    <w:rsid w:val="3C894FE7"/>
    <w:rsid w:val="3C8F7316"/>
    <w:rsid w:val="3C9027D3"/>
    <w:rsid w:val="3C97441D"/>
    <w:rsid w:val="3C9809F8"/>
    <w:rsid w:val="3CB46D7D"/>
    <w:rsid w:val="3CB90837"/>
    <w:rsid w:val="3CB95FEF"/>
    <w:rsid w:val="3CBB635D"/>
    <w:rsid w:val="3CC00F27"/>
    <w:rsid w:val="3CD91462"/>
    <w:rsid w:val="3CDF7D60"/>
    <w:rsid w:val="3CED028C"/>
    <w:rsid w:val="3CF655E7"/>
    <w:rsid w:val="3D06102C"/>
    <w:rsid w:val="3D091FB1"/>
    <w:rsid w:val="3D205459"/>
    <w:rsid w:val="3D316B10"/>
    <w:rsid w:val="3D3B2FFA"/>
    <w:rsid w:val="3D440B11"/>
    <w:rsid w:val="3D714C6E"/>
    <w:rsid w:val="3D7B3D3F"/>
    <w:rsid w:val="3D820C29"/>
    <w:rsid w:val="3D937571"/>
    <w:rsid w:val="3DA025F6"/>
    <w:rsid w:val="3DC41242"/>
    <w:rsid w:val="3DD516A1"/>
    <w:rsid w:val="3DE55DF3"/>
    <w:rsid w:val="3DF00289"/>
    <w:rsid w:val="3DF14FF1"/>
    <w:rsid w:val="3DF80EEB"/>
    <w:rsid w:val="3DFB283E"/>
    <w:rsid w:val="3E043D34"/>
    <w:rsid w:val="3E0C10E8"/>
    <w:rsid w:val="3E0D0E3B"/>
    <w:rsid w:val="3E145966"/>
    <w:rsid w:val="3E29379B"/>
    <w:rsid w:val="3E2C6E00"/>
    <w:rsid w:val="3E432AAE"/>
    <w:rsid w:val="3E453F37"/>
    <w:rsid w:val="3E4E4FAF"/>
    <w:rsid w:val="3E5A3EDC"/>
    <w:rsid w:val="3E5D51F2"/>
    <w:rsid w:val="3E614CE2"/>
    <w:rsid w:val="3E636CAD"/>
    <w:rsid w:val="3E6D1878"/>
    <w:rsid w:val="3E6F5ADD"/>
    <w:rsid w:val="3E7104C9"/>
    <w:rsid w:val="3E7C38CA"/>
    <w:rsid w:val="3E862AFD"/>
    <w:rsid w:val="3E9450B8"/>
    <w:rsid w:val="3E95498C"/>
    <w:rsid w:val="3E99447C"/>
    <w:rsid w:val="3E9E1A93"/>
    <w:rsid w:val="3EB468AE"/>
    <w:rsid w:val="3EBC63BD"/>
    <w:rsid w:val="3EBD630B"/>
    <w:rsid w:val="3EC60FE9"/>
    <w:rsid w:val="3EC82FB3"/>
    <w:rsid w:val="3ECA6D2C"/>
    <w:rsid w:val="3ECE53E0"/>
    <w:rsid w:val="3ED30323"/>
    <w:rsid w:val="3EED2A1A"/>
    <w:rsid w:val="3EF47905"/>
    <w:rsid w:val="3EF75647"/>
    <w:rsid w:val="3EFF365D"/>
    <w:rsid w:val="3F063E08"/>
    <w:rsid w:val="3F0D7F6C"/>
    <w:rsid w:val="3F19380F"/>
    <w:rsid w:val="3F2D2E17"/>
    <w:rsid w:val="3F2F6B8F"/>
    <w:rsid w:val="3F354949"/>
    <w:rsid w:val="3F395187"/>
    <w:rsid w:val="3F402B4A"/>
    <w:rsid w:val="3F454604"/>
    <w:rsid w:val="3F4D5267"/>
    <w:rsid w:val="3F5442D4"/>
    <w:rsid w:val="3F620D12"/>
    <w:rsid w:val="3F626F64"/>
    <w:rsid w:val="3F696BA8"/>
    <w:rsid w:val="3F8E5FAB"/>
    <w:rsid w:val="3F8F587F"/>
    <w:rsid w:val="3F9407E4"/>
    <w:rsid w:val="3FA81195"/>
    <w:rsid w:val="3FB3156E"/>
    <w:rsid w:val="3FD17C46"/>
    <w:rsid w:val="3FFB1940"/>
    <w:rsid w:val="40050695"/>
    <w:rsid w:val="40077B0C"/>
    <w:rsid w:val="400E2C48"/>
    <w:rsid w:val="4019244A"/>
    <w:rsid w:val="401F09B1"/>
    <w:rsid w:val="40300E10"/>
    <w:rsid w:val="403F1053"/>
    <w:rsid w:val="404448BC"/>
    <w:rsid w:val="40612FAD"/>
    <w:rsid w:val="40624D42"/>
    <w:rsid w:val="407927B7"/>
    <w:rsid w:val="40955117"/>
    <w:rsid w:val="409E221E"/>
    <w:rsid w:val="40A23390"/>
    <w:rsid w:val="40A30035"/>
    <w:rsid w:val="40AD420F"/>
    <w:rsid w:val="40B26C6C"/>
    <w:rsid w:val="40B437EF"/>
    <w:rsid w:val="40B44FB5"/>
    <w:rsid w:val="40B630DC"/>
    <w:rsid w:val="40B94D77"/>
    <w:rsid w:val="40D043A1"/>
    <w:rsid w:val="40E7450B"/>
    <w:rsid w:val="40F55BB6"/>
    <w:rsid w:val="40FF4FAD"/>
    <w:rsid w:val="410F0A26"/>
    <w:rsid w:val="410F5823"/>
    <w:rsid w:val="41102D1D"/>
    <w:rsid w:val="411918A4"/>
    <w:rsid w:val="41384420"/>
    <w:rsid w:val="41395F8B"/>
    <w:rsid w:val="41554B3E"/>
    <w:rsid w:val="416A65A4"/>
    <w:rsid w:val="416B4393"/>
    <w:rsid w:val="41931657"/>
    <w:rsid w:val="419378A9"/>
    <w:rsid w:val="41947EA6"/>
    <w:rsid w:val="41962EF5"/>
    <w:rsid w:val="419D4283"/>
    <w:rsid w:val="41A76EB0"/>
    <w:rsid w:val="41B33AA7"/>
    <w:rsid w:val="41CC4B69"/>
    <w:rsid w:val="41CF6407"/>
    <w:rsid w:val="41CF728F"/>
    <w:rsid w:val="420869E1"/>
    <w:rsid w:val="420C1409"/>
    <w:rsid w:val="42220C2D"/>
    <w:rsid w:val="422A188F"/>
    <w:rsid w:val="422E554F"/>
    <w:rsid w:val="42343E99"/>
    <w:rsid w:val="426B4382"/>
    <w:rsid w:val="42727C2D"/>
    <w:rsid w:val="42743A2A"/>
    <w:rsid w:val="42764AD5"/>
    <w:rsid w:val="42772697"/>
    <w:rsid w:val="427C7112"/>
    <w:rsid w:val="42812409"/>
    <w:rsid w:val="42892A5A"/>
    <w:rsid w:val="429B4D61"/>
    <w:rsid w:val="42A41642"/>
    <w:rsid w:val="42B05610"/>
    <w:rsid w:val="42B63481"/>
    <w:rsid w:val="42BE6BA7"/>
    <w:rsid w:val="42CA4D80"/>
    <w:rsid w:val="42D27F5D"/>
    <w:rsid w:val="42DF0455"/>
    <w:rsid w:val="42E859D2"/>
    <w:rsid w:val="42F8373B"/>
    <w:rsid w:val="42FE37B6"/>
    <w:rsid w:val="43084930"/>
    <w:rsid w:val="430B4FC3"/>
    <w:rsid w:val="431C567C"/>
    <w:rsid w:val="431E7646"/>
    <w:rsid w:val="43367252"/>
    <w:rsid w:val="433E3844"/>
    <w:rsid w:val="433F4264"/>
    <w:rsid w:val="43432C09"/>
    <w:rsid w:val="434A3F97"/>
    <w:rsid w:val="434D3A87"/>
    <w:rsid w:val="434F77FF"/>
    <w:rsid w:val="43550337"/>
    <w:rsid w:val="435E3EE6"/>
    <w:rsid w:val="435F4F46"/>
    <w:rsid w:val="43860D47"/>
    <w:rsid w:val="439A57D0"/>
    <w:rsid w:val="43AA712C"/>
    <w:rsid w:val="43B03699"/>
    <w:rsid w:val="43C73BDB"/>
    <w:rsid w:val="43CF26EE"/>
    <w:rsid w:val="44056110"/>
    <w:rsid w:val="44150A49"/>
    <w:rsid w:val="4436276D"/>
    <w:rsid w:val="444006B2"/>
    <w:rsid w:val="444035EC"/>
    <w:rsid w:val="444066D4"/>
    <w:rsid w:val="444924A1"/>
    <w:rsid w:val="44506427"/>
    <w:rsid w:val="44562E10"/>
    <w:rsid w:val="445A46AE"/>
    <w:rsid w:val="445F4788"/>
    <w:rsid w:val="446612A5"/>
    <w:rsid w:val="4476700E"/>
    <w:rsid w:val="44817E8C"/>
    <w:rsid w:val="4489738F"/>
    <w:rsid w:val="448D5606"/>
    <w:rsid w:val="44AB315B"/>
    <w:rsid w:val="44B21E06"/>
    <w:rsid w:val="44B518E4"/>
    <w:rsid w:val="44BA2C52"/>
    <w:rsid w:val="44BF3856"/>
    <w:rsid w:val="44C15C67"/>
    <w:rsid w:val="44CC2B6C"/>
    <w:rsid w:val="44D4482E"/>
    <w:rsid w:val="44D77AAC"/>
    <w:rsid w:val="44DC3315"/>
    <w:rsid w:val="44F1532A"/>
    <w:rsid w:val="44F763A1"/>
    <w:rsid w:val="44FA374C"/>
    <w:rsid w:val="44FB0759"/>
    <w:rsid w:val="45120AE5"/>
    <w:rsid w:val="453E3FCF"/>
    <w:rsid w:val="45454793"/>
    <w:rsid w:val="454F78C2"/>
    <w:rsid w:val="45521829"/>
    <w:rsid w:val="455736AA"/>
    <w:rsid w:val="457B2BDB"/>
    <w:rsid w:val="45815C6A"/>
    <w:rsid w:val="45854E0B"/>
    <w:rsid w:val="458D4BB3"/>
    <w:rsid w:val="45912351"/>
    <w:rsid w:val="45B77FF4"/>
    <w:rsid w:val="45BB4EFE"/>
    <w:rsid w:val="45C046FE"/>
    <w:rsid w:val="45C142B9"/>
    <w:rsid w:val="45C37881"/>
    <w:rsid w:val="45C81B0A"/>
    <w:rsid w:val="45D97854"/>
    <w:rsid w:val="45E36925"/>
    <w:rsid w:val="45F64BD8"/>
    <w:rsid w:val="45FE550D"/>
    <w:rsid w:val="460C19D8"/>
    <w:rsid w:val="460C34F8"/>
    <w:rsid w:val="460C7C2A"/>
    <w:rsid w:val="460E39A2"/>
    <w:rsid w:val="46110403"/>
    <w:rsid w:val="461D6553"/>
    <w:rsid w:val="462C765D"/>
    <w:rsid w:val="462E5DF2"/>
    <w:rsid w:val="46474B58"/>
    <w:rsid w:val="46554BF1"/>
    <w:rsid w:val="46596547"/>
    <w:rsid w:val="465A51B3"/>
    <w:rsid w:val="465C7DFF"/>
    <w:rsid w:val="467B190C"/>
    <w:rsid w:val="467F282D"/>
    <w:rsid w:val="46821C9A"/>
    <w:rsid w:val="468E4AE3"/>
    <w:rsid w:val="4694664D"/>
    <w:rsid w:val="469A7F47"/>
    <w:rsid w:val="46AF2F6D"/>
    <w:rsid w:val="46B71AF6"/>
    <w:rsid w:val="46C50728"/>
    <w:rsid w:val="46C6427C"/>
    <w:rsid w:val="46EF30F8"/>
    <w:rsid w:val="46FA4411"/>
    <w:rsid w:val="47150D60"/>
    <w:rsid w:val="47195F8F"/>
    <w:rsid w:val="471C436D"/>
    <w:rsid w:val="471E1AB3"/>
    <w:rsid w:val="47242D51"/>
    <w:rsid w:val="4729044D"/>
    <w:rsid w:val="47356D0C"/>
    <w:rsid w:val="47370CD6"/>
    <w:rsid w:val="4755115C"/>
    <w:rsid w:val="47654262"/>
    <w:rsid w:val="477C3775"/>
    <w:rsid w:val="47881532"/>
    <w:rsid w:val="479123FB"/>
    <w:rsid w:val="479F6A3E"/>
    <w:rsid w:val="47A67A84"/>
    <w:rsid w:val="47B440D5"/>
    <w:rsid w:val="47BF1C45"/>
    <w:rsid w:val="47C702AC"/>
    <w:rsid w:val="47E139CD"/>
    <w:rsid w:val="47E250E6"/>
    <w:rsid w:val="47F941DE"/>
    <w:rsid w:val="486547E9"/>
    <w:rsid w:val="486A1D34"/>
    <w:rsid w:val="48710218"/>
    <w:rsid w:val="48743864"/>
    <w:rsid w:val="48807F83"/>
    <w:rsid w:val="488717E9"/>
    <w:rsid w:val="488D7D14"/>
    <w:rsid w:val="48A405ED"/>
    <w:rsid w:val="48C90054"/>
    <w:rsid w:val="48CD26E3"/>
    <w:rsid w:val="48D662CD"/>
    <w:rsid w:val="48E46ECC"/>
    <w:rsid w:val="48E629B4"/>
    <w:rsid w:val="48E674A9"/>
    <w:rsid w:val="48F350D1"/>
    <w:rsid w:val="49226009"/>
    <w:rsid w:val="49284D7B"/>
    <w:rsid w:val="49296D45"/>
    <w:rsid w:val="49311755"/>
    <w:rsid w:val="493E40D8"/>
    <w:rsid w:val="494A174C"/>
    <w:rsid w:val="494B6CBB"/>
    <w:rsid w:val="49575660"/>
    <w:rsid w:val="495864E3"/>
    <w:rsid w:val="49606934"/>
    <w:rsid w:val="4961356F"/>
    <w:rsid w:val="497A134E"/>
    <w:rsid w:val="49826F06"/>
    <w:rsid w:val="498D0EE8"/>
    <w:rsid w:val="49B900C8"/>
    <w:rsid w:val="49C11168"/>
    <w:rsid w:val="49D20074"/>
    <w:rsid w:val="49D547D7"/>
    <w:rsid w:val="49DE368B"/>
    <w:rsid w:val="49E74F9E"/>
    <w:rsid w:val="49E8450A"/>
    <w:rsid w:val="49F033BE"/>
    <w:rsid w:val="49F7299F"/>
    <w:rsid w:val="4A1474F2"/>
    <w:rsid w:val="4A1F044F"/>
    <w:rsid w:val="4A4A6F73"/>
    <w:rsid w:val="4A541B9F"/>
    <w:rsid w:val="4A6D636D"/>
    <w:rsid w:val="4A7C12DB"/>
    <w:rsid w:val="4A871F75"/>
    <w:rsid w:val="4A881849"/>
    <w:rsid w:val="4A926ED3"/>
    <w:rsid w:val="4A9B157C"/>
    <w:rsid w:val="4A9B3185"/>
    <w:rsid w:val="4AA85A47"/>
    <w:rsid w:val="4AAC5668"/>
    <w:rsid w:val="4AB03279"/>
    <w:rsid w:val="4AC40AD3"/>
    <w:rsid w:val="4AC76815"/>
    <w:rsid w:val="4AC779BE"/>
    <w:rsid w:val="4AD351BA"/>
    <w:rsid w:val="4AF8334E"/>
    <w:rsid w:val="4B1C4ECA"/>
    <w:rsid w:val="4B1F3F5B"/>
    <w:rsid w:val="4B2E0642"/>
    <w:rsid w:val="4B3A6FE7"/>
    <w:rsid w:val="4B3B005B"/>
    <w:rsid w:val="4B3D1038"/>
    <w:rsid w:val="4B433D52"/>
    <w:rsid w:val="4B610AB6"/>
    <w:rsid w:val="4B667DDC"/>
    <w:rsid w:val="4B6B4C49"/>
    <w:rsid w:val="4B734BA8"/>
    <w:rsid w:val="4B7764DD"/>
    <w:rsid w:val="4B7A3887"/>
    <w:rsid w:val="4B865D88"/>
    <w:rsid w:val="4B960EA9"/>
    <w:rsid w:val="4BA3693A"/>
    <w:rsid w:val="4BAF0B29"/>
    <w:rsid w:val="4BBD11D0"/>
    <w:rsid w:val="4BC11DD5"/>
    <w:rsid w:val="4BC66ACD"/>
    <w:rsid w:val="4BE62CCB"/>
    <w:rsid w:val="4BEB208F"/>
    <w:rsid w:val="4BF5401B"/>
    <w:rsid w:val="4BF703D6"/>
    <w:rsid w:val="4BF70A34"/>
    <w:rsid w:val="4BFF5B3B"/>
    <w:rsid w:val="4C0513A3"/>
    <w:rsid w:val="4C1710D6"/>
    <w:rsid w:val="4C2630C7"/>
    <w:rsid w:val="4C285091"/>
    <w:rsid w:val="4C2941D9"/>
    <w:rsid w:val="4C373527"/>
    <w:rsid w:val="4C3D437E"/>
    <w:rsid w:val="4C484637"/>
    <w:rsid w:val="4C547C35"/>
    <w:rsid w:val="4C556763"/>
    <w:rsid w:val="4C632C63"/>
    <w:rsid w:val="4C6A2689"/>
    <w:rsid w:val="4CA530B7"/>
    <w:rsid w:val="4CB26265"/>
    <w:rsid w:val="4CB701C3"/>
    <w:rsid w:val="4CC81420"/>
    <w:rsid w:val="4CD945DE"/>
    <w:rsid w:val="4CE0002E"/>
    <w:rsid w:val="4CE216E4"/>
    <w:rsid w:val="4D096C71"/>
    <w:rsid w:val="4D0D3558"/>
    <w:rsid w:val="4D182E0B"/>
    <w:rsid w:val="4D1933A8"/>
    <w:rsid w:val="4D1D271C"/>
    <w:rsid w:val="4D2729A1"/>
    <w:rsid w:val="4D2F601D"/>
    <w:rsid w:val="4D4941DA"/>
    <w:rsid w:val="4D4B515F"/>
    <w:rsid w:val="4D4D7B5C"/>
    <w:rsid w:val="4D5B4FF3"/>
    <w:rsid w:val="4D5C226E"/>
    <w:rsid w:val="4D5C3245"/>
    <w:rsid w:val="4D624D84"/>
    <w:rsid w:val="4D641407"/>
    <w:rsid w:val="4D64659D"/>
    <w:rsid w:val="4D6564F1"/>
    <w:rsid w:val="4D697710"/>
    <w:rsid w:val="4D6E2F78"/>
    <w:rsid w:val="4D7B52FC"/>
    <w:rsid w:val="4D7E0DAB"/>
    <w:rsid w:val="4DA14831"/>
    <w:rsid w:val="4DAF1600"/>
    <w:rsid w:val="4DB43081"/>
    <w:rsid w:val="4DB841F3"/>
    <w:rsid w:val="4DC96400"/>
    <w:rsid w:val="4DDE7068"/>
    <w:rsid w:val="4DED0341"/>
    <w:rsid w:val="4DFA077B"/>
    <w:rsid w:val="4DFE254E"/>
    <w:rsid w:val="4E17286B"/>
    <w:rsid w:val="4E235B10"/>
    <w:rsid w:val="4E361CE8"/>
    <w:rsid w:val="4E446AE1"/>
    <w:rsid w:val="4E555EE6"/>
    <w:rsid w:val="4E593C28"/>
    <w:rsid w:val="4E6C5868"/>
    <w:rsid w:val="4E7C32D2"/>
    <w:rsid w:val="4E813FBD"/>
    <w:rsid w:val="4E824F2D"/>
    <w:rsid w:val="4E937674"/>
    <w:rsid w:val="4EAB4E29"/>
    <w:rsid w:val="4EBA2F91"/>
    <w:rsid w:val="4ECF36AC"/>
    <w:rsid w:val="4ED63CD9"/>
    <w:rsid w:val="4EE0187E"/>
    <w:rsid w:val="4F097D38"/>
    <w:rsid w:val="4F1A33B7"/>
    <w:rsid w:val="4F1A3DB1"/>
    <w:rsid w:val="4F31425D"/>
    <w:rsid w:val="4F427818"/>
    <w:rsid w:val="4F78155A"/>
    <w:rsid w:val="4F7D3946"/>
    <w:rsid w:val="4F844CD5"/>
    <w:rsid w:val="4F8E77B9"/>
    <w:rsid w:val="4F8E7FC1"/>
    <w:rsid w:val="4FA17635"/>
    <w:rsid w:val="4FA22AA2"/>
    <w:rsid w:val="4FA94C00"/>
    <w:rsid w:val="4FC926E8"/>
    <w:rsid w:val="4FCE408A"/>
    <w:rsid w:val="4FED287A"/>
    <w:rsid w:val="4FED4628"/>
    <w:rsid w:val="4FF84D7B"/>
    <w:rsid w:val="4FFA3C5B"/>
    <w:rsid w:val="4FFA6024"/>
    <w:rsid w:val="500C595F"/>
    <w:rsid w:val="500E27F0"/>
    <w:rsid w:val="50170AF5"/>
    <w:rsid w:val="5023004A"/>
    <w:rsid w:val="5029166D"/>
    <w:rsid w:val="50355FCF"/>
    <w:rsid w:val="50396AAB"/>
    <w:rsid w:val="503E4E84"/>
    <w:rsid w:val="504D156B"/>
    <w:rsid w:val="5051105B"/>
    <w:rsid w:val="50632ECA"/>
    <w:rsid w:val="506D7517"/>
    <w:rsid w:val="507408A5"/>
    <w:rsid w:val="50795EBC"/>
    <w:rsid w:val="50852F00"/>
    <w:rsid w:val="508E3509"/>
    <w:rsid w:val="50A2107E"/>
    <w:rsid w:val="50A50E4C"/>
    <w:rsid w:val="50A56CB1"/>
    <w:rsid w:val="50E7551B"/>
    <w:rsid w:val="50ED532F"/>
    <w:rsid w:val="50F25C6E"/>
    <w:rsid w:val="50F56451"/>
    <w:rsid w:val="50FB4B23"/>
    <w:rsid w:val="50FE2865"/>
    <w:rsid w:val="510269CE"/>
    <w:rsid w:val="510518DF"/>
    <w:rsid w:val="51167BAE"/>
    <w:rsid w:val="513C44C1"/>
    <w:rsid w:val="51402E7D"/>
    <w:rsid w:val="51450494"/>
    <w:rsid w:val="5147420C"/>
    <w:rsid w:val="515B27C4"/>
    <w:rsid w:val="515D1031"/>
    <w:rsid w:val="51720099"/>
    <w:rsid w:val="5177304B"/>
    <w:rsid w:val="518641C1"/>
    <w:rsid w:val="518B234A"/>
    <w:rsid w:val="518D4659"/>
    <w:rsid w:val="51905BB3"/>
    <w:rsid w:val="51A74CAA"/>
    <w:rsid w:val="51B258FE"/>
    <w:rsid w:val="51B47AA9"/>
    <w:rsid w:val="51B66201"/>
    <w:rsid w:val="51B73BAA"/>
    <w:rsid w:val="51BB2504"/>
    <w:rsid w:val="51CF0D6F"/>
    <w:rsid w:val="51D22D02"/>
    <w:rsid w:val="51D535C6"/>
    <w:rsid w:val="51F06651"/>
    <w:rsid w:val="51F459B8"/>
    <w:rsid w:val="51F74AF7"/>
    <w:rsid w:val="520619D1"/>
    <w:rsid w:val="520B348B"/>
    <w:rsid w:val="5218167A"/>
    <w:rsid w:val="52214A5D"/>
    <w:rsid w:val="52257019"/>
    <w:rsid w:val="522B33F5"/>
    <w:rsid w:val="523E3513"/>
    <w:rsid w:val="524216B3"/>
    <w:rsid w:val="524A682A"/>
    <w:rsid w:val="524F5CF2"/>
    <w:rsid w:val="525A0016"/>
    <w:rsid w:val="525E180D"/>
    <w:rsid w:val="527252B8"/>
    <w:rsid w:val="528A0854"/>
    <w:rsid w:val="52950FA7"/>
    <w:rsid w:val="52AA4A52"/>
    <w:rsid w:val="52AE4B63"/>
    <w:rsid w:val="52B96A43"/>
    <w:rsid w:val="52C8312A"/>
    <w:rsid w:val="52E2243E"/>
    <w:rsid w:val="52EA0E7F"/>
    <w:rsid w:val="52EA30A1"/>
    <w:rsid w:val="52F46924"/>
    <w:rsid w:val="53041AAE"/>
    <w:rsid w:val="531926DD"/>
    <w:rsid w:val="53244E97"/>
    <w:rsid w:val="532C190B"/>
    <w:rsid w:val="53300D07"/>
    <w:rsid w:val="533D58C6"/>
    <w:rsid w:val="53442FD3"/>
    <w:rsid w:val="5344322B"/>
    <w:rsid w:val="5345393E"/>
    <w:rsid w:val="535350EA"/>
    <w:rsid w:val="53684F6C"/>
    <w:rsid w:val="537312E8"/>
    <w:rsid w:val="537444AE"/>
    <w:rsid w:val="538B2073"/>
    <w:rsid w:val="538F3C48"/>
    <w:rsid w:val="53973965"/>
    <w:rsid w:val="539B3B0B"/>
    <w:rsid w:val="53A019B1"/>
    <w:rsid w:val="53AF28DA"/>
    <w:rsid w:val="53C2401E"/>
    <w:rsid w:val="53C93484"/>
    <w:rsid w:val="53CE5362"/>
    <w:rsid w:val="53DA1367"/>
    <w:rsid w:val="53DE648D"/>
    <w:rsid w:val="53E10EA9"/>
    <w:rsid w:val="53E22B9B"/>
    <w:rsid w:val="54065DA2"/>
    <w:rsid w:val="54092827"/>
    <w:rsid w:val="541128AF"/>
    <w:rsid w:val="54136627"/>
    <w:rsid w:val="541A5C08"/>
    <w:rsid w:val="541C1980"/>
    <w:rsid w:val="54250973"/>
    <w:rsid w:val="542720D3"/>
    <w:rsid w:val="542C1497"/>
    <w:rsid w:val="542D5A12"/>
    <w:rsid w:val="543E463C"/>
    <w:rsid w:val="54422A68"/>
    <w:rsid w:val="544256CC"/>
    <w:rsid w:val="54440BD0"/>
    <w:rsid w:val="545524A9"/>
    <w:rsid w:val="546D719C"/>
    <w:rsid w:val="547C5F7A"/>
    <w:rsid w:val="547D1CF3"/>
    <w:rsid w:val="54812C33"/>
    <w:rsid w:val="548337AD"/>
    <w:rsid w:val="548A13A6"/>
    <w:rsid w:val="548B1262"/>
    <w:rsid w:val="549B69F9"/>
    <w:rsid w:val="549F610D"/>
    <w:rsid w:val="54A02741"/>
    <w:rsid w:val="54B92FB1"/>
    <w:rsid w:val="54E029AD"/>
    <w:rsid w:val="54E3249D"/>
    <w:rsid w:val="54E35FFA"/>
    <w:rsid w:val="54EA7388"/>
    <w:rsid w:val="54EF0E42"/>
    <w:rsid w:val="54F00CE8"/>
    <w:rsid w:val="550541C2"/>
    <w:rsid w:val="5507618C"/>
    <w:rsid w:val="55085A60"/>
    <w:rsid w:val="550C2144"/>
    <w:rsid w:val="55107FBC"/>
    <w:rsid w:val="55114B30"/>
    <w:rsid w:val="55161546"/>
    <w:rsid w:val="55191745"/>
    <w:rsid w:val="551E5284"/>
    <w:rsid w:val="552C5BF2"/>
    <w:rsid w:val="552D0476"/>
    <w:rsid w:val="55405B5F"/>
    <w:rsid w:val="554B3ECB"/>
    <w:rsid w:val="554C3B9F"/>
    <w:rsid w:val="555A2916"/>
    <w:rsid w:val="557B33C0"/>
    <w:rsid w:val="557F21C6"/>
    <w:rsid w:val="55866FEE"/>
    <w:rsid w:val="559E55FC"/>
    <w:rsid w:val="55A44CB1"/>
    <w:rsid w:val="55A4620D"/>
    <w:rsid w:val="55A57753"/>
    <w:rsid w:val="55B56D7C"/>
    <w:rsid w:val="55B577AC"/>
    <w:rsid w:val="55C62214"/>
    <w:rsid w:val="55CE071D"/>
    <w:rsid w:val="55DA73FC"/>
    <w:rsid w:val="55E65D7D"/>
    <w:rsid w:val="55F304BE"/>
    <w:rsid w:val="56115B5F"/>
    <w:rsid w:val="56193DA7"/>
    <w:rsid w:val="5620458F"/>
    <w:rsid w:val="56206DD9"/>
    <w:rsid w:val="562148DD"/>
    <w:rsid w:val="563D0DC4"/>
    <w:rsid w:val="564E44A8"/>
    <w:rsid w:val="56513437"/>
    <w:rsid w:val="56596943"/>
    <w:rsid w:val="56755080"/>
    <w:rsid w:val="567E247E"/>
    <w:rsid w:val="56951575"/>
    <w:rsid w:val="569B0D24"/>
    <w:rsid w:val="569C6DA8"/>
    <w:rsid w:val="56A032C1"/>
    <w:rsid w:val="56AF6ADB"/>
    <w:rsid w:val="56B22127"/>
    <w:rsid w:val="56BF65F2"/>
    <w:rsid w:val="56DA342C"/>
    <w:rsid w:val="56E728A4"/>
    <w:rsid w:val="56ED315F"/>
    <w:rsid w:val="570404A9"/>
    <w:rsid w:val="570A3D11"/>
    <w:rsid w:val="570B0E9B"/>
    <w:rsid w:val="570F757A"/>
    <w:rsid w:val="57116962"/>
    <w:rsid w:val="57161D4B"/>
    <w:rsid w:val="571B3A71"/>
    <w:rsid w:val="572528F9"/>
    <w:rsid w:val="572A43B4"/>
    <w:rsid w:val="57354CF6"/>
    <w:rsid w:val="573C40E7"/>
    <w:rsid w:val="57466D32"/>
    <w:rsid w:val="57472B45"/>
    <w:rsid w:val="574A05B2"/>
    <w:rsid w:val="575867DE"/>
    <w:rsid w:val="576553EC"/>
    <w:rsid w:val="576D24F2"/>
    <w:rsid w:val="57821861"/>
    <w:rsid w:val="57911D3D"/>
    <w:rsid w:val="57AF24E5"/>
    <w:rsid w:val="57B47272"/>
    <w:rsid w:val="57BA117B"/>
    <w:rsid w:val="57BB500C"/>
    <w:rsid w:val="57BE68AA"/>
    <w:rsid w:val="57D31C46"/>
    <w:rsid w:val="57DB745C"/>
    <w:rsid w:val="57EB194A"/>
    <w:rsid w:val="57EC1669"/>
    <w:rsid w:val="57F347A6"/>
    <w:rsid w:val="57FC26C5"/>
    <w:rsid w:val="580E15DF"/>
    <w:rsid w:val="581A7F84"/>
    <w:rsid w:val="581E7C3F"/>
    <w:rsid w:val="581F37ED"/>
    <w:rsid w:val="582278A6"/>
    <w:rsid w:val="58403763"/>
    <w:rsid w:val="58516F31"/>
    <w:rsid w:val="585245BE"/>
    <w:rsid w:val="585D4208"/>
    <w:rsid w:val="589524D5"/>
    <w:rsid w:val="58A066BE"/>
    <w:rsid w:val="58C3686E"/>
    <w:rsid w:val="58CD4FF7"/>
    <w:rsid w:val="58E80082"/>
    <w:rsid w:val="58E863B6"/>
    <w:rsid w:val="58F06F37"/>
    <w:rsid w:val="59097FF9"/>
    <w:rsid w:val="59103135"/>
    <w:rsid w:val="59253085"/>
    <w:rsid w:val="5939268C"/>
    <w:rsid w:val="593D37B7"/>
    <w:rsid w:val="59431300"/>
    <w:rsid w:val="594D25DB"/>
    <w:rsid w:val="59670A0E"/>
    <w:rsid w:val="59747B68"/>
    <w:rsid w:val="59886B27"/>
    <w:rsid w:val="599124C8"/>
    <w:rsid w:val="59943D66"/>
    <w:rsid w:val="5994614C"/>
    <w:rsid w:val="599F2295"/>
    <w:rsid w:val="59A04380"/>
    <w:rsid w:val="59AD0588"/>
    <w:rsid w:val="59AF6FED"/>
    <w:rsid w:val="59B61F2F"/>
    <w:rsid w:val="59BA4AD9"/>
    <w:rsid w:val="59C52172"/>
    <w:rsid w:val="59D32AE1"/>
    <w:rsid w:val="59E24004"/>
    <w:rsid w:val="59E8398F"/>
    <w:rsid w:val="59F1740B"/>
    <w:rsid w:val="59FD1648"/>
    <w:rsid w:val="5A097A3A"/>
    <w:rsid w:val="5A0E58C7"/>
    <w:rsid w:val="5A172215"/>
    <w:rsid w:val="5A1B6236"/>
    <w:rsid w:val="5A20384C"/>
    <w:rsid w:val="5A2260BA"/>
    <w:rsid w:val="5A292701"/>
    <w:rsid w:val="5A364E1D"/>
    <w:rsid w:val="5A3F0176"/>
    <w:rsid w:val="5A4519E2"/>
    <w:rsid w:val="5A4E0416"/>
    <w:rsid w:val="5A86063B"/>
    <w:rsid w:val="5A864503"/>
    <w:rsid w:val="5A8738CB"/>
    <w:rsid w:val="5A890803"/>
    <w:rsid w:val="5A987AF0"/>
    <w:rsid w:val="5AA004E9"/>
    <w:rsid w:val="5AA30C31"/>
    <w:rsid w:val="5AA91A93"/>
    <w:rsid w:val="5AAE2C06"/>
    <w:rsid w:val="5AB26B9A"/>
    <w:rsid w:val="5AB83A84"/>
    <w:rsid w:val="5ABB756A"/>
    <w:rsid w:val="5AD00ACD"/>
    <w:rsid w:val="5AE26FDC"/>
    <w:rsid w:val="5AE66844"/>
    <w:rsid w:val="5AEC4377"/>
    <w:rsid w:val="5AFF2F41"/>
    <w:rsid w:val="5B01367D"/>
    <w:rsid w:val="5B1C04B7"/>
    <w:rsid w:val="5B242EC8"/>
    <w:rsid w:val="5B362A3F"/>
    <w:rsid w:val="5B3B6981"/>
    <w:rsid w:val="5B3E0678"/>
    <w:rsid w:val="5B4959F4"/>
    <w:rsid w:val="5B5D1AF7"/>
    <w:rsid w:val="5B5E462C"/>
    <w:rsid w:val="5B8027F4"/>
    <w:rsid w:val="5B9301CE"/>
    <w:rsid w:val="5BA474E8"/>
    <w:rsid w:val="5BA67CA2"/>
    <w:rsid w:val="5BAA6321"/>
    <w:rsid w:val="5BAD110F"/>
    <w:rsid w:val="5BAF4E87"/>
    <w:rsid w:val="5BBA55DA"/>
    <w:rsid w:val="5BD668B8"/>
    <w:rsid w:val="5BE32D83"/>
    <w:rsid w:val="5BEB4FD9"/>
    <w:rsid w:val="5BF64864"/>
    <w:rsid w:val="5C001B87"/>
    <w:rsid w:val="5C2A6C04"/>
    <w:rsid w:val="5C3048AC"/>
    <w:rsid w:val="5C3D63E1"/>
    <w:rsid w:val="5C5679F9"/>
    <w:rsid w:val="5C594DF3"/>
    <w:rsid w:val="5C735EB5"/>
    <w:rsid w:val="5C7B23E0"/>
    <w:rsid w:val="5C877BB2"/>
    <w:rsid w:val="5C912702"/>
    <w:rsid w:val="5C9347A9"/>
    <w:rsid w:val="5CA73892"/>
    <w:rsid w:val="5CAF66C2"/>
    <w:rsid w:val="5CB36BF9"/>
    <w:rsid w:val="5CB52971"/>
    <w:rsid w:val="5CB702A9"/>
    <w:rsid w:val="5CB8091F"/>
    <w:rsid w:val="5CB84210"/>
    <w:rsid w:val="5CC26E3C"/>
    <w:rsid w:val="5CC93D27"/>
    <w:rsid w:val="5CCC6026"/>
    <w:rsid w:val="5CCD7CBB"/>
    <w:rsid w:val="5CD5580C"/>
    <w:rsid w:val="5CDC1CAC"/>
    <w:rsid w:val="5CE0624F"/>
    <w:rsid w:val="5CF60894"/>
    <w:rsid w:val="5D0134C1"/>
    <w:rsid w:val="5D027239"/>
    <w:rsid w:val="5D1D22C5"/>
    <w:rsid w:val="5D4B0BE0"/>
    <w:rsid w:val="5D55776B"/>
    <w:rsid w:val="5D620742"/>
    <w:rsid w:val="5D665A1A"/>
    <w:rsid w:val="5D746389"/>
    <w:rsid w:val="5D747763"/>
    <w:rsid w:val="5D7C6FEB"/>
    <w:rsid w:val="5D900CE9"/>
    <w:rsid w:val="5D9278D2"/>
    <w:rsid w:val="5D9A411F"/>
    <w:rsid w:val="5D9B1B67"/>
    <w:rsid w:val="5DB030C1"/>
    <w:rsid w:val="5DB6074F"/>
    <w:rsid w:val="5DBC1181"/>
    <w:rsid w:val="5DBE13B2"/>
    <w:rsid w:val="5DBE305A"/>
    <w:rsid w:val="5DC42740"/>
    <w:rsid w:val="5DC80482"/>
    <w:rsid w:val="5DD9443E"/>
    <w:rsid w:val="5E1E6A5F"/>
    <w:rsid w:val="5E23390B"/>
    <w:rsid w:val="5E3706B3"/>
    <w:rsid w:val="5E3A0425"/>
    <w:rsid w:val="5E3C3929"/>
    <w:rsid w:val="5E413D91"/>
    <w:rsid w:val="5E435D5B"/>
    <w:rsid w:val="5E4775F9"/>
    <w:rsid w:val="5E63651D"/>
    <w:rsid w:val="5E657AA4"/>
    <w:rsid w:val="5E6D4B86"/>
    <w:rsid w:val="5E6E1B79"/>
    <w:rsid w:val="5E7A598C"/>
    <w:rsid w:val="5E7B72A3"/>
    <w:rsid w:val="5E897C12"/>
    <w:rsid w:val="5E9B5B97"/>
    <w:rsid w:val="5EA306D2"/>
    <w:rsid w:val="5EA507C4"/>
    <w:rsid w:val="5EAC0797"/>
    <w:rsid w:val="5EC75A8B"/>
    <w:rsid w:val="5EC944B2"/>
    <w:rsid w:val="5ED06D93"/>
    <w:rsid w:val="5ED3492C"/>
    <w:rsid w:val="5ED66BCF"/>
    <w:rsid w:val="5ED87695"/>
    <w:rsid w:val="5EDC7D81"/>
    <w:rsid w:val="5EFB03E4"/>
    <w:rsid w:val="5F052746"/>
    <w:rsid w:val="5F17346F"/>
    <w:rsid w:val="5F1A4D0E"/>
    <w:rsid w:val="5F2300CB"/>
    <w:rsid w:val="5F290ABA"/>
    <w:rsid w:val="5F3A0F0C"/>
    <w:rsid w:val="5F3A715E"/>
    <w:rsid w:val="5F4973A1"/>
    <w:rsid w:val="5F4B4EC7"/>
    <w:rsid w:val="5F530220"/>
    <w:rsid w:val="5F5E01C1"/>
    <w:rsid w:val="5F81167E"/>
    <w:rsid w:val="5F8215C3"/>
    <w:rsid w:val="5F855B1D"/>
    <w:rsid w:val="5F87304F"/>
    <w:rsid w:val="5FAB1E0A"/>
    <w:rsid w:val="5FCC6E13"/>
    <w:rsid w:val="5FD90725"/>
    <w:rsid w:val="5FEC48FC"/>
    <w:rsid w:val="5FF437B1"/>
    <w:rsid w:val="5FF564FD"/>
    <w:rsid w:val="5FFA4399"/>
    <w:rsid w:val="600D34B5"/>
    <w:rsid w:val="600F05EB"/>
    <w:rsid w:val="601A0269"/>
    <w:rsid w:val="601D2D07"/>
    <w:rsid w:val="60397415"/>
    <w:rsid w:val="603D5158"/>
    <w:rsid w:val="60457B68"/>
    <w:rsid w:val="604C0EF7"/>
    <w:rsid w:val="604F6C39"/>
    <w:rsid w:val="6052548B"/>
    <w:rsid w:val="60563B24"/>
    <w:rsid w:val="605E0C2A"/>
    <w:rsid w:val="606049A2"/>
    <w:rsid w:val="606B3C81"/>
    <w:rsid w:val="606D70BF"/>
    <w:rsid w:val="60783CF7"/>
    <w:rsid w:val="607E12CC"/>
    <w:rsid w:val="60851534"/>
    <w:rsid w:val="6094289E"/>
    <w:rsid w:val="609E0F14"/>
    <w:rsid w:val="60AA0313"/>
    <w:rsid w:val="60AE7E03"/>
    <w:rsid w:val="60D40EEC"/>
    <w:rsid w:val="60D4713E"/>
    <w:rsid w:val="60DD4245"/>
    <w:rsid w:val="60E87049"/>
    <w:rsid w:val="60E90B28"/>
    <w:rsid w:val="60F35816"/>
    <w:rsid w:val="60F636E2"/>
    <w:rsid w:val="61047A23"/>
    <w:rsid w:val="6106379C"/>
    <w:rsid w:val="611778D9"/>
    <w:rsid w:val="612260FC"/>
    <w:rsid w:val="612E684E"/>
    <w:rsid w:val="613006DD"/>
    <w:rsid w:val="613320B7"/>
    <w:rsid w:val="613C5A6C"/>
    <w:rsid w:val="61406582"/>
    <w:rsid w:val="61433E74"/>
    <w:rsid w:val="61466F2A"/>
    <w:rsid w:val="615944C9"/>
    <w:rsid w:val="615D5386"/>
    <w:rsid w:val="616A3AE0"/>
    <w:rsid w:val="617221C8"/>
    <w:rsid w:val="617321F1"/>
    <w:rsid w:val="617526CF"/>
    <w:rsid w:val="61785D1C"/>
    <w:rsid w:val="619C5EAE"/>
    <w:rsid w:val="61A03FBA"/>
    <w:rsid w:val="61A644EC"/>
    <w:rsid w:val="61B2747F"/>
    <w:rsid w:val="61C1376D"/>
    <w:rsid w:val="61C40F61"/>
    <w:rsid w:val="61DB5099"/>
    <w:rsid w:val="61DC44FC"/>
    <w:rsid w:val="61FC694D"/>
    <w:rsid w:val="6205092E"/>
    <w:rsid w:val="620C3E5D"/>
    <w:rsid w:val="620E5678"/>
    <w:rsid w:val="62210161"/>
    <w:rsid w:val="622163B3"/>
    <w:rsid w:val="62285994"/>
    <w:rsid w:val="62353C0D"/>
    <w:rsid w:val="623850F9"/>
    <w:rsid w:val="6239194F"/>
    <w:rsid w:val="62397BA1"/>
    <w:rsid w:val="62465E1A"/>
    <w:rsid w:val="62504D37"/>
    <w:rsid w:val="62595B4D"/>
    <w:rsid w:val="62774F17"/>
    <w:rsid w:val="62AF08F4"/>
    <w:rsid w:val="62BB05B6"/>
    <w:rsid w:val="62BD432E"/>
    <w:rsid w:val="62C54F90"/>
    <w:rsid w:val="62D41677"/>
    <w:rsid w:val="62E01DCA"/>
    <w:rsid w:val="62E633BA"/>
    <w:rsid w:val="62EE2739"/>
    <w:rsid w:val="62FD297C"/>
    <w:rsid w:val="62FE04A2"/>
    <w:rsid w:val="63097573"/>
    <w:rsid w:val="630E06E5"/>
    <w:rsid w:val="631F2E52"/>
    <w:rsid w:val="632E0D88"/>
    <w:rsid w:val="633A772C"/>
    <w:rsid w:val="633C17DD"/>
    <w:rsid w:val="63407677"/>
    <w:rsid w:val="63464323"/>
    <w:rsid w:val="634E4F86"/>
    <w:rsid w:val="63506F50"/>
    <w:rsid w:val="63534C92"/>
    <w:rsid w:val="635A392B"/>
    <w:rsid w:val="63604CB9"/>
    <w:rsid w:val="63623C1B"/>
    <w:rsid w:val="636C18B0"/>
    <w:rsid w:val="63957059"/>
    <w:rsid w:val="63A04029"/>
    <w:rsid w:val="63A921DA"/>
    <w:rsid w:val="63B45FCC"/>
    <w:rsid w:val="63CC234F"/>
    <w:rsid w:val="63DD3565"/>
    <w:rsid w:val="63E0399A"/>
    <w:rsid w:val="63ED3085"/>
    <w:rsid w:val="640028C9"/>
    <w:rsid w:val="64095351"/>
    <w:rsid w:val="641206A9"/>
    <w:rsid w:val="641E3923"/>
    <w:rsid w:val="64357EF4"/>
    <w:rsid w:val="64485E79"/>
    <w:rsid w:val="646031C3"/>
    <w:rsid w:val="64754794"/>
    <w:rsid w:val="6477050C"/>
    <w:rsid w:val="64990483"/>
    <w:rsid w:val="649E3CEB"/>
    <w:rsid w:val="64A21A2D"/>
    <w:rsid w:val="64CD637E"/>
    <w:rsid w:val="64DF4A2F"/>
    <w:rsid w:val="64EA5182"/>
    <w:rsid w:val="64FB04B9"/>
    <w:rsid w:val="651767ED"/>
    <w:rsid w:val="65266D7F"/>
    <w:rsid w:val="65285B05"/>
    <w:rsid w:val="652E102B"/>
    <w:rsid w:val="653F3F71"/>
    <w:rsid w:val="65504C4A"/>
    <w:rsid w:val="65562818"/>
    <w:rsid w:val="65670581"/>
    <w:rsid w:val="656756B5"/>
    <w:rsid w:val="656942F9"/>
    <w:rsid w:val="656F190F"/>
    <w:rsid w:val="657E5945"/>
    <w:rsid w:val="657F58CB"/>
    <w:rsid w:val="659155FE"/>
    <w:rsid w:val="65982A27"/>
    <w:rsid w:val="659F5F6D"/>
    <w:rsid w:val="65A05841"/>
    <w:rsid w:val="65A74E21"/>
    <w:rsid w:val="65B17A4E"/>
    <w:rsid w:val="65B6666E"/>
    <w:rsid w:val="65BA4B55"/>
    <w:rsid w:val="65BC6B1F"/>
    <w:rsid w:val="65CD161E"/>
    <w:rsid w:val="65D744E1"/>
    <w:rsid w:val="65DD1CCA"/>
    <w:rsid w:val="65ED6B48"/>
    <w:rsid w:val="65F04A1A"/>
    <w:rsid w:val="66090676"/>
    <w:rsid w:val="6609788A"/>
    <w:rsid w:val="661E1587"/>
    <w:rsid w:val="66293129"/>
    <w:rsid w:val="663E564D"/>
    <w:rsid w:val="6648039B"/>
    <w:rsid w:val="664A412A"/>
    <w:rsid w:val="664B451B"/>
    <w:rsid w:val="66571B94"/>
    <w:rsid w:val="665E5436"/>
    <w:rsid w:val="666845B1"/>
    <w:rsid w:val="66724822"/>
    <w:rsid w:val="66747D26"/>
    <w:rsid w:val="667747F4"/>
    <w:rsid w:val="667A4875"/>
    <w:rsid w:val="66884C53"/>
    <w:rsid w:val="668C619D"/>
    <w:rsid w:val="669730E8"/>
    <w:rsid w:val="669F3F68"/>
    <w:rsid w:val="669F60FE"/>
    <w:rsid w:val="66A870A3"/>
    <w:rsid w:val="66AA03D9"/>
    <w:rsid w:val="66B6356E"/>
    <w:rsid w:val="66C145A2"/>
    <w:rsid w:val="66CA4D3C"/>
    <w:rsid w:val="66CA7019"/>
    <w:rsid w:val="66D8766C"/>
    <w:rsid w:val="66D91C48"/>
    <w:rsid w:val="66DB09CF"/>
    <w:rsid w:val="66DB2FD4"/>
    <w:rsid w:val="67092797"/>
    <w:rsid w:val="670A38BA"/>
    <w:rsid w:val="67114C48"/>
    <w:rsid w:val="67220C03"/>
    <w:rsid w:val="67375865"/>
    <w:rsid w:val="674566A0"/>
    <w:rsid w:val="674E7C4A"/>
    <w:rsid w:val="67550FD9"/>
    <w:rsid w:val="676254A4"/>
    <w:rsid w:val="676A4DBB"/>
    <w:rsid w:val="676B7192"/>
    <w:rsid w:val="67780823"/>
    <w:rsid w:val="677D0530"/>
    <w:rsid w:val="67920688"/>
    <w:rsid w:val="679566AA"/>
    <w:rsid w:val="67A55390"/>
    <w:rsid w:val="67A755AC"/>
    <w:rsid w:val="67A930D3"/>
    <w:rsid w:val="67B1772D"/>
    <w:rsid w:val="67B6086E"/>
    <w:rsid w:val="67B95BFD"/>
    <w:rsid w:val="67BC79C4"/>
    <w:rsid w:val="67D0065F"/>
    <w:rsid w:val="67E61C31"/>
    <w:rsid w:val="67E8797B"/>
    <w:rsid w:val="67F105D6"/>
    <w:rsid w:val="68014CBD"/>
    <w:rsid w:val="68215215"/>
    <w:rsid w:val="682E182A"/>
    <w:rsid w:val="68437127"/>
    <w:rsid w:val="684921C0"/>
    <w:rsid w:val="6852376A"/>
    <w:rsid w:val="68597581"/>
    <w:rsid w:val="6864524C"/>
    <w:rsid w:val="68663E99"/>
    <w:rsid w:val="686D5EAE"/>
    <w:rsid w:val="687014CD"/>
    <w:rsid w:val="68706867"/>
    <w:rsid w:val="68721D6A"/>
    <w:rsid w:val="68751207"/>
    <w:rsid w:val="68751AA8"/>
    <w:rsid w:val="687A3240"/>
    <w:rsid w:val="688236AA"/>
    <w:rsid w:val="688C777F"/>
    <w:rsid w:val="68986965"/>
    <w:rsid w:val="68A815DC"/>
    <w:rsid w:val="68C53F3C"/>
    <w:rsid w:val="68D46E6E"/>
    <w:rsid w:val="68D50846"/>
    <w:rsid w:val="68D5400D"/>
    <w:rsid w:val="68DB294B"/>
    <w:rsid w:val="68EA5751"/>
    <w:rsid w:val="68F3246E"/>
    <w:rsid w:val="68F41FE7"/>
    <w:rsid w:val="68F6059A"/>
    <w:rsid w:val="69085BD7"/>
    <w:rsid w:val="691D5EF5"/>
    <w:rsid w:val="691E189E"/>
    <w:rsid w:val="691F30EB"/>
    <w:rsid w:val="69202CA9"/>
    <w:rsid w:val="69236EB5"/>
    <w:rsid w:val="6931689D"/>
    <w:rsid w:val="69351AA8"/>
    <w:rsid w:val="69360996"/>
    <w:rsid w:val="69390486"/>
    <w:rsid w:val="69392234"/>
    <w:rsid w:val="694330B3"/>
    <w:rsid w:val="69561D75"/>
    <w:rsid w:val="69572814"/>
    <w:rsid w:val="696A0640"/>
    <w:rsid w:val="697071B5"/>
    <w:rsid w:val="69787200"/>
    <w:rsid w:val="697E5441"/>
    <w:rsid w:val="699B6A4B"/>
    <w:rsid w:val="699E02E9"/>
    <w:rsid w:val="69A00505"/>
    <w:rsid w:val="69A9560C"/>
    <w:rsid w:val="69AD29EB"/>
    <w:rsid w:val="69B45BF9"/>
    <w:rsid w:val="69BE2739"/>
    <w:rsid w:val="69C064B2"/>
    <w:rsid w:val="69D07A3E"/>
    <w:rsid w:val="69F40BE1"/>
    <w:rsid w:val="6A141428"/>
    <w:rsid w:val="6A19339F"/>
    <w:rsid w:val="6A1C4030"/>
    <w:rsid w:val="6A3B19C7"/>
    <w:rsid w:val="6A3F1D64"/>
    <w:rsid w:val="6A4315BC"/>
    <w:rsid w:val="6A4A3B6E"/>
    <w:rsid w:val="6A4D243B"/>
    <w:rsid w:val="6A707ED8"/>
    <w:rsid w:val="6A9516EC"/>
    <w:rsid w:val="6AA656A7"/>
    <w:rsid w:val="6AAD76EB"/>
    <w:rsid w:val="6AB46016"/>
    <w:rsid w:val="6AB95540"/>
    <w:rsid w:val="6ABF49BB"/>
    <w:rsid w:val="6AC67AF8"/>
    <w:rsid w:val="6ACB7804"/>
    <w:rsid w:val="6AD46C1B"/>
    <w:rsid w:val="6AD77F57"/>
    <w:rsid w:val="6B046820"/>
    <w:rsid w:val="6B0C237E"/>
    <w:rsid w:val="6B0F2A73"/>
    <w:rsid w:val="6B177A3F"/>
    <w:rsid w:val="6B217424"/>
    <w:rsid w:val="6B282560"/>
    <w:rsid w:val="6B313E6C"/>
    <w:rsid w:val="6B4907C6"/>
    <w:rsid w:val="6B4C26F3"/>
    <w:rsid w:val="6B4F25EC"/>
    <w:rsid w:val="6B511AB7"/>
    <w:rsid w:val="6B7439F8"/>
    <w:rsid w:val="6B7457A6"/>
    <w:rsid w:val="6B7A7AE3"/>
    <w:rsid w:val="6B7B4D86"/>
    <w:rsid w:val="6B824366"/>
    <w:rsid w:val="6B8607D1"/>
    <w:rsid w:val="6B8C0D18"/>
    <w:rsid w:val="6B96571C"/>
    <w:rsid w:val="6BBD3F31"/>
    <w:rsid w:val="6BC02799"/>
    <w:rsid w:val="6BC71D79"/>
    <w:rsid w:val="6BD81C98"/>
    <w:rsid w:val="6BDB75D3"/>
    <w:rsid w:val="6BF32B6E"/>
    <w:rsid w:val="6BFD522C"/>
    <w:rsid w:val="6C020D35"/>
    <w:rsid w:val="6C0D02A0"/>
    <w:rsid w:val="6C2C459C"/>
    <w:rsid w:val="6C45205D"/>
    <w:rsid w:val="6C46507E"/>
    <w:rsid w:val="6C4D1F61"/>
    <w:rsid w:val="6C53360D"/>
    <w:rsid w:val="6C5C4853"/>
    <w:rsid w:val="6C5F32E0"/>
    <w:rsid w:val="6C5F6456"/>
    <w:rsid w:val="6C6A4E6D"/>
    <w:rsid w:val="6C81017A"/>
    <w:rsid w:val="6C830C7B"/>
    <w:rsid w:val="6C87345A"/>
    <w:rsid w:val="6C96633B"/>
    <w:rsid w:val="6CA1081C"/>
    <w:rsid w:val="6CA95923"/>
    <w:rsid w:val="6CB177E0"/>
    <w:rsid w:val="6CC354FC"/>
    <w:rsid w:val="6CD95C70"/>
    <w:rsid w:val="6CDE381E"/>
    <w:rsid w:val="6CED5810"/>
    <w:rsid w:val="6CFF15E3"/>
    <w:rsid w:val="6D033E4D"/>
    <w:rsid w:val="6D0914F3"/>
    <w:rsid w:val="6D0A4C32"/>
    <w:rsid w:val="6D0B1D5B"/>
    <w:rsid w:val="6D1E15C5"/>
    <w:rsid w:val="6D2B01D5"/>
    <w:rsid w:val="6D2F407A"/>
    <w:rsid w:val="6D360C66"/>
    <w:rsid w:val="6D393F68"/>
    <w:rsid w:val="6D4A4A10"/>
    <w:rsid w:val="6D4C3246"/>
    <w:rsid w:val="6D5538CD"/>
    <w:rsid w:val="6D655CEE"/>
    <w:rsid w:val="6D836174"/>
    <w:rsid w:val="6D9C0EF4"/>
    <w:rsid w:val="6DD32C57"/>
    <w:rsid w:val="6DDB3069"/>
    <w:rsid w:val="6DEA57DB"/>
    <w:rsid w:val="6DF07432"/>
    <w:rsid w:val="6DF575FA"/>
    <w:rsid w:val="6DFC340E"/>
    <w:rsid w:val="6E123C66"/>
    <w:rsid w:val="6E1F5E9D"/>
    <w:rsid w:val="6E4218CF"/>
    <w:rsid w:val="6E5F44EB"/>
    <w:rsid w:val="6E963C85"/>
    <w:rsid w:val="6EA80E5A"/>
    <w:rsid w:val="6EAD16FA"/>
    <w:rsid w:val="6ED50C51"/>
    <w:rsid w:val="6EF56BFD"/>
    <w:rsid w:val="6EFB6F28"/>
    <w:rsid w:val="6F1005C4"/>
    <w:rsid w:val="6F102CFE"/>
    <w:rsid w:val="6F152DFC"/>
    <w:rsid w:val="6F176B74"/>
    <w:rsid w:val="6F2319BD"/>
    <w:rsid w:val="6F3A0AB4"/>
    <w:rsid w:val="6F3E6422"/>
    <w:rsid w:val="6F3F60CB"/>
    <w:rsid w:val="6F562D90"/>
    <w:rsid w:val="6F5B1156"/>
    <w:rsid w:val="6F8A4648"/>
    <w:rsid w:val="6F912DCA"/>
    <w:rsid w:val="6FAF69B2"/>
    <w:rsid w:val="6FBD596D"/>
    <w:rsid w:val="6FD360C5"/>
    <w:rsid w:val="6FD7501A"/>
    <w:rsid w:val="6FE06B75"/>
    <w:rsid w:val="6FF269B8"/>
    <w:rsid w:val="700510C2"/>
    <w:rsid w:val="70057314"/>
    <w:rsid w:val="701B41BF"/>
    <w:rsid w:val="701D465E"/>
    <w:rsid w:val="70221706"/>
    <w:rsid w:val="703603A6"/>
    <w:rsid w:val="7040659E"/>
    <w:rsid w:val="70531E2E"/>
    <w:rsid w:val="705A140E"/>
    <w:rsid w:val="706C1141"/>
    <w:rsid w:val="70833A75"/>
    <w:rsid w:val="70936542"/>
    <w:rsid w:val="709A617B"/>
    <w:rsid w:val="709E2A08"/>
    <w:rsid w:val="709F5443"/>
    <w:rsid w:val="70A73F27"/>
    <w:rsid w:val="70AB2D7B"/>
    <w:rsid w:val="70BA00FF"/>
    <w:rsid w:val="70BB3E83"/>
    <w:rsid w:val="70BE29CD"/>
    <w:rsid w:val="70C12509"/>
    <w:rsid w:val="70DF12C0"/>
    <w:rsid w:val="70E94540"/>
    <w:rsid w:val="70F57389"/>
    <w:rsid w:val="70F65B41"/>
    <w:rsid w:val="70F919B3"/>
    <w:rsid w:val="70FC0717"/>
    <w:rsid w:val="71075F94"/>
    <w:rsid w:val="71094BE2"/>
    <w:rsid w:val="710A46DB"/>
    <w:rsid w:val="71123A97"/>
    <w:rsid w:val="711E68DF"/>
    <w:rsid w:val="712026E3"/>
    <w:rsid w:val="712612F0"/>
    <w:rsid w:val="71262AC9"/>
    <w:rsid w:val="712B4136"/>
    <w:rsid w:val="712E63F7"/>
    <w:rsid w:val="713C62B5"/>
    <w:rsid w:val="71420031"/>
    <w:rsid w:val="7144192F"/>
    <w:rsid w:val="714C08A4"/>
    <w:rsid w:val="71551926"/>
    <w:rsid w:val="71593474"/>
    <w:rsid w:val="71655A4E"/>
    <w:rsid w:val="71663DE2"/>
    <w:rsid w:val="71704C61"/>
    <w:rsid w:val="7174582F"/>
    <w:rsid w:val="717A4F2C"/>
    <w:rsid w:val="71827DE9"/>
    <w:rsid w:val="7187223E"/>
    <w:rsid w:val="71883D59"/>
    <w:rsid w:val="719A1C34"/>
    <w:rsid w:val="71A053FA"/>
    <w:rsid w:val="71A82806"/>
    <w:rsid w:val="71AA2486"/>
    <w:rsid w:val="71AC6AA2"/>
    <w:rsid w:val="71C31235"/>
    <w:rsid w:val="71C730F4"/>
    <w:rsid w:val="71C965BE"/>
    <w:rsid w:val="71D855E4"/>
    <w:rsid w:val="71E60A7F"/>
    <w:rsid w:val="71E82A49"/>
    <w:rsid w:val="71F118FE"/>
    <w:rsid w:val="71F17B50"/>
    <w:rsid w:val="71F846EE"/>
    <w:rsid w:val="72016718"/>
    <w:rsid w:val="72062BA0"/>
    <w:rsid w:val="720751EB"/>
    <w:rsid w:val="720A7028"/>
    <w:rsid w:val="721F290F"/>
    <w:rsid w:val="722E3D64"/>
    <w:rsid w:val="724C122A"/>
    <w:rsid w:val="725D51E5"/>
    <w:rsid w:val="72717DED"/>
    <w:rsid w:val="727662A7"/>
    <w:rsid w:val="728C26C1"/>
    <w:rsid w:val="72902B04"/>
    <w:rsid w:val="72966C0C"/>
    <w:rsid w:val="72A76461"/>
    <w:rsid w:val="72AC1CC9"/>
    <w:rsid w:val="72DF209E"/>
    <w:rsid w:val="72E27C0A"/>
    <w:rsid w:val="730A73A4"/>
    <w:rsid w:val="730B2E93"/>
    <w:rsid w:val="732301DD"/>
    <w:rsid w:val="732C0404"/>
    <w:rsid w:val="73315653"/>
    <w:rsid w:val="734C0DB6"/>
    <w:rsid w:val="73504D4A"/>
    <w:rsid w:val="73636360"/>
    <w:rsid w:val="7379604F"/>
    <w:rsid w:val="737A1DC7"/>
    <w:rsid w:val="737B63CA"/>
    <w:rsid w:val="739E6076"/>
    <w:rsid w:val="73A07455"/>
    <w:rsid w:val="73A1311C"/>
    <w:rsid w:val="73B47087"/>
    <w:rsid w:val="73FC27DC"/>
    <w:rsid w:val="740A314B"/>
    <w:rsid w:val="740D55B7"/>
    <w:rsid w:val="74152CF2"/>
    <w:rsid w:val="741C0148"/>
    <w:rsid w:val="74237D69"/>
    <w:rsid w:val="74263F75"/>
    <w:rsid w:val="742A7349"/>
    <w:rsid w:val="74387CB8"/>
    <w:rsid w:val="74493EEB"/>
    <w:rsid w:val="744D4DE6"/>
    <w:rsid w:val="745443C6"/>
    <w:rsid w:val="746074FC"/>
    <w:rsid w:val="74714F78"/>
    <w:rsid w:val="747237E0"/>
    <w:rsid w:val="7487479C"/>
    <w:rsid w:val="748A1329"/>
    <w:rsid w:val="748A428C"/>
    <w:rsid w:val="748C1DB2"/>
    <w:rsid w:val="748E79EE"/>
    <w:rsid w:val="748F53FE"/>
    <w:rsid w:val="74A3755A"/>
    <w:rsid w:val="74B85820"/>
    <w:rsid w:val="74BD640F"/>
    <w:rsid w:val="74C12A19"/>
    <w:rsid w:val="74DB6895"/>
    <w:rsid w:val="74E53270"/>
    <w:rsid w:val="74EC0AA3"/>
    <w:rsid w:val="74F02341"/>
    <w:rsid w:val="74FC6F38"/>
    <w:rsid w:val="750E27C7"/>
    <w:rsid w:val="751D0C5C"/>
    <w:rsid w:val="75232716"/>
    <w:rsid w:val="752A6BC5"/>
    <w:rsid w:val="752F6C77"/>
    <w:rsid w:val="75327854"/>
    <w:rsid w:val="754B752F"/>
    <w:rsid w:val="75510906"/>
    <w:rsid w:val="75624B17"/>
    <w:rsid w:val="75642E15"/>
    <w:rsid w:val="75660FA8"/>
    <w:rsid w:val="7568093A"/>
    <w:rsid w:val="756E0DE3"/>
    <w:rsid w:val="75734D20"/>
    <w:rsid w:val="75736ACE"/>
    <w:rsid w:val="758F3592"/>
    <w:rsid w:val="75930F1E"/>
    <w:rsid w:val="75A747F9"/>
    <w:rsid w:val="75A849CA"/>
    <w:rsid w:val="75B82733"/>
    <w:rsid w:val="75CF4FA6"/>
    <w:rsid w:val="75D02BD6"/>
    <w:rsid w:val="75D4756D"/>
    <w:rsid w:val="75DE580B"/>
    <w:rsid w:val="75F41CED"/>
    <w:rsid w:val="75F776FF"/>
    <w:rsid w:val="75FF0362"/>
    <w:rsid w:val="760360A4"/>
    <w:rsid w:val="76037E52"/>
    <w:rsid w:val="76067821"/>
    <w:rsid w:val="760A7538"/>
    <w:rsid w:val="760C31AA"/>
    <w:rsid w:val="7621711D"/>
    <w:rsid w:val="762B06F5"/>
    <w:rsid w:val="762B1157"/>
    <w:rsid w:val="762E09F1"/>
    <w:rsid w:val="76312C11"/>
    <w:rsid w:val="765F2639"/>
    <w:rsid w:val="766059C7"/>
    <w:rsid w:val="766C3C49"/>
    <w:rsid w:val="766F54E7"/>
    <w:rsid w:val="767223DF"/>
    <w:rsid w:val="767B20DE"/>
    <w:rsid w:val="768E68FB"/>
    <w:rsid w:val="76966F18"/>
    <w:rsid w:val="76A71125"/>
    <w:rsid w:val="76AB70C1"/>
    <w:rsid w:val="76B141D9"/>
    <w:rsid w:val="76B65452"/>
    <w:rsid w:val="76C07BAD"/>
    <w:rsid w:val="76C364C0"/>
    <w:rsid w:val="76CA6BC2"/>
    <w:rsid w:val="76D02198"/>
    <w:rsid w:val="76DB480C"/>
    <w:rsid w:val="76E557A9"/>
    <w:rsid w:val="76F7284D"/>
    <w:rsid w:val="76FB321F"/>
    <w:rsid w:val="770819D9"/>
    <w:rsid w:val="771077E3"/>
    <w:rsid w:val="77185B7F"/>
    <w:rsid w:val="771D13E7"/>
    <w:rsid w:val="77326178"/>
    <w:rsid w:val="77400C32"/>
    <w:rsid w:val="77422BFC"/>
    <w:rsid w:val="77504913"/>
    <w:rsid w:val="775871DA"/>
    <w:rsid w:val="775D6EE5"/>
    <w:rsid w:val="776C7C79"/>
    <w:rsid w:val="776D5884"/>
    <w:rsid w:val="776F2682"/>
    <w:rsid w:val="77933457"/>
    <w:rsid w:val="779A0F48"/>
    <w:rsid w:val="779A47E6"/>
    <w:rsid w:val="779D554F"/>
    <w:rsid w:val="77BC6EFE"/>
    <w:rsid w:val="77CB0E43"/>
    <w:rsid w:val="77E64FDF"/>
    <w:rsid w:val="77E9454A"/>
    <w:rsid w:val="77EB5041"/>
    <w:rsid w:val="77F8317B"/>
    <w:rsid w:val="77F9775E"/>
    <w:rsid w:val="77FC72FD"/>
    <w:rsid w:val="77FF5948"/>
    <w:rsid w:val="781E5417"/>
    <w:rsid w:val="7826607A"/>
    <w:rsid w:val="782F4F2E"/>
    <w:rsid w:val="7831514A"/>
    <w:rsid w:val="78466AF7"/>
    <w:rsid w:val="78486CF0"/>
    <w:rsid w:val="784B5052"/>
    <w:rsid w:val="7855070D"/>
    <w:rsid w:val="78584886"/>
    <w:rsid w:val="7863107C"/>
    <w:rsid w:val="78727511"/>
    <w:rsid w:val="78774981"/>
    <w:rsid w:val="788F00C3"/>
    <w:rsid w:val="78977D36"/>
    <w:rsid w:val="789855E7"/>
    <w:rsid w:val="78A030CD"/>
    <w:rsid w:val="78A21BA4"/>
    <w:rsid w:val="78C7785D"/>
    <w:rsid w:val="78D12489"/>
    <w:rsid w:val="78DB7356"/>
    <w:rsid w:val="78DE0702"/>
    <w:rsid w:val="78E81581"/>
    <w:rsid w:val="78EC2E1F"/>
    <w:rsid w:val="79084EE8"/>
    <w:rsid w:val="790C2CBC"/>
    <w:rsid w:val="79144F31"/>
    <w:rsid w:val="79221A26"/>
    <w:rsid w:val="79226737"/>
    <w:rsid w:val="7927654D"/>
    <w:rsid w:val="79297BCF"/>
    <w:rsid w:val="792E51E6"/>
    <w:rsid w:val="793918EE"/>
    <w:rsid w:val="794669D3"/>
    <w:rsid w:val="7956298E"/>
    <w:rsid w:val="79586707"/>
    <w:rsid w:val="795D61FA"/>
    <w:rsid w:val="7973709D"/>
    <w:rsid w:val="79876FEC"/>
    <w:rsid w:val="79985841"/>
    <w:rsid w:val="79A20CFB"/>
    <w:rsid w:val="79B7342D"/>
    <w:rsid w:val="79C142AC"/>
    <w:rsid w:val="79C478F8"/>
    <w:rsid w:val="79CE4C1B"/>
    <w:rsid w:val="79DE5BEE"/>
    <w:rsid w:val="79E26883"/>
    <w:rsid w:val="7A067F11"/>
    <w:rsid w:val="7A1E34AC"/>
    <w:rsid w:val="7A2465E9"/>
    <w:rsid w:val="7A4430A5"/>
    <w:rsid w:val="7A4776B9"/>
    <w:rsid w:val="7A4C3D34"/>
    <w:rsid w:val="7A5742C4"/>
    <w:rsid w:val="7A622655"/>
    <w:rsid w:val="7A967373"/>
    <w:rsid w:val="7A9C6C02"/>
    <w:rsid w:val="7A9E17C0"/>
    <w:rsid w:val="7AA5597C"/>
    <w:rsid w:val="7AAC0AB8"/>
    <w:rsid w:val="7AAD65DE"/>
    <w:rsid w:val="7AB4796D"/>
    <w:rsid w:val="7AB66718"/>
    <w:rsid w:val="7ABD0D40"/>
    <w:rsid w:val="7AC8166A"/>
    <w:rsid w:val="7AD419A8"/>
    <w:rsid w:val="7AE2272C"/>
    <w:rsid w:val="7AED10D1"/>
    <w:rsid w:val="7AF6094A"/>
    <w:rsid w:val="7AF83E4D"/>
    <w:rsid w:val="7AFD3AC6"/>
    <w:rsid w:val="7AFE32DE"/>
    <w:rsid w:val="7AFE6E3A"/>
    <w:rsid w:val="7B054A50"/>
    <w:rsid w:val="7B0C77A9"/>
    <w:rsid w:val="7B105150"/>
    <w:rsid w:val="7B1952DE"/>
    <w:rsid w:val="7B1F04A1"/>
    <w:rsid w:val="7B3861A6"/>
    <w:rsid w:val="7B3A013A"/>
    <w:rsid w:val="7B42766E"/>
    <w:rsid w:val="7B4D0E37"/>
    <w:rsid w:val="7B5573A2"/>
    <w:rsid w:val="7B5A2BED"/>
    <w:rsid w:val="7B62561B"/>
    <w:rsid w:val="7B775A18"/>
    <w:rsid w:val="7B786798"/>
    <w:rsid w:val="7B8008AE"/>
    <w:rsid w:val="7B8F67C8"/>
    <w:rsid w:val="7B971768"/>
    <w:rsid w:val="7BB374F7"/>
    <w:rsid w:val="7BB75847"/>
    <w:rsid w:val="7BCE55F0"/>
    <w:rsid w:val="7BD153FD"/>
    <w:rsid w:val="7BDE0C48"/>
    <w:rsid w:val="7BE06F02"/>
    <w:rsid w:val="7BED7BDD"/>
    <w:rsid w:val="7BF001E1"/>
    <w:rsid w:val="7BF70459"/>
    <w:rsid w:val="7BFA7FD0"/>
    <w:rsid w:val="7C15268D"/>
    <w:rsid w:val="7C201B45"/>
    <w:rsid w:val="7C361677"/>
    <w:rsid w:val="7C490589"/>
    <w:rsid w:val="7C4F43FE"/>
    <w:rsid w:val="7C574A54"/>
    <w:rsid w:val="7C5D66D3"/>
    <w:rsid w:val="7C5E2286"/>
    <w:rsid w:val="7C602892"/>
    <w:rsid w:val="7C6B72D0"/>
    <w:rsid w:val="7C727ADF"/>
    <w:rsid w:val="7C7B5A7C"/>
    <w:rsid w:val="7C815ED2"/>
    <w:rsid w:val="7C8F0691"/>
    <w:rsid w:val="7CA10B6A"/>
    <w:rsid w:val="7CA33E88"/>
    <w:rsid w:val="7CAF135E"/>
    <w:rsid w:val="7CBA576F"/>
    <w:rsid w:val="7CC76728"/>
    <w:rsid w:val="7CCB17CA"/>
    <w:rsid w:val="7CD10CAA"/>
    <w:rsid w:val="7CE81B50"/>
    <w:rsid w:val="7CED6C2A"/>
    <w:rsid w:val="7CEF7382"/>
    <w:rsid w:val="7D0920AD"/>
    <w:rsid w:val="7D0D7808"/>
    <w:rsid w:val="7D135677"/>
    <w:rsid w:val="7D202558"/>
    <w:rsid w:val="7D240F5F"/>
    <w:rsid w:val="7D2F3A6C"/>
    <w:rsid w:val="7D3134F6"/>
    <w:rsid w:val="7D3923AB"/>
    <w:rsid w:val="7D3E5C13"/>
    <w:rsid w:val="7D403F2A"/>
    <w:rsid w:val="7D4A45B8"/>
    <w:rsid w:val="7D4F1BCF"/>
    <w:rsid w:val="7D5053BF"/>
    <w:rsid w:val="7D782ED3"/>
    <w:rsid w:val="7D867E0F"/>
    <w:rsid w:val="7D9814D4"/>
    <w:rsid w:val="7DA8331F"/>
    <w:rsid w:val="7DB008BF"/>
    <w:rsid w:val="7DBC3708"/>
    <w:rsid w:val="7DBD4D8A"/>
    <w:rsid w:val="7DC425BD"/>
    <w:rsid w:val="7DC91981"/>
    <w:rsid w:val="7DCA4C53"/>
    <w:rsid w:val="7DEC73F5"/>
    <w:rsid w:val="7DFF4145"/>
    <w:rsid w:val="7E0405CD"/>
    <w:rsid w:val="7E061524"/>
    <w:rsid w:val="7E163D6A"/>
    <w:rsid w:val="7E2B2541"/>
    <w:rsid w:val="7E337161"/>
    <w:rsid w:val="7E370FE0"/>
    <w:rsid w:val="7E386207"/>
    <w:rsid w:val="7E3C03A5"/>
    <w:rsid w:val="7E55499C"/>
    <w:rsid w:val="7E576F8D"/>
    <w:rsid w:val="7E6B2A38"/>
    <w:rsid w:val="7E78348F"/>
    <w:rsid w:val="7E786F03"/>
    <w:rsid w:val="7E7F4735"/>
    <w:rsid w:val="7E835FD4"/>
    <w:rsid w:val="7E9F26E2"/>
    <w:rsid w:val="7EA146AC"/>
    <w:rsid w:val="7EA535FE"/>
    <w:rsid w:val="7EA85A3A"/>
    <w:rsid w:val="7EAF36BD"/>
    <w:rsid w:val="7EB0669D"/>
    <w:rsid w:val="7EB73ECF"/>
    <w:rsid w:val="7EB81375"/>
    <w:rsid w:val="7EBA751C"/>
    <w:rsid w:val="7EC14203"/>
    <w:rsid w:val="7EC71F43"/>
    <w:rsid w:val="7ECF746B"/>
    <w:rsid w:val="7EEB3B79"/>
    <w:rsid w:val="7EEF3669"/>
    <w:rsid w:val="7EF746DD"/>
    <w:rsid w:val="7F1A481D"/>
    <w:rsid w:val="7F250E39"/>
    <w:rsid w:val="7F2C666B"/>
    <w:rsid w:val="7F2D4191"/>
    <w:rsid w:val="7F2D7CEE"/>
    <w:rsid w:val="7F37365A"/>
    <w:rsid w:val="7F4E1D30"/>
    <w:rsid w:val="7F5F07EF"/>
    <w:rsid w:val="7F6015EC"/>
    <w:rsid w:val="7F62208D"/>
    <w:rsid w:val="7F7A2D2A"/>
    <w:rsid w:val="7F800765"/>
    <w:rsid w:val="7F8D69DE"/>
    <w:rsid w:val="7F914720"/>
    <w:rsid w:val="7F9D30C5"/>
    <w:rsid w:val="7F9F7A91"/>
    <w:rsid w:val="7FA06711"/>
    <w:rsid w:val="7FC95C68"/>
    <w:rsid w:val="7FE14069"/>
    <w:rsid w:val="7FE40CF4"/>
    <w:rsid w:val="7FE83BC4"/>
    <w:rsid w:val="7FF506AD"/>
    <w:rsid w:val="7FFB5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Times New Roman" w:eastAsia="宋体" w:cs="宋体"/>
      <w:sz w:val="22"/>
      <w:szCs w:val="22"/>
      <w:lang w:val="zh-CN" w:eastAsia="zh-CN" w:bidi="zh-CN"/>
    </w:rPr>
  </w:style>
  <w:style w:type="paragraph" w:styleId="2">
    <w:name w:val="heading 1"/>
    <w:basedOn w:val="1"/>
    <w:next w:val="1"/>
    <w:qFormat/>
    <w:uiPriority w:val="0"/>
    <w:pPr>
      <w:outlineLvl w:val="0"/>
    </w:pPr>
    <w:rPr>
      <w:rFonts w:ascii="黑体" w:eastAsia="黑体" w:cs="黑体"/>
      <w:sz w:val="32"/>
      <w:szCs w:val="32"/>
    </w:rPr>
  </w:style>
  <w:style w:type="paragraph" w:styleId="3">
    <w:name w:val="heading 2"/>
    <w:basedOn w:val="1"/>
    <w:next w:val="1"/>
    <w:qFormat/>
    <w:uiPriority w:val="0"/>
    <w:pPr>
      <w:ind w:left="2533" w:right="3025" w:firstLine="2"/>
      <w:jc w:val="right"/>
      <w:outlineLvl w:val="1"/>
    </w:pPr>
    <w:rPr>
      <w:b/>
      <w:bCs/>
      <w:sz w:val="30"/>
      <w:szCs w:val="30"/>
      <w:u w:val="single" w:color="000000"/>
    </w:rPr>
  </w:style>
  <w:style w:type="paragraph" w:styleId="4">
    <w:name w:val="heading 3"/>
    <w:basedOn w:val="1"/>
    <w:next w:val="1"/>
    <w:qFormat/>
    <w:uiPriority w:val="0"/>
    <w:pPr>
      <w:spacing w:line="320" w:lineRule="exact"/>
      <w:jc w:val="center"/>
      <w:outlineLvl w:val="2"/>
    </w:pPr>
    <w:rPr>
      <w:rFonts w:ascii="黑体" w:eastAsia="黑体" w:cs="黑体"/>
      <w:sz w:val="28"/>
      <w:szCs w:val="28"/>
    </w:rPr>
  </w:style>
  <w:style w:type="paragraph" w:styleId="5">
    <w:name w:val="heading 4"/>
    <w:basedOn w:val="1"/>
    <w:next w:val="1"/>
    <w:qFormat/>
    <w:uiPriority w:val="0"/>
    <w:pPr>
      <w:ind w:left="858"/>
      <w:outlineLvl w:val="3"/>
    </w:pPr>
    <w:rPr>
      <w:b/>
      <w:bCs/>
      <w:sz w:val="24"/>
      <w:szCs w:val="24"/>
    </w:rPr>
  </w:style>
  <w:style w:type="paragraph" w:styleId="6">
    <w:name w:val="heading 5"/>
    <w:basedOn w:val="1"/>
    <w:next w:val="1"/>
    <w:qFormat/>
    <w:uiPriority w:val="0"/>
    <w:pPr>
      <w:keepNext/>
      <w:keepLines/>
      <w:spacing w:before="280" w:after="290" w:line="372" w:lineRule="auto"/>
      <w:outlineLvl w:val="4"/>
    </w:pPr>
    <w:rPr>
      <w:b/>
      <w:sz w:val="28"/>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autoSpaceDE/>
      <w:autoSpaceDN/>
      <w:ind w:firstLine="420"/>
      <w:jc w:val="both"/>
    </w:pPr>
    <w:rPr>
      <w:rFonts w:ascii="等线" w:eastAsia="等线" w:cs="Arial"/>
      <w:b/>
      <w:kern w:val="2"/>
      <w:sz w:val="24"/>
      <w:szCs w:val="20"/>
      <w:lang w:val="en-US" w:bidi="ar-SA"/>
    </w:rPr>
  </w:style>
  <w:style w:type="paragraph" w:styleId="8">
    <w:name w:val="annotation text"/>
    <w:basedOn w:val="1"/>
    <w:qFormat/>
    <w:uiPriority w:val="0"/>
  </w:style>
  <w:style w:type="paragraph" w:styleId="9">
    <w:name w:val="Body Text"/>
    <w:basedOn w:val="1"/>
    <w:qFormat/>
    <w:uiPriority w:val="0"/>
    <w:pPr>
      <w:adjustRightInd w:val="0"/>
      <w:snapToGrid w:val="0"/>
      <w:spacing w:line="560" w:lineRule="exact"/>
      <w:jc w:val="center"/>
    </w:pPr>
    <w:rPr>
      <w:b/>
      <w:sz w:val="24"/>
      <w:szCs w:val="24"/>
    </w:rPr>
  </w:style>
  <w:style w:type="paragraph" w:styleId="10">
    <w:name w:val="Body Text Indent"/>
    <w:basedOn w:val="1"/>
    <w:qFormat/>
    <w:uiPriority w:val="0"/>
    <w:pPr>
      <w:spacing w:line="360" w:lineRule="exact"/>
      <w:ind w:left="420" w:firstLine="1188"/>
    </w:pPr>
    <w:rPr>
      <w:rFonts w:ascii="Times New Roman" w:cs="Times New Roman"/>
    </w:rPr>
  </w:style>
  <w:style w:type="paragraph" w:styleId="11">
    <w:name w:val="index 4"/>
    <w:basedOn w:val="1"/>
    <w:next w:val="1"/>
    <w:qFormat/>
    <w:uiPriority w:val="0"/>
    <w:pPr>
      <w:ind w:left="600" w:leftChars="600"/>
    </w:pPr>
  </w:style>
  <w:style w:type="paragraph" w:styleId="12">
    <w:name w:val="Plain Text"/>
    <w:basedOn w:val="1"/>
    <w:qFormat/>
    <w:uiPriority w:val="0"/>
    <w:pPr>
      <w:autoSpaceDE/>
      <w:autoSpaceDN/>
      <w:jc w:val="both"/>
    </w:pPr>
    <w:rPr>
      <w:rFonts w:cs="Arial"/>
      <w:kern w:val="2"/>
      <w:sz w:val="21"/>
      <w:lang w:val="en-US" w:bidi="ar-SA"/>
    </w:rPr>
  </w:style>
  <w:style w:type="paragraph" w:styleId="13">
    <w:name w:val="Balloon Text"/>
    <w:basedOn w:val="1"/>
    <w:qFormat/>
    <w:uiPriority w:val="0"/>
    <w:rPr>
      <w:sz w:val="18"/>
      <w:szCs w:val="18"/>
    </w:rPr>
  </w:style>
  <w:style w:type="paragraph" w:styleId="14">
    <w:name w:val="footer"/>
    <w:basedOn w:val="1"/>
    <w:qFormat/>
    <w:uiPriority w:val="0"/>
    <w:pPr>
      <w:tabs>
        <w:tab w:val="center" w:pos="4153"/>
        <w:tab w:val="right" w:pos="8306"/>
      </w:tabs>
      <w:snapToGrid w:val="0"/>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278"/>
      <w:ind w:left="618"/>
    </w:pPr>
    <w:rPr>
      <w:b/>
      <w:bCs/>
      <w:sz w:val="24"/>
      <w:szCs w:val="24"/>
    </w:rPr>
  </w:style>
  <w:style w:type="paragraph" w:styleId="17">
    <w:name w:val="toc 2"/>
    <w:basedOn w:val="1"/>
    <w:next w:val="1"/>
    <w:qFormat/>
    <w:uiPriority w:val="39"/>
    <w:pPr>
      <w:ind w:left="200" w:leftChars="200"/>
    </w:pPr>
  </w:style>
  <w:style w:type="paragraph" w:styleId="18">
    <w:name w:val="Normal (Web)"/>
    <w:basedOn w:val="1"/>
    <w:qFormat/>
    <w:uiPriority w:val="0"/>
    <w:pPr>
      <w:widowControl/>
      <w:autoSpaceDE/>
      <w:autoSpaceDN/>
      <w:spacing w:before="100" w:beforeAutospacing="1" w:after="100" w:afterAutospacing="1"/>
    </w:pPr>
    <w:rPr>
      <w:sz w:val="24"/>
      <w:szCs w:val="24"/>
      <w:lang w:val="en-US" w:bidi="ar-SA"/>
    </w:rPr>
  </w:style>
  <w:style w:type="paragraph" w:styleId="19">
    <w:name w:val="annotation subject"/>
    <w:basedOn w:val="8"/>
    <w:next w:val="8"/>
    <w:qFormat/>
    <w:uiPriority w:val="0"/>
    <w:rPr>
      <w:b/>
      <w:bCs/>
    </w:rPr>
  </w:style>
  <w:style w:type="paragraph" w:styleId="20">
    <w:name w:val="Body Text First Indent 2"/>
    <w:basedOn w:val="10"/>
    <w:unhideWhenUsed/>
    <w:qFormat/>
    <w:uiPriority w:val="0"/>
    <w:pPr>
      <w:ind w:firstLine="420"/>
    </w:pPr>
  </w:style>
  <w:style w:type="character" w:styleId="23">
    <w:name w:val="Strong"/>
    <w:basedOn w:val="22"/>
    <w:qFormat/>
    <w:uiPriority w:val="0"/>
    <w:rPr>
      <w:b/>
      <w:bCs/>
    </w:rPr>
  </w:style>
  <w:style w:type="character" w:styleId="24">
    <w:name w:val="Hyperlink"/>
    <w:qFormat/>
    <w:uiPriority w:val="99"/>
    <w:rPr>
      <w:color w:val="0000FF"/>
      <w:u w:val="single"/>
    </w:rPr>
  </w:style>
  <w:style w:type="character" w:styleId="25">
    <w:name w:val="annotation reference"/>
    <w:basedOn w:val="22"/>
    <w:qFormat/>
    <w:uiPriority w:val="0"/>
    <w:rPr>
      <w:sz w:val="21"/>
      <w:szCs w:val="21"/>
    </w:rPr>
  </w:style>
  <w:style w:type="paragraph" w:styleId="26">
    <w:name w:val="List Paragraph"/>
    <w:basedOn w:val="1"/>
    <w:next w:val="27"/>
    <w:qFormat/>
    <w:uiPriority w:val="0"/>
    <w:pPr>
      <w:ind w:left="618" w:firstLine="240"/>
    </w:pPr>
  </w:style>
  <w:style w:type="paragraph" w:customStyle="1" w:styleId="27">
    <w:name w:val="批注文字1"/>
    <w:basedOn w:val="1"/>
    <w:qFormat/>
    <w:uiPriority w:val="99"/>
  </w:style>
  <w:style w:type="paragraph" w:customStyle="1" w:styleId="28">
    <w:name w:val="正文缩进1"/>
    <w:basedOn w:val="1"/>
    <w:qFormat/>
    <w:uiPriority w:val="0"/>
    <w:pPr>
      <w:ind w:firstLine="420"/>
    </w:pPr>
    <w:rPr>
      <w:b/>
      <w:sz w:val="24"/>
    </w:rPr>
  </w:style>
  <w:style w:type="paragraph" w:customStyle="1" w:styleId="29">
    <w:name w:val="Table Paragraph"/>
    <w:basedOn w:val="1"/>
    <w:qFormat/>
    <w:uiPriority w:val="0"/>
  </w:style>
  <w:style w:type="paragraph" w:customStyle="1" w:styleId="30">
    <w:name w:val="列出段落1"/>
    <w:basedOn w:val="1"/>
    <w:qFormat/>
    <w:uiPriority w:val="0"/>
    <w:pPr>
      <w:widowControl/>
      <w:ind w:left="720"/>
      <w:contextualSpacing/>
    </w:pPr>
    <w:rPr>
      <w:rFonts w:ascii="Arial" w:hAnsi="Arial" w:eastAsia="黑体"/>
      <w:sz w:val="24"/>
      <w:szCs w:val="24"/>
    </w:rPr>
  </w:style>
  <w:style w:type="character" w:customStyle="1" w:styleId="31">
    <w:name w:val="纯文本 字符"/>
    <w:basedOn w:val="22"/>
    <w:qFormat/>
    <w:uiPriority w:val="0"/>
    <w:rPr>
      <w:rFonts w:ascii="宋体" w:eastAsia="宋体" w:cs="Courier New"/>
      <w:sz w:val="22"/>
      <w:szCs w:val="22"/>
      <w:lang w:val="zh-CN" w:bidi="zh-CN"/>
    </w:rPr>
  </w:style>
  <w:style w:type="paragraph" w:customStyle="1" w:styleId="32">
    <w:name w:val="正文_2_62"/>
    <w:basedOn w:val="1"/>
    <w:qFormat/>
    <w:uiPriority w:val="0"/>
    <w:rPr>
      <w:rFonts w:ascii="Times New Roman" w:cs="Times New Roman"/>
      <w:szCs w:val="21"/>
    </w:rPr>
  </w:style>
  <w:style w:type="character" w:customStyle="1" w:styleId="33">
    <w:name w:val="未处理的提及1"/>
    <w:basedOn w:val="22"/>
    <w:qFormat/>
    <w:uiPriority w:val="0"/>
    <w:rPr>
      <w:color w:val="605E5C"/>
      <w:shd w:val="clear" w:color="auto" w:fill="E1DFDD"/>
    </w:rPr>
  </w:style>
  <w:style w:type="paragraph" w:customStyle="1" w:styleId="34">
    <w:name w:val="普通正文"/>
    <w:basedOn w:val="1"/>
    <w:qFormat/>
    <w:uiPriority w:val="0"/>
    <w:pPr>
      <w:autoSpaceDE/>
      <w:autoSpaceDN/>
      <w:adjustRightInd w:val="0"/>
      <w:spacing w:before="120" w:after="120" w:line="360" w:lineRule="auto"/>
      <w:ind w:firstLine="480"/>
      <w:textAlignment w:val="baseline"/>
    </w:pPr>
    <w:rPr>
      <w:rFonts w:ascii="Arial" w:hAnsi="Arial" w:cs="Times New Roman"/>
      <w:sz w:val="24"/>
      <w:szCs w:val="24"/>
      <w:lang w:val="en-US" w:bidi="ar-SA"/>
    </w:rPr>
  </w:style>
  <w:style w:type="paragraph" w:customStyle="1" w:styleId="35">
    <w:name w:val="正文文本1"/>
    <w:basedOn w:val="1"/>
    <w:qFormat/>
    <w:uiPriority w:val="0"/>
    <w:pPr>
      <w:tabs>
        <w:tab w:val="left" w:pos="567"/>
      </w:tabs>
      <w:spacing w:before="120" w:line="22" w:lineRule="atLeast"/>
    </w:pPr>
    <w:rPr>
      <w:sz w:val="24"/>
    </w:rPr>
  </w:style>
  <w:style w:type="character" w:customStyle="1" w:styleId="36">
    <w:name w:val="批注引用1"/>
    <w:qFormat/>
    <w:uiPriority w:val="0"/>
    <w:rPr>
      <w:sz w:val="21"/>
      <w:szCs w:val="21"/>
    </w:rPr>
  </w:style>
  <w:style w:type="paragraph" w:customStyle="1" w:styleId="37">
    <w:name w:val="首行缩进"/>
    <w:basedOn w:val="1"/>
    <w:qFormat/>
    <w:uiPriority w:val="0"/>
    <w:pPr>
      <w:spacing w:line="360" w:lineRule="auto"/>
      <w:ind w:firstLine="420"/>
    </w:pPr>
  </w:style>
  <w:style w:type="paragraph" w:customStyle="1" w:styleId="38">
    <w:name w:val="标题 31"/>
    <w:basedOn w:val="1"/>
    <w:next w:val="1"/>
    <w:qFormat/>
    <w:uiPriority w:val="0"/>
    <w:pPr>
      <w:keepNext/>
      <w:numPr>
        <w:ilvl w:val="0"/>
        <w:numId w:val="1"/>
      </w:numPr>
      <w:spacing w:line="400" w:lineRule="exact"/>
      <w:jc w:val="center"/>
      <w:outlineLvl w:val="2"/>
    </w:pPr>
    <w:rPr>
      <w:rFonts w:ascii="仿宋_GB2312" w:eastAsia="仿宋_GB2312"/>
      <w:sz w:val="32"/>
    </w:rPr>
  </w:style>
  <w:style w:type="character" w:customStyle="1" w:styleId="39">
    <w:name w:val="默认段落字体12"/>
    <w:unhideWhenUsed/>
    <w:qFormat/>
    <w:uiPriority w:val="1"/>
    <w:rPr>
      <w:rFonts w:ascii="宋体" w:hAnsi="Times New Roman" w:eastAsia="宋体" w:cs="宋体"/>
      <w:sz w:val="22"/>
      <w:szCs w:val="22"/>
      <w:lang w:val="zh-CN" w:eastAsia="zh-CN" w:bidi="zh-CN"/>
    </w:rPr>
  </w:style>
  <w:style w:type="paragraph" w:customStyle="1" w:styleId="40">
    <w:name w:val="项目需求正文文本"/>
    <w:basedOn w:val="1"/>
    <w:qFormat/>
    <w:uiPriority w:val="0"/>
    <w:pPr>
      <w:spacing w:line="360" w:lineRule="auto"/>
      <w:ind w:firstLine="1682" w:firstLineChars="200"/>
    </w:pPr>
    <w:rPr>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32"/>
    <customShpInfo spid="_x0000_s1031"/>
    <customShpInfo spid="_x0000_s1030"/>
    <customShpInfo spid="_x0000_s1029"/>
    <customShpInfo spid="_x0000_s1028"/>
    <customShpInfo spid="_x0000_s1027"/>
  </customShpExts>
</s:customData>
</file>

<file path=customXml/item2.xml><?xml version="1.0" encoding="utf-8"?>
<contractReview xmlns="http://schemas.wps.cn/vas-ai-hub/contract-review">
  <reviewItems>
    <reviewItem>
      <errorID>5dbab1ac-5707-4aa3-b8c1-aeca561d27ee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5CDBB29F</paraID>
      <start>0</start>
      <end>3</end>
      <status>ignored</status>
      <modifiedWord/>
      <trackRevisions>false</trackRevisions>
    </reviewItem>
    <reviewItem>
      <errorID>ea1d9445-011f-4d15-88da-1722a07f32df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33A2CC04</paraID>
      <start>0</start>
      <end>3</end>
      <status>ignored</status>
      <modifiedWord/>
      <trackRevisions>false</trackRevisions>
    </reviewItem>
    <reviewItem>
      <errorID>b3b8e053-743f-409a-ab83-598656a9f041</errorID>
      <errorWord>一</errorWord>
      <group>L1_Word</group>
      <groupName>字词问题</groupName>
      <ability>L2_Typo</ability>
      <abilityName>字词错误</abilityName>
      <candidateList>
        <item>一个</item>
      </candidateList>
      <explain/>
      <paraID>33A2CC04</paraID>
      <start>42</start>
      <end>43</end>
      <status>unmodified</status>
      <modifiedWord/>
      <trackRevisions>false</trackRevisions>
    </reviewItem>
    <reviewItem>
      <errorID>f11bcaf8-2894-4c48-85ed-56a42ba8907d</errorID>
      <errorWord>（</errorWord>
      <group>L1_Punc</group>
      <groupName>标点问题</groupName>
      <ability>L2_Punc</ability>
      <abilityName>标点符号检查</abilityName>
      <candidateList/>
      <explain>同一形式括号套用。</explain>
      <paraID>33A2CC04</paraID>
      <start>52</start>
      <end>53</end>
      <status>ignored</status>
      <modifiedWord/>
      <trackRevisions>false</trackRevisions>
    </reviewItem>
    <reviewItem>
      <errorID>5de863f5-ac87-4de4-bce6-547b78688d9c</errorID>
      <errorWord>）</errorWord>
      <group>L1_Punc</group>
      <groupName>标点问题</groupName>
      <ability>L2_Punc</ability>
      <abilityName>标点符号检查</abilityName>
      <candidateList/>
      <explain>同一形式括号套用。</explain>
      <paraID>33A2CC04</paraID>
      <start>66</start>
      <end>67</end>
      <status>ignored</status>
      <modifiedWord/>
      <trackRevisions>false</trackRevisions>
    </reviewItem>
    <reviewItem>
      <errorID>b6f01f05-0712-42ed-8716-6432916b7314</errorID>
      <errorWord>（</errorWord>
      <group>L1_Punc</group>
      <groupName>标点问题</groupName>
      <ability>L2_Punc</ability>
      <abilityName>标点符号检查</abilityName>
      <candidateList/>
      <explain>同一形式括号套用。</explain>
      <paraID>33A2CC04</paraID>
      <start>67</start>
      <end>68</end>
      <status>ignored</status>
      <modifiedWord/>
      <trackRevisions>false</trackRevisions>
    </reviewItem>
    <reviewItem>
      <errorID>f6d1b950-9a1e-4e59-971b-0d2da9669767</errorID>
      <errorWord>）</errorWord>
      <group>L1_Punc</group>
      <groupName>标点问题</groupName>
      <ability>L2_Punc</ability>
      <abilityName>标点符号检查</abilityName>
      <candidateList/>
      <explain>同一形式括号套用。</explain>
      <paraID>33A2CC04</paraID>
      <start>89</start>
      <end>90</end>
      <status>ignored</status>
      <modifiedWord/>
      <trackRevisions>false</trackRevisions>
    </reviewItem>
    <reviewItem>
      <errorID>487a70c2-17f1-4cce-b44c-752695a5c9df</errorID>
      <errorWord>（</errorWord>
      <group>L1_Punc</group>
      <groupName>标点问题</groupName>
      <ability>L2_Punc</ability>
      <abilityName>标点符号检查</abilityName>
      <candidateList/>
      <explain>同一形式括号套用。</explain>
      <paraID>33A2CC04</paraID>
      <start>100</start>
      <end>101</end>
      <status>ignored</status>
      <modifiedWord/>
      <trackRevisions>false</trackRevisions>
    </reviewItem>
    <reviewItem>
      <errorID>ad6e2000-10cd-4124-9a09-8a6254fe7edc</errorID>
      <errorWord>）</errorWord>
      <group>L1_Punc</group>
      <groupName>标点问题</groupName>
      <ability>L2_Punc</ability>
      <abilityName>标点符号检查</abilityName>
      <candidateList/>
      <explain>同一形式括号套用。</explain>
      <paraID>33A2CC04</paraID>
      <start>104</start>
      <end>105</end>
      <status>ignored</status>
      <modifiedWord/>
      <trackRevisions>false</trackRevisions>
    </reviewItem>
    <reviewItem>
      <errorID>48c22fc1-465c-4241-991a-01138d7ed48c</errorID>
      <errorWord>（</errorWord>
      <group>L1_Punc</group>
      <groupName>标点问题</groupName>
      <ability>L2_Punc</ability>
      <abilityName>标点符号检查</abilityName>
      <candidateList/>
      <explain>同一形式括号套用。</explain>
      <paraID>33A2CC04</paraID>
      <start>105</start>
      <end>106</end>
      <status>ignored</status>
      <modifiedWord/>
      <trackRevisions>false</trackRevisions>
    </reviewItem>
    <reviewItem>
      <errorID>b677238e-2f2b-46a3-9266-be1104f10060</errorID>
      <errorWord>）</errorWord>
      <group>L1_Punc</group>
      <groupName>标点问题</groupName>
      <ability>L2_Punc</ability>
      <abilityName>标点符号检查</abilityName>
      <candidateList/>
      <explain>同一形式括号套用。</explain>
      <paraID>33A2CC04</paraID>
      <start>117</start>
      <end>118</end>
      <status>ignored</status>
      <modifiedWord/>
      <trackRevisions>false</trackRevisions>
    </reviewItem>
    <reviewItem>
      <errorID>b69c4e6c-8bc6-425b-90ea-750c80b864da</errorID>
      <errorWord>（</errorWord>
      <group>L1_Punc</group>
      <groupName>标点问题</groupName>
      <ability>L2_Punc</ability>
      <abilityName>标点符号检查</abilityName>
      <candidateList/>
      <explain>同一形式括号套用。</explain>
      <paraID>33A2CC04</paraID>
      <start>122</start>
      <end>123</end>
      <status>ignored</status>
      <modifiedWord/>
      <trackRevisions>false</trackRevisions>
    </reviewItem>
    <reviewItem>
      <errorID>2eab3391-2c73-4534-8364-e95cc3c8f977</errorID>
      <errorWord>）</errorWord>
      <group>L1_Punc</group>
      <groupName>标点问题</groupName>
      <ability>L2_Punc</ability>
      <abilityName>标点符号检查</abilityName>
      <candidateList/>
      <explain>同一形式括号套用。</explain>
      <paraID>33A2CC04</paraID>
      <start>132</start>
      <end>133</end>
      <status>ignored</status>
      <modifiedWord/>
      <trackRevisions>false</trackRevisions>
    </reviewItem>
    <reviewItem>
      <errorID>e86c1577-1ab2-4975-b802-e873fa482400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58696BE9</paraID>
      <start>0</start>
      <end>3</end>
      <status>ignored</status>
      <modifiedWord/>
      <trackRevisions>false</trackRevisions>
    </reviewItem>
    <reviewItem>
      <errorID>7577034a-6404-4916-9813-16d90862dca5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71F07F2F</paraID>
      <start>0</start>
      <end>3</end>
      <status>ignored</status>
      <modifiedWord/>
      <trackRevisions>false</trackRevisions>
    </reviewItem>
    <reviewItem>
      <errorID>28a124c7-dd9a-4b76-9652-ce4c46e43678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51435E7E</paraID>
      <start>0</start>
      <end>3</end>
      <status>ignored</status>
      <modifiedWord/>
      <trackRevisions>false</trackRevisions>
    </reviewItem>
    <reviewItem>
      <errorID>50c14ede-e1fb-48c7-a0f8-bcf337f0f1a3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D1D95D2</paraID>
      <start>0</start>
      <end>3</end>
      <status>ignored</status>
      <modifiedWord/>
      <trackRevisions>false</trackRevisions>
    </reviewItem>
    <reviewItem>
      <errorID>673c4394-1118-454c-bf3f-6fd51cae33ee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154F087C</paraID>
      <start>0</start>
      <end>3</end>
      <status>ignored</status>
      <modifiedWord/>
      <trackRevisions>false</trackRevisions>
    </reviewItem>
    <reviewItem>
      <errorID>1bfa2ff7-2920-46ff-9ea1-fc3ef5f1888a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7B3F1720</paraID>
      <start>0</start>
      <end>3</end>
      <status>ignored</status>
      <modifiedWord/>
      <trackRevisions>false</trackRevisions>
    </reviewItem>
    <reviewItem>
      <errorID>faa5aa30-f98e-457e-87a4-540f331e2258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359B8621</paraID>
      <start>0</start>
      <end>3</end>
      <status>ignored</status>
      <modifiedWord/>
      <trackRevisions>false</trackRevisions>
    </reviewItem>
    <reviewItem>
      <errorID>4ec2a4c3-5664-4425-8070-aa3e7c7d6176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2FDC0784</paraID>
      <start>0</start>
      <end>3</end>
      <status>ignored</status>
      <modifiedWord/>
      <trackRevisions>false</trackRevisions>
    </reviewItem>
    <reviewItem>
      <errorID>1443ec3f-c59b-432b-bfb9-1e02a4ea76b2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34DD836F</paraID>
      <start>0</start>
      <end>3</end>
      <status>ignored</status>
      <modifiedWord/>
      <trackRevisions>false</trackRevisions>
    </reviewItem>
    <reviewItem>
      <errorID>f12ec9a2-3d35-40f1-95ca-e1f9037150a7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1944AAC5</paraID>
      <start>0</start>
      <end>3</end>
      <status>ignored</status>
      <modifiedWord/>
      <trackRevisions>false</trackRevisions>
    </reviewItem>
    <reviewItem>
      <errorID>ddb6c930-81a6-4eea-81c8-a5eeb7368c63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69C81EFE</paraID>
      <start>0</start>
      <end>3</end>
      <status>ignored</status>
      <modifiedWord/>
      <trackRevisions>false</trackRevisions>
    </reviewItem>
    <reviewItem>
      <errorID>95636748-75de-4761-ac3c-5bb4febd8d24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468698C5</paraID>
      <start>0</start>
      <end>3</end>
      <status>ignored</status>
      <modifiedWord/>
      <trackRevisions>false</trackRevisions>
    </reviewItem>
    <reviewItem>
      <errorID>072946e1-44bf-4462-8030-6eabef547843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75734D15</paraID>
      <start>0</start>
      <end>3</end>
      <status>ignored</status>
      <modifiedWord/>
      <trackRevisions>false</trackRevisions>
    </reviewItem>
    <reviewItem>
      <errorID>23447950-cab9-4f45-87df-868056228850</errorID>
      <errorWord>法律、法规</errorWord>
      <group>L1_Word</group>
      <groupName>字词问题</groupName>
      <ability>L2_Typo</ability>
      <abilityName>字词错误</abilityName>
      <candidateList>
        <item>法律法规</item>
      </candidateList>
      <explain/>
      <paraID>5F305D5D</paraID>
      <start>0</start>
      <end>5</end>
      <status>unmodified</status>
      <modifiedWord/>
      <trackRevisions>false</trackRevisions>
    </reviewItem>
    <reviewItem>
      <errorID>e6d754b3-68f6-4d06-812c-b62b6eaba00c</errorID>
      <errorWord>人</errorWord>
      <group>L1_Word</group>
      <groupName>字词问题</groupName>
      <ability>L2_Typo</ability>
      <abilityName>字词错误</abilityName>
      <candidateList>
        <item>人在</item>
      </candidateList>
      <explain/>
      <paraID>67FE3CAD</paraID>
      <start>2</start>
      <end>3</end>
      <status>ignored</status>
      <modifiedWord/>
      <trackRevisions>false</trackRevisions>
    </reviewItem>
    <reviewItem>
      <errorID>d27110fd-9374-4201-a34a-bea523ae54e9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67FE3CAD</paraID>
      <start>47</start>
      <end>50</end>
      <status>ignored</status>
      <modifiedWord/>
      <trackRevisions>false</trackRevisions>
    </reviewItem>
    <reviewItem>
      <errorID>96046eb2-d0a4-4e13-b0c6-f7c664069261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67FE3CAD</paraID>
      <start>53</start>
      <end>56</end>
      <status>ignored</status>
      <modifiedWord/>
      <trackRevisions>false</trackRevisions>
    </reviewItem>
    <reviewItem>
      <errorID>add9961c-1072-44d4-9789-5bf2e5f5b076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67FE3CAD</paraID>
      <start>59</start>
      <end>62</end>
      <status>ignored</status>
      <modifiedWord/>
      <trackRevisions>false</trackRevisions>
    </reviewItem>
    <reviewItem>
      <errorID>c26154ea-559b-459f-9848-a43d1e9e9044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23EE0B7C</paraID>
      <start>0</start>
      <end>2</end>
      <status>ignored</status>
      <modifiedWord/>
      <trackRevisions>false</trackRevisions>
    </reviewItem>
    <reviewItem>
      <errorID>47d847c5-1017-4d99-bbb4-2c0e4eff2b2c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48448CA4</paraID>
      <start>0</start>
      <end>2</end>
      <status>ignored</status>
      <modifiedWord/>
      <trackRevisions>false</trackRevisions>
    </reviewItem>
    <reviewItem>
      <errorID>595ed714-eb6f-4906-9fb3-067981ff2bd4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48A37F70</paraID>
      <start>0</start>
      <end>2</end>
      <status>ignored</status>
      <modifiedWord/>
      <trackRevisions>false</trackRevisions>
    </reviewItem>
    <reviewItem>
      <errorID>a2e6c773-7011-42d8-9584-0984f063f6b6</errorID>
      <errorWord>第二条、</errorWord>
      <group>L1_Punc</group>
      <groupName>标点问题</groupName>
      <ability>L2_Punc</ability>
      <abilityName>标点符号检查</abilityName>
      <candidateList>
        <item>第二条，</item>
      </candidateList>
      <explain>连接词前后不宜使用顿号，建议使用逗号。</explain>
      <paraID>5EFE6A47</paraID>
      <start>52</start>
      <end>56</end>
      <status>unmodified</status>
      <modifiedWord/>
      <trackRevisions>false</trackRevisions>
    </reviewItem>
    <reviewItem>
      <errorID>ad3391e4-a83f-4c6a-acf4-7f468307d22d</errorID>
      <errorWord>(</errorWord>
      <group>L1_Format</group>
      <groupName>格式问题</groupName>
      <ability>L2_HalfPunc</ability>
      <abilityName>全半角检查</abilityName>
      <candidateList>
        <item>（</item>
      </candidateList>
      <explain>文本全半角错误。</explain>
      <paraID> 230755B</paraID>
      <start>42</start>
      <end>43</end>
      <status>ignored</status>
      <modifiedWord/>
      <trackRevisions>false</trackRevisions>
    </reviewItem>
    <reviewItem>
      <errorID>a2409631-98a6-415b-87fa-bf0b75b159f4</errorID>
      <errorWord>)</errorWord>
      <group>L1_Format</group>
      <groupName>格式问题</groupName>
      <ability>L2_HalfPunc</ability>
      <abilityName>全半角检查</abilityName>
      <candidateList>
        <item>）</item>
      </candidateList>
      <explain>文本全半角错误。</explain>
      <paraID> 230755B</paraID>
      <start>52</start>
      <end>53</end>
      <status>ignored</status>
      <modifiedWord/>
      <trackRevisions>false</trackRevisions>
    </reviewItem>
    <reviewItem>
      <errorID>ec11cb4f-5047-4cd7-9967-386d47f54d0d</errorID>
      <errorWord>(</errorWord>
      <group>L1_Format</group>
      <groupName>格式问题</groupName>
      <ability>L2_HalfPunc</ability>
      <abilityName>全半角检查</abilityName>
      <candidateList>
        <item>（</item>
      </candidateList>
      <explain>文本全半角错误。</explain>
      <paraID>2673E8FA</paraID>
      <start>43</start>
      <end>44</end>
      <status>ignored</status>
      <modifiedWord/>
      <trackRevisions>false</trackRevisions>
    </reviewItem>
    <reviewItem>
      <errorID>8d77b367-2048-45c7-a24c-9814b9b97a7d</errorID>
      <errorWord>[2011]</errorWord>
      <group>L1_Punc</group>
      <groupName>标点问题</groupName>
      <ability>L2_Punc</ability>
      <abilityName>标点符号检查</abilityName>
      <candidateList>
        <item>〔2011〕</item>
      </candidateList>
      <explain/>
      <paraID>2673E8FA</paraID>
      <start>46</start>
      <end>52</end>
      <status>ignored</status>
      <modifiedWord/>
      <trackRevisions>false</trackRevisions>
    </reviewItem>
    <reviewItem>
      <errorID>cb6888d8-86be-49cc-b4d8-28bd8a5c8b08</errorID>
      <errorWord>)</errorWord>
      <group>L1_Format</group>
      <groupName>格式问题</groupName>
      <ability>L2_HalfPunc</ability>
      <abilityName>全半角检查</abilityName>
      <candidateList>
        <item>）</item>
      </candidateList>
      <explain>文本全半角错误。</explain>
      <paraID>2673E8FA</paraID>
      <start>57</start>
      <end>58</end>
      <status>unmodified</status>
      <modifiedWord/>
      <trackRevisions>false</trackRevisions>
    </reviewItem>
    <reviewItem>
      <errorID>c84caddb-8205-4f08-ba95-844efd598efe</errorID>
      <errorWord>[2016]</errorWord>
      <group>L1_Punc</group>
      <groupName>标点问题</groupName>
      <ability>L2_Punc</ability>
      <abilityName>标点符号检查</abilityName>
      <candidateList>
        <item>〔2016〕</item>
      </candidateList>
      <explain/>
      <paraID>45C04FFB</paraID>
      <start>97</start>
      <end>103</end>
      <status>unmodified</status>
      <modifiedWord/>
      <trackRevisions>false</trackRevisions>
    </reviewItem>
    <reviewItem>
      <errorID>5b103202-6110-4bb8-96b1-fbbcce13230f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5A8057B6</paraID>
      <start>0</start>
      <end>2</end>
      <status>unmodified</status>
      <modifiedWord/>
      <trackRevisions>false</trackRevisions>
    </reviewItem>
    <reviewItem>
      <errorID>055ff896-5861-428a-a349-48ca42ff3986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30B4E4F5</paraID>
      <start>0</start>
      <end>2</end>
      <status>unmodified</status>
      <modifiedWord/>
      <trackRevisions>false</trackRevisions>
    </reviewItem>
    <reviewItem>
      <errorID>138d4c0c-3e60-4c30-9fb5-cdabc8744717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5E645D92</paraID>
      <start>0</start>
      <end>2</end>
      <status>unmodified</status>
      <modifiedWord/>
      <trackRevisions>false</trackRevisions>
    </reviewItem>
    <reviewItem>
      <errorID>df43e33e-471c-4e2e-91f0-bdfc5bdb5077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73330F41</paraID>
      <start>0</start>
      <end>2</end>
      <status>unmodified</status>
      <modifiedWord/>
      <trackRevisions>false</trackRevisions>
    </reviewItem>
    <reviewItem>
      <errorID>715f624f-5ac6-494f-80a9-9cb6f078b3d1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6EAC6480</paraID>
      <start>0</start>
      <end>2</end>
      <status>unmodified</status>
      <modifiedWord/>
      <trackRevisions>false</trackRevisions>
    </reviewItem>
    <reviewItem>
      <errorID>745bbece-347f-4474-9080-a23492c16261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1C016680</paraID>
      <start>0</start>
      <end>2</end>
      <status>unmodified</status>
      <modifiedWord/>
      <trackRevisions>false</trackRevisions>
    </reviewItem>
    <reviewItem>
      <errorID>25c32db8-331f-4e0f-b67d-39ea3f6a1d9a</errorID>
      <errorWord>计价格【2002】1980号</errorWord>
      <group>L1_Word</group>
      <groupName>字词问题</groupName>
      <ability>L2_Typo</ability>
      <abilityName>字词错误</abilityName>
      <candidateList>
        <item>计价格〔2002〕1980号</item>
      </candidateList>
      <explain/>
      <paraID>1851F4AC</paraID>
      <start>39</start>
      <end>53</end>
      <status>unmodified</status>
      <modifiedWord/>
      <trackRevisions>false</trackRevisions>
    </reviewItem>
    <reviewItem>
      <errorID>4239a1dd-0ed6-4742-a379-6a0198139615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E875AFF</paraID>
      <start>0</start>
      <end>2</end>
      <status>unmodified</status>
      <modifiedWord/>
      <trackRevisions>false</trackRevisions>
    </reviewItem>
    <reviewItem>
      <errorID>6345417b-07a3-4e9d-a8d9-ba36633c72b5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5E707F14</paraID>
      <start>0</start>
      <end>2</end>
      <status>unmodified</status>
      <modifiedWord/>
      <trackRevisions>false</trackRevisions>
    </reviewItem>
    <reviewItem>
      <errorID>f2ae03f2-8192-427c-802a-14e207a6cb0f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75BD1500</paraID>
      <start>0</start>
      <end>2</end>
      <status>unmodified</status>
      <modifiedWord/>
      <trackRevisions>false</trackRevisions>
    </reviewItem>
    <reviewItem>
      <errorID>d4134bf9-62d2-4093-956e-ceea5da89692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4F19B8B3</paraID>
      <start>0</start>
      <end>2</end>
      <status>unmodified</status>
      <modifiedWord/>
      <trackRevisions>false</trackRevisions>
    </reviewItem>
    <reviewItem>
      <errorID>9974867f-7aea-4b92-acf5-19f14e0c2d60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4744EED8</paraID>
      <start>0</start>
      <end>2</end>
      <status>unmodified</status>
      <modifiedWord/>
      <trackRevisions>false</trackRevisions>
    </reviewItem>
    <reviewItem>
      <errorID>eb0d5ad0-85f8-45f3-a1db-82185e6561bc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543930C6</paraID>
      <start>0</start>
      <end>2</end>
      <status>unmodified</status>
      <modifiedWord/>
      <trackRevisions>false</trackRevisions>
    </reviewItem>
    <reviewItem>
      <errorID>f9dad097-8347-4a38-b402-4fccb5f8145b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11B111F7</paraID>
      <start>0</start>
      <end>3</end>
      <status>unmodified</status>
      <modifiedWord/>
      <trackRevisions>false</trackRevisions>
    </reviewItem>
    <reviewItem>
      <errorID>ce71a959-ba47-420a-b820-62869a2d3861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76C56F12</paraID>
      <start>0</start>
      <end>3</end>
      <status>unmodified</status>
      <modifiedWord/>
      <trackRevisions>false</trackRevisions>
    </reviewItem>
    <reviewItem>
      <errorID>de85cae8-7c45-4821-95bf-76c8abf12f97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2DAA2BC6</paraID>
      <start>0</start>
      <end>3</end>
      <status>unmodified</status>
      <modifiedWord/>
      <trackRevisions>false</trackRevisions>
    </reviewItem>
    <reviewItem>
      <errorID>0b52454b-a4b0-4435-a0a6-840ece50e4e9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6A4248E6</paraID>
      <start>0</start>
      <end>3</end>
      <status>unmodified</status>
      <modifiedWord/>
      <trackRevisions>false</trackRevisions>
    </reviewItem>
    <reviewItem>
      <errorID>9844f665-8836-4d01-ae01-373e7c6eef17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6C4BDF9B</paraID>
      <start>0</start>
      <end>3</end>
      <status>unmodified</status>
      <modifiedWord/>
      <trackRevisions>false</trackRevisions>
    </reviewItem>
    <reviewItem>
      <errorID>a09d67e6-c0f5-45bd-9870-14894d241484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242CEA8D</paraID>
      <start>0</start>
      <end>2</end>
      <status>unmodified</status>
      <modifiedWord/>
      <trackRevisions>false</trackRevisions>
    </reviewItem>
    <reviewItem>
      <errorID>ca844ccb-f9ef-4a2b-82d2-43bbf3519304</errorID>
      <errorWord>过程中涉及到</errorWord>
      <group>L1_Word</group>
      <groupName>字词问题</groupName>
      <ability>L2_Typo</ability>
      <abilityName>字词错误</abilityName>
      <candidateList>
        <item>过程中涉及</item>
      </candidateList>
      <explain/>
      <paraID>346B7440</paraID>
      <start>10</start>
      <end>16</end>
      <status>unmodified</status>
      <modifiedWord/>
      <trackRevisions>false</trackRevisions>
    </reviewItem>
    <reviewItem>
      <errorID>198a8bd1-d970-451b-8e9a-b46e38f60c9c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4F20C6C7</paraID>
      <start>0</start>
      <end>2</end>
      <status>unmodified</status>
      <modifiedWord/>
      <trackRevisions>false</trackRevisions>
    </reviewItem>
    <reviewItem>
      <errorID>813e5b35-166d-4a10-abba-d0cc62f78e93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421C10F4</paraID>
      <start>0</start>
      <end>2</end>
      <status>unmodified</status>
      <modifiedWord/>
      <trackRevisions>false</trackRevisions>
    </reviewItem>
    <reviewItem>
      <errorID>051392a2-3fc5-4fc9-9e60-83dc750cd6da</errorID>
      <errorWord>保持通讯畅通</errorWord>
      <group>L1_Word</group>
      <groupName>字词问题</groupName>
      <ability>L2_Typo</ability>
      <abilityName>字词错误</abilityName>
      <candidateList>
        <item>保持通信畅通</item>
      </candidateList>
      <explain/>
      <paraID>20339FFB</paraID>
      <start>18</start>
      <end>24</end>
      <status>unmodified</status>
      <modifiedWord/>
      <trackRevisions>false</trackRevisions>
    </reviewItem>
    <reviewItem>
      <errorID>d9ff39eb-aa69-41a8-8111-697e1b3993b6</errorID>
      <errorWord>&lt;</errorWord>
      <group>L1_Format</group>
      <groupName>格式问题</groupName>
      <ability>L2_HalfPunc</ability>
      <abilityName>全半角检查</abilityName>
      <candidateList>
        <item>〈</item>
      </candidateList>
      <explain>文本全半角错误。</explain>
      <paraID>59764049</paraID>
      <start>48</start>
      <end>49</end>
      <status>unmodified</status>
      <modifiedWord/>
      <trackRevisions>false</trackRevisions>
    </reviewItem>
    <reviewItem>
      <errorID>a79211df-4158-435d-aaf3-9619d4705dd2</errorID>
      <errorWord>&lt;</errorWord>
      <group>L1_Format</group>
      <groupName>格式问题</groupName>
      <ability>L2_HalfPunc</ability>
      <abilityName>全半角检查</abilityName>
      <candidateList>
        <item>〈</item>
      </candidateList>
      <explain>文本全半角错误。</explain>
      <paraID> 73C1AF3</paraID>
      <start>48</start>
      <end>49</end>
      <status>unmodified</status>
      <modifiedWord/>
      <trackRevisions>false</trackRevisions>
    </reviewItem>
    <reviewItem>
      <errorID>d09f5bf7-9b24-4099-b271-63bef6c66132</errorID>
      <errorWord>&lt;</errorWord>
      <group>L1_Format</group>
      <groupName>格式问题</groupName>
      <ability>L2_HalfPunc</ability>
      <abilityName>全半角检查</abilityName>
      <candidateList>
        <item>〈</item>
      </candidateList>
      <explain>文本全半角错误。</explain>
      <paraID> C8624AB</paraID>
      <start>33</start>
      <end>34</end>
      <status>unmodified</status>
      <modifiedWord/>
      <trackRevisions>false</trackRevisions>
    </reviewItem>
    <reviewItem>
      <errorID>8ff008de-5f10-457d-abd5-2405cafda8e6</errorID>
      <errorWord>，</errorWord>
      <group>L1_Word</group>
      <groupName>字词问题</groupName>
      <ability>L2_Typo</ability>
      <abilityName>字词错误</abilityName>
      <candidateList>
        <item>，并</item>
      </candidateList>
      <explain/>
      <paraID>6A887BB3</paraID>
      <start>62</start>
      <end>63</end>
      <status>unmodified</status>
      <modifiedWord/>
      <trackRevisions>false</trackRevisions>
    </reviewItem>
    <reviewItem>
      <errorID>b593249b-29bf-4fc6-ae38-3f0892711051</errorID>
      <errorWord>通讯畅通</errorWord>
      <group>L1_Word</group>
      <groupName>字词问题</groupName>
      <ability>L2_Typo</ability>
      <abilityName>字词错误</abilityName>
      <candidateList>
        <item>通信畅通</item>
      </candidateList>
      <explain/>
      <paraID>675DCD9C</paraID>
      <start>31</start>
      <end>35</end>
      <status>unmodified</status>
      <modifiedWord/>
      <trackRevisions>false</trackRevisions>
    </reviewItem>
    <reviewItem>
      <errorID>8a481c5e-7736-468a-93cc-fdf0c1872ba1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77E5C815</paraID>
      <start>0</start>
      <end>2</end>
      <status>unmodified</status>
      <modifiedWord/>
      <trackRevisions>false</trackRevisions>
    </reviewItem>
    <reviewItem>
      <errorID>dd3e6afb-a2ab-4804-8dc1-c83796e78f6d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1BB32B68</paraID>
      <start>0</start>
      <end>2</end>
      <status>unmodified</status>
      <modifiedWord/>
      <trackRevisions>false</trackRevisions>
    </reviewItem>
    <reviewItem>
      <errorID>a460f41f-4b10-4e25-b028-b8c89ddd8d16</errorID>
      <errorWord>体</errorWord>
      <group>L1_Word</group>
      <groupName>字词问题</groupName>
      <ability>L2_Typo</ability>
      <abilityName>字词错误</abilityName>
      <candidateList>
        <item>体上</item>
      </candidateList>
      <explain/>
      <paraID>1875062F</paraID>
      <start>41</start>
      <end>42</end>
      <status>unmodified</status>
      <modifiedWord/>
      <trackRevisions>false</trackRevisions>
    </reviewItem>
    <reviewItem>
      <errorID>523df523-df27-4262-bf22-f3000d7b7e88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64FF74DF</paraID>
      <start>0</start>
      <end>2</end>
      <status>unmodified</status>
      <modifiedWord/>
      <trackRevisions>false</trackRevisions>
    </reviewItem>
    <reviewItem>
      <errorID>bcc6cc4b-e050-43df-bfce-7b4745d0d096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4C5F4962</paraID>
      <start>0</start>
      <end>2</end>
      <status>unmodified</status>
      <modifiedWord/>
      <trackRevisions>false</trackRevisions>
    </reviewItem>
    <reviewItem>
      <errorID>786af04e-3657-4496-87e1-c7012114d554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3DCD5F57</paraID>
      <start>0</start>
      <end>2</end>
      <status>unmodified</status>
      <modifiedWord/>
      <trackRevisions>false</trackRevisions>
    </reviewItem>
    <reviewItem>
      <errorID>6d6f529e-98cc-4855-93b8-eefe1d3a6b34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571B387E</paraID>
      <start>0</start>
      <end>2</end>
      <status>unmodified</status>
      <modifiedWord/>
      <trackRevisions>false</trackRevisions>
    </reviewItem>
    <reviewItem>
      <errorID>6d717597-c1c1-4942-bfcd-36f21cf4479c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765994E8</paraID>
      <start>0</start>
      <end>2</end>
      <status>unmodified</status>
      <modifiedWord/>
      <trackRevisions>false</trackRevisions>
    </reviewItem>
    <reviewItem>
      <errorID>80af3cbd-c082-48ed-acdf-c0ab41b97364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52157D0C</paraID>
      <start>0</start>
      <end>2</end>
      <status>unmodified</status>
      <modifiedWord/>
      <trackRevisions>false</trackRevisions>
    </reviewItem>
    <reviewItem>
      <errorID>1e9399a0-2ac0-4b2b-a7ab-3c021ea285fb</errorID>
      <errorWord>二家</errorWord>
      <group>L1_Word</group>
      <groupName>字词问题</groupName>
      <ability>L2_Typo</ability>
      <abilityName>字词错误</abilityName>
      <candidateList>
        <item>两家</item>
      </candidateList>
      <explain/>
      <paraID> A48A7ED</paraID>
      <start>70</start>
      <end>72</end>
      <status>unmodified</status>
      <modifiedWord/>
      <trackRevisions>false</trackRevisions>
    </reviewItem>
    <reviewItem>
      <errorID>c14bfec8-16fc-4696-94b7-15767281cc4e</errorID>
      <errorWord>法律、法规</errorWord>
      <group>L1_Word</group>
      <groupName>字词问题</groupName>
      <ability>L2_Typo</ability>
      <abilityName>字词错误</abilityName>
      <candidateList>
        <item>法律法规</item>
      </candidateList>
      <explain/>
      <paraID>75E7B08D</paraID>
      <start>26</start>
      <end>31</end>
      <status>unmodified</status>
      <modifiedWord/>
      <trackRevisions>false</trackRevisions>
    </reviewItem>
    <reviewItem>
      <errorID>1ebad87a-62cc-4f20-a33c-53fa55e11c94</errorID>
      <errorWord>;</errorWord>
      <group>L1_Format</group>
      <groupName>格式问题</groupName>
      <ability>L2_HalfPunc</ability>
      <abilityName>全半角检查</abilityName>
      <candidateList>
        <item>；</item>
      </candidateList>
      <explain>文本全半角错误。</explain>
      <paraID>352387A3</paraID>
      <start>28</start>
      <end>29</end>
      <status>unmodified</status>
      <modifiedWord/>
      <trackRevisions>false</trackRevisions>
    </reviewItem>
    <reviewItem>
      <errorID>e8940e80-3914-4a59-bdd9-0584dbaeb4f5</errorID>
      <errorWord>做要求</errorWord>
      <group>L1_Word</group>
      <groupName>字词问题</groupName>
      <ability>L2_Typo</ability>
      <abilityName>字词错误</abilityName>
      <candidateList>
        <item>作要求</item>
      </candidateList>
      <explain/>
      <paraID>4792CCF1</paraID>
      <start>24</start>
      <end>27</end>
      <status>modified</status>
      <modifiedWord>作要求</modifiedWord>
      <trackRevisions>false</trackRevisions>
    </reviewItem>
    <reviewItem>
      <errorID>fcb25695-66fb-4c7e-a85c-d7552b470867</errorID>
      <errorWord>条</errorWord>
      <group>L1_Knowledge</group>
      <groupName>知识性问题</groupName>
      <ability>L2_Knowledge</ability>
      <abilityName>其他知识</abilityName>
      <candidateList>
        <item>项</item>
      </candidateList>
      <explain>请检查“条”是否为量词使用错误，建议修改为“项”。</explain>
      <paraID>6FD3BFEE</paraID>
      <start>11</start>
      <end>12</end>
      <status>unmodified</status>
      <modifiedWord/>
      <trackRevisions>false</trackRevisions>
    </reviewItem>
    <reviewItem>
      <errorID>6341d3bb-7443-4246-869f-05bdc1a9b54e</errorID>
      <errorWord>法律、法规</errorWord>
      <group>L1_Word</group>
      <groupName>字词问题</groupName>
      <ability>L2_Typo</ability>
      <abilityName>字词错误</abilityName>
      <candidateList>
        <item>法律法规</item>
      </candidateList>
      <explain/>
      <paraID>5F7C0F51</paraID>
      <start>4</start>
      <end>9</end>
      <status>unmodified</status>
      <modifiedWord/>
      <trackRevisions>false</trackRevisions>
    </reviewItem>
    <reviewItem>
      <errorID>ca4b08d0-fdcb-483f-adb7-4b5fee0a02ff</errorID>
      <errorWord>二位</errorWord>
      <group>L1_Word</group>
      <groupName>字词问题</groupName>
      <ability>L2_Typo</ability>
      <abilityName>字词错误</abilityName>
      <candidateList>
        <item>两位</item>
      </candidateList>
      <explain/>
      <paraID>4A463BD9</paraID>
      <start>56</start>
      <end>58</end>
      <status>unmodified</status>
      <modifiedWord/>
      <trackRevisions>false</trackRevisions>
    </reviewItem>
    <reviewItem>
      <errorID>4645d25e-f65a-4a79-b0ca-9d534b8aee69</errorID>
      <errorWord>二位</errorWord>
      <group>L1_Word</group>
      <groupName>字词问题</groupName>
      <ability>L2_Typo</ability>
      <abilityName>字词错误</abilityName>
      <candidateList>
        <item>两位</item>
      </candidateList>
      <explain/>
      <paraID>31053F85</paraID>
      <start>77</start>
      <end>79</end>
      <status>unmodified</status>
      <modifiedWord/>
      <trackRevisions>false</trackRevisions>
    </reviewItem>
    <reviewItem>
      <errorID>dad1b21b-be43-4d99-8c74-69ce3ad76d9d</errorID>
      <errorWord>(</errorWord>
      <group>L1_Format</group>
      <groupName>格式问题</groupName>
      <ability>L2_HalfPunc</ability>
      <abilityName>全半角检查</abilityName>
      <candidateList>
        <item>（</item>
      </candidateList>
      <explain>文本全半角错误。</explain>
      <paraID>31053F85</paraID>
      <start>88</start>
      <end>89</end>
      <status>unmodified</status>
      <modifiedWord/>
      <trackRevisions>false</trackRevisions>
    </reviewItem>
    <reviewItem>
      <errorID>67a0e83e-6599-4202-a846-442491379f39</errorID>
      <errorWord>)</errorWord>
      <group>L1_Format</group>
      <groupName>格式问题</groupName>
      <ability>L2_HalfPunc</ability>
      <abilityName>全半角检查</abilityName>
      <candidateList>
        <item>）</item>
      </candidateList>
      <explain>文本全半角错误。</explain>
      <paraID>31053F85</paraID>
      <start>99</start>
      <end>100</end>
      <status>unmodified</status>
      <modifiedWord/>
      <trackRevisions>false</trackRevisions>
    </reviewItem>
    <reviewItem>
      <errorID>310b9a83-a924-46e5-ae52-841d4f90db05</errorID>
      <errorWord>,</errorWord>
      <group>L1_Format</group>
      <groupName>格式问题</groupName>
      <ability>L2_HalfPunc</ability>
      <abilityName>全半角检查</abilityName>
      <candidateList>
        <item>，</item>
      </candidateList>
      <explain>文本全半角错误。</explain>
      <paraID>19A3064F</paraID>
      <start>15</start>
      <end>16</end>
      <status>unmodified</status>
      <modifiedWord/>
      <trackRevisions>false</trackRevisions>
    </reviewItem>
    <reviewItem>
      <errorID>cc9fa9f3-0bf0-4127-ae15-5dc62b815ff4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2D189674</paraID>
      <start>0</start>
      <end>2</end>
      <status>unmodified</status>
      <modifiedWord/>
      <trackRevisions>false</trackRevisions>
    </reviewItem>
    <reviewItem>
      <errorID>7a5529d5-890b-4dd4-9cae-c5d36e3eebe2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6BEBF0CA</paraID>
      <start>0</start>
      <end>2</end>
      <status>unmodified</status>
      <modifiedWord/>
      <trackRevisions>false</trackRevisions>
    </reviewItem>
    <reviewItem>
      <errorID>e77eef17-1592-420c-955d-2a1080ff4d56</errorID>
      <errorWord>[2014]68号</errorWord>
      <group>L1_Knowledge</group>
      <groupName>知识性问题</groupName>
      <ability>L2_Knowledge</ability>
      <abilityName>其他知识</abilityName>
      <candidateList>
        <item>〔2014〕68号</item>
      </candidateList>
      <explain>发文字号格式错误。</explain>
      <paraID>279B4840</paraID>
      <start>38</start>
      <end>47</end>
      <status>unmodified</status>
      <modifiedWord/>
      <trackRevisions>false</trackRevisions>
    </reviewItem>
    <reviewItem>
      <errorID>1e65213d-0ac0-4a95-afe2-426a584a8bd0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63FED3A2</paraID>
      <start>0</start>
      <end>2</end>
      <status>unmodified</status>
      <modifiedWord/>
      <trackRevisions>false</trackRevisions>
    </reviewItem>
    <reviewItem>
      <errorID>8e24ffb5-7f1f-43e5-9f14-6aeeffd3b434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47DB86E9</paraID>
      <start>0</start>
      <end>2</end>
      <status>unmodified</status>
      <modifiedWord/>
      <trackRevisions>false</trackRevisions>
    </reviewItem>
    <reviewItem>
      <errorID>a26afb32-cf7c-4fa6-98bf-6443928d0776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7F8DEAA3</paraID>
      <start>0</start>
      <end>2</end>
      <status>unmodified</status>
      <modifiedWord/>
      <trackRevisions>false</trackRevisions>
    </reviewItem>
    <reviewItem>
      <errorID>6b92494c-af79-4959-a3d1-205c0f72c5ff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351A48AD</paraID>
      <start>0</start>
      <end>2</end>
      <status>unmodified</status>
      <modifiedWord/>
      <trackRevisions>false</trackRevisions>
    </reviewItem>
    <reviewItem>
      <errorID>b38aa238-ab7b-4d7e-8d47-725022b0a661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100E1E89</paraID>
      <start>0</start>
      <end>2</end>
      <status>unmodified</status>
      <modifiedWord/>
      <trackRevisions>false</trackRevisions>
    </reviewItem>
    <reviewItem>
      <errorID>90f3be0c-8c17-4f06-8d6b-08b667a404e4</errorID>
      <errorWord>:</errorWord>
      <group>L1_Format</group>
      <groupName>格式问题</groupName>
      <ability>L2_HalfPunc</ability>
      <abilityName>全半角检查</abilityName>
      <candidateList>
        <item>：</item>
      </candidateList>
      <explain>文本全半角错误。</explain>
      <paraID> C0BE9AA</paraID>
      <start>66</start>
      <end>67</end>
      <status>unmodified</status>
      <modifiedWord/>
      <trackRevisions>false</trackRevisions>
    </reviewItem>
    <reviewItem>
      <errorID>8318a9ed-b030-4f00-b7a6-c3ecd224a015</errorID>
      <errorWord>(</errorWord>
      <group>L1_Format</group>
      <groupName>格式问题</groupName>
      <ability>L2_HalfPunc</ability>
      <abilityName>全半角检查</abilityName>
      <candidateList>
        <item>（</item>
      </candidateList>
      <explain>文本全半角错误。</explain>
      <paraID> 14BB9BC</paraID>
      <start>8</start>
      <end>9</end>
      <status>unmodified</status>
      <modifiedWord/>
      <trackRevisions>false</trackRevisions>
    </reviewItem>
    <reviewItem>
      <errorID>f670b532-b218-468b-9a7b-9f63284689fe</errorID>
      <errorWord>)</errorWord>
      <group>L1_Format</group>
      <groupName>格式问题</groupName>
      <ability>L2_HalfPunc</ability>
      <abilityName>全半角检查</abilityName>
      <candidateList>
        <item>）</item>
      </candidateList>
      <explain>文本全半角错误。</explain>
      <paraID> 14BB9BC</paraID>
      <start>13</start>
      <end>14</end>
      <status>unmodified</status>
      <modifiedWord/>
      <trackRevisions>false</trackRevisions>
    </reviewItem>
    <reviewItem>
      <errorID>e35b648c-17fc-4b19-8a7d-df2dbea09e7c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36340302</paraID>
      <start>0</start>
      <end>2</end>
      <status>unmodified</status>
      <modifiedWord/>
      <trackRevisions>false</trackRevisions>
    </reviewItem>
    <reviewItem>
      <errorID>9e118093-61b2-4606-b04c-a896a094861c</errorID>
      <errorWord>(</errorWord>
      <group>L1_Format</group>
      <groupName>格式问题</groupName>
      <ability>L2_HalfPunc</ability>
      <abilityName>全半角检查</abilityName>
      <candidateList>
        <item>（</item>
      </candidateList>
      <explain>文本全半角错误。</explain>
      <paraID>10C00EFC</paraID>
      <start>10</start>
      <end>11</end>
      <status>unmodified</status>
      <modifiedWord/>
      <trackRevisions>false</trackRevisions>
    </reviewItem>
    <reviewItem>
      <errorID>afe66562-6e4b-4b05-a961-1b54462ef790</errorID>
      <errorWord>)</errorWord>
      <group>L1_Format</group>
      <groupName>格式问题</groupName>
      <ability>L2_HalfPunc</ability>
      <abilityName>全半角检查</abilityName>
      <candidateList>
        <item>）</item>
      </candidateList>
      <explain>文本全半角错误。</explain>
      <paraID>10C00EFC</paraID>
      <start>14</start>
      <end>15</end>
      <status>unmodified</status>
      <modifiedWord/>
      <trackRevisions>false</trackRevisions>
    </reviewItem>
    <reviewItem>
      <errorID>a1548b5c-8ef0-43d6-9acd-71f2392a8b41</errorID>
      <errorWord>，</errorWord>
      <group>L1_Format</group>
      <groupName>格式问题</groupName>
      <ability>L2_HalfPunc</ability>
      <abilityName>全半角检查</abilityName>
      <candidateList>
        <item>, </item>
      </candidateList>
      <explain>文本全半角错误。</explain>
      <paraID>2994163C</paraID>
      <start>10</start>
      <end>11</end>
      <status>unmodified</status>
      <modifiedWord/>
      <trackRevisions>false</trackRevisions>
    </reviewItem>
    <reviewItem>
      <errorID>18ef6542-91d7-4520-9de1-37d1edf04529</errorID>
      <errorWord>，</errorWord>
      <group>L1_Format</group>
      <groupName>格式问题</groupName>
      <ability>L2_HalfPunc</ability>
      <abilityName>全半角检查</abilityName>
      <candidateList>
        <item>, </item>
      </candidateList>
      <explain>文本全半角错误。</explain>
      <paraID>3CE5F390</paraID>
      <start>12</start>
      <end>13</end>
      <status>unmodified</status>
      <modifiedWord/>
      <trackRevisions>false</trackRevisions>
    </reviewItem>
    <reviewItem>
      <errorID>5dc656b7-6d4b-4508-aa1d-5ecd1fb7093b</errorID>
      <errorWord>，</errorWord>
      <group>L1_Format</group>
      <groupName>格式问题</groupName>
      <ability>L2_HalfPunc</ability>
      <abilityName>全半角检查</abilityName>
      <candidateList>
        <item>, </item>
      </candidateList>
      <explain>文本全半角错误。</explain>
      <paraID>3CE5F390</paraID>
      <start>25</start>
      <end>26</end>
      <status>unmodified</status>
      <modifiedWord/>
      <trackRevisions>false</trackRevisions>
    </reviewItem>
    <reviewItem>
      <errorID>1057f3b5-545b-4a08-b26c-25ee3b2951a6</errorID>
      <errorWord>(</errorWord>
      <group>L1_Format</group>
      <groupName>格式问题</groupName>
      <ability>L2_HalfPunc</ability>
      <abilityName>全半角检查</abilityName>
      <candidateList>
        <item>（</item>
      </candidateList>
      <explain>文本全半角错误。</explain>
      <paraID>73D3DC3E</paraID>
      <start>10</start>
      <end>11</end>
      <status>unmodified</status>
      <modifiedWord/>
      <trackRevisions>false</trackRevisions>
    </reviewItem>
    <reviewItem>
      <errorID>319774a3-d5f4-40e2-825b-ced721e48eae</errorID>
      <errorWord>)</errorWord>
      <group>L1_Format</group>
      <groupName>格式问题</groupName>
      <ability>L2_HalfPunc</ability>
      <abilityName>全半角检查</abilityName>
      <candidateList>
        <item>）</item>
      </candidateList>
      <explain>文本全半角错误。</explain>
      <paraID>73D3DC3E</paraID>
      <start>14</start>
      <end>15</end>
      <status>unmodified</status>
      <modifiedWord/>
      <trackRevisions>false</trackRevisions>
    </reviewItem>
    <reviewItem>
      <errorID>6eb6c219-8ae3-45a5-b020-17a09f0ef205</errorID>
      <errorWord>，</errorWord>
      <group>L1_Format</group>
      <groupName>格式问题</groupName>
      <ability>L2_HalfPunc</ability>
      <abilityName>全半角检查</abilityName>
      <candidateList>
        <item>, </item>
      </candidateList>
      <explain>文本全半角错误。</explain>
      <paraID>5C2202E2</paraID>
      <start>12</start>
      <end>13</end>
      <status>unmodified</status>
      <modifiedWord/>
      <trackRevisions>false</trackRevisions>
    </reviewItem>
    <reviewItem>
      <errorID>47ee31d8-fa11-4bc4-9fda-0c3f34d37da7</errorID>
      <errorWord>，</errorWord>
      <group>L1_Format</group>
      <groupName>格式问题</groupName>
      <ability>L2_HalfPunc</ability>
      <abilityName>全半角检查</abilityName>
      <candidateList>
        <item>, </item>
      </candidateList>
      <explain>文本全半角错误。</explain>
      <paraID>20996E6D</paraID>
      <start>10</start>
      <end>11</end>
      <status>unmodified</status>
      <modifiedWord/>
      <trackRevisions>false</trackRevisions>
    </reviewItem>
    <reviewItem>
      <errorID>f5fbe67c-c4a1-49cc-a5bf-fc494bc2ba56</errorID>
      <errorWord>，</errorWord>
      <group>L1_Format</group>
      <groupName>格式问题</groupName>
      <ability>L2_HalfPunc</ability>
      <abilityName>全半角检查</abilityName>
      <candidateList>
        <item>, </item>
      </candidateList>
      <explain>文本全半角错误。</explain>
      <paraID> D948574</paraID>
      <start>10</start>
      <end>11</end>
      <status>unmodified</status>
      <modifiedWord/>
      <trackRevisions>false</trackRevisions>
    </reviewItem>
    <reviewItem>
      <errorID>7ca41804-eb73-4a32-89a9-114fd4c526ea</errorID>
      <errorWord>，</errorWord>
      <group>L1_Format</group>
      <groupName>格式问题</groupName>
      <ability>L2_HalfPunc</ability>
      <abilityName>全半角检查</abilityName>
      <candidateList>
        <item>, </item>
      </candidateList>
      <explain>文本全半角错误。</explain>
      <paraID> D948574</paraID>
      <start>21</start>
      <end>22</end>
      <status>unmodified</status>
      <modifiedWord/>
      <trackRevisions>false</trackRevisions>
    </reviewItem>
    <reviewItem>
      <errorID>72626359-8598-4ddb-8393-28904a3d28f9</errorID>
      <errorWord>，</errorWord>
      <group>L1_Format</group>
      <groupName>格式问题</groupName>
      <ability>L2_HalfPunc</ability>
      <abilityName>全半角检查</abilityName>
      <candidateList>
        <item>, </item>
      </candidateList>
      <explain>文本全半角错误。</explain>
      <paraID> D948574</paraID>
      <start>37</start>
      <end>38</end>
      <status>unmodified</status>
      <modifiedWord/>
      <trackRevisions>false</trackRevisions>
    </reviewItem>
    <reviewItem>
      <errorID>1a58258c-347d-4b28-8e82-bb6288b032ae</errorID>
      <errorWord>，</errorWord>
      <group>L1_Format</group>
      <groupName>格式问题</groupName>
      <ability>L2_HalfPunc</ability>
      <abilityName>全半角检查</abilityName>
      <candidateList>
        <item>, </item>
      </candidateList>
      <explain>文本全半角错误。</explain>
      <paraID> D948574</paraID>
      <start>53</start>
      <end>54</end>
      <status>unmodified</status>
      <modifiedWord/>
      <trackRevisions>false</trackRevisions>
    </reviewItem>
    <reviewItem>
      <errorID>1080d486-ec00-47fa-a6f2-52a696e1533c</errorID>
      <errorWord>，</errorWord>
      <group>L1_Format</group>
      <groupName>格式问题</groupName>
      <ability>L2_HalfPunc</ability>
      <abilityName>全半角检查</abilityName>
      <candidateList>
        <item>, </item>
      </candidateList>
      <explain>文本全半角错误。</explain>
      <paraID>16CFA4B5</paraID>
      <start>14</start>
      <end>15</end>
      <status>unmodified</status>
      <modifiedWord/>
      <trackRevisions>false</trackRevisions>
    </reviewItem>
    <reviewItem>
      <errorID>53980cdb-800e-45ae-8ee2-30953670e73b</errorID>
      <errorWord>，</errorWord>
      <group>L1_Format</group>
      <groupName>格式问题</groupName>
      <ability>L2_HalfPunc</ability>
      <abilityName>全半角检查</abilityName>
      <candidateList>
        <item>, </item>
      </candidateList>
      <explain>文本全半角错误。</explain>
      <paraID>35680B56</paraID>
      <start>12</start>
      <end>13</end>
      <status>unmodified</status>
      <modifiedWord/>
      <trackRevisions>false</trackRevisions>
    </reviewItem>
    <reviewItem>
      <errorID>2c9a1920-c2c1-4624-82f9-b48545eb2694</errorID>
      <errorWord>，</errorWord>
      <group>L1_Format</group>
      <groupName>格式问题</groupName>
      <ability>L2_HalfPunc</ability>
      <abilityName>全半角检查</abilityName>
      <candidateList>
        <item>, </item>
      </candidateList>
      <explain>文本全半角错误。</explain>
      <paraID>62BF3D3C</paraID>
      <start>19</start>
      <end>20</end>
      <status>unmodified</status>
      <modifiedWord/>
      <trackRevisions>false</trackRevisions>
    </reviewItem>
    <reviewItem>
      <errorID>c974706f-25d8-4098-84b3-074f0d961646</errorID>
      <errorWord>，</errorWord>
      <group>L1_Format</group>
      <groupName>格式问题</groupName>
      <ability>L2_HalfPunc</ability>
      <abilityName>全半角检查</abilityName>
      <candidateList>
        <item>, </item>
      </candidateList>
      <explain>文本全半角错误。</explain>
      <paraID>62BF3D3C</paraID>
      <start>27</start>
      <end>28</end>
      <status>unmodified</status>
      <modifiedWord/>
      <trackRevisions>false</trackRevisions>
    </reviewItem>
    <reviewItem>
      <errorID>0c8685d6-94fc-4819-8b65-071992205a0e</errorID>
      <errorWord>，</errorWord>
      <group>L1_Format</group>
      <groupName>格式问题</groupName>
      <ability>L2_HalfPunc</ability>
      <abilityName>全半角检查</abilityName>
      <candidateList>
        <item>, </item>
      </candidateList>
      <explain>文本全半角错误。</explain>
      <paraID>608D7B2B</paraID>
      <start>12</start>
      <end>13</end>
      <status>unmodified</status>
      <modifiedWord/>
      <trackRevisions>false</trackRevisions>
    </reviewItem>
    <reviewItem>
      <errorID>98cac34c-439a-4270-8ccd-44bd1ce22dce</errorID>
      <errorWord>，</errorWord>
      <group>L1_Format</group>
      <groupName>格式问题</groupName>
      <ability>L2_HalfPunc</ability>
      <abilityName>全半角检查</abilityName>
      <candidateList>
        <item>, </item>
      </candidateList>
      <explain>文本全半角错误。</explain>
      <paraID>559A9156</paraID>
      <start>19</start>
      <end>20</end>
      <status>unmodified</status>
      <modifiedWord/>
      <trackRevisions>false</trackRevisions>
    </reviewItem>
    <reviewItem>
      <errorID>fa16174b-f5c7-42e7-8bca-39e175d01923</errorID>
      <errorWord>，</errorWord>
      <group>L1_Format</group>
      <groupName>格式问题</groupName>
      <ability>L2_HalfPunc</ability>
      <abilityName>全半角检查</abilityName>
      <candidateList>
        <item>, </item>
      </candidateList>
      <explain>文本全半角错误。</explain>
      <paraID>559A9156</paraID>
      <start>27</start>
      <end>28</end>
      <status>unmodified</status>
      <modifiedWord/>
      <trackRevisions>false</trackRevisions>
    </reviewItem>
    <reviewItem>
      <errorID>49c1e6ba-1c5b-44fa-aee9-74b75ada9125</errorID>
      <errorWord>-</errorWord>
      <group>L1_Format</group>
      <groupName>格式问题</groupName>
      <ability>L2_HalfPunc</ability>
      <abilityName>全半角检查</abilityName>
      <candidateList>
        <item>－</item>
      </candidateList>
      <explain>文本全半角错误。</explain>
      <paraID> 1F62F9B</paraID>
      <start>6</start>
      <end>7</end>
      <status>unmodified</status>
      <modifiedWord/>
      <trackRevisions>false</trackRevisions>
    </reviewItem>
    <reviewItem>
      <errorID>ac1904d3-991a-40ba-a336-2978dcebb941</errorID>
      <errorWord>(</errorWord>
      <group>L1_Format</group>
      <groupName>格式问题</groupName>
      <ability>L2_HalfPunc</ability>
      <abilityName>全半角检查</abilityName>
      <candidateList>
        <item>（</item>
      </candidateList>
      <explain>文本全半角错误。</explain>
      <paraID>156192BE</paraID>
      <start>5</start>
      <end>6</end>
      <status>unmodified</status>
      <modifiedWord/>
      <trackRevisions>false</trackRevisions>
    </reviewItem>
    <reviewItem>
      <errorID>7fbe0026-157b-4b42-a63d-b5ebed305601</errorID>
      <errorWord>)</errorWord>
      <group>L1_Format</group>
      <groupName>格式问题</groupName>
      <ability>L2_HalfPunc</ability>
      <abilityName>全半角检查</abilityName>
      <candidateList>
        <item>）</item>
      </candidateList>
      <explain>文本全半角错误。</explain>
      <paraID>156192BE</paraID>
      <start>9</start>
      <end>10</end>
      <status>unmodified</status>
      <modifiedWord/>
      <trackRevisions>false</trackRevisions>
    </reviewItem>
    <reviewItem>
      <errorID>c23b76e9-99d8-4449-b60c-78f9e6321fc4</errorID>
      <errorWord>(</errorWord>
      <group>L1_Format</group>
      <groupName>格式问题</groupName>
      <ability>L2_HalfPunc</ability>
      <abilityName>全半角检查</abilityName>
      <candidateList>
        <item>（</item>
      </candidateList>
      <explain>文本全半角错误。</explain>
      <paraID>7F4D536B</paraID>
      <start>5</start>
      <end>6</end>
      <status>unmodified</status>
      <modifiedWord/>
      <trackRevisions>false</trackRevisions>
    </reviewItem>
    <reviewItem>
      <errorID>9c895259-1465-413f-adf8-263fa481de08</errorID>
      <errorWord>)</errorWord>
      <group>L1_Format</group>
      <groupName>格式问题</groupName>
      <ability>L2_HalfPunc</ability>
      <abilityName>全半角检查</abilityName>
      <candidateList>
        <item>）</item>
      </candidateList>
      <explain>文本全半角错误。</explain>
      <paraID>7F4D536B</paraID>
      <start>9</start>
      <end>10</end>
      <status>unmodified</status>
      <modifiedWord/>
      <trackRevisions>false</trackRevisions>
    </reviewItem>
    <reviewItem>
      <errorID>b05d366c-d222-4b11-8fc7-bece41cb9231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7E62BD43</paraID>
      <start>0</start>
      <end>2</end>
      <status>unmodified</status>
      <modifiedWord/>
      <trackRevisions>false</trackRevisions>
    </reviewItem>
    <reviewItem>
      <errorID>11d6aa4d-86d6-41a4-9d3b-6a9e25b5999e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5CAA1947</paraID>
      <start>0</start>
      <end>2</end>
      <status>unmodified</status>
      <modifiedWord/>
      <trackRevisions>false</trackRevisions>
    </reviewItem>
    <reviewItem>
      <errorID>d81aef2c-813b-498a-b976-d0d70f0cb8ca</errorID>
      <errorWord>备</errorWord>
      <group>L1_Word</group>
      <groupName>字词问题</groupName>
      <ability>L2_Typo</ability>
      <abilityName>字词错误</abilityName>
      <candidateList>
        <item>备能</item>
      </candidateList>
      <explain/>
      <paraID>1BD1FE48</paraID>
      <start>324</start>
      <end>325</end>
      <status>unmodified</status>
      <modifiedWord/>
      <trackRevisions>false</trackRevisions>
    </reviewItem>
    <reviewItem>
      <errorID>994d824e-52e0-4034-a36f-f6bb30504ae8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1D94FCB3</paraID>
      <start>0</start>
      <end>2</end>
      <status>unmodified</status>
      <modifiedWord/>
      <trackRevisions>false</trackRevisions>
    </reviewItem>
    <reviewItem>
      <errorID>1272eda6-e88e-4616-8291-fbe2efb16df6</errorID>
      <errorWord>软</errorWord>
      <group>L1_Word</group>
      <groupName>字词问题</groupName>
      <ability>L2_Typo</ability>
      <abilityName>字词错误</abilityName>
      <candidateList>
        <item>软件</item>
      </candidateList>
      <explain/>
      <paraID>25BEF1D1</paraID>
      <start>146</start>
      <end>147</end>
      <status>unmodified</status>
      <modifiedWord/>
      <trackRevisions>false</trackRevisions>
    </reviewItem>
    <reviewItem>
      <errorID>bdf749d9-5f40-42bf-8718-3b7be9c6e09b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454D8A1C</paraID>
      <start>0</start>
      <end>2</end>
      <status>unmodified</status>
      <modifiedWord/>
      <trackRevisions>false</trackRevisions>
    </reviewItem>
    <reviewItem>
      <errorID>fffbe5be-6a72-45a1-a8c7-5572b8042979</errorID>
      <errorWord>，</errorWord>
      <group>L1_Word</group>
      <groupName>字词问题</groupName>
      <ability>L2_Typo</ability>
      <abilityName>字词错误</abilityName>
      <candidateList>
        <item>，具</item>
      </candidateList>
      <explain/>
      <paraID>4536BF99</paraID>
      <start>73</start>
      <end>74</end>
      <status>unmodified</status>
      <modifiedWord/>
      <trackRevisions>false</trackRevisions>
    </reviewItem>
    <reviewItem>
      <errorID>98fa81a9-6c50-4d00-8f2c-f840e04532e0</errorID>
      <errorWord>，</errorWord>
      <group>L1_Word</group>
      <groupName>字词问题</groupName>
      <ability>L2_Typo</ability>
      <abilityName>字词错误</abilityName>
      <candidateList>
        <item>，具</item>
      </candidateList>
      <explain/>
      <paraID>4536BF99</paraID>
      <start>95</start>
      <end>96</end>
      <status>unmodified</status>
      <modifiedWord/>
      <trackRevisions>false</trackRevisions>
    </reviewItem>
    <reviewItem>
      <errorID>90ea5e40-7352-490a-a0dc-f9fed761f6a7</errorID>
      <errorWord>，</errorWord>
      <group>L1_Word</group>
      <groupName>字词问题</groupName>
      <ability>L2_Typo</ability>
      <abilityName>字词错误</abilityName>
      <candidateList>
        <item>，具</item>
      </candidateList>
      <explain/>
      <paraID>121ABCFF</paraID>
      <start>56</start>
      <end>57</end>
      <status>unmodified</status>
      <modifiedWord/>
      <trackRevisions>false</trackRevisions>
    </reviewItem>
    <reviewItem>
      <errorID>7f1b0f97-31c3-4528-96b5-c8407affaaa7</errorID>
      <errorWord>，</errorWord>
      <group>L1_Word</group>
      <groupName>字词问题</groupName>
      <ability>L2_Typo</ability>
      <abilityName>字词错误</abilityName>
      <candidateList>
        <item>，具</item>
      </candidateList>
      <explain/>
      <paraID>121ABCFF</paraID>
      <start>78</start>
      <end>79</end>
      <status>unmodified</status>
      <modifiedWord/>
      <trackRevisions>false</trackRevisions>
    </reviewItem>
    <reviewItem>
      <errorID>0aadc0cb-31a2-44b2-b9f6-d845f345772a</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769BB233</paraID>
      <start>76</start>
      <end>78</end>
      <status>unmodified</status>
      <modifiedWord/>
      <trackRevisions>false</trackRevisions>
    </reviewItem>
    <reviewItem>
      <errorID>a930d43e-854f-48fb-ad33-9943f8122ddd</errorID>
      <errorWord>足以能</errorWord>
      <group>L1_Word</group>
      <groupName>字词问题</groupName>
      <ability>L2_Typo</ability>
      <abilityName>字词错误</abilityName>
      <candidateList>
        <item>足以</item>
      </candidateList>
      <explain>〈动〉完全可以；够得上：这些事实～说明问题。</explain>
      <paraID>116D1B82</paraID>
      <start>42</start>
      <end>45</end>
      <status>unmodified</status>
      <modifiedWord/>
      <trackRevisions>false</trackRevisions>
    </reviewItem>
    <reviewItem>
      <errorID>183b8f38-b1cc-4b86-b872-9be0f2206e1c</errorID>
      <errorWord>一只</errorWord>
      <group>L1_Knowledge</group>
      <groupName>知识性问题</groupName>
      <ability>L2_Knowledge</ability>
      <abilityName>其他知识</abilityName>
      <candidateList>
        <item>一批</item>
      </candidateList>
      <explain/>
      <paraID>71543D9C</paraID>
      <start>87</start>
      <end>89</end>
      <status>unmodified</status>
      <modifiedWord/>
      <trackRevisions>false</trackRevisions>
    </reviewItem>
    <reviewItem>
      <errorID>e054047f-8ff4-4491-b36c-d3f6883fd0ce</errorID>
      <errorWord>得</errorWord>
      <group>L1_Word</group>
      <groupName>字词问题</groupName>
      <ability>L2_DDD</ability>
      <abilityName>的地得用法</abilityName>
      <candidateList>
        <item>的</item>
      </candidateList>
      <explain>“的”常用于连接修饰语与名词性中心语，表示属性、所属或描述。</explain>
      <paraID>71543D9C</paraID>
      <start>219</start>
      <end>220</end>
      <status>unmodified</status>
      <modifiedWord/>
      <trackRevisions>false</trackRevisions>
    </reviewItem>
    <reviewItem>
      <errorID>9e96df2b-9be7-48bc-bb95-234386d33385</errorID>
      <errorWord>提高</errorWord>
      <group>L1_Grammar</group>
      <groupName>语法问题</groupName>
      <ability>L2_Grammar</ability>
      <abilityName>语法错误</abilityName>
      <candidateList>
        <item>增强</item>
      </candidateList>
      <explain>“提高～意识”搭配不当，建议修改为“增强～意识”。</explain>
      <paraID>40967B0A</paraID>
      <start>131</start>
      <end>133</end>
      <status>unmodified</status>
      <modifiedWord/>
      <trackRevisions>false</trackRevisions>
    </reviewItem>
    <reviewItem>
      <errorID>5c7e8d98-1c95-481a-873b-f4e547e72ccc</errorID>
      <errorWord>更好的完成</errorWord>
      <group>L1_Word</group>
      <groupName>字词问题</groupName>
      <ability>L2_Typo</ability>
      <abilityName>字词错误</abilityName>
      <candidateList>
        <item>更好地完成</item>
      </candidateList>
      <explain/>
      <paraID>46040C78</paraID>
      <start>2</start>
      <end>7</end>
      <status>unmodified</status>
      <modifiedWord/>
      <trackRevisions>false</trackRevisions>
    </reviewItem>
    <reviewItem>
      <errorID>8099afd1-edb4-4025-960f-a5a026543d8c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4D497B06</paraID>
      <start>0</start>
      <end>2</end>
      <status>unmodified</status>
      <modifiedWord/>
      <trackRevisions>false</trackRevisions>
    </reviewItem>
    <reviewItem>
      <errorID>0a1247d3-0eeb-47f3-a1f2-6f1301dacfd7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19543EB5</paraID>
      <start>0</start>
      <end>2</end>
      <status>unmodified</status>
      <modifiedWord/>
      <trackRevisions>false</trackRevisions>
    </reviewItem>
    <reviewItem>
      <errorID>8c008d2c-961c-4772-9f52-52dba2394fb8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4ADEA382</paraID>
      <start>0</start>
      <end>2</end>
      <status>unmodified</status>
      <modifiedWord/>
      <trackRevisions>false</trackRevisions>
    </reviewItem>
    <reviewItem>
      <errorID>dec73cca-2313-4a8c-a9ee-b96aa746488a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3226547F</paraID>
      <start>0</start>
      <end>2</end>
      <status>unmodified</status>
      <modifiedWord/>
      <trackRevisions>false</trackRevisions>
    </reviewItem>
    <reviewItem>
      <errorID>d30e3a6e-8475-4fd1-b1de-3bd7c4bf14f0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1091D708</paraID>
      <start>0</start>
      <end>2</end>
      <status>unmodified</status>
      <modifiedWord/>
      <trackRevisions>false</trackRevisions>
    </reviewItem>
    <reviewItem>
      <errorID>cd368291-d144-4a31-a91a-d1a4881ff87b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73466A11</paraID>
      <start>0</start>
      <end>2</end>
      <status>unmodified</status>
      <modifiedWord/>
      <trackRevisions>false</trackRevisions>
    </reviewItem>
    <reviewItem>
      <errorID>7df70ba8-1a52-4d69-afe4-9e55df56e0f5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34DEF61B</paraID>
      <start>0</start>
      <end>2</end>
      <status>unmodified</status>
      <modifiedWord/>
      <trackRevisions>false</trackRevisions>
    </reviewItem>
    <reviewItem>
      <errorID>334b6ddc-98d2-4d42-9920-e16978f40197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57BEAF2</paraID>
      <start>0</start>
      <end>2</end>
      <status>unmodified</status>
      <modifiedWord/>
      <trackRevisions>false</trackRevisions>
    </reviewItem>
    <reviewItem>
      <errorID>a67e213f-d303-4a9e-a7ce-800d28c14658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77B82ABC</paraID>
      <start>0</start>
      <end>2</end>
      <status>unmodified</status>
      <modifiedWord/>
      <trackRevisions>false</trackRevisions>
    </reviewItem>
    <reviewItem>
      <errorID>8fa3ee38-8acc-4190-abfe-23cfc8d369dc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6368C341</paraID>
      <start>0</start>
      <end>3</end>
      <status>unmodified</status>
      <modifiedWord/>
      <trackRevisions>false</trackRevisions>
    </reviewItem>
    <reviewItem>
      <errorID>436977e8-9b6a-4f5b-976f-30e20b0d1421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677F3F0E</paraID>
      <start>0</start>
      <end>3</end>
      <status>unmodified</status>
      <modifiedWord/>
      <trackRevisions>false</trackRevisions>
    </reviewItem>
    <reviewItem>
      <errorID>b6a81788-7d7a-4e58-ba38-b18ea9ccb0d6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1DC65BDA</paraID>
      <start>0</start>
      <end>3</end>
      <status>unmodified</status>
      <modifiedWord/>
      <trackRevisions>false</trackRevisions>
    </reviewItem>
    <reviewItem>
      <errorID>14142139-8dc0-4670-94c3-40282513309a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6C79E033</paraID>
      <start>0</start>
      <end>3</end>
      <status>unmodified</status>
      <modifiedWord/>
      <trackRevisions>false</trackRevisions>
    </reviewItem>
    <reviewItem>
      <errorID>79d50dba-088b-46f9-b33f-f040a01ef167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47F5ACA</paraID>
      <start>0</start>
      <end>3</end>
      <status>unmodified</status>
      <modifiedWord/>
      <trackRevisions>false</trackRevisions>
    </reviewItem>
    <reviewItem>
      <errorID>aa0b1ad6-788c-4672-a959-cb1503b93c5e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35A5EA85</paraID>
      <start>0</start>
      <end>3</end>
      <status>unmodified</status>
      <modifiedWord/>
      <trackRevisions>false</trackRevisions>
    </reviewItem>
    <reviewItem>
      <errorID>5ebf2de9-b653-4bbf-95c4-b7e4e674bc93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3368B7B7</paraID>
      <start>0</start>
      <end>3</end>
      <status>unmodified</status>
      <modifiedWord/>
      <trackRevisions>false</trackRevisions>
    </reviewItem>
    <reviewItem>
      <errorID>6349db39-f46e-4cea-9980-d9f1c66e4b9e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50496F72</paraID>
      <start>0</start>
      <end>3</end>
      <status>unmodified</status>
      <modifiedWord/>
      <trackRevisions>false</trackRevisions>
    </reviewItem>
    <reviewItem>
      <errorID>edccf78d-105e-46ca-b15a-55fb2b47ccbb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6EE1DCE3</paraID>
      <start>0</start>
      <end>3</end>
      <status>unmodified</status>
      <modifiedWord/>
      <trackRevisions>false</trackRevisions>
    </reviewItem>
    <reviewItem>
      <errorID>ca691834-0d68-4b7a-a7cf-88d47d05e14f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591614D5</paraID>
      <start>0</start>
      <end>3</end>
      <status>unmodified</status>
      <modifiedWord/>
      <trackRevisions>false</trackRevisions>
    </reviewItem>
    <reviewItem>
      <errorID>9e57f030-3f5a-4478-9a11-e5c17e4b4ca4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7F97269C</paraID>
      <start>0</start>
      <end>2</end>
      <status>unmodified</status>
      <modifiedWord/>
      <trackRevisions>false</trackRevisions>
    </reviewItem>
    <reviewItem>
      <errorID>22077f74-4146-4500-8290-6e738bb7d642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1A9F865F</paraID>
      <start>0</start>
      <end>2</end>
      <status>unmodified</status>
      <modifiedWord/>
      <trackRevisions>false</trackRevisions>
    </reviewItem>
    <reviewItem>
      <errorID>4d7166fa-d051-4560-8b1f-39bcd67f1f9b</errorID>
      <errorWord>安照</errorWord>
      <group>L1_Word</group>
      <groupName>字词问题</groupName>
      <ability>L2_Typo</ability>
      <abilityName>字词错误</abilityName>
      <candidateList>
        <item>按照</item>
      </candidateList>
      <explain>〈介〉根据；依照：～法规办理｜～预定的计划执行。</explain>
      <paraID>375BF3E1</paraID>
      <start>124</start>
      <end>126</end>
      <status>unmodified</status>
      <modifiedWord/>
      <trackRevisions>false</trackRevisions>
    </reviewItem>
    <reviewItem>
      <errorID>5819c333-4a7e-452a-92a0-14cd73ef600d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50C077E0</paraID>
      <start>0</start>
      <end>2</end>
      <status>unmodified</status>
      <modifiedWord/>
      <trackRevisions>false</trackRevisions>
    </reviewItem>
    <reviewItem>
      <errorID>403a376b-2974-4a05-b60b-6a26beb333a1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5EB8766A</paraID>
      <start>0</start>
      <end>2</end>
      <status>unmodified</status>
      <modifiedWord/>
      <trackRevisions>false</trackRevisions>
    </reviewItem>
    <reviewItem>
      <errorID>bc122028-2b50-4453-aff3-ed94780faf35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1B06A466</paraID>
      <start>0</start>
      <end>2</end>
      <status>unmodified</status>
      <modifiedWord/>
      <trackRevisions>false</trackRevisions>
    </reviewItem>
    <reviewItem>
      <errorID>aedeac03-22b7-4e16-83bf-6d1d85385604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67448496</paraID>
      <start>0</start>
      <end>2</end>
      <status>unmodified</status>
      <modifiedWord/>
      <trackRevisions>false</trackRevisions>
    </reviewItem>
    <reviewItem>
      <errorID>c76320ff-bec5-4747-96e6-959e51c978e1</errorID>
      <errorWord>安照</errorWord>
      <group>L1_Word</group>
      <groupName>字词问题</groupName>
      <ability>L2_Typo</ability>
      <abilityName>字词错误</abilityName>
      <candidateList>
        <item>按照</item>
      </candidateList>
      <explain>〈介〉根据；依照：～法规办理｜～预定的计划执行。</explain>
      <paraID> 85466AB</paraID>
      <start>113</start>
      <end>115</end>
      <status>unmodified</status>
      <modifiedWord/>
      <trackRevisions>false</trackRevisions>
    </reviewItem>
    <reviewItem>
      <errorID>a056f4cd-7478-4a92-ab12-80e25634c02a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1FD6C218</paraID>
      <start>0</start>
      <end>2</end>
      <status>unmodified</status>
      <modifiedWord/>
      <trackRevisions>false</trackRevisions>
    </reviewItem>
    <reviewItem>
      <errorID>5fb55850-c4de-4c3d-84c5-e5d04443123d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7B3E2CEA</paraID>
      <start>0</start>
      <end>2</end>
      <status>unmodified</status>
      <modifiedWord/>
      <trackRevisions>false</trackRevisions>
    </reviewItem>
    <reviewItem>
      <errorID>8c71a8aa-8c80-4161-af2e-73942f6895c5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40D0A817</paraID>
      <start>0</start>
      <end>2</end>
      <status>unmodified</status>
      <modifiedWord/>
      <trackRevisions>false</trackRevisions>
    </reviewItem>
    <reviewItem>
      <errorID>93f74a1a-cfd0-4cd5-b1f3-1099462ee689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5981257F</paraID>
      <start>0</start>
      <end>2</end>
      <status>unmodified</status>
      <modifiedWord/>
      <trackRevisions>false</trackRevisions>
    </reviewItem>
    <reviewItem>
      <errorID>f5d2c073-6c61-456f-8d4e-b1a1dbf03130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54B4A161</paraID>
      <start>0</start>
      <end>2</end>
      <status>unmodified</status>
      <modifiedWord/>
      <trackRevisions>false</trackRevisions>
    </reviewItem>
    <reviewItem>
      <errorID>0b0b5e5f-0293-420a-a993-580057d6fbda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76D081AE</paraID>
      <start>0</start>
      <end>2</end>
      <status>unmodified</status>
      <modifiedWord/>
      <trackRevisions>false</trackRevisions>
    </reviewItem>
    <reviewItem>
      <errorID>74f915df-0035-40e4-8442-ee3e0b636c4c</errorID>
      <errorWord>(</errorWord>
      <group>L1_Format</group>
      <groupName>格式问题</groupName>
      <ability>L2_HalfPunc</ability>
      <abilityName>全半角检查</abilityName>
      <candidateList>
        <item>（</item>
      </candidateList>
      <explain>文本全半角错误。</explain>
      <paraID>76D081AE</paraID>
      <start>26</start>
      <end>27</end>
      <status>unmodified</status>
      <modifiedWord/>
      <trackRevisions>false</trackRevisions>
    </reviewItem>
    <reviewItem>
      <errorID>63cff895-9702-464c-bf05-524ed592d144</errorID>
      <errorWord>)</errorWord>
      <group>L1_Format</group>
      <groupName>格式问题</groupName>
      <ability>L2_HalfPunc</ability>
      <abilityName>全半角检查</abilityName>
      <candidateList>
        <item>）</item>
      </candidateList>
      <explain>文本全半角错误。</explain>
      <paraID>76D081AE</paraID>
      <start>71</start>
      <end>72</end>
      <status>unmodified</status>
      <modifiedWord/>
      <trackRevisions>false</trackRevisions>
    </reviewItem>
    <reviewItem>
      <errorID>503b39fc-f1ff-4450-b82e-8bb4d9e97abe</errorID>
      <errorWord>厅厅</errorWord>
      <group>L1_Word</group>
      <groupName>字词问题</groupName>
      <ability>L2_Typo</ability>
      <abilityName>字词错误</abilityName>
      <candidateList>
        <item>厅</item>
      </candidateList>
      <explain/>
      <paraID>69A6FD20</paraID>
      <start>33</start>
      <end>35</end>
      <status>unmodified</status>
      <modifiedWord/>
      <trackRevisions>false</trackRevisions>
    </reviewItem>
    <reviewItem>
      <errorID>2217cfbe-2665-481a-bb14-7803e11fdac8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7BA4442E</paraID>
      <start>0</start>
      <end>2</end>
      <status>unmodified</status>
      <modifiedWord/>
      <trackRevisions>false</trackRevisions>
    </reviewItem>
    <reviewItem>
      <errorID>12ae4b24-88b1-48c5-ad64-9a8be235e406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155B0DFA</paraID>
      <start>0</start>
      <end>2</end>
      <status>unmodified</status>
      <modifiedWord/>
      <trackRevisions>false</trackRevisions>
    </reviewItem>
    <reviewItem>
      <errorID>aef2a390-52d7-436f-9dd2-844a340e5bb6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2193EA31</paraID>
      <start>0</start>
      <end>2</end>
      <status>unmodified</status>
      <modifiedWord/>
      <trackRevisions>false</trackRevisions>
    </reviewItem>
    <reviewItem>
      <errorID>5189c313-af7a-4cd7-86a0-142f0e76297d</errorID>
      <errorWord>泄露</errorWord>
      <group>L1_Word</group>
      <groupName>字词问题</groupName>
      <ability>L2_Typo</ability>
      <abilityName>字词错误</abilityName>
      <candidateList>
        <item>泄漏</item>
      </candidateList>
      <explain/>
      <paraID>2193EA31</paraID>
      <start>14</start>
      <end>16</end>
      <status>unmodified</status>
      <modifiedWord/>
      <trackRevisions>false</trackRevisions>
    </reviewItem>
    <reviewItem>
      <errorID>50ac51dc-e7dc-4175-8bd3-202c78d83aea</errorID>
      <errorWord>造</errorWord>
      <group>L1_Word</group>
      <groupName>字词问题</groupName>
      <ability>L2_Typo</ability>
      <abilityName>字词错误</abilityName>
      <candidateList>
        <item>造成</item>
      </candidateList>
      <explain/>
      <paraID>2CBD8453</paraID>
      <start>110</start>
      <end>111</end>
      <status>unmodified</status>
      <modifiedWord/>
      <trackRevisions>false</trackRevisions>
    </reviewItem>
    <reviewItem>
      <errorID>f99fd507-4c77-4639-bac2-36f230e8fab0</errorID>
      <errorWord>，</errorWord>
      <group>L1_Word</group>
      <groupName>字词问题</groupName>
      <ability>L2_Typo</ability>
      <abilityName>字词错误</abilityName>
      <candidateList>
        <item>，并</item>
      </candidateList>
      <explain/>
      <paraID>2CBD8453</paraID>
      <start>139</start>
      <end>140</end>
      <status>unmodified</status>
      <modifiedWord/>
      <trackRevisions>false</trackRevisions>
    </reviewItem>
    <reviewItem>
      <errorID>a74f0556-5ec3-402a-9bad-a36a19d1c12b</errorID>
      <errorWord>针对性的制定</errorWord>
      <group>L1_Word</group>
      <groupName>字词问题</groupName>
      <ability>L2_Typo</ability>
      <abilityName>字词错误</abilityName>
      <candidateList>
        <item>针对性地制定</item>
      </candidateList>
      <explain/>
      <paraID>553F3AD6</paraID>
      <start>22</start>
      <end>28</end>
      <status>unmodified</status>
      <modifiedWord/>
      <trackRevisions>false</trackRevisions>
    </reviewItem>
    <reviewItem>
      <errorID>559a0469-1751-47e2-9264-8c53cd8ad517</errorID>
      <errorWord>针对性的制定</errorWord>
      <group>L1_Word</group>
      <groupName>字词问题</groupName>
      <ability>L2_Typo</ability>
      <abilityName>字词错误</abilityName>
      <candidateList>
        <item>针对性地制定</item>
      </candidateList>
      <explain/>
      <paraID>33A98AFD</paraID>
      <start>22</start>
      <end>28</end>
      <status>unmodified</status>
      <modifiedWord/>
      <trackRevisions>false</trackRevisions>
    </reviewItem>
    <reviewItem>
      <errorID>938c9c1b-b11b-4f6e-b0c9-0e228eea8251</errorID>
      <errorWord>针对性的制定</errorWord>
      <group>L1_Word</group>
      <groupName>字词问题</groupName>
      <ability>L2_Typo</ability>
      <abilityName>字词错误</abilityName>
      <candidateList>
        <item>针对性地制定</item>
      </candidateList>
      <explain/>
      <paraID>1EB8AB8B</paraID>
      <start>25</start>
      <end>31</end>
      <status>unmodified</status>
      <modifiedWord/>
      <trackRevisions>false</trackRevisions>
    </reviewItem>
    <reviewItem>
      <errorID>7b5afd2c-37dc-4979-be24-4d00536cf463</errorID>
      <errorWord>包括在</errorWord>
      <group>L1_Word</group>
      <groupName>字词问题</groupName>
      <ability>L2_Typo</ability>
      <abilityName>字词错误</abilityName>
      <candidateList>
        <item>包括</item>
      </candidateList>
      <explain/>
      <paraID>6C441EE4</paraID>
      <start>39</start>
      <end>42</end>
      <status>unmodified</status>
      <modifiedWord/>
      <trackRevisions>false</trackRevisions>
    </reviewItem>
    <reviewItem>
      <errorID>008e792a-14ae-4dad-83e7-663789fbf103</errorID>
      <errorWord>更好的开展</errorWord>
      <group>L1_Word</group>
      <groupName>字词问题</groupName>
      <ability>L2_Typo</ability>
      <abilityName>字词错误</abilityName>
      <candidateList>
        <item>更好地开展</item>
      </candidateList>
      <explain/>
      <paraID>6C441EE4</paraID>
      <start>94</start>
      <end>99</end>
      <status>unmodified</status>
      <modifiedWord/>
      <trackRevisions>false</trackRevisions>
    </reviewItem>
    <reviewItem>
      <errorID>0aac0e11-a599-4012-a991-57f6a405a537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7EED807D</paraID>
      <start>0</start>
      <end>2</end>
      <status>unmodified</status>
      <modifiedWord/>
      <trackRevisions>false</trackRevisions>
    </reviewItem>
    <reviewItem>
      <errorID>abaf11d7-2f6d-4355-a7bb-d79fcb715829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4DC95671</paraID>
      <start>0</start>
      <end>2</end>
      <status>unmodified</status>
      <modifiedWord/>
      <trackRevisions>false</trackRevisions>
    </reviewItem>
    <reviewItem>
      <errorID>8e697099-9c7e-4a59-b529-9b914ffad5b3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1E33AFF4</paraID>
      <start>0</start>
      <end>2</end>
      <status>unmodified</status>
      <modifiedWord/>
      <trackRevisions>false</trackRevisions>
    </reviewItem>
    <reviewItem>
      <errorID>428771d3-b50c-4584-9dc1-7c6d73934c02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5AB4423E</paraID>
      <start>0</start>
      <end>2</end>
      <status>unmodified</status>
      <modifiedWord/>
      <trackRevisions>false</trackRevisions>
    </reviewItem>
    <reviewItem>
      <errorID>1bb57723-1919-4057-b348-365b6dbc66e4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6890D00B</paraID>
      <start>0</start>
      <end>2</end>
      <status>unmodified</status>
      <modifiedWord/>
      <trackRevisions>false</trackRevisions>
    </reviewItem>
    <reviewItem>
      <errorID>f620af93-d012-4719-9856-28cbcf4f57b8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79F3F633</paraID>
      <start>0</start>
      <end>2</end>
      <status>unmodified</status>
      <modifiedWord/>
      <trackRevisions>false</trackRevisions>
    </reviewItem>
    <reviewItem>
      <errorID>23d7def6-9435-4ab6-92ff-c2547c984fa1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24F86362</paraID>
      <start>0</start>
      <end>2</end>
      <status>unmodified</status>
      <modifiedWord/>
      <trackRevisions>false</trackRevisions>
    </reviewItem>
    <reviewItem>
      <errorID>53f6b449-5f41-43a4-8cdc-4902b575ba81</errorID>
      <errorWord>，</errorWord>
      <group>L1_Word</group>
      <groupName>字词问题</groupName>
      <ability>L2_Typo</ability>
      <abilityName>字词错误</abilityName>
      <candidateList>
        <item>，本</item>
      </candidateList>
      <explain/>
      <paraID>3363B252</paraID>
      <start>19</start>
      <end>20</end>
      <status>unmodified</status>
      <modifiedWord/>
      <trackRevisions>false</trackRevisions>
    </reviewItem>
    <reviewItem>
      <errorID>c10178b2-df34-46f1-acc4-905cadab2612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220521FE</paraID>
      <start>0</start>
      <end>2</end>
      <status>unmodified</status>
      <modifiedWord/>
      <trackRevisions>false</trackRevisions>
    </reviewItem>
    <reviewItem>
      <errorID>396752ba-8616-409a-94a4-81922b11da54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36B16DF</paraID>
      <start>0</start>
      <end>2</end>
      <status>unmodified</status>
      <modifiedWord/>
      <trackRevisions>false</trackRevisions>
    </reviewItem>
    <reviewItem>
      <errorID>57c2247b-0740-4e4e-8eb3-9a0135fd71c5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7DBB76F1</paraID>
      <start>0</start>
      <end>2</end>
      <status>unmodified</status>
      <modifiedWord/>
      <trackRevisions>false</trackRevisions>
    </reviewItem>
    <reviewItem>
      <errorID>0020fbcf-dcc3-41ff-9137-fcee910fe015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7036D00</paraID>
      <start>0</start>
      <end>2</end>
      <status>unmodified</status>
      <modifiedWord/>
      <trackRevisions>false</trackRevisions>
    </reviewItem>
    <reviewItem>
      <errorID>000b93ff-bd11-44ab-8f62-3d4a55403489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2E9E0564</paraID>
      <start>0</start>
      <end>2</end>
      <status>unmodified</status>
      <modifiedWord/>
      <trackRevisions>false</trackRevisions>
    </reviewItem>
    <reviewItem>
      <errorID>1691122a-6ea3-4f37-90cb-55f5be7db05c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5A2465A7</paraID>
      <start>0</start>
      <end>2</end>
      <status>unmodified</status>
      <modifiedWord/>
      <trackRevisions>false</trackRevisions>
    </reviewItem>
    <reviewItem>
      <errorID>bf6d1314-7549-4d0b-a86f-fd8cb4991c5a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6B7F84EA</paraID>
      <start>0</start>
      <end>2</end>
      <status>unmodified</status>
      <modifiedWord/>
      <trackRevisions>false</trackRevisions>
    </reviewItem>
    <reviewItem>
      <errorID>cfa5eace-d755-46d6-8163-ec99f33988a8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251D6A98</paraID>
      <start>0</start>
      <end>2</end>
      <status>unmodified</status>
      <modifiedWord/>
      <trackRevisions>false</trackRevisions>
    </reviewItem>
    <reviewItem>
      <errorID>c21a002a-f9b2-4136-9e54-842fed8b75d3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D7A0DF7</paraID>
      <start>0</start>
      <end>2</end>
      <status>unmodified</status>
      <modifiedWord/>
      <trackRevisions>false</trackRevisions>
    </reviewItem>
    <reviewItem>
      <errorID>d89a7198-3f5b-4914-9f59-5db1404621c5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7C5C071</paraID>
      <start>0</start>
      <end>3</end>
      <status>unmodified</status>
      <modifiedWord/>
      <trackRevisions>false</trackRevisions>
    </reviewItem>
    <reviewItem>
      <errorID>8d0c7d2a-fe24-4fce-8b95-9131f9b88174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4FB318F3</paraID>
      <start>0</start>
      <end>3</end>
      <status>unmodified</status>
      <modifiedWord/>
      <trackRevisions>false</trackRevisions>
    </reviewItem>
    <reviewItem>
      <errorID>19ca2abf-7d8e-4d0d-8b6f-6adfe10a5555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272DEC3B</paraID>
      <start>0</start>
      <end>3</end>
      <status>unmodified</status>
      <modifiedWord/>
      <trackRevisions>false</trackRevisions>
    </reviewItem>
    <reviewItem>
      <errorID>b358290f-5a7a-4ae4-b631-f6d224749fab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6A7ECB65</paraID>
      <start>0</start>
      <end>3</end>
      <status>unmodified</status>
      <modifiedWord/>
      <trackRevisions>false</trackRevisions>
    </reviewItem>
    <reviewItem>
      <errorID>04dd1002-79e8-4b9e-b246-578b58e01ebe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4B235CAC</paraID>
      <start>0</start>
      <end>3</end>
      <status>unmodified</status>
      <modifiedWord/>
      <trackRevisions>false</trackRevisions>
    </reviewItem>
    <reviewItem>
      <errorID>8d782411-ec86-4488-85d5-92ec6f8c3343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5E8BF2CB</paraID>
      <start>0</start>
      <end>3</end>
      <status>unmodified</status>
      <modifiedWord/>
      <trackRevisions>false</trackRevisions>
    </reviewItem>
    <reviewItem>
      <errorID>d992ec51-73d3-4a75-a3f3-93b0d379f26b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4BA2139E</paraID>
      <start>0</start>
      <end>3</end>
      <status>unmodified</status>
      <modifiedWord/>
      <trackRevisions>false</trackRevisions>
    </reviewItem>
    <reviewItem>
      <errorID>6ffbbc26-79e4-4bd9-8e50-f5a486370e65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615BD63E</paraID>
      <start>0</start>
      <end>3</end>
      <status>unmodified</status>
      <modifiedWord/>
      <trackRevisions>false</trackRevisions>
    </reviewItem>
    <reviewItem>
      <errorID>eaae1d07-5366-481a-9388-721206024ca0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411BB4D4</paraID>
      <start>0</start>
      <end>3</end>
      <status>unmodified</status>
      <modifiedWord/>
      <trackRevisions>false</trackRevisions>
    </reviewItem>
    <reviewItem>
      <errorID>0210e224-e5bc-449a-afb6-45cab4b8de44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72E3D49C</paraID>
      <start>0</start>
      <end>3</end>
      <status>unmodified</status>
      <modifiedWord/>
      <trackRevisions>false</trackRevisions>
    </reviewItem>
    <reviewItem>
      <errorID>e59375e0-1ca6-42f9-8b98-e46ee436b76d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51640B78</paraID>
      <start>0</start>
      <end>2</end>
      <status>unmodified</status>
      <modifiedWord/>
      <trackRevisions>false</trackRevisions>
    </reviewItem>
    <reviewItem>
      <errorID>39432b77-d2f7-4c88-829c-b425a13a60f1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74F7750F</paraID>
      <start>0</start>
      <end>2</end>
      <status>unmodified</status>
      <modifiedWord/>
      <trackRevisions>false</trackRevisions>
    </reviewItem>
    <reviewItem>
      <errorID>9a8514d4-a593-4057-a0e4-45786ab15fb2</errorID>
      <errorWord>安照</errorWord>
      <group>L1_Word</group>
      <groupName>字词问题</groupName>
      <ability>L2_Typo</ability>
      <abilityName>字词错误</abilityName>
      <candidateList>
        <item>按照</item>
      </candidateList>
      <explain>〈介〉根据；依照：～法规办理｜～预定的计划执行。</explain>
      <paraID>67E7BC3D</paraID>
      <start>124</start>
      <end>126</end>
      <status>unmodified</status>
      <modifiedWord/>
      <trackRevisions>false</trackRevisions>
    </reviewItem>
    <reviewItem>
      <errorID>20fe80e5-3d62-46b9-84a4-16518a42ea90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7FCB30C5</paraID>
      <start>0</start>
      <end>2</end>
      <status>unmodified</status>
      <modifiedWord/>
      <trackRevisions>false</trackRevisions>
    </reviewItem>
    <reviewItem>
      <errorID>36bbdd70-ae8a-4c28-b846-4fa2fce50d63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6A826BE2</paraID>
      <start>0</start>
      <end>2</end>
      <status>unmodified</status>
      <modifiedWord/>
      <trackRevisions>false</trackRevisions>
    </reviewItem>
    <reviewItem>
      <errorID>1fccb937-87ce-40f0-a52b-696bda2e2b16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2EA0A979</paraID>
      <start>0</start>
      <end>2</end>
      <status>unmodified</status>
      <modifiedWord/>
      <trackRevisions>false</trackRevisions>
    </reviewItem>
    <reviewItem>
      <errorID>54b1a0cb-f77b-463e-8920-09b2d72bf731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7594A0EE</paraID>
      <start>0</start>
      <end>2</end>
      <status>unmodified</status>
      <modifiedWord/>
      <trackRevisions>false</trackRevisions>
    </reviewItem>
    <reviewItem>
      <errorID>adc96911-6361-4c03-806a-e3cb78fd804f</errorID>
      <errorWord>安照</errorWord>
      <group>L1_Word</group>
      <groupName>字词问题</groupName>
      <ability>L2_Typo</ability>
      <abilityName>字词错误</abilityName>
      <candidateList>
        <item>按照</item>
      </candidateList>
      <explain>〈介〉根据；依照：～法规办理｜～预定的计划执行。</explain>
      <paraID>16C241CE</paraID>
      <start>113</start>
      <end>115</end>
      <status>unmodified</status>
      <modifiedWord/>
      <trackRevisions>false</trackRevisions>
    </reviewItem>
    <reviewItem>
      <errorID>748255b0-afcd-491c-b362-7768eb815db2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559AF508</paraID>
      <start>0</start>
      <end>2</end>
      <status>unmodified</status>
      <modifiedWord/>
      <trackRevisions>false</trackRevisions>
    </reviewItem>
    <reviewItem>
      <errorID>00ae0ab9-3609-419e-b68b-0177a821ead8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51BD34DC</paraID>
      <start>0</start>
      <end>2</end>
      <status>unmodified</status>
      <modifiedWord/>
      <trackRevisions>false</trackRevisions>
    </reviewItem>
    <reviewItem>
      <errorID>246fff45-3502-4dce-b4d0-08160a335c66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56E508FB</paraID>
      <start>0</start>
      <end>2</end>
      <status>unmodified</status>
      <modifiedWord/>
      <trackRevisions>false</trackRevisions>
    </reviewItem>
    <reviewItem>
      <errorID>f63c1765-ec84-45b6-a15f-5bc3eeec9a1f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3EC27B74</paraID>
      <start>0</start>
      <end>2</end>
      <status>unmodified</status>
      <modifiedWord/>
      <trackRevisions>false</trackRevisions>
    </reviewItem>
    <reviewItem>
      <errorID>7a65c204-8294-449e-9ce2-8c92695ed946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306E8890</paraID>
      <start>0</start>
      <end>2</end>
      <status>unmodified</status>
      <modifiedWord/>
      <trackRevisions>false</trackRevisions>
    </reviewItem>
    <reviewItem>
      <errorID>1d4b5dfa-5233-44b9-ac00-17988c8a90ec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782551CA</paraID>
      <start>0</start>
      <end>2</end>
      <status>unmodified</status>
      <modifiedWord/>
      <trackRevisions>false</trackRevisions>
    </reviewItem>
    <reviewItem>
      <errorID>887daf89-5c2f-4990-b7e4-603c57b430fc</errorID>
      <errorWord>厅厅</errorWord>
      <group>L1_Word</group>
      <groupName>字词问题</groupName>
      <ability>L2_Typo</ability>
      <abilityName>字词错误</abilityName>
      <candidateList>
        <item>厅</item>
      </candidateList>
      <explain/>
      <paraID>1C1B20F9</paraID>
      <start>31</start>
      <end>33</end>
      <status>unmodified</status>
      <modifiedWord/>
      <trackRevisions>false</trackRevisions>
    </reviewItem>
    <reviewItem>
      <errorID>8085bf33-0eac-4809-a747-79d41ca90aa7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656A76</paraID>
      <start>0</start>
      <end>2</end>
      <status>unmodified</status>
      <modifiedWord/>
      <trackRevisions>false</trackRevisions>
    </reviewItem>
    <reviewItem>
      <errorID>15c7880c-2e22-448d-b76c-176b1124cacb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19EDC0F2</paraID>
      <start>0</start>
      <end>2</end>
      <status>unmodified</status>
      <modifiedWord/>
      <trackRevisions>false</trackRevisions>
    </reviewItem>
    <reviewItem>
      <errorID>d68b4653-7742-4660-8fc1-f39f065c4ed1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4CB26392</paraID>
      <start>0</start>
      <end>2</end>
      <status>unmodified</status>
      <modifiedWord/>
      <trackRevisions>false</trackRevisions>
    </reviewItem>
    <reviewItem>
      <errorID>8cdd58bc-bbe8-4b49-9c9e-4cf9c1c74715</errorID>
      <errorWord>泄露</errorWord>
      <group>L1_Word</group>
      <groupName>字词问题</groupName>
      <ability>L2_Typo</ability>
      <abilityName>字词错误</abilityName>
      <candidateList>
        <item>泄漏</item>
      </candidateList>
      <explain/>
      <paraID>4CB26392</paraID>
      <start>14</start>
      <end>16</end>
      <status>unmodified</status>
      <modifiedWord/>
      <trackRevisions>false</trackRevisions>
    </reviewItem>
    <reviewItem>
      <errorID>4da494f1-8476-4a3a-8cc1-8cd7a33c835f</errorID>
      <errorWord>造</errorWord>
      <group>L1_Word</group>
      <groupName>字词问题</groupName>
      <ability>L2_Typo</ability>
      <abilityName>字词错误</abilityName>
      <candidateList>
        <item>造成</item>
      </candidateList>
      <explain/>
      <paraID>79EB3C04</paraID>
      <start>108</start>
      <end>109</end>
      <status>unmodified</status>
      <modifiedWord/>
      <trackRevisions>false</trackRevisions>
    </reviewItem>
    <reviewItem>
      <errorID>8acb5326-e6b8-4cf3-bab2-3e26ebbd2ec1</errorID>
      <errorWord>，</errorWord>
      <group>L1_Word</group>
      <groupName>字词问题</groupName>
      <ability>L2_Typo</ability>
      <abilityName>字词错误</abilityName>
      <candidateList>
        <item>，并</item>
      </candidateList>
      <explain/>
      <paraID>79EB3C04</paraID>
      <start>137</start>
      <end>138</end>
      <status>unmodified</status>
      <modifiedWord/>
      <trackRevisions>false</trackRevisions>
    </reviewItem>
    <reviewItem>
      <errorID>8c49780a-e018-4919-9529-740a934f08df</errorID>
      <errorWord>(</errorWord>
      <group>L1_Format</group>
      <groupName>格式问题</groupName>
      <ability>L2_HalfPunc</ability>
      <abilityName>全半角检查</abilityName>
      <candidateList>
        <item>（</item>
      </candidateList>
      <explain>文本全半角错误。</explain>
      <paraID>6555F85D</paraID>
      <start>10</start>
      <end>11</end>
      <status>unmodified</status>
      <modifiedWord/>
      <trackRevisions>false</trackRevisions>
    </reviewItem>
    <reviewItem>
      <errorID>bed66055-de35-473f-a00f-402e0e276735</errorID>
      <errorWord>)</errorWord>
      <group>L1_Format</group>
      <groupName>格式问题</groupName>
      <ability>L2_HalfPunc</ability>
      <abilityName>全半角检查</abilityName>
      <candidateList>
        <item>）</item>
      </candidateList>
      <explain>文本全半角错误。</explain>
      <paraID>6555F85D</paraID>
      <start>14</start>
      <end>15</end>
      <status>unmodified</status>
      <modifiedWord/>
      <trackRevisions>false</trackRevisions>
    </reviewItem>
    <reviewItem>
      <errorID>871101df-1adc-43cc-af12-7fc79ba6873c</errorID>
      <errorWord>(</errorWord>
      <group>L1_Format</group>
      <groupName>格式问题</groupName>
      <ability>L2_HalfPunc</ability>
      <abilityName>全半角检查</abilityName>
      <candidateList>
        <item>（</item>
      </candidateList>
      <explain>文本全半角错误。</explain>
      <paraID>6A59C783</paraID>
      <start>76</start>
      <end>77</end>
      <status>unmodified</status>
      <modifiedWord/>
      <trackRevisions>false</trackRevisions>
    </reviewItem>
    <reviewItem>
      <errorID>930190ba-0adb-4c42-bc08-601a10d98d84</errorID>
      <errorWord>)</errorWord>
      <group>L1_Format</group>
      <groupName>格式问题</groupName>
      <ability>L2_HalfPunc</ability>
      <abilityName>全半角检查</abilityName>
      <candidateList>
        <item>）</item>
      </candidateList>
      <explain>文本全半角错误。</explain>
      <paraID>6A59C783</paraID>
      <start>82</start>
      <end>83</end>
      <status>unmodified</status>
      <modifiedWord/>
      <trackRevisions>false</trackRevisions>
    </reviewItem>
    <reviewItem>
      <errorID>71a27211-ae5e-4461-bdd4-699ed98a6dba</errorID>
      <errorWord>其它</errorWord>
      <group>L1_Word</group>
      <groupName>字词问题</groupName>
      <ability>L2_Alias</ability>
      <abilityName>也作/曾用词</abilityName>
      <candidateList>
        <item>其他</item>
      </candidateList>
      <explain>词汇[其它]为不规范表述或旧称，其规范书面表述为[其他]。</explain>
      <paraID> 125B460</paraID>
      <start>45</start>
      <end>47</end>
      <status>unmodified</status>
      <modifiedWord/>
      <trackRevisions>false</trackRevisions>
    </reviewItem>
    <reviewItem>
      <errorID>623f531b-bdc2-4fcf-80f6-54ca2f34d05c</errorID>
      <errorWord>本</errorWord>
      <group>L1_Word</group>
      <groupName>字词问题</groupName>
      <ability>L2_Typo</ability>
      <abilityName>字词错误</abilityName>
      <candidateList>
        <item>本次</item>
      </candidateList>
      <explain/>
      <paraID>5B5E9B1E</paraID>
      <start>4</start>
      <end>5</end>
      <status>unmodified</status>
      <modifiedWord/>
      <trackRevisions>false</trackRevisions>
    </reviewItem>
    <reviewItem>
      <errorID>948bfc66-02b8-4c83-9484-0cb91003653a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61E78E7C</paraID>
      <start>0</start>
      <end>3</end>
      <status>unmodified</status>
      <modifiedWord/>
      <trackRevisions>false</trackRevisions>
    </reviewItem>
    <reviewItem>
      <errorID>49901a86-acdd-4cbd-b1ba-67cb305fb07f</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61E78E7C</paraID>
      <start>12</start>
      <end>15</end>
      <status>unmodified</status>
      <modifiedWord/>
      <trackRevisions>false</trackRevisions>
    </reviewItem>
    <reviewItem>
      <errorID>26430ef7-673e-40f0-9f67-17d9eaf9ca8b</errorID>
      <errorWord>(</errorWord>
      <group>L1_Format</group>
      <groupName>格式问题</groupName>
      <ability>L2_HalfPunc</ability>
      <abilityName>全半角检查</abilityName>
      <candidateList>
        <item>（</item>
      </candidateList>
      <explain>文本全半角错误。</explain>
      <paraID>69EF3401</paraID>
      <start>10</start>
      <end>11</end>
      <status>unmodified</status>
      <modifiedWord/>
      <trackRevisions>false</trackRevisions>
    </reviewItem>
    <reviewItem>
      <errorID>4c097cc6-8713-4c19-b98a-7889f72e922d</errorID>
      <errorWord>)</errorWord>
      <group>L1_Format</group>
      <groupName>格式问题</groupName>
      <ability>L2_HalfPunc</ability>
      <abilityName>全半角检查</abilityName>
      <candidateList>
        <item>）</item>
      </candidateList>
      <explain>文本全半角错误。</explain>
      <paraID>69EF3401</paraID>
      <start>14</start>
      <end>15</end>
      <status>unmodified</status>
      <modifiedWord/>
      <trackRevisions>false</trackRevisions>
    </reviewItem>
    <reviewItem>
      <errorID>518cd90c-1090-4ced-9d85-1b21e70a0a05</errorID>
      <errorWord>(</errorWord>
      <group>L1_Format</group>
      <groupName>格式问题</groupName>
      <ability>L2_HalfPunc</ability>
      <abilityName>全半角检查</abilityName>
      <candidateList>
        <item>（</item>
      </candidateList>
      <explain>文本全半角错误。</explain>
      <paraID>2F396218</paraID>
      <start>19</start>
      <end>20</end>
      <status>unmodified</status>
      <modifiedWord/>
      <trackRevisions>false</trackRevisions>
    </reviewItem>
    <reviewItem>
      <errorID>31c36e00-2b9a-45fc-a039-0791f36f9d15</errorID>
      <errorWord>)</errorWord>
      <group>L1_Format</group>
      <groupName>格式问题</groupName>
      <ability>L2_HalfPunc</ability>
      <abilityName>全半角检查</abilityName>
      <candidateList>
        <item>）</item>
      </candidateList>
      <explain>文本全半角错误。</explain>
      <paraID>2F396218</paraID>
      <start>25</start>
      <end>26</end>
      <status>unmodified</status>
      <modifiedWord/>
      <trackRevisions>false</trackRevisions>
    </reviewItem>
    <reviewItem>
      <errorID>1fc4866b-76d2-4a6d-b264-ffa1262d44a1</errorID>
      <errorWord>(</errorWord>
      <group>L1_Format</group>
      <groupName>格式问题</groupName>
      <ability>L2_HalfPunc</ability>
      <abilityName>全半角检查</abilityName>
      <candidateList>
        <item>（</item>
      </candidateList>
      <explain>文本全半角错误。</explain>
      <paraID>2F396218</paraID>
      <start>42</start>
      <end>43</end>
      <status>unmodified</status>
      <modifiedWord/>
      <trackRevisions>false</trackRevisions>
    </reviewItem>
    <reviewItem>
      <errorID>b5a504a5-8f30-4838-aee2-24d19cdeb0e1</errorID>
      <errorWord>)</errorWord>
      <group>L1_Format</group>
      <groupName>格式问题</groupName>
      <ability>L2_HalfPunc</ability>
      <abilityName>全半角检查</abilityName>
      <candidateList>
        <item>）</item>
      </candidateList>
      <explain>文本全半角错误。</explain>
      <paraID>2F396218</paraID>
      <start>48</start>
      <end>49</end>
      <status>unmodified</status>
      <modifiedWord/>
      <trackRevisions>false</trackRevisions>
    </reviewItem>
    <reviewItem>
      <errorID>68f827e3-bd5f-4769-983e-80d1a3e1b7a0</errorID>
      <errorWord>(</errorWord>
      <group>L1_Format</group>
      <groupName>格式问题</groupName>
      <ability>L2_HalfPunc</ability>
      <abilityName>全半角检查</abilityName>
      <candidateList>
        <item>（</item>
      </candidateList>
      <explain>文本全半角错误。</explain>
      <paraID>2F396218</paraID>
      <start>135</start>
      <end>136</end>
      <status>unmodified</status>
      <modifiedWord/>
      <trackRevisions>false</trackRevisions>
    </reviewItem>
    <reviewItem>
      <errorID>957f3bcc-5f4d-4fcd-9953-ebb7134ccc88</errorID>
      <errorWord>)</errorWord>
      <group>L1_Format</group>
      <groupName>格式问题</groupName>
      <ability>L2_HalfPunc</ability>
      <abilityName>全半角检查</abilityName>
      <candidateList>
        <item>）</item>
      </candidateList>
      <explain>文本全半角错误。</explain>
      <paraID>2F396218</paraID>
      <start>140</start>
      <end>141</end>
      <status>unmodified</status>
      <modifiedWord/>
      <trackRevisions>false</trackRevisions>
    </reviewItem>
    <reviewItem>
      <errorID>26ea4aaf-1618-4e80-bd96-c8a34ddb3e2f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2CCFBDB2</paraID>
      <start>0</start>
      <end>2</end>
      <status>unmodified</status>
      <modifiedWord/>
      <trackRevisions>false</trackRevisions>
    </reviewItem>
    <reviewItem>
      <errorID>fcc90818-e3be-413b-868c-6d5fc7630d75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96B4A56</paraID>
      <start>0</start>
      <end>2</end>
      <status>unmodified</status>
      <modifiedWord/>
      <trackRevisions>false</trackRevisions>
    </reviewItem>
    <reviewItem>
      <errorID>3df3826a-c7b7-42cd-ab02-d0dc49e4235b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3C6AC2CF</paraID>
      <start>0</start>
      <end>2</end>
      <status>unmodified</status>
      <modifiedWord/>
      <trackRevisions>false</trackRevisions>
    </reviewItem>
    <reviewItem>
      <errorID>801ff972-72bf-4869-9ed0-592165bfc625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582F4BC</paraID>
      <start>0</start>
      <end>2</end>
      <status>unmodified</status>
      <modifiedWord/>
      <trackRevisions>false</trackRevisions>
    </reviewItem>
    <reviewItem>
      <errorID>18b4ae3a-6dec-4e6a-b4b9-eb80e28df102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1503E8DF</paraID>
      <start>0</start>
      <end>2</end>
      <status>unmodified</status>
      <modifiedWord/>
      <trackRevisions>false</trackRevisions>
    </reviewItem>
    <reviewItem>
      <errorID>04deca85-4a3f-4537-b17f-41f607e75ea7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21890301</paraID>
      <start>0</start>
      <end>2</end>
      <status>unmodified</status>
      <modifiedWord/>
      <trackRevisions>false</trackRevisions>
    </reviewItem>
    <reviewItem>
      <errorID>0143db2e-873f-4108-b139-c8130854c4fc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79B7C022</paraID>
      <start>0</start>
      <end>2</end>
      <status>unmodified</status>
      <modifiedWord/>
      <trackRevisions>false</trackRevisions>
    </reviewItem>
    <reviewItem>
      <errorID>9ff4169c-7a1c-4487-a91b-b511425c1f50</errorID>
      <errorWord>（</errorWord>
      <group>L1_Punc</group>
      <groupName>标点问题</groupName>
      <ability>L2_Punc</ability>
      <abilityName>标点符号检查</abilityName>
      <candidateList/>
      <explain>同一形式括号套用。</explain>
      <paraID>79B7C022</paraID>
      <start>76</start>
      <end>77</end>
      <status>unmodified</status>
      <modifiedWord/>
      <trackRevisions>false</trackRevisions>
    </reviewItem>
    <reviewItem>
      <errorID>12881404-2717-48a6-aeb8-45bd5b26233a</errorID>
      <errorWord>）</errorWord>
      <group>L1_Punc</group>
      <groupName>标点问题</groupName>
      <ability>L2_Punc</ability>
      <abilityName>标点符号检查</abilityName>
      <candidateList/>
      <explain>同一形式括号套用。</explain>
      <paraID>79B7C022</paraID>
      <start>83</start>
      <end>84</end>
      <status>unmodified</status>
      <modifiedWord/>
      <trackRevisions>false</trackRevisions>
    </reviewItem>
    <reviewItem>
      <errorID>7651a49e-3140-4a9b-9283-2c5685d94479</errorID>
      <errorWord>（</errorWord>
      <group>L1_Punc</group>
      <groupName>标点问题</groupName>
      <ability>L2_Punc</ability>
      <abilityName>标点符号检查</abilityName>
      <candidateList/>
      <explain>同一形式括号套用。</explain>
      <paraID>79B7C022</paraID>
      <start>101</start>
      <end>102</end>
      <status>unmodified</status>
      <modifiedWord/>
      <trackRevisions>false</trackRevisions>
    </reviewItem>
    <reviewItem>
      <errorID>e2dbacb2-5e50-474a-b38e-63ba9f266ca3</errorID>
      <errorWord>）</errorWord>
      <group>L1_Punc</group>
      <groupName>标点问题</groupName>
      <ability>L2_Punc</ability>
      <abilityName>标点符号检查</abilityName>
      <candidateList/>
      <explain>同一形式括号套用。</explain>
      <paraID>79B7C022</paraID>
      <start>126</start>
      <end>127</end>
      <status>unmodified</status>
      <modifiedWord/>
      <trackRevisions>false</trackRevisions>
    </reviewItem>
    <reviewItem>
      <errorID>f083f25a-1558-4b78-b3bd-a6222ee92e3a</errorID>
      <errorWord>晰</errorWord>
      <group>L1_Word</group>
      <groupName>字词问题</groupName>
      <ability>L2_Typo</ability>
      <abilityName>字词错误</abilityName>
      <candidateList>
        <item>晰地</item>
      </candidateList>
      <explain/>
      <paraID>79B7C022</paraID>
      <start>133</start>
      <end>134</end>
      <status>unmodified</status>
      <modifiedWord/>
      <trackRevisions>false</trackRevisions>
    </reviewItem>
    <reviewItem>
      <errorID>9498bf85-a000-4590-8229-3067db628dc6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684A5433</paraID>
      <start>0</start>
      <end>2</end>
      <status>unmodified</status>
      <modifiedWord/>
      <trackRevisions>false</trackRevisions>
    </reviewItem>
    <reviewItem>
      <errorID>53f0f631-3d5b-423a-9e5f-07cd39ca6bd1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40E29952</paraID>
      <start>0</start>
      <end>2</end>
      <status>unmodified</status>
      <modifiedWord/>
      <trackRevisions>false</trackRevisions>
    </reviewItem>
    <reviewItem>
      <errorID>4861d3de-164f-4553-b15c-2a3b112f6a9d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44F4AC79</paraID>
      <start>0</start>
      <end>2</end>
      <status>unmodified</status>
      <modifiedWord/>
      <trackRevisions>false</trackRevisions>
    </reviewItem>
    <reviewItem>
      <errorID>6672d50b-3897-4de1-b451-4553349fa8ed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5E2B129</paraID>
      <start>0</start>
      <end>2</end>
      <status>unmodified</status>
      <modifiedWord/>
      <trackRevisions>false</trackRevisions>
    </reviewItem>
    <reviewItem>
      <errorID>5cbd9918-8385-4816-aae9-960b8b15197e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2B09069C</paraID>
      <start>0</start>
      <end>2</end>
      <status>unmodified</status>
      <modifiedWord/>
      <trackRevisions>false</trackRevisions>
    </reviewItem>
    <reviewItem>
      <errorID>261af519-2ee1-4454-879c-33de36e90540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5E855A10</paraID>
      <start>0</start>
      <end>2</end>
      <status>unmodified</status>
      <modifiedWord/>
      <trackRevisions>false</trackRevisions>
    </reviewItem>
    <reviewItem>
      <errorID>18601e91-6285-4f7c-9062-316b5b9af610</errorID>
      <errorWord>(</errorWord>
      <group>L1_Format</group>
      <groupName>格式问题</groupName>
      <ability>L2_HalfPunc</ability>
      <abilityName>全半角检查</abilityName>
      <candidateList>
        <item>（</item>
      </candidateList>
      <explain>文本全半角错误。</explain>
      <paraID>3939DCB0</paraID>
      <start>10</start>
      <end>11</end>
      <status>unmodified</status>
      <modifiedWord/>
      <trackRevisions>false</trackRevisions>
    </reviewItem>
    <reviewItem>
      <errorID>b139b523-e9ab-4ebc-8c12-060de7d04e49</errorID>
      <errorWord>)</errorWord>
      <group>L1_Format</group>
      <groupName>格式问题</groupName>
      <ability>L2_HalfPunc</ability>
      <abilityName>全半角检查</abilityName>
      <candidateList>
        <item>）</item>
      </candidateList>
      <explain>文本全半角错误。</explain>
      <paraID>3939DCB0</paraID>
      <start>14</start>
      <end>15</end>
      <status>unmodified</status>
      <modifiedWord/>
      <trackRevisions>false</trackRevisions>
    </reviewItem>
    <reviewItem>
      <errorID>2a0536dd-e739-421b-96db-1ea8e75330cf</errorID>
      <errorWord>做要求</errorWord>
      <group>L1_Word</group>
      <groupName>字词问题</groupName>
      <ability>L2_Typo</ability>
      <abilityName>字词错误</abilityName>
      <candidateList>
        <item>作要求</item>
      </candidateList>
      <explain/>
      <paraID>2DD36199</paraID>
      <start>29</start>
      <end>32</end>
      <status>unmodified</status>
      <modifiedWord/>
      <trackRevisions>false</trackRevisions>
    </reviewItem>
    <reviewItem>
      <errorID>62c180cf-91bc-49ad-8453-6e9c11c84990</errorID>
      <errorWord>做要求</errorWord>
      <group>L1_Word</group>
      <groupName>字词问题</groupName>
      <ability>L2_Typo</ability>
      <abilityName>字词错误</abilityName>
      <candidateList>
        <item>作要求</item>
      </candidateList>
      <explain/>
      <paraID>7536CE5E</paraID>
      <start>29</start>
      <end>32</end>
      <status>unmodified</status>
      <modifiedWord/>
      <trackRevisions>false</trackRevisions>
    </reviewItem>
    <reviewItem>
      <errorID>4f860e9e-ce0d-4793-8913-a79dead9f037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2BE76928</paraID>
      <start>0</start>
      <end>2</end>
      <status>unmodified</status>
      <modifiedWord/>
      <trackRevisions>false</trackRevisions>
    </reviewItem>
    <reviewItem>
      <errorID>4e9a06f3-499a-4698-9a4b-10fc68c0a2c3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57F64436</paraID>
      <start>0</start>
      <end>2</end>
      <status>unmodified</status>
      <modifiedWord/>
      <trackRevisions>false</trackRevisions>
    </reviewItem>
    <reviewItem>
      <errorID>b3aa6799-c75c-4620-b31e-35d3ad3f1eb2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328440A0</paraID>
      <start>0</start>
      <end>2</end>
      <status>unmodified</status>
      <modifiedWord/>
      <trackRevisions>false</trackRevisions>
    </reviewItem>
    <reviewItem>
      <errorID>c675e3ca-06e3-4dea-acca-6786564e6dc3</errorID>
      <errorWord>,</errorWord>
      <group>L1_Format</group>
      <groupName>格式问题</groupName>
      <ability>L2_HalfPunc</ability>
      <abilityName>全半角检查</abilityName>
      <candidateList>
        <item>，</item>
      </candidateList>
      <explain>文本全半角错误。</explain>
      <paraID>328440A0</paraID>
      <start>52</start>
      <end>53</end>
      <status>unmodified</status>
      <modifiedWord/>
      <trackRevisions>false</trackRevisions>
    </reviewItem>
    <reviewItem>
      <errorID>e278ea92-909b-44df-9d97-f33d852d4d0c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374B9CBC</paraID>
      <start>0</start>
      <end>2</end>
      <status>unmodified</status>
      <modifiedWord/>
      <trackRevisions>false</trackRevisions>
    </reviewItem>
    <reviewItem>
      <errorID>28068f3e-0a62-4675-8d91-18381da5988e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2D8822A7</paraID>
      <start>0</start>
      <end>2</end>
      <status>unmodified</status>
      <modifiedWord/>
      <trackRevisions>false</trackRevisions>
    </reviewItem>
    <reviewItem>
      <errorID>ad946c5b-4438-4660-9a13-e5c517fab630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28B0B08C</paraID>
      <start>0</start>
      <end>2</end>
      <status>unmodified</status>
      <modifiedWord/>
      <trackRevisions>false</trackRevisions>
    </reviewItem>
    <reviewItem>
      <errorID>70141a3d-fa4a-4988-95dd-6c41b3cc0831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735B1333</paraID>
      <start>0</start>
      <end>2</end>
      <status>unmodified</status>
      <modifiedWord/>
      <trackRevisions>false</trackRevisions>
    </reviewItem>
    <reviewItem>
      <errorID>9216c15c-9dc8-4a28-b376-df5284ea69aa</errorID>
      <errorWord>,</errorWord>
      <group>L1_Format</group>
      <groupName>格式问题</groupName>
      <ability>L2_HalfPunc</ability>
      <abilityName>全半角检查</abilityName>
      <candidateList>
        <item>，</item>
      </candidateList>
      <explain>文本全半角错误。</explain>
      <paraID>735B1333</paraID>
      <start>52</start>
      <end>53</end>
      <status>unmodified</status>
      <modifiedWord/>
      <trackRevisions>false</trackRevisions>
    </reviewItem>
    <reviewItem>
      <errorID>c846b36d-915e-4f0d-aa1c-118d7ca9fafa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3C9545F9</paraID>
      <start>0</start>
      <end>2</end>
      <status>unmodified</status>
      <modifiedWord/>
      <trackRevisions>false</trackRevisions>
    </reviewItem>
    <reviewItem>
      <errorID>8cc4046e-d93d-4801-90fc-69cf23b4378b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5CCBD0F7</paraID>
      <start>0</start>
      <end>2</end>
      <status>unmodified</status>
      <modifiedWord/>
      <trackRevisions>false</trackRevisions>
    </reviewItem>
    <reviewItem>
      <errorID>98d04884-5fa3-4de2-bd36-31fa95e7d6e1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6CEB437D</paraID>
      <start>0</start>
      <end>2</end>
      <status>unmodified</status>
      <modifiedWord/>
      <trackRevisions>false</trackRevisions>
    </reviewItem>
    <reviewItem>
      <errorID>b55beaa3-084c-426f-b8df-296042fe2353</errorID>
      <errorWord>(</errorWord>
      <group>L1_Format</group>
      <groupName>格式问题</groupName>
      <ability>L2_HalfPunc</ability>
      <abilityName>全半角检查</abilityName>
      <candidateList>
        <item>（</item>
      </candidateList>
      <explain>文本全半角错误。</explain>
      <paraID>491594AA</paraID>
      <start>10</start>
      <end>11</end>
      <status>unmodified</status>
      <modifiedWord/>
      <trackRevisions>false</trackRevisions>
    </reviewItem>
    <reviewItem>
      <errorID>80bd5924-4653-4387-860f-ee081d27fff6</errorID>
      <errorWord>)</errorWord>
      <group>L1_Format</group>
      <groupName>格式问题</groupName>
      <ability>L2_HalfPunc</ability>
      <abilityName>全半角检查</abilityName>
      <candidateList>
        <item>）</item>
      </candidateList>
      <explain>文本全半角错误。</explain>
      <paraID>491594AA</paraID>
      <start>14</start>
      <end>15</end>
      <status>unmodified</status>
      <modifiedWord/>
      <trackRevisions>false</trackRevisions>
    </reviewItem>
    <reviewItem>
      <errorID>dac7428b-37aa-4b24-a1a5-a41ad6a9059a</errorID>
      <errorWord>（</errorWord>
      <group>L1_Punc</group>
      <groupName>标点问题</groupName>
      <ability>L2_Punc</ability>
      <abilityName>标点符号检查</abilityName>
      <candidateList/>
      <explain>同一形式括号套用。</explain>
      <paraID> 79D49B9</paraID>
      <start>8</start>
      <end>9</end>
      <status>unmodified</status>
      <modifiedWord/>
      <trackRevisions>false</trackRevisions>
    </reviewItem>
    <reviewItem>
      <errorID>a7f5dbbf-3fd9-4ccb-8dc3-7162f170b4da</errorID>
      <errorWord>）</errorWord>
      <group>L1_Punc</group>
      <groupName>标点问题</groupName>
      <ability>L2_Punc</ability>
      <abilityName>标点符号检查</abilityName>
      <candidateList/>
      <explain>同一形式括号套用。</explain>
      <paraID> 79D49B9</paraID>
      <start>17</start>
      <end>18</end>
      <status>unmodified</status>
      <modifiedWord/>
      <trackRevisions>false</trackRevisions>
    </reviewItem>
    <reviewItem>
      <errorID>62329dca-f3f1-4b34-ad10-17099c5a3dfd</errorID>
      <errorWord>(</errorWord>
      <group>L1_Format</group>
      <groupName>格式问题</groupName>
      <ability>L2_HalfPunc</ability>
      <abilityName>全半角检查</abilityName>
      <candidateList>
        <item>（</item>
      </candidateList>
      <explain>文本全半角错误。</explain>
      <paraID>402C8C6B</paraID>
      <start>18</start>
      <end>19</end>
      <status>unmodified</status>
      <modifiedWord/>
      <trackRevisions>false</trackRevisions>
    </reviewItem>
    <reviewItem>
      <errorID>02466db8-9296-4b6c-a582-c2d04a10c7dc</errorID>
      <errorWord>)</errorWord>
      <group>L1_Format</group>
      <groupName>格式问题</groupName>
      <ability>L2_HalfPunc</ability>
      <abilityName>全半角检查</abilityName>
      <candidateList>
        <item>）</item>
      </candidateList>
      <explain>文本全半角错误。</explain>
      <paraID>402C8C6B</paraID>
      <start>28</start>
      <end>29</end>
      <status>unmodified</status>
      <modifiedWord/>
      <trackRevisions>false</trackRevisions>
    </reviewItem>
    <reviewItem>
      <errorID>f15f285f-0524-4b6b-b1a0-b7b081fd72a9</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2D4EC3B7</paraID>
      <start>21</start>
      <end>26</end>
      <status>unmodified</status>
      <modifiedWord/>
      <trackRevisions>false</trackRevisions>
    </reviewItem>
    <reviewItem>
      <errorID>451f21e2-f4b3-4ec6-8c9d-d67cef51d776</errorID>
      <errorWord>(</errorWord>
      <group>L1_Format</group>
      <groupName>格式问题</groupName>
      <ability>L2_HalfPunc</ability>
      <abilityName>全半角检查</abilityName>
      <candidateList>
        <item>（</item>
      </candidateList>
      <explain>文本全半角错误。</explain>
      <paraID>4AFD7DF7</paraID>
      <start>0</start>
      <end>1</end>
      <status>unmodified</status>
      <modifiedWord/>
      <trackRevisions>false</trackRevisions>
    </reviewItem>
    <reviewItem>
      <errorID>aaf9ab1a-e242-4dc6-b926-ced0a6ac0f35</errorID>
      <errorWord>)</errorWord>
      <group>L1_Format</group>
      <groupName>格式问题</groupName>
      <ability>L2_HalfPunc</ability>
      <abilityName>全半角检查</abilityName>
      <candidateList>
        <item>）</item>
      </candidateList>
      <explain>文本全半角错误。</explain>
      <paraID>4AFD7DF7</paraID>
      <start>3</start>
      <end>4</end>
      <status>unmodified</status>
      <modifiedWord/>
      <trackRevisions>false</trackRevisions>
    </reviewItem>
    <reviewItem>
      <errorID>4325930c-c1c6-40ce-84ba-86a82646865c</errorID>
      <errorWord>(</errorWord>
      <group>L1_Format</group>
      <groupName>格式问题</groupName>
      <ability>L2_HalfPunc</ability>
      <abilityName>全半角检查</abilityName>
      <candidateList>
        <item>（</item>
      </candidateList>
      <explain>文本全半角错误。</explain>
      <paraID>1645B99A</paraID>
      <start>0</start>
      <end>1</end>
      <status>unmodified</status>
      <modifiedWord/>
      <trackRevisions>false</trackRevisions>
    </reviewItem>
    <reviewItem>
      <errorID>d21f9ba3-0216-47a5-a6d9-a4422453903a</errorID>
      <errorWord>)</errorWord>
      <group>L1_Format</group>
      <groupName>格式问题</groupName>
      <ability>L2_HalfPunc</ability>
      <abilityName>全半角检查</abilityName>
      <candidateList>
        <item>）</item>
      </candidateList>
      <explain>文本全半角错误。</explain>
      <paraID>1645B99A</paraID>
      <start>2</start>
      <end>3</end>
      <status>unmodified</status>
      <modifiedWord/>
      <trackRevisions>false</trackRevisions>
    </reviewItem>
    <reviewItem>
      <errorID>937ae443-ad2a-4a25-b22f-9a42b2af0abd</errorID>
      <errorWord>(</errorWord>
      <group>L1_Format</group>
      <groupName>格式问题</groupName>
      <ability>L2_HalfPunc</ability>
      <abilityName>全半角检查</abilityName>
      <candidateList>
        <item>（</item>
      </candidateList>
      <explain>文本全半角错误。</explain>
      <paraID>47A010FB</paraID>
      <start>0</start>
      <end>1</end>
      <status>unmodified</status>
      <modifiedWord/>
      <trackRevisions>false</trackRevisions>
    </reviewItem>
    <reviewItem>
      <errorID>0223651e-29c6-4cc2-8669-1b1975a6e4e5</errorID>
      <errorWord>)</errorWord>
      <group>L1_Format</group>
      <groupName>格式问题</groupName>
      <ability>L2_HalfPunc</ability>
      <abilityName>全半角检查</abilityName>
      <candidateList>
        <item>）</item>
      </candidateList>
      <explain>文本全半角错误。</explain>
      <paraID>47A010FB</paraID>
      <start>3</start>
      <end>4</end>
      <status>unmodified</status>
      <modifiedWord/>
      <trackRevisions>false</trackRevisions>
    </reviewItem>
    <reviewItem>
      <errorID>cd44eae8-cfd2-4e21-8816-c5b165b4186e</errorID>
      <errorWord>(</errorWord>
      <group>L1_Format</group>
      <groupName>格式问题</groupName>
      <ability>L2_HalfPunc</ability>
      <abilityName>全半角检查</abilityName>
      <candidateList>
        <item>（</item>
      </candidateList>
      <explain>文本全半角错误。</explain>
      <paraID>4A74B803</paraID>
      <start>0</start>
      <end>1</end>
      <status>unmodified</status>
      <modifiedWord/>
      <trackRevisions>false</trackRevisions>
    </reviewItem>
    <reviewItem>
      <errorID>4885bfdd-b7a8-45b2-985e-d6c338ae8ae7</errorID>
      <errorWord>)</errorWord>
      <group>L1_Format</group>
      <groupName>格式问题</groupName>
      <ability>L2_HalfPunc</ability>
      <abilityName>全半角检查</abilityName>
      <candidateList>
        <item>）</item>
      </candidateList>
      <explain>文本全半角错误。</explain>
      <paraID>4A74B803</paraID>
      <start>3</start>
      <end>4</end>
      <status>unmodified</status>
      <modifiedWord/>
      <trackRevisions>false</trackRevisions>
    </reviewItem>
    <reviewItem>
      <errorID>af599c65-dc1e-432b-81b9-404708aa64f7</errorID>
      <errorWord>(</errorWord>
      <group>L1_Format</group>
      <groupName>格式问题</groupName>
      <ability>L2_HalfPunc</ability>
      <abilityName>全半角检查</abilityName>
      <candidateList>
        <item>（</item>
      </candidateList>
      <explain>文本全半角错误。</explain>
      <paraID>19770CF2</paraID>
      <start>0</start>
      <end>1</end>
      <status>unmodified</status>
      <modifiedWord/>
      <trackRevisions>false</trackRevisions>
    </reviewItem>
    <reviewItem>
      <errorID>dcd52431-212f-42a2-9d64-751e8fe4a350</errorID>
      <errorWord>)</errorWord>
      <group>L1_Format</group>
      <groupName>格式问题</groupName>
      <ability>L2_HalfPunc</ability>
      <abilityName>全半角检查</abilityName>
      <candidateList>
        <item>）</item>
      </candidateList>
      <explain>文本全半角错误。</explain>
      <paraID>19770CF2</paraID>
      <start>2</start>
      <end>3</end>
      <status>unmodified</status>
      <modifiedWord/>
      <trackRevisions>false</trackRevisions>
    </reviewItem>
    <reviewItem>
      <errorID>49163be4-9e3e-4da5-b0d4-2a242c70df52</errorID>
      <errorWord>(</errorWord>
      <group>L1_Format</group>
      <groupName>格式问题</groupName>
      <ability>L2_HalfPunc</ability>
      <abilityName>全半角检查</abilityName>
      <candidateList>
        <item>（</item>
      </candidateList>
      <explain>文本全半角错误。</explain>
      <paraID> 7F7BAB2</paraID>
      <start>0</start>
      <end>1</end>
      <status>unmodified</status>
      <modifiedWord/>
      <trackRevisions>false</trackRevisions>
    </reviewItem>
    <reviewItem>
      <errorID>6e4296f4-6a71-4626-9f37-cdaa71d0f6fe</errorID>
      <errorWord>)</errorWord>
      <group>L1_Format</group>
      <groupName>格式问题</groupName>
      <ability>L2_HalfPunc</ability>
      <abilityName>全半角检查</abilityName>
      <candidateList>
        <item>）</item>
      </candidateList>
      <explain>文本全半角错误。</explain>
      <paraID> 7F7BAB2</paraID>
      <start>3</start>
      <end>4</end>
      <status>unmodified</status>
      <modifiedWord/>
      <trackRevisions>false</trackRevisions>
    </reviewItem>
    <reviewItem>
      <errorID>20a65cce-38ef-4331-b3c9-fcf5baac1930</errorID>
      <errorWord>(</errorWord>
      <group>L1_Format</group>
      <groupName>格式问题</groupName>
      <ability>L2_HalfPunc</ability>
      <abilityName>全半角检查</abilityName>
      <candidateList>
        <item>（</item>
      </candidateList>
      <explain>文本全半角错误。</explain>
      <paraID>138EFD5F</paraID>
      <start>0</start>
      <end>1</end>
      <status>unmodified</status>
      <modifiedWord/>
      <trackRevisions>false</trackRevisions>
    </reviewItem>
    <reviewItem>
      <errorID>a9f59934-7b6b-4709-896b-2d7566c9b383</errorID>
      <errorWord>)</errorWord>
      <group>L1_Format</group>
      <groupName>格式问题</groupName>
      <ability>L2_HalfPunc</ability>
      <abilityName>全半角检查</abilityName>
      <candidateList>
        <item>）</item>
      </candidateList>
      <explain>文本全半角错误。</explain>
      <paraID>138EFD5F</paraID>
      <start>3</start>
      <end>4</end>
      <status>unmodified</status>
      <modifiedWord/>
      <trackRevisions>false</trackRevisions>
    </reviewItem>
    <reviewItem>
      <errorID>84900878-a8aa-492b-8cf3-7ff8eff7e527</errorID>
      <errorWord>(</errorWord>
      <group>L1_Format</group>
      <groupName>格式问题</groupName>
      <ability>L2_HalfPunc</ability>
      <abilityName>全半角检查</abilityName>
      <candidateList>
        <item>（</item>
      </candidateList>
      <explain>文本全半角错误。</explain>
      <paraID>2B4C898D</paraID>
      <start>0</start>
      <end>1</end>
      <status>unmodified</status>
      <modifiedWord/>
      <trackRevisions>false</trackRevisions>
    </reviewItem>
    <reviewItem>
      <errorID>1c592880-aa5a-40c7-b9f9-a18292b469db</errorID>
      <errorWord>)</errorWord>
      <group>L1_Format</group>
      <groupName>格式问题</groupName>
      <ability>L2_HalfPunc</ability>
      <abilityName>全半角检查</abilityName>
      <candidateList>
        <item>）</item>
      </candidateList>
      <explain>文本全半角错误。</explain>
      <paraID>2B4C898D</paraID>
      <start>2</start>
      <end>3</end>
      <status>unmodified</status>
      <modifiedWord/>
      <trackRevisions>false</trackRevisions>
    </reviewItem>
    <reviewItem>
      <errorID>ba1ca261-677b-45d3-b05e-dbb1b0ff081d</errorID>
      <errorWord>(</errorWord>
      <group>L1_Format</group>
      <groupName>格式问题</groupName>
      <ability>L2_HalfPunc</ability>
      <abilityName>全半角检查</abilityName>
      <candidateList>
        <item>（</item>
      </candidateList>
      <explain>文本全半角错误。</explain>
      <paraID>6FEB1714</paraID>
      <start>0</start>
      <end>1</end>
      <status>unmodified</status>
      <modifiedWord/>
      <trackRevisions>false</trackRevisions>
    </reviewItem>
    <reviewItem>
      <errorID>e402a18c-6c0f-4434-8d5e-fcc80384b5c5</errorID>
      <errorWord>)</errorWord>
      <group>L1_Format</group>
      <groupName>格式问题</groupName>
      <ability>L2_HalfPunc</ability>
      <abilityName>全半角检查</abilityName>
      <candidateList>
        <item>）</item>
      </candidateList>
      <explain>文本全半角错误。</explain>
      <paraID>6FEB1714</paraID>
      <start>3</start>
      <end>4</end>
      <status>unmodified</status>
      <modifiedWord/>
      <trackRevisions>false</trackRevisions>
    </reviewItem>
    <reviewItem>
      <errorID>3be7bc3c-f837-44a3-b5e5-fa7cc7ab8f4d</errorID>
      <errorWord>(</errorWord>
      <group>L1_Format</group>
      <groupName>格式问题</groupName>
      <ability>L2_HalfPunc</ability>
      <abilityName>全半角检查</abilityName>
      <candidateList>
        <item>（</item>
      </candidateList>
      <explain>文本全半角错误。</explain>
      <paraID>11358BF6</paraID>
      <start>0</start>
      <end>1</end>
      <status>unmodified</status>
      <modifiedWord/>
      <trackRevisions>false</trackRevisions>
    </reviewItem>
    <reviewItem>
      <errorID>4d9faaab-c616-45ba-aa14-a154f7752e3e</errorID>
      <errorWord>)</errorWord>
      <group>L1_Format</group>
      <groupName>格式问题</groupName>
      <ability>L2_HalfPunc</ability>
      <abilityName>全半角检查</abilityName>
      <candidateList>
        <item>）</item>
      </candidateList>
      <explain>文本全半角错误。</explain>
      <paraID>11358BF6</paraID>
      <start>3</start>
      <end>4</end>
      <status>unmodified</status>
      <modifiedWord/>
      <trackRevisions>false</trackRevisions>
    </reviewItem>
    <reviewItem>
      <errorID>ada16d19-31fb-49e9-b5eb-aee9795b8cae</errorID>
      <errorWord>(</errorWord>
      <group>L1_Format</group>
      <groupName>格式问题</groupName>
      <ability>L2_HalfPunc</ability>
      <abilityName>全半角检查</abilityName>
      <candidateList>
        <item>（</item>
      </candidateList>
      <explain>文本全半角错误。</explain>
      <paraID>  E35542</paraID>
      <start>0</start>
      <end>1</end>
      <status>unmodified</status>
      <modifiedWord/>
      <trackRevisions>false</trackRevisions>
    </reviewItem>
    <reviewItem>
      <errorID>aa475346-dbf4-4618-9c76-47b1970e3a20</errorID>
      <errorWord>)</errorWord>
      <group>L1_Format</group>
      <groupName>格式问题</groupName>
      <ability>L2_HalfPunc</ability>
      <abilityName>全半角检查</abilityName>
      <candidateList>
        <item>）</item>
      </candidateList>
      <explain>文本全半角错误。</explain>
      <paraID>  E35542</paraID>
      <start>2</start>
      <end>3</end>
      <status>unmodified</status>
      <modifiedWord/>
      <trackRevisions>false</trackRevisions>
    </reviewItem>
    <reviewItem>
      <errorID>d838d54a-6594-41b0-a0e0-e6daa5b9876d</errorID>
      <errorWord>(</errorWord>
      <group>L1_Format</group>
      <groupName>格式问题</groupName>
      <ability>L2_HalfPunc</ability>
      <abilityName>全半角检查</abilityName>
      <candidateList>
        <item>（</item>
      </candidateList>
      <explain>文本全半角错误。</explain>
      <paraID>77CF8542</paraID>
      <start>0</start>
      <end>1</end>
      <status>unmodified</status>
      <modifiedWord/>
      <trackRevisions>false</trackRevisions>
    </reviewItem>
    <reviewItem>
      <errorID>d4a042bd-8458-4eb1-9cdb-d4e34de4be0d</errorID>
      <errorWord>)</errorWord>
      <group>L1_Format</group>
      <groupName>格式问题</groupName>
      <ability>L2_HalfPunc</ability>
      <abilityName>全半角检查</abilityName>
      <candidateList>
        <item>）</item>
      </candidateList>
      <explain>文本全半角错误。</explain>
      <paraID>77CF8542</paraID>
      <start>3</start>
      <end>4</end>
      <status>unmodified</status>
      <modifiedWord/>
      <trackRevisions>false</trackRevisions>
    </reviewItem>
    <reviewItem>
      <errorID>0f003698-2bdf-42de-b6fd-43e9a65ad779</errorID>
      <errorWord>,</errorWord>
      <group>L1_Format</group>
      <groupName>格式问题</groupName>
      <ability>L2_HalfPunc</ability>
      <abilityName>全半角检查</abilityName>
      <candidateList>
        <item>，</item>
      </candidateList>
      <explain>文本全半角错误。</explain>
      <paraID>77843FDD</paraID>
      <start>1</start>
      <end>2</end>
      <status>unmodified</status>
      <modifiedWord/>
      <trackRevisions>false</trackRevisions>
    </reviewItem>
    <reviewItem>
      <errorID>96cd26c0-f0bf-41df-9f09-997dd360c1d6</errorID>
      <errorWord>,</errorWord>
      <group>L1_Format</group>
      <groupName>格式问题</groupName>
      <ability>L2_HalfPunc</ability>
      <abilityName>全半角检查</abilityName>
      <candidateList>
        <item>，</item>
      </candidateList>
      <explain>文本全半角错误。</explain>
      <paraID>354E37BE</paraID>
      <start>1</start>
      <end>2</end>
      <status>unmodified</status>
      <modifiedWord/>
      <trackRevisions>false</trackRevisions>
    </reviewItem>
    <reviewItem>
      <errorID>babbebfb-1162-456d-a354-5fb825d0cc63</errorID>
      <errorWord>,</errorWord>
      <group>L1_Format</group>
      <groupName>格式问题</groupName>
      <ability>L2_HalfPunc</ability>
      <abilityName>全半角检查</abilityName>
      <candidateList>
        <item>，</item>
      </candidateList>
      <explain>文本全半角错误。</explain>
      <paraID>188493E5</paraID>
      <start>1</start>
      <end>2</end>
      <status>unmodified</status>
      <modifiedWord/>
      <trackRevisions>false</trackRevisions>
    </reviewItem>
    <reviewItem>
      <errorID>46ec1d41-f79a-4313-b593-d7c893af46b7</errorID>
      <errorWord>,</errorWord>
      <group>L1_Format</group>
      <groupName>格式问题</groupName>
      <ability>L2_HalfPunc</ability>
      <abilityName>全半角检查</abilityName>
      <candidateList>
        <item>，</item>
      </candidateList>
      <explain>文本全半角错误。</explain>
      <paraID>3B7112EC</paraID>
      <start>1</start>
      <end>2</end>
      <status>unmodified</status>
      <modifiedWord/>
      <trackRevisions>false</trackRevisions>
    </reviewItem>
    <reviewItem>
      <errorID>1486cccc-8bf1-4522-80c1-f2001839819a</errorID>
      <errorWord>,</errorWord>
      <group>L1_Format</group>
      <groupName>格式问题</groupName>
      <ability>L2_HalfPunc</ability>
      <abilityName>全半角检查</abilityName>
      <candidateList>
        <item>，</item>
      </candidateList>
      <explain>文本全半角错误。</explain>
      <paraID>435F82DE</paraID>
      <start>1</start>
      <end>2</end>
      <status>unmodified</status>
      <modifiedWord/>
      <trackRevisions>false</trackRevisions>
    </reviewItem>
    <reviewItem>
      <errorID>15df25c8-6093-404d-96fc-0c99ff2424c2</errorID>
      <errorWord>,</errorWord>
      <group>L1_Format</group>
      <groupName>格式问题</groupName>
      <ability>L2_HalfPunc</ability>
      <abilityName>全半角检查</abilityName>
      <candidateList>
        <item>，</item>
      </candidateList>
      <explain>文本全半角错误。</explain>
      <paraID>273137A0</paraID>
      <start>1</start>
      <end>2</end>
      <status>unmodified</status>
      <modifiedWord/>
      <trackRevisions>false</trackRevisions>
    </reviewItem>
    <reviewItem>
      <errorID>2af0ef90-db5d-4e21-8b08-426696ea17e4</errorID>
      <errorWord>,</errorWord>
      <group>L1_Format</group>
      <groupName>格式问题</groupName>
      <ability>L2_HalfPunc</ability>
      <abilityName>全半角检查</abilityName>
      <candidateList>
        <item>，</item>
      </candidateList>
      <explain>文本全半角错误。</explain>
      <paraID>452413D2</paraID>
      <start>1</start>
      <end>2</end>
      <status>unmodified</status>
      <modifiedWord/>
      <trackRevisions>false</trackRevisions>
    </reviewItem>
    <reviewItem>
      <errorID>be650be1-d346-45b7-aa1d-d4e96a8d18c3</errorID>
      <errorWord>,</errorWord>
      <group>L1_Format</group>
      <groupName>格式问题</groupName>
      <ability>L2_HalfPunc</ability>
      <abilityName>全半角检查</abilityName>
      <candidateList>
        <item>，</item>
      </candidateList>
      <explain>文本全半角错误。</explain>
      <paraID>56611E75</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28d124-c05d-49c8-a10b-8d6a9516c6c0}">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98</Pages>
  <Words>19155</Words>
  <Characters>20144</Characters>
  <Lines>423</Lines>
  <Paragraphs>119</Paragraphs>
  <TotalTime>1</TotalTime>
  <ScaleCrop>false</ScaleCrop>
  <LinksUpToDate>false</LinksUpToDate>
  <CharactersWithSpaces>20335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2025-06-04T08:18:00Z</dcterms:created>
  <dc:creator>whh</dc:creator>
  <cp:lastModifiedBy>楠瓜</cp:lastModifiedBy>
  <cp:lastPrinted>2025-10-27T07:43:00Z</cp:lastPrinted>
  <dcterms:modified xsi:type="dcterms:W3CDTF">2026-05-11T04:20:32Z</dcterms:modified>
  <cp:revision>197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2018-08-19T16:00:00Z</vt:filetime>
  </property>
  <property fmtid="{D5CDD505-2E9C-101B-9397-08002B2CF9AE}" pid="3" name="Creator">
    <vt:lpwstr>WPS Office</vt:lpwstr>
  </property>
  <property fmtid="{D5CDD505-2E9C-101B-9397-08002B2CF9AE}" pid="4" name="LastSaved">
    <vt:filetime>2018-08-22T16:00:00Z</vt:filetime>
  </property>
  <property fmtid="{D5CDD505-2E9C-101B-9397-08002B2CF9AE}" pid="5" name="KSOProductBuildVer">
    <vt:lpwstr>2052-12.1.0.25865</vt:lpwstr>
  </property>
  <property fmtid="{D5CDD505-2E9C-101B-9397-08002B2CF9AE}" pid="6" name="ICV">
    <vt:lpwstr>B27FFFC6999E4B36970166EB6B97A231_13</vt:lpwstr>
  </property>
  <property fmtid="{D5CDD505-2E9C-101B-9397-08002B2CF9AE}" pid="7" name="KSOTemplateDocerSaveRecord">
    <vt:lpwstr>eyJoZGlkIjoiOTQ3ZGU0OGI1NTc3ZjdmZTFlMWMxZTI1NjY2OGVhZTQiLCJ1c2VySWQiOiI3NDQ1Njk0ODAifQ==</vt:lpwstr>
  </property>
</Properties>
</file>