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eastAsia="黑体"/>
          <w:b/>
          <w:bCs/>
          <w:sz w:val="84"/>
        </w:rPr>
      </w:pPr>
      <w:r>
        <w:rPr>
          <w:rFonts w:eastAsia="黑体"/>
          <w:b/>
          <w:bCs/>
          <w:sz w:val="84"/>
        </w:rPr>
      </w:r>
      <w:r/>
    </w:p>
    <w:p>
      <w:pPr>
        <w:pStyle w:val="1010"/>
        <w:ind w:firstLine="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10"/>
        <w:ind w:firstLine="2249"/>
        <w:rPr>
          <w:b/>
          <w:bCs/>
          <w:sz w:val="32"/>
        </w:rPr>
      </w:pPr>
      <w:r>
        <w:rPr>
          <w:b/>
          <w:bCs/>
          <w:sz w:val="32"/>
        </w:rPr>
      </w:r>
      <w:r/>
    </w:p>
    <w:p>
      <w:pPr>
        <w:jc w:val="center"/>
        <w:spacing w:before="120" w:after="120" w:line="660" w:lineRule="exact"/>
        <w:rPr>
          <w:rFonts w:ascii="方正仿宋_GBK" w:hAnsi="方正仿宋_GBK" w:eastAsia="方正仿宋_GBK" w:cs="方正仿宋_GBK"/>
          <w:color w:val="000000"/>
          <w:sz w:val="32"/>
          <w:szCs w:val="32"/>
        </w:rPr>
      </w:pPr>
      <w:r>
        <w:rPr>
          <w:rFonts w:hint="eastAsia" w:ascii="方正黑体_GBK" w:hAnsi="方正黑体_GBK" w:eastAsia="方正黑体_GBK" w:cs="方正黑体_GBK"/>
          <w:color w:val="000000"/>
          <w:sz w:val="32"/>
          <w:szCs w:val="32"/>
        </w:rPr>
        <w:t xml:space="preserve">项目名称：</w:t>
      </w:r>
      <w:r>
        <w:rPr>
          <w:rFonts w:hint="eastAsia" w:ascii="方正仿宋_GBK" w:hAnsi="方正仿宋_GBK" w:eastAsia="方正仿宋_GBK" w:cs="方正仿宋_GBK"/>
          <w:color w:val="000000"/>
          <w:sz w:val="32"/>
          <w:szCs w:val="32"/>
        </w:rPr>
        <w:t xml:space="preserve">南京信息工程大学校园外环境保洁</w:t>
      </w:r>
      <w:r/>
    </w:p>
    <w:p>
      <w:pPr>
        <w:jc w:val="center"/>
        <w:spacing w:before="120" w:after="120" w:line="660" w:lineRule="exact"/>
        <w:rPr>
          <w:rFonts w:ascii="方正黑体_GBK" w:hAnsi="方正黑体_GBK" w:eastAsia="方正黑体_GBK" w:cs="方正黑体_GBK"/>
          <w:color w:val="000000"/>
          <w:sz w:val="32"/>
          <w:szCs w:val="32"/>
        </w:rPr>
      </w:pPr>
      <w:r>
        <w:rPr>
          <w:rFonts w:hint="eastAsia" w:ascii="方正仿宋_GBK" w:hAnsi="方正仿宋_GBK" w:eastAsia="方正仿宋_GBK" w:cs="方正仿宋_GBK"/>
          <w:color w:val="000000"/>
          <w:sz w:val="32"/>
          <w:szCs w:val="32"/>
        </w:rPr>
        <w:t xml:space="preserve">及绿化管养等保障服务</w:t>
      </w:r>
      <w:r/>
    </w:p>
    <w:p>
      <w:pPr>
        <w:jc w:val="center"/>
        <w:spacing w:before="120" w:after="120" w:line="660" w:lineRule="exact"/>
        <w:rPr>
          <w:rFonts w:hint="eastAsia" w:eastAsia="方正黑体_GBK"/>
          <w:color w:val="000000"/>
          <w:sz w:val="32"/>
          <w:szCs w:val="32"/>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p>
    <w:p>
      <w:pPr>
        <w:jc w:val="center"/>
        <w:spacing w:before="120" w:after="120" w:line="660" w:lineRule="exact"/>
        <w:rPr>
          <w:rFonts w:ascii="方正黑体_GBK" w:hAnsi="方正黑体_GBK" w:eastAsia="方正黑体_GBK" w:cs="方正黑体_GBK"/>
          <w:color w:val="000000"/>
          <w:sz w:val="32"/>
          <w:szCs w:val="32"/>
        </w:rPr>
      </w:pPr>
      <w:r>
        <w:rPr>
          <w:rFonts w:hint="eastAsia" w:eastAsia="方正黑体_GBK"/>
          <w:color w:val="000000"/>
          <w:sz w:val="32"/>
          <w:szCs w:val="32"/>
        </w:rPr>
        <w:t xml:space="preserve">（更正版）</w:t>
      </w:r>
      <w:r/>
    </w:p>
    <w:p>
      <w:pPr>
        <w:ind w:firstLine="640"/>
        <w:jc w:val="left"/>
        <w:spacing w:before="120" w:after="120"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2026年6月</w:t>
      </w:r>
      <w:r/>
    </w:p>
    <w:p>
      <w:pPr>
        <w:pStyle w:val="1010"/>
        <w:ind w:firstLine="0"/>
        <w:rPr>
          <w:u w:val="single"/>
        </w:rPr>
      </w:pPr>
      <w:r>
        <w:rPr>
          <w:rFonts w:hint="eastAsia"/>
        </w:rPr>
        <w:t xml:space="preserve">                        </w:t>
      </w:r>
      <w:r/>
    </w:p>
    <w:p>
      <w:pPr>
        <w:pStyle w:val="1010"/>
        <w:ind w:firstLine="0"/>
        <w:jc w:val="center"/>
      </w:pPr>
      <w:r/>
      <w:r/>
    </w:p>
    <w:p>
      <w:pPr>
        <w:jc w:val="center"/>
        <w:spacing w:line="660" w:lineRule="exact"/>
        <w:rPr>
          <w:rFonts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Cs/>
          <w:color w:val="000000"/>
          <w:sz w:val="32"/>
          <w:szCs w:val="32"/>
        </w:rPr>
        <w:t xml:space="preserve">总  目  录</w:t>
      </w:r>
      <w:r/>
    </w:p>
    <w:p>
      <w:pPr>
        <w:spacing w:line="660" w:lineRule="exact"/>
        <w:rPr>
          <w:rFonts w:ascii="方正黑体_GBK" w:hAnsi="方正黑体_GBK" w:eastAsia="方正黑体_GBK" w:cs="方正黑体_GBK"/>
          <w:color w:val="000000"/>
          <w:sz w:val="32"/>
          <w:szCs w:val="32"/>
        </w:rPr>
        <w:outlineLvl w:val="0"/>
      </w:pPr>
      <w:r>
        <w:rPr>
          <w:rFonts w:ascii="方正黑体_GBK" w:hAnsi="方正黑体_GBK" w:eastAsia="方正黑体_GBK" w:cs="方正黑体_GBK"/>
          <w:color w:val="000000"/>
          <w:sz w:val="32"/>
          <w:szCs w:val="32"/>
        </w:rPr>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3</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7</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22</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28</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5</w:t>
      </w:r>
      <w:r>
        <w:rPr>
          <w:rFonts w:hint="eastAsia" w:ascii="方正黑体_GBK" w:hAnsi="方正黑体_GBK" w:eastAsia="方正黑体_GBK" w:cs="方正黑体_GBK"/>
          <w:color w:val="000000"/>
          <w:sz w:val="32"/>
          <w:szCs w:val="32"/>
        </w:rPr>
        <w:t xml:space="preserve">8</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6</w:t>
      </w:r>
      <w:r>
        <w:rPr>
          <w:rFonts w:hint="eastAsia" w:ascii="方正黑体_GBK" w:hAnsi="方正黑体_GBK" w:eastAsia="方正黑体_GBK" w:cs="方正黑体_GBK"/>
          <w:color w:val="000000"/>
          <w:sz w:val="32"/>
          <w:szCs w:val="32"/>
        </w:rPr>
        <w:t xml:space="preserve">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keepNext/>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受南京信息工程大学的委托，江苏省政府采购中心就南京信息工程大学校园外环境保洁及绿化管养等保障服务(JSZC-320000-SCZX-G2026-0146)项目进行公开招标采购，欢迎符合条件的供应商投标。</w:t>
      </w:r>
      <w:r/>
    </w:p>
    <w:p>
      <w:pPr>
        <w:ind w:firstLine="640"/>
        <w:spacing w:line="560" w:lineRule="exact"/>
        <w:rPr>
          <w:rFonts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南京信息工程大学校园外环境保洁及绿化管养等保障服务</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年6月</w:t>
      </w:r>
      <w:r>
        <w:rPr>
          <w:rFonts w:hint="eastAsia" w:ascii="方正仿宋_GBK" w:hAnsi="方正仿宋_GBK" w:eastAsia="方正仿宋_GBK" w:cs="方正仿宋_GBK"/>
          <w:bCs/>
          <w:color w:val="000000"/>
          <w:sz w:val="32"/>
          <w:szCs w:val="32"/>
        </w:rPr>
        <w:t xml:space="preserve">30</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hint="eastAsia" w:eastAsia="方正仿宋_GBK"/>
          <w:color w:val="000000"/>
          <w:sz w:val="32"/>
          <w:szCs w:val="32"/>
        </w:rPr>
        <w:t xml:space="preserve">：</w:t>
      </w:r>
      <w:r>
        <w:rPr>
          <w:rFonts w:hint="eastAsia" w:eastAsia="方正仿宋_GBK"/>
          <w:color w:val="000000"/>
          <w:sz w:val="32"/>
          <w:szCs w:val="32"/>
        </w:rPr>
        <w:t xml:space="preserve">JSZC-320000-SCZX-G2026-0146  </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2.项目名称：南京信息工程大学校园外环境保洁及绿化管养等保障服务</w:t>
      </w:r>
      <w:bookmarkEnd w:id="11"/>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预算金额(三年)</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ind w:firstLine="280"/>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280"/>
              <w:spacing w:line="0" w:lineRule="atLeast"/>
              <w:rPr>
                <w:rFonts w:eastAsia="方正仿宋_GBK"/>
                <w:color w:val="000000"/>
                <w:sz w:val="32"/>
                <w:szCs w:val="32"/>
              </w:rPr>
            </w:pPr>
            <w:r>
              <w:rPr>
                <w:rFonts w:hint="eastAsia" w:eastAsia="方正仿宋_GBK"/>
                <w:color w:val="000000"/>
                <w:sz w:val="32"/>
                <w:szCs w:val="32"/>
              </w:rPr>
              <w:t xml:space="preserve">1999.9998</w:t>
            </w:r>
            <w:r/>
          </w:p>
        </w:tc>
      </w:tr>
    </w:tbl>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最高限价(三年)</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eastAsia="方正仿宋_GBK"/>
                <w:color w:val="000000"/>
                <w:sz w:val="32"/>
                <w:szCs w:val="32"/>
              </w:rPr>
              <w:t xml:space="preserve">1999.9998</w:t>
            </w:r>
            <w:r/>
          </w:p>
        </w:tc>
      </w:tr>
    </w:tbl>
    <w:p>
      <w:pPr>
        <w:ind w:firstLine="640"/>
        <w:spacing w:line="560" w:lineRule="exact"/>
        <w:rPr>
          <w:rFonts w:ascii="方正仿宋_GBK" w:hAnsi="方正仿宋_GBK" w:eastAsia="方正仿宋_GBK" w:cs="方正仿宋_GBK"/>
          <w:sz w:val="32"/>
          <w:szCs w:val="32"/>
        </w:rPr>
      </w:pPr>
      <w:r/>
      <w:bookmarkStart w:id="12" w:name="_Toc28359080"/>
      <w:r/>
      <w:bookmarkStart w:id="13" w:name="_Toc38985264"/>
      <w:r/>
      <w:bookmarkStart w:id="14" w:name="_Toc35393622"/>
      <w:r/>
      <w:bookmarkStart w:id="15" w:name="_Toc28359003"/>
      <w:r/>
      <w:bookmarkStart w:id="16" w:name="_Toc35393791"/>
      <w:r>
        <w:rPr>
          <w:rFonts w:hint="eastAsia" w:ascii="方正仿宋_GBK" w:hAnsi="方正仿宋_GBK" w:eastAsia="方正仿宋_GBK" w:cs="方正仿宋_GBK"/>
          <w:sz w:val="32"/>
          <w:szCs w:val="32"/>
        </w:rPr>
        <w:t xml:space="preserve">5.采购需求(简介)：本标的位于江苏省南京市江北新区宁六路219号。</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本次委托项目为红线范围内（含红线）提供室外保洁、绿</w:t>
      </w:r>
      <w:r>
        <w:rPr>
          <w:rFonts w:hint="eastAsia" w:ascii="方正仿宋_GBK" w:hAnsi="方正仿宋_GBK" w:eastAsia="方正仿宋_GBK" w:cs="方正仿宋_GBK"/>
          <w:sz w:val="32"/>
          <w:szCs w:val="32"/>
        </w:rPr>
        <w:t xml:space="preserve">化美化等服务，其中，道路、广场、运动场面积约20万㎡，绿化面积约46万㎡（包含庭间、屋面绿化等）。南气宾馆、东</w:t>
      </w:r>
      <w:r>
        <w:rPr>
          <w:rFonts w:hint="eastAsia" w:ascii="方正仿宋_GBK" w:hAnsi="方正仿宋_GBK" w:eastAsia="方正仿宋_GBK" w:cs="方正仿宋_GBK"/>
          <w:sz w:val="32"/>
          <w:szCs w:val="32"/>
        </w:rPr>
        <w:t xml:space="preserve">苑信大藕遇</w:t>
      </w:r>
      <w:r>
        <w:rPr>
          <w:rFonts w:hint="eastAsia" w:ascii="方正仿宋_GBK" w:hAnsi="方正仿宋_GBK" w:eastAsia="方正仿宋_GBK" w:cs="方正仿宋_GBK"/>
          <w:sz w:val="32"/>
          <w:szCs w:val="32"/>
        </w:rPr>
        <w:t xml:space="preserve">商业街、中苑 1960 商业街、</w:t>
      </w:r>
      <w:r>
        <w:rPr>
          <w:rFonts w:hint="eastAsia" w:ascii="方正仿宋_GBK" w:hAnsi="方正仿宋_GBK" w:eastAsia="方正仿宋_GBK" w:cs="方正仿宋_GBK"/>
          <w:sz w:val="32"/>
          <w:szCs w:val="32"/>
        </w:rPr>
        <w:t xml:space="preserve">中苑长望</w:t>
      </w:r>
      <w:r>
        <w:rPr>
          <w:rFonts w:hint="eastAsia" w:ascii="方正仿宋_GBK" w:hAnsi="方正仿宋_GBK" w:eastAsia="方正仿宋_GBK" w:cs="方正仿宋_GBK"/>
          <w:sz w:val="32"/>
          <w:szCs w:val="32"/>
        </w:rPr>
        <w:t xml:space="preserve">商业街、西苑长望商业街、</w:t>
      </w:r>
      <w:r>
        <w:rPr>
          <w:rFonts w:hint="eastAsia" w:ascii="方正仿宋_GBK" w:hAnsi="方正仿宋_GBK" w:eastAsia="方正仿宋_GBK" w:cs="方正仿宋_GBK"/>
          <w:sz w:val="32"/>
          <w:szCs w:val="32"/>
        </w:rPr>
        <w:t xml:space="preserve">西苑信大藕遇</w:t>
      </w:r>
      <w:r>
        <w:rPr>
          <w:rFonts w:hint="eastAsia" w:ascii="方正仿宋_GBK" w:hAnsi="方正仿宋_GBK" w:eastAsia="方正仿宋_GBK" w:cs="方正仿宋_GBK"/>
          <w:sz w:val="32"/>
          <w:szCs w:val="32"/>
        </w:rPr>
        <w:t xml:space="preserve">商业街以及为采购人提供服务和开展建设的项目不在服务范围内。（以下简称委托范围）</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主要服务内容：室外保洁；学生宿舍、公共楼宇、自营食堂等垃圾清运（包含厨余、餐厨和其他垃圾）；楼宇化粪池清掏；水面景观养护；动物养殖；绿化养护；部分学生宿舍和室外四害防治；外环境应急保障等。（详细内容见本招标文件第四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6.合同履行期限：</w:t>
      </w:r>
      <w:bookmarkStart w:id="17" w:name="_Toc29855"/>
      <w:r>
        <w:rPr>
          <w:rFonts w:hint="eastAsia" w:ascii="方正仿宋_GBK" w:hAnsi="方正仿宋_GBK" w:eastAsia="方正仿宋_GBK" w:cs="方正仿宋_GBK"/>
          <w:color w:val="000000"/>
          <w:sz w:val="32"/>
          <w:szCs w:val="32"/>
        </w:rPr>
        <w:t xml:space="preserve">合同签订后三年</w:t>
      </w:r>
      <w:bookmarkEnd w:id="17"/>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
    </w:p>
    <w:p>
      <w:pPr>
        <w:ind w:firstLine="640"/>
        <w:spacing w:line="560" w:lineRule="exact"/>
        <w:rPr>
          <w:rFonts w:ascii="方正楷体_GBK" w:hAnsi="方正楷体_GBK" w:eastAsia="方正楷体_GBK" w:cs="方正楷体_GBK"/>
          <w:color w:val="000000"/>
          <w:sz w:val="32"/>
          <w:szCs w:val="32"/>
        </w:rPr>
      </w:pPr>
      <w:r/>
      <w:bookmarkStart w:id="18" w:name="_Toc28359081"/>
      <w:r/>
      <w:bookmarkStart w:id="19" w:name="_Toc35393792"/>
      <w:r/>
      <w:bookmarkStart w:id="20" w:name="_Toc35393623"/>
      <w:r/>
      <w:bookmarkStart w:id="21" w:name="_Toc28359004"/>
      <w:r/>
      <w:bookmarkStart w:id="22" w:name="_Toc38985265"/>
      <w:r>
        <w:rPr>
          <w:rFonts w:hint="eastAsia" w:ascii="方正楷体_GBK" w:hAnsi="方正楷体_GBK" w:eastAsia="方正楷体_GBK" w:cs="方正楷体_GBK"/>
          <w:color w:val="000000"/>
          <w:sz w:val="32"/>
          <w:szCs w:val="32"/>
        </w:rPr>
        <w:t xml:space="preserve">（一）通用资格要求 </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 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 2024或2025年度的财务状况报告（成立不满一年无需提供）；</w:t>
      </w:r>
      <w:bookmarkStart w:id="23" w:name="_GoBack"/>
      <w:r/>
      <w:bookmarkEnd w:id="23"/>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ind w:firstLine="640"/>
        <w:spacing w:line="360" w:lineRule="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640"/>
        <w:spacing w:line="560" w:lineRule="exact"/>
        <w:rPr>
          <w:rFonts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32"/>
                <w:szCs w:val="32"/>
              </w:rPr>
              <w:t xml:space="preserve">无</w:t>
            </w:r>
            <w:r/>
          </w:p>
        </w:tc>
      </w:tr>
    </w:tbl>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24" w:name="_Toc28359082"/>
      <w:r/>
      <w:bookmarkStart w:id="25" w:name="_Toc28359005"/>
      <w:r/>
      <w:bookmarkStart w:id="26" w:name="_Toc35393793"/>
      <w:r/>
      <w:bookmarkStart w:id="27" w:name="_Toc35393624"/>
      <w:r/>
      <w:bookmarkStart w:id="28" w:name="_Toc38985266"/>
      <w:r/>
      <w:bookmarkStart w:id="29" w:name="_Toc35393794"/>
      <w:r/>
      <w:bookmarkStart w:id="30" w:name="_Toc28359084"/>
      <w:r/>
      <w:bookmarkStart w:id="31" w:name="_Toc28359007"/>
      <w:r/>
      <w:bookmarkStart w:id="32" w:name="_Toc35393625"/>
      <w:r/>
      <w:bookmarkStart w:id="33" w:name="_Toc38985267"/>
      <w:r/>
      <w:bookmarkEnd w:id="18"/>
      <w:r/>
      <w:bookmarkEnd w:id="19"/>
      <w:r/>
      <w:bookmarkEnd w:id="20"/>
      <w:r/>
      <w:bookmarkEnd w:id="21"/>
      <w:r/>
      <w:bookmarkEnd w:id="22"/>
      <w:r>
        <w:rPr>
          <w:rFonts w:hint="eastAsia" w:ascii="方正黑体_GBK" w:hAnsi="方正黑体_GBK" w:eastAsia="方正黑体_GBK" w:cs="方正黑体_GBK"/>
          <w:color w:val="000000"/>
          <w:sz w:val="32"/>
          <w:szCs w:val="32"/>
        </w:rPr>
        <w:t xml:space="preserve">四、提交投标文件</w:t>
      </w:r>
      <w:bookmarkEnd w:id="24"/>
      <w:r/>
      <w:bookmarkEnd w:id="25"/>
      <w:r>
        <w:rPr>
          <w:rFonts w:hint="eastAsia" w:ascii="方正黑体_GBK" w:hAnsi="方正黑体_GBK" w:eastAsia="方正黑体_GBK" w:cs="方正黑体_GBK"/>
          <w:color w:val="000000"/>
          <w:sz w:val="32"/>
          <w:szCs w:val="32"/>
        </w:rPr>
        <w:t xml:space="preserve">截止时间、开标时间和地点</w:t>
      </w:r>
      <w:bookmarkEnd w:id="26"/>
      <w:r/>
      <w:bookmarkEnd w:id="27"/>
      <w:r/>
      <w:bookmarkEnd w:id="28"/>
      <w:r/>
      <w:r/>
    </w:p>
    <w:p>
      <w:pPr>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年6月</w:t>
      </w:r>
      <w:r>
        <w:rPr>
          <w:rFonts w:hint="eastAsia" w:ascii="方正仿宋_GBK" w:hAnsi="方正仿宋_GBK" w:eastAsia="方正仿宋_GBK" w:cs="方正仿宋_GBK"/>
          <w:bCs/>
          <w:color w:val="000000"/>
          <w:sz w:val="32"/>
          <w:szCs w:val="32"/>
        </w:rPr>
        <w:t xml:space="preserve">30</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”政府采购交易系统。</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34" w:name="_Toc38985268"/>
      <w:r/>
      <w:bookmarkStart w:id="35" w:name="_Toc35393626"/>
      <w:r/>
      <w:bookmarkStart w:id="36" w:name="_Toc35393795"/>
      <w:r/>
      <w:bookmarkEnd w:id="29"/>
      <w:r/>
      <w:bookmarkEnd w:id="30"/>
      <w:r/>
      <w:bookmarkEnd w:id="31"/>
      <w:r/>
      <w:bookmarkEnd w:id="32"/>
      <w:r/>
      <w:bookmarkEnd w:id="33"/>
      <w:r>
        <w:rPr>
          <w:rFonts w:hint="eastAsia" w:ascii="方正黑体_GBK" w:hAnsi="方正黑体_GBK" w:eastAsia="方正黑体_GBK" w:cs="方正黑体_GBK"/>
          <w:color w:val="000000"/>
          <w:sz w:val="32"/>
          <w:szCs w:val="32"/>
        </w:rPr>
        <w:t xml:space="preserve">五、公告期限</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37" w:name="_Toc28359085"/>
      <w:r/>
      <w:bookmarkStart w:id="38" w:name="_Toc28359008"/>
      <w:r/>
      <w:bookmarkStart w:id="39" w:name="_Toc35393627"/>
      <w:r/>
      <w:bookmarkStart w:id="40" w:name="_Toc38985269"/>
      <w:r/>
      <w:bookmarkStart w:id="41" w:name="_Toc35393796"/>
      <w:r/>
      <w:bookmarkEnd w:id="34"/>
      <w:r/>
      <w:bookmarkEnd w:id="35"/>
      <w:r/>
      <w:bookmarkEnd w:id="36"/>
      <w:r>
        <w:rPr>
          <w:rFonts w:hint="eastAsia" w:ascii="方正黑体_GBK" w:hAnsi="方正黑体_GBK" w:eastAsia="方正黑体_GBK" w:cs="方正黑体_GBK"/>
          <w:color w:val="000000"/>
          <w:sz w:val="32"/>
          <w:szCs w:val="32"/>
        </w:rPr>
        <w:t xml:space="preserve">六、其他补充事宜</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bookmarkEnd w:id="37"/>
      <w:bookmarkEnd w:id="38"/>
      <w:bookmarkEnd w:id="39"/>
      <w:bookmarkEnd w:id="40"/>
      <w:bookmarkEnd w:id="41"/>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七、本次招标联系方式</w:t>
      </w:r>
      <w:r/>
    </w:p>
    <w:p>
      <w:pPr>
        <w:jc w:val="left"/>
        <w:spacing w:line="560" w:lineRule="exact"/>
        <w:widowControl/>
        <w:rPr>
          <w:rFonts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南京信息工程大学</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南京市宁六路219号　</w:t>
      </w:r>
      <w:r/>
    </w:p>
    <w:p>
      <w:pPr>
        <w:ind w:firstLine="640"/>
        <w:jc w:val="left"/>
        <w:spacing w:line="560" w:lineRule="exact"/>
        <w:rPr>
          <w:rFonts w:ascii="方正仿宋_GBK" w:hAnsi="方正仿宋_GBK" w:eastAsia="方正仿宋_GBK" w:cs="方正仿宋_GBK"/>
          <w:color w:val="000000"/>
          <w:sz w:val="32"/>
          <w:szCs w:val="32"/>
          <w:u w:val="single"/>
        </w:rPr>
      </w:pPr>
      <w:r/>
      <w:bookmarkStart w:id="42" w:name="_Toc28359086"/>
      <w:r/>
      <w:bookmarkStart w:id="43" w:name="_Toc28359009"/>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高德祥</w:t>
      </w:r>
      <w:r/>
    </w:p>
    <w:p>
      <w:pPr>
        <w:ind w:firstLine="640"/>
        <w:jc w:val="left"/>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025-58731055</w:t>
      </w:r>
      <w:r/>
    </w:p>
    <w:p>
      <w:pPr>
        <w:ind w:firstLine="640"/>
        <w:jc w:val="left"/>
        <w:spacing w:line="400" w:lineRule="exact"/>
        <w:rPr>
          <w:rFonts w:ascii="方正仿宋_GBK" w:hAnsi="方正仿宋_GBK" w:eastAsia="方正仿宋_GBK" w:cs="方正仿宋_GBK"/>
          <w:color w:val="000000"/>
          <w:sz w:val="32"/>
          <w:szCs w:val="32"/>
        </w:rPr>
      </w:pPr>
      <w:r/>
      <w:bookmarkStart w:id="44" w:name="_Toc28359087"/>
      <w:r/>
      <w:bookmarkStart w:id="45" w:name="_Toc28359010"/>
      <w:r/>
      <w:bookmarkEnd w:id="42"/>
      <w:r/>
      <w:bookmarkEnd w:id="43"/>
      <w:r>
        <w:rPr>
          <w:rFonts w:hint="eastAsia" w:ascii="方正仿宋_GBK" w:hAnsi="方正仿宋_GBK" w:eastAsia="方正仿宋_GBK" w:cs="方正仿宋_GBK"/>
          <w:color w:val="000000"/>
          <w:sz w:val="32"/>
          <w:szCs w:val="32"/>
        </w:rPr>
        <w:t xml:space="preserve">2.江苏省政府采购中心信息</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南京市汉中门大街145号省政务中心二期3楼南区</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严晓薇 、陈瑜</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025-83668537、83668552</w:t>
      </w:r>
      <w:bookmarkEnd w:id="44"/>
      <w:bookmarkEnd w:id="45"/>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w:t>
      </w:r>
      <w:r>
        <w:rPr>
          <w:rFonts w:hint="eastAsia" w:ascii="方正仿宋_GBK" w:hAnsi="方正仿宋_GBK" w:eastAsia="方正仿宋_GBK" w:cs="方正仿宋_GBK"/>
          <w:bCs/>
          <w:sz w:val="32"/>
          <w:szCs w:val="32"/>
        </w:rPr>
        <w:t xml:space="preserve">苏财购〔2023〕</w:t>
      </w:r>
      <w:r>
        <w:rPr>
          <w:rFonts w:hint="eastAsia" w:ascii="方正仿宋_GBK" w:hAnsi="方正仿宋_GBK" w:eastAsia="方正仿宋_GBK" w:cs="方正仿宋_GBK"/>
          <w:bCs/>
          <w:sz w:val="32"/>
          <w:szCs w:val="32"/>
        </w:rPr>
        <w:t xml:space="preserve">101号），</w:t>
      </w:r>
      <w:r>
        <w:rPr>
          <w:rFonts w:hint="eastAsia" w:ascii="方正仿宋_GBK" w:hAnsi="方正仿宋_GBK" w:eastAsia="方正仿宋_GBK" w:cs="方正仿宋_GBK"/>
          <w:sz w:val="32"/>
          <w:szCs w:val="32"/>
        </w:rPr>
        <w:t xml:space="preserve">“苏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”政府采购交易系统（以下简称苏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32"/>
          <w:szCs w:val="32"/>
        </w:rPr>
        <w:t xml:space="preserve">http://www.ccgp-jiangsu.gov.cn/jiangsu/zlxz/ee/ee3a4bc5a3454aa2b0d9312230633ce9.html</w:t>
      </w:r>
      <w:r>
        <w:rPr>
          <w:rFonts w:hint="eastAsia" w:eastAsia="方正仿宋_GBK"/>
          <w:color w:val="000000"/>
          <w:sz w:val="32"/>
          <w:szCs w:val="32"/>
        </w:rPr>
        <w:t xml:space="preserve">。</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w:t>
      </w:r>
      <w:r>
        <w:rPr>
          <w:rFonts w:hint="eastAsia" w:ascii="方正仿宋_GBK" w:hAnsi="方正仿宋_GBK" w:eastAsia="方正仿宋_GBK" w:cs="方正仿宋_GBK"/>
          <w:bCs/>
          <w:sz w:val="32"/>
          <w:szCs w:val="32"/>
        </w:rPr>
        <w:t xml:space="preserve">采云</w:t>
      </w:r>
      <w:r>
        <w:rPr>
          <w:rFonts w:hint="eastAsia" w:ascii="方正仿宋_GBK" w:hAnsi="方正仿宋_GBK" w:eastAsia="方正仿宋_GBK" w:cs="方正仿宋_GBK"/>
          <w:bCs/>
          <w:sz w:val="32"/>
          <w:szCs w:val="32"/>
        </w:rPr>
        <w:t xml:space="preserve">系统供应商操作手册》（以下简称《操作手册》））、进行注册并按《操作手册》要求制作、上传电子投标文件。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ind w:right="839"/>
        <w:jc w:val="center"/>
        <w:spacing w:line="660" w:lineRule="exact"/>
        <w:rPr>
          <w:rFonts w:ascii="宋体" w:hAnsi="宋体"/>
          <w:sz w:val="24"/>
          <w:szCs w:val="24"/>
        </w:rPr>
      </w:pPr>
      <w:r>
        <w:rPr>
          <w:rFonts w:ascii="宋体" w:hAnsi="宋体"/>
          <w:sz w:val="24"/>
          <w:szCs w:val="24"/>
        </w:rPr>
        <w:br w:type="page" w:clear="all"/>
      </w:r>
      <w:bookmarkStart w:id="46" w:name="_Toc120614211"/>
      <w:r>
        <w:rPr>
          <w:rFonts w:hint="eastAsia" w:ascii="方正黑体_GBK" w:hAnsi="方正黑体_GBK" w:eastAsia="方正黑体_GBK" w:cs="方正黑体_GBK"/>
          <w:color w:val="000000"/>
          <w:sz w:val="32"/>
          <w:szCs w:val="32"/>
        </w:rPr>
        <w:t xml:space="preserve">第二章  </w:t>
      </w:r>
      <w:bookmarkStart w:id="47" w:name="_Toc120614213"/>
      <w:r/>
      <w:bookmarkStart w:id="48" w:name="_Toc20823274"/>
      <w:r/>
      <w:bookmarkStart w:id="49" w:name="_Toc16938518"/>
      <w:r/>
      <w:bookmarkStart w:id="50" w:name="_Toc513029202"/>
      <w:r/>
      <w:bookmarkEnd w:id="1"/>
      <w:r/>
      <w:bookmarkEnd w:id="2"/>
      <w:r/>
      <w:bookmarkEnd w:id="3"/>
      <w:r/>
      <w:bookmarkEnd w:id="4"/>
      <w:r/>
      <w:bookmarkEnd w:id="5"/>
      <w:r/>
      <w:bookmarkEnd w:id="46"/>
      <w:r>
        <w:rPr>
          <w:rFonts w:hint="eastAsia" w:ascii="方正黑体_GBK" w:hAnsi="方正黑体_GBK" w:eastAsia="方正黑体_GBK" w:cs="方正黑体_GBK"/>
          <w:color w:val="000000"/>
          <w:sz w:val="32"/>
          <w:szCs w:val="32"/>
        </w:rPr>
        <w:t xml:space="preserve">投标人须知</w:t>
      </w:r>
      <w:bookmarkEnd w:id="47"/>
      <w:r/>
      <w:bookmarkEnd w:id="48"/>
      <w:r/>
      <w:bookmarkEnd w:id="49"/>
      <w:r/>
      <w:bookmarkEnd w:id="50"/>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一、总则</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1.招标方式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2.合格的投标人</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3.适用法律和标准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4.投标费用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二、招标文件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6.招标文件构成</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w:t>
      </w:r>
      <w:r>
        <w:rPr>
          <w:rFonts w:hint="eastAsia" w:ascii="方正仿宋_GBK" w:hAnsi="方正仿宋_GBK" w:eastAsia="方正仿宋_GBK" w:cs="方正仿宋_GBK"/>
          <w:bCs/>
          <w:sz w:val="32"/>
          <w:szCs w:val="32"/>
        </w:rPr>
        <w:t xml:space="preserve">缺漏请</w:t>
      </w:r>
      <w:r>
        <w:rPr>
          <w:rFonts w:hint="eastAsia" w:ascii="方正仿宋_GBK" w:hAnsi="方正仿宋_GBK" w:eastAsia="方正仿宋_GBK" w:cs="方正仿宋_GBK"/>
          <w:bCs/>
          <w:sz w:val="32"/>
          <w:szCs w:val="32"/>
        </w:rPr>
        <w:t xml:space="preserve">立即与采购中心联系解决。</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方正仿宋_GBK" w:hAnsi="方正仿宋_GBK" w:eastAsia="方正仿宋_GBK" w:cs="方正仿宋_GBK"/>
          <w:bCs/>
          <w:sz w:val="32"/>
          <w:szCs w:val="32"/>
        </w:rPr>
        <w:t xml:space="preserve">作出</w:t>
      </w:r>
      <w:r>
        <w:rPr>
          <w:rFonts w:hint="eastAsia" w:ascii="方正仿宋_GBK" w:hAnsi="方正仿宋_GBK" w:eastAsia="方正仿宋_GBK" w:cs="方正仿宋_GBK"/>
          <w:bCs/>
          <w:sz w:val="32"/>
          <w:szCs w:val="32"/>
        </w:rPr>
        <w:t xml:space="preserve">实质性响应，否则其风险由投标人自行承担。</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7.招标文件的修改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51" w:name="_Toc120614216"/>
      <w:r/>
      <w:bookmarkStart w:id="52" w:name="_Toc16938529"/>
      <w:r/>
      <w:bookmarkStart w:id="53" w:name="_Toc462564072"/>
      <w:r/>
      <w:bookmarkStart w:id="54" w:name="_Toc513029213"/>
      <w:r/>
      <w:bookmarkStart w:id="55" w:name="_Toc20823285"/>
      <w:r>
        <w:rPr>
          <w:rFonts w:hint="eastAsia" w:ascii="方正黑体_GBK" w:hAnsi="方正黑体_GBK" w:eastAsia="方正黑体_GBK" w:cs="方正黑体_GBK"/>
          <w:color w:val="000000"/>
          <w:sz w:val="32"/>
          <w:szCs w:val="32"/>
        </w:rPr>
        <w:t xml:space="preserve">三、投标文件的编制</w:t>
      </w:r>
      <w:bookmarkEnd w:id="51"/>
      <w:r/>
      <w:bookmarkEnd w:id="52"/>
      <w:r/>
      <w:bookmarkEnd w:id="53"/>
      <w:r/>
      <w:bookmarkEnd w:id="54"/>
      <w:r/>
      <w:bookmarkEnd w:id="55"/>
      <w:r/>
      <w:r/>
    </w:p>
    <w:p>
      <w:pPr>
        <w:pStyle w:val="771"/>
        <w:ind w:firstLine="640"/>
        <w:spacing w:before="0" w:after="0" w:line="560" w:lineRule="exact"/>
        <w:rPr>
          <w:rFonts w:ascii="方正仿宋_GBK" w:hAnsi="方正仿宋_GBK" w:eastAsia="方正仿宋_GBK" w:cs="方正仿宋_GBK"/>
          <w:bCs w:val="0"/>
          <w:sz w:val="32"/>
          <w:szCs w:val="32"/>
        </w:rPr>
      </w:pPr>
      <w:r/>
      <w:bookmarkStart w:id="56" w:name="_Toc462564073"/>
      <w:r/>
      <w:bookmarkStart w:id="57" w:name="_Toc16938530"/>
      <w:r/>
      <w:bookmarkStart w:id="58" w:name="_Toc513029214"/>
      <w:r/>
      <w:bookmarkStart w:id="59" w:name="_Toc20823286"/>
      <w:r>
        <w:rPr>
          <w:rFonts w:hint="eastAsia" w:ascii="方正仿宋_GBK" w:hAnsi="方正仿宋_GBK" w:eastAsia="方正仿宋_GBK" w:cs="方正仿宋_GBK"/>
          <w:b w:val="0"/>
          <w:bCs w:val="0"/>
          <w:sz w:val="32"/>
          <w:szCs w:val="32"/>
        </w:rPr>
        <w:t xml:space="preserve">8.投标文件的语言及度量衡单位</w:t>
      </w:r>
      <w:bookmarkEnd w:id="56"/>
      <w:r/>
      <w:bookmarkEnd w:id="57"/>
      <w:r/>
      <w:bookmarkEnd w:id="58"/>
      <w:r/>
      <w:bookmarkEnd w:id="59"/>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8.1</w:t>
      </w:r>
      <w:r>
        <w:rPr>
          <w:rFonts w:hint="eastAsia" w:ascii="方正仿宋_GBK" w:hAnsi="方正仿宋_GBK" w:eastAsia="方正仿宋_GBK" w:cs="方正仿宋_GBK"/>
          <w:sz w:val="32"/>
          <w:szCs w:val="32"/>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rPr>
        <w:t xml:space="preserve">简体中文</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8.2</w:t>
      </w:r>
      <w:r>
        <w:rPr>
          <w:rFonts w:hint="eastAsia" w:ascii="方正仿宋_GBK" w:hAnsi="方正仿宋_GBK" w:eastAsia="方正仿宋_GBK" w:cs="方正仿宋_GBK"/>
          <w:sz w:val="32"/>
          <w:szCs w:val="32"/>
        </w:rPr>
        <w:t xml:space="preserve"> 除技术性能另有规定外，投标文件所使用的度量衡单位，均须采用国家法定计量单位。</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60" w:name="_Toc462564074"/>
      <w:r/>
      <w:bookmarkStart w:id="61" w:name="_Toc513029215"/>
      <w:r/>
      <w:bookmarkStart w:id="62" w:name="_Toc16938531"/>
      <w:r/>
      <w:bookmarkStart w:id="63" w:name="_Toc20823287"/>
      <w:r>
        <w:rPr>
          <w:rFonts w:hint="eastAsia" w:ascii="方正仿宋_GBK" w:hAnsi="方正仿宋_GBK" w:eastAsia="方正仿宋_GBK" w:cs="方正仿宋_GBK"/>
          <w:b w:val="0"/>
          <w:bCs w:val="0"/>
          <w:sz w:val="32"/>
          <w:szCs w:val="32"/>
        </w:rPr>
        <w:t xml:space="preserve">9.投标文件构成</w:t>
      </w:r>
      <w:bookmarkEnd w:id="60"/>
      <w:r/>
      <w:bookmarkEnd w:id="61"/>
      <w:r/>
      <w:bookmarkEnd w:id="62"/>
      <w:r/>
      <w:bookmarkEnd w:id="63"/>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9.1</w:t>
      </w:r>
      <w:r>
        <w:rPr>
          <w:rFonts w:hint="eastAsia" w:ascii="方正仿宋_GBK" w:hAnsi="方正仿宋_GBK" w:eastAsia="方正仿宋_GBK" w:cs="方正仿宋_GBK"/>
          <w:sz w:val="32"/>
          <w:szCs w:val="32"/>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如标书制作工具中格式和内容与“江苏政府采购网”发布的招标文件不一致，请以“江苏政府采购网”发布的招标文件为准。</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64" w:name="_Hlt26670360"/>
      <w:r/>
      <w:bookmarkStart w:id="65" w:name="_Hlt26668975"/>
      <w:r/>
      <w:bookmarkStart w:id="66" w:name="_Hlt26954838"/>
      <w:r/>
      <w:bookmarkStart w:id="67" w:name="_Toc513029219"/>
      <w:r/>
      <w:bookmarkStart w:id="68" w:name="_Toc14577357"/>
      <w:r/>
      <w:bookmarkStart w:id="69" w:name="_Toc49090509"/>
      <w:r/>
      <w:bookmarkStart w:id="70" w:name="_Toc513029216"/>
      <w:r/>
      <w:bookmarkStart w:id="71" w:name="_Toc49090507"/>
      <w:r/>
      <w:bookmarkStart w:id="72" w:name="_Toc14577354"/>
      <w:r/>
      <w:bookmarkEnd w:id="64"/>
      <w:r/>
      <w:bookmarkEnd w:id="65"/>
      <w:r/>
      <w:bookmarkEnd w:id="66"/>
      <w:r>
        <w:rPr>
          <w:rFonts w:hint="eastAsia" w:ascii="方正仿宋_GBK" w:hAnsi="方正仿宋_GBK" w:eastAsia="方正仿宋_GBK" w:cs="方正仿宋_GBK"/>
          <w:b w:val="0"/>
          <w:bCs w:val="0"/>
          <w:sz w:val="32"/>
          <w:szCs w:val="32"/>
        </w:rPr>
        <w:t xml:space="preserve">10.证明投标人及投标标的符合招标文件规定的文件</w:t>
      </w:r>
      <w:bookmarkEnd w:id="67"/>
      <w:r/>
      <w:bookmarkEnd w:id="68"/>
      <w:r/>
      <w:bookmarkEnd w:id="69"/>
      <w:r/>
      <w:r/>
    </w:p>
    <w:p>
      <w:pPr>
        <w:ind w:firstLine="640"/>
        <w:spacing w:line="560" w:lineRule="exact"/>
        <w:rPr>
          <w:rFonts w:ascii="方正仿宋_GBK" w:hAnsi="方正仿宋_GBK" w:eastAsia="方正仿宋_GBK" w:cs="方正仿宋_GBK"/>
          <w:sz w:val="32"/>
          <w:szCs w:val="32"/>
        </w:rPr>
      </w:pPr>
      <w:r/>
      <w:bookmarkStart w:id="73" w:name="_Toc14577355"/>
      <w:r/>
      <w:bookmarkStart w:id="74" w:name="_Toc49090508"/>
      <w:r/>
      <w:bookmarkEnd w:id="70"/>
      <w:r/>
      <w:bookmarkEnd w:id="71"/>
      <w:r/>
      <w:bookmarkEnd w:id="72"/>
      <w:r>
        <w:rPr>
          <w:rFonts w:hint="eastAsia" w:ascii="方正仿宋_GBK" w:hAnsi="方正仿宋_GBK" w:eastAsia="方正仿宋_GBK" w:cs="方正仿宋_GBK"/>
          <w:sz w:val="32"/>
          <w:szCs w:val="32"/>
        </w:rPr>
        <w:t xml:space="preserve">10.1 投标人应按照法律、法规、规章和规范性文件以及招标文件要求提交证明文件，证明其及投标标的符合招标文件规定。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10.2招标文件对证明文件无明确形式要求的，证明文件可以以文字资料、图纸和数据等形式提交。</w:t>
      </w:r>
      <w:r/>
    </w:p>
    <w:p>
      <w:pPr>
        <w:pStyle w:val="771"/>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11.投标分项报价</w:t>
      </w:r>
      <w:bookmarkStart w:id="75" w:name="_Hlt26670373"/>
      <w:r/>
      <w:bookmarkEnd w:id="73"/>
      <w:r/>
      <w:bookmarkEnd w:id="75"/>
      <w:r>
        <w:rPr>
          <w:rFonts w:hint="eastAsia" w:ascii="方正仿宋_GBK" w:hAnsi="方正仿宋_GBK" w:eastAsia="方正仿宋_GBK" w:cs="方正仿宋_GBK"/>
          <w:b w:val="0"/>
          <w:bCs w:val="0"/>
          <w:sz w:val="32"/>
          <w:szCs w:val="32"/>
        </w:rPr>
        <w:t xml:space="preserve">表</w:t>
      </w:r>
      <w:bookmarkEnd w:id="74"/>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w:t>
      </w:r>
      <w:r>
        <w:rPr>
          <w:rFonts w:hint="eastAsia" w:ascii="方正仿宋_GBK" w:hAnsi="方正仿宋_GBK" w:eastAsia="方正仿宋_GBK" w:cs="方正仿宋_GBK"/>
          <w:sz w:val="32"/>
          <w:szCs w:val="32"/>
        </w:rPr>
        <w:t xml:space="preserve"> 投</w:t>
      </w:r>
      <w:bookmarkStart w:id="76" w:name="_Hlt26954840"/>
      <w:r/>
      <w:bookmarkEnd w:id="76"/>
      <w:r>
        <w:rPr>
          <w:rFonts w:hint="eastAsia" w:ascii="方正仿宋_GBK" w:hAnsi="方正仿宋_GBK" w:eastAsia="方正仿宋_GBK" w:cs="方正仿宋_GBK"/>
          <w:sz w:val="32"/>
          <w:szCs w:val="32"/>
        </w:rPr>
        <w:t xml:space="preserve">标人按照招标文件规定格式填报投标分项报价表</w:t>
      </w:r>
      <w:bookmarkStart w:id="77" w:name="_Hlt26670399"/>
      <w:r/>
      <w:bookmarkEnd w:id="77"/>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w:t>
      </w:r>
      <w:r>
        <w:rPr>
          <w:rFonts w:hint="eastAsia" w:ascii="方正仿宋_GBK" w:hAnsi="方正仿宋_GBK" w:eastAsia="方正仿宋_GBK" w:cs="方正仿宋_GBK"/>
          <w:bCs/>
          <w:sz w:val="32"/>
          <w:szCs w:val="32"/>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rPr>
        <w:t xml:space="preserve">招标文件中另有规定的按规定执行。</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78" w:name="_Hlt26954844"/>
      <w:r/>
      <w:bookmarkStart w:id="79" w:name="_Hlt26954842"/>
      <w:r/>
      <w:bookmarkStart w:id="80" w:name="_Hlt26954846"/>
      <w:r/>
      <w:bookmarkStart w:id="81" w:name="_Hlt26670482"/>
      <w:r/>
      <w:bookmarkStart w:id="82" w:name="_Hlt26670486"/>
      <w:r/>
      <w:bookmarkStart w:id="83" w:name="_Hlt26668983"/>
      <w:r/>
      <w:bookmarkStart w:id="84" w:name="_Hlt26954731"/>
      <w:r/>
      <w:bookmarkStart w:id="85" w:name="_Hlt26670425"/>
      <w:r/>
      <w:bookmarkStart w:id="86" w:name="_Hlt26954848"/>
      <w:r/>
      <w:bookmarkStart w:id="87" w:name="_Hlt26670403"/>
      <w:r/>
      <w:bookmarkEnd w:id="78"/>
      <w:r/>
      <w:bookmarkEnd w:id="79"/>
      <w:r/>
      <w:bookmarkEnd w:id="80"/>
      <w:r/>
      <w:bookmarkEnd w:id="81"/>
      <w:r/>
      <w:bookmarkEnd w:id="82"/>
      <w:r/>
      <w:bookmarkEnd w:id="83"/>
      <w:r/>
      <w:bookmarkEnd w:id="84"/>
      <w:r/>
      <w:bookmarkEnd w:id="85"/>
      <w:r/>
      <w:bookmarkEnd w:id="86"/>
      <w:r/>
      <w:bookmarkEnd w:id="87"/>
      <w:r>
        <w:rPr>
          <w:rFonts w:hint="eastAsia" w:ascii="方正仿宋_GBK" w:hAnsi="方正仿宋_GBK" w:eastAsia="方正仿宋_GBK" w:cs="方正仿宋_GBK"/>
          <w:b w:val="0"/>
          <w:bCs w:val="0"/>
          <w:sz w:val="32"/>
          <w:szCs w:val="32"/>
        </w:rPr>
        <w:t xml:space="preserve">12.技术要求响应及偏离表、商务要求响应及偏离表</w:t>
      </w:r>
      <w:r/>
    </w:p>
    <w:p>
      <w:pPr>
        <w:ind w:firstLine="640"/>
        <w:spacing w:line="560" w:lineRule="exact"/>
        <w:rPr>
          <w:rFonts w:ascii="方正仿宋_GBK" w:hAnsi="方正仿宋_GBK" w:eastAsia="方正仿宋_GBK" w:cs="方正仿宋_GBK"/>
          <w:sz w:val="32"/>
          <w:szCs w:val="32"/>
          <w:lang w:val="zh-CN"/>
        </w:rPr>
      </w:pPr>
      <w:r>
        <w:rPr>
          <w:rFonts w:hint="eastAsia" w:ascii="方正仿宋_GBK" w:hAnsi="方正仿宋_GBK" w:eastAsia="方正仿宋_GBK" w:cs="方正仿宋_GBK"/>
          <w:bCs/>
          <w:sz w:val="32"/>
          <w:szCs w:val="32"/>
          <w:lang w:val="zh-CN"/>
        </w:rPr>
        <w:t xml:space="preserve">12.1</w:t>
      </w:r>
      <w:r>
        <w:rPr>
          <w:rFonts w:hint="eastAsia" w:ascii="方正仿宋_GBK" w:hAnsi="方正仿宋_GBK" w:eastAsia="方正仿宋_GBK" w:cs="方正仿宋_GBK"/>
          <w:sz w:val="32"/>
          <w:szCs w:val="32"/>
          <w:lang w:val="zh-CN"/>
        </w:rPr>
        <w:t xml:space="preserve"> 投标人需对招标文件中的技术要求与商务要求逐项</w:t>
      </w:r>
      <w:r>
        <w:rPr>
          <w:rFonts w:hint="eastAsia" w:ascii="方正仿宋_GBK" w:hAnsi="方正仿宋_GBK" w:eastAsia="方正仿宋_GBK" w:cs="方正仿宋_GBK"/>
          <w:sz w:val="32"/>
          <w:szCs w:val="32"/>
          <w:lang w:val="zh-CN"/>
        </w:rPr>
        <w:t xml:space="preserve">作出</w:t>
      </w:r>
      <w:r>
        <w:rPr>
          <w:rFonts w:hint="eastAsia" w:ascii="方正仿宋_GBK" w:hAnsi="方正仿宋_GBK" w:eastAsia="方正仿宋_GBK" w:cs="方正仿宋_GBK"/>
          <w:sz w:val="32"/>
          <w:szCs w:val="32"/>
          <w:lang w:val="zh-CN"/>
        </w:rPr>
        <w:t xml:space="preserve">响应或偏离，并说明原因。</w:t>
      </w:r>
      <w:r/>
    </w:p>
    <w:p>
      <w:pPr>
        <w:ind w:firstLine="640"/>
        <w:spacing w:line="560" w:lineRule="exact"/>
        <w:rPr>
          <w:rFonts w:ascii="方正仿宋_GBK" w:hAnsi="方正仿宋_GBK" w:eastAsia="方正仿宋_GBK" w:cs="方正仿宋_GBK"/>
          <w:sz w:val="32"/>
          <w:szCs w:val="32"/>
          <w:lang w:val="zh-CN"/>
        </w:rPr>
      </w:pPr>
      <w:r/>
      <w:bookmarkStart w:id="88" w:name="_Toc49090510"/>
      <w:r/>
      <w:bookmarkStart w:id="89" w:name="_Toc14577359"/>
      <w:r>
        <w:rPr>
          <w:rFonts w:hint="eastAsia" w:ascii="方正仿宋_GBK" w:hAnsi="方正仿宋_GBK" w:eastAsia="方正仿宋_GBK" w:cs="方正仿宋_GBK"/>
          <w:sz w:val="32"/>
          <w:szCs w:val="32"/>
          <w:lang w:val="zh-CN"/>
        </w:rPr>
        <w:t xml:space="preserve">12.2 投标人需按照招标文件要求，在投标文件中提供与技术要求和商务要求相关的证明材料。</w:t>
      </w:r>
      <w:r/>
    </w:p>
    <w:p>
      <w:pPr>
        <w:pStyle w:val="771"/>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13.投标函和开标一览表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13.1</w:t>
      </w:r>
      <w:r>
        <w:rPr>
          <w:rFonts w:hint="eastAsia" w:ascii="方正仿宋_GBK" w:hAnsi="方正仿宋_GBK" w:eastAsia="方正仿宋_GBK" w:cs="方正仿宋_GBK"/>
          <w:sz w:val="32"/>
          <w:szCs w:val="32"/>
        </w:rPr>
        <w:t xml:space="preserve"> 投标人应按照招标文件中提供的格式完整、正确填写投标函、开标一览表。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13.2</w:t>
      </w:r>
      <w:r>
        <w:rPr>
          <w:rFonts w:hint="eastAsia" w:ascii="方正仿宋_GBK" w:hAnsi="方正仿宋_GBK" w:eastAsia="方正仿宋_GBK" w:cs="方正仿宋_GBK"/>
          <w:sz w:val="32"/>
          <w:szCs w:val="32"/>
        </w:rPr>
        <w:t xml:space="preserve"> 对于采用货币报价的项目，</w:t>
      </w:r>
      <w:r>
        <w:rPr>
          <w:rFonts w:hint="eastAsia" w:ascii="方正仿宋_GBK" w:hAnsi="方正仿宋_GBK" w:eastAsia="方正仿宋_GBK" w:cs="方正仿宋_GBK"/>
          <w:bCs/>
          <w:sz w:val="32"/>
          <w:szCs w:val="32"/>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rPr>
        <w:t xml:space="preserve">不作为无效投标处理</w:t>
      </w:r>
      <w:r>
        <w:rPr>
          <w:rFonts w:hint="eastAsia" w:ascii="方正仿宋_GBK" w:hAnsi="方正仿宋_GBK" w:eastAsia="方正仿宋_GBK" w:cs="方正仿宋_GBK"/>
          <w:bCs/>
          <w:sz w:val="32"/>
          <w:szCs w:val="32"/>
        </w:rPr>
        <w:t xml:space="preserve">，但评标时按开标一览表中价格为准</w:t>
      </w:r>
      <w:r>
        <w:rPr>
          <w:rFonts w:hint="eastAsia" w:ascii="方正仿宋_GBK" w:hAnsi="方正仿宋_GBK" w:eastAsia="方正仿宋_GBK" w:cs="方正仿宋_GBK"/>
          <w:b/>
          <w:bCs/>
          <w:sz w:val="32"/>
          <w:szCs w:val="32"/>
        </w:rPr>
        <w:t xml:space="preserve">。</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90" w:name="_Hlt26954734"/>
      <w:r/>
      <w:bookmarkStart w:id="91" w:name="_Hlt26954850"/>
      <w:r/>
      <w:bookmarkStart w:id="92" w:name="_Hlt26670489"/>
      <w:r/>
      <w:bookmarkStart w:id="93" w:name="_Toc49090511"/>
      <w:r/>
      <w:bookmarkStart w:id="94" w:name="_Toc14577360"/>
      <w:r/>
      <w:bookmarkEnd w:id="88"/>
      <w:r/>
      <w:bookmarkEnd w:id="89"/>
      <w:r/>
      <w:bookmarkEnd w:id="90"/>
      <w:r/>
      <w:bookmarkEnd w:id="91"/>
      <w:r/>
      <w:bookmarkEnd w:id="92"/>
      <w:r>
        <w:rPr>
          <w:rFonts w:hint="eastAsia" w:ascii="方正仿宋_GBK" w:hAnsi="方正仿宋_GBK" w:eastAsia="方正仿宋_GBK" w:cs="方正仿宋_GBK"/>
          <w:b w:val="0"/>
          <w:bCs w:val="0"/>
          <w:sz w:val="32"/>
          <w:szCs w:val="32"/>
        </w:rPr>
        <w:t xml:space="preserve">14.投标有效期</w:t>
      </w:r>
      <w:bookmarkEnd w:id="93"/>
      <w:r/>
      <w:bookmarkEnd w:id="94"/>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14.1</w:t>
      </w:r>
      <w:r>
        <w:rPr>
          <w:rFonts w:hint="eastAsia" w:ascii="方正仿宋_GBK" w:hAnsi="方正仿宋_GBK" w:eastAsia="方正仿宋_GBK" w:cs="方正仿宋_GBK"/>
          <w:bCs/>
          <w:sz w:val="32"/>
          <w:szCs w:val="32"/>
        </w:rPr>
        <w:t xml:space="preserve"> 投标有效期为采购中心规定的开标之日后</w:t>
      </w:r>
      <w:r>
        <w:rPr>
          <w:rFonts w:hint="eastAsia" w:ascii="方正仿宋_GBK" w:hAnsi="方正仿宋_GBK" w:eastAsia="方正仿宋_GBK" w:cs="方正仿宋_GBK"/>
          <w:b/>
          <w:sz w:val="32"/>
          <w:szCs w:val="32"/>
          <w:u w:val="single"/>
        </w:rPr>
        <w:t xml:space="preserve">六十（60）天</w:t>
      </w:r>
      <w:r>
        <w:rPr>
          <w:rFonts w:hint="eastAsia" w:ascii="方正仿宋_GBK" w:hAnsi="方正仿宋_GBK" w:eastAsia="方正仿宋_GBK" w:cs="方正仿宋_GBK"/>
          <w:bCs/>
          <w:sz w:val="32"/>
          <w:szCs w:val="32"/>
        </w:rPr>
        <w:t xml:space="preserve">。投标有效期比规定短的将被视为未实质性响应招标文件而予以拒绝。</w:t>
      </w:r>
      <w:r/>
    </w:p>
    <w:p>
      <w:pPr>
        <w:pStyle w:val="771"/>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15.投标有效期的延长</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15.1</w:t>
      </w:r>
      <w:r>
        <w:rPr>
          <w:rFonts w:hint="eastAsia" w:ascii="方正仿宋_GBK" w:hAnsi="方正仿宋_GBK" w:eastAsia="方正仿宋_GBK" w:cs="方正仿宋_GBK"/>
          <w:bCs/>
          <w:sz w:val="32"/>
          <w:szCs w:val="32"/>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同意延长投标有效期的投标人既不能要求也不允许修改其投标文件</w:t>
      </w:r>
      <w:r>
        <w:rPr>
          <w:rFonts w:hint="eastAsia" w:ascii="方正仿宋_GBK" w:hAnsi="方正仿宋_GBK" w:eastAsia="方正仿宋_GBK" w:cs="方正仿宋_GBK"/>
          <w:sz w:val="32"/>
          <w:szCs w:val="32"/>
        </w:rPr>
        <w:t xml:space="preserve">，同时受投标有效期约束的所有权利与义务均延长至新的有效期</w:t>
      </w:r>
      <w:r>
        <w:rPr>
          <w:rFonts w:hint="eastAsia" w:ascii="方正仿宋_GBK" w:hAnsi="方正仿宋_GBK" w:eastAsia="方正仿宋_GBK" w:cs="方正仿宋_GBK"/>
          <w:bCs/>
          <w:sz w:val="32"/>
          <w:szCs w:val="32"/>
        </w:rPr>
        <w:t xml:space="preserve">。</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95" w:name="_Hlt26954739"/>
      <w:r/>
      <w:bookmarkStart w:id="96" w:name="_Hlt26954852"/>
      <w:r/>
      <w:bookmarkStart w:id="97" w:name="_Toc513029224"/>
      <w:r/>
      <w:bookmarkStart w:id="98" w:name="_Toc20823296"/>
      <w:r/>
      <w:bookmarkStart w:id="99" w:name="_Toc16938540"/>
      <w:r/>
      <w:bookmarkStart w:id="100" w:name="_Toc120614217"/>
      <w:r/>
      <w:bookmarkEnd w:id="95"/>
      <w:r/>
      <w:bookmarkEnd w:id="96"/>
      <w:r>
        <w:rPr>
          <w:rFonts w:hint="eastAsia" w:ascii="方正黑体_GBK" w:hAnsi="方正黑体_GBK" w:eastAsia="方正黑体_GBK" w:cs="方正黑体_GBK"/>
          <w:color w:val="000000"/>
          <w:sz w:val="32"/>
          <w:szCs w:val="32"/>
        </w:rPr>
        <w:t xml:space="preserve">四、投标文件的递交</w:t>
      </w:r>
      <w:bookmarkEnd w:id="97"/>
      <w:r/>
      <w:bookmarkEnd w:id="98"/>
      <w:r/>
      <w:bookmarkEnd w:id="99"/>
      <w:r/>
      <w:bookmarkEnd w:id="100"/>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101" w:name="_Toc513029225"/>
      <w:r/>
      <w:bookmarkStart w:id="102" w:name="_Toc462564084"/>
      <w:r/>
      <w:bookmarkStart w:id="103" w:name="_Toc16938541"/>
      <w:r/>
      <w:bookmarkStart w:id="104" w:name="_Toc20823297"/>
      <w:r>
        <w:rPr>
          <w:rFonts w:hint="eastAsia" w:ascii="方正仿宋_GBK" w:hAnsi="方正仿宋_GBK" w:eastAsia="方正仿宋_GBK" w:cs="方正仿宋_GBK"/>
          <w:b w:val="0"/>
          <w:bCs w:val="0"/>
          <w:sz w:val="32"/>
          <w:szCs w:val="32"/>
        </w:rPr>
        <w:t xml:space="preserve">16.投标文件</w:t>
      </w:r>
      <w:bookmarkEnd w:id="101"/>
      <w:r/>
      <w:bookmarkEnd w:id="102"/>
      <w:r/>
      <w:bookmarkEnd w:id="103"/>
      <w:r/>
      <w:bookmarkEnd w:id="104"/>
      <w:r>
        <w:rPr>
          <w:rFonts w:hint="eastAsia" w:ascii="方正仿宋_GBK" w:hAnsi="方正仿宋_GBK" w:eastAsia="方正仿宋_GBK" w:cs="方正仿宋_GBK"/>
          <w:b w:val="0"/>
          <w:bCs w:val="0"/>
          <w:sz w:val="32"/>
          <w:szCs w:val="32"/>
        </w:rPr>
        <w:t xml:space="preserve">的递交</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16.1</w:t>
      </w:r>
      <w:r>
        <w:rPr>
          <w:rFonts w:hint="eastAsia" w:ascii="方正仿宋_GBK" w:hAnsi="方正仿宋_GBK" w:eastAsia="方正仿宋_GBK" w:cs="方正仿宋_GBK"/>
          <w:bCs/>
          <w:sz w:val="32"/>
          <w:szCs w:val="32"/>
        </w:rPr>
        <w:t xml:space="preserve"> 电子投标文件的递交</w:t>
      </w:r>
      <w:r/>
    </w:p>
    <w:p>
      <w:pPr>
        <w:pStyle w:val="790"/>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投标人应当按照《操作手册》规定，在投标截止时间</w:t>
      </w:r>
      <w:r>
        <w:rPr>
          <w:rFonts w:hint="eastAsia" w:ascii="方正仿宋_GBK" w:hAnsi="方正仿宋_GBK" w:eastAsia="方正仿宋_GBK" w:cs="方正仿宋_GBK"/>
          <w:bCs/>
          <w:sz w:val="32"/>
          <w:szCs w:val="32"/>
        </w:rPr>
        <w:t xml:space="preserve">前制作</w:t>
      </w:r>
      <w:r>
        <w:rPr>
          <w:rFonts w:hint="eastAsia" w:ascii="方正仿宋_GBK" w:hAnsi="方正仿宋_GBK" w:eastAsia="方正仿宋_GBK" w:cs="方正仿宋_GBK"/>
          <w:bCs/>
          <w:sz w:val="32"/>
          <w:szCs w:val="32"/>
        </w:rPr>
        <w:t xml:space="preserve">并上传电子投标文件。</w:t>
      </w:r>
      <w:bookmarkStart w:id="105" w:name="_Toc513029226"/>
      <w:r/>
      <w:bookmarkStart w:id="106" w:name="_Toc20823298"/>
      <w:r/>
      <w:bookmarkStart w:id="107" w:name="_Toc16938542"/>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17.投标截止</w:t>
      </w:r>
      <w:bookmarkEnd w:id="105"/>
      <w:r/>
      <w:bookmarkEnd w:id="106"/>
      <w:r/>
      <w:bookmarkEnd w:id="107"/>
      <w:r>
        <w:rPr>
          <w:rFonts w:hint="eastAsia" w:ascii="方正仿宋_GBK" w:hAnsi="方正仿宋_GBK" w:eastAsia="方正仿宋_GBK" w:cs="方正仿宋_GBK"/>
          <w:bCs/>
          <w:sz w:val="32"/>
          <w:szCs w:val="32"/>
        </w:rPr>
        <w:t xml:space="preserve">时间</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17.1</w:t>
      </w:r>
      <w:r>
        <w:rPr>
          <w:rFonts w:hint="eastAsia" w:ascii="方正仿宋_GBK" w:hAnsi="方正仿宋_GBK" w:eastAsia="方正仿宋_GBK" w:cs="方正仿宋_GBK"/>
          <w:bCs/>
          <w:sz w:val="32"/>
          <w:szCs w:val="32"/>
        </w:rPr>
        <w:t xml:space="preserve"> 投标人上传电子投标文件的时间不得迟于招标公告中规定的投标截止时间。</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投标人应充分考虑到网络环境、网络带宽等风险因素，如因投标人自身原因造成的电子投标文件上传不成功的按照本招标文件第二章第25.1.2条规定做无效投标处理。</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17.2</w:t>
      </w:r>
      <w:r>
        <w:rPr>
          <w:rFonts w:hint="eastAsia" w:ascii="方正仿宋_GBK" w:hAnsi="方正仿宋_GBK" w:eastAsia="方正仿宋_GBK" w:cs="方正仿宋_GBK"/>
          <w:bCs/>
          <w:sz w:val="32"/>
          <w:szCs w:val="32"/>
        </w:rPr>
        <w:t xml:space="preserve"> 采购中心可以按照规定，通过修改招标文件酌情延长投标截止时间，在此情况下，投标人的所有权利和义务以及投标人受制的截止时间均应以延长后新的截止时间为准。</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108" w:name="_Toc20823299"/>
      <w:r/>
      <w:bookmarkStart w:id="109" w:name="_Toc513029227"/>
      <w:r/>
      <w:bookmarkStart w:id="110" w:name="_Toc16938543"/>
      <w:r>
        <w:rPr>
          <w:rFonts w:hint="eastAsia" w:ascii="方正仿宋_GBK" w:hAnsi="方正仿宋_GBK" w:eastAsia="方正仿宋_GBK" w:cs="方正仿宋_GBK"/>
          <w:b w:val="0"/>
          <w:bCs w:val="0"/>
          <w:sz w:val="32"/>
          <w:szCs w:val="32"/>
        </w:rPr>
        <w:t xml:space="preserve">18.投标文件</w:t>
      </w:r>
      <w:bookmarkEnd w:id="108"/>
      <w:r/>
      <w:bookmarkEnd w:id="109"/>
      <w:r/>
      <w:bookmarkEnd w:id="110"/>
      <w:r>
        <w:rPr>
          <w:rFonts w:hint="eastAsia" w:ascii="方正仿宋_GBK" w:hAnsi="方正仿宋_GBK" w:eastAsia="方正仿宋_GBK" w:cs="方正仿宋_GBK"/>
          <w:b w:val="0"/>
          <w:bCs w:val="0"/>
          <w:sz w:val="32"/>
          <w:szCs w:val="32"/>
        </w:rPr>
        <w:t xml:space="preserve">的拒收</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18.1</w:t>
      </w:r>
      <w:r>
        <w:rPr>
          <w:rFonts w:hint="eastAsia" w:ascii="方正仿宋_GBK" w:hAnsi="方正仿宋_GBK" w:eastAsia="方正仿宋_GBK" w:cs="方正仿宋_GBK"/>
          <w:bCs/>
          <w:sz w:val="32"/>
          <w:szCs w:val="32"/>
        </w:rPr>
        <w:t xml:space="preserve">采购中心拒绝接收在其规定的投标截止时间后上传的任何投标文件。</w:t>
      </w:r>
      <w:r/>
    </w:p>
    <w:p>
      <w:pPr>
        <w:pStyle w:val="771"/>
        <w:ind w:firstLine="640"/>
        <w:spacing w:before="0" w:after="0" w:line="560" w:lineRule="exact"/>
        <w:rPr>
          <w:rFonts w:ascii="方正仿宋_GBK" w:hAnsi="方正仿宋_GBK" w:eastAsia="方正仿宋_GBK" w:cs="方正仿宋_GBK"/>
          <w:b w:val="0"/>
          <w:bCs w:val="0"/>
          <w:sz w:val="32"/>
          <w:szCs w:val="32"/>
        </w:rPr>
      </w:pPr>
      <w:r/>
      <w:bookmarkStart w:id="111" w:name="_Toc16938544"/>
      <w:r/>
      <w:bookmarkStart w:id="112" w:name="_Toc20823300"/>
      <w:r/>
      <w:bookmarkStart w:id="113" w:name="_Toc513029228"/>
      <w:r>
        <w:rPr>
          <w:rFonts w:hint="eastAsia" w:ascii="方正仿宋_GBK" w:hAnsi="方正仿宋_GBK" w:eastAsia="方正仿宋_GBK" w:cs="方正仿宋_GBK"/>
          <w:b w:val="0"/>
          <w:bCs w:val="0"/>
          <w:sz w:val="32"/>
          <w:szCs w:val="32"/>
        </w:rPr>
        <w:t xml:space="preserve">19.投标文件的撤回和修改</w:t>
      </w:r>
      <w:bookmarkEnd w:id="111"/>
      <w:r/>
      <w:bookmarkEnd w:id="112"/>
      <w:r/>
      <w:bookmarkEnd w:id="113"/>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投标文件的撤回</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19.1.1 电子投标文件的撤回</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投标人可在投标截止时间前，撤回其电子投标文件，具体操作方法见《操作手册》。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19.1.2 投标人撤回电子投标文件，则认为其不再参与本项目投标活动。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投标文件的修改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19.2.1投标人可在投标截止时间前，对其电子投标文件进行修改，具体操作方法见《操作手册》。</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19.2.2</w:t>
      </w:r>
      <w:r>
        <w:rPr>
          <w:rFonts w:hint="eastAsia" w:ascii="方正仿宋_GBK" w:hAnsi="方正仿宋_GBK" w:eastAsia="方正仿宋_GBK" w:cs="方正仿宋_GBK"/>
          <w:bCs/>
          <w:sz w:val="32"/>
          <w:szCs w:val="32"/>
        </w:rPr>
        <w:t xml:space="preserve"> 在投标截止时间之后，投标人不得对其电子投标文件作任何修改。</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19.3</w:t>
      </w:r>
      <w:r>
        <w:rPr>
          <w:rFonts w:hint="eastAsia" w:ascii="方正仿宋_GBK" w:hAnsi="方正仿宋_GBK" w:eastAsia="方正仿宋_GBK" w:cs="方正仿宋_GBK"/>
          <w:bCs/>
          <w:sz w:val="32"/>
          <w:szCs w:val="32"/>
        </w:rPr>
        <w:t xml:space="preserve"> 在投标截止时间至招标文件中规定的投标有效期满之间的这段时间内，投标人不得撤回其投标。</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14" w:name="_Toc20823301"/>
      <w:r/>
      <w:bookmarkStart w:id="115" w:name="_Toc120614218"/>
      <w:r/>
      <w:bookmarkStart w:id="116" w:name="_Toc16938545"/>
      <w:r/>
      <w:bookmarkStart w:id="117" w:name="_Toc513029229"/>
      <w:r>
        <w:rPr>
          <w:rFonts w:hint="eastAsia" w:ascii="方正黑体_GBK" w:hAnsi="方正黑体_GBK" w:eastAsia="方正黑体_GBK" w:cs="方正黑体_GBK"/>
          <w:color w:val="000000"/>
          <w:sz w:val="32"/>
          <w:szCs w:val="32"/>
        </w:rPr>
        <w:t xml:space="preserve">五、开标与评标</w:t>
      </w:r>
      <w:bookmarkEnd w:id="114"/>
      <w:r/>
      <w:bookmarkEnd w:id="115"/>
      <w:r/>
      <w:bookmarkEnd w:id="116"/>
      <w:r/>
      <w:bookmarkEnd w:id="117"/>
      <w:r/>
      <w:r/>
    </w:p>
    <w:p>
      <w:pPr>
        <w:ind w:firstLine="640"/>
        <w:spacing w:line="560" w:lineRule="exact"/>
        <w:rPr>
          <w:rFonts w:ascii="方正仿宋_GBK" w:hAnsi="方正仿宋_GBK" w:eastAsia="方正仿宋_GBK" w:cs="方正仿宋_GBK"/>
          <w:sz w:val="32"/>
          <w:szCs w:val="32"/>
        </w:rPr>
      </w:pPr>
      <w:r/>
      <w:bookmarkStart w:id="118" w:name="_Toc20823302"/>
      <w:r/>
      <w:bookmarkStart w:id="119" w:name="_Toc16938546"/>
      <w:r/>
      <w:bookmarkStart w:id="120" w:name="_Toc513029230"/>
      <w:r>
        <w:rPr>
          <w:rFonts w:hint="eastAsia" w:ascii="方正仿宋_GBK" w:hAnsi="方正仿宋_GBK" w:eastAsia="方正仿宋_GBK" w:cs="方正仿宋_GBK"/>
          <w:sz w:val="32"/>
          <w:szCs w:val="32"/>
        </w:rPr>
        <w:t xml:space="preserve">20.开标</w:t>
      </w:r>
      <w:bookmarkEnd w:id="118"/>
      <w:r/>
      <w:bookmarkEnd w:id="119"/>
      <w:r/>
      <w:bookmarkEnd w:id="120"/>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采购中心将在招标公告中规定的时间和地点组织公开开标。投标人应当按照《操作手册》规定，参加开标活动和在苏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系统规定的时间内对投标文件进行解密。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20.2开标仪式由采购中心组织。苏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系统将自动对项目进行开标，并宣布各投标人名称和投标价格。</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20.3投标人在开标过程中涉及到的投标文件解密、开标结果确认等工作，应按照《操作手册》规定执行。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20.4投标人如果对开标过程和开标记录有疑义，应当根据《操作手册》规定提出，如苏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系统中《开标记录表》宣布后5分钟内未提出的，视同认可开标结果。</w:t>
      </w:r>
      <w:r/>
    </w:p>
    <w:p>
      <w:pPr>
        <w:ind w:firstLine="640"/>
        <w:spacing w:line="560" w:lineRule="exact"/>
        <w:rPr>
          <w:rFonts w:ascii="方正仿宋_GBK" w:hAnsi="方正仿宋_GBK" w:eastAsia="方正仿宋_GBK" w:cs="方正仿宋_GBK"/>
          <w:sz w:val="32"/>
          <w:szCs w:val="32"/>
        </w:rPr>
      </w:pPr>
      <w:r/>
      <w:bookmarkStart w:id="121" w:name="_Toc513029231"/>
      <w:r/>
      <w:bookmarkStart w:id="122" w:name="_Toc20823303"/>
      <w:r/>
      <w:bookmarkStart w:id="123" w:name="_Toc16938547"/>
      <w:r>
        <w:rPr>
          <w:rFonts w:hint="eastAsia" w:ascii="方正仿宋_GBK" w:hAnsi="方正仿宋_GBK" w:eastAsia="方正仿宋_GBK" w:cs="方正仿宋_GBK"/>
          <w:sz w:val="32"/>
          <w:szCs w:val="32"/>
        </w:rPr>
        <w:t xml:space="preserve">21.评标委员会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开标后，采购中心将立即组织评标委员会进行评标。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评标委员会由采购人代表和有关技术、经济等方面的专家组成，</w:t>
      </w:r>
      <w:r>
        <w:rPr>
          <w:rFonts w:hint="eastAsia" w:ascii="方正仿宋_GBK" w:hAnsi="方正仿宋_GBK" w:eastAsia="方正仿宋_GBK" w:cs="方正仿宋_GBK"/>
          <w:sz w:val="32"/>
          <w:szCs w:val="32"/>
        </w:rPr>
        <w:t xml:space="preserve">且人员</w:t>
      </w:r>
      <w:r>
        <w:rPr>
          <w:rFonts w:hint="eastAsia" w:ascii="方正仿宋_GBK" w:hAnsi="方正仿宋_GBK" w:eastAsia="方正仿宋_GBK" w:cs="方正仿宋_GBK"/>
          <w:sz w:val="32"/>
          <w:szCs w:val="32"/>
        </w:rPr>
        <w:t xml:space="preserve">构成符合政府采购有关规定。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21.3评标委员会独立工作，负责评审所有投标文件并确定中标</w:t>
      </w:r>
      <w:r>
        <w:rPr>
          <w:rFonts w:hint="eastAsia" w:ascii="方正仿宋_GBK" w:hAnsi="方正仿宋_GBK" w:eastAsia="方正仿宋_GBK" w:cs="方正仿宋_GBK"/>
          <w:sz w:val="32"/>
          <w:szCs w:val="32"/>
        </w:rPr>
        <w:t xml:space="preserve">侯选人</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22.评标过程的保密与公正</w:t>
      </w:r>
      <w:bookmarkEnd w:id="121"/>
      <w:bookmarkEnd w:id="122"/>
      <w:bookmarkEnd w:id="123"/>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22.1凡是与审查、澄清、评价和比较投标的有关资料以及授标建议等，采购人、评委、采购中心均不得向投标人或与评标无关的其他人员透露。</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22.2在评标过程中，投标人不得以任何行为影响评标过程，否则其投标文件将被作为无效投标文件。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 采购中心和评标委员会不向未中标的投标人解释未中标原因，也不公布评标过程中的相关细节。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 采用综合评分法的项目，未中标的投标人可于中标结果公告期限届满之日起通过苏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系统查看自己的评审得分及排序情况。</w:t>
      </w:r>
      <w:r/>
    </w:p>
    <w:p>
      <w:pPr>
        <w:ind w:firstLine="640"/>
        <w:spacing w:line="560" w:lineRule="exact"/>
        <w:rPr>
          <w:rFonts w:ascii="方正仿宋_GBK" w:hAnsi="方正仿宋_GBK" w:eastAsia="方正仿宋_GBK" w:cs="方正仿宋_GBK"/>
          <w:sz w:val="32"/>
          <w:szCs w:val="32"/>
        </w:rPr>
      </w:pPr>
      <w:r/>
      <w:bookmarkStart w:id="124" w:name="_Toc16938548"/>
      <w:r/>
      <w:bookmarkStart w:id="125" w:name="_Toc513029232"/>
      <w:r/>
      <w:bookmarkStart w:id="126" w:name="_Toc20823304"/>
      <w:r>
        <w:rPr>
          <w:rFonts w:hint="eastAsia" w:ascii="方正仿宋_GBK" w:hAnsi="方正仿宋_GBK" w:eastAsia="方正仿宋_GBK" w:cs="方正仿宋_GBK"/>
          <w:sz w:val="32"/>
          <w:szCs w:val="32"/>
        </w:rPr>
        <w:t xml:space="preserve">23.投标文件的澄清</w:t>
      </w:r>
      <w:bookmarkEnd w:id="124"/>
      <w:r/>
      <w:bookmarkEnd w:id="125"/>
      <w:r/>
      <w:bookmarkEnd w:id="126"/>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23.1评标期间，评标委员会对投标文件中含义不明确、同类问题表述不一致或者有明显文字和计算错误的内容 ，有权要求投标人</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必要的澄清、说明或者补正。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投标人的澄清、说明或者补正不得超出投标文件的范围或者改变投标文件的实质性内容。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评标委员会并非对每个投标人都做澄清要求。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23.2需要供应商进行澄清、说明和补正的，评标委员会将通过苏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系统向供应商发出“澄清要求函”，接到“澄清要求函”的投标人应当按照要求在苏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系统中提交“澄清响应函”并加盖CA电子公章。澄清、说明和补正的内容作为投标文件的补充部分，具体操作方式见《操作手册》。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23.3 接到评标委员会澄清、说明和补正要求的投标人如未按规定做出澄清、说明和补正，其风险由投标人自行承担。</w:t>
      </w:r>
      <w:r/>
    </w:p>
    <w:p>
      <w:pPr>
        <w:ind w:firstLine="640"/>
        <w:spacing w:line="560" w:lineRule="exact"/>
        <w:rPr>
          <w:rFonts w:ascii="方正仿宋_GBK" w:hAnsi="方正仿宋_GBK" w:eastAsia="方正仿宋_GBK" w:cs="方正仿宋_GBK"/>
          <w:sz w:val="32"/>
          <w:szCs w:val="32"/>
        </w:rPr>
      </w:pPr>
      <w:r/>
      <w:bookmarkStart w:id="127" w:name="_Toc513029233"/>
      <w:r/>
      <w:bookmarkStart w:id="128" w:name="_Toc16938549"/>
      <w:r/>
      <w:bookmarkStart w:id="129" w:name="_Toc20823305"/>
      <w:r>
        <w:rPr>
          <w:rFonts w:hint="eastAsia" w:ascii="方正仿宋_GBK" w:hAnsi="方正仿宋_GBK" w:eastAsia="方正仿宋_GBK" w:cs="方正仿宋_GBK"/>
          <w:sz w:val="32"/>
          <w:szCs w:val="32"/>
        </w:rPr>
        <w:t xml:space="preserve">24.对投标文件的初审</w:t>
      </w:r>
      <w:bookmarkEnd w:id="127"/>
      <w:r/>
      <w:bookmarkEnd w:id="128"/>
      <w:r/>
      <w:bookmarkEnd w:id="129"/>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24.1投标文件初审分为资格审查和符合性审查。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24.1.1 资格审查：依据法律法规和招标文件的规定，由采购人对投标文件中的资格证明文件进行审查。资格审查的结论，采购人以书面形式向评标委员会进行反馈。</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采购人在进行资格性审查的同时，将在“信用中国”网站（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）查询投标人的信用记录，以确定投标人是否具备投标资格,查询结果留存并归档。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24.1.2 符合性审查：依据招标文件的规定，由评标委员会从投标文件的有效性、完整性和对招标文件的响应程度进行审查，以确定是否对招标文件的实质性要求</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24.1.3 未通过资格审查或符合性审查的投标人，采购中心将在苏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系统中告知未通过资格审查或符合性审查的原因，评标结束后，采购中心将不再告知未通过资格审查和符合性审查的原因。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结论。评委决定投标文件的</w:t>
      </w:r>
      <w:r>
        <w:rPr>
          <w:rFonts w:hint="eastAsia" w:ascii="方正仿宋_GBK" w:hAnsi="方正仿宋_GBK" w:eastAsia="方正仿宋_GBK" w:cs="方正仿宋_GBK"/>
          <w:sz w:val="32"/>
          <w:szCs w:val="32"/>
        </w:rPr>
        <w:t xml:space="preserve">响应性只根据</w:t>
      </w:r>
      <w:r>
        <w:rPr>
          <w:rFonts w:hint="eastAsia" w:ascii="方正仿宋_GBK" w:hAnsi="方正仿宋_GBK" w:eastAsia="方正仿宋_GBK" w:cs="方正仿宋_GBK"/>
          <w:sz w:val="32"/>
          <w:szCs w:val="32"/>
        </w:rPr>
        <w:t xml:space="preserve">投标文件本身的内容，而不寻求外部的证据。</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24.3如果投标文件实质上没有响应招标文件的要求，评标委员会将予以拒绝，投标人不得通过修改或撤销不符合要求的偏离或保留而使其投标成为实质性响应的投标。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24.4评标委员会将对确定为实质性响应的投标进行进一步审核，确定其是否有计算上或累加上的算术错误，修正错误的原则如下：</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（1）投标文件中开标一览表内容与投标文件中相应内容不一致的，以开标一览表为准。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（2）大写金额和小写金额不一致的，以大写金额为准。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（3）单价金额小数点或者百分比有明显错位的，以开标一览表的总价为准，并修改单价。</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（4）总价金额与按单价汇总金额不一致的，以单价金额计算结果为准。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同时出现两种以上错误的，按照前款规定的顺序修正。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24.5 评标委员会将按上述修正错误的方法调整投标文件中的投标报价，并通过苏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系统告知投标人，调整后的价格应对投标人具有约束力。如果投标人不接受修正后的价格，则其投标将被拒绝。</w:t>
      </w:r>
      <w:r/>
    </w:p>
    <w:p>
      <w:pPr>
        <w:ind w:firstLine="640"/>
        <w:spacing w:line="560" w:lineRule="exact"/>
        <w:rPr>
          <w:rFonts w:ascii="方正仿宋_GBK" w:hAnsi="方正仿宋_GBK" w:eastAsia="方正仿宋_GBK" w:cs="方正仿宋_GBK"/>
          <w:sz w:val="32"/>
          <w:szCs w:val="32"/>
        </w:rPr>
      </w:pPr>
      <w:r/>
      <w:bookmarkStart w:id="130" w:name="_Toc20823306"/>
      <w:r/>
      <w:bookmarkStart w:id="131" w:name="_Toc16938550"/>
      <w:r/>
      <w:bookmarkStart w:id="132" w:name="_Toc513029234"/>
      <w:r>
        <w:rPr>
          <w:rFonts w:hint="eastAsia" w:ascii="方正仿宋_GBK" w:hAnsi="方正仿宋_GBK" w:eastAsia="方正仿宋_GBK" w:cs="方正仿宋_GBK"/>
          <w:sz w:val="32"/>
          <w:szCs w:val="32"/>
        </w:rPr>
        <w:t xml:space="preserve">24.6投标人在开、评标全过程中应保持通讯畅通，及时登录苏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系统查阅、答复相关信息，并安排专人与采购中心及评标委员会联系。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 异常低价投标审查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24.7.1 评标过程中出现下列情形之一的，评标委员会应当启动异常低价投标审查程序：</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（1）投标报价低于全部通过符合性审查供应商投标报价平均值50%的，即投标报价&lt;全部通过符合性审查供应商投标报价平均值×50%；</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（2）投标报价低于通过符合性审查的次低报价供应商投标报价50%的，即投标报价&lt;通过符合性审查的次低报价供应商投标报价×50%；</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（3）投标报价低于采购项目最高限价45%的，即投标报价&lt;采购项目最高限价×45%；</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（4）评标委员会基于专业判断，认为供应商报价过低，有可能影响产品质量或者不能诚信履约的其他情形。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24.7.2 评标委员会启动异常低价投标审查后，属于前述第（1）项至第（4）项情形的，应当要求相关供应商在评审现场合理的时间内对投标价格</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w:t>
      </w:r>
      <w:bookmarkEnd w:id="130"/>
      <w:r/>
      <w:bookmarkEnd w:id="131"/>
      <w:r/>
      <w:bookmarkEnd w:id="132"/>
      <w:r>
        <w:rPr>
          <w:rFonts w:hint="eastAsia" w:ascii="方正仿宋_GBK" w:hAnsi="方正仿宋_GBK" w:eastAsia="方正仿宋_GBK" w:cs="方正仿宋_GBK"/>
          <w:sz w:val="32"/>
          <w:szCs w:val="32"/>
        </w:rPr>
        <w:t xml:space="preserve">.无效投标条款</w:t>
      </w:r>
      <w:r>
        <w:rPr>
          <w:rFonts w:hint="eastAsia" w:ascii="方正仿宋_GBK" w:hAnsi="方正仿宋_GBK" w:eastAsia="方正仿宋_GBK" w:cs="方正仿宋_GBK"/>
          <w:sz w:val="32"/>
          <w:szCs w:val="32"/>
        </w:rPr>
        <w:t xml:space="preserve">和废标条款</w:t>
      </w:r>
      <w:r/>
    </w:p>
    <w:p>
      <w:pPr>
        <w:ind w:firstLine="640"/>
        <w:spacing w:line="560" w:lineRule="exact"/>
        <w:rPr>
          <w:rFonts w:ascii="方正仿宋_GBK" w:hAnsi="方正仿宋_GBK" w:eastAsia="方正仿宋_GBK" w:cs="方正仿宋_GBK"/>
          <w:sz w:val="32"/>
          <w:szCs w:val="32"/>
        </w:rPr>
      </w:pPr>
      <w:r/>
      <w:bookmarkStart w:id="133" w:name="_Toc20823307"/>
      <w:r/>
      <w:bookmarkStart w:id="134" w:name="_Toc513029235"/>
      <w:r/>
      <w:bookmarkStart w:id="135" w:name="_Toc16938551"/>
      <w:r>
        <w:rPr>
          <w:rFonts w:hint="eastAsia" w:ascii="方正仿宋_GBK" w:hAnsi="方正仿宋_GBK" w:eastAsia="方正仿宋_GBK" w:cs="方正仿宋_GBK"/>
          <w:sz w:val="32"/>
          <w:szCs w:val="32"/>
        </w:rPr>
        <w:t xml:space="preserve">25.1无效投标条款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 投标人在苏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系统规定的时间内未成功解密电子投标文件的。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25.1.2 投标人未按照招标文件要求上传电子投标文件的。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25.1.3 投标人同一采购包提交两个（含两个）以上不同的投标报价的。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25.1.4投标人不具备招标文件中规定资格要求的。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25.1.5投标人的报价超过了采购预算或最高限价的。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25.1.6未通过符合性审查的。</w:t>
      </w:r>
      <w:r/>
    </w:p>
    <w:p>
      <w:pPr>
        <w:ind w:firstLine="640"/>
        <w:spacing w:line="560" w:lineRule="exact"/>
        <w:rPr>
          <w:rFonts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25.1.7不符合招标文件中规定的实质性要求的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25.1.8 投标人被 “信用中国”网站（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25.1.9 投标文件含有采购人不能接受的附加条件的。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25.1.10评标委员会按照本招标文件规定对投标人进行异常低价投标审查后，认为投标人不能证明其报价合理性的。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25.1.11 投标文件未按照招标文件要求加盖CA电子公章的。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25.1.12 投标人所提供的服务不符合招标文件中所列国家强制性标准的。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25.1.13其他法律、法规及本招标文件规定的属无效投标的情形。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w:t>
      </w:r>
      <w:r>
        <w:rPr>
          <w:rFonts w:hint="eastAsia" w:ascii="方正仿宋_GBK" w:hAnsi="方正仿宋_GBK" w:eastAsia="方正仿宋_GBK" w:cs="方正仿宋_GBK"/>
          <w:sz w:val="32"/>
          <w:szCs w:val="32"/>
        </w:rPr>
        <w:t xml:space="preserve">废标条款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25.2.1符合专业条件的供应商或者对招标文件作实质响应的供应商不足三家的。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25.2.2出现影响采购公正的违法、违规行为的。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25.2.3因重大变故，采购任务取消的。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25.2.4评标委员会认定招标文件存在歧义、重大缺陷导致评审工作无法进行。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25.2.5 因苏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系统故障原因造成开标不成功的。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 投标截止时间结束后参加投标的供应商不足三家的处理：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25.3.1如出现投标截止时间结束后参加投标的供应商或者在评标期间对招标文件做出实质响应的供应商不足三家情况，按政府采购相关规定执行。</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36" w:name="_Toc120614219"/>
      <w:r>
        <w:rPr>
          <w:rFonts w:hint="eastAsia" w:ascii="方正黑体_GBK" w:hAnsi="方正黑体_GBK" w:eastAsia="方正黑体_GBK" w:cs="方正黑体_GBK"/>
          <w:color w:val="000000"/>
          <w:sz w:val="32"/>
          <w:szCs w:val="32"/>
        </w:rPr>
        <w:t xml:space="preserve">六、</w:t>
      </w:r>
      <w:bookmarkEnd w:id="133"/>
      <w:r/>
      <w:bookmarkEnd w:id="134"/>
      <w:r/>
      <w:bookmarkEnd w:id="135"/>
      <w:r>
        <w:rPr>
          <w:rFonts w:hint="eastAsia" w:ascii="方正黑体_GBK" w:hAnsi="方正黑体_GBK" w:eastAsia="方正黑体_GBK" w:cs="方正黑体_GBK"/>
          <w:color w:val="000000"/>
          <w:sz w:val="32"/>
          <w:szCs w:val="32"/>
        </w:rPr>
        <w:t xml:space="preserve">定标</w:t>
      </w:r>
      <w:bookmarkEnd w:id="136"/>
      <w:r/>
      <w:r/>
    </w:p>
    <w:p>
      <w:pPr>
        <w:ind w:firstLine="640"/>
        <w:spacing w:line="560" w:lineRule="exact"/>
        <w:rPr>
          <w:rFonts w:ascii="方正仿宋_GBK" w:hAnsi="方正仿宋_GBK" w:eastAsia="方正仿宋_GBK" w:cs="方正仿宋_GBK"/>
          <w:sz w:val="32"/>
          <w:szCs w:val="32"/>
        </w:rPr>
      </w:pPr>
      <w:r/>
      <w:bookmarkStart w:id="137" w:name="_Toc513029238"/>
      <w:r/>
      <w:bookmarkStart w:id="138" w:name="_Toc20823310"/>
      <w:r/>
      <w:bookmarkStart w:id="139" w:name="_Toc16938554"/>
      <w:r>
        <w:rPr>
          <w:rFonts w:hint="eastAsia" w:ascii="方正仿宋_GBK" w:hAnsi="方正仿宋_GBK" w:eastAsia="方正仿宋_GBK" w:cs="方正仿宋_GBK"/>
          <w:sz w:val="32"/>
          <w:szCs w:val="32"/>
        </w:rPr>
        <w:t xml:space="preserve">26</w:t>
      </w:r>
      <w:bookmarkEnd w:id="137"/>
      <w:r>
        <w:rPr>
          <w:rFonts w:hint="eastAsia" w:ascii="方正仿宋_GBK" w:hAnsi="方正仿宋_GBK" w:eastAsia="方正仿宋_GBK" w:cs="方正仿宋_GBK"/>
          <w:sz w:val="32"/>
          <w:szCs w:val="32"/>
        </w:rPr>
        <w:t xml:space="preserve">.确定</w:t>
      </w:r>
      <w:bookmarkEnd w:id="138"/>
      <w:r/>
      <w:bookmarkEnd w:id="139"/>
      <w:r>
        <w:rPr>
          <w:rFonts w:hint="eastAsia" w:ascii="方正仿宋_GBK" w:hAnsi="方正仿宋_GBK" w:eastAsia="方正仿宋_GBK" w:cs="方正仿宋_GBK"/>
          <w:sz w:val="32"/>
          <w:szCs w:val="32"/>
        </w:rPr>
        <w:t xml:space="preserve">中标单位</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26.1中标候选人的选取原则和数量见招标文件第五章规定。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26.2采购人应根据评标委员会推荐的中标候选人确定中标供应商。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 采购中心将在“江苏政府采购网”发布中标公告，公告期限为1个工作日。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 若有充分证据证明，中标供应</w:t>
      </w:r>
      <w:r>
        <w:rPr>
          <w:rFonts w:hint="eastAsia" w:ascii="方正仿宋_GBK" w:hAnsi="方正仿宋_GBK" w:eastAsia="方正仿宋_GBK" w:cs="方正仿宋_GBK"/>
          <w:sz w:val="32"/>
          <w:szCs w:val="32"/>
        </w:rPr>
        <w:t xml:space="preserve">商出现</w:t>
      </w:r>
      <w:r>
        <w:rPr>
          <w:rFonts w:hint="eastAsia" w:ascii="方正仿宋_GBK" w:hAnsi="方正仿宋_GBK" w:eastAsia="方正仿宋_GBK" w:cs="方正仿宋_GBK"/>
          <w:sz w:val="32"/>
          <w:szCs w:val="32"/>
        </w:rPr>
        <w:t xml:space="preserve">下列情况之一的，一经查实，将被取消中标资格：</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26.4.1提供虚假材料谋取中标的。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26.4.2向采购人、采购中心行贿或者提供其他不正当利益的。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26.4.3属于本文件规定的无效条件，但在评标过程中又未被评标委员会发现的。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26.4.4与采购人或者其他供应商恶意串通的。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26.4.5采取不正当手段诋毁、排挤其他供应商的。</w:t>
      </w:r>
      <w:r/>
    </w:p>
    <w:p>
      <w:pPr>
        <w:ind w:firstLine="640"/>
        <w:spacing w:line="560" w:lineRule="exact"/>
        <w:rPr>
          <w:rFonts w:ascii="方正仿宋_GBK" w:hAnsi="方正仿宋_GBK" w:eastAsia="方正仿宋_GBK" w:cs="方正仿宋_GBK"/>
          <w:sz w:val="32"/>
          <w:szCs w:val="32"/>
        </w:rPr>
      </w:pPr>
      <w:r/>
      <w:bookmarkStart w:id="140" w:name="_Toc200451960"/>
      <w:r>
        <w:rPr>
          <w:rFonts w:hint="eastAsia" w:ascii="方正仿宋_GBK" w:hAnsi="方正仿宋_GBK" w:eastAsia="方正仿宋_GBK" w:cs="方正仿宋_GBK"/>
          <w:sz w:val="32"/>
          <w:szCs w:val="32"/>
        </w:rPr>
        <w:t xml:space="preserve">26.5有下列情形之一的，视为投标人串通投标，投标无效：</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26.5.1不同投标人的投标文件由同一单位或者个人编制。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26.5.2不同投标人委托同一单位或者个人办理投标事宜。</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26.5.3 不同投标人的投标文件载明的项目管理成员或者联系人员为同一人。</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26.5.4不同投标人的投标文件异常一致或者投标报价呈规律性差异。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27.质疑处理</w:t>
      </w:r>
      <w:bookmarkEnd w:id="140"/>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27.1 提出质疑的供应商应当是参与所质疑项目采购活动的供应商。潜在供应</w:t>
      </w:r>
      <w:r>
        <w:rPr>
          <w:rFonts w:hint="eastAsia" w:ascii="方正仿宋_GBK" w:hAnsi="方正仿宋_GBK" w:eastAsia="方正仿宋_GBK" w:cs="方正仿宋_GBK"/>
          <w:sz w:val="32"/>
          <w:szCs w:val="32"/>
        </w:rPr>
        <w:t xml:space="preserve">商依法</w:t>
      </w:r>
      <w:r>
        <w:rPr>
          <w:rFonts w:hint="eastAsia" w:ascii="方正仿宋_GBK" w:hAnsi="方正仿宋_GBK" w:eastAsia="方正仿宋_GBK" w:cs="方正仿宋_GBK"/>
          <w:sz w:val="32"/>
          <w:szCs w:val="32"/>
        </w:rPr>
        <w:t xml:space="preserve">获取其可质疑的采购文件的，可以对采购文件提出质疑。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27.2.1对可以质疑的采购文件提出质疑的，为收到采购文件之日或者采购文件公告期限届满之日；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27.2.2对采购过程提出质疑的，为各采购程序环节结束之日；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27.2.3对中标或者成交结果提出质疑的，为中标或者成交结果公告期限届满之日。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答复。</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27.3质疑</w:t>
      </w:r>
      <w:r>
        <w:rPr>
          <w:rFonts w:hint="eastAsia" w:ascii="方正仿宋_GBK" w:hAnsi="方正仿宋_GBK" w:eastAsia="方正仿宋_GBK" w:cs="方正仿宋_GBK"/>
          <w:sz w:val="32"/>
          <w:szCs w:val="32"/>
        </w:rPr>
        <w:t xml:space="preserve">函必须</w:t>
      </w:r>
      <w:r>
        <w:rPr>
          <w:rFonts w:hint="eastAsia" w:ascii="方正仿宋_GBK" w:hAnsi="方正仿宋_GBK" w:eastAsia="方正仿宋_GBK" w:cs="方正仿宋_GBK"/>
          <w:sz w:val="32"/>
          <w:szCs w:val="32"/>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采购人及采购中心只接收以纸质原件形式送达的质疑,建议供应商尽量通过邮寄方式提交质疑（采购人和采购中心不接受无快递</w:t>
      </w:r>
      <w:r>
        <w:rPr>
          <w:rFonts w:hint="eastAsia" w:ascii="方正魏碑_GBK" w:hAnsi="方正魏碑_GBK" w:eastAsia="方正魏碑_GBK" w:cs="方正魏碑_GBK"/>
          <w:color w:val="000000"/>
          <w:sz w:val="32"/>
          <w:szCs w:val="32"/>
        </w:rPr>
        <w:t xml:space="preserve">运单号</w:t>
      </w:r>
      <w:r>
        <w:rPr>
          <w:rFonts w:hint="eastAsia" w:ascii="方正魏碑_GBK" w:hAnsi="方正魏碑_GBK" w:eastAsia="方正魏碑_GBK" w:cs="方正魏碑_GBK"/>
          <w:color w:val="000000"/>
          <w:sz w:val="32"/>
          <w:szCs w:val="32"/>
        </w:rPr>
        <w:t xml:space="preserve">的快递）。</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采购人质疑接收人及联系方式见招标文件第一章。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 以下情形的质疑不予受理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 内容不符合《政府采购质疑和投诉办法》第十二条规定的质疑。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 超出政府采购法定期限的质疑。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以传真、电子邮件等方式递交的非原件形式的质疑。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 未参加投标活动的供应商或在投标活动中自身权益未受到损害的供应商所提出的质疑。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27.5.5供应商组成联合体参加投标，联合体中任何一方或多方未按要求签字、盖章、加盖公章的质疑。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28.中标通知书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28.l 中标结果确定后，采购中心将向中标供应商发出中标通知书。请中标供应商在中标结果公告届满之日起30日内,使用CA数字证书登录苏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系统及时下载中标通知书。因系统存储空间有限，自中标结果公告届满之日起30日后，苏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系统不再保证提供下载中标通知书服务,因未及时下载而造成的不利后果由中标供应商自行承担。</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41" w:name="_Toc120614220"/>
      <w:r/>
      <w:bookmarkStart w:id="142" w:name="_Toc513029236"/>
      <w:r/>
      <w:bookmarkStart w:id="143" w:name="_Toc16938552"/>
      <w:r/>
      <w:bookmarkStart w:id="144" w:name="_Toc20823308"/>
      <w:r>
        <w:rPr>
          <w:rFonts w:hint="eastAsia" w:ascii="方正黑体_GBK" w:hAnsi="方正黑体_GBK" w:eastAsia="方正黑体_GBK" w:cs="方正黑体_GBK"/>
          <w:color w:val="000000"/>
          <w:sz w:val="32"/>
          <w:szCs w:val="32"/>
        </w:rPr>
        <w:t xml:space="preserve">七、授予合同</w:t>
      </w:r>
      <w:bookmarkEnd w:id="141"/>
      <w:r/>
      <w:r/>
    </w:p>
    <w:p>
      <w:pPr>
        <w:ind w:firstLine="640"/>
        <w:spacing w:line="560" w:lineRule="exact"/>
        <w:rPr>
          <w:rFonts w:ascii="方正仿宋_GBK" w:hAnsi="方正仿宋_GBK" w:eastAsia="方正仿宋_GBK" w:cs="方正仿宋_GBK"/>
          <w:sz w:val="32"/>
          <w:szCs w:val="32"/>
        </w:rPr>
      </w:pPr>
      <w:r/>
      <w:bookmarkStart w:id="145" w:name="_Toc16938553"/>
      <w:r/>
      <w:bookmarkStart w:id="146" w:name="_Toc20823309"/>
      <w:r/>
      <w:bookmarkStart w:id="147" w:name="_Toc513029237"/>
      <w:r/>
      <w:bookmarkEnd w:id="142"/>
      <w:r/>
      <w:bookmarkEnd w:id="143"/>
      <w:r/>
      <w:bookmarkEnd w:id="144"/>
      <w:r>
        <w:rPr>
          <w:rFonts w:hint="eastAsia" w:ascii="方正仿宋_GBK" w:hAnsi="方正仿宋_GBK" w:eastAsia="方正仿宋_GBK" w:cs="方正仿宋_GBK"/>
          <w:sz w:val="32"/>
          <w:szCs w:val="32"/>
        </w:rPr>
        <w:t xml:space="preserve">29.签订合同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29.l中标供应商应当在中标通知书发出之日起三十日内，按照招标文件确定的事项与采购人签订政府采购合同。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 招标文件、中标供应商的投标文件及招标过程中有关澄清、承诺文件均应作为合同附件。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30.服务（包含与服务相关的货物）的追加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640"/>
        <w:spacing w:line="560" w:lineRule="exact"/>
        <w:rPr>
          <w:rFonts w:ascii="方正仿宋_GBK" w:hAnsi="方正仿宋_GBK" w:eastAsia="方正仿宋_GBK" w:cs="方正仿宋_GBK"/>
          <w:sz w:val="32"/>
          <w:szCs w:val="32"/>
        </w:rPr>
      </w:pPr>
      <w:r/>
      <w:bookmarkStart w:id="148" w:name="_Toc479757207"/>
      <w:r/>
      <w:bookmarkStart w:id="149" w:name="_Toc16938558"/>
      <w:r/>
      <w:bookmarkStart w:id="150" w:name="_Toc513029242"/>
      <w:r/>
      <w:bookmarkStart w:id="151" w:name="_Toc20823314"/>
      <w:r/>
      <w:bookmarkStart w:id="152" w:name="_Toc120614221"/>
      <w:r/>
      <w:bookmarkEnd w:id="145"/>
      <w:r/>
      <w:bookmarkEnd w:id="146"/>
      <w:r/>
      <w:bookmarkEnd w:id="147"/>
      <w:r>
        <w:rPr>
          <w:rFonts w:hint="eastAsia" w:ascii="方正仿宋_GBK" w:hAnsi="方正仿宋_GBK" w:eastAsia="方正仿宋_GBK" w:cs="方正仿宋_GBK"/>
          <w:sz w:val="32"/>
          <w:szCs w:val="32"/>
        </w:rPr>
        <w:t xml:space="preserve">31.政府采购履约资金扶持政策</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951"/>
        <w:spacing w:line="400" w:lineRule="exact"/>
        <w:rPr>
          <w:rFonts w:ascii="宋体" w:hAnsi="宋体"/>
          <w:bCs/>
          <w:sz w:val="24"/>
        </w:rPr>
      </w:pPr>
      <w:r>
        <w:rPr>
          <w:rFonts w:ascii="宋体" w:hAnsi="宋体"/>
          <w:bCs/>
          <w:sz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pStyle w:val="951"/>
        <w:ind w:firstLine="0"/>
        <w:spacing w:line="400" w:lineRule="exact"/>
        <w:rPr>
          <w:rFonts w:ascii="宋体" w:hAnsi="宋体"/>
          <w:sz w:val="24"/>
          <w:szCs w:val="24"/>
        </w:rPr>
      </w:pPr>
      <w:r>
        <w:rPr>
          <w:rFonts w:ascii="宋体" w:hAnsi="宋体"/>
          <w:sz w:val="24"/>
          <w:szCs w:val="24"/>
        </w:rPr>
      </w:r>
      <w:r/>
    </w:p>
    <w:p>
      <w:pPr>
        <w:ind w:right="839"/>
        <w:jc w:val="center"/>
        <w:spacing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8"/>
      <w:r/>
      <w:bookmarkEnd w:id="149"/>
      <w:r/>
      <w:bookmarkEnd w:id="150"/>
      <w:r/>
      <w:bookmarkEnd w:id="151"/>
      <w:r/>
      <w:bookmarkEnd w:id="152"/>
      <w:r>
        <w:rPr>
          <w:rFonts w:hint="eastAsia" w:ascii="方正黑体_GBK" w:hAnsi="方正黑体_GBK" w:eastAsia="方正黑体_GBK" w:cs="方正黑体_GBK"/>
          <w:color w:val="000000"/>
          <w:sz w:val="32"/>
          <w:szCs w:val="32"/>
        </w:rPr>
        <w:t xml:space="preserve">文本</w:t>
      </w:r>
      <w:bookmarkStart w:id="153" w:name="_Toc20823315"/>
      <w:r/>
      <w:bookmarkStart w:id="154" w:name="_Toc16938559"/>
      <w:r/>
      <w:bookmarkStart w:id="155" w:name="_Toc513029243"/>
      <w:r/>
      <w:r/>
    </w:p>
    <w:p>
      <w:pPr>
        <w:pStyle w:val="967"/>
        <w:jc w:val="center"/>
        <w:spacing w:line="660" w:lineRule="exact"/>
        <w:rPr>
          <w:rFonts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项目名称：</w:t>
      </w:r>
      <w:r>
        <w:rPr>
          <w:rFonts w:hint="eastAsia" w:eastAsia="方正仿宋_GBK"/>
          <w:color w:val="000000"/>
          <w:sz w:val="32"/>
          <w:szCs w:val="32"/>
        </w:rPr>
        <w:t xml:space="preserve">南京信息工程大学校园外环境保洁及绿化管养等保障服务</w:t>
      </w:r>
      <w:r>
        <w:rPr>
          <w:rFonts w:hint="eastAsia" w:ascii="方正仿宋_GBK" w:hAnsi="方正仿宋_GBK" w:eastAsia="方正仿宋_GBK" w:cs="方正仿宋_GBK"/>
          <w:color w:val="000000"/>
          <w:sz w:val="32"/>
          <w:szCs w:val="32"/>
        </w:rPr>
        <w:t xml:space="preserve"> </w:t>
      </w:r>
      <w:r/>
    </w:p>
    <w:p>
      <w:pPr>
        <w:ind w:firstLine="640"/>
        <w:spacing w:before="120" w:after="120" w:line="560" w:lineRule="exact"/>
        <w:rPr>
          <w:rFonts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 xml:space="preserve">采购编号：</w:t>
      </w:r>
      <w:r>
        <w:rPr>
          <w:rFonts w:hint="eastAsia" w:eastAsia="方正仿宋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rPr>
          <w:rFonts w:hint="eastAsia" w:eastAsia="方正仿宋_GBK"/>
          <w:color w:val="000000"/>
          <w:sz w:val="32"/>
          <w:szCs w:val="32"/>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ff0000"/>
          <w:sz w:val="32"/>
          <w:szCs w:val="32"/>
        </w:rPr>
        <w:t xml:space="preserve"> </w:t>
      </w:r>
      <w:r/>
    </w:p>
    <w:p>
      <w:pPr>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972"/>
        <w:ind w:firstLine="640"/>
        <w:spacing w:before="120" w:after="120"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w:t>
      </w:r>
      <w:r>
        <w:rPr>
          <w:rFonts w:hint="eastAsia" w:ascii="方正仿宋_GBK" w:hAnsi="方正仿宋_GBK" w:eastAsia="方正仿宋_GBK" w:cs="方正仿宋_GBK"/>
          <w:sz w:val="32"/>
          <w:szCs w:val="32"/>
        </w:rPr>
        <w:t xml:space="preserve">向履行</w:t>
      </w:r>
      <w:r>
        <w:rPr>
          <w:rFonts w:hint="eastAsia" w:ascii="方正仿宋_GBK" w:hAnsi="方正仿宋_GBK" w:eastAsia="方正仿宋_GBK" w:cs="方正仿宋_GBK"/>
          <w:sz w:val="32"/>
          <w:szCs w:val="32"/>
        </w:rPr>
        <w:t xml:space="preserve">本合同有关的人员提供，也应注意保密并限于履行合同的必需范围。</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w:t>
      </w:r>
      <w:r>
        <w:rPr>
          <w:rFonts w:hint="eastAsia" w:ascii="方正仿宋_GBK" w:hAnsi="方正仿宋_GBK" w:eastAsia="方正仿宋_GBK" w:cs="方正仿宋_GBK"/>
          <w:sz w:val="32"/>
          <w:szCs w:val="32"/>
        </w:rPr>
        <w:t xml:space="preserve">乙方且</w:t>
      </w:r>
      <w:r>
        <w:rPr>
          <w:rFonts w:hint="eastAsia" w:ascii="方正仿宋_GBK" w:hAnsi="方正仿宋_GBK" w:eastAsia="方正仿宋_GBK" w:cs="方正仿宋_GBK"/>
          <w:sz w:val="32"/>
          <w:szCs w:val="32"/>
        </w:rPr>
        <w:t xml:space="preserve">无任何抵押、查封等产权瑕疵。</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乙方交纳人民币______元作为本合同的履约保证金。（合同金额的10%）</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color w:val="000000"/>
          <w:sz w:val="32"/>
          <w:szCs w:val="32"/>
        </w:rPr>
        <w:t xml:space="preserve">无息退还。</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6.2.2履约保证金退还时间：根据履约情况，扣除相关违约金及其他费用后，剩余部分在服务期满且与下一中标人交接完成后付清。</w:t>
      </w:r>
      <w:r/>
    </w:p>
    <w:p>
      <w:pPr>
        <w:pStyle w:val="972"/>
        <w:ind w:firstLine="640"/>
        <w:spacing w:before="120" w:after="120"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6.2.3履约保证金退还条件：合同期满时，中标人按要求移交和退场。</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中标人未按要求移交和退场的，采购人有权将中标人未撤离的设备、资产等进行处置并不承担任何违约和侵权责任，采购人有权拒付剩余合同款，且不再退还剩余履约保证金；因中标</w:t>
      </w:r>
      <w:r>
        <w:rPr>
          <w:rFonts w:hint="eastAsia" w:ascii="方正仿宋_GBK" w:hAnsi="方正仿宋_GBK" w:eastAsia="方正仿宋_GBK" w:cs="方正仿宋_GBK"/>
          <w:sz w:val="32"/>
          <w:szCs w:val="32"/>
        </w:rPr>
        <w:t xml:space="preserve">人原因</w:t>
      </w:r>
      <w:r>
        <w:rPr>
          <w:rFonts w:hint="eastAsia" w:ascii="方正仿宋_GBK" w:hAnsi="方正仿宋_GBK" w:eastAsia="方正仿宋_GBK" w:cs="方正仿宋_GBK"/>
          <w:sz w:val="32"/>
          <w:szCs w:val="32"/>
        </w:rPr>
        <w:t xml:space="preserve">提前解除合同的，终止合同当月的服务费在按当月服务天数进行结算的同时，需根据考核分值扣除相应金额且履约保证金不予退还。</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972"/>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sz w:val="32"/>
          <w:szCs w:val="32"/>
        </w:rPr>
        <w:t xml:space="preserve">7.2乙方不得将合同标的分包给他人履行</w:t>
      </w:r>
      <w:r>
        <w:rPr>
          <w:rFonts w:hint="eastAsia" w:ascii="方正仿宋_GBK" w:hAnsi="方正仿宋_GBK" w:eastAsia="方正仿宋_GBK" w:cs="方正仿宋_GBK"/>
          <w:color w:val="000000"/>
          <w:sz w:val="32"/>
          <w:szCs w:val="32"/>
        </w:rPr>
        <w:t xml:space="preserve">（除四害灭杀外）。</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8.1合同款支付条件：</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 2合同款支付方式：</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w:t>
      </w:r>
      <w:r>
        <w:rPr>
          <w:rFonts w:hint="eastAsia" w:ascii="方正仿宋_GBK" w:hAnsi="方正仿宋_GBK" w:eastAsia="方正仿宋_GBK" w:cs="方正仿宋_GBK"/>
          <w:sz w:val="32"/>
          <w:szCs w:val="32"/>
        </w:rPr>
        <w:t xml:space="preserve">方专业</w:t>
      </w:r>
      <w:r>
        <w:rPr>
          <w:rFonts w:hint="eastAsia" w:ascii="方正仿宋_GBK" w:hAnsi="方正仿宋_GBK" w:eastAsia="方正仿宋_GBK" w:cs="方正仿宋_GBK"/>
          <w:sz w:val="32"/>
          <w:szCs w:val="32"/>
        </w:rPr>
        <w:t xml:space="preserve">机构及专家参与验收，相关意见将作为</w:t>
      </w:r>
      <w:r>
        <w:rPr>
          <w:rFonts w:hint="eastAsia" w:ascii="方正仿宋_GBK" w:hAnsi="方正仿宋_GBK" w:eastAsia="方正仿宋_GBK" w:cs="方正仿宋_GBK"/>
          <w:sz w:val="32"/>
          <w:szCs w:val="32"/>
        </w:rPr>
        <w:t xml:space="preserve">验收书</w:t>
      </w:r>
      <w:r>
        <w:rPr>
          <w:rFonts w:hint="eastAsia" w:ascii="方正仿宋_GBK" w:hAnsi="方正仿宋_GBK" w:eastAsia="方正仿宋_GBK" w:cs="方正仿宋_GBK"/>
          <w:sz w:val="32"/>
          <w:szCs w:val="32"/>
        </w:rPr>
        <w:t xml:space="preserve">的参考资料。</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方正仿宋_GBK" w:hAnsi="方正仿宋_GBK" w:eastAsia="方正仿宋_GBK" w:cs="方正仿宋_GBK"/>
          <w:sz w:val="32"/>
          <w:szCs w:val="32"/>
        </w:rPr>
        <w:t xml:space="preserve">验收书</w:t>
      </w:r>
      <w:r>
        <w:rPr>
          <w:rFonts w:hint="eastAsia" w:ascii="方正仿宋_GBK" w:hAnsi="方正仿宋_GBK" w:eastAsia="方正仿宋_GBK" w:cs="方正仿宋_GBK"/>
          <w:sz w:val="32"/>
          <w:szCs w:val="32"/>
        </w:rPr>
        <w:t xml:space="preserve">,列明各项标准的验收情况及项目总体评价,由验收双方共同签署。验收结果与采购合同约定的资金支付及履约保证金返还条件挂钩。履约验收的各项资料存档备查。</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32"/>
          <w:szCs w:val="32"/>
          <w:u w:val="single"/>
        </w:rPr>
        <w:t xml:space="preserve">1</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w:t>
      </w:r>
      <w:r>
        <w:rPr>
          <w:rFonts w:hint="eastAsia" w:ascii="Times New Roman" w:hAnsi="Times New Roman" w:eastAsia="方正仿宋_GBK" w:cs="Times New Roman"/>
          <w:color w:val="000000"/>
          <w:sz w:val="32"/>
          <w:szCs w:val="32"/>
          <w:u w:val="single"/>
        </w:rPr>
        <w:t xml:space="preserve">6</w:t>
      </w:r>
      <w:r>
        <w:rPr>
          <w:rFonts w:hint="eastAsia" w:ascii="Times New Roman" w:hAnsi="Times New Roman" w:eastAsia="方正仿宋_GBK" w:cs="Times New Roman"/>
          <w:color w:val="000000"/>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972"/>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11.3 乙方所提供服务的标准不符合合同规定及招标文件规定标准的，甲方有权拒绝接受服务，并可单方面解除合同。</w:t>
      </w:r>
      <w:r/>
    </w:p>
    <w:p>
      <w:pPr>
        <w:pStyle w:val="972"/>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11.4 乙方逾期提供服务的，乙方应按逾期提供服务合同总额每日千分之六向甲方支付违约金，由甲方从待付合同款项中扣除。逾期超过约定日期10个工作日不能提供服务的，甲方可解除本合同。如因乙方预期违约、根本违约或其他严重违约行为导致合同终止的，乙方应向甲方支付合同总价</w:t>
      </w:r>
      <w:r>
        <w:rPr>
          <w:rFonts w:hint="eastAsia" w:ascii="Times New Roman" w:hAnsi="Times New Roman" w:eastAsia="方正仿宋_GBK" w:cs="Times New Roman"/>
          <w:color w:val="000000"/>
          <w:sz w:val="32"/>
          <w:szCs w:val="32"/>
          <w:u w:val="single"/>
        </w:rPr>
        <w:t xml:space="preserve">20</w:t>
      </w:r>
      <w:r>
        <w:rPr>
          <w:rFonts w:hint="eastAsia" w:ascii="方正仿宋_GBK" w:hAnsi="方正仿宋_GBK" w:eastAsia="方正仿宋_GBK" w:cs="方正仿宋_GBK"/>
          <w:color w:val="000000"/>
          <w:sz w:val="32"/>
          <w:szCs w:val="32"/>
          <w:u w:val="single"/>
        </w:rPr>
        <w:t xml:space="preserve">%</w:t>
      </w:r>
      <w:r>
        <w:rPr>
          <w:rFonts w:hint="eastAsia" w:ascii="方正仿宋_GBK" w:hAnsi="方正仿宋_GBK" w:eastAsia="方正仿宋_GBK" w:cs="方正仿宋_GBK"/>
          <w:color w:val="000000"/>
          <w:sz w:val="32"/>
          <w:szCs w:val="32"/>
        </w:rPr>
        <w:t xml:space="preserve">的违约金，并没收全部履约保证金。造成甲方损失的，乙方还应承担全部赔偿责任。</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972"/>
        <w:ind w:firstLine="640"/>
        <w:spacing w:before="120" w:after="120" w:line="560" w:lineRule="exact"/>
        <w:rPr>
          <w:rFonts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972"/>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972"/>
        <w:ind w:firstLine="640"/>
        <w:spacing w:before="120" w:after="120" w:line="560" w:lineRule="exact"/>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p>
    <w:p>
      <w:pPr>
        <w:pStyle w:val="972"/>
        <w:jc w:val="center"/>
        <w:spacing w:before="120" w:after="120" w:line="0" w:lineRule="atLeast"/>
      </w:pPr>
      <w:r>
        <w:rPr>
          <w:rFonts w:hint="eastAsia"/>
        </w:rPr>
        <w:t xml:space="preserve">                                         </w:t>
      </w:r>
      <w:r/>
    </w:p>
    <w:p>
      <w:pPr>
        <w:pStyle w:val="972"/>
        <w:jc w:val="right"/>
        <w:spacing w:before="120" w:after="120" w:line="0" w:lineRule="atLeast"/>
        <w:rPr>
          <w:sz w:val="24"/>
          <w:szCs w:val="24"/>
        </w:rPr>
      </w:pPr>
      <w:r>
        <w:rPr>
          <w:rFonts w:hint="eastAsia"/>
          <w:sz w:val="24"/>
          <w:szCs w:val="24"/>
        </w:rPr>
        <w:t xml:space="preserve"> </w:t>
      </w:r>
      <w:r/>
    </w:p>
    <w:p>
      <w:pPr>
        <w:pStyle w:val="972"/>
        <w:jc w:val="center"/>
        <w:spacing w:before="120" w:after="120" w:line="660" w:lineRule="exact"/>
        <w:rPr>
          <w:rFonts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bookmarkStart w:id="156" w:name="_Hlt16619369"/>
      <w:r/>
      <w:bookmarkStart w:id="157" w:name="_Hlt16619350"/>
      <w:r/>
      <w:bookmarkStart w:id="158" w:name="_Toc20823346"/>
      <w:r/>
      <w:bookmarkStart w:id="159" w:name="_Toc16938590"/>
      <w:r/>
      <w:bookmarkStart w:id="160" w:name="_Toc120614244"/>
      <w:r/>
      <w:bookmarkStart w:id="161" w:name="_Toc462564139"/>
      <w:r/>
      <w:bookmarkStart w:id="162" w:name="_Toc479757211"/>
      <w:r/>
      <w:bookmarkEnd w:id="153"/>
      <w:r/>
      <w:bookmarkEnd w:id="154"/>
      <w:r/>
      <w:bookmarkEnd w:id="155"/>
      <w:r/>
      <w:bookmarkEnd w:id="156"/>
      <w:r>
        <w:rPr>
          <w:rFonts w:ascii="黑体" w:eastAsia="黑体"/>
          <w:bCs/>
          <w:sz w:val="44"/>
        </w:rPr>
        <w:br w:type="page" w:clear="all"/>
      </w:r>
      <w:r>
        <w:rPr>
          <w:rFonts w:hint="eastAsia" w:ascii="方正黑体_GBK" w:hAnsi="方正黑体_GBK" w:eastAsia="方正黑体_GBK" w:cs="方正黑体_GBK"/>
          <w:color w:val="000000"/>
          <w:sz w:val="32"/>
          <w:szCs w:val="32"/>
        </w:rPr>
        <w:t xml:space="preserve">第</w:t>
      </w:r>
      <w:bookmarkEnd w:id="157"/>
      <w:r>
        <w:rPr>
          <w:rFonts w:hint="eastAsia" w:ascii="方正黑体_GBK" w:hAnsi="方正黑体_GBK" w:eastAsia="方正黑体_GBK" w:cs="方正黑体_GBK"/>
          <w:color w:val="000000"/>
          <w:sz w:val="32"/>
          <w:szCs w:val="32"/>
        </w:rPr>
        <w:t xml:space="preserve">四章 采购需求</w:t>
      </w:r>
      <w:bookmarkEnd w:id="158"/>
      <w:r/>
      <w:bookmarkEnd w:id="159"/>
      <w:r/>
      <w:bookmarkEnd w:id="160"/>
      <w:r/>
      <w:r/>
    </w:p>
    <w:p>
      <w:pPr>
        <w:pStyle w:val="972"/>
        <w:ind w:firstLine="560"/>
        <w:spacing w:before="120" w:after="120" w:line="560" w:lineRule="exact"/>
        <w:rPr>
          <w:rFonts w:ascii="仿宋" w:hAnsi="仿宋" w:eastAsia="仿宋" w:cs="方正黑体_GBK"/>
          <w:bCs/>
          <w:sz w:val="28"/>
          <w:szCs w:val="28"/>
        </w:rPr>
      </w:pPr>
      <w:r/>
      <w:bookmarkStart w:id="163" w:name="_Toc26554093"/>
      <w:r/>
      <w:bookmarkStart w:id="164" w:name="_Toc49090575"/>
      <w:r>
        <w:rPr>
          <w:rFonts w:hint="eastAsia" w:ascii="仿宋" w:hAnsi="仿宋" w:eastAsia="仿宋" w:cs="方正黑体_GBK"/>
          <w:bCs/>
          <w:sz w:val="28"/>
          <w:szCs w:val="28"/>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002"/>
        <w:gridCol w:w="3487"/>
        <w:gridCol w:w="2438"/>
      </w:tblGrid>
      <w:tr>
        <w:trPr>
          <w:cantSplit/>
          <w:jc w:val="center"/>
          <w:trHeight w:val="701"/>
        </w:trPr>
        <w:tc>
          <w:tcPr>
            <w:tcW w:w="790"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w:t>
            </w:r>
            <w:r/>
          </w:p>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包号</w:t>
            </w:r>
            <w:r/>
          </w:p>
        </w:tc>
        <w:tc>
          <w:tcPr>
            <w:tcW w:w="1002"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序号</w:t>
            </w:r>
            <w:r/>
          </w:p>
        </w:tc>
        <w:tc>
          <w:tcPr>
            <w:tcW w:w="3487"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采购标的</w:t>
            </w:r>
            <w:r/>
          </w:p>
        </w:tc>
        <w:tc>
          <w:tcPr>
            <w:tcW w:w="2438"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olor w:val="000000"/>
                <w:sz w:val="28"/>
                <w:szCs w:val="28"/>
              </w:rPr>
              <w:t xml:space="preserve">一</w:t>
            </w:r>
            <w:r/>
          </w:p>
        </w:tc>
        <w:tc>
          <w:tcPr>
            <w:tcW w:w="1002"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3487" w:type="dxa"/>
            <w:textDirection w:val="lrTb"/>
            <w:noWrap w:val="false"/>
          </w:tcPr>
          <w:p>
            <w:pPr>
              <w:jc w:val="center"/>
              <w:spacing w:line="0" w:lineRule="atLeast"/>
              <w:tabs>
                <w:tab w:val="left" w:pos="2020" w:leader="none"/>
              </w:tabs>
              <w:rPr>
                <w:rFonts w:ascii="仿宋" w:hAnsi="仿宋" w:eastAsia="仿宋" w:cs="方正仿宋_GBK"/>
                <w:sz w:val="28"/>
                <w:szCs w:val="28"/>
              </w:rPr>
            </w:pPr>
            <w:r>
              <w:rPr>
                <w:rFonts w:hint="eastAsia" w:ascii="仿宋" w:hAnsi="仿宋" w:eastAsia="仿宋" w:cs="仿宋_GB2312"/>
                <w:sz w:val="28"/>
                <w:szCs w:val="28"/>
              </w:rPr>
              <w:t xml:space="preserve">南京信息工程大学校园外环境保洁及绿化管养等保障服务项目</w:t>
            </w:r>
            <w:r/>
          </w:p>
        </w:tc>
        <w:tc>
          <w:tcPr>
            <w:tcW w:w="2438" w:type="dxa"/>
            <w:textDirection w:val="lrTb"/>
            <w:noWrap w:val="false"/>
          </w:tcPr>
          <w:p>
            <w:pPr>
              <w:jc w:val="center"/>
              <w:spacing w:line="0" w:lineRule="atLeast"/>
              <w:tabs>
                <w:tab w:val="left" w:pos="2020" w:leader="none"/>
              </w:tabs>
              <w:rPr>
                <w:rFonts w:ascii="仿宋" w:hAnsi="仿宋" w:eastAsia="仿宋"/>
                <w:color w:val="000000"/>
                <w:sz w:val="28"/>
                <w:szCs w:val="28"/>
              </w:rPr>
            </w:pPr>
            <w:r>
              <w:rPr>
                <w:rFonts w:hint="eastAsia" w:ascii="仿宋" w:hAnsi="仿宋" w:eastAsia="仿宋"/>
                <w:color w:val="000000"/>
                <w:sz w:val="28"/>
                <w:szCs w:val="28"/>
              </w:rPr>
              <w:t xml:space="preserve">物业管理</w:t>
            </w:r>
            <w:r/>
          </w:p>
        </w:tc>
      </w:tr>
    </w:tbl>
    <w:p>
      <w:pPr>
        <w:ind w:firstLine="562"/>
        <w:spacing w:line="560" w:lineRule="exact"/>
        <w:rPr>
          <w:rFonts w:ascii="仿宋" w:hAnsi="仿宋" w:eastAsia="仿宋" w:cs="方正魏碑_GBK"/>
          <w:b/>
          <w:color w:val="000000"/>
          <w:sz w:val="28"/>
          <w:szCs w:val="28"/>
        </w:rPr>
      </w:pPr>
      <w:r>
        <w:rPr>
          <w:rFonts w:hint="eastAsia" w:ascii="仿宋" w:hAnsi="仿宋" w:eastAsia="仿宋" w:cs="方正魏碑_GBK"/>
          <w:b/>
          <w:color w:val="000000"/>
          <w:sz w:val="28"/>
          <w:szCs w:val="28"/>
        </w:rPr>
        <w:t xml:space="preserve">二、政府采购中实施本国产品标准及相关政策</w:t>
      </w:r>
      <w:r/>
    </w:p>
    <w:p>
      <w:pPr>
        <w:ind w:firstLine="560"/>
        <w:spacing w:line="560" w:lineRule="exact"/>
        <w:rPr>
          <w:rFonts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2"/>
        <w:spacing w:line="560" w:lineRule="exact"/>
        <w:rPr>
          <w:rFonts w:ascii="仿宋" w:hAnsi="仿宋" w:eastAsia="仿宋" w:cs="方正魏碑_GBK"/>
          <w:bCs/>
          <w:color w:val="000000"/>
          <w:sz w:val="28"/>
          <w:szCs w:val="28"/>
        </w:rPr>
      </w:pPr>
      <w:r>
        <w:rPr>
          <w:rFonts w:hint="eastAsia" w:ascii="仿宋" w:hAnsi="仿宋" w:eastAsia="仿宋" w:cs="方正魏碑_GBK"/>
          <w:b/>
          <w:color w:val="000000"/>
          <w:sz w:val="28"/>
          <w:szCs w:val="28"/>
        </w:rPr>
        <w:t xml:space="preserve">2.本国产品标准适用于服务项目中涉及的货物。</w:t>
      </w:r>
      <w:r>
        <w:rPr>
          <w:rFonts w:hint="eastAsia" w:ascii="仿宋" w:hAnsi="仿宋" w:eastAsia="仿宋" w:cs="方正魏碑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60" w:lineRule="exact"/>
        <w:rPr>
          <w:rFonts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4"/>
        <w:ind w:left="1400" w:hanging="560"/>
        <w:jc w:val="both"/>
        <w:spacing w:before="0" w:after="0" w:line="560" w:lineRule="exact"/>
        <w:rPr>
          <w:rFonts w:ascii="仿宋_GB2312" w:hAnsi="仿宋_GB2312" w:eastAsia="仿宋_GB2312" w:cs="仿宋_GB2312"/>
          <w:sz w:val="28"/>
          <w:szCs w:val="28"/>
          <w:lang w:eastAsia="zh-CN"/>
        </w:rPr>
        <w:outlineLvl w:val="0"/>
      </w:pPr>
      <w:r>
        <w:rPr>
          <w:rFonts w:hint="eastAsia" w:ascii="仿宋_GB2312" w:hAnsi="仿宋_GB2312" w:eastAsia="仿宋_GB2312" w:cs="仿宋_GB2312"/>
          <w:sz w:val="28"/>
          <w:szCs w:val="28"/>
          <w:lang w:eastAsia="zh-CN"/>
        </w:rPr>
        <w:t xml:space="preserve">三、项目概况</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本标的位于江苏省南京市江北新区宁六路219号。</w:t>
      </w:r>
      <w:r/>
    </w:p>
    <w:p>
      <w:pPr>
        <w:ind w:firstLine="560"/>
        <w:spacing w:line="560" w:lineRule="exact"/>
        <w:rPr>
          <w:rFonts w:ascii="仿宋_GB2312" w:hAnsi="仿宋_GB2312" w:eastAsia="仿宋_GB2312" w:cs="仿宋_GB2312"/>
          <w:bCs/>
          <w:sz w:val="28"/>
          <w:szCs w:val="28"/>
          <w:lang w:bidi="ar"/>
        </w:rPr>
      </w:pPr>
      <w:r>
        <w:rPr>
          <w:rFonts w:hint="eastAsia" w:ascii="仿宋_GB2312" w:hAnsi="仿宋_GB2312" w:eastAsia="仿宋_GB2312" w:cs="仿宋_GB2312"/>
          <w:sz w:val="28"/>
          <w:szCs w:val="28"/>
        </w:rPr>
        <w:t xml:space="preserve">本次委托项目为红线范围内（含红线）提供室外保洁、绿化美化等服务，其中，</w:t>
      </w:r>
      <w:r>
        <w:rPr>
          <w:rFonts w:hint="eastAsia" w:ascii="仿宋_GB2312" w:hAnsi="仿宋_GB2312" w:eastAsia="仿宋_GB2312" w:cs="仿宋_GB2312"/>
          <w:sz w:val="28"/>
          <w:szCs w:val="28"/>
          <w:lang w:bidi="ar"/>
        </w:rPr>
        <w:t xml:space="preserve">道路、广场、运动场面积约20万㎡，绿化面积约46万㎡（包含庭间、屋面绿化等）。</w:t>
      </w:r>
      <w:r>
        <w:rPr>
          <w:rFonts w:hint="eastAsia" w:ascii="仿宋_GB2312" w:hAnsi="仿宋_GB2312" w:eastAsia="仿宋_GB2312" w:cs="仿宋_GB2312"/>
          <w:sz w:val="28"/>
          <w:szCs w:val="28"/>
        </w:rPr>
        <w:t xml:space="preserve">南气宾馆、东</w:t>
      </w:r>
      <w:r>
        <w:rPr>
          <w:rFonts w:hint="eastAsia" w:ascii="仿宋_GB2312" w:hAnsi="仿宋_GB2312" w:eastAsia="仿宋_GB2312" w:cs="仿宋_GB2312"/>
          <w:sz w:val="28"/>
          <w:szCs w:val="28"/>
        </w:rPr>
        <w:t xml:space="preserve">苑信大藕遇</w:t>
      </w:r>
      <w:r>
        <w:rPr>
          <w:rFonts w:hint="eastAsia" w:ascii="仿宋_GB2312" w:hAnsi="仿宋_GB2312" w:eastAsia="仿宋_GB2312" w:cs="仿宋_GB2312"/>
          <w:sz w:val="28"/>
          <w:szCs w:val="28"/>
        </w:rPr>
        <w:t xml:space="preserve">商业街、中苑 1960 商业街、</w:t>
      </w:r>
      <w:r>
        <w:rPr>
          <w:rFonts w:hint="eastAsia" w:ascii="仿宋_GB2312" w:hAnsi="仿宋_GB2312" w:eastAsia="仿宋_GB2312" w:cs="仿宋_GB2312"/>
          <w:sz w:val="28"/>
          <w:szCs w:val="28"/>
        </w:rPr>
        <w:t xml:space="preserve">中苑长望</w:t>
      </w:r>
      <w:r>
        <w:rPr>
          <w:rFonts w:hint="eastAsia" w:ascii="仿宋_GB2312" w:hAnsi="仿宋_GB2312" w:eastAsia="仿宋_GB2312" w:cs="仿宋_GB2312"/>
          <w:sz w:val="28"/>
          <w:szCs w:val="28"/>
        </w:rPr>
        <w:t xml:space="preserve">商业街、西苑长望商业街、</w:t>
      </w:r>
      <w:r>
        <w:rPr>
          <w:rFonts w:hint="eastAsia" w:ascii="仿宋_GB2312" w:hAnsi="仿宋_GB2312" w:eastAsia="仿宋_GB2312" w:cs="仿宋_GB2312"/>
          <w:sz w:val="28"/>
          <w:szCs w:val="28"/>
        </w:rPr>
        <w:t xml:space="preserve">西苑信大藕遇</w:t>
      </w:r>
      <w:r>
        <w:rPr>
          <w:rFonts w:hint="eastAsia" w:ascii="仿宋_GB2312" w:hAnsi="仿宋_GB2312" w:eastAsia="仿宋_GB2312" w:cs="仿宋_GB2312"/>
          <w:sz w:val="28"/>
          <w:szCs w:val="28"/>
        </w:rPr>
        <w:t xml:space="preserve">商业街以及为采购人提供服务和开展建设的项目不在服务范围内</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sz w:val="28"/>
          <w:szCs w:val="28"/>
        </w:rPr>
        <w:t xml:space="preserve">以下简称委托范围</w:t>
      </w:r>
      <w:r>
        <w:rPr>
          <w:rFonts w:hint="eastAsia" w:ascii="仿宋_GB2312" w:hAnsi="仿宋_GB2312" w:eastAsia="仿宋_GB2312" w:cs="仿宋_GB2312"/>
          <w:sz w:val="28"/>
          <w:szCs w:val="28"/>
          <w:lang w:bidi="ar"/>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主要服务内容：室外保洁；学生宿舍、公共楼宇、自营食堂等垃圾清运（包含厨余、餐厨和其他垃圾）；楼宇化粪池清掏；水面景观养护；动物养殖；绿化养护；部分学生宿舍和室外四害防治；外环境应急保障等。 </w:t>
      </w:r>
      <w:r/>
    </w:p>
    <w:p>
      <w:pPr>
        <w:pStyle w:val="985"/>
        <w:jc w:val="both"/>
        <w:spacing w:line="48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14605</wp:posOffset>
                </wp:positionH>
                <wp:positionV relativeFrom="paragraph">
                  <wp:posOffset>8255</wp:posOffset>
                </wp:positionV>
                <wp:extent cx="5318125" cy="222948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18125" cy="222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1pt;mso-position-horizontal:absolute;mso-position-vertical-relative:text;margin-top:0.7pt;mso-position-vertical:absolute;width:418.8pt;height:175.5pt;mso-wrap-distance-left:9.0pt;mso-wrap-distance-top:0.0pt;mso-wrap-distance-right:9.0pt;mso-wrap-distance-bottom:0.0pt;" stroked="f">
                <v:path textboxrect="0,0,0,0"/>
                <v:imagedata r:id="rId14" o:title=""/>
              </v:shape>
            </w:pict>
          </mc:Fallback>
        </mc:AlternateContent>
      </w:r>
      <w:r/>
    </w:p>
    <w:p>
      <w:pPr>
        <w:pStyle w:val="985"/>
        <w:jc w:val="both"/>
        <w:spacing w:line="480" w:lineRule="auto"/>
      </w:pPr>
      <w:r/>
      <w:r/>
    </w:p>
    <w:p>
      <w:pPr>
        <w:pStyle w:val="985"/>
        <w:jc w:val="both"/>
        <w:spacing w:line="480" w:lineRule="auto"/>
      </w:pPr>
      <w:r/>
      <w:r/>
    </w:p>
    <w:p>
      <w:pPr>
        <w:pStyle w:val="985"/>
        <w:jc w:val="both"/>
        <w:spacing w:line="480" w:lineRule="auto"/>
      </w:pPr>
      <w:r/>
      <w:r/>
    </w:p>
    <w:p>
      <w:pPr>
        <w:pStyle w:val="985"/>
        <w:jc w:val="both"/>
        <w:spacing w:line="480" w:lineRule="auto"/>
      </w:pPr>
      <w:r/>
      <w:r/>
    </w:p>
    <w:p>
      <w:pPr>
        <w:pStyle w:val="1036"/>
        <w:ind w:firstLine="482"/>
        <w:spacing w:before="0" w:after="0" w:line="560" w:lineRule="exact"/>
        <w:rPr>
          <w:rFonts w:ascii="宋体" w:hAnsi="宋体" w:eastAsia="宋体" w:cs="宋体"/>
          <w:sz w:val="24"/>
          <w:szCs w:val="24"/>
        </w:rPr>
      </w:pPr>
      <w:r/>
      <w:bookmarkStart w:id="165" w:name="_Toc32643"/>
      <w:r/>
      <w:r/>
    </w:p>
    <w:p>
      <w:pPr>
        <w:pStyle w:val="1037"/>
      </w:pPr>
      <w:r/>
      <w:r/>
    </w:p>
    <w:p>
      <w:pPr>
        <w:pStyle w:val="1036"/>
        <w:ind w:firstLine="562"/>
        <w:spacing w:before="0" w:after="0" w:line="560" w:lineRule="exact"/>
        <w:rPr>
          <w:rFonts w:ascii="仿宋_GB2312" w:hAnsi="仿宋_GB2312" w:eastAsia="仿宋_GB2312" w:cs="仿宋_GB2312"/>
        </w:rPr>
        <w:outlineLvl w:val="1"/>
      </w:pPr>
      <w:r>
        <w:rPr>
          <w:rFonts w:hint="eastAsia" w:ascii="仿宋_GB2312" w:hAnsi="仿宋_GB2312" w:eastAsia="仿宋_GB2312" w:cs="仿宋_GB2312"/>
        </w:rPr>
        <w:t xml:space="preserve">（一）项目服务期限</w:t>
      </w:r>
      <w:bookmarkEnd w:id="165"/>
      <w:r/>
      <w:r/>
    </w:p>
    <w:p>
      <w:pPr>
        <w:pStyle w:val="1038"/>
        <w:ind w:firstLine="560"/>
        <w:spacing w:before="0" w:after="0" w:line="560" w:lineRule="exact"/>
        <w:rPr>
          <w:rFonts w:ascii="仿宋_GB2312" w:hAnsi="仿宋_GB2312" w:eastAsia="仿宋_GB2312" w:cs="仿宋_GB2312"/>
          <w:b w:val="0"/>
          <w:sz w:val="28"/>
          <w:szCs w:val="28"/>
          <w:lang w:eastAsia="zh-CN"/>
        </w:rPr>
        <w:outlineLvl w:val="9"/>
      </w:pPr>
      <w:r>
        <w:rPr>
          <w:rFonts w:hint="eastAsia" w:ascii="仿宋_GB2312" w:hAnsi="仿宋_GB2312" w:eastAsia="仿宋_GB2312" w:cs="仿宋_GB2312"/>
          <w:b w:val="0"/>
          <w:sz w:val="28"/>
          <w:szCs w:val="28"/>
          <w:lang w:eastAsia="zh-CN"/>
        </w:rPr>
        <w:t xml:space="preserve">本次招标总服务期为（</w:t>
      </w:r>
      <w:r>
        <w:rPr>
          <w:rFonts w:hint="eastAsia" w:ascii="仿宋_GB2312" w:hAnsi="仿宋_GB2312" w:eastAsia="仿宋_GB2312" w:cs="仿宋_GB2312"/>
          <w:b w:val="0"/>
          <w:sz w:val="28"/>
          <w:szCs w:val="28"/>
          <w:u w:val="single"/>
          <w:lang w:eastAsia="zh-CN"/>
        </w:rPr>
        <w:t xml:space="preserve">2026年7月1日至2029年6月30日</w:t>
      </w:r>
      <w:r>
        <w:rPr>
          <w:rFonts w:hint="eastAsia" w:ascii="仿宋_GB2312" w:hAnsi="仿宋_GB2312" w:eastAsia="仿宋_GB2312" w:cs="仿宋_GB2312"/>
          <w:b w:val="0"/>
          <w:sz w:val="28"/>
          <w:szCs w:val="28"/>
          <w:lang w:eastAsia="zh-CN"/>
        </w:rPr>
        <w:t xml:space="preserve">）</w:t>
      </w:r>
      <w:r/>
    </w:p>
    <w:p>
      <w:pPr>
        <w:pStyle w:val="1036"/>
        <w:ind w:firstLine="562"/>
        <w:spacing w:before="0" w:after="0" w:line="560" w:lineRule="exact"/>
        <w:rPr>
          <w:rFonts w:ascii="仿宋_GB2312" w:hAnsi="仿宋_GB2312" w:eastAsia="仿宋_GB2312" w:cs="仿宋_GB2312"/>
        </w:rPr>
        <w:outlineLvl w:val="1"/>
      </w:pPr>
      <w:r/>
      <w:bookmarkStart w:id="166" w:name="_Toc23253"/>
      <w:r>
        <w:rPr>
          <w:rFonts w:hint="eastAsia" w:ascii="仿宋_GB2312" w:hAnsi="仿宋_GB2312" w:eastAsia="仿宋_GB2312" w:cs="仿宋_GB2312"/>
        </w:rPr>
        <w:t xml:space="preserve">（二）项目最高限价</w:t>
      </w:r>
      <w:bookmarkEnd w:id="166"/>
      <w:r/>
      <w:r/>
    </w:p>
    <w:p>
      <w:pPr>
        <w:pStyle w:val="1038"/>
        <w:ind w:firstLine="560"/>
        <w:spacing w:before="0" w:after="0" w:line="560" w:lineRule="exact"/>
        <w:rPr>
          <w:rFonts w:ascii="仿宋_GB2312" w:hAnsi="仿宋_GB2312" w:eastAsia="仿宋_GB2312" w:cs="仿宋_GB2312"/>
          <w:b w:val="0"/>
          <w:bCs w:val="0"/>
          <w:sz w:val="28"/>
          <w:szCs w:val="28"/>
          <w:highlight w:val="yellow"/>
          <w:lang w:eastAsia="zh-CN"/>
        </w:rPr>
        <w:outlineLvl w:val="9"/>
      </w:pPr>
      <w:r>
        <w:rPr>
          <w:rFonts w:hint="eastAsia" w:ascii="仿宋_GB2312" w:hAnsi="仿宋_GB2312" w:eastAsia="仿宋_GB2312" w:cs="仿宋_GB2312"/>
          <w:b w:val="0"/>
          <w:bCs w:val="0"/>
          <w:sz w:val="28"/>
          <w:szCs w:val="28"/>
          <w:lang w:eastAsia="zh-CN"/>
        </w:rPr>
        <w:t xml:space="preserve">本项目最高限价为：666.6666万元/年，三年合计1999.9998万元</w:t>
      </w:r>
      <w:r/>
    </w:p>
    <w:p>
      <w:pPr>
        <w:pStyle w:val="1035"/>
        <w:ind w:firstLine="0"/>
        <w:rPr>
          <w:rFonts w:ascii="仿宋_GB2312" w:hAnsi="仿宋_GB2312" w:eastAsia="仿宋_GB2312" w:cs="仿宋_GB2312"/>
          <w:color w:val="ff0000"/>
          <w:sz w:val="28"/>
          <w:szCs w:val="28"/>
          <w:lang w:eastAsia="zh-CN"/>
        </w:rPr>
        <w:outlineLvl w:val="0"/>
      </w:pPr>
      <w:r/>
      <w:bookmarkStart w:id="167" w:name="_Toc31679"/>
      <w:r>
        <w:rPr>
          <w:rFonts w:hint="eastAsia" w:ascii="仿宋_GB2312" w:hAnsi="仿宋_GB2312" w:eastAsia="仿宋_GB2312" w:cs="仿宋_GB2312"/>
          <w:b/>
          <w:bCs/>
          <w:sz w:val="28"/>
          <w:szCs w:val="28"/>
          <w:lang w:eastAsia="zh-CN"/>
        </w:rPr>
        <w:t xml:space="preserve">四、服务内容及要求</w:t>
      </w:r>
      <w:bookmarkEnd w:id="167"/>
      <w:r/>
      <w:r/>
    </w:p>
    <w:p>
      <w:pPr>
        <w:pStyle w:val="1035"/>
        <w:ind w:firstLine="560"/>
        <w:rPr>
          <w:rFonts w:ascii="仿宋_GB2312" w:hAnsi="仿宋_GB2312" w:eastAsia="仿宋_GB2312" w:cs="仿宋_GB2312"/>
          <w:sz w:val="28"/>
          <w:szCs w:val="28"/>
          <w:lang w:eastAsia="zh-CN"/>
        </w:rPr>
        <w:outlineLvl w:val="1"/>
      </w:pPr>
      <w:r>
        <w:rPr>
          <w:rFonts w:ascii="仿宋_GB2312" w:hAnsi="仿宋_GB2312" w:eastAsia="仿宋_GB2312" w:cs="仿宋_GB2312"/>
          <w:sz w:val="28"/>
          <w:szCs w:val="28"/>
          <w:lang w:eastAsia="zh-CN"/>
        </w:rPr>
        <w:t xml:space="preserve">（一）室外保洁类服务</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1.范围</w:t>
      </w:r>
      <w:r/>
    </w:p>
    <w:p>
      <w:pPr>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p>
    <w:p>
      <w:pPr>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2.要求 </w:t>
      </w:r>
      <w:r/>
    </w:p>
    <w:p>
      <w:pPr>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中标人所提供的服务须符合中华人民共和国住房和城乡建设部颁布的《城市道路清扫保洁质量与评价标准》等国家及行业现行规范之要求。 </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（1）路面保洁</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①</w:t>
      </w:r>
      <w:r>
        <w:rPr>
          <w:rFonts w:hint="eastAsia" w:ascii="仿宋_GB2312" w:hAnsi="仿宋_GB2312" w:eastAsia="仿宋_GB2312" w:cs="仿宋_GB2312"/>
          <w:sz w:val="28"/>
          <w:szCs w:val="28"/>
        </w:rPr>
        <w:t xml:space="preserve">道路的保洁范围涵盖车道、人行道、路沿石、路边栏杆、边沟、树穴以及其他相关设施。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②道路保洁等级划分如下：正气路、万象路为一级，其余道路为二级。</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一级路段需每日7:40和13:30之前完成清扫工作，二级路段需每日9:30和15:30之前完成清扫工作，或按照采购人要求完成。其他时间段应进行巡视保洁，</w:t>
      </w:r>
      <w:r>
        <w:rPr>
          <w:rFonts w:hint="eastAsia" w:ascii="仿宋_GB2312" w:hAnsi="仿宋_GB2312" w:eastAsia="仿宋_GB2312" w:cs="仿宋_GB2312"/>
          <w:sz w:val="28"/>
          <w:szCs w:val="28"/>
        </w:rPr>
        <w:t xml:space="preserve">确保路面随脏随清。</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④行政楼、气象楼、明德楼、临江楼、图书馆、食堂等路段以及采购人要求的其他区域，白天需安排人员值守，维持环境干净整洁。</w:t>
      </w:r>
      <w:r/>
    </w:p>
    <w:p>
      <w:pPr>
        <w:pStyle w:val="985"/>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⑤遇暴雨、积雪等特殊天气或举办重大活动时，应增加清扫频次，确保路面保持干净整洁。</w:t>
      </w:r>
      <w:r/>
    </w:p>
    <w:p>
      <w:pPr>
        <w:pStyle w:val="985"/>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⑥雨水井和排水沟等定期清理（每月清理一次），遇特殊情况需随时清理，保证排水畅通。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（2）广场、运动场、绿地等保洁</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①广场、运动场等区域应保持洁净，无显著灰沙与污物。在高温季节，应定时进行洒水作业以实现降温和除尘的目的，并按照相应等级标准开展保洁工作。</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②绿地和绿化设施需每日进行两次巡视保洁，分别于上午10:00前和下午16:00前完成，</w:t>
      </w:r>
      <w:r>
        <w:rPr>
          <w:rFonts w:hint="eastAsia" w:ascii="仿宋_GB2312" w:hAnsi="仿宋_GB2312" w:eastAsia="仿宋_GB2312" w:cs="仿宋_GB2312"/>
          <w:bCs/>
          <w:sz w:val="28"/>
          <w:szCs w:val="28"/>
        </w:rPr>
        <w:t xml:space="preserve">或根据采购人的要求完成</w:t>
      </w:r>
      <w:r>
        <w:rPr>
          <w:rFonts w:hint="eastAsia" w:ascii="仿宋_GB2312" w:hAnsi="仿宋_GB2312" w:eastAsia="仿宋_GB2312" w:cs="仿宋_GB2312"/>
          <w:sz w:val="28"/>
          <w:szCs w:val="28"/>
        </w:rPr>
        <w:t xml:space="preserve">。</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（3）隧道、雕塑等保洁</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①主要范围包含隧道、栈道、平台、亭、廊、雕塑及重要景点。</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②隧道内部保持干净整洁，无张贴及悬挂物等。</w:t>
      </w:r>
      <w:r/>
    </w:p>
    <w:p>
      <w:pPr>
        <w:pStyle w:val="985"/>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③栈道、平台、亭、廊、雕塑等保持整洁。重要活动和节日前按采购人要求进行清洗。</w:t>
      </w:r>
      <w:r/>
    </w:p>
    <w:p>
      <w:pPr>
        <w:pStyle w:val="985"/>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（4）水面保洁</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①</w:t>
      </w:r>
      <w:r>
        <w:rPr>
          <w:rFonts w:hint="eastAsia" w:ascii="仿宋_GB2312" w:hAnsi="仿宋_GB2312" w:eastAsia="仿宋_GB2312" w:cs="仿宋_GB2312"/>
          <w:bCs/>
          <w:sz w:val="28"/>
          <w:szCs w:val="28"/>
        </w:rPr>
        <w:t xml:space="preserve">水面保持干净整洁。</w:t>
      </w:r>
      <w:r/>
    </w:p>
    <w:p>
      <w:pPr>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②定期清理上下游河闸、涵管、水面栅栏处垃圾，确保水流通畅。</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根据天气及采购人需求，及时调整水位。</w:t>
      </w:r>
      <w:r/>
    </w:p>
    <w:p>
      <w:pPr>
        <w:ind w:firstLine="562"/>
        <w:jc w:val="left"/>
        <w:spacing w:line="560" w:lineRule="exact"/>
        <w:rPr>
          <w:rFonts w:ascii="仿宋_GB2312" w:hAnsi="仿宋_GB2312" w:eastAsia="仿宋_GB2312" w:cs="仿宋_GB2312"/>
          <w:sz w:val="28"/>
          <w:szCs w:val="28"/>
          <w:highlight w:val="cyan"/>
        </w:rPr>
        <w:outlineLvl w:val="1"/>
      </w:pPr>
      <w:r>
        <w:rPr>
          <w:rFonts w:hint="eastAsia" w:ascii="仿宋_GB2312" w:hAnsi="仿宋_GB2312" w:eastAsia="仿宋_GB2312" w:cs="仿宋_GB2312"/>
          <w:b/>
          <w:bCs/>
          <w:sz w:val="28"/>
          <w:szCs w:val="28"/>
        </w:rPr>
        <w:t xml:space="preserve">（二）</w:t>
      </w:r>
      <w:r>
        <w:rPr>
          <w:rFonts w:ascii="仿宋_GB2312" w:hAnsi="仿宋_GB2312" w:eastAsia="仿宋_GB2312" w:cs="仿宋_GB2312"/>
          <w:b/>
          <w:bCs/>
          <w:sz w:val="28"/>
          <w:szCs w:val="28"/>
        </w:rPr>
        <w:t xml:space="preserve">垃圾外运服务</w:t>
      </w:r>
      <w:r/>
    </w:p>
    <w:p>
      <w:pPr>
        <w:ind w:firstLine="560"/>
        <w:spacing w:line="560" w:lineRule="exact"/>
        <w:tabs>
          <w:tab w:val="left" w:pos="630" w:leader="none"/>
        </w:tabs>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委托范围内，产生的垃圾（不包含非自营食堂和其他为采购人建设及服务单位）。</w:t>
      </w:r>
      <w:r/>
    </w:p>
    <w:p>
      <w:pPr>
        <w:ind w:firstLine="560"/>
        <w:spacing w:line="560" w:lineRule="exact"/>
        <w:rPr>
          <w:rFonts w:ascii="仿宋_GB2312" w:hAnsi="仿宋_GB2312" w:eastAsia="仿宋_GB2312" w:cs="仿宋_GB2312"/>
          <w:b/>
          <w:sz w:val="28"/>
          <w:szCs w:val="28"/>
        </w:rPr>
        <w:outlineLvl w:val="2"/>
      </w:pPr>
      <w:r>
        <w:rPr>
          <w:rFonts w:hint="eastAsia" w:ascii="仿宋_GB2312" w:hAnsi="仿宋_GB2312" w:eastAsia="仿宋_GB2312" w:cs="仿宋_GB2312"/>
          <w:bCs/>
          <w:sz w:val="28"/>
          <w:szCs w:val="28"/>
        </w:rPr>
        <w:t xml:space="preserve">2.服务要求</w:t>
      </w:r>
      <w:r>
        <w:rPr>
          <w:rFonts w:hint="eastAsia" w:ascii="仿宋_GB2312" w:hAnsi="仿宋_GB2312" w:eastAsia="仿宋_GB2312" w:cs="仿宋_GB2312"/>
          <w:b/>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（1）垃圾收集与外运工作严格遵循南京市生活垃圾分类的相关规定，规范开展作业。</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bCs/>
          <w:sz w:val="28"/>
          <w:szCs w:val="28"/>
        </w:rPr>
        <w:t xml:space="preserve">进场时应提供符合国家相关质量标准以及南京市垃圾分类规范要求的全新240L垃圾桶，数量不少于500只，并按照采购人要求进行摆放，同时张贴统一标识。</w:t>
      </w:r>
      <w:r/>
    </w:p>
    <w:p>
      <w:pPr>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rPr>
        <w:t xml:space="preserve">（3）垃圾摆放点、学生宿舍垃圾房和自营食堂垃圾房等周边应保持整洁；垃圾桶应保持完好无损，具备良好的封闭性能，外观洁净；蚊蝇滋生季节，需定期撒放</w:t>
      </w:r>
      <w:r>
        <w:rPr>
          <w:rFonts w:hint="eastAsia" w:ascii="仿宋_GB2312" w:hAnsi="仿宋_GB2312" w:eastAsia="仿宋_GB2312" w:cs="仿宋_GB2312"/>
          <w:sz w:val="28"/>
          <w:szCs w:val="28"/>
        </w:rPr>
        <w:t xml:space="preserve">灭</w:t>
      </w:r>
      <w:r>
        <w:rPr>
          <w:rFonts w:hint="eastAsia" w:ascii="仿宋_GB2312" w:hAnsi="仿宋_GB2312" w:eastAsia="仿宋_GB2312" w:cs="仿宋_GB2312"/>
          <w:sz w:val="28"/>
          <w:szCs w:val="28"/>
        </w:rPr>
        <w:t xml:space="preserve">蚊蝇药物。</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（4）无法一次性运输的大件垃圾（如包装箱、废弃电器等）应统一堆放在指定堆放点，并定期进行清理。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（5）中标人作业产生的垃圾（包含树枝、树叶、草屑等）需及时收集，不得堆放在作业区域。</w:t>
      </w:r>
      <w:r/>
    </w:p>
    <w:p>
      <w:pPr>
        <w:ind w:firstLine="560"/>
        <w:spacing w:line="560" w:lineRule="exact"/>
        <w:tabs>
          <w:tab w:val="left" w:pos="63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（6）教学楼等办公楼宇收集点的垃圾需每日7:40和13:30前清理，其他时间巡视清理。</w:t>
      </w:r>
      <w:r/>
    </w:p>
    <w:p>
      <w:pPr>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（7）学生宿舍垃圾清运作业时间为8:00 - 11:00、14:00 - 18:00，需</w:t>
      </w:r>
      <w:r>
        <w:rPr>
          <w:rFonts w:hint="eastAsia" w:ascii="仿宋_GB2312" w:hAnsi="仿宋_GB2312" w:eastAsia="仿宋_GB2312" w:cs="仿宋_GB2312"/>
          <w:bCs/>
          <w:sz w:val="28"/>
          <w:szCs w:val="28"/>
        </w:rPr>
        <w:t xml:space="preserve">确保垃圾桶不出现满溢情况。</w:t>
      </w:r>
      <w:r/>
    </w:p>
    <w:p>
      <w:pPr>
        <w:pStyle w:val="985"/>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（8）垃圾应及时进行清运，原则上不得在校园内过夜。 </w:t>
      </w:r>
      <w:r/>
    </w:p>
    <w:p>
      <w:pPr>
        <w:pStyle w:val="985"/>
        <w:ind w:firstLine="562"/>
        <w:jc w:val="left"/>
        <w:spacing w:line="560" w:lineRule="exact"/>
        <w:rPr>
          <w:rFonts w:ascii="仿宋_GB2312" w:hAnsi="仿宋_GB2312" w:eastAsia="仿宋_GB2312" w:cs="仿宋_GB2312"/>
          <w:b/>
          <w:bCs/>
        </w:rPr>
        <w:outlineLvl w:val="1"/>
      </w:pPr>
      <w:r>
        <w:rPr>
          <w:rFonts w:hint="eastAsia" w:ascii="仿宋_GB2312" w:hAnsi="仿宋_GB2312" w:eastAsia="仿宋_GB2312" w:cs="仿宋_GB2312"/>
          <w:b/>
          <w:bCs/>
        </w:rPr>
        <w:t xml:space="preserve">（三）</w:t>
      </w:r>
      <w:r>
        <w:rPr>
          <w:rFonts w:ascii="仿宋_GB2312" w:hAnsi="仿宋_GB2312" w:eastAsia="仿宋_GB2312" w:cs="仿宋_GB2312"/>
          <w:b/>
          <w:bCs/>
        </w:rPr>
        <w:t xml:space="preserve">校内化粪池清理服务</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（1）中标人进场时需熟悉校内各化粪池的具体位置和数量。</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（2）每学期开学前各开展一次集中清掏与外运作业，同时根据实际淤积情况及时清掏，确保化粪池全年无漫溢。</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（3）作业须符合南京市环卫部门制定的作业标准与安全规定。</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（4）建立完善的作业记录及</w:t>
      </w:r>
      <w:r>
        <w:rPr>
          <w:rFonts w:hint="eastAsia" w:ascii="仿宋_GB2312" w:hAnsi="仿宋_GB2312" w:eastAsia="仿宋_GB2312" w:cs="仿宋_GB2312"/>
          <w:bCs/>
          <w:sz w:val="28"/>
          <w:szCs w:val="28"/>
        </w:rPr>
        <w:t xml:space="preserve">巡查台</w:t>
      </w:r>
      <w:r>
        <w:rPr>
          <w:rFonts w:hint="eastAsia" w:ascii="仿宋_GB2312" w:hAnsi="仿宋_GB2312" w:eastAsia="仿宋_GB2312" w:cs="仿宋_GB2312"/>
          <w:bCs/>
          <w:sz w:val="28"/>
          <w:szCs w:val="28"/>
        </w:rPr>
        <w:t xml:space="preserve">账，供采购人检查。</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（5）作业结束后应及时恢复设施，若存在安全隐患，</w:t>
      </w:r>
      <w:r>
        <w:rPr>
          <w:rFonts w:hint="eastAsia" w:ascii="仿宋_GB2312" w:hAnsi="仿宋_GB2312" w:eastAsia="仿宋_GB2312" w:cs="仿宋_GB2312"/>
          <w:bCs/>
          <w:sz w:val="28"/>
          <w:szCs w:val="28"/>
        </w:rPr>
        <w:t xml:space="preserve">须设置</w:t>
      </w:r>
      <w:r>
        <w:rPr>
          <w:rFonts w:hint="eastAsia" w:ascii="仿宋_GB2312" w:hAnsi="仿宋_GB2312" w:eastAsia="仿宋_GB2312" w:cs="仿宋_GB2312"/>
          <w:bCs/>
          <w:sz w:val="28"/>
          <w:szCs w:val="28"/>
        </w:rPr>
        <w:t xml:space="preserve">安全警示标识，并向采购人管理部门汇报。如因中标人失职发生事故，由中标人承担全部法律、行政及经济责任，与采购人无关。</w:t>
      </w:r>
      <w:r/>
    </w:p>
    <w:p>
      <w:pPr>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（四）动物饲养服务</w:t>
      </w:r>
      <w:r/>
    </w:p>
    <w:p>
      <w:pPr>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1.服务范围</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委托范围内采购人养殖的鸽子、鹅、鸭、锦鲤等。</w:t>
      </w:r>
      <w:r/>
    </w:p>
    <w:p>
      <w:pPr>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（1）根据气候和动物生物特性，编制饲养、繁殖、防疫、环境营造等方案，提交采购人备案。</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（2）无偿提供各类动物所需的饲料、药品及防疫物资等。</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（3）维护现有动物生活环境及场地设施。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中标人进场时对动物现状进行接收，就种类、数量及健康状况进行登记并建立档案。合同履行期间，保证动物品种与数量不减少，如出现减少情况，按同品种、同规格及时补齐。繁殖产生的动物及时上报采购人，登记建档。</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（五）</w:t>
      </w:r>
      <w:r>
        <w:rPr>
          <w:rFonts w:ascii="仿宋_GB2312" w:hAnsi="仿宋_GB2312" w:eastAsia="仿宋_GB2312" w:cs="仿宋_GB2312"/>
          <w:b/>
          <w:bCs/>
          <w:sz w:val="28"/>
          <w:szCs w:val="28"/>
        </w:rPr>
        <w:t xml:space="preserve">绿化养护服务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的绿化管养，所需的苗木、种子、肥料、农药、工具、耗材及机械等由中标人无偿提供。所有作业必须符合国家、地方及行业相关安全规程。占道作业、农药实施等可能影响师生日常生活的特殊作业，需提前向采购人申请，经同意后方可实施。</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1.范围及等级划分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（1）一级养护区域：校园各校门周边、校园公交运行线路沿线、体育馆西侧百花园、绣球园、南气园、往昔园、</w:t>
      </w:r>
      <w:r>
        <w:rPr>
          <w:rFonts w:hint="eastAsia" w:ascii="仿宋_GB2312" w:hAnsi="仿宋_GB2312" w:eastAsia="仿宋_GB2312" w:cs="仿宋_GB2312"/>
          <w:sz w:val="28"/>
          <w:szCs w:val="28"/>
        </w:rPr>
        <w:t xml:space="preserve">藕舫园</w:t>
      </w:r>
      <w:r>
        <w:rPr>
          <w:rFonts w:hint="eastAsia" w:ascii="仿宋_GB2312" w:hAnsi="仿宋_GB2312" w:eastAsia="仿宋_GB2312" w:cs="仿宋_GB2312"/>
          <w:sz w:val="28"/>
          <w:szCs w:val="28"/>
        </w:rPr>
        <w:t xml:space="preserve">、院士林、银杏林、梅园、杏园、梨园、桃李园、石榴园、尚贤楼南草坪、范仲淹广场、临江楼景观、群英河沿线、公共楼宇等周边及屋面区域内。</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（2）二级养护区域：一级养护区域外的所有绿地。</w:t>
      </w:r>
      <w:r/>
    </w:p>
    <w:p>
      <w:pPr>
        <w:ind w:firstLine="560"/>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2.绿化养护要求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中标人所提供服务，需符合中华人民共和国住房和城乡建设部颁布的《园林绿化养护标准（CJJ/T287-2018）》等国家、行业及地方现行规范要求。</w:t>
      </w:r>
      <w:r>
        <w:rPr>
          <w:rFonts w:hint="eastAsia" w:ascii="仿宋_GB2312" w:hAnsi="仿宋_GB2312" w:eastAsia="仿宋_GB2312" w:cs="仿宋_GB2312"/>
          <w:bCs/>
          <w:sz w:val="28"/>
          <w:szCs w:val="28"/>
        </w:rPr>
        <w:t xml:space="preserve">应依据师生活动规律，编制工作计划以及局部景观提升可行性方案。具体</w:t>
      </w:r>
      <w:r>
        <w:rPr>
          <w:rFonts w:hint="eastAsia" w:ascii="仿宋_GB2312" w:hAnsi="仿宋_GB2312" w:eastAsia="仿宋_GB2312" w:cs="仿宋_GB2312"/>
          <w:sz w:val="28"/>
          <w:szCs w:val="28"/>
        </w:rPr>
        <w:t xml:space="preserve">要求如下：</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（1）养护基本要求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除规范文件所要求的内容外，投标人还应做好以下工作: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①第一季度(1-3月)做好草坪春灌养护工作。对各种落叶及常绿树种进行冬季修剪、抹芽；及时清除草坪杂草并进行3月份春季施肥，保证草坪的干净、整洁。</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②第二季度(4-6月)气温逐渐回暖，每月进行草坪修剪，并结合修剪及时清除草坪杂草。春天是病虫害高发期，要早预防，早发现，早治疗。</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③第三季度(7-9月)草坪植物生长较快，修剪次数不少于每月二次。做好灌溉、抗旱、排水、防涝、抗台、防汛工作。</w:t>
      </w:r>
      <w:r>
        <w:rPr>
          <w:rFonts w:hint="eastAsia" w:ascii="仿宋_GB2312" w:hAnsi="仿宋_GB2312" w:eastAsia="仿宋_GB2312" w:cs="仿宋_GB2312"/>
          <w:sz w:val="28"/>
          <w:szCs w:val="28"/>
        </w:rPr>
        <w:t xml:space="preserve">发现倒斜的</w:t>
      </w:r>
      <w:r>
        <w:rPr>
          <w:rFonts w:hint="eastAsia" w:ascii="仿宋_GB2312" w:hAnsi="仿宋_GB2312" w:eastAsia="仿宋_GB2312" w:cs="仿宋_GB2312"/>
          <w:sz w:val="28"/>
          <w:szCs w:val="28"/>
        </w:rPr>
        <w:t xml:space="preserve">树木要及时采取扶正措施，做好草坪病虫害防治工作。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④第四季度(10-12月)草坪每月修剪1-2次，做好病虫害防治工作，并因地制宜做好除草工作，进行冬季施肥。做好冬季树木修剪工作，做好熟石灰</w:t>
      </w:r>
      <w:r>
        <w:rPr>
          <w:rFonts w:hint="eastAsia" w:ascii="仿宋_GB2312" w:hAnsi="仿宋_GB2312" w:eastAsia="仿宋_GB2312" w:cs="仿宋_GB2312"/>
          <w:sz w:val="28"/>
          <w:szCs w:val="28"/>
        </w:rPr>
        <w:t xml:space="preserve">浆</w:t>
      </w:r>
      <w:r>
        <w:rPr>
          <w:rFonts w:hint="eastAsia" w:ascii="仿宋_GB2312" w:hAnsi="仿宋_GB2312" w:eastAsia="仿宋_GB2312" w:cs="仿宋_GB2312"/>
          <w:sz w:val="28"/>
          <w:szCs w:val="28"/>
        </w:rPr>
        <w:t xml:space="preserve">涂抹树干等防寒工作。</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（2）绿化养护管理质量要求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①乔木长势良好，主侧枝分布匀称；地被、草坪外观整齐，生长良好，无杂草，四季常绿。</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②植物修剪和病虫害控制应及时。</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（3）养护管理技术要求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①修剪</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a.应及时。</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b.绿篱、地被应保持枝叶丰满；球形灌木应常年保持形态完整；色块灌木应保持一定高度，</w:t>
      </w:r>
      <w:r>
        <w:rPr>
          <w:rFonts w:hint="eastAsia" w:ascii="仿宋_GB2312" w:hAnsi="仿宋_GB2312" w:eastAsia="仿宋_GB2312" w:cs="仿宋_GB2312"/>
          <w:sz w:val="28"/>
          <w:szCs w:val="28"/>
        </w:rPr>
        <w:t xml:space="preserve">无缺株和空洞</w:t>
      </w:r>
      <w:r>
        <w:rPr>
          <w:rFonts w:hint="eastAsia" w:ascii="仿宋_GB2312" w:hAnsi="仿宋_GB2312" w:eastAsia="仿宋_GB2312" w:cs="仿宋_GB2312"/>
          <w:sz w:val="28"/>
          <w:szCs w:val="28"/>
        </w:rPr>
        <w:t xml:space="preserve">；草坪修剪后高度宜为8-10厘米，全年修剪次数不少于10次。</w:t>
      </w:r>
      <w:r/>
    </w:p>
    <w:p>
      <w:pPr>
        <w:pStyle w:val="987"/>
        <w:ind w:firstLine="560"/>
        <w:spacing w:beforeAutospacing="0" w:afterAutospacing="0" w:line="560" w:lineRule="exact"/>
        <w:shd w:val="clear" w:color="auto" w:fill="ffff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c.乔木修剪包括定期除枯病枝、合理疏剪通风透光、控制树形高度、遵守季节性修剪原则及处理好剪口。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②浇水</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a.根据当地条件、季节差异和生长状况及时进行浇水，并要浇透。</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b.草坪浇水必须湿透根系层，冷季型草坪在春秋二</w:t>
      </w:r>
      <w:r>
        <w:rPr>
          <w:rFonts w:hint="eastAsia" w:ascii="仿宋_GB2312" w:hAnsi="仿宋_GB2312" w:eastAsia="仿宋_GB2312" w:cs="仿宋_GB2312"/>
          <w:sz w:val="28"/>
          <w:szCs w:val="28"/>
        </w:rPr>
        <w:t xml:space="preserve">季充分</w:t>
      </w:r>
      <w:r>
        <w:rPr>
          <w:rFonts w:hint="eastAsia" w:ascii="仿宋_GB2312" w:hAnsi="仿宋_GB2312" w:eastAsia="仿宋_GB2312" w:cs="仿宋_GB2312"/>
          <w:sz w:val="28"/>
          <w:szCs w:val="28"/>
        </w:rPr>
        <w:t xml:space="preserve">浇水，暖季型草坪夏季勤浇水。</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c.对于名贵树木及新种植树木，视天气情况和植物生长情况对树干和树体进行喷雾。球类、色块等植物要进行蒙尘冲洗。</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③松土、除草</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a.树木根部周围的土壤要保持疏松。</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b.乔、灌木、地被处等杂草应及时铲除。</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④病虫害防治</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植物病虫害应及时防治，需提前向采购人报备。</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⑤施肥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a.每年春秋两季对草坪、花草、乔木、灌木等进行全面科学施肥。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b.以有机肥为主，有机复合肥施肥量不低于25公斤/亩。</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⑥养护</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a.每年须适时对树木进行抗冻处理(根际培土、主干包扎、涂白)。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b.对倾倒乔灌木及时扶正。</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c.对树体上出现的伤口应清理后用药剂消毒，涂保护剂或抹灰膏。</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d.做好乔木抗风暴等灾害性天气的预防工作，及时检查，妥善处理。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⑦枯枝、</w:t>
      </w:r>
      <w:r>
        <w:rPr>
          <w:rFonts w:hint="eastAsia" w:ascii="仿宋_GB2312" w:hAnsi="仿宋_GB2312" w:eastAsia="仿宋_GB2312" w:cs="仿宋_GB2312"/>
          <w:sz w:val="28"/>
          <w:szCs w:val="28"/>
        </w:rPr>
        <w:t xml:space="preserve">死枝清理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发现枯枝、</w:t>
      </w:r>
      <w:r>
        <w:rPr>
          <w:rFonts w:hint="eastAsia" w:ascii="仿宋_GB2312" w:hAnsi="仿宋_GB2312" w:eastAsia="仿宋_GB2312" w:cs="仿宋_GB2312"/>
          <w:sz w:val="28"/>
          <w:szCs w:val="28"/>
        </w:rPr>
        <w:t xml:space="preserve">死枝</w:t>
      </w:r>
      <w:r>
        <w:rPr>
          <w:rFonts w:hint="eastAsia" w:ascii="仿宋_GB2312" w:hAnsi="仿宋_GB2312" w:eastAsia="仿宋_GB2312" w:cs="仿宋_GB2312"/>
          <w:sz w:val="28"/>
          <w:szCs w:val="28"/>
        </w:rPr>
        <w:t xml:space="preserve">(包括所有树木上和地上的全部枯枝、</w:t>
      </w:r>
      <w:r>
        <w:rPr>
          <w:rFonts w:hint="eastAsia" w:ascii="仿宋_GB2312" w:hAnsi="仿宋_GB2312" w:eastAsia="仿宋_GB2312" w:cs="仿宋_GB2312"/>
          <w:sz w:val="28"/>
          <w:szCs w:val="28"/>
        </w:rPr>
        <w:t xml:space="preserve">死枝</w:t>
      </w:r>
      <w:r>
        <w:rPr>
          <w:rFonts w:hint="eastAsia" w:ascii="仿宋_GB2312" w:hAnsi="仿宋_GB2312" w:eastAsia="仿宋_GB2312" w:cs="仿宋_GB2312"/>
          <w:sz w:val="28"/>
          <w:szCs w:val="28"/>
        </w:rPr>
        <w:t xml:space="preserve">)须及时清理。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⑧专人负责绿化养护资料，供采购人检查。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资料记录详细，分类清楚，数据详实。月度养护计划及养护作业应按时记录、及时上报，并符合现状和季节特点。</w:t>
      </w:r>
      <w:r/>
    </w:p>
    <w:p>
      <w:pPr>
        <w:pStyle w:val="985"/>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（4）其他要求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①根据植物生长需求，</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年度使用肥料累计不少于40吨，其中有机肥不少于30吨、化肥不少于10吨。肥料不得在校内随意堆放。使用前，需采购人现场验收并形成记录材料，所有追施肥料的台账齐全。</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②鼓励中标人采取多种形式提高绿化垃圾的有效利用，但不得污染采购人现有环境。</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③根据季节和气候变化，校内秋冬季已规划的绿地需要撒播黑麦草草籽，短期成坪。补植和撒播植物品种须获得采购人管理部门认可后实施。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④</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年度完成5000㎡草坪或同等面积麦冬等地被种植服务</w:t>
      </w:r>
      <w:r>
        <w:rPr>
          <w:rFonts w:hint="eastAsia" w:ascii="仿宋_GB2312" w:hAnsi="仿宋_GB2312" w:eastAsia="仿宋_GB2312" w:cs="仿宋_GB2312"/>
          <w:bCs/>
          <w:i/>
          <w:iCs/>
          <w:sz w:val="28"/>
          <w:szCs w:val="28"/>
          <w:u w:val="single"/>
        </w:rPr>
        <w:t xml:space="preserve">，</w:t>
      </w:r>
      <w:r>
        <w:rPr>
          <w:rFonts w:hint="eastAsia" w:ascii="仿宋_GB2312" w:hAnsi="仿宋_GB2312" w:eastAsia="仿宋_GB2312" w:cs="仿宋_GB2312"/>
          <w:bCs/>
          <w:sz w:val="28"/>
          <w:szCs w:val="28"/>
        </w:rPr>
        <w:t xml:space="preserve">最后一次付款时，根据采购人确认的实际种植面积及肥料使用量，缺少部分在服务费支付时扣除。</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⑤不得使用校内消防用水。</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（六）</w:t>
      </w:r>
      <w:r>
        <w:rPr>
          <w:rFonts w:ascii="仿宋_GB2312" w:hAnsi="仿宋_GB2312" w:eastAsia="仿宋_GB2312" w:cs="仿宋_GB2312"/>
          <w:b/>
          <w:bCs/>
          <w:sz w:val="28"/>
          <w:szCs w:val="28"/>
        </w:rPr>
        <w:t xml:space="preserve">时令花卉服务需求</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1.服务范围</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委托范围内，根据采购人要求在指定区域种植和撒播时令花卉。</w:t>
      </w:r>
      <w:r/>
    </w:p>
    <w:p>
      <w:pPr>
        <w:pStyle w:val="985"/>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年度累计种植不少于10000㎡。每批次种植不少于6种花卉，种植前向采购人提交方案，同意后实施。所有花卉为最佳观赏期，种植密度适宜。</w:t>
      </w:r>
      <w:r/>
    </w:p>
    <w:p>
      <w:pPr>
        <w:ind w:firstLine="560"/>
        <w:jc w:val="left"/>
        <w:spacing w:line="560" w:lineRule="exact"/>
        <w:rPr>
          <w:rFonts w:ascii="仿宋_GB2312" w:hAnsi="仿宋_GB2312" w:eastAsia="仿宋_GB2312" w:cs="仿宋_GB2312"/>
          <w:bCs/>
          <w:sz w:val="28"/>
          <w:szCs w:val="28"/>
          <w:highlight w:val="green"/>
        </w:rPr>
      </w:pPr>
      <w:r>
        <w:rPr>
          <w:rFonts w:hint="eastAsia" w:ascii="仿宋_GB2312" w:hAnsi="仿宋_GB2312" w:eastAsia="仿宋_GB2312" w:cs="仿宋_GB2312"/>
          <w:bCs/>
          <w:sz w:val="28"/>
          <w:szCs w:val="28"/>
        </w:rPr>
        <w:t xml:space="preserve">（2）根据采购人需求，在指定区域撒播时令花籽，</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年度累计不少于10000㎡。撒播的品种和作业方式，提前向采购人管理部门申请，同意后实施。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年度最后一次付款，根据采购人确认的实际种植面积及花卉种类据实结算，缺少部分在支付服务费时扣除。</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校园“四害”防治</w:t>
      </w:r>
      <w:r/>
    </w:p>
    <w:p>
      <w:pPr>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pStyle w:val="985"/>
        <w:ind w:firstLine="560"/>
        <w:jc w:val="both"/>
        <w:spacing w:line="560" w:lineRule="exact"/>
        <w:rPr>
          <w:rFonts w:ascii="仿宋_GB2312" w:hAnsi="仿宋_GB2312" w:eastAsia="仿宋_GB2312" w:cs="仿宋_GB2312"/>
          <w:bCs/>
        </w:rPr>
      </w:pPr>
      <w:r>
        <w:rPr>
          <w:rFonts w:hint="eastAsia" w:ascii="仿宋_GB2312" w:hAnsi="仿宋_GB2312" w:eastAsia="仿宋_GB2312" w:cs="仿宋_GB2312"/>
          <w:bCs/>
        </w:rPr>
        <w:t xml:space="preserve">委托范围内，整体外环境、沁园学生宿舍及文园学生宿舍内四害防治，并满足采购人其他灭杀要求。</w:t>
      </w:r>
      <w:r/>
    </w:p>
    <w:p>
      <w:pPr>
        <w:pStyle w:val="985"/>
        <w:ind w:firstLine="560"/>
        <w:jc w:val="left"/>
        <w:spacing w:line="560" w:lineRule="exact"/>
        <w:rPr>
          <w:rFonts w:ascii="仿宋_GB2312" w:hAnsi="仿宋_GB2312" w:eastAsia="仿宋_GB2312" w:cs="仿宋_GB2312"/>
          <w:bCs/>
        </w:rPr>
        <w:outlineLvl w:val="2"/>
      </w:pPr>
      <w:r>
        <w:rPr>
          <w:rFonts w:hint="eastAsia" w:ascii="仿宋_GB2312" w:hAnsi="仿宋_GB2312" w:eastAsia="仿宋_GB2312" w:cs="仿宋_GB2312"/>
          <w:bCs/>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（1）四害防治单位需具备相关资质，灭四害等作业人员持证上岗。</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（2）需编制四害防治工作计划和实施步骤。</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（3）操作须符合南京市爱国卫生运动委员会相关规定。</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（4）</w:t>
      </w:r>
      <w:r>
        <w:rPr>
          <w:rFonts w:hint="eastAsia" w:ascii="仿宋_GB2312" w:hAnsi="仿宋_GB2312" w:eastAsia="仿宋_GB2312" w:cs="仿宋_GB2312"/>
          <w:sz w:val="28"/>
          <w:szCs w:val="28"/>
        </w:rPr>
        <w:t xml:space="preserve">若中标人无四害防治资质，应与第三方有资质公司签订合作协议</w:t>
      </w:r>
      <w:r>
        <w:rPr>
          <w:rFonts w:hint="eastAsia" w:ascii="仿宋_GB2312" w:hAnsi="仿宋_GB2312" w:eastAsia="仿宋_GB2312" w:cs="仿宋_GB2312"/>
          <w:bCs/>
          <w:sz w:val="28"/>
          <w:szCs w:val="28"/>
        </w:rPr>
        <w:t xml:space="preserve">，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人员进入宿舍区域作业时，必须挂牌上岗并履行登记手续，在校期间应遵守采购人管理规定，接受采购人的监督检查，作业时需穿工作服、佩戴上岗证，作业完毕后需填写《服务报告单》，作为每次服务的依据。</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（6）施工作业期间不得影响学校正常的教学科研及生活秩序。</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（7）合同防治范围内所需的四害防治设施设备、器具、药物、防护物资、警示标识等均由中标人提供；中标人有义务建议、指导、配合合同范围外的其他防治工作。</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（8）如遇采购人接受相关部门检查时，中标人需配合采购人开展工作。</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（9）</w:t>
      </w:r>
      <w:r>
        <w:rPr>
          <w:rFonts w:hint="eastAsia" w:ascii="仿宋_GB2312" w:hAnsi="仿宋_GB2312" w:eastAsia="仿宋_GB2312" w:cs="仿宋_GB2312"/>
          <w:sz w:val="28"/>
          <w:szCs w:val="28"/>
        </w:rPr>
        <w:t xml:space="preserve">鼠类杀灭效果、鼠密度控制水平，蚊、蝇、蟑螂的杀灭率均满足《病媒生物密度控制水平》文件要求。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（10）</w:t>
      </w:r>
      <w:r>
        <w:rPr>
          <w:rFonts w:hint="eastAsia" w:ascii="仿宋_GB2312" w:hAnsi="仿宋_GB2312" w:eastAsia="仿宋_GB2312" w:cs="仿宋_GB2312"/>
          <w:sz w:val="28"/>
          <w:szCs w:val="28"/>
        </w:rPr>
        <w:t xml:space="preserve">合同期内，服务范围内出现四害等问题，中标人须及时到校处理。接到投诉或遇突发事件，须在3小时内到达现场处理。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（11）</w:t>
      </w:r>
      <w:r>
        <w:rPr>
          <w:rFonts w:hint="eastAsia" w:ascii="仿宋_GB2312" w:hAnsi="仿宋_GB2312" w:eastAsia="仿宋_GB2312" w:cs="仿宋_GB2312"/>
          <w:sz w:val="28"/>
          <w:szCs w:val="28"/>
        </w:rPr>
        <w:t xml:space="preserve">采购人按照全国爱国卫生运动委员会颁布的《灭鼠、蚊、蝇、蟑螂标准》对中标人的服务质量组织验收；投入药物定期更换并清晰注明有效期限。</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（八）</w:t>
      </w:r>
      <w:r>
        <w:rPr>
          <w:rFonts w:ascii="仿宋_GB2312" w:hAnsi="仿宋_GB2312" w:eastAsia="仿宋_GB2312" w:cs="仿宋_GB2312"/>
          <w:b/>
          <w:bCs/>
          <w:sz w:val="28"/>
          <w:szCs w:val="28"/>
        </w:rPr>
        <w:t xml:space="preserve">应急预案与安全</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w:t>
      </w:r>
      <w:r/>
    </w:p>
    <w:p>
      <w:pPr>
        <w:pStyle w:val="985"/>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中标人针对暴雨、积雪等灾害性天气，提前制定科学、可行的应急保障方案（方案内容包括但不限于人员储备、设备设施配置和物资储备等），确保校园正常的教学和生活秩序。</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w:t>
      </w:r>
      <w:r>
        <w:rPr>
          <w:rFonts w:hint="eastAsia" w:ascii="仿宋_GB2312" w:hAnsi="仿宋_GB2312" w:eastAsia="仿宋_GB2312" w:cs="仿宋_GB2312"/>
          <w:sz w:val="28"/>
          <w:szCs w:val="28"/>
        </w:rPr>
        <w:t xml:space="preserve">中标人</w:t>
      </w:r>
      <w:r>
        <w:rPr>
          <w:rFonts w:hint="eastAsia" w:ascii="仿宋_GB2312" w:hAnsi="仿宋_GB2312" w:eastAsia="仿宋_GB2312" w:cs="仿宋_GB2312"/>
          <w:sz w:val="28"/>
          <w:szCs w:val="28"/>
        </w:rPr>
        <w:t xml:space="preserve">须组织</w:t>
      </w:r>
      <w:r>
        <w:rPr>
          <w:rFonts w:hint="eastAsia" w:ascii="仿宋_GB2312" w:hAnsi="仿宋_GB2312" w:eastAsia="仿宋_GB2312" w:cs="仿宋_GB2312"/>
          <w:sz w:val="28"/>
          <w:szCs w:val="28"/>
        </w:rPr>
        <w:t xml:space="preserve">应急抢险队伍，配备抢险设备，保持24小时通信畅通，接到险情及时到达现场处理。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w:t>
      </w:r>
      <w:r>
        <w:rPr>
          <w:rFonts w:hint="eastAsia" w:ascii="仿宋_GB2312" w:hAnsi="仿宋_GB2312" w:eastAsia="仿宋_GB2312" w:cs="仿宋_GB2312"/>
          <w:sz w:val="28"/>
          <w:szCs w:val="28"/>
        </w:rPr>
        <w:t xml:space="preserve">中标人在施工、作业及服务等过程中产生的安全生产事故、消防事故、交通安全事故、水电安全事故、人身伤亡、行政处罚等，由中标人承担全部责任，包括但不限于事故处理</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sz w:val="28"/>
          <w:szCs w:val="28"/>
        </w:rPr>
        <w:t xml:space="preserve">损失赔偿</w:t>
      </w:r>
      <w:r>
        <w:rPr>
          <w:rFonts w:hint="eastAsia" w:ascii="仿宋_GB2312" w:hAnsi="仿宋_GB2312" w:eastAsia="仿宋_GB2312" w:cs="仿宋_GB2312"/>
          <w:bCs/>
          <w:sz w:val="28"/>
          <w:szCs w:val="28"/>
        </w:rPr>
        <w:t xml:space="preserve">、工程恢复及行政处罚等相关费用。</w:t>
      </w:r>
      <w:r>
        <w:rPr>
          <w:rFonts w:hint="eastAsia" w:ascii="仿宋_GB2312" w:hAnsi="仿宋_GB2312" w:eastAsia="仿宋_GB2312" w:cs="仿宋_GB2312"/>
          <w:sz w:val="28"/>
          <w:szCs w:val="28"/>
        </w:rPr>
        <w:t xml:space="preserve">造成采购人或第三人人身财产损失的，中标人承担一切法律及赔偿责任。</w:t>
      </w:r>
      <w:r/>
    </w:p>
    <w:p>
      <w:pPr>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（九）其他 </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中标人协助</w:t>
      </w:r>
      <w:r>
        <w:rPr>
          <w:rFonts w:hint="eastAsia" w:ascii="仿宋_GB2312" w:hAnsi="仿宋_GB2312" w:eastAsia="仿宋_GB2312" w:cs="仿宋_GB2312"/>
          <w:bCs/>
          <w:sz w:val="28"/>
          <w:szCs w:val="28"/>
        </w:rPr>
        <w:t xml:space="preserve">采购人监督校内施工单位，要求施工期间保护校内设施与绿化。</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bCs/>
          <w:sz w:val="28"/>
          <w:szCs w:val="28"/>
        </w:rPr>
        <w:t xml:space="preserve">2.施工单位未及时清运垃圾或破坏校园设施与绿化等，中标人及时通知采购人管理部门，协助采购人做好相关工作。</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3.汛期及灾害性天气，严格执行地方政府以及采购人具体指示与要求，确保托管区域内无大面</w:t>
      </w:r>
      <w:r>
        <w:rPr>
          <w:rFonts w:hint="eastAsia" w:ascii="仿宋_GB2312" w:hAnsi="仿宋_GB2312" w:eastAsia="仿宋_GB2312" w:cs="仿宋_GB2312"/>
          <w:bCs/>
          <w:sz w:val="28"/>
          <w:szCs w:val="28"/>
        </w:rPr>
        <w:t xml:space="preserve">积积</w:t>
      </w:r>
      <w:r>
        <w:rPr>
          <w:rFonts w:hint="eastAsia" w:ascii="仿宋_GB2312" w:hAnsi="仿宋_GB2312" w:eastAsia="仿宋_GB2312" w:cs="仿宋_GB2312"/>
          <w:bCs/>
          <w:sz w:val="28"/>
          <w:szCs w:val="28"/>
        </w:rPr>
        <w:t xml:space="preserve">水</w:t>
      </w:r>
      <w:r>
        <w:rPr>
          <w:rFonts w:hint="eastAsia" w:ascii="仿宋_GB2312" w:hAnsi="仿宋_GB2312" w:eastAsia="仿宋_GB2312" w:cs="仿宋_GB2312"/>
          <w:sz w:val="28"/>
          <w:szCs w:val="28"/>
        </w:rPr>
        <w:t xml:space="preserve">、积雪等</w:t>
      </w:r>
      <w:r>
        <w:rPr>
          <w:rFonts w:hint="eastAsia" w:ascii="仿宋_GB2312" w:hAnsi="仿宋_GB2312" w:eastAsia="仿宋_GB2312" w:cs="仿宋_GB2312"/>
          <w:bCs/>
          <w:sz w:val="28"/>
          <w:szCs w:val="28"/>
        </w:rPr>
        <w:t xml:space="preserve">，保证师生出行与校园财产安全。</w:t>
      </w:r>
      <w:r/>
    </w:p>
    <w:p>
      <w:pPr>
        <w:ind w:firstLine="560"/>
        <w:jc w:val="left"/>
        <w:spacing w:line="560" w:lineRule="exact"/>
        <w:rPr>
          <w:rFonts w:ascii="仿宋_GB2312" w:hAnsi="仿宋_GB2312" w:eastAsia="仿宋_GB2312" w:cs="仿宋_GB2312"/>
          <w:b/>
          <w:bCs/>
          <w:sz w:val="28"/>
          <w:szCs w:val="28"/>
        </w:rPr>
        <w:outlineLvl w:val="2"/>
      </w:pPr>
      <w:r>
        <w:rPr>
          <w:rFonts w:hint="eastAsia" w:ascii="仿宋_GB2312" w:hAnsi="仿宋_GB2312" w:eastAsia="仿宋_GB2312" w:cs="仿宋_GB2312"/>
          <w:bCs/>
          <w:sz w:val="28"/>
          <w:szCs w:val="28"/>
        </w:rPr>
        <w:t xml:space="preserve">4.</w:t>
      </w:r>
      <w:r>
        <w:rPr>
          <w:rFonts w:ascii="仿宋_GB2312" w:hAnsi="仿宋_GB2312" w:eastAsia="仿宋_GB2312" w:cs="仿宋_GB2312"/>
          <w:bCs/>
          <w:sz w:val="28"/>
          <w:szCs w:val="28"/>
        </w:rPr>
        <w:t xml:space="preserve">进退场交接</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（1）交接要求</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期满或因中标人违约导致合同提前终止的，中标人在退场前一周完成合同范围内设施设备的自查与维修；在校园建设的场地、车棚等，按采购人要求检修或拆除，如不到位，采购人安排维修等所产生的费用由中标人承担，采购人有权从剩余服务费和履约保证金中给予扣除。</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lang w:bidi="ar"/>
        </w:rPr>
        <w:t xml:space="preserve">交接通知</w:t>
      </w:r>
      <w:r/>
    </w:p>
    <w:p>
      <w:pPr>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lang w:bidi="ar"/>
        </w:rPr>
        <w:t xml:space="preserve">进退场时，提前15个工作日发布交接通知，告知交接时间、流程及相关注意事项。</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bidi="ar"/>
        </w:rPr>
        <w:t xml:space="preserve">资料交接</w:t>
      </w:r>
      <w:r/>
    </w:p>
    <w:p>
      <w:pPr>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对公共区域使用记录、固定资产保管记录等档案资料进行交接。退场时，须向中标单位移交纸质资料和电子文档。</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bidi="ar"/>
        </w:rPr>
        <w:t xml:space="preserve">设施设备交接</w:t>
      </w:r>
      <w:r/>
    </w:p>
    <w:p>
      <w:pPr>
        <w:ind w:firstLine="48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进退场时，依据设施设备台账，分别对所有设施设备进行现场清点。并签署设施设备交接清单，明确设施设备现状及责任划分。</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（5）</w:t>
      </w:r>
      <w:r>
        <w:rPr>
          <w:rFonts w:hint="eastAsia" w:ascii="仿宋_GB2312" w:hAnsi="仿宋_GB2312" w:eastAsia="仿宋_GB2312" w:cs="仿宋_GB2312"/>
          <w:sz w:val="28"/>
          <w:szCs w:val="28"/>
          <w:lang w:bidi="ar"/>
        </w:rPr>
        <w:t xml:space="preserve">财务清算</w:t>
      </w:r>
      <w:r/>
    </w:p>
    <w:p>
      <w:pPr>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退场时，中标人对未结清的费用</w:t>
      </w:r>
      <w:r>
        <w:rPr>
          <w:rFonts w:hint="eastAsia" w:ascii="仿宋_GB2312" w:hAnsi="仿宋_GB2312" w:eastAsia="仿宋_GB2312" w:cs="仿宋_GB2312"/>
          <w:sz w:val="28"/>
          <w:szCs w:val="28"/>
        </w:rPr>
        <w:t xml:space="preserve">、固定资产台账等，编制财务清算报告，确保账目清晰准确。</w:t>
      </w:r>
      <w:r/>
    </w:p>
    <w:p>
      <w:pPr>
        <w:ind w:firstLine="562"/>
        <w:jc w:val="left"/>
        <w:spacing w:line="560" w:lineRule="exact"/>
        <w:rPr>
          <w:rFonts w:ascii="仿宋_GB2312" w:hAnsi="仿宋_GB2312" w:eastAsia="仿宋_GB2312" w:cs="仿宋_GB2312"/>
          <w:color w:val="000000"/>
          <w:sz w:val="28"/>
          <w:szCs w:val="28"/>
        </w:rPr>
        <w:outlineLvl w:val="0"/>
      </w:pPr>
      <w:r>
        <w:rPr>
          <w:rFonts w:hint="eastAsia" w:ascii="仿宋_GB2312" w:hAnsi="仿宋_GB2312" w:eastAsia="仿宋_GB2312" w:cs="仿宋_GB2312"/>
          <w:b/>
          <w:bCs/>
          <w:sz w:val="28"/>
          <w:szCs w:val="28"/>
        </w:rPr>
        <w:t xml:space="preserve">五、服务方案</w:t>
      </w:r>
      <w:r/>
    </w:p>
    <w:p>
      <w:pPr>
        <w:ind w:firstLine="480"/>
        <w:spacing w:line="360" w:lineRule="auto"/>
        <w:widowControl/>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投标人基于对本</w:t>
      </w:r>
      <w:r>
        <w:rPr>
          <w:rFonts w:hint="eastAsia" w:ascii="仿宋_GB2312" w:hAnsi="仿宋_GB2312" w:eastAsia="仿宋_GB2312" w:cs="仿宋_GB2312"/>
          <w:color w:val="0d0d0d"/>
          <w:sz w:val="28"/>
          <w:szCs w:val="28"/>
        </w:rPr>
        <w:t xml:space="preserve">项目项目</w:t>
      </w:r>
      <w:r>
        <w:rPr>
          <w:rFonts w:hint="eastAsia" w:ascii="仿宋_GB2312" w:hAnsi="仿宋_GB2312" w:eastAsia="仿宋_GB2312" w:cs="仿宋_GB2312"/>
          <w:color w:val="0d0d0d"/>
          <w:sz w:val="28"/>
          <w:szCs w:val="28"/>
        </w:rPr>
        <w:t xml:space="preserve">特点的理解和认识，进行总体分析，提出包括认识、定位、目标、整体设想等方面的总体实施方案，管理模式、运作流程等，确保日常保洁、垃圾外运、化粪池清理、绿化养护服务、时令花卉服务、校园“四害”防治、应急预案、进退场等各项服务方案全面完整、科学合理，具有可行性。</w:t>
      </w:r>
      <w:r/>
    </w:p>
    <w:p>
      <w:pPr>
        <w:numPr>
          <w:ilvl w:val="0"/>
          <w:numId w:val="4"/>
        </w:numPr>
        <w:ind w:firstLine="48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项目运营和管理方案</w:t>
      </w:r>
      <w:r/>
    </w:p>
    <w:p>
      <w:pPr>
        <w:ind w:firstLine="56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应依据本项目采购需求及实际情况，拟定管理理念，分析项目服务重点难点并制定应对措施，搭建项目组织架构、明确各岗位职责，建立人员稳定保障机制与员工培训考核体系，完善档案管理、服务公示及节能降耗具体实施举措。制定切实可行的运作模式、运作流程、项目保障等方案。</w:t>
      </w:r>
      <w:r/>
    </w:p>
    <w:p>
      <w:pPr>
        <w:pStyle w:val="985"/>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2.室外保洁类服务方案</w:t>
      </w:r>
      <w:r/>
    </w:p>
    <w:p>
      <w:pPr>
        <w:pStyle w:val="985"/>
        <w:ind w:firstLine="560"/>
        <w:jc w:val="both"/>
        <w:spacing w:line="560" w:lineRule="exact"/>
        <w:rPr>
          <w:rFonts w:ascii="仿宋_GB2312" w:hAnsi="仿宋_GB2312" w:eastAsia="仿宋_GB2312" w:cs="仿宋_GB2312"/>
          <w:shd w:val="clear" w:color="auto" w:fill="ffffff"/>
        </w:rPr>
      </w:pPr>
      <w:r>
        <w:rPr>
          <w:rFonts w:hint="eastAsia" w:ascii="仿宋_GB2312" w:hAnsi="仿宋_GB2312" w:eastAsia="仿宋_GB2312" w:cs="仿宋_GB2312"/>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p>
    <w:p>
      <w:pPr>
        <w:ind w:firstLine="560"/>
        <w:spacing w:line="560" w:lineRule="exact"/>
        <w:rPr>
          <w:rFonts w:ascii="仿宋_GB2312" w:hAnsi="仿宋_GB2312" w:eastAsia="仿宋_GB2312" w:cs="仿宋_GB2312"/>
          <w:sz w:val="28"/>
          <w:szCs w:val="28"/>
          <w:shd w:val="clear" w:color="auto" w:fill="ffffff"/>
        </w:rPr>
      </w:pPr>
      <w:r>
        <w:rPr>
          <w:rFonts w:hint="eastAsia" w:ascii="仿宋_GB2312" w:hAnsi="仿宋_GB2312" w:eastAsia="仿宋_GB2312" w:cs="仿宋_GB2312"/>
          <w:sz w:val="28"/>
          <w:szCs w:val="28"/>
          <w:shd w:val="clear" w:color="auto" w:fill="ffffff"/>
        </w:rPr>
        <w:t xml:space="preserve">3.垃圾外运服务方案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4.校内化粪池清理服务方案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投标人结合本项目特点，制定化粪池清掏、巡查维护、安全作业、现场恢复及台</w:t>
      </w:r>
      <w:r>
        <w:rPr>
          <w:rFonts w:hint="eastAsia" w:ascii="仿宋_GB2312" w:hAnsi="仿宋_GB2312" w:eastAsia="仿宋_GB2312" w:cs="仿宋_GB2312"/>
          <w:sz w:val="28"/>
          <w:szCs w:val="28"/>
        </w:rPr>
        <w:t xml:space="preserve">账管理</w:t>
      </w:r>
      <w:r>
        <w:rPr>
          <w:rFonts w:hint="eastAsia" w:ascii="仿宋_GB2312" w:hAnsi="仿宋_GB2312" w:eastAsia="仿宋_GB2312" w:cs="仿宋_GB2312"/>
          <w:sz w:val="28"/>
          <w:szCs w:val="28"/>
        </w:rPr>
        <w:t xml:space="preserve">实施方案，明确标准化作业流程、清掏频次、假期保障措施、应急处置流程与安全防护措施。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5.动物饲养服务方案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投标人结合本项目特点，制定动物日常饲养、防疫、环境维护、品种数量保障等实施方案，涵盖人员配置、物资保障与管理流程。</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6.绿化养护服务方案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7.时令花卉服务方案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投标人结合本项目特点，制定时令花卉种植与花籽撒播实施方案，包含种植计划、品种选择、景观效果保障及相关物资与设备配置。</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8.校园“四害”防治方案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投标人结合本项目特点，制定校园内外环境“四害”防治实施方案，包含作业流程、防治标准、防治频次、应急响应时间、安全规范与验收标准。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9.应急预案与安全方案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投标人结合本项目特点，制定针对灾害天气、突发事件等应急处置与安全生产保障方案，涵盖应急队伍、设备物资，响应机制与安全责任。</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10.进退场交接方案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投标人提供针对本项目特点，制定进退场交接实施方案，明确交接流程、资料移交、设施设备清点、财务清算，确保交接工作平稳过渡。</w:t>
      </w:r>
      <w:r/>
    </w:p>
    <w:p>
      <w:pPr>
        <w:ind w:firstLine="562"/>
        <w:jc w:val="left"/>
        <w:spacing w:line="560" w:lineRule="exact"/>
        <w:tabs>
          <w:tab w:val="left" w:pos="200" w:leader="none"/>
        </w:tabs>
        <w:rPr>
          <w:rFonts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六、 人员要求</w:t>
      </w:r>
      <w:r/>
    </w:p>
    <w:p>
      <w:pPr>
        <w:ind w:firstLine="643"/>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p>
    <w:p>
      <w:pPr>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（一）人员数量</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1.岗位配置如下：项目经理1人、项目主管2人、安全员1人、电工1人、四害灭杀1人、保洁班组长6人、绿化班组长2人、动物饲养员2人。</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2.保洁及其他工作人员：69人。</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3.采购人根据中标人投标承诺对配备的工作人员数量进行考核。</w:t>
      </w:r>
      <w:r/>
    </w:p>
    <w:p>
      <w:pPr>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（二）从业人员要求</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1.基本要求：必须符合应聘岗位职责要求、工作态度端正、服务热情、身体健康，进场前提供无犯罪记录证明。</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2.管理岗要求：项目经理、项目主管（保洁）、项目主管（绿化）、安全员、电工岗位人员，除满足第一条基本要求外，还需同时满足</w:t>
      </w:r>
      <w:r>
        <w:rPr>
          <w:rFonts w:hint="eastAsia" w:ascii="仿宋" w:hAnsi="仿宋" w:eastAsia="仿宋" w:cs="仿宋_GB2312"/>
          <w:sz w:val="28"/>
          <w:szCs w:val="28"/>
        </w:rPr>
        <w:t xml:space="preserve">：</w:t>
      </w:r>
      <w:r>
        <w:rPr>
          <w:rFonts w:hint="eastAsia" w:ascii="仿宋" w:hAnsi="仿宋" w:eastAsia="仿宋" w:cs="宋体"/>
          <w:i/>
          <w:iCs/>
          <w:color w:val="000000"/>
          <w:sz w:val="28"/>
          <w:szCs w:val="28"/>
          <w:u w:val="single"/>
        </w:rPr>
        <w:t xml:space="preserve">（1）执行合同期间未达到法定退休年龄</w:t>
      </w:r>
      <w:r>
        <w:rPr>
          <w:rFonts w:hint="eastAsia" w:ascii="仿宋" w:hAnsi="仿宋" w:eastAsia="仿宋" w:cs="宋体"/>
          <w:color w:val="000000"/>
          <w:sz w:val="28"/>
          <w:szCs w:val="28"/>
        </w:rPr>
        <w:t xml:space="preserve">。</w:t>
      </w:r>
      <w:r>
        <w:rPr>
          <w:rFonts w:hint="eastAsia" w:ascii="仿宋_GB2312" w:hAnsi="仿宋_GB2312" w:eastAsia="仿宋_GB2312" w:cs="仿宋_GB2312"/>
          <w:sz w:val="28"/>
          <w:szCs w:val="28"/>
        </w:rPr>
        <w:t xml:space="preserve">（2）法定工作日驻点办公，并满足采购人应急保障需求。</w:t>
      </w:r>
      <w:r/>
    </w:p>
    <w:p>
      <w:pPr>
        <w:ind w:firstLine="560"/>
        <w:jc w:val="left"/>
        <w:spacing w:line="560" w:lineRule="exact"/>
        <w:tabs>
          <w:tab w:val="left" w:pos="200" w:leader="none"/>
        </w:tabs>
        <w:rPr>
          <w:rFonts w:ascii="仿宋_GB2312" w:hAnsi="仿宋_GB2312" w:eastAsia="仿宋_GB2312" w:cs="仿宋_GB2312"/>
          <w:color w:val="ff0000"/>
          <w:sz w:val="28"/>
          <w:szCs w:val="28"/>
        </w:rPr>
      </w:pPr>
      <w:r>
        <w:rPr>
          <w:rFonts w:hint="eastAsia" w:ascii="仿宋_GB2312" w:hAnsi="仿宋_GB2312" w:eastAsia="仿宋_GB2312" w:cs="仿宋_GB2312"/>
          <w:sz w:val="28"/>
          <w:szCs w:val="28"/>
        </w:rPr>
        <w:t xml:space="preserve">3.非管理岗要求：（1）全勤在岗，（2）合法用工。</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4.人员更换规定：</w:t>
      </w:r>
      <w:r/>
    </w:p>
    <w:p>
      <w:pPr>
        <w:ind w:firstLine="560"/>
        <w:jc w:val="left"/>
        <w:spacing w:line="560" w:lineRule="exact"/>
        <w:tabs>
          <w:tab w:val="left" w:pos="200" w:leader="none"/>
        </w:tabs>
        <w:rPr>
          <w:rFonts w:ascii="仿宋_GB2312" w:hAnsi="仿宋_GB2312" w:eastAsia="仿宋_GB2312" w:cs="仿宋_GB2312"/>
          <w:i/>
          <w:iCs/>
          <w:sz w:val="28"/>
          <w:szCs w:val="28"/>
          <w:u w:val="single"/>
        </w:rPr>
      </w:pPr>
      <w:r>
        <w:rPr>
          <w:rFonts w:hint="eastAsia" w:ascii="仿宋_GB2312" w:hAnsi="仿宋_GB2312" w:eastAsia="仿宋_GB2312" w:cs="仿宋_GB2312"/>
          <w:i/>
          <w:iCs/>
          <w:sz w:val="28"/>
          <w:szCs w:val="28"/>
          <w:u w:val="single"/>
        </w:rPr>
        <w:t xml:space="preserve">合同期内，项目经理和项目主管不得随意更换，如果更换须提前一个月通知采购人并经采购人同意。其他工作人员调整，提前三天报采购人备案。</w:t>
      </w:r>
      <w:r/>
    </w:p>
    <w:p>
      <w:pPr>
        <w:ind w:firstLine="560"/>
        <w:jc w:val="left"/>
        <w:spacing w:line="560" w:lineRule="exact"/>
        <w:tabs>
          <w:tab w:val="left" w:pos="200" w:leader="none"/>
        </w:tabs>
      </w:pPr>
      <w:r>
        <w:rPr>
          <w:rFonts w:hint="eastAsia" w:ascii="仿宋_GB2312" w:hAnsi="仿宋_GB2312" w:eastAsia="仿宋_GB2312" w:cs="仿宋_GB2312"/>
          <w:sz w:val="28"/>
          <w:szCs w:val="28"/>
        </w:rPr>
        <w:t xml:space="preserve">5.素质要求：</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所有进场员工经过专业岗位培训，特殊工种（电工、安全员等）需持有效证件上岗。所有员工应具备与本岗位相适应的作业与沟通能力。</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具体岗位人员要求：</w:t>
      </w:r>
      <w:r/>
    </w:p>
    <w:tbl>
      <w:tblPr>
        <w:tblW w:w="8289" w:type="dxa"/>
        <w:jc w:val="center"/>
        <w:tblCellMar>
          <w:left w:w="0" w:type="dxa"/>
          <w:right w:w="0" w:type="dxa"/>
        </w:tblCellMar>
        <w:tblLook w:val="04A0" w:firstRow="1" w:lastRow="0" w:firstColumn="1" w:lastColumn="0" w:noHBand="0" w:noVBand="1"/>
      </w:tblPr>
      <w:tblGrid>
        <w:gridCol w:w="1663"/>
        <w:gridCol w:w="805"/>
        <w:gridCol w:w="5821"/>
      </w:tblGrid>
      <w:tr>
        <w:trPr>
          <w:jc w:val="center"/>
          <w:trHeight w:val="429"/>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before="145" w:line="360" w:lineRule="auto"/>
              <w:widowControl/>
              <w:rPr>
                <w:rFonts w:ascii="宋体" w:hAnsi="宋体" w:cs="宋体"/>
                <w:sz w:val="24"/>
                <w:szCs w:val="24"/>
              </w:rPr>
            </w:pPr>
            <w:r>
              <w:rPr>
                <w:rFonts w:hint="eastAsia" w:ascii="宋体" w:hAnsi="宋体" w:cs="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before="145" w:line="360" w:lineRule="auto"/>
              <w:widowControl/>
              <w:rPr>
                <w:rFonts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jc w:val="center"/>
              <w:spacing w:before="145" w:line="360" w:lineRule="auto"/>
              <w:widowControl/>
              <w:rPr>
                <w:rFonts w:ascii="宋体" w:hAnsi="宋体" w:cs="宋体"/>
                <w:color w:val="000000"/>
                <w:sz w:val="24"/>
                <w:szCs w:val="24"/>
              </w:rPr>
            </w:pPr>
            <w:r>
              <w:rPr>
                <w:rFonts w:hint="eastAsia" w:ascii="宋体" w:hAnsi="宋体" w:cs="宋体"/>
                <w:color w:val="000000"/>
                <w:sz w:val="24"/>
                <w:szCs w:val="24"/>
              </w:rPr>
              <w:t xml:space="preserve">备注（岗位职责、需具备的上岗资格证、人员学历、工作经验等要求）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1.本科及以上学历；</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bookmarkStart w:id="168" w:name="OLE_LINK4"/>
            <w:r>
              <w:rPr>
                <w:rFonts w:hint="eastAsia" w:ascii="宋体" w:hAnsi="宋体" w:cs="宋体"/>
                <w:color w:val="000000"/>
                <w:sz w:val="24"/>
                <w:szCs w:val="24"/>
              </w:rPr>
              <w:t xml:space="preserve">持有职称评审部门颁发的</w:t>
            </w:r>
            <w:bookmarkEnd w:id="168"/>
            <w:r>
              <w:rPr>
                <w:rFonts w:hint="eastAsia" w:ascii="宋体" w:hAnsi="宋体" w:cs="宋体"/>
                <w:color w:val="000000"/>
                <w:sz w:val="24"/>
                <w:szCs w:val="24"/>
              </w:rPr>
              <w:t xml:space="preserve">园林绿化类中级及以上职称</w:t>
            </w:r>
            <w:r>
              <w:rPr>
                <w:rFonts w:hint="eastAsia" w:ascii="宋体" w:hAnsi="宋体" w:cs="宋体"/>
                <w:color w:val="000000"/>
                <w:sz w:val="24"/>
                <w:szCs w:val="24"/>
                <w:shd w:val="clear" w:color="auto" w:fill="ffffff"/>
              </w:rPr>
              <w:t xml:space="preserve">；</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3.具有三年及以上类似项目管理经验；</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4.负责制定项目工作计划，开展团队管理和业务协调等工作，统筹绿化养护整体安排，组织实施并监督落实；</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5.根据合同需求统筹安排日常工作和满足采购人其他需求。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项目主管（保洁）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1.专科及以上学历；</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2.持有</w:t>
            </w:r>
            <w:r>
              <w:rPr>
                <w:rFonts w:hint="eastAsia" w:ascii="宋体" w:hAnsi="宋体" w:cs="宋体"/>
                <w:color w:val="000000"/>
                <w:sz w:val="24"/>
                <w:szCs w:val="24"/>
                <w:shd w:val="clear" w:color="auto" w:fill="ffffff"/>
              </w:rPr>
              <w:t xml:space="preserve">保洁</w:t>
            </w:r>
            <w:r>
              <w:rPr>
                <w:rFonts w:hint="eastAsia" w:ascii="宋体" w:hAnsi="宋体" w:cs="宋体"/>
                <w:color w:val="000000"/>
                <w:sz w:val="24"/>
                <w:szCs w:val="24"/>
                <w:shd w:val="clear" w:color="auto" w:fill="ffffff"/>
              </w:rPr>
              <w:t xml:space="preserve">类</w:t>
            </w:r>
            <w:r>
              <w:rPr>
                <w:rFonts w:hint="eastAsia" w:ascii="宋体" w:hAnsi="宋体" w:cs="宋体"/>
                <w:color w:val="000000"/>
                <w:sz w:val="24"/>
                <w:szCs w:val="24"/>
                <w:shd w:val="clear" w:color="auto" w:fill="ffffff"/>
              </w:rPr>
              <w:t xml:space="preserve">职业技能等级证书</w:t>
            </w:r>
            <w:r>
              <w:rPr>
                <w:rFonts w:hint="eastAsia" w:ascii="宋体" w:hAnsi="宋体" w:cs="宋体"/>
                <w:sz w:val="24"/>
                <w:szCs w:val="24"/>
                <w:shd w:val="clear" w:color="auto" w:fill="ffffff"/>
              </w:rPr>
              <w:t xml:space="preserve">，</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3.具有三年及以上类似岗位管理经验；</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shd w:val="clear" w:color="auto" w:fill="ffffff"/>
              </w:rPr>
              <w:t xml:space="preserve">负责保洁工作计划的执行，日常工作管理及员工培训考核等；</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负责保洁等日常工作并满足采购人其他需求；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项目主管（绿化）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1.专科及以上学历；</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2.具有职称评审部门颁发的园林绿化类初级及以上职称；</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3.具有三年及以上类似岗位管理经验； </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4.</w:t>
            </w:r>
            <w:r>
              <w:rPr>
                <w:rFonts w:hint="eastAsia" w:ascii="宋体" w:hAnsi="宋体" w:cs="宋体"/>
                <w:color w:val="000000"/>
                <w:sz w:val="24"/>
                <w:szCs w:val="24"/>
                <w:shd w:val="clear" w:color="auto" w:fill="ffffff"/>
              </w:rPr>
              <w:t xml:space="preserve">负责绿化工作计划的执行，日常工作管理及员工培训考核等；</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5.负责绿化等日常工作并满足采购人其他需求；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安全员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5"/>
              </w:numPr>
              <w:ind w:firstLine="120"/>
              <w:jc w:val="left"/>
              <w:spacing w:line="360" w:lineRule="auto"/>
              <w:widowControl/>
              <w:rPr>
                <w:rFonts w:ascii="宋体" w:hAnsi="宋体" w:cs="宋体"/>
                <w:sz w:val="24"/>
                <w:szCs w:val="24"/>
              </w:rPr>
            </w:pPr>
            <w:r>
              <w:rPr>
                <w:rFonts w:hint="eastAsia" w:ascii="宋体" w:hAnsi="宋体" w:cs="宋体"/>
                <w:sz w:val="24"/>
                <w:szCs w:val="24"/>
              </w:rPr>
              <w:t xml:space="preserve">具有三年</w:t>
            </w:r>
            <w:r>
              <w:rPr>
                <w:rFonts w:hint="eastAsia" w:ascii="宋体" w:hAnsi="宋体" w:cs="宋体"/>
                <w:sz w:val="24"/>
                <w:szCs w:val="24"/>
              </w:rPr>
              <w:t xml:space="preserve">及以上</w:t>
            </w:r>
            <w:r>
              <w:rPr>
                <w:rFonts w:hint="eastAsia" w:ascii="宋体" w:hAnsi="宋体" w:cs="宋体"/>
                <w:sz w:val="24"/>
                <w:szCs w:val="24"/>
              </w:rPr>
              <w:t xml:space="preserve">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shd w:val="clear" w:color="auto" w:fill="ffffff"/>
              </w:rPr>
              <w:t xml:space="preserve">负责项目整体安全运行，全员安全培训、作业现场安全监督、风险排查、应急预案执行等。</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1.持有国家应急管理部颁发的特种作业操作证（低压电工作业）</w:t>
            </w:r>
            <w:r>
              <w:rPr>
                <w:rFonts w:hint="eastAsia" w:ascii="宋体" w:hAnsi="宋体" w:cs="宋体"/>
                <w:sz w:val="24"/>
                <w:szCs w:val="24"/>
                <w:shd w:val="clear" w:color="auto" w:fill="ffffff"/>
              </w:rPr>
              <w:t xml:space="preserve">；</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w:t>
            </w:r>
            <w:r>
              <w:rPr>
                <w:rFonts w:hint="eastAsia" w:ascii="宋体" w:hAnsi="宋体" w:cs="宋体"/>
                <w:sz w:val="24"/>
                <w:szCs w:val="24"/>
              </w:rPr>
              <w:t xml:space="preserve">及以上</w:t>
            </w:r>
            <w:r>
              <w:rPr>
                <w:rFonts w:hint="eastAsia" w:ascii="宋体" w:hAnsi="宋体" w:cs="宋体"/>
                <w:sz w:val="24"/>
                <w:szCs w:val="24"/>
              </w:rPr>
              <w:t xml:space="preserve">类似岗位类似项目工作经验；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负责项目的用电安全。</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四害灭杀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6"/>
              </w:numPr>
              <w:ind w:firstLine="120"/>
              <w:jc w:val="left"/>
              <w:spacing w:line="360" w:lineRule="auto"/>
              <w:widowControl/>
              <w:tabs>
                <w:tab w:val="left" w:pos="312"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持有有害生物防制类职业技能等级证书,</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p>
          <w:p>
            <w:pPr>
              <w:numPr>
                <w:ilvl w:val="0"/>
                <w:numId w:val="6"/>
              </w:numPr>
              <w:ind w:firstLine="120"/>
              <w:jc w:val="left"/>
              <w:spacing w:line="360" w:lineRule="auto"/>
              <w:widowControl/>
              <w:tabs>
                <w:tab w:val="left" w:pos="312" w:leader="none"/>
              </w:tabs>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根据相关标准执行蚊、蝇、鼠、蟑螂等防</w:t>
            </w:r>
            <w:r>
              <w:rPr>
                <w:rFonts w:hint="eastAsia" w:ascii="宋体" w:hAnsi="宋体" w:cs="宋体"/>
                <w:color w:val="000000"/>
                <w:sz w:val="24"/>
                <w:szCs w:val="24"/>
                <w:shd w:val="clear" w:color="auto" w:fill="ffffff"/>
              </w:rPr>
              <w:t xml:space="preserve">制</w:t>
            </w:r>
            <w:r>
              <w:rPr>
                <w:rFonts w:hint="eastAsia" w:ascii="宋体" w:hAnsi="宋体" w:cs="宋体"/>
                <w:color w:val="000000"/>
                <w:sz w:val="24"/>
                <w:szCs w:val="24"/>
                <w:shd w:val="clear" w:color="auto" w:fill="ffffff"/>
              </w:rPr>
              <w:t xml:space="preserve">工作、安全投放药物，监测密度，确保达到控制标准。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保洁班组长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w:t>
            </w:r>
            <w:r>
              <w:rPr>
                <w:rFonts w:hint="eastAsia" w:ascii="宋体" w:hAnsi="宋体" w:cs="宋体"/>
                <w:sz w:val="24"/>
                <w:szCs w:val="24"/>
                <w:shd w:val="clear" w:color="auto" w:fill="ffffff"/>
              </w:rPr>
              <w:t xml:space="preserve">保洁</w:t>
            </w:r>
            <w:r>
              <w:rPr>
                <w:rFonts w:hint="eastAsia" w:ascii="宋体" w:hAnsi="宋体" w:cs="宋体"/>
                <w:sz w:val="24"/>
                <w:szCs w:val="24"/>
                <w:shd w:val="clear" w:color="auto" w:fill="ffffff"/>
              </w:rPr>
              <w:t xml:space="preserve">类</w:t>
            </w:r>
            <w:r>
              <w:rPr>
                <w:rFonts w:hint="eastAsia" w:ascii="宋体" w:hAnsi="宋体" w:cs="宋体"/>
                <w:sz w:val="24"/>
                <w:szCs w:val="24"/>
                <w:shd w:val="clear" w:color="auto" w:fill="ffffff"/>
              </w:rPr>
              <w:t xml:space="preserve">职业技能等级证书，</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2.具有三年及以上类似岗位工作经验；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负责日常保洁、分配任务、检查质量、管理物料，响应其他需求。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1.持有园林绿化</w:t>
            </w:r>
            <w:r>
              <w:rPr>
                <w:rFonts w:hint="eastAsia" w:ascii="宋体" w:hAnsi="宋体" w:cs="宋体"/>
                <w:sz w:val="24"/>
                <w:szCs w:val="24"/>
              </w:rPr>
              <w:t xml:space="preserve">类</w:t>
            </w:r>
            <w:r>
              <w:rPr>
                <w:rFonts w:hint="eastAsia" w:ascii="宋体" w:hAnsi="宋体" w:cs="宋体"/>
                <w:sz w:val="24"/>
                <w:szCs w:val="24"/>
              </w:rPr>
              <w:t xml:space="preserve">职业技能等级证书</w:t>
            </w:r>
            <w:r>
              <w:rPr>
                <w:rFonts w:hint="eastAsia" w:ascii="宋体" w:hAnsi="宋体" w:cs="宋体"/>
                <w:sz w:val="24"/>
                <w:szCs w:val="24"/>
                <w:shd w:val="clear" w:color="auto" w:fill="ffffff"/>
              </w:rPr>
              <w:t xml:space="preserve">，</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w:t>
            </w:r>
            <w:r>
              <w:rPr>
                <w:rFonts w:hint="eastAsia" w:ascii="宋体" w:hAnsi="宋体" w:cs="宋体"/>
                <w:sz w:val="24"/>
                <w:szCs w:val="24"/>
              </w:rPr>
              <w:t xml:space="preserve">及以上</w:t>
            </w:r>
            <w:r>
              <w:rPr>
                <w:rFonts w:hint="eastAsia" w:ascii="宋体" w:hAnsi="宋体" w:cs="宋体"/>
                <w:sz w:val="24"/>
                <w:szCs w:val="24"/>
              </w:rPr>
              <w:t xml:space="preserve">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带领绿化团队负责校内绿化的养护工作，包含浇水、修剪、施肥、病虫害防治等。</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动物饲养员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7"/>
              </w:numPr>
              <w:ind w:firstLine="120"/>
              <w:jc w:val="left"/>
              <w:spacing w:line="360" w:lineRule="auto"/>
              <w:widowControl/>
              <w:tabs>
                <w:tab w:val="left" w:pos="312" w:leader="none"/>
              </w:tabs>
              <w:rPr>
                <w:rStyle w:val="995"/>
                <w:rFonts w:ascii="宋体" w:hAnsi="宋体" w:cs="宋体"/>
                <w:b w:val="0"/>
                <w:color w:val="000000" w:themeColor="text1"/>
                <w:sz w:val="24"/>
                <w:szCs w:val="24"/>
                <w:shd w:val="clear" w:color="auto" w:fill="ffffff"/>
              </w:rPr>
            </w:pPr>
            <w:r>
              <w:rPr>
                <w:rFonts w:hint="eastAsia" w:ascii="宋体" w:hAnsi="宋体" w:cs="宋体"/>
                <w:color w:val="000000" w:themeColor="text1"/>
                <w:sz w:val="24"/>
                <w:szCs w:val="24"/>
              </w:rPr>
              <w:t xml:space="preserve">具有三年及以上类似岗位工作经验；</w:t>
            </w:r>
            <w:r/>
          </w:p>
          <w:p>
            <w:pPr>
              <w:numPr>
                <w:ilvl w:val="0"/>
                <w:numId w:val="7"/>
              </w:numPr>
              <w:ind w:firstLine="120"/>
              <w:jc w:val="left"/>
              <w:spacing w:line="360" w:lineRule="auto"/>
              <w:widowControl/>
              <w:tabs>
                <w:tab w:val="left" w:pos="312" w:leader="none"/>
              </w:tabs>
              <w:rPr>
                <w:rStyle w:val="995"/>
                <w:rFonts w:ascii="宋体" w:hAnsi="宋体" w:cs="宋体"/>
                <w:b w:val="0"/>
                <w:color w:val="000000"/>
                <w:sz w:val="24"/>
                <w:szCs w:val="24"/>
                <w:shd w:val="clear" w:color="auto" w:fill="ffffff"/>
              </w:rPr>
            </w:pPr>
            <w:r>
              <w:rPr>
                <w:rFonts w:hint="eastAsia" w:ascii="宋体" w:hAnsi="宋体" w:cs="宋体"/>
                <w:color w:val="000000"/>
                <w:sz w:val="24"/>
                <w:szCs w:val="24"/>
              </w:rPr>
              <w:t xml:space="preserve">负责动物日常饲养、防疫、环境维护等。</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39人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8"/>
              </w:numPr>
              <w:ind w:right="105" w:firstLine="120"/>
              <w:jc w:val="left"/>
              <w:spacing w:line="360" w:lineRule="auto"/>
              <w:widowControl/>
              <w:tabs>
                <w:tab w:val="left" w:pos="312" w:leader="none"/>
              </w:tabs>
              <w:rPr>
                <w:rFonts w:ascii="宋体" w:hAnsi="宋体" w:cs="宋体"/>
                <w:sz w:val="24"/>
                <w:szCs w:val="24"/>
              </w:rPr>
            </w:pPr>
            <w:r>
              <w:rPr>
                <w:rFonts w:hint="eastAsia" w:ascii="宋体" w:hAnsi="宋体" w:cs="宋体"/>
                <w:sz w:val="24"/>
                <w:szCs w:val="24"/>
              </w:rPr>
              <w:t xml:space="preserve">具有相关工作</w:t>
            </w:r>
            <w:bookmarkStart w:id="169" w:name="OLE_LINK3"/>
            <w:r>
              <w:rPr>
                <w:rFonts w:hint="eastAsia" w:ascii="宋体" w:hAnsi="宋体" w:cs="宋体"/>
                <w:sz w:val="24"/>
                <w:szCs w:val="24"/>
              </w:rPr>
              <w:t xml:space="preserve">经验</w:t>
            </w:r>
            <w:bookmarkEnd w:id="169"/>
            <w:r>
              <w:rPr>
                <w:rFonts w:hint="eastAsia" w:ascii="宋体" w:hAnsi="宋体" w:cs="宋体"/>
                <w:sz w:val="24"/>
                <w:szCs w:val="24"/>
              </w:rPr>
              <w:t xml:space="preserve">和沟通能力；</w:t>
            </w:r>
            <w:r/>
          </w:p>
          <w:p>
            <w:pPr>
              <w:numPr>
                <w:ilvl w:val="0"/>
                <w:numId w:val="8"/>
              </w:numPr>
              <w:ind w:right="105" w:firstLine="120"/>
              <w:jc w:val="left"/>
              <w:spacing w:line="360" w:lineRule="auto"/>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保洁等基础工作。</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w:t>
            </w:r>
            <w:r>
              <w:rPr>
                <w:rFonts w:hint="eastAsia" w:ascii="宋体" w:hAnsi="宋体" w:cs="宋体"/>
                <w:sz w:val="24"/>
                <w:szCs w:val="24"/>
              </w:rPr>
              <w:t xml:space="preserve">管养员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23人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2.从事高空作业的人员，需持有国家应急管理部颁发的证书上岗；</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绿化养护等基础工作。</w:t>
            </w:r>
            <w:r/>
          </w:p>
        </w:tc>
      </w:tr>
      <w:tr>
        <w:trPr>
          <w:jc w:val="center"/>
          <w:trHeight w:val="11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道路保洁类车辆驾驶员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rPr>
                <w:rFonts w:hint="eastAsia" w:ascii="宋体" w:hAnsi="宋体" w:cs="宋体"/>
                <w:sz w:val="24"/>
                <w:szCs w:val="24"/>
              </w:rPr>
              <w:t xml:space="preserve">。</w:t>
            </w:r>
            <w:r/>
          </w:p>
        </w:tc>
      </w:tr>
      <w:tr>
        <w:trPr>
          <w:jc w:val="center"/>
          <w:trHeight w:val="9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垃圾清运类车辆驾驶员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4人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p>
        </w:tc>
      </w:tr>
      <w:tr>
        <w:trPr>
          <w:jc w:val="center"/>
          <w:trHeight w:val="9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w:t>
            </w:r>
            <w:r>
              <w:rPr>
                <w:rFonts w:hint="eastAsia" w:ascii="宋体" w:hAnsi="宋体" w:cs="宋体"/>
                <w:sz w:val="24"/>
                <w:szCs w:val="24"/>
              </w:rPr>
              <w:t xml:space="preserve">管养类车辆</w:t>
            </w:r>
            <w:r>
              <w:rPr>
                <w:rFonts w:hint="eastAsia" w:ascii="宋体" w:hAnsi="宋体" w:cs="宋体"/>
                <w:sz w:val="24"/>
                <w:szCs w:val="24"/>
              </w:rPr>
              <w:t xml:space="preserve">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b/>
                <w:bCs/>
                <w:sz w:val="24"/>
                <w:szCs w:val="24"/>
              </w:rPr>
            </w:pPr>
            <w:r>
              <w:rPr>
                <w:rFonts w:hint="eastAsia" w:ascii="宋体" w:hAnsi="宋体" w:cs="宋体"/>
                <w:b/>
                <w:bCs/>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b/>
                <w:bCs/>
                <w:sz w:val="24"/>
                <w:szCs w:val="24"/>
              </w:rPr>
            </w:pPr>
            <w:r>
              <w:rPr>
                <w:rFonts w:hint="eastAsia" w:ascii="宋体" w:hAnsi="宋体" w:cs="宋体"/>
                <w:b/>
                <w:bCs/>
                <w:sz w:val="24"/>
                <w:szCs w:val="24"/>
              </w:rPr>
              <w:t xml:space="preserve">85人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jc w:val="left"/>
              <w:spacing w:line="480" w:lineRule="auto"/>
              <w:widowControl/>
              <w:rPr>
                <w:rFonts w:ascii="宋体" w:hAnsi="宋体" w:cs="宋体"/>
                <w:b/>
                <w:bCs/>
                <w:sz w:val="24"/>
                <w:szCs w:val="24"/>
              </w:rPr>
            </w:pPr>
            <w:r>
              <w:rPr>
                <w:rFonts w:ascii="宋体" w:hAnsi="宋体" w:cs="宋体"/>
                <w:b/>
                <w:bCs/>
                <w:sz w:val="24"/>
                <w:szCs w:val="24"/>
              </w:rPr>
            </w:r>
            <w:r/>
          </w:p>
        </w:tc>
      </w:tr>
    </w:tbl>
    <w:p>
      <w:pPr>
        <w:ind w:firstLine="560"/>
        <w:jc w:val="left"/>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left"/>
        <w:spacing w:line="560" w:lineRule="exact"/>
        <w:rPr>
          <w:rFonts w:ascii="宋体" w:hAnsi="宋体" w:cs="宋体"/>
          <w:i/>
          <w:iCs/>
          <w:u w:val="single"/>
        </w:rPr>
      </w:pPr>
      <w:r>
        <w:rPr>
          <w:rFonts w:hint="eastAsia" w:ascii="宋体" w:hAnsi="宋体" w:cs="宋体"/>
        </w:rPr>
        <w:t xml:space="preserve">备注：</w:t>
      </w:r>
      <w:r>
        <w:rPr>
          <w:rFonts w:hint="eastAsia" w:ascii="宋体" w:hAnsi="宋体" w:cs="宋体"/>
          <w:i/>
          <w:iCs/>
          <w:u w:val="single"/>
        </w:rPr>
        <w:t xml:space="preserve">1.项目总需求人数不得低于85人。2.进场人员与投标文件保持一致。3.拟投入项目人员每人只能填报一个岗位，填报多个岗位为无效投标。4.为确保服务质量，中标人增加人数服务费用不作调整。</w:t>
      </w:r>
      <w:r/>
    </w:p>
    <w:p>
      <w:pPr>
        <w:ind w:firstLine="562"/>
        <w:jc w:val="left"/>
        <w:spacing w:line="560" w:lineRule="exact"/>
        <w:rPr>
          <w:rFonts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配套设施</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w:t>
      </w:r>
      <w:r>
        <w:rPr>
          <w:rStyle w:val="999"/>
          <w:rFonts w:ascii="仿宋_GB2312" w:hAnsi="仿宋_GB2312" w:eastAsia="仿宋_GB2312" w:cs="仿宋_GB2312"/>
          <w:b/>
          <w:bCs/>
          <w:sz w:val="28"/>
          <w:szCs w:val="28"/>
        </w:rPr>
        <w:t xml:space="preserve">场地建设</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1.采购人向中标人提供简易办公用房，中标人须按采购人要求自行购置并安装独立水表</w:t>
      </w:r>
      <w:r>
        <w:rPr>
          <w:rFonts w:hint="eastAsia" w:ascii="仿宋_GB2312" w:hAnsi="仿宋_GB2312" w:eastAsia="仿宋_GB2312" w:cs="仿宋_GB2312"/>
          <w:sz w:val="28"/>
          <w:szCs w:val="28"/>
        </w:rPr>
        <w:t xml:space="preserve">、电表，</w:t>
      </w:r>
      <w:r>
        <w:rPr>
          <w:rFonts w:hint="eastAsia" w:ascii="仿宋_GB2312" w:hAnsi="仿宋_GB2312" w:eastAsia="仿宋_GB2312" w:cs="仿宋_GB2312"/>
          <w:bCs/>
          <w:sz w:val="28"/>
          <w:szCs w:val="28"/>
        </w:rPr>
        <w:t xml:space="preserve">并</w:t>
      </w:r>
      <w:r>
        <w:rPr>
          <w:rFonts w:hint="eastAsia" w:ascii="仿宋_GB2312" w:hAnsi="仿宋_GB2312" w:eastAsia="仿宋_GB2312" w:cs="仿宋_GB2312"/>
          <w:bCs/>
          <w:sz w:val="28"/>
          <w:szCs w:val="28"/>
        </w:rPr>
        <w:t xml:space="preserve">据实向</w:t>
      </w:r>
      <w:r>
        <w:rPr>
          <w:rFonts w:hint="eastAsia" w:ascii="仿宋_GB2312" w:hAnsi="仿宋_GB2312" w:eastAsia="仿宋_GB2312" w:cs="仿宋_GB2312"/>
          <w:bCs/>
          <w:sz w:val="28"/>
          <w:szCs w:val="28"/>
        </w:rPr>
        <w:t xml:space="preserve">采购人缴纳水电费。水电费单价按政府部门最新单价执行。</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2.除简易办公用房、取水点及必要的车辆停放场地外，采购人不提供其他设施与场地，严禁在校内存放农药、燃油等有毒、易燃易爆物品等。</w:t>
      </w:r>
      <w:r/>
    </w:p>
    <w:p>
      <w:pPr>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3.中标人如在委托范围内新建新能源车辆充电设备，需向采购人提交申请，得到许可后实施，且需满足相关行业规范及要求。</w:t>
      </w:r>
      <w:r/>
    </w:p>
    <w:p>
      <w:pPr>
        <w:ind w:firstLine="562"/>
        <w:jc w:val="left"/>
        <w:spacing w:line="560" w:lineRule="exact"/>
        <w:rPr>
          <w:rStyle w:val="999"/>
          <w:rFonts w:ascii="仿宋_GB2312" w:hAnsi="仿宋_GB2312" w:eastAsia="仿宋_GB2312" w:cs="仿宋_GB2312"/>
          <w:b/>
          <w:bCs/>
          <w:sz w:val="28"/>
          <w:szCs w:val="28"/>
        </w:rPr>
        <w:outlineLvl w:val="1"/>
      </w:pPr>
      <w:r>
        <w:rPr>
          <w:rStyle w:val="999"/>
          <w:rFonts w:hint="eastAsia" w:ascii="仿宋_GB2312" w:hAnsi="仿宋_GB2312" w:eastAsia="仿宋_GB2312" w:cs="仿宋_GB2312"/>
          <w:b/>
          <w:bCs/>
          <w:sz w:val="28"/>
          <w:szCs w:val="28"/>
        </w:rPr>
        <w:t xml:space="preserve">（二）车辆设备</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1.所有入校车辆产权清晰，车况良好、外观完好。</w:t>
      </w:r>
      <w:r/>
    </w:p>
    <w:p>
      <w:pPr>
        <w:ind w:firstLine="560"/>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2.中标人须为本项投入的所有运营车辆购买法律法规要求的相关保险，相关凭证复印件交由采购人备案。</w:t>
      </w:r>
      <w:r/>
    </w:p>
    <w:p>
      <w:pPr>
        <w:ind w:firstLine="560"/>
        <w:spacing w:line="0" w:lineRule="atLeast"/>
        <w:rPr>
          <w:rFonts w:ascii="仿宋_GB2312" w:hAnsi="仿宋_GB2312" w:eastAsia="仿宋_GB2312" w:cs="仿宋_GB2312"/>
          <w:sz w:val="28"/>
          <w:szCs w:val="28"/>
        </w:rPr>
      </w:pPr>
      <w:r>
        <w:rPr>
          <w:rStyle w:val="999"/>
          <w:rFonts w:hint="eastAsia" w:ascii="仿宋_GB2312" w:hAnsi="仿宋_GB2312" w:eastAsia="仿宋_GB2312" w:cs="仿宋_GB2312"/>
          <w:sz w:val="28"/>
          <w:szCs w:val="28"/>
        </w:rPr>
        <w:t xml:space="preserve">3.合同执行期间，中标人配置的设备不得少于下表。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2178"/>
        <w:gridCol w:w="648"/>
        <w:gridCol w:w="759"/>
        <w:gridCol w:w="3960"/>
      </w:tblGrid>
      <w:tr>
        <w:trPr/>
        <w:tc>
          <w:tcPr>
            <w:tcW w:w="761" w:type="dxa"/>
            <w:vAlign w:val="center"/>
            <w:textDirection w:val="lrTb"/>
            <w:noWrap w:val="false"/>
          </w:tcPr>
          <w:p>
            <w:pPr>
              <w:jc w:val="center"/>
              <w:spacing w:line="360" w:lineRule="auto"/>
              <w:rPr>
                <w:rStyle w:val="999"/>
                <w:rFonts w:ascii="宋体" w:hAnsi="宋体" w:cs="宋体"/>
              </w:rPr>
            </w:pPr>
            <w:r>
              <w:rPr>
                <w:rStyle w:val="999"/>
                <w:rFonts w:hint="eastAsia" w:ascii="宋体" w:hAnsi="宋体" w:cs="宋体"/>
              </w:rPr>
              <w:t xml:space="preserve">序号</w:t>
            </w:r>
            <w:r/>
          </w:p>
        </w:tc>
        <w:tc>
          <w:tcPr>
            <w:tcW w:w="2178" w:type="dxa"/>
            <w:vAlign w:val="center"/>
            <w:textDirection w:val="lrTb"/>
            <w:noWrap w:val="false"/>
          </w:tcPr>
          <w:p>
            <w:pPr>
              <w:jc w:val="center"/>
              <w:spacing w:line="360" w:lineRule="auto"/>
              <w:rPr>
                <w:rStyle w:val="999"/>
                <w:rFonts w:ascii="宋体" w:hAnsi="宋体" w:cs="宋体"/>
              </w:rPr>
            </w:pPr>
            <w:r>
              <w:rPr>
                <w:rStyle w:val="999"/>
                <w:rFonts w:hint="eastAsia" w:ascii="宋体" w:hAnsi="宋体" w:cs="宋体"/>
              </w:rPr>
              <w:t xml:space="preserve">名称</w:t>
            </w:r>
            <w:r/>
          </w:p>
        </w:tc>
        <w:tc>
          <w:tcPr>
            <w:tcW w:w="648" w:type="dxa"/>
            <w:vAlign w:val="center"/>
            <w:textDirection w:val="lrTb"/>
            <w:noWrap w:val="false"/>
          </w:tcPr>
          <w:p>
            <w:pPr>
              <w:jc w:val="center"/>
              <w:spacing w:line="360" w:lineRule="auto"/>
              <w:rPr>
                <w:rStyle w:val="999"/>
                <w:rFonts w:ascii="宋体" w:hAnsi="宋体" w:cs="宋体"/>
              </w:rPr>
            </w:pPr>
            <w:r>
              <w:rPr>
                <w:rStyle w:val="999"/>
                <w:rFonts w:hint="eastAsia" w:ascii="宋体" w:hAnsi="宋体" w:cs="宋体"/>
              </w:rPr>
              <w:t xml:space="preserve">单位</w:t>
            </w:r>
            <w:r/>
          </w:p>
        </w:tc>
        <w:tc>
          <w:tcPr>
            <w:tcW w:w="759" w:type="dxa"/>
            <w:vAlign w:val="center"/>
            <w:textDirection w:val="lrTb"/>
            <w:noWrap w:val="false"/>
          </w:tcPr>
          <w:p>
            <w:pPr>
              <w:jc w:val="center"/>
              <w:spacing w:line="360" w:lineRule="auto"/>
              <w:rPr>
                <w:rStyle w:val="999"/>
                <w:rFonts w:ascii="宋体" w:hAnsi="宋体" w:cs="宋体"/>
              </w:rPr>
            </w:pPr>
            <w:r>
              <w:rPr>
                <w:rStyle w:val="999"/>
                <w:rFonts w:hint="eastAsia" w:ascii="宋体" w:hAnsi="宋体" w:cs="宋体"/>
              </w:rPr>
              <w:t xml:space="preserve">数量</w:t>
            </w:r>
            <w:r/>
          </w:p>
        </w:tc>
        <w:tc>
          <w:tcPr>
            <w:tcW w:w="3960" w:type="dxa"/>
            <w:vAlign w:val="center"/>
            <w:textDirection w:val="lrTb"/>
            <w:noWrap w:val="false"/>
          </w:tcPr>
          <w:p>
            <w:pPr>
              <w:jc w:val="center"/>
              <w:spacing w:line="360" w:lineRule="auto"/>
              <w:rPr>
                <w:rStyle w:val="999"/>
                <w:rFonts w:ascii="宋体" w:hAnsi="宋体" w:cs="宋体"/>
              </w:rPr>
            </w:pPr>
            <w:r>
              <w:rPr>
                <w:rStyle w:val="999"/>
                <w:rFonts w:hint="eastAsia" w:ascii="宋体" w:hAnsi="宋体" w:cs="宋体"/>
              </w:rPr>
              <w:t xml:space="preserve">规格及型号</w:t>
            </w:r>
            <w:r/>
          </w:p>
        </w:tc>
      </w:tr>
      <w:tr>
        <w:trPr>
          <w:trHeight w:val="90"/>
        </w:trPr>
        <w:tc>
          <w:tcPr>
            <w:tcW w:w="761"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1</w:t>
            </w:r>
            <w:r/>
          </w:p>
        </w:tc>
        <w:tc>
          <w:tcPr>
            <w:tcW w:w="217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道路洗扫车</w:t>
            </w:r>
            <w:r/>
          </w:p>
        </w:tc>
        <w:tc>
          <w:tcPr>
            <w:tcW w:w="64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Style w:val="999"/>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、总质量：≥15t</w:t>
            </w:r>
            <w:r/>
          </w:p>
        </w:tc>
      </w:tr>
      <w:tr>
        <w:trPr>
          <w:trHeight w:val="9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路面道路污染</w:t>
            </w:r>
            <w:r>
              <w:rPr>
                <w:rStyle w:val="999"/>
                <w:rFonts w:hint="eastAsia" w:ascii="宋体" w:hAnsi="宋体" w:cs="宋体"/>
                <w:color w:val="0d0d0d"/>
              </w:rPr>
              <w:t xml:space="preserve">清除车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、总质量：≥18t</w:t>
            </w:r>
            <w:r/>
          </w:p>
        </w:tc>
      </w:tr>
      <w:tr>
        <w:trPr>
          <w:trHeight w:val="9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3</w:t>
            </w:r>
            <w:r/>
          </w:p>
        </w:tc>
        <w:tc>
          <w:tcPr>
            <w:tcW w:w="2178"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rPr>
              <w:t xml:space="preserve">压缩垃圾清运车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、总质量：≥4t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4</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小型道路扫地车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Fonts w:hint="eastAsia" w:ascii="宋体" w:hAnsi="宋体" w:cs="宋体"/>
                <w:color w:val="0d0d0d"/>
              </w:rPr>
              <w:t xml:space="preserve"> 容量≥8m³</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5</w:t>
            </w:r>
            <w:r/>
          </w:p>
        </w:tc>
        <w:tc>
          <w:tcPr>
            <w:tcW w:w="217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吸粪车</w:t>
            </w:r>
            <w:r/>
          </w:p>
        </w:tc>
        <w:tc>
          <w:tcPr>
            <w:tcW w:w="64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Style w:val="999"/>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、总质量：≥2t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6</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登高车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、总质量：≥5t，作业高度≥18米</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7</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洒水车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、总质量≥15t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8</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大件垃圾清运货车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、总质量：≥4t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9</w:t>
            </w:r>
            <w:r/>
          </w:p>
        </w:tc>
        <w:tc>
          <w:tcPr>
            <w:tcW w:w="2178"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lang w:bidi="ar"/>
              </w:rPr>
              <w:t xml:space="preserve">绿化垃圾清运车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、总质量：≥3t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10</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巡回</w:t>
            </w:r>
            <w:r>
              <w:rPr>
                <w:rStyle w:val="999"/>
                <w:rFonts w:hint="eastAsia" w:ascii="宋体" w:hAnsi="宋体" w:cs="宋体"/>
                <w:color w:val="0d0d0d"/>
              </w:rPr>
              <w:t xml:space="preserve">保洁车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30</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三轮</w:t>
            </w:r>
            <w:r>
              <w:rPr>
                <w:rStyle w:val="999"/>
                <w:rFonts w:hint="eastAsia" w:ascii="宋体" w:hAnsi="宋体" w:cs="宋体"/>
                <w:color w:val="0d0d0d"/>
              </w:rPr>
              <w:t xml:space="preserve">保洁车</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11</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雾炮车</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总质量：≥16t</w:t>
            </w:r>
            <w:r/>
          </w:p>
        </w:tc>
      </w:tr>
      <w:tr>
        <w:trPr/>
        <w:tc>
          <w:tcPr>
            <w:tcW w:w="761"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12</w:t>
            </w:r>
            <w:r/>
          </w:p>
        </w:tc>
        <w:tc>
          <w:tcPr>
            <w:tcW w:w="217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餐厨车</w:t>
            </w:r>
            <w:r/>
          </w:p>
        </w:tc>
        <w:tc>
          <w:tcPr>
            <w:tcW w:w="648"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999"/>
                <w:rFonts w:ascii="宋体" w:hAnsi="宋体" w:cs="宋体"/>
                <w:color w:val="0d0d0d"/>
              </w:rPr>
            </w:pPr>
            <w:r>
              <w:rPr>
                <w:rStyle w:val="999"/>
                <w:rFonts w:hint="eastAsia" w:ascii="宋体" w:hAnsi="宋体" w:cs="宋体"/>
                <w:color w:val="0d0d0d"/>
              </w:rPr>
              <w:t xml:space="preserve">1</w:t>
            </w:r>
            <w:r/>
          </w:p>
        </w:tc>
        <w:tc>
          <w:tcPr>
            <w:tcW w:w="3960" w:type="dxa"/>
            <w:vAlign w:val="center"/>
            <w:textDirection w:val="lrTb"/>
            <w:noWrap w:val="false"/>
          </w:tcPr>
          <w:p>
            <w:pPr>
              <w:jc w:val="left"/>
              <w:spacing w:line="360" w:lineRule="auto"/>
              <w:rPr>
                <w:rStyle w:val="999"/>
                <w:rFonts w:ascii="宋体" w:hAnsi="宋体" w:cs="宋体"/>
                <w:color w:val="0d0d0d"/>
              </w:rPr>
            </w:pPr>
            <w:r>
              <w:rPr>
                <w:rStyle w:val="999"/>
                <w:rFonts w:hint="eastAsia" w:ascii="宋体" w:hAnsi="宋体" w:cs="宋体"/>
                <w:color w:val="0d0d0d"/>
              </w:rPr>
              <w:t xml:space="preserve">2轴</w:t>
            </w:r>
            <w:r>
              <w:rPr>
                <w:rFonts w:hint="eastAsia" w:ascii="宋体" w:hAnsi="宋体" w:cs="宋体"/>
                <w:color w:val="0d0d0d"/>
              </w:rPr>
              <w:t xml:space="preserve">、总质量：≥16t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13</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草坪修剪机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发动机功率：≥5.5匹马力</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14</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割灌机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10</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发动机功率：≥1.5KW</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15</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风力灭火机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5</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额定转速：≥6800转/分钟</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16</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梳草机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梳草针</w:t>
            </w:r>
            <w:r>
              <w:rPr>
                <w:rStyle w:val="999"/>
                <w:rFonts w:hint="eastAsia" w:ascii="宋体" w:hAnsi="宋体" w:cs="宋体"/>
                <w:color w:val="0d0d0d"/>
              </w:rPr>
              <w:t xml:space="preserve">：≥32根</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17</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绿篱修剪机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发动机功率：≥0.68KW</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18</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伐木锯</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5</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额定输出功率≥2KW</w:t>
            </w:r>
            <w:r>
              <w:rPr>
                <w:rFonts w:hint="eastAsia" w:ascii="宋体" w:hAnsi="宋体" w:cs="宋体"/>
                <w:color w:val="0d0d0d"/>
              </w:rPr>
              <w:t xml:space="preserve">、</w:t>
            </w:r>
            <w:r>
              <w:rPr>
                <w:rFonts w:hint="eastAsia" w:ascii="宋体" w:hAnsi="宋体" w:cs="宋体"/>
                <w:color w:val="0d0d0d"/>
                <w:shd w:val="clear" w:color="auto" w:fill="ffffff"/>
              </w:rPr>
              <w:t xml:space="preserve">导板尺寸：</w:t>
            </w:r>
            <w:r>
              <w:rPr>
                <w:rStyle w:val="999"/>
                <w:rFonts w:hint="eastAsia" w:ascii="宋体" w:hAnsi="宋体" w:cs="宋体"/>
                <w:color w:val="0d0d0d"/>
              </w:rPr>
              <w:t xml:space="preserve">≥50cm</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19</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农药喷洒机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药箱容量：≥160L</w:t>
            </w:r>
            <w:r>
              <w:rPr>
                <w:rFonts w:hint="eastAsia" w:ascii="宋体" w:hAnsi="宋体" w:cs="宋体"/>
                <w:color w:val="0d0d0d"/>
              </w:rPr>
              <w:t xml:space="preserve">、</w:t>
            </w:r>
            <w:r>
              <w:rPr>
                <w:rStyle w:val="999"/>
                <w:rFonts w:hint="eastAsia" w:ascii="宋体" w:hAnsi="宋体" w:cs="宋体"/>
                <w:color w:val="0d0d0d"/>
              </w:rPr>
              <w:t xml:space="preserve">直喷射程：≥6m</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20</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打捞船</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艘</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载重≥150kg</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21</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树枝粉碎机</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发动机功率≥15匹马力</w:t>
            </w:r>
            <w:r/>
          </w:p>
        </w:tc>
      </w:tr>
      <w:tr>
        <w:trPr/>
        <w:tc>
          <w:tcPr>
            <w:tcW w:w="761"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22</w:t>
            </w:r>
            <w:r/>
          </w:p>
        </w:tc>
        <w:tc>
          <w:tcPr>
            <w:tcW w:w="217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高枝剪</w:t>
            </w:r>
            <w:r/>
          </w:p>
        </w:tc>
        <w:tc>
          <w:tcPr>
            <w:tcW w:w="648"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999"/>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999"/>
                <w:rFonts w:hint="eastAsia" w:ascii="宋体" w:hAnsi="宋体" w:cs="宋体"/>
                <w:color w:val="0d0d0d"/>
              </w:rPr>
              <w:t xml:space="preserve">可操作长度≥4m</w:t>
            </w:r>
            <w:r/>
          </w:p>
        </w:tc>
      </w:tr>
    </w:tbl>
    <w:p>
      <w:pPr>
        <w:pStyle w:val="985"/>
        <w:ind w:firstLine="420"/>
        <w:jc w:val="left"/>
        <w:spacing w:line="560" w:lineRule="exact"/>
        <w:rPr>
          <w:rFonts w:ascii="宋体" w:hAnsi="宋体" w:eastAsia="宋体" w:cs="宋体"/>
          <w:sz w:val="21"/>
          <w:szCs w:val="21"/>
        </w:rPr>
      </w:pPr>
      <w:r>
        <w:rPr>
          <w:rStyle w:val="999"/>
          <w:rFonts w:hint="eastAsia" w:ascii="宋体" w:hAnsi="宋体" w:eastAsia="宋体" w:cs="宋体"/>
        </w:rPr>
        <w:t xml:space="preserve">注：</w:t>
      </w:r>
      <w:r>
        <w:rPr>
          <w:rFonts w:hint="eastAsia" w:ascii="宋体" w:hAnsi="宋体" w:eastAsia="宋体" w:cs="宋体"/>
          <w:sz w:val="21"/>
          <w:szCs w:val="21"/>
        </w:rPr>
        <w:t xml:space="preserve">车辆进校后需遵守校内车辆行驶规定。</w:t>
      </w:r>
      <w:r/>
    </w:p>
    <w:p>
      <w:pPr>
        <w:jc w:val="left"/>
        <w:spacing w:line="560" w:lineRule="exact"/>
        <w:rPr>
          <w:rFonts w:ascii="仿宋_GB2312" w:hAnsi="仿宋_GB2312" w:eastAsia="仿宋_GB2312" w:cs="仿宋_GB2312"/>
          <w:b/>
          <w:bCs/>
          <w:color w:val="0d0d0d"/>
          <w:sz w:val="28"/>
          <w:szCs w:val="28"/>
          <w:lang w:bidi="ar"/>
        </w:rPr>
        <w:outlineLvl w:val="0"/>
      </w:pPr>
      <w:r>
        <w:rPr>
          <w:rFonts w:hint="eastAsia" w:ascii="仿宋_GB2312" w:hAnsi="仿宋_GB2312" w:eastAsia="仿宋_GB2312" w:cs="仿宋_GB2312"/>
          <w:b/>
          <w:bCs/>
          <w:color w:val="0d0d0d"/>
          <w:sz w:val="28"/>
          <w:szCs w:val="28"/>
          <w:lang w:bidi="ar"/>
        </w:rPr>
        <w:t xml:space="preserve">八、投标人综合实力（类似项目案例）</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为保障本项目顺利实施，投标人须提供2020 年 1 月 1 日以来（以合同签订日期为准）不同单位的类似项目案例（同一单位多个案例，只算一个），案例服务内容需包含外环境保洁、绿化管养、垃圾外运、化粪池清掏、四害灭杀、动物养殖等相关服务。</w:t>
      </w:r>
      <w:r/>
    </w:p>
    <w:p>
      <w:pPr>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九、报价说明</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（一）在合同期限内，服务费按照服务期总价进行报价。</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（二）服务费应全面</w:t>
      </w:r>
      <w:r>
        <w:rPr>
          <w:rFonts w:hint="eastAsia" w:ascii="仿宋_GB2312" w:hAnsi="仿宋_GB2312" w:eastAsia="仿宋_GB2312" w:cs="仿宋_GB2312"/>
          <w:sz w:val="28"/>
          <w:szCs w:val="28"/>
          <w:lang w:bidi="ar"/>
        </w:rPr>
        <w:t xml:space="preserve">考量</w:t>
      </w:r>
      <w:r>
        <w:rPr>
          <w:rFonts w:hint="eastAsia" w:ascii="仿宋_GB2312" w:hAnsi="仿宋_GB2312" w:eastAsia="仿宋_GB2312" w:cs="仿宋_GB2312"/>
          <w:sz w:val="28"/>
          <w:szCs w:val="28"/>
          <w:lang w:bidi="ar"/>
        </w:rPr>
        <w:t xml:space="preserve">合同期内涵盖的成本、法定税费以及企业管理利润等，工资标准与社会保险标准需符合国家及省市的相关规定。</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（三）合同期限内，服务价格均不得进行调整。投标人应充分考虑项目所在地最低工资标准、用工成本增加以及物价变动等因素，科学合理地进行报价。</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四）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（五）本项目所有员工须统一着装，服装由中标人负责购置，费用包含在投标总价内，服装样式需得到采购人认可。</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（六）中标人须提供本次招标范围内服务所需的办公设备、相应的机械设备及各类标识等，相关费用均包含在投标总价内。（投标人须实地考察、了解招标需求，配置符合学校情况的设备）。</w:t>
      </w:r>
      <w:r/>
    </w:p>
    <w:p>
      <w:pPr>
        <w:ind w:firstLine="560"/>
        <w:jc w:val="left"/>
        <w:spacing w:line="560" w:lineRule="exact"/>
        <w:widowControl/>
      </w:pPr>
      <w:r>
        <w:rPr>
          <w:rFonts w:hint="eastAsia" w:ascii="仿宋_GB2312" w:hAnsi="仿宋_GB2312" w:eastAsia="仿宋_GB2312" w:cs="仿宋_GB2312"/>
          <w:sz w:val="28"/>
          <w:szCs w:val="28"/>
          <w:lang w:bidi="ar"/>
        </w:rPr>
        <w:t xml:space="preserve">（七）服务费总价包含合同履行期间采购人需向政府部门缴纳的城市垃圾管理费等。</w:t>
      </w:r>
      <w:r/>
    </w:p>
    <w:p>
      <w:pPr>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rPr>
        <w:t xml:space="preserve">十、</w:t>
      </w:r>
      <w:r>
        <w:rPr>
          <w:rFonts w:hint="eastAsia" w:ascii="仿宋_GB2312" w:hAnsi="仿宋_GB2312" w:eastAsia="仿宋_GB2312" w:cs="仿宋_GB2312"/>
          <w:b/>
          <w:bCs/>
          <w:sz w:val="28"/>
          <w:szCs w:val="28"/>
          <w:lang w:bidi="ar"/>
        </w:rPr>
        <w:t xml:space="preserve">付款方式</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（一）服务费支付时间：按季度支付。</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（二）服务费支付金额：季度服务费为每三个月服务结束后考核支付，前11次支付基数为合同总价的8%，最后一次支付剩余合同款。结合考核结果计算出应付金额后支付给中标人。</w:t>
      </w:r>
      <w:r/>
    </w:p>
    <w:p>
      <w:pPr>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（三）服务费支付条件：季</w:t>
      </w:r>
      <w:r>
        <w:rPr>
          <w:rFonts w:hint="eastAsia" w:ascii="仿宋_GB2312" w:hAnsi="仿宋_GB2312" w:eastAsia="仿宋_GB2312" w:cs="仿宋_GB2312"/>
          <w:sz w:val="28"/>
          <w:szCs w:val="28"/>
          <w:lang w:bidi="ar"/>
        </w:rPr>
        <w:t xml:space="preserve">度考核</w:t>
      </w:r>
      <w:r>
        <w:rPr>
          <w:rFonts w:hint="eastAsia" w:ascii="仿宋_GB2312" w:hAnsi="仿宋_GB2312" w:eastAsia="仿宋_GB2312" w:cs="仿宋_GB2312"/>
          <w:sz w:val="28"/>
          <w:szCs w:val="28"/>
          <w:lang w:bidi="ar"/>
        </w:rPr>
        <w:t xml:space="preserve">分值达</w:t>
      </w:r>
      <w:r>
        <w:rPr>
          <w:rFonts w:hint="eastAsia" w:ascii="仿宋_GB2312" w:hAnsi="仿宋_GB2312" w:eastAsia="仿宋_GB2312" w:cs="仿宋_GB2312"/>
          <w:sz w:val="28"/>
          <w:szCs w:val="28"/>
          <w:lang w:bidi="ar"/>
        </w:rPr>
        <w:t xml:space="preserve">85分（含）以上为合格，按合同约定支付当季应付款，季度考核分值低于85分为不合格，每低1分（不足1分，按1分计算）扣除当季合同款的1％。（</w:t>
      </w:r>
      <w:r>
        <w:rPr>
          <w:rFonts w:hint="eastAsia" w:ascii="仿宋_GB2312" w:hAnsi="仿宋_GB2312" w:eastAsia="仿宋_GB2312" w:cs="仿宋_GB2312"/>
          <w:color w:val="000000"/>
          <w:sz w:val="28"/>
          <w:szCs w:val="28"/>
        </w:rPr>
        <w:t xml:space="preserve">若因财务封账等原因需要延后的，则延期支付，具体支付时间以财务部门开账时间为准，中标人应当予以充分理解。每季度应付款项于次月底前，由中标人提出书面付款申请，并提供合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的发票后，经采购方审核批准，付清上季度应付款项，遇节假日顺延）。</w:t>
      </w:r>
      <w:r/>
    </w:p>
    <w:p>
      <w:pPr>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（四）服务费支付方式：中标人开具等额合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发票，由采购人汇款支付（因中标人开具的发票不合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造成采购人损失的，由中标人承担赔偿责任，如因采购方收款账户异常、变动等原因，导致中标人汇款不能到账或逾期到账，</w:t>
      </w:r>
      <w:r>
        <w:rPr>
          <w:rFonts w:hint="eastAsia" w:ascii="仿宋_GB2312" w:hAnsi="仿宋_GB2312" w:eastAsia="仿宋_GB2312" w:cs="仿宋_GB2312"/>
          <w:color w:val="000000"/>
          <w:sz w:val="28"/>
          <w:szCs w:val="28"/>
        </w:rPr>
        <w:t xml:space="preserve">不</w:t>
      </w:r>
      <w:r>
        <w:rPr>
          <w:rFonts w:hint="eastAsia" w:ascii="仿宋_GB2312" w:hAnsi="仿宋_GB2312" w:eastAsia="仿宋_GB2312" w:cs="仿宋_GB2312"/>
          <w:color w:val="000000"/>
          <w:sz w:val="28"/>
          <w:szCs w:val="28"/>
        </w:rPr>
        <w:t xml:space="preserve">视为采购方违约。由此产生的损失由中标人自行承担）。</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（五）因中标人作业造成采购人设施、设备损坏，可以修复而未修复或申请由采购人修复的，在当期考核后支付当季度费用时扣除维修费用。</w:t>
      </w:r>
      <w:r/>
    </w:p>
    <w:p>
      <w:pPr>
        <w:ind w:firstLine="562"/>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十一、违约责任</w:t>
      </w:r>
      <w:r/>
    </w:p>
    <w:p>
      <w:pPr>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（一）总体责任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1.中标人应严格执行国家相关法律、法规，严格按操作规程与操作标准执行。</w:t>
      </w:r>
      <w:r/>
    </w:p>
    <w:p>
      <w:pPr>
        <w:ind w:firstLine="560"/>
        <w:jc w:val="left"/>
        <w:spacing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服务期内，若中标人无四害防治资质，允许与专业公司签订服务协议，交采购人备案。中标人与该专业公司引起的纠纷，由中标人自行处理，采购人不承担连带责任。如造成采购人损失的，由中标人向采购人承担全部法律及经济赔偿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中标人不履行合同约定义务、履行合同义务严重不符合合同约定或有其他严重违约行为，采购人有权要求中标人限期整改。中标人拒绝整改或整改仍然不符合合同约定，采购人有权解除合同，并没收中标人缴纳的全部履约保证金。造成采购人损失的，中标人还应承担全部赔偿责任。</w:t>
      </w:r>
      <w:r/>
    </w:p>
    <w:p>
      <w:pPr>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（二）日常管理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1.中标人应接受采购人全面监督、指导、检查、验收和考核。项目经理和项目主管法定工作日及大型活动期间常驻现场，服从采购人管理，如遇突发事件，应及时到达现场处理。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2.人员管理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（1）对于不服从采购人管理、工作态度或工作技能或工作质量较差的项目负责人及现场工作人员，采购人有权要求中标人5日内调整更换。</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（2）项目经理：项目经理离开现场需提前一天向采购人报备，擅自缺岗的，按照2000元/</w:t>
      </w:r>
      <w:r>
        <w:rPr>
          <w:rFonts w:hint="eastAsia" w:ascii="仿宋_GB2312" w:hAnsi="仿宋_GB2312" w:eastAsia="仿宋_GB2312" w:cs="仿宋_GB2312"/>
          <w:sz w:val="28"/>
          <w:szCs w:val="28"/>
          <w:lang w:bidi="ar"/>
        </w:rPr>
        <w:t xml:space="preserve">天支付</w:t>
      </w:r>
      <w:r>
        <w:rPr>
          <w:rFonts w:hint="eastAsia" w:ascii="仿宋_GB2312" w:hAnsi="仿宋_GB2312" w:eastAsia="仿宋_GB2312" w:cs="仿宋_GB2312"/>
          <w:sz w:val="28"/>
          <w:szCs w:val="28"/>
          <w:lang w:bidi="ar"/>
        </w:rPr>
        <w:t xml:space="preserve">违约金。中标人更换项目负责人需提交申请，相关人员资质不低于招标文件要求，且需采购人同意，如中标人擅自更换项目负责人，中标人按照20000元/次支付违约金，采购人有权终止合同。</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（3）项目主管：项目主管离开现场需提前一天向采购人报备，项目主管擅自缺岗的，中标人按照1000元/</w:t>
      </w:r>
      <w:r>
        <w:rPr>
          <w:rFonts w:hint="eastAsia" w:ascii="仿宋_GB2312" w:hAnsi="仿宋_GB2312" w:eastAsia="仿宋_GB2312" w:cs="仿宋_GB2312"/>
          <w:sz w:val="28"/>
          <w:szCs w:val="28"/>
          <w:lang w:bidi="ar"/>
        </w:rPr>
        <w:t xml:space="preserve">天支付</w:t>
      </w:r>
      <w:r>
        <w:rPr>
          <w:rFonts w:hint="eastAsia" w:ascii="仿宋_GB2312" w:hAnsi="仿宋_GB2312" w:eastAsia="仿宋_GB2312" w:cs="仿宋_GB2312"/>
          <w:sz w:val="28"/>
          <w:szCs w:val="28"/>
          <w:lang w:bidi="ar"/>
        </w:rPr>
        <w:t xml:space="preserve">违约金。中标人更换项目主管需提交申请，相关人员资质不低于招标文件要求，且需采购人同意，如中标人擅自更换项目主管，中标人按照10000元/次支付违约金。</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3.对出现以下情形之一的，每发生一项扣除服务费1000-10000元。</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（1）服务期间人员擅自缺岗、离岗；</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（2）没有履行岗位职责或履行岗位职责中不按照操作规程被投诉举报，造成恶劣影响并经查证属实的；</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（3）工程、管养等不到位造成苗木、动物死亡、丢失等；</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（4）不遵守职业道德，发生监守自盗行为(中标人工作人员立即予以开除，产生的赔偿及法律责任由中标人全部承担)；</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（5）车辆校内超速、违停，受到保卫处通报批评；</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w:t>
      </w:r>
      <w:r>
        <w:rPr>
          <w:rFonts w:hint="eastAsia" w:ascii="仿宋_GB2312" w:hAnsi="仿宋_GB2312" w:eastAsia="仿宋_GB2312" w:cs="仿宋_GB2312"/>
          <w:sz w:val="28"/>
          <w:szCs w:val="28"/>
        </w:rPr>
        <w:t xml:space="preserve">中标人应就本项目购买相关保险（不限雇主责任险、公众责任险/第三方责任险等），雇主责任险保额不低于30万元/人，公众责任险/第三方责任险总保额不低于1000万元，</w:t>
      </w:r>
      <w:r>
        <w:rPr>
          <w:rFonts w:hint="eastAsia" w:ascii="仿宋_GB2312" w:hAnsi="仿宋_GB2312" w:eastAsia="仿宋_GB2312" w:cs="仿宋_GB2312"/>
          <w:sz w:val="28"/>
          <w:szCs w:val="28"/>
          <w:lang w:bidi="ar"/>
        </w:rPr>
        <w:t xml:space="preserve">并将采购人同时列为被保险人。签订合同一周内保单复印件交给采购人备案。保单到期前提前购买与备案。履行合同时产生的债权债务、财产损失、人身伤害、劳动纠纷等一切问题，均由中标人承担责任，采购人不承担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5.中标人自主开展各项管理活动，但不得侵害学校、使用人及他人的合法权益，不得利用提供管理服务的便利获取不当利益，不得擅自占用或改变公用设施的使用功能。</w:t>
      </w:r>
      <w:r/>
    </w:p>
    <w:p>
      <w:pPr>
        <w:pStyle w:val="987"/>
        <w:ind w:firstLine="560"/>
        <w:spacing w:beforeAutospacing="0" w:afterAutospacing="0" w:line="560" w:lineRule="exact"/>
        <w:rPr>
          <w:rFonts w:ascii="仿宋_GB2312" w:hAnsi="仿宋_GB2312" w:eastAsia="仿宋_GB2312" w:cs="仿宋_GB2312"/>
          <w:color w:val="000000"/>
          <w:spacing w:val="2"/>
          <w:sz w:val="28"/>
          <w:szCs w:val="28"/>
        </w:rPr>
      </w:pPr>
      <w:r>
        <w:rPr>
          <w:rFonts w:hint="eastAsia" w:ascii="仿宋_GB2312" w:hAnsi="仿宋_GB2312" w:eastAsia="仿宋_GB2312" w:cs="仿宋_GB2312"/>
          <w:sz w:val="28"/>
          <w:szCs w:val="28"/>
        </w:rPr>
        <w:t xml:space="preserve">6.中标人在工作中违反操作规范，导致学校设备、设施等损坏，造成的损失经评估后由中标人赔偿。</w:t>
      </w:r>
      <w:r/>
    </w:p>
    <w:p>
      <w:pPr>
        <w:ind w:firstLine="560"/>
        <w:jc w:val="left"/>
        <w:spacing w:line="560" w:lineRule="exact"/>
        <w:tabs>
          <w:tab w:val="left" w:pos="10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7.中标人定期组织员工安全培训，做好培训记录。确保开展服务过程中，员工及第三者的人身安全、消防安全、采购人财产安全等，中标人承担全部教育与赔偿责任。</w:t>
      </w:r>
      <w:r/>
    </w:p>
    <w:p>
      <w:pPr>
        <w:pStyle w:val="987"/>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中标人应依据各类传染病防疫要求妥善对其工作人员进行防疫教育、防疫管理，对作业区域实施防疫措施。如因中标人未严格按照防疫要求造成疫情发生，由此导致中标人经营费用增加、服务延误、服务质量不合格，责任由中标人承担。</w:t>
      </w:r>
      <w:r/>
    </w:p>
    <w:p>
      <w:pPr>
        <w:pStyle w:val="987"/>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（三）车辆设备</w:t>
      </w:r>
      <w:r/>
    </w:p>
    <w:p>
      <w:pPr>
        <w:pStyle w:val="987"/>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履行合同期间，根据中标人车辆使用记录及采购人检查结果，少于投标文件中车辆设备数量的，中标人按500元/台/次支付违约金。</w:t>
      </w:r>
      <w:r/>
    </w:p>
    <w:p>
      <w:pPr>
        <w:pStyle w:val="987"/>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（四）其他</w:t>
      </w:r>
      <w:r/>
    </w:p>
    <w:p>
      <w:pPr>
        <w:pStyle w:val="987"/>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代表采购人监督校内施工单位，要求施工单位将产生的垃圾及时清运出校园；要求施工单位对校园设施与绿化进行保护。施工单位未及时清运垃圾、破坏校园设施与绿化的，中标人应及时通知采购人管理部门。如监督不到位的，中标人按1000元/处支付违约金。</w:t>
      </w:r>
      <w:r/>
    </w:p>
    <w:p>
      <w:pPr>
        <w:pStyle w:val="987"/>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双方其他的违约责任按《中华人民共和国民法典》有关条款处理。</w:t>
      </w:r>
      <w:r/>
    </w:p>
    <w:p>
      <w:pPr>
        <w:pStyle w:val="987"/>
        <w:ind w:firstLine="562"/>
        <w:spacing w:beforeAutospacing="0" w:afterAutospacing="0" w:line="560" w:lineRule="exact"/>
        <w:rPr>
          <w:rFonts w:ascii="仿宋_GB2312" w:hAnsi="仿宋_GB2312" w:eastAsia="仿宋_GB2312" w:cs="仿宋_GB2312"/>
          <w:b/>
          <w:bCs/>
          <w:color w:val="000000"/>
          <w:sz w:val="28"/>
          <w:szCs w:val="28"/>
        </w:rPr>
        <w:outlineLvl w:val="0"/>
      </w:pPr>
      <w:r>
        <w:rPr>
          <w:rFonts w:hint="eastAsia" w:ascii="仿宋_GB2312" w:hAnsi="仿宋_GB2312" w:eastAsia="仿宋_GB2312" w:cs="仿宋_GB2312"/>
          <w:b/>
          <w:bCs/>
          <w:color w:val="000000"/>
          <w:sz w:val="28"/>
          <w:szCs w:val="28"/>
        </w:rPr>
        <w:t xml:space="preserve">十二、本项目统一现场勘察</w:t>
      </w:r>
      <w:r/>
    </w:p>
    <w:p>
      <w:pPr>
        <w:pStyle w:val="1039"/>
        <w:ind w:firstLine="480"/>
        <w:spacing w:line="360" w:lineRule="auto"/>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（一）勘察时间：2026年 6月9日14：00- 16:00</w:t>
      </w:r>
      <w:r/>
    </w:p>
    <w:p>
      <w:pPr>
        <w:pStyle w:val="1039"/>
        <w:ind w:firstLine="480"/>
        <w:spacing w:line="360" w:lineRule="auto"/>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勘察地址：南京市浦口区宁六路219号。</w:t>
      </w:r>
      <w:r/>
    </w:p>
    <w:p>
      <w:pPr>
        <w:pStyle w:val="1039"/>
        <w:ind w:firstLine="480"/>
        <w:spacing w:line="360" w:lineRule="auto"/>
        <w:rPr>
          <w:rFonts w:ascii="仿宋_GB2312" w:hAnsi="仿宋_GB2312" w:eastAsia="仿宋_GB2312" w:cs="仿宋_GB2312"/>
          <w:color w:val="ff0000"/>
          <w:sz w:val="28"/>
          <w:szCs w:val="28"/>
          <w:lang w:eastAsia="zh-CN"/>
        </w:rPr>
      </w:pPr>
      <w:r>
        <w:rPr>
          <w:rFonts w:hint="eastAsia" w:ascii="仿宋_GB2312" w:hAnsi="仿宋_GB2312" w:eastAsia="仿宋_GB2312" w:cs="仿宋_GB2312"/>
          <w:sz w:val="28"/>
          <w:szCs w:val="28"/>
          <w:lang w:val="zh-CN" w:eastAsia="zh-CN"/>
        </w:rPr>
        <w:t xml:space="preserve">联系人（联系电话）：</w:t>
      </w:r>
      <w:r>
        <w:rPr>
          <w:rFonts w:hint="eastAsia" w:ascii="仿宋_GB2312" w:hAnsi="仿宋_GB2312" w:eastAsia="仿宋_GB2312" w:cs="仿宋_GB2312"/>
          <w:sz w:val="28"/>
          <w:szCs w:val="28"/>
          <w:lang w:eastAsia="zh-CN"/>
        </w:rPr>
        <w:t xml:space="preserve">高德祥，025-58731055，18951992821。</w:t>
      </w:r>
      <w:r/>
    </w:p>
    <w:p>
      <w:pPr>
        <w:ind w:firstLine="562"/>
        <w:jc w:val="left"/>
        <w:spacing w:line="560" w:lineRule="exact"/>
        <w:widowControl/>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十三、考核办法</w:t>
      </w:r>
      <w:r/>
    </w:p>
    <w:p>
      <w:pPr>
        <w:ind w:firstLine="560"/>
        <w:jc w:val="left"/>
        <w:spacing w:line="560" w:lineRule="exact"/>
        <w:widowControl/>
        <w:rPr>
          <w:rFonts w:ascii="仿宋_GB2312" w:hAnsi="仿宋_GB2312" w:eastAsia="仿宋_GB2312" w:cs="仿宋_GB2312"/>
          <w:sz w:val="28"/>
          <w:szCs w:val="28"/>
        </w:rPr>
        <w:outlineLvl w:val="1"/>
      </w:pPr>
      <w:r>
        <w:rPr>
          <w:rFonts w:hint="eastAsia" w:ascii="仿宋_GB2312" w:hAnsi="仿宋_GB2312" w:eastAsia="仿宋_GB2312" w:cs="仿宋_GB2312"/>
          <w:sz w:val="28"/>
          <w:szCs w:val="28"/>
        </w:rPr>
        <w:t xml:space="preserve">（一）</w:t>
      </w:r>
      <w:r>
        <w:rPr>
          <w:rFonts w:ascii="仿宋_GB2312" w:hAnsi="仿宋_GB2312" w:eastAsia="仿宋_GB2312" w:cs="仿宋_GB2312"/>
          <w:sz w:val="28"/>
          <w:szCs w:val="28"/>
        </w:rPr>
        <w:t xml:space="preserve">考核方式</w:t>
      </w:r>
      <w:r/>
    </w:p>
    <w:p>
      <w:pPr>
        <w:ind w:firstLine="560"/>
        <w:jc w:val="left"/>
        <w:spacing w:line="560" w:lineRule="exact"/>
        <w:widowControl/>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lang w:bidi="ar"/>
        </w:rPr>
        <w:t xml:space="preserve">1.日常考核（70分）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满分70分，为不定期考核，由采购人项目归口管理单位工作人员根据招标文件要求评分。考核内容如下： </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（1）工作人员没有履行岗位职责或履行岗位职责中不按照操作规程的，</w:t>
      </w:r>
      <w:r>
        <w:rPr>
          <w:rFonts w:hint="eastAsia" w:ascii="仿宋_GB2312" w:hAnsi="仿宋_GB2312" w:eastAsia="仿宋_GB2312" w:cs="仿宋_GB2312"/>
          <w:sz w:val="28"/>
          <w:szCs w:val="28"/>
          <w:shd w:val="clear" w:color="auto" w:fill="ffffff"/>
          <w:lang w:bidi="ar"/>
        </w:rPr>
        <w:t xml:space="preserve">每人次扣</w:t>
      </w:r>
      <w:r>
        <w:rPr>
          <w:rFonts w:hint="eastAsia" w:ascii="仿宋_GB2312" w:hAnsi="仿宋_GB2312" w:eastAsia="仿宋_GB2312" w:cs="仿宋_GB2312"/>
          <w:sz w:val="28"/>
          <w:szCs w:val="28"/>
          <w:lang w:bidi="ar"/>
        </w:rPr>
        <w:t xml:space="preserve">0.5分</w:t>
      </w:r>
      <w:r>
        <w:rPr>
          <w:rFonts w:hint="eastAsia" w:ascii="仿宋_GB2312" w:hAnsi="仿宋_GB2312" w:eastAsia="仿宋_GB2312" w:cs="仿宋_GB2312"/>
          <w:sz w:val="28"/>
          <w:szCs w:val="28"/>
          <w:shd w:val="clear" w:color="auto" w:fill="ffffff"/>
          <w:lang w:bidi="ar"/>
        </w:rPr>
        <w:t xml:space="preserve">。</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（2）工作人员在本项目实施过程中存在违规行为的，每次扣1分。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（3）管理资料不规范的，每一项扣除0.2分。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（4）因履行合同不到位导致师生投诉的，每次扣除0.5分。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（5）发生重大有影响责任事件或引发舆情的，每次扣3分。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（6）履行合同过程造成人身伤害或采购人财产损失的，每次扣2分。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（7）动物</w:t>
      </w:r>
      <w:r>
        <w:rPr>
          <w:rFonts w:hint="eastAsia" w:ascii="仿宋_GB2312" w:hAnsi="仿宋_GB2312" w:eastAsia="仿宋_GB2312" w:cs="仿宋_GB2312"/>
          <w:sz w:val="28"/>
          <w:szCs w:val="28"/>
          <w:lang w:bidi="ar"/>
        </w:rPr>
        <w:t xml:space="preserve">每损失</w:t>
      </w:r>
      <w:r>
        <w:rPr>
          <w:rFonts w:hint="eastAsia" w:ascii="仿宋_GB2312" w:hAnsi="仿宋_GB2312" w:eastAsia="仿宋_GB2312" w:cs="仿宋_GB2312"/>
          <w:sz w:val="28"/>
          <w:szCs w:val="28"/>
          <w:lang w:bidi="ar"/>
        </w:rPr>
        <w:t xml:space="preserve">一只未及时补充的，每只扣0.5分。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（8）</w:t>
      </w:r>
      <w:r>
        <w:rPr>
          <w:rFonts w:hint="eastAsia" w:ascii="仿宋_GB2312" w:hAnsi="仿宋_GB2312" w:eastAsia="仿宋_GB2312" w:cs="仿宋_GB2312"/>
          <w:bCs/>
          <w:sz w:val="28"/>
          <w:szCs w:val="28"/>
          <w:lang w:bidi="ar"/>
        </w:rPr>
        <w:t xml:space="preserve">卫生保洁、垃圾外运</w:t>
      </w:r>
      <w:r>
        <w:rPr>
          <w:rFonts w:hint="eastAsia" w:ascii="仿宋_GB2312" w:hAnsi="仿宋_GB2312" w:eastAsia="仿宋_GB2312" w:cs="仿宋_GB2312"/>
          <w:sz w:val="28"/>
          <w:szCs w:val="28"/>
          <w:lang w:bidi="ar"/>
        </w:rPr>
        <w:t xml:space="preserve">未达到要求需整改的，</w:t>
      </w:r>
      <w:bookmarkStart w:id="170" w:name="OLE_LINK1"/>
      <w:r>
        <w:rPr>
          <w:rFonts w:hint="eastAsia" w:ascii="仿宋_GB2312" w:hAnsi="仿宋_GB2312" w:eastAsia="仿宋_GB2312" w:cs="仿宋_GB2312"/>
          <w:sz w:val="28"/>
          <w:szCs w:val="28"/>
          <w:lang w:bidi="ar"/>
        </w:rPr>
        <w:t xml:space="preserve">每一项</w:t>
      </w:r>
      <w:bookmarkEnd w:id="170"/>
      <w:r>
        <w:rPr>
          <w:rFonts w:hint="eastAsia" w:ascii="仿宋_GB2312" w:hAnsi="仿宋_GB2312" w:eastAsia="仿宋_GB2312" w:cs="仿宋_GB2312"/>
          <w:sz w:val="28"/>
          <w:szCs w:val="28"/>
          <w:lang w:bidi="ar"/>
        </w:rPr>
        <w:t xml:space="preserve">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（9）绿化养护未达到要求需整改的，每一项扣0.1分。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（10）四害防治未达到要求需整改的，每一项扣0.1分。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（11）学校重大活动应急保障不到位，每一次扣2分。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考核表见附件一：《校园外环境服务日常不定期考核表》（试行）</w:t>
      </w:r>
      <w:r/>
    </w:p>
    <w:p>
      <w:pPr>
        <w:ind w:firstLine="560"/>
        <w:jc w:val="left"/>
        <w:spacing w:line="560" w:lineRule="exact"/>
        <w:widowControl/>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lang w:bidi="ar"/>
        </w:rPr>
        <w:t xml:space="preserve">2.季度集中考核（20分）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由学校相关职能部门和师生代表组成的季度集中考核组，按照招标文件要求与考核表内容对服务单位随机进行考核，考核内容是卫生保洁、绿化管养、四害防治等方面。</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考核表见附件二：《校园外环境服务季度考核表》（试行）。</w:t>
      </w:r>
      <w:r/>
    </w:p>
    <w:p>
      <w:pPr>
        <w:pStyle w:val="985"/>
        <w:ind w:firstLine="564"/>
        <w:jc w:val="left"/>
        <w:spacing w:line="560" w:lineRule="exact"/>
        <w:rPr>
          <w:rFonts w:ascii="仿宋_GB2312" w:hAnsi="仿宋_GB2312" w:eastAsia="仿宋_GB2312" w:cs="仿宋_GB2312"/>
          <w:spacing w:val="1"/>
        </w:rPr>
        <w:outlineLvl w:val="2"/>
      </w:pPr>
      <w:r>
        <w:rPr>
          <w:rFonts w:hint="eastAsia" w:ascii="仿宋_GB2312" w:hAnsi="仿宋_GB2312" w:eastAsia="仿宋_GB2312" w:cs="仿宋_GB2312"/>
          <w:spacing w:val="1"/>
        </w:rPr>
        <w:t xml:space="preserve">3.师生满意度调查（10分）</w:t>
      </w:r>
      <w:r/>
    </w:p>
    <w:p>
      <w:pPr>
        <w:pStyle w:val="985"/>
        <w:ind w:firstLine="564"/>
        <w:jc w:val="left"/>
        <w:spacing w:line="560" w:lineRule="exact"/>
        <w:rPr>
          <w:rFonts w:ascii="仿宋_GB2312" w:hAnsi="仿宋_GB2312" w:eastAsia="仿宋_GB2312" w:cs="仿宋_GB2312"/>
          <w:spacing w:val="1"/>
        </w:rPr>
      </w:pPr>
      <w:r>
        <w:rPr>
          <w:rFonts w:hint="eastAsia" w:ascii="仿宋_GB2312" w:hAnsi="仿宋_GB2312" w:eastAsia="仿宋_GB2312" w:cs="仿宋_GB2312"/>
          <w:spacing w:val="1"/>
        </w:rPr>
        <w:t xml:space="preserve">委托范围内每季度随机邀请师生参与问卷调查。满意度</w:t>
      </w:r>
      <w:r>
        <w:rPr>
          <w:rStyle w:val="999"/>
          <w:rFonts w:hint="eastAsia" w:ascii="仿宋_GB2312" w:hAnsi="仿宋_GB2312" w:eastAsia="仿宋_GB2312" w:cs="仿宋_GB2312"/>
          <w:sz w:val="28"/>
          <w:szCs w:val="28"/>
        </w:rPr>
        <w:t xml:space="preserve">≥</w:t>
      </w:r>
      <w:r>
        <w:rPr>
          <w:rFonts w:hint="eastAsia" w:ascii="仿宋_GB2312" w:hAnsi="仿宋_GB2312" w:eastAsia="仿宋_GB2312" w:cs="仿宋_GB2312"/>
          <w:spacing w:val="1"/>
        </w:rPr>
        <w:t xml:space="preserve">85%为合格，得10分。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考核表见附件三：《校园外环境服务季度满意度调查表》（试行）。</w:t>
      </w:r>
      <w:r/>
    </w:p>
    <w:p>
      <w:pPr>
        <w:ind w:firstLine="562"/>
        <w:jc w:val="left"/>
        <w:spacing w:line="560" w:lineRule="exact"/>
        <w:widowControl/>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（二）考核分值计算和结果运用</w:t>
      </w:r>
      <w:r/>
    </w:p>
    <w:p>
      <w:pPr>
        <w:ind w:firstLine="560"/>
        <w:jc w:val="left"/>
        <w:spacing w:line="560" w:lineRule="exact"/>
        <w:widowControl/>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1.考核分数：采取百分制考核法，其中</w:t>
      </w:r>
      <w:r>
        <w:rPr>
          <w:rFonts w:hint="eastAsia" w:ascii="仿宋_GB2312" w:hAnsi="仿宋_GB2312" w:eastAsia="仿宋_GB2312" w:cs="仿宋_GB2312"/>
          <w:sz w:val="28"/>
          <w:szCs w:val="28"/>
          <w:lang w:bidi="ar"/>
        </w:rPr>
        <w:t xml:space="preserve">日常</w:t>
      </w:r>
      <w:r>
        <w:rPr>
          <w:rFonts w:hint="eastAsia" w:ascii="仿宋_GB2312" w:hAnsi="仿宋_GB2312" w:eastAsia="仿宋_GB2312" w:cs="仿宋_GB2312"/>
          <w:sz w:val="28"/>
          <w:szCs w:val="28"/>
          <w:lang w:bidi="ar"/>
        </w:rPr>
        <w:t xml:space="preserve">考核占</w:t>
      </w:r>
      <w:r>
        <w:rPr>
          <w:rFonts w:hint="eastAsia" w:ascii="仿宋_GB2312" w:hAnsi="仿宋_GB2312" w:eastAsia="仿宋_GB2312" w:cs="仿宋_GB2312"/>
          <w:sz w:val="28"/>
          <w:szCs w:val="28"/>
          <w:lang w:bidi="ar"/>
        </w:rPr>
        <w:t xml:space="preserve">70%，季度集中</w:t>
      </w:r>
      <w:r>
        <w:rPr>
          <w:rFonts w:hint="eastAsia" w:ascii="仿宋_GB2312" w:hAnsi="仿宋_GB2312" w:eastAsia="仿宋_GB2312" w:cs="仿宋_GB2312"/>
          <w:sz w:val="28"/>
          <w:szCs w:val="28"/>
          <w:lang w:bidi="ar"/>
        </w:rPr>
        <w:t xml:space="preserve">考核占</w:t>
      </w:r>
      <w:r>
        <w:rPr>
          <w:rFonts w:hint="eastAsia" w:ascii="仿宋_GB2312" w:hAnsi="仿宋_GB2312" w:eastAsia="仿宋_GB2312" w:cs="仿宋_GB2312"/>
          <w:sz w:val="28"/>
          <w:szCs w:val="28"/>
          <w:lang w:bidi="ar"/>
        </w:rPr>
        <w:t xml:space="preserve">20%，满意度</w:t>
      </w:r>
      <w:r>
        <w:rPr>
          <w:rFonts w:hint="eastAsia" w:ascii="仿宋_GB2312" w:hAnsi="仿宋_GB2312" w:eastAsia="仿宋_GB2312" w:cs="仿宋_GB2312"/>
          <w:sz w:val="28"/>
          <w:szCs w:val="28"/>
          <w:lang w:bidi="ar"/>
        </w:rPr>
        <w:t xml:space="preserve">调查占</w:t>
      </w:r>
      <w:r>
        <w:rPr>
          <w:rFonts w:hint="eastAsia" w:ascii="仿宋_GB2312" w:hAnsi="仿宋_GB2312" w:eastAsia="仿宋_GB2312" w:cs="仿宋_GB2312"/>
          <w:sz w:val="28"/>
          <w:szCs w:val="28"/>
          <w:lang w:bidi="ar"/>
        </w:rPr>
        <w:t xml:space="preserve">10%。</w:t>
      </w:r>
      <w:r/>
    </w:p>
    <w:p>
      <w:pPr>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2.按上述考核办法得出的季度考核得分是支付合同款的依据。</w:t>
      </w:r>
      <w:r/>
    </w:p>
    <w:p>
      <w:pPr>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3.季度考核</w:t>
      </w:r>
      <w:r>
        <w:rPr>
          <w:rFonts w:hint="eastAsia" w:ascii="仿宋_GB2312" w:hAnsi="仿宋_GB2312" w:eastAsia="仿宋_GB2312" w:cs="仿宋_GB2312"/>
          <w:sz w:val="28"/>
          <w:szCs w:val="28"/>
          <w:lang w:bidi="ar"/>
        </w:rPr>
        <w:t xml:space="preserve">分值达</w:t>
      </w:r>
      <w:r>
        <w:rPr>
          <w:rFonts w:hint="eastAsia" w:ascii="仿宋_GB2312" w:hAnsi="仿宋_GB2312" w:eastAsia="仿宋_GB2312" w:cs="仿宋_GB2312"/>
          <w:sz w:val="28"/>
          <w:szCs w:val="28"/>
          <w:lang w:bidi="ar"/>
        </w:rPr>
        <w:t xml:space="preserve">85分（含）以上为合格，按合同支付当季合同款，季度考核分值低于85分为不合格，每低一分扣除当季合同款的1%，同时采购人将约谈中标人限期整改。如连续两季度考核分数不及格，采购人有权终止合同并扣除全部履约保证金。</w:t>
      </w:r>
      <w:r/>
    </w:p>
    <w:p>
      <w:r/>
      <w:r/>
    </w:p>
    <w:p>
      <w:pPr>
        <w:pStyle w:val="772"/>
        <w:jc w:val="left"/>
        <w:spacing w:line="560" w:lineRule="exact"/>
        <w:widowControl/>
        <w:rPr>
          <w:rFonts w:ascii="仿宋_GB2312" w:hAnsi="仿宋_GB2312" w:eastAsia="仿宋_GB2312" w:cs="仿宋_GB2312"/>
          <w:b/>
        </w:rPr>
      </w:pPr>
      <w:r>
        <w:rPr>
          <w:rFonts w:hint="eastAsia" w:hAnsi="宋体" w:cs="宋体"/>
          <w:b/>
        </w:rPr>
        <w:t xml:space="preserve">附件1：</w:t>
      </w:r>
      <w:r/>
    </w:p>
    <w:p>
      <w:pPr>
        <w:pStyle w:val="772"/>
        <w:jc w:val="center"/>
        <w:spacing w:line="360" w:lineRule="auto"/>
        <w:widowControl/>
        <w:rPr>
          <w:rFonts w:hAnsi="宋体" w:cs="宋体"/>
        </w:rPr>
      </w:pPr>
      <w:r>
        <w:rPr>
          <w:rFonts w:hint="eastAsia" w:hAnsi="宋体" w:cs="宋体"/>
        </w:rPr>
        <w:t xml:space="preserve">校园外环境服务日常不定期考核表（试行）</w:t>
      </w:r>
      <w:r/>
    </w:p>
    <w:p>
      <w:pPr>
        <w:spacing w:line="360" w:lineRule="auto"/>
        <w:tabs>
          <w:tab w:val="right" w:pos="9070" w:leader="none"/>
        </w:tabs>
        <w:rPr>
          <w:rFonts w:ascii="宋体" w:hAnsi="宋体" w:cs="宋体"/>
          <w:sz w:val="24"/>
          <w:szCs w:val="24"/>
          <w:u w:val="single"/>
        </w:rPr>
      </w:pPr>
      <w:r>
        <w:rPr>
          <w:rFonts w:hint="eastAsia" w:ascii="宋体" w:hAnsi="宋体" w:cs="宋体"/>
          <w:sz w:val="24"/>
          <w:szCs w:val="24"/>
          <w:lang w:bidi="ar"/>
        </w:rPr>
        <w:t xml:space="preserve">考核时间段：</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考核人员：</w:t>
      </w:r>
      <w:r>
        <w:rPr>
          <w:rFonts w:hint="eastAsia" w:ascii="宋体" w:hAnsi="宋体" w:cs="宋体"/>
          <w:sz w:val="24"/>
          <w:szCs w:val="24"/>
          <w:u w:val="single"/>
          <w:lang w:bidi="ar"/>
        </w:rPr>
        <w:t xml:space="preserve">                                              </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2"/>
        <w:gridCol w:w="3020"/>
        <w:gridCol w:w="678"/>
        <w:gridCol w:w="581"/>
        <w:gridCol w:w="1985"/>
        <w:gridCol w:w="2352"/>
      </w:tblGrid>
      <w:tr>
        <w:trPr>
          <w:jc w:val="center"/>
          <w:trHeight w:val="562"/>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检查内容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扣分事由及照片</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工作人员履行岗位职责情况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color w:val="000000"/>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工作人员违规情况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管理资料情况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师生投诉情况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责任事件与舆情</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人身伤害与财产损失</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动物数量</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卫生保洁、垃圾外运整改事项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绿化养护整改事项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四害防治整改事项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学校重大活动等应急保障工作</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ind w:firstLine="482"/>
        <w:jc w:val="left"/>
        <w:spacing w:line="360" w:lineRule="auto"/>
        <w:widowControl/>
        <w:rPr>
          <w:rFonts w:ascii="宋体" w:hAnsi="宋体" w:cs="宋体"/>
          <w:b/>
          <w:bCs/>
          <w:sz w:val="24"/>
          <w:szCs w:val="24"/>
          <w:lang w:bidi="ar"/>
        </w:rPr>
      </w:pPr>
      <w:r>
        <w:rPr>
          <w:rFonts w:hint="eastAsia" w:ascii="宋体" w:hAnsi="宋体" w:cs="宋体"/>
          <w:b/>
          <w:bCs/>
          <w:sz w:val="24"/>
          <w:szCs w:val="24"/>
          <w:lang w:bidi="ar"/>
        </w:rPr>
        <w:t xml:space="preserve">考核表为试行，采购人可以根据考核情况和考核需要对考核内容做出修改。</w:t>
      </w:r>
      <w:r/>
    </w:p>
    <w:p>
      <w:pPr>
        <w:pStyle w:val="987"/>
        <w:spacing w:beforeAutospacing="0" w:afterAutospacing="0" w:line="360" w:lineRule="auto"/>
        <w:rPr>
          <w:bCs/>
          <w:sz w:val="28"/>
          <w:szCs w:val="28"/>
        </w:rPr>
      </w:pPr>
      <w:r>
        <w:rPr>
          <w:bCs/>
          <w:sz w:val="28"/>
          <w:szCs w:val="28"/>
        </w:rPr>
      </w:r>
      <w:r/>
    </w:p>
    <w:p>
      <w:pPr>
        <w:pStyle w:val="987"/>
        <w:spacing w:beforeAutospacing="0" w:afterAutospacing="0"/>
        <w:rPr>
          <w:bCs/>
        </w:rPr>
      </w:pPr>
      <w:r>
        <w:rPr>
          <w:bCs/>
        </w:rPr>
      </w:r>
      <w:r/>
    </w:p>
    <w:p>
      <w:pPr>
        <w:pStyle w:val="987"/>
        <w:spacing w:beforeAutospacing="0" w:afterAutospacing="0"/>
        <w:rPr>
          <w:bCs/>
        </w:rPr>
        <w:outlineLvl w:val="4"/>
      </w:pPr>
      <w:r>
        <w:rPr>
          <w:rFonts w:hint="eastAsia"/>
          <w:bCs/>
        </w:rPr>
        <w:t xml:space="preserve">附件2：</w:t>
      </w:r>
      <w:r/>
    </w:p>
    <w:p>
      <w:pPr>
        <w:pStyle w:val="987"/>
        <w:ind w:firstLine="1687"/>
        <w:spacing w:beforeAutospacing="0" w:afterAutospacing="0"/>
        <w:rPr>
          <w:b/>
          <w:lang w:bidi="ar"/>
        </w:rPr>
        <w:outlineLvl w:val="4"/>
      </w:pPr>
      <w:r>
        <w:rPr>
          <w:rFonts w:hint="eastAsia"/>
          <w:b/>
          <w:lang w:bidi="ar"/>
        </w:rPr>
        <w:t xml:space="preserve">校园外环境服务季度集中考核表（试行）</w:t>
      </w:r>
      <w:r/>
    </w:p>
    <w:p>
      <w:pPr>
        <w:pStyle w:val="987"/>
        <w:spacing w:beforeAutospacing="0" w:afterAutospacing="0"/>
        <w:rPr>
          <w:u w:val="single"/>
          <w:lang w:bidi="ar"/>
        </w:rPr>
      </w:pPr>
      <w:r>
        <w:rPr>
          <w:rFonts w:hint="eastAsia"/>
          <w:lang w:bidi="ar"/>
        </w:rPr>
        <w:t xml:space="preserve">考核时间：</w:t>
      </w:r>
      <w:r>
        <w:rPr>
          <w:rFonts w:hint="eastAsia"/>
          <w:u w:val="single"/>
          <w:lang w:bidi="ar"/>
        </w:rPr>
        <w:t xml:space="preserve">                    </w:t>
      </w:r>
      <w:r>
        <w:rPr>
          <w:rFonts w:hint="eastAsia"/>
          <w:lang w:bidi="ar"/>
        </w:rPr>
        <w:t xml:space="preserve">考核人员签字：</w:t>
      </w:r>
      <w:r>
        <w:rPr>
          <w:rFonts w:hint="eastAsia"/>
          <w:u w:val="single"/>
          <w:lang w:bidi="ar"/>
        </w:rPr>
        <w:t xml:space="preserve">                     </w:t>
      </w:r>
      <w:r/>
    </w:p>
    <w:tbl>
      <w:tblPr>
        <w:tblW w:w="4735" w:type="pct"/>
        <w:tblLayout w:type="fixed"/>
        <w:tblLook w:val="04A0" w:firstRow="1" w:lastRow="0" w:firstColumn="1" w:lastColumn="0" w:noHBand="0" w:noVBand="1"/>
      </w:tblPr>
      <w:tblGrid>
        <w:gridCol w:w="472"/>
        <w:gridCol w:w="1129"/>
        <w:gridCol w:w="5953"/>
        <w:gridCol w:w="648"/>
        <w:gridCol w:w="481"/>
      </w:tblGrid>
      <w:tr>
        <w:trPr>
          <w:trHeight w:val="585"/>
        </w:trPr>
        <w:tc>
          <w:tcPr>
            <w:tcBorders>
              <w:top w:val="single" w:color="000000" w:sz="8" w:space="0"/>
              <w:left w:val="single" w:color="000000" w:sz="8" w:space="0"/>
              <w:bottom w:val="single" w:color="000000" w:sz="8" w:space="0"/>
              <w:right w:val="single" w:color="000000" w:sz="8"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序号</w:t>
            </w:r>
            <w:r/>
          </w:p>
        </w:tc>
        <w:tc>
          <w:tcPr>
            <w:tcBorders>
              <w:top w:val="single" w:color="000000" w:sz="8" w:space="0"/>
              <w:left w:val="none" w:color="000000" w:sz="4" w:space="0"/>
              <w:bottom w:val="single" w:color="000000" w:sz="4" w:space="0"/>
              <w:right w:val="single" w:color="000000" w:sz="8" w:space="0"/>
            </w:tcBorders>
            <w:tcW w:w="650" w:type="pct"/>
            <w:vAlign w:val="center"/>
            <w:textDirection w:val="lrTb"/>
            <w:noWrap w:val="false"/>
          </w:tcPr>
          <w:p>
            <w:pPr>
              <w:jc w:val="center"/>
              <w:widowControl/>
              <w:rPr>
                <w:rFonts w:ascii="宋体" w:hAnsi="宋体" w:cs="宋体"/>
              </w:rPr>
            </w:pPr>
            <w:r>
              <w:rPr>
                <w:rFonts w:hint="eastAsia" w:ascii="宋体" w:hAnsi="宋体" w:cs="宋体"/>
                <w:b/>
                <w:bCs/>
              </w:rPr>
              <w:t xml:space="preserve">考核项目</w:t>
            </w:r>
            <w:r/>
          </w:p>
        </w:tc>
        <w:tc>
          <w:tcPr>
            <w:tcBorders>
              <w:top w:val="single" w:color="000000" w:sz="8" w:space="0"/>
              <w:left w:val="none" w:color="000000" w:sz="4" w:space="0"/>
              <w:bottom w:val="single" w:color="000000" w:sz="4" w:space="0"/>
              <w:right w:val="single" w:color="000000" w:sz="8" w:space="0"/>
            </w:tcBorders>
            <w:tcW w:w="3426"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考核内容</w:t>
            </w:r>
            <w:r/>
          </w:p>
        </w:tc>
        <w:tc>
          <w:tcPr>
            <w:tcBorders>
              <w:top w:val="single" w:color="000000" w:sz="8" w:space="0"/>
              <w:left w:val="non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分值</w:t>
            </w:r>
            <w:r/>
          </w:p>
        </w:tc>
        <w:tc>
          <w:tcPr>
            <w:tcBorders>
              <w:top w:val="single" w:color="000000" w:sz="8" w:space="0"/>
              <w:left w:val="none" w:color="000000" w:sz="4" w:space="0"/>
              <w:bottom w:val="single" w:color="000000" w:sz="4" w:space="0"/>
              <w:right w:val="single" w:color="000000" w:sz="8" w:space="0"/>
            </w:tcBorders>
            <w:tcW w:w="277"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评分</w:t>
            </w:r>
            <w:r/>
          </w:p>
        </w:tc>
      </w:tr>
      <w:tr>
        <w:trPr>
          <w:trHeight w:val="411"/>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卫生保洁总体状况</w:t>
            </w:r>
            <w:r/>
          </w:p>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ind w:firstLine="105"/>
              <w:jc w:val="left"/>
              <w:widowControl/>
              <w:rPr>
                <w:rFonts w:ascii="宋体" w:hAnsi="宋体" w:cs="宋体"/>
                <w:color w:val="000000"/>
                <w:lang w:bidi="ar"/>
              </w:rPr>
            </w:pPr>
            <w:r>
              <w:rPr>
                <w:rFonts w:hint="eastAsia" w:ascii="宋体" w:hAnsi="宋体" w:cs="宋体"/>
                <w:color w:val="000000"/>
                <w:lang w:bidi="ar"/>
              </w:rPr>
              <w:t xml:space="preserve">1.硬化地面、主干道干净整洁，无卫生死角。落叶及垃圾未清扫到隐蔽死角里。</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人行道、广场、绿地、路灯干净整洁。</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区域内宣传栏、休闲设施、室外标识牌无灰尘、无污痕、无破损；主路、干路落叶、积水等适时进行清扫，清理积水。</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绿化景点标志牌、指示牌、座椅、灯箱、栏杆、果壳箱及园林建筑景观等设施清洁、卫生、保持完好。</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垃圾桶、</w:t>
            </w:r>
            <w:r>
              <w:rPr>
                <w:rFonts w:hint="eastAsia" w:ascii="宋体" w:hAnsi="宋体" w:eastAsia="宋体" w:cs="宋体"/>
                <w:color w:val="000000"/>
                <w:sz w:val="21"/>
                <w:szCs w:val="21"/>
                <w:lang w:bidi="ar"/>
              </w:rPr>
              <w:t xml:space="preserve">果壳箱无异味</w:t>
            </w:r>
            <w:r>
              <w:rPr>
                <w:rFonts w:hint="eastAsia" w:ascii="宋体" w:hAnsi="宋体" w:eastAsia="宋体" w:cs="宋体"/>
                <w:color w:val="000000"/>
                <w:sz w:val="21"/>
                <w:szCs w:val="21"/>
                <w:lang w:bidi="ar"/>
              </w:rPr>
              <w:t xml:space="preserve">，疫情防控给予消毒，桶、箱外壁洁净、无明显污渍。窨井盖内沉积垃圾和落叶、明沟垃圾及时清理。</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杂草、树木、草坪修剪后绿化垃圾未及时清运，做到不乱丢不乱抛。</w:t>
            </w:r>
            <w:r/>
          </w:p>
        </w:tc>
        <w:tc>
          <w:tcPr>
            <w:tcBorders>
              <w:top w:val="single" w:color="000000" w:sz="4" w:space="0"/>
              <w:left w:val="singl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3268"/>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pStyle w:val="987"/>
              <w:jc w:val="center"/>
              <w:spacing w:beforeAutospacing="0" w:afterAutospacing="0"/>
              <w:rPr>
                <w:b/>
                <w:color w:val="000000"/>
                <w:sz w:val="21"/>
              </w:rPr>
            </w:pPr>
            <w:r>
              <w:rPr>
                <w:rFonts w:hint="eastAsia"/>
                <w:b/>
                <w:color w:val="000000"/>
                <w:sz w:val="21"/>
              </w:rPr>
              <w:t xml:space="preserve">绿化管养</w:t>
            </w:r>
            <w:r>
              <w:rPr>
                <w:rFonts w:hint="eastAsia"/>
                <w:b/>
                <w:bCs/>
                <w:color w:val="000000"/>
                <w:sz w:val="21"/>
                <w:lang w:bidi="ar"/>
              </w:rPr>
              <w:t xml:space="preserve">总体状况</w:t>
            </w:r>
            <w:r/>
          </w:p>
          <w:p>
            <w:pPr>
              <w:pStyle w:val="987"/>
              <w:jc w:val="center"/>
              <w:spacing w:beforeAutospacing="0" w:afterAutospacing="0"/>
              <w:rPr>
                <w:sz w:val="21"/>
              </w:rPr>
            </w:pPr>
            <w:r>
              <w:rPr>
                <w:sz w:val="21"/>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ind w:firstLine="105"/>
              <w:jc w:val="left"/>
              <w:widowControl/>
              <w:rPr>
                <w:rFonts w:ascii="宋体" w:hAnsi="宋体" w:cs="宋体"/>
                <w:color w:val="000000"/>
                <w:lang w:bidi="ar"/>
              </w:rPr>
            </w:pPr>
            <w:r>
              <w:rPr>
                <w:rFonts w:hint="eastAsia" w:ascii="宋体" w:hAnsi="宋体" w:cs="宋体"/>
                <w:color w:val="000000"/>
                <w:lang w:bidi="ar"/>
              </w:rPr>
              <w:t xml:space="preserve">1.绿地及道路内树木无死株、断枝及明显枯枝，树木无大片光秃落叶。</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绿地内乔灌木有缺株、绿篱有缺口、草花有空缺应及时补缺，少数树种因季节不能及时补种除外。</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绿地内树木无倾斜、</w:t>
            </w:r>
            <w:r>
              <w:rPr>
                <w:rFonts w:hint="eastAsia" w:ascii="宋体" w:hAnsi="宋体" w:eastAsia="宋体" w:cs="宋体"/>
                <w:color w:val="000000"/>
                <w:sz w:val="21"/>
                <w:szCs w:val="21"/>
                <w:lang w:bidi="ar"/>
              </w:rPr>
              <w:t xml:space="preserve">倒歪现象</w:t>
            </w:r>
            <w:r>
              <w:rPr>
                <w:rFonts w:hint="eastAsia" w:ascii="宋体" w:hAnsi="宋体" w:eastAsia="宋体" w:cs="宋体"/>
                <w:color w:val="000000"/>
                <w:sz w:val="21"/>
                <w:szCs w:val="21"/>
                <w:lang w:bidi="ar"/>
              </w:rPr>
              <w:t xml:space="preserve">，高大乔木在大风来临时应采取防倒有效措施，因台风等灾害天气造成倒伏时，应及时扶正支撑倒伏树。</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时令花卉应长势良好，密度适宜，造型丰满。</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发现病虫害应立即主动汇报，积极防治，效果明显。</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使用农药严格按操作规程和有关规定进行配比、用量正确，无药害产生。</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color w:val="000000"/>
                <w:sz w:val="21"/>
                <w:szCs w:val="21"/>
                <w:lang w:bidi="ar"/>
              </w:rPr>
              <w:t xml:space="preserve">结合冬季树木涂白、修剪，及时清理消灭越冬虫蛹、</w:t>
            </w:r>
            <w:r>
              <w:rPr>
                <w:rFonts w:hint="eastAsia" w:ascii="宋体" w:hAnsi="宋体" w:eastAsia="宋体" w:cs="宋体"/>
                <w:color w:val="000000"/>
                <w:sz w:val="21"/>
                <w:szCs w:val="21"/>
                <w:lang w:bidi="ar"/>
              </w:rPr>
              <w:t xml:space="preserve">虫茧及有关</w:t>
            </w:r>
            <w:r>
              <w:rPr>
                <w:rFonts w:hint="eastAsia" w:ascii="宋体" w:hAnsi="宋体" w:eastAsia="宋体" w:cs="宋体"/>
                <w:color w:val="000000"/>
                <w:sz w:val="21"/>
                <w:szCs w:val="21"/>
                <w:lang w:bidi="ar"/>
              </w:rPr>
              <w:t xml:space="preserve">病原体。</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color w:val="000000"/>
                <w:sz w:val="21"/>
                <w:szCs w:val="21"/>
                <w:lang w:bidi="ar"/>
              </w:rPr>
              <w:t xml:space="preserve">树木修剪规范整齐，定枝、整枝合理均匀;花灌木修剪及时、准确;色块、绿篱适期修剪，曲线润畅，轮廓明显，不脱脚，</w:t>
            </w:r>
            <w:r>
              <w:rPr>
                <w:rFonts w:hint="eastAsia" w:ascii="宋体" w:hAnsi="宋体" w:eastAsia="宋体" w:cs="宋体"/>
                <w:color w:val="000000"/>
                <w:sz w:val="21"/>
                <w:szCs w:val="21"/>
                <w:lang w:bidi="ar"/>
              </w:rPr>
              <w:t xml:space="preserve">不</w:t>
            </w:r>
            <w:r>
              <w:rPr>
                <w:rFonts w:hint="eastAsia" w:ascii="宋体" w:hAnsi="宋体" w:eastAsia="宋体" w:cs="宋体"/>
                <w:color w:val="000000"/>
                <w:sz w:val="21"/>
                <w:szCs w:val="21"/>
                <w:lang w:bidi="ar"/>
              </w:rPr>
              <w:t xml:space="preserve">缺损，三面整齐平整，球类修剪圆整。</w:t>
            </w:r>
            <w:r/>
          </w:p>
          <w:p>
            <w:pPr>
              <w:pStyle w:val="985"/>
              <w:ind w:firstLine="105"/>
              <w:jc w:val="both"/>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color w:val="000000"/>
                <w:sz w:val="21"/>
                <w:szCs w:val="21"/>
                <w:lang w:bidi="ar"/>
              </w:rPr>
              <w:t xml:space="preserve">根据树木习性及时修剪剥芽，修剪符合要求，树木通风透光良好。</w:t>
            </w:r>
            <w:r/>
          </w:p>
          <w:p>
            <w:pPr>
              <w:pStyle w:val="985"/>
              <w:ind w:firstLine="105"/>
              <w:jc w:val="both"/>
              <w:rPr>
                <w:rFonts w:ascii="宋体" w:hAnsi="宋体" w:eastAsia="宋体" w:cs="宋体"/>
                <w:sz w:val="21"/>
                <w:szCs w:val="21"/>
              </w:rPr>
            </w:pPr>
            <w:r>
              <w:rPr>
                <w:rFonts w:hint="eastAsia" w:ascii="宋体" w:hAnsi="宋体" w:eastAsia="宋体" w:cs="宋体"/>
                <w:color w:val="000000"/>
                <w:sz w:val="21"/>
                <w:szCs w:val="21"/>
                <w:lang w:bidi="ar"/>
              </w:rPr>
              <w:t xml:space="preserve">10.草坪按照1/3原则适时进行修剪，保持一定高度，修剪面平整，边角无遗留，草</w:t>
            </w:r>
            <w:r>
              <w:rPr>
                <w:rFonts w:hint="eastAsia" w:ascii="宋体" w:hAnsi="宋体" w:eastAsia="宋体" w:cs="宋体"/>
                <w:color w:val="000000"/>
                <w:sz w:val="21"/>
                <w:szCs w:val="21"/>
                <w:lang w:bidi="ar"/>
              </w:rPr>
              <w:t xml:space="preserve">屑及时</w:t>
            </w:r>
            <w:r>
              <w:rPr>
                <w:rFonts w:hint="eastAsia" w:ascii="宋体" w:hAnsi="宋体" w:eastAsia="宋体" w:cs="宋体"/>
                <w:color w:val="000000"/>
                <w:sz w:val="21"/>
                <w:szCs w:val="21"/>
                <w:lang w:bidi="ar"/>
              </w:rPr>
              <w:t xml:space="preserve">扫净运出。</w:t>
            </w:r>
            <w:r/>
          </w:p>
        </w:tc>
        <w:tc>
          <w:tcPr>
            <w:tcBorders>
              <w:top w:val="single" w:color="000000" w:sz="4" w:space="0"/>
              <w:left w:val="single" w:color="000000" w:sz="4" w:space="0"/>
              <w:bottom w:val="single" w:color="000000" w:sz="8"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color w:val="000000"/>
                <w:lang w:bidi="ar"/>
              </w:rPr>
              <w:t xml:space="preserve">8分</w:t>
            </w:r>
            <w:r/>
          </w:p>
        </w:tc>
        <w:tc>
          <w:tcPr>
            <w:tcBorders>
              <w:top w:val="single" w:color="000000" w:sz="4" w:space="0"/>
              <w:left w:val="none" w:color="000000" w:sz="4" w:space="0"/>
              <w:bottom w:val="single" w:color="000000" w:sz="8" w:space="0"/>
              <w:right w:val="single" w:color="000000" w:sz="8"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920"/>
        </w:trPr>
        <w:tc>
          <w:tcPr>
            <w:tcBorders>
              <w:top w:val="none" w:color="000000" w:sz="4" w:space="0"/>
              <w:left w:val="single" w:color="000000" w:sz="8" w:space="0"/>
              <w:bottom w:val="single" w:color="000000" w:sz="4" w:space="0"/>
              <w:right w:val="single" w:color="000000" w:sz="8"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3</w:t>
            </w:r>
            <w:r/>
          </w:p>
        </w:tc>
        <w:tc>
          <w:tcPr>
            <w:tcBorders>
              <w:top w:val="single" w:color="000000" w:sz="4" w:space="0"/>
              <w:left w:val="none" w:color="000000" w:sz="4" w:space="0"/>
              <w:bottom w:val="single" w:color="000000" w:sz="4" w:space="0"/>
              <w:right w:val="single" w:color="000000" w:sz="8" w:space="0"/>
            </w:tcBorders>
            <w:tcW w:w="650"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四害防治总体状况</w:t>
            </w:r>
            <w:r/>
          </w:p>
        </w:tc>
        <w:tc>
          <w:tcPr>
            <w:tcBorders>
              <w:top w:val="single" w:color="000000" w:sz="4" w:space="0"/>
              <w:left w:val="none" w:color="000000" w:sz="4" w:space="0"/>
              <w:bottom w:val="single" w:color="000000" w:sz="4" w:space="0"/>
              <w:right w:val="single" w:color="000000" w:sz="8" w:space="0"/>
            </w:tcBorders>
            <w:tcW w:w="3426" w:type="pct"/>
            <w:vAlign w:val="center"/>
            <w:textDirection w:val="lrTb"/>
            <w:noWrap w:val="false"/>
          </w:tcPr>
          <w:p>
            <w:pPr>
              <w:ind w:firstLine="105"/>
              <w:jc w:val="left"/>
              <w:widowControl/>
              <w:rPr>
                <w:rFonts w:ascii="宋体" w:hAnsi="宋体" w:cs="宋体"/>
              </w:rPr>
            </w:pPr>
            <w:r>
              <w:rPr>
                <w:rFonts w:hint="eastAsia" w:ascii="宋体" w:hAnsi="宋体" w:cs="宋体"/>
                <w:color w:val="000000"/>
                <w:lang w:bidi="ar"/>
              </w:rPr>
              <w:t xml:space="preserve">1.按合同约定及时进行四害防治处置。</w:t>
            </w:r>
            <w:r/>
          </w:p>
        </w:tc>
        <w:tc>
          <w:tcPr>
            <w:tcBorders>
              <w:top w:val="none" w:color="000000" w:sz="4" w:space="0"/>
              <w:left w:val="non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color w:val="000000"/>
                <w:lang w:bidi="ar"/>
              </w:rPr>
              <w:t xml:space="preserve">2分</w:t>
            </w:r>
            <w:r/>
          </w:p>
        </w:tc>
        <w:tc>
          <w:tcPr>
            <w:tcBorders>
              <w:top w:val="none" w:color="000000" w:sz="4" w:space="0"/>
              <w:left w:val="none" w:color="000000" w:sz="4" w:space="0"/>
              <w:bottom w:val="single" w:color="000000" w:sz="4" w:space="0"/>
              <w:right w:val="single" w:color="000000" w:sz="8"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543"/>
        </w:trPr>
        <w:tc>
          <w:tcPr>
            <w:gridSpan w:val="3"/>
            <w:tcBorders>
              <w:top w:val="single" w:color="000000" w:sz="4" w:space="0"/>
              <w:left w:val="single" w:color="000000" w:sz="8" w:space="0"/>
              <w:bottom w:val="single" w:color="000000" w:sz="8" w:space="0"/>
              <w:right w:val="single" w:color="000000" w:sz="8" w:space="0"/>
            </w:tcBorders>
            <w:tcW w:w="4348" w:type="pct"/>
            <w:vAlign w:val="center"/>
            <w:textDirection w:val="lrTb"/>
            <w:noWrap w:val="false"/>
          </w:tcPr>
          <w:p>
            <w:pPr>
              <w:rPr>
                <w:rFonts w:ascii="宋体" w:hAnsi="宋体" w:cs="宋体"/>
              </w:rPr>
            </w:pPr>
            <w:r>
              <w:rPr>
                <w:rFonts w:hint="eastAsia" w:ascii="宋体" w:hAnsi="宋体" w:cs="宋体"/>
                <w:b/>
                <w:bCs/>
                <w:color w:val="000000"/>
                <w:lang w:bidi="ar"/>
              </w:rPr>
              <w:t xml:space="preserve">得分：</w:t>
            </w:r>
            <w:r/>
          </w:p>
        </w:tc>
        <w:tc>
          <w:tcPr>
            <w:tcBorders>
              <w:top w:val="single" w:color="000000" w:sz="4" w:space="0"/>
              <w:left w:val="single" w:color="000000" w:sz="8" w:space="0"/>
              <w:bottom w:val="single" w:color="000000" w:sz="8" w:space="0"/>
              <w:right w:val="single" w:color="000000" w:sz="8" w:space="0"/>
            </w:tcBorders>
            <w:tcW w:w="373" w:type="pct"/>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8" w:space="0"/>
              <w:bottom w:val="single" w:color="000000" w:sz="8" w:space="0"/>
              <w:right w:val="single" w:color="000000" w:sz="8" w:space="0"/>
            </w:tcBorders>
            <w:tcW w:w="277" w:type="pct"/>
            <w:vAlign w:val="center"/>
            <w:textDirection w:val="lrTb"/>
            <w:noWrap w:val="false"/>
          </w:tcPr>
          <w:p>
            <w:pPr>
              <w:rPr>
                <w:rFonts w:ascii="宋体" w:hAnsi="宋体" w:cs="宋体"/>
              </w:rPr>
            </w:pPr>
            <w:r>
              <w:rPr>
                <w:rFonts w:ascii="宋体" w:hAnsi="宋体" w:cs="宋体"/>
              </w:rPr>
            </w:r>
            <w:r/>
          </w:p>
        </w:tc>
      </w:tr>
    </w:tbl>
    <w:p>
      <w:pPr>
        <w:ind w:firstLine="422"/>
        <w:spacing w:line="360" w:lineRule="auto"/>
        <w:rPr>
          <w:rFonts w:ascii="宋体" w:hAnsi="宋体" w:cs="宋体"/>
          <w:b/>
          <w:bCs/>
          <w:sz w:val="24"/>
          <w:szCs w:val="24"/>
          <w:lang w:bidi="ar"/>
        </w:rPr>
      </w:pPr>
      <w:r>
        <w:rPr>
          <w:rFonts w:hint="eastAsia" w:ascii="宋体" w:hAnsi="宋体" w:cs="宋体"/>
          <w:b/>
          <w:bCs/>
          <w:lang w:bidi="ar"/>
        </w:rPr>
        <w:t xml:space="preserve">考核表为试行，采购人可以根据考核情况和考核需要对考核内容做出修改。</w:t>
      </w:r>
      <w:r/>
    </w:p>
    <w:p>
      <w:pPr>
        <w:pStyle w:val="987"/>
        <w:spacing w:line="560" w:lineRule="exact"/>
        <w:rPr>
          <w:bCs/>
          <w:sz w:val="28"/>
          <w:szCs w:val="28"/>
        </w:rPr>
        <w:outlineLvl w:val="4"/>
      </w:pPr>
      <w:r>
        <w:rPr>
          <w:rFonts w:hint="eastAsia"/>
          <w:bCs/>
          <w:sz w:val="28"/>
          <w:szCs w:val="28"/>
        </w:rPr>
        <w:t xml:space="preserve">附件3：</w:t>
      </w:r>
      <w:r/>
    </w:p>
    <w:p>
      <w:pPr>
        <w:pStyle w:val="987"/>
        <w:ind w:firstLine="1405"/>
        <w:spacing w:line="560" w:lineRule="exact"/>
        <w:rPr>
          <w:b/>
          <w:sz w:val="28"/>
          <w:szCs w:val="28"/>
          <w:lang w:bidi="ar"/>
        </w:rPr>
        <w:outlineLvl w:val="4"/>
      </w:pPr>
      <w:r>
        <w:rPr>
          <w:rFonts w:hint="eastAsia"/>
          <w:b/>
          <w:sz w:val="28"/>
          <w:szCs w:val="28"/>
          <w:lang w:bidi="ar"/>
        </w:rPr>
        <w:t xml:space="preserve">校园外环境服务季度满意度调查表（试行）</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项目</w:t>
            </w:r>
            <w:r/>
          </w:p>
        </w:tc>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很满意</w:t>
            </w:r>
            <w:r/>
          </w:p>
        </w:tc>
        <w:tc>
          <w:tcPr>
            <w:tcW w:w="2131"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满意</w:t>
            </w:r>
            <w:r/>
          </w:p>
        </w:tc>
        <w:tc>
          <w:tcPr>
            <w:tcW w:w="2131"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不满意</w:t>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室外保洁</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绿化美化</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垃圾清运</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四害灭杀</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动物养殖</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85"/>
              <w:spacing w:line="560" w:lineRule="exact"/>
              <w:rPr>
                <w:rFonts w:ascii="宋体" w:hAnsi="宋体" w:eastAsia="宋体"/>
                <w:sz w:val="24"/>
                <w:szCs w:val="24"/>
              </w:rPr>
            </w:pPr>
            <w:r>
              <w:rPr>
                <w:rFonts w:hint="eastAsia" w:ascii="宋体" w:hAnsi="宋体" w:eastAsia="宋体"/>
                <w:sz w:val="24"/>
                <w:szCs w:val="24"/>
              </w:rPr>
              <w:t xml:space="preserve">水面管养</w:t>
            </w:r>
            <w:r/>
          </w:p>
        </w:tc>
        <w:tc>
          <w:tcPr>
            <w:tcW w:w="2130"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85"/>
              <w:spacing w:line="560" w:lineRule="exact"/>
              <w:rPr>
                <w:rFonts w:ascii="宋体" w:hAnsi="宋体" w:eastAsia="宋体"/>
                <w:sz w:val="24"/>
                <w:szCs w:val="24"/>
              </w:rPr>
            </w:pPr>
            <w:r>
              <w:rPr>
                <w:rFonts w:ascii="宋体" w:hAnsi="宋体" w:eastAsia="宋体"/>
                <w:sz w:val="24"/>
                <w:szCs w:val="24"/>
              </w:rPr>
            </w:r>
            <w:r/>
          </w:p>
        </w:tc>
      </w:tr>
      <w:tr>
        <w:trPr/>
        <w:tc>
          <w:tcPr>
            <w:gridSpan w:val="4"/>
            <w:tcW w:w="8522" w:type="dxa"/>
            <w:textDirection w:val="lrTb"/>
            <w:noWrap w:val="false"/>
          </w:tcPr>
          <w:p>
            <w:pPr>
              <w:pStyle w:val="985"/>
              <w:ind w:firstLine="480"/>
              <w:jc w:val="left"/>
              <w:spacing w:line="560" w:lineRule="exact"/>
              <w:rPr>
                <w:rFonts w:ascii="宋体" w:hAnsi="宋体" w:eastAsia="宋体"/>
                <w:sz w:val="24"/>
                <w:szCs w:val="24"/>
              </w:rPr>
            </w:pPr>
            <w:r>
              <w:rPr>
                <w:rFonts w:hint="eastAsia" w:ascii="宋体" w:hAnsi="宋体" w:eastAsia="宋体"/>
                <w:sz w:val="24"/>
                <w:szCs w:val="24"/>
              </w:rPr>
              <w:t xml:space="preserve">建议：</w:t>
            </w:r>
            <w:r/>
          </w:p>
        </w:tc>
      </w:tr>
    </w:tbl>
    <w:p>
      <w:pPr>
        <w:ind w:firstLine="482"/>
        <w:spacing w:line="560" w:lineRule="exact"/>
        <w:rPr>
          <w:rFonts w:ascii="宋体" w:hAnsi="宋体" w:cs="宋体"/>
          <w:b/>
          <w:bCs/>
          <w:sz w:val="24"/>
          <w:lang w:bidi="ar"/>
        </w:rPr>
      </w:pPr>
      <w:r>
        <w:rPr>
          <w:rFonts w:hint="eastAsia" w:ascii="宋体" w:hAnsi="宋体" w:cs="宋体"/>
          <w:b/>
          <w:bCs/>
          <w:sz w:val="24"/>
          <w:lang w:bidi="ar"/>
        </w:rPr>
        <w:t xml:space="preserve">此表为试行，采购人可以根据考核情况和考核需要对考核内容做出修改。</w:t>
      </w:r>
      <w:r/>
    </w:p>
    <w:p>
      <w:pPr>
        <w:spacing w:line="0" w:lineRule="atLeast"/>
        <w:rPr>
          <w:rFonts w:ascii="宋体" w:hAnsi="宋体"/>
          <w:color w:val="000000"/>
          <w:sz w:val="24"/>
          <w:szCs w:val="24"/>
        </w:rPr>
      </w:pPr>
      <w:r>
        <w:rPr>
          <w:rFonts w:ascii="宋体" w:hAnsi="宋体"/>
          <w:color w:val="000000"/>
          <w:sz w:val="24"/>
          <w:szCs w:val="24"/>
        </w:rPr>
      </w:r>
      <w:r/>
    </w:p>
    <w:p>
      <w:pPr>
        <w:pStyle w:val="97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十四、其他要求</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rPr>
        <w:t xml:space="preserve">1.项目属性:服务类项目。</w:t>
      </w:r>
      <w:bookmarkStart w:id="171" w:name="_Toc120614281"/>
      <w:r/>
      <w:r/>
    </w:p>
    <w:p>
      <w:pPr>
        <w:ind w:firstLine="640"/>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pStyle w:val="769"/>
        <w:spacing w:line="400" w:lineRule="exact"/>
        <w:rPr>
          <w:rFonts w:ascii="黑体" w:hAnsi="黑体" w:eastAsia="黑体"/>
          <w:sz w:val="32"/>
          <w:szCs w:val="32"/>
        </w:rPr>
      </w:pPr>
      <w:r>
        <w:rPr>
          <w:rFonts w:hint="eastAsia" w:ascii="黑体" w:hAnsi="黑体" w:eastAsia="黑体"/>
          <w:sz w:val="32"/>
          <w:szCs w:val="32"/>
        </w:rPr>
        <w:t xml:space="preserve">第五章  评标方法与评标标准</w:t>
      </w:r>
      <w:r/>
    </w:p>
    <w:p>
      <w:pPr>
        <w:ind w:firstLine="560"/>
        <w:spacing w:line="560" w:lineRule="exact"/>
        <w:rPr>
          <w:rFonts w:ascii="仿宋" w:hAnsi="仿宋" w:eastAsia="仿宋" w:cs="方正仿宋_GBK"/>
          <w:sz w:val="28"/>
          <w:szCs w:val="28"/>
        </w:rPr>
      </w:pPr>
      <w:r>
        <w:rPr>
          <w:rFonts w:hint="eastAsia" w:ascii="仿宋" w:hAnsi="仿宋" w:eastAsia="仿宋" w:cs="方正仿宋_GBK"/>
          <w:sz w:val="28"/>
          <w:szCs w:val="28"/>
        </w:rPr>
        <w:t xml:space="preserve">采用综合评分法的，评标结果按评审后得分由高到低顺序排列。得分相同的，按投标报价由低到高顺序排列。</w:t>
      </w:r>
      <w:r>
        <w:rPr>
          <w:rFonts w:hint="eastAsia" w:ascii="仿宋" w:hAnsi="仿宋" w:eastAsia="仿宋" w:cs="方正仿宋_GBK"/>
          <w:color w:val="000000"/>
          <w:sz w:val="28"/>
          <w:szCs w:val="28"/>
        </w:rPr>
        <w:t xml:space="preserve">得分且投标报价相同的并列。</w:t>
      </w:r>
      <w:r/>
    </w:p>
    <w:p>
      <w:pPr>
        <w:rPr>
          <w:rFonts w:ascii="仿宋" w:hAnsi="仿宋" w:eastAsia="仿宋"/>
          <w:sz w:val="28"/>
          <w:szCs w:val="28"/>
        </w:rPr>
      </w:pPr>
      <w:r>
        <w:rPr>
          <w:rFonts w:ascii="仿宋" w:hAnsi="仿宋" w:eastAsia="仿宋"/>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采购包号</w:t>
            </w:r>
            <w:r/>
          </w:p>
        </w:tc>
        <w:tc>
          <w:tcPr>
            <w:tcW w:w="2183"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选取中标候选人数量</w:t>
            </w:r>
            <w:r/>
          </w:p>
        </w:tc>
        <w:tc>
          <w:tcPr>
            <w:tcW w:w="5134"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选取中标候选人的原则</w:t>
            </w:r>
            <w:r/>
          </w:p>
        </w:tc>
      </w:tr>
      <w:tr>
        <w:trPr/>
        <w:tc>
          <w:tcPr>
            <w:tcW w:w="1608"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2183"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5134" w:type="dxa"/>
            <w:textDirection w:val="lrTb"/>
            <w:noWrap w:val="false"/>
          </w:tcPr>
          <w:p>
            <w:pPr>
              <w:jc w:val="left"/>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满足招标文件全部实质性要求，</w:t>
            </w:r>
            <w:r>
              <w:rPr>
                <w:rFonts w:hint="eastAsia" w:ascii="仿宋" w:hAnsi="仿宋" w:eastAsia="仿宋" w:cs="方正仿宋_GBK"/>
                <w:sz w:val="28"/>
                <w:szCs w:val="28"/>
              </w:rPr>
              <w:t xml:space="preserve">且按照</w:t>
            </w:r>
            <w:r>
              <w:rPr>
                <w:rFonts w:hint="eastAsia" w:ascii="仿宋" w:hAnsi="仿宋" w:eastAsia="仿宋" w:cs="方正仿宋_GBK"/>
                <w:sz w:val="28"/>
                <w:szCs w:val="28"/>
              </w:rPr>
              <w:t xml:space="preserve">评审因素的量化指标评审得分最高的投标人为中标候选人。</w:t>
            </w:r>
            <w:r/>
          </w:p>
        </w:tc>
      </w:tr>
    </w:tbl>
    <w:p>
      <w:pPr>
        <w:pStyle w:val="1010"/>
        <w:ind w:firstLine="562"/>
        <w:spacing w:line="560" w:lineRule="exact"/>
        <w:rPr>
          <w:rFonts w:ascii="仿宋" w:hAnsi="仿宋" w:eastAsia="仿宋" w:cs="方正仿宋_GBK"/>
          <w:b/>
          <w:sz w:val="28"/>
          <w:szCs w:val="28"/>
          <w:highlight w:val="yellow"/>
        </w:rPr>
      </w:pPr>
      <w:r>
        <w:rPr>
          <w:rFonts w:hint="eastAsia" w:ascii="仿宋" w:hAnsi="仿宋" w:eastAsia="仿宋" w:cs="方正仿宋_GBK"/>
          <w:b/>
          <w:sz w:val="28"/>
          <w:szCs w:val="28"/>
        </w:rPr>
        <w:t xml:space="preserve">政府采购政策功能落实</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1.小微型企业价格扣除</w:t>
      </w:r>
      <w:r/>
    </w:p>
    <w:p>
      <w:pPr>
        <w:pStyle w:val="1010"/>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（1）本项目对小型和微型企业提供的服务给予10%的扣除价格，用扣除后的价格参与评审。</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（2）供应商需按照采购文件的要求提供相应的《中小微企业声明函》。</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2.残疾人福利单位价格扣除</w:t>
      </w:r>
      <w:r/>
    </w:p>
    <w:p>
      <w:pPr>
        <w:pStyle w:val="1010"/>
        <w:ind w:left="120"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（1）本项目对残疾人福利性单位视同小型、微型企业，给予10%的价格扣除，用扣除后的价格参与评审。</w:t>
      </w:r>
      <w:r/>
    </w:p>
    <w:p>
      <w:pPr>
        <w:pStyle w:val="1010"/>
        <w:ind w:left="120"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（2）残疾人福利单位需按照采购文件的要求提供《残疾人福利性单位声明函》。</w:t>
      </w:r>
      <w:r/>
    </w:p>
    <w:p>
      <w:pPr>
        <w:pStyle w:val="1010"/>
        <w:ind w:left="120"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（3）残疾人福利单位标准请参照《关于促进残疾人就业政府采购政策的通知》（财库〔2017〕141号）。</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3.监狱和戒毒企业价格扣除</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（1）本项目对监狱和戒毒企业（简称监狱企业）视同小型、微型企业，给予10%的价格扣除，用扣除后的价格参与评审。</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（3）监狱企业标准请参照《关于政府采购支持监狱企业发展有关问题的通知》（财库〔2014〕68号）。</w:t>
      </w:r>
      <w:r/>
    </w:p>
    <w:p>
      <w:pPr>
        <w:pStyle w:val="1010"/>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4.残疾人福利单位、监狱企业属于小型、微型企业的，不重复享受政策。</w:t>
      </w:r>
      <w:r/>
    </w:p>
    <w:p>
      <w:pPr>
        <w:pStyle w:val="1010"/>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10"/>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7.采购本国产品的支持政策</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以上时（供应商需在“第六章 投标文件格式”的“附件2 投标分项报价表”中填写比例数值），依法对该供应</w:t>
      </w:r>
      <w:r>
        <w:rPr>
          <w:rFonts w:hint="eastAsia" w:ascii="仿宋" w:hAnsi="仿宋" w:eastAsia="仿宋" w:cs="方正魏碑_GBK"/>
          <w:color w:val="000000"/>
          <w:sz w:val="28"/>
          <w:szCs w:val="28"/>
        </w:rPr>
        <w:t xml:space="preserve">商整个采购包给予</w:t>
      </w:r>
      <w:r>
        <w:rPr>
          <w:rFonts w:hint="eastAsia" w:ascii="仿宋" w:hAnsi="仿宋" w:eastAsia="仿宋" w:cs="方正魏碑_GBK"/>
          <w:color w:val="000000"/>
          <w:sz w:val="28"/>
          <w:szCs w:val="28"/>
        </w:rPr>
        <w:t xml:space="preserve">价格评审优惠，即对该供应</w:t>
      </w:r>
      <w:r>
        <w:rPr>
          <w:rFonts w:hint="eastAsia" w:ascii="仿宋" w:hAnsi="仿宋" w:eastAsia="仿宋" w:cs="方正魏碑_GBK"/>
          <w:color w:val="000000"/>
          <w:sz w:val="28"/>
          <w:szCs w:val="28"/>
        </w:rPr>
        <w:t xml:space="preserve">商整个</w:t>
      </w:r>
      <w:r>
        <w:rPr>
          <w:rFonts w:hint="eastAsia" w:ascii="仿宋" w:hAnsi="仿宋" w:eastAsia="仿宋" w:cs="方正魏碑_GBK"/>
          <w:color w:val="000000"/>
          <w:sz w:val="28"/>
          <w:szCs w:val="28"/>
        </w:rPr>
        <w:t xml:space="preserve">采购包的总报价给予</w:t>
      </w:r>
      <w:r>
        <w:rPr>
          <w:rFonts w:hint="eastAsia" w:ascii="仿宋" w:hAnsi="仿宋" w:eastAsia="仿宋" w:cs="方正魏碑_GBK"/>
          <w:color w:val="000000"/>
          <w:sz w:val="28"/>
          <w:szCs w:val="28"/>
          <w:u w:val="single"/>
        </w:rPr>
        <w:t xml:space="preserve">20%</w:t>
      </w:r>
      <w:r>
        <w:rPr>
          <w:rFonts w:hint="eastAsia" w:ascii="仿宋" w:hAnsi="仿宋" w:eastAsia="仿宋" w:cs="方正魏碑_GBK"/>
          <w:color w:val="000000"/>
          <w:sz w:val="28"/>
          <w:szCs w:val="28"/>
        </w:rPr>
        <w:t xml:space="preserve">的价格扣除，用扣除后的价格参与评审。供应商未填写比例数值，或比例数值不足</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的，将不享受本国产品价格评审优惠。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7.3 供应商需在《声明函》中逐一、准确填写产品名称、厂名、生产厂址三项信息（《声明函》中标注</w:t>
      </w:r>
      <w:r>
        <w:rPr>
          <w:rFonts w:hint="eastAsia" w:ascii="仿宋" w:hAnsi="仿宋" w:eastAsia="仿宋" w:cs="方正魏碑_GBK"/>
          <w:color w:val="000000"/>
          <w:sz w:val="28"/>
          <w:szCs w:val="28"/>
          <w:u w:val="single"/>
        </w:rPr>
        <w:t xml:space="preserve">“  /  ”</w:t>
      </w:r>
      <w:r>
        <w:rPr>
          <w:rFonts w:hint="eastAsia" w:ascii="仿宋" w:hAnsi="仿宋" w:eastAsia="仿宋" w:cs="方正魏碑_GBK"/>
          <w:color w:val="000000"/>
          <w:sz w:val="28"/>
          <w:szCs w:val="28"/>
        </w:rPr>
        <w:t xml:space="preserve">的地方无需填写），三项信息中任意一项未填写的视为该项产品不符合本国产品标准，不享受本国产品价格评审优惠。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7.4 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方正魏碑_GBK"/>
          <w:color w:val="000000"/>
          <w:sz w:val="28"/>
          <w:szCs w:val="28"/>
        </w:rPr>
        <w:t xml:space="preserve">作出</w:t>
      </w:r>
      <w:r>
        <w:rPr>
          <w:rFonts w:hint="eastAsia" w:ascii="仿宋" w:hAnsi="仿宋" w:eastAsia="仿宋" w:cs="方正魏碑_GBK"/>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ind w:firstLine="0"/>
        <w:spacing w:line="0" w:lineRule="atLeast"/>
        <w:rPr>
          <w:rFonts w:ascii="宋体" w:hAnsi="宋体"/>
          <w:b/>
        </w:rPr>
      </w:pPr>
      <w:r>
        <w:rPr>
          <w:rFonts w:ascii="宋体" w:hAnsi="宋体"/>
          <w:b/>
        </w:rPr>
      </w:r>
      <w:r/>
    </w:p>
    <w:p>
      <w:pPr>
        <w:ind w:firstLine="640"/>
        <w:jc w:val="left"/>
        <w:spacing w:before="120" w:after="120" w:line="0" w:lineRule="atLeas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pStyle w:val="987"/>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（一）投标价格分（20分）</w:t>
      </w:r>
      <w:r/>
    </w:p>
    <w:p>
      <w:pPr>
        <w:pStyle w:val="987"/>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1.投标报价得分（20分）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满足招标文件要求的最低投标报价为评标基准价，其价格分为满分。其他投标人的价格</w:t>
      </w:r>
      <w:r>
        <w:rPr>
          <w:rFonts w:hint="eastAsia" w:ascii="仿宋_GB2312" w:hAnsi="仿宋_GB2312" w:eastAsia="仿宋_GB2312" w:cs="仿宋_GB2312"/>
          <w:sz w:val="28"/>
          <w:szCs w:val="28"/>
          <w:lang w:bidi="ar"/>
        </w:rPr>
        <w:t xml:space="preserve">分按照</w:t>
      </w:r>
      <w:r>
        <w:rPr>
          <w:rFonts w:hint="eastAsia" w:ascii="仿宋_GB2312" w:hAnsi="仿宋_GB2312" w:eastAsia="仿宋_GB2312" w:cs="仿宋_GB2312"/>
          <w:sz w:val="28"/>
          <w:szCs w:val="28"/>
          <w:lang w:bidi="ar"/>
        </w:rPr>
        <w:t xml:space="preserve">下列公式计算（小数点保留两位）：投标报价得分=(评标基准价／投标报价）×20。</w:t>
      </w:r>
      <w:r/>
    </w:p>
    <w:p>
      <w:pPr>
        <w:pStyle w:val="987"/>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（二）工作方案（21分）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2.1项目运营和管理方案（3分）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评委根据投标人提供的项目运营和管理方案进行综合评审。方案优于项目需求得3分；符合项目需求得2分；不符合项目需求或不提供的得0分。</w:t>
      </w:r>
      <w:r/>
    </w:p>
    <w:p>
      <w:pPr>
        <w:pStyle w:val="987"/>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2.2室外保洁类服务方案（2分）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评委根据投标人提供的室外保洁类服务方案进行综合评审。方案优于项目需求得2分；符合项目需求得1分；不符合项目需求或不提供的得0分。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2.3垃圾外运服务方案（2分）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评委根据投标人提供的垃圾外运方案进行综合评审。方案优于项目需求得2分；符合项目需求得1分；不符合项目需求或不提供的得0分。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2.4校内化粪池清理服务方案（2分）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评委根据投标人提供的校内化粪池清理服务方案进行综合评审。方案优于项目需求得2分；符合项目需求得1分；不符合项目需求或不提供的得0分。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2.5动物饲养服务方案（2分）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评委根据投标人提供的动物饲养服务方案进行综合评审。方案优于项目需求得2分；符合项目需求得1分；不符合项目需求或不提供的得0分。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2.6绿化养护服务方案（2分）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评委根据投标人提供的绿化养护服务方案进行综合评审。方案优于项目需求得2分；符合项目需求得1分；不符合项目需求或不提供的得0分。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2.7时令花卉服务方案（2分）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评委根据投标人提供的时令花卉服务方案进行综合评审。方案优于项目需求得2分；符合项目需求得1分；不符合项目需求或不提供的得0分。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2.8校园“四害”防治方案（2分）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评委根据投标人提供的校园“四害”防治方案进行综合评审。方案优于项目需求得2分；符合项目需求得1分；不符合项目需求或不提供的得0分。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2.9应急预案与安全方案（2分）</w:t>
      </w:r>
      <w:r/>
    </w:p>
    <w:p>
      <w:pPr>
        <w:pStyle w:val="987"/>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评委根据投标人提供的应急预案与安全方案进行综合评审。方案优于项目需求得2分；符合项目需求得1分；不符合项目需求或不提供的得0分。</w:t>
      </w:r>
      <w:r/>
    </w:p>
    <w:p>
      <w:pPr>
        <w:pStyle w:val="987"/>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2.10进退场交接方案（2分）</w:t>
      </w:r>
      <w:r/>
    </w:p>
    <w:p>
      <w:pPr>
        <w:pStyle w:val="987"/>
        <w:ind w:firstLine="560"/>
        <w:spacing w:beforeAutospacing="0" w:afterAutospacing="0"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sz w:val="28"/>
          <w:szCs w:val="28"/>
          <w:lang w:bidi="ar"/>
        </w:rPr>
        <w:t xml:space="preserve">评委根据投标人提供的进退场交接方案进行综合评审。</w:t>
      </w:r>
      <w:r>
        <w:rPr>
          <w:rFonts w:hint="eastAsia" w:ascii="仿宋_GB2312" w:hAnsi="仿宋_GB2312" w:eastAsia="仿宋_GB2312" w:cs="仿宋_GB2312"/>
          <w:color w:val="0d0d0d"/>
          <w:sz w:val="28"/>
          <w:szCs w:val="28"/>
          <w:lang w:bidi="ar"/>
        </w:rPr>
        <w:t xml:space="preserve">方案优于项目需求得2分；符合项目需求得1分；不符合项目需求或不提供</w:t>
      </w:r>
      <w:r>
        <w:rPr>
          <w:rFonts w:hint="eastAsia" w:ascii="仿宋_GB2312" w:hAnsi="仿宋_GB2312" w:eastAsia="仿宋_GB2312" w:cs="仿宋_GB2312"/>
          <w:sz w:val="28"/>
          <w:szCs w:val="28"/>
          <w:lang w:bidi="ar"/>
        </w:rPr>
        <w:t xml:space="preserve">的得0分。</w:t>
      </w:r>
      <w:r/>
    </w:p>
    <w:p>
      <w:pPr>
        <w:pStyle w:val="987"/>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（三）人员配备（32分）</w:t>
      </w:r>
      <w:r/>
    </w:p>
    <w:p>
      <w:pPr>
        <w:pStyle w:val="987"/>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3.1项目经理资质（6分）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3.1.1项目经理学历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项目经理具有本科及以上学历得2分 。</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3.1.2项目经理职称</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项目经理</w:t>
      </w:r>
      <w:r>
        <w:rPr>
          <w:rFonts w:hint="eastAsia" w:ascii="仿宋_GB2312" w:hAnsi="仿宋_GB2312" w:eastAsia="仿宋_GB2312" w:cs="仿宋_GB2312"/>
          <w:color w:val="0d0d0d"/>
          <w:sz w:val="28"/>
          <w:szCs w:val="28"/>
          <w:lang w:bidi="ar"/>
        </w:rPr>
        <w:t xml:space="preserve">持有职称评审部门颁发的园林绿化类中级职称得1分；持有职称评审部门颁发的园林绿化类高级职称得2分。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3.1.3项目经理工作经验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年及以上类似项目工作经验的得2分。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0"/>
        <w:jc w:val="left"/>
        <w:spacing w:line="560" w:lineRule="exact"/>
        <w:widowControl/>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提供投标人近三个月内任意一个月为其缴纳社保的证明材料。</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3.2项目主管（保洁）资质（6分）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3.2.1项目主管（保洁）学历  </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项目主管（保洁）具有专科学历得1分；具有本科及以上学历得2分。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3.2.2项目主管（保洁）证书</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项目主管（保洁）持有保洁类职业技能等级证书得2分。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3.2.3 项目主管（保洁）工作经验</w:t>
      </w:r>
      <w:r/>
    </w:p>
    <w:p>
      <w:pPr>
        <w:ind w:firstLine="560"/>
        <w:jc w:val="left"/>
        <w:spacing w:line="560" w:lineRule="exact"/>
        <w:widowControl/>
        <w:rPr>
          <w:rFonts w:ascii="仿宋_GB2312" w:hAnsi="仿宋_GB2312" w:eastAsia="仿宋_GB2312" w:cs="仿宋_GB2312"/>
          <w:sz w:val="28"/>
          <w:szCs w:val="28"/>
          <w:lang w:bidi="ar"/>
        </w:rPr>
      </w:pPr>
      <w:r/>
      <w:bookmarkStart w:id="172" w:name="OLE_LINK2"/>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bookmarkEnd w:id="172"/>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3.3项目主管（绿化）资质（6分）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3.3.1项目主管（绿化）学历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项目主管（绿化）具有专科学历得1分；具有本科及以上学历得2分。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3.3.2项目主管（绿化）职称</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项目主管（绿化）持有</w:t>
      </w:r>
      <w:r>
        <w:rPr>
          <w:rFonts w:hint="eastAsia" w:ascii="仿宋_GB2312" w:hAnsi="仿宋_GB2312" w:eastAsia="仿宋_GB2312" w:cs="仿宋_GB2312"/>
          <w:color w:val="0d0d0d"/>
          <w:sz w:val="28"/>
          <w:szCs w:val="28"/>
          <w:lang w:bidi="ar"/>
        </w:rPr>
        <w:t xml:space="preserve">职称评审部门颁发的园林</w:t>
      </w:r>
      <w:r>
        <w:rPr>
          <w:rFonts w:hint="eastAsia" w:ascii="仿宋_GB2312" w:hAnsi="仿宋_GB2312" w:eastAsia="仿宋_GB2312" w:cs="仿宋_GB2312"/>
          <w:sz w:val="28"/>
          <w:szCs w:val="28"/>
          <w:lang w:bidi="ar"/>
        </w:rPr>
        <w:t xml:space="preserve">绿化类初级职称得1分，持有</w:t>
      </w:r>
      <w:r>
        <w:rPr>
          <w:rFonts w:hint="eastAsia" w:ascii="仿宋_GB2312" w:hAnsi="仿宋_GB2312" w:eastAsia="仿宋_GB2312" w:cs="仿宋_GB2312"/>
          <w:color w:val="0d0d0d"/>
          <w:sz w:val="28"/>
          <w:szCs w:val="28"/>
          <w:lang w:bidi="ar"/>
        </w:rPr>
        <w:t xml:space="preserve">职称评审部门颁发的</w:t>
      </w:r>
      <w:r>
        <w:rPr>
          <w:rFonts w:hint="eastAsia" w:ascii="仿宋_GB2312" w:hAnsi="仿宋_GB2312" w:eastAsia="仿宋_GB2312" w:cs="仿宋_GB2312"/>
          <w:sz w:val="28"/>
          <w:szCs w:val="28"/>
          <w:lang w:bidi="ar"/>
        </w:rPr>
        <w:t xml:space="preserve">园林绿化类中级及以上职称得2分。</w:t>
      </w:r>
      <w:r/>
    </w:p>
    <w:p>
      <w:pPr>
        <w:ind w:firstLine="560"/>
        <w:jc w:val="left"/>
        <w:spacing w:line="560" w:lineRule="exact"/>
        <w:rPr>
          <w:rFonts w:ascii="仿宋_GB2312" w:hAnsi="仿宋_GB2312" w:eastAsia="仿宋_GB2312" w:cs="仿宋_GB2312"/>
          <w:strike/>
          <w:color w:val="ff0000"/>
          <w:sz w:val="28"/>
          <w:szCs w:val="28"/>
          <w:lang w:bidi="ar"/>
        </w:rPr>
      </w:pPr>
      <w:r>
        <w:rPr>
          <w:rFonts w:hint="eastAsia" w:ascii="仿宋_GB2312" w:hAnsi="仿宋_GB2312" w:eastAsia="仿宋_GB2312" w:cs="仿宋_GB2312"/>
          <w:sz w:val="28"/>
          <w:szCs w:val="28"/>
          <w:lang w:bidi="ar"/>
        </w:rPr>
        <w:t xml:space="preserve">3.3.3 项目主管（绿化）工作经验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3.4安全员工作经验（3分）</w:t>
      </w:r>
      <w:r/>
    </w:p>
    <w:p>
      <w:pPr>
        <w:ind w:firstLine="560"/>
        <w:jc w:val="left"/>
        <w:spacing w:line="560" w:lineRule="exact"/>
        <w:widowControl/>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具有</w:t>
      </w:r>
      <w:r>
        <w:rPr>
          <w:rFonts w:hint="eastAsia" w:ascii="仿宋_GB2312" w:hAnsi="仿宋_GB2312" w:eastAsia="仿宋_GB2312" w:cs="仿宋_GB2312"/>
          <w:color w:val="000000"/>
          <w:sz w:val="28"/>
          <w:szCs w:val="28"/>
          <w:lang w:bidi="ar"/>
        </w:rPr>
        <w:t xml:space="preserve">三</w:t>
      </w:r>
      <w:r>
        <w:rPr>
          <w:rFonts w:hint="eastAsia" w:ascii="仿宋_GB2312" w:hAnsi="仿宋_GB2312" w:eastAsia="仿宋_GB2312" w:cs="仿宋_GB2312"/>
          <w:color w:val="000000"/>
          <w:sz w:val="28"/>
          <w:szCs w:val="28"/>
          <w:lang w:bidi="ar"/>
        </w:rPr>
        <w:t xml:space="preserve">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00000"/>
          <w:sz w:val="28"/>
          <w:szCs w:val="28"/>
          <w:lang w:bidi="ar"/>
        </w:rPr>
        <w:t xml:space="preserve">工作经验的得3分。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3.5电工资质（3分）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3.5.1电工证书</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持有</w:t>
      </w:r>
      <w:r>
        <w:rPr>
          <w:rFonts w:hint="eastAsia" w:ascii="仿宋_GB2312" w:hAnsi="仿宋_GB2312" w:eastAsia="仿宋_GB2312" w:cs="仿宋_GB2312"/>
          <w:color w:val="0d0d0d"/>
          <w:sz w:val="28"/>
          <w:szCs w:val="28"/>
          <w:lang w:bidi="ar"/>
        </w:rPr>
        <w:t xml:space="preserve">国家应急管理部门颁发的特</w:t>
      </w:r>
      <w:r>
        <w:rPr>
          <w:rFonts w:hint="eastAsia" w:ascii="仿宋_GB2312" w:hAnsi="仿宋_GB2312" w:eastAsia="仿宋_GB2312" w:cs="仿宋_GB2312"/>
          <w:sz w:val="28"/>
          <w:szCs w:val="28"/>
          <w:lang w:bidi="ar"/>
        </w:rPr>
        <w:t xml:space="preserve">种作业证书（作业类别：低压电工作业），得2分。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3.5.2 电工工作经验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年及以上类似岗位工作经验的得1分。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3.6四害灭杀资质（2分）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3.6.1四害灭杀证书</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color w:val="0d0d0d"/>
          <w:sz w:val="28"/>
          <w:szCs w:val="28"/>
          <w:lang w:bidi="ar"/>
        </w:rPr>
        <w:t xml:space="preserve">持有</w:t>
      </w:r>
      <w:r>
        <w:rPr>
          <w:rFonts w:hint="eastAsia" w:ascii="仿宋_GB2312" w:hAnsi="仿宋_GB2312" w:eastAsia="仿宋_GB2312" w:cs="仿宋_GB2312"/>
          <w:sz w:val="28"/>
          <w:szCs w:val="28"/>
          <w:lang w:bidi="ar"/>
        </w:rPr>
        <w:t xml:space="preserve">有害生物防制类</w:t>
      </w:r>
      <w:r>
        <w:rPr>
          <w:rFonts w:hint="eastAsia" w:ascii="仿宋_GB2312" w:hAnsi="仿宋_GB2312" w:eastAsia="仿宋_GB2312" w:cs="仿宋_GB2312"/>
          <w:sz w:val="28"/>
          <w:szCs w:val="28"/>
          <w:lang w:bidi="ar"/>
        </w:rPr>
        <w:t xml:space="preserve">职业技能等级证书得2分。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p>
    <w:p>
      <w:pPr>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3.7保洁班组长（6人）资质（3分）</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3.7.1保洁班组长证书</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保洁班组长持有保洁类职业技能等级证书，并具有</w:t>
      </w:r>
      <w:r>
        <w:rPr>
          <w:rFonts w:hint="eastAsia" w:ascii="仿宋_GB2312" w:hAnsi="仿宋_GB2312" w:eastAsia="仿宋_GB2312" w:cs="仿宋_GB2312"/>
          <w:color w:val="0d0d0d"/>
          <w:sz w:val="28"/>
          <w:szCs w:val="28"/>
          <w:lang w:bidi="ar"/>
        </w:rPr>
        <w:t xml:space="preserve">三</w:t>
      </w:r>
      <w:r>
        <w:rPr>
          <w:rFonts w:hint="eastAsia" w:ascii="仿宋_GB2312" w:hAnsi="仿宋_GB2312" w:eastAsia="仿宋_GB2312" w:cs="仿宋_GB2312"/>
          <w:color w:val="0d0d0d"/>
          <w:sz w:val="28"/>
          <w:szCs w:val="28"/>
          <w:lang w:bidi="ar"/>
        </w:rPr>
        <w:t xml:space="preserve">年及以上类似岗位工作经验（1人0.5分，本项最高3分）。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color w:val="0d0d0d"/>
          <w:sz w:val="28"/>
          <w:szCs w:val="28"/>
          <w:lang w:bidi="ar"/>
        </w:rPr>
      </w:pPr>
      <w:r>
        <w:rPr>
          <w:rFonts w:hint="eastAsia" w:ascii="仿宋_GB2312" w:hAnsi="仿宋_GB2312" w:eastAsia="仿宋_GB2312" w:cs="仿宋_GB2312"/>
          <w:b/>
          <w:bCs/>
          <w:color w:val="0d0d0d"/>
          <w:sz w:val="28"/>
          <w:szCs w:val="28"/>
          <w:lang w:bidi="ar"/>
        </w:rPr>
        <w:t xml:space="preserve">3.8绿化班组长（2人）资质（1分）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3.8.1绿化班组长证书</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绿化班组长持有</w:t>
      </w:r>
      <w:r>
        <w:rPr>
          <w:rFonts w:hint="eastAsia" w:ascii="仿宋_GB2312" w:hAnsi="仿宋_GB2312" w:eastAsia="仿宋_GB2312" w:cs="仿宋_GB2312"/>
          <w:color w:val="0d0d0d"/>
          <w:sz w:val="28"/>
          <w:szCs w:val="28"/>
          <w:lang w:bidi="ar"/>
        </w:rPr>
        <w:t xml:space="preserve">园林绿化类</w:t>
      </w:r>
      <w:r>
        <w:rPr>
          <w:rFonts w:hint="eastAsia" w:ascii="仿宋_GB2312" w:hAnsi="仿宋_GB2312" w:eastAsia="仿宋_GB2312" w:cs="仿宋_GB2312"/>
          <w:color w:val="000000" w:themeColor="text1"/>
          <w:sz w:val="28"/>
          <w:szCs w:val="28"/>
          <w:lang w:bidi="ar"/>
        </w:rPr>
        <w:t xml:space="preserve">职业技能等级</w:t>
      </w:r>
      <w:r>
        <w:rPr>
          <w:rFonts w:hint="eastAsia" w:ascii="仿宋_GB2312" w:hAnsi="仿宋_GB2312" w:eastAsia="仿宋_GB2312" w:cs="仿宋_GB2312"/>
          <w:color w:val="0d0d0d"/>
          <w:sz w:val="28"/>
          <w:szCs w:val="28"/>
          <w:lang w:bidi="ar"/>
        </w:rPr>
        <w:t xml:space="preserve">证书，并具有3年及以上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d0d0d"/>
          <w:sz w:val="28"/>
          <w:szCs w:val="28"/>
          <w:lang w:bidi="ar"/>
        </w:rPr>
        <w:t xml:space="preserve">工作经验，（1人0.5分，本项最高1分）。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3.9动物饲养员资质（2分）</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3.9.1动物饲养员</w:t>
      </w:r>
      <w:r>
        <w:rPr>
          <w:rFonts w:hint="eastAsia" w:ascii="仿宋_GB2312" w:hAnsi="仿宋_GB2312" w:eastAsia="仿宋_GB2312" w:cs="仿宋_GB2312"/>
          <w:color w:val="0d0d0d"/>
          <w:sz w:val="28"/>
          <w:szCs w:val="28"/>
          <w:lang w:bidi="ar"/>
        </w:rPr>
        <w:t xml:space="preserve">工作经验</w:t>
      </w:r>
      <w:r/>
    </w:p>
    <w:p>
      <w:pPr>
        <w:ind w:firstLine="560"/>
        <w:jc w:val="left"/>
        <w:spacing w:line="560" w:lineRule="exact"/>
        <w:widowControl/>
        <w:rPr>
          <w:rFonts w:ascii="仿宋_GB2312" w:hAnsi="仿宋_GB2312" w:eastAsia="仿宋_GB2312" w:cs="仿宋_GB2312"/>
          <w:color w:val="ff0000"/>
          <w:sz w:val="28"/>
          <w:szCs w:val="28"/>
          <w:lang w:bidi="ar"/>
        </w:rPr>
      </w:pPr>
      <w:r>
        <w:rPr>
          <w:rFonts w:hint="eastAsia" w:ascii="仿宋_GB2312" w:hAnsi="仿宋_GB2312" w:eastAsia="仿宋_GB2312" w:cs="仿宋_GB2312"/>
          <w:color w:val="0d0d0d"/>
          <w:sz w:val="28"/>
          <w:szCs w:val="28"/>
          <w:lang w:bidi="ar"/>
        </w:rPr>
        <w:t xml:space="preserve">动物饲养员</w:t>
      </w:r>
      <w:r>
        <w:rPr>
          <w:rFonts w:hint="eastAsia" w:ascii="仿宋_GB2312" w:hAnsi="仿宋_GB2312" w:eastAsia="仿宋_GB2312" w:cs="仿宋_GB2312"/>
          <w:color w:val="000000" w:themeColor="text1"/>
          <w:sz w:val="28"/>
          <w:szCs w:val="28"/>
          <w:lang w:bidi="ar"/>
        </w:rPr>
        <w:t xml:space="preserve">具有三年及以上类似岗位工作经验的得2分。</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hint="eastAsia" w:ascii="仿宋_GB2312" w:hAnsi="仿宋_GB2312" w:eastAsia="仿宋_GB2312" w:cs="仿宋_GB2312"/>
          <w:b/>
          <w:sz w:val="28"/>
          <w:szCs w:val="28"/>
          <w:lang w:bidi="ar"/>
        </w:rPr>
        <w:t xml:space="preserve">根据以上人员要求提供相应的学历证书（扫描件或复印件）、职称证书（扫描件或复印件）、职业技能证书</w:t>
      </w:r>
      <w:r>
        <w:rPr>
          <w:rFonts w:hint="eastAsia" w:ascii="仿宋_GB2312" w:hAnsi="仿宋_GB2312" w:eastAsia="仿宋_GB2312" w:cs="仿宋_GB2312"/>
          <w:b/>
          <w:sz w:val="28"/>
          <w:szCs w:val="28"/>
          <w:lang w:bidi="ar"/>
        </w:rPr>
        <w:t xml:space="preserve">（</w:t>
      </w: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b/>
          <w:sz w:val="28"/>
          <w:szCs w:val="28"/>
          <w:lang w:bidi="ar"/>
        </w:rPr>
        <w:t xml:space="preserve">）；</w:t>
      </w:r>
      <w:r>
        <w:rPr>
          <w:rFonts w:hint="eastAsia" w:ascii="仿宋_GB2312" w:hAnsi="仿宋_GB2312" w:eastAsia="仿宋_GB2312" w:cs="仿宋_GB2312"/>
          <w:b/>
          <w:sz w:val="28"/>
          <w:szCs w:val="28"/>
          <w:lang w:bidi="ar"/>
        </w:rPr>
      </w:r>
      <w:r>
        <w:rPr>
          <w:rFonts w:ascii="FangSong" w:hAnsi="FangSong" w:eastAsia="FangSong" w:cs="FangSong"/>
          <w:b/>
          <w:color w:val="000000"/>
          <w:sz w:val="28"/>
        </w:rPr>
        <w:t xml:space="preserve">根据以上人员要求</w:t>
      </w:r>
      <w:r>
        <w:rPr>
          <w:rFonts w:hint="eastAsia" w:ascii="仿宋_GB2312" w:hAnsi="仿宋_GB2312" w:eastAsia="仿宋_GB2312" w:cs="仿宋_GB2312"/>
          <w:b/>
          <w:sz w:val="28"/>
          <w:szCs w:val="28"/>
          <w:lang w:bidi="ar"/>
        </w:rPr>
        <w:t xml:space="preserve">提供</w:t>
      </w:r>
      <w:r>
        <w:rPr>
          <w:rFonts w:hint="eastAsia" w:ascii="仿宋_GB2312" w:hAnsi="仿宋_GB2312" w:eastAsia="仿宋_GB2312" w:cs="仿宋_GB2312"/>
          <w:b/>
          <w:sz w:val="28"/>
          <w:szCs w:val="28"/>
          <w:lang w:bidi="ar"/>
        </w:rPr>
        <w:t xml:space="preserve">被服务单位出具</w:t>
      </w:r>
      <w:r>
        <w:rPr>
          <w:rFonts w:hint="eastAsia" w:ascii="仿宋_GB2312" w:hAnsi="仿宋_GB2312" w:eastAsia="仿宋_GB2312" w:cs="仿宋_GB2312"/>
          <w:b/>
          <w:sz w:val="28"/>
          <w:szCs w:val="28"/>
          <w:lang w:bidi="ar"/>
        </w:rPr>
        <w:t xml:space="preserve">三</w:t>
      </w:r>
      <w:r>
        <w:rPr>
          <w:rFonts w:hint="eastAsia" w:ascii="仿宋_GB2312" w:hAnsi="仿宋_GB2312" w:eastAsia="仿宋_GB2312" w:cs="仿宋_GB2312"/>
          <w:b/>
          <w:sz w:val="28"/>
          <w:szCs w:val="28"/>
          <w:lang w:bidi="ar"/>
        </w:rPr>
        <w:t xml:space="preserve">年</w:t>
      </w:r>
      <w:r>
        <w:rPr>
          <w:rFonts w:hint="eastAsia" w:ascii="仿宋_GB2312" w:hAnsi="仿宋_GB2312" w:eastAsia="仿宋_GB2312" w:cs="仿宋_GB2312"/>
          <w:b/>
          <w:sz w:val="28"/>
          <w:szCs w:val="28"/>
          <w:lang w:bidi="ar"/>
        </w:rPr>
        <w:t xml:space="preserve">及</w:t>
      </w:r>
      <w:r>
        <w:rPr>
          <w:rFonts w:hint="eastAsia" w:ascii="仿宋_GB2312" w:hAnsi="仿宋_GB2312" w:eastAsia="仿宋_GB2312" w:cs="仿宋_GB2312"/>
          <w:b/>
          <w:sz w:val="28"/>
          <w:szCs w:val="28"/>
          <w:lang w:bidi="ar"/>
        </w:rPr>
        <w:t xml:space="preserve">以上工作经验证明。</w:t>
      </w:r>
      <w:r>
        <w:rPr>
          <w:rFonts w:ascii="仿宋_GB2312" w:hAnsi="仿宋_GB2312" w:eastAsia="仿宋_GB2312" w:cs="仿宋_GB2312"/>
          <w:b/>
          <w:sz w:val="28"/>
          <w:szCs w:val="28"/>
          <w:lang w:bidi="ar"/>
        </w:rPr>
      </w:r>
      <w:r>
        <w:rPr>
          <w:rFonts w:ascii="FangSong" w:hAnsi="FangSong" w:eastAsia="FangSong" w:cs="FangSong"/>
          <w:b/>
          <w:color w:val="000000"/>
          <w:sz w:val="28"/>
        </w:rPr>
        <w:t xml:space="preserve">根据以上人员要求提供投标人近三个月内任意一个月为其缴纳社保的证明材料</w:t>
      </w:r>
      <w:r>
        <w:rPr>
          <w:rFonts w:ascii="FangSong" w:hAnsi="FangSong" w:eastAsia="FangSong" w:cs="FangSong"/>
          <w:b/>
          <w:color w:val="000000"/>
          <w:sz w:val="28"/>
        </w:rPr>
        <w:t xml:space="preserve">。</w:t>
      </w:r>
      <w:r>
        <w:rPr>
          <w:sz w:val="21"/>
        </w:rPr>
      </w:r>
    </w:p>
    <w:p>
      <w:pPr>
        <w:ind w:firstLine="562"/>
        <w:jc w:val="left"/>
        <w:spacing w:line="560" w:lineRule="exact"/>
        <w:widowControl/>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（四）设备配置（17分）</w:t>
      </w:r>
      <w:r/>
    </w:p>
    <w:p>
      <w:pPr>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4.1拟投用相关设备</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投标人根据项目需求拟投入的车辆及设备：</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4.1.1满足项目需求2</w:t>
      </w:r>
      <w:r>
        <w:rPr>
          <w:rFonts w:hint="eastAsia" w:ascii="仿宋_GB2312" w:hAnsi="仿宋_GB2312" w:eastAsia="仿宋_GB2312" w:cs="仿宋_GB2312"/>
          <w:sz w:val="28"/>
          <w:szCs w:val="28"/>
          <w:lang w:bidi="ar"/>
        </w:rPr>
        <w:t xml:space="preserve">轴道路洗</w:t>
      </w:r>
      <w:r>
        <w:rPr>
          <w:rFonts w:hint="eastAsia" w:ascii="仿宋_GB2312" w:hAnsi="仿宋_GB2312" w:eastAsia="仿宋_GB2312" w:cs="仿宋_GB2312"/>
          <w:sz w:val="28"/>
          <w:szCs w:val="28"/>
          <w:lang w:bidi="ar"/>
        </w:rPr>
        <w:t xml:space="preserve">扫车2辆得1分，少一辆不得分，最多得1分。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4.1.2满足项目所需2轴</w:t>
      </w:r>
      <w:r>
        <w:rPr>
          <w:rStyle w:val="999"/>
          <w:rFonts w:hint="eastAsia" w:ascii="仿宋_GB2312" w:hAnsi="仿宋_GB2312" w:eastAsia="仿宋_GB2312" w:cs="仿宋_GB2312"/>
          <w:sz w:val="28"/>
          <w:szCs w:val="28"/>
        </w:rPr>
        <w:t xml:space="preserve">路面道路污染</w:t>
      </w:r>
      <w:r>
        <w:rPr>
          <w:rStyle w:val="999"/>
          <w:rFonts w:hint="eastAsia" w:ascii="仿宋_GB2312" w:hAnsi="仿宋_GB2312" w:eastAsia="仿宋_GB2312" w:cs="仿宋_GB2312"/>
          <w:sz w:val="28"/>
          <w:szCs w:val="28"/>
        </w:rPr>
        <w:t xml:space="preserve">清除车</w:t>
      </w:r>
      <w:r>
        <w:rPr>
          <w:rFonts w:hint="eastAsia" w:ascii="仿宋_GB2312" w:hAnsi="仿宋_GB2312" w:eastAsia="仿宋_GB2312" w:cs="仿宋_GB2312"/>
          <w:sz w:val="28"/>
          <w:szCs w:val="28"/>
          <w:lang w:bidi="ar"/>
        </w:rPr>
        <w:t xml:space="preserve">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4.1.3满足项目所需2轴压缩垃圾清运车6辆得1分，少一辆不得分，最多得1分。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4.1.4满足项目所需小型道路扫地车3辆得1分，少一辆不得分，最多得1分。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4.1.5满足项目所需2轴吸粪车1辆得1分，最多得1分。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4.1.6满足项目所需2轴登高车1辆得1分，最多得1分。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4.1.7满足项目所需2轴洒水车2辆得1分，少一辆不得分，每多1辆得1分，最多得4分。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4.1.8满足项目所需2轴大件垃圾清运货车1辆得1分，最多得1分。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4.1.9满足项目所需2轴绿化垃圾清运车2辆得1分，少一辆不得分，最多得1分。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4.1.10满足项目所需巡回</w:t>
      </w:r>
      <w:r>
        <w:rPr>
          <w:rFonts w:hint="eastAsia" w:ascii="仿宋_GB2312" w:hAnsi="仿宋_GB2312" w:eastAsia="仿宋_GB2312" w:cs="仿宋_GB2312"/>
          <w:sz w:val="28"/>
          <w:szCs w:val="28"/>
          <w:lang w:bidi="ar"/>
        </w:rPr>
        <w:t xml:space="preserve">保洁车</w:t>
      </w:r>
      <w:r>
        <w:rPr>
          <w:rFonts w:hint="eastAsia" w:ascii="仿宋_GB2312" w:hAnsi="仿宋_GB2312" w:eastAsia="仿宋_GB2312" w:cs="仿宋_GB2312"/>
          <w:sz w:val="28"/>
          <w:szCs w:val="28"/>
          <w:lang w:bidi="ar"/>
        </w:rPr>
        <w:t xml:space="preserve">30辆得1分，少一辆不得分，最多得1分。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4.1.11满足项目所需2</w:t>
      </w:r>
      <w:r>
        <w:rPr>
          <w:rFonts w:hint="eastAsia" w:ascii="仿宋_GB2312" w:hAnsi="仿宋_GB2312" w:eastAsia="仿宋_GB2312" w:cs="仿宋_GB2312"/>
          <w:sz w:val="28"/>
          <w:szCs w:val="28"/>
          <w:lang w:bidi="ar"/>
        </w:rPr>
        <w:t xml:space="preserve">轴雾炮车</w:t>
      </w:r>
      <w:r>
        <w:rPr>
          <w:rFonts w:hint="eastAsia" w:ascii="仿宋_GB2312" w:hAnsi="仿宋_GB2312" w:eastAsia="仿宋_GB2312" w:cs="仿宋_GB2312"/>
          <w:sz w:val="28"/>
          <w:szCs w:val="28"/>
          <w:lang w:bidi="ar"/>
        </w:rPr>
        <w:t xml:space="preserve">1辆得1分，最多得1分。</w:t>
      </w:r>
      <w:r/>
    </w:p>
    <w:p>
      <w:pPr>
        <w:pStyle w:val="985"/>
        <w:ind w:firstLine="560"/>
        <w:jc w:val="left"/>
        <w:spacing w:line="560" w:lineRule="exact"/>
        <w:rPr>
          <w:rFonts w:ascii="仿宋_GB2312" w:hAnsi="仿宋_GB2312" w:eastAsia="仿宋_GB2312" w:cs="仿宋_GB2312"/>
          <w:lang w:bidi="ar"/>
        </w:rPr>
      </w:pPr>
      <w:r>
        <w:rPr>
          <w:rFonts w:hint="eastAsia" w:ascii="仿宋_GB2312" w:hAnsi="仿宋_GB2312" w:eastAsia="仿宋_GB2312" w:cs="仿宋_GB2312"/>
          <w:lang w:bidi="ar"/>
        </w:rPr>
        <w:t xml:space="preserve">4.1.12满足项目所需2轴餐厨车1辆得1分，最多得1分。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4.1.13满足项目所需草坪修剪机、割灌机、风力灭火机、</w:t>
      </w:r>
      <w:r>
        <w:rPr>
          <w:rFonts w:hint="eastAsia" w:ascii="仿宋_GB2312" w:hAnsi="仿宋_GB2312" w:eastAsia="仿宋_GB2312" w:cs="仿宋_GB2312"/>
          <w:sz w:val="28"/>
          <w:szCs w:val="28"/>
          <w:lang w:bidi="ar"/>
        </w:rPr>
        <w:t xml:space="preserve">梳草机</w:t>
      </w:r>
      <w:r>
        <w:rPr>
          <w:rFonts w:hint="eastAsia" w:ascii="仿宋_GB2312" w:hAnsi="仿宋_GB2312" w:eastAsia="仿宋_GB2312" w:cs="仿宋_GB2312"/>
          <w:sz w:val="28"/>
          <w:szCs w:val="28"/>
          <w:lang w:bidi="ar"/>
        </w:rPr>
        <w:t xml:space="preserve">、绿篱修剪机、伐木锯、农药喷洒机、打捞船和树枝粉碎机等得2分，少一台（艘）不得分，最多得2分。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第1-13项需提供有效的购买发票复印件加盖公章；如为租赁需上传租赁合同及购买发票扫描件加盖公章，租赁期需覆盖本项目服务期限。提供不全或未按要求提供不得分。</w:t>
      </w:r>
      <w:r/>
    </w:p>
    <w:p>
      <w:pPr>
        <w:ind w:firstLine="562"/>
        <w:jc w:val="left"/>
        <w:spacing w:line="560" w:lineRule="exact"/>
        <w:widowControl/>
        <w:rPr>
          <w:rFonts w:ascii="仿宋_GB2312" w:hAnsi="仿宋_GB2312" w:eastAsia="仿宋_GB2312" w:cs="仿宋_GB2312"/>
          <w:b/>
          <w:bCs/>
          <w:color w:val="ff0000"/>
          <w:sz w:val="28"/>
          <w:szCs w:val="28"/>
          <w:lang w:bidi="ar"/>
        </w:rPr>
        <w:outlineLvl w:val="1"/>
      </w:pPr>
      <w:r>
        <w:rPr>
          <w:rFonts w:hint="eastAsia" w:ascii="仿宋_GB2312" w:hAnsi="仿宋_GB2312" w:eastAsia="仿宋_GB2312" w:cs="仿宋_GB2312"/>
          <w:b/>
          <w:bCs/>
          <w:sz w:val="28"/>
          <w:szCs w:val="28"/>
          <w:lang w:bidi="ar"/>
        </w:rPr>
        <w:t xml:space="preserve">（五）企业履约能力与成功案例（10分）</w:t>
      </w:r>
      <w:r/>
    </w:p>
    <w:p>
      <w:pPr>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5.1类似项目案例</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投标人提供自20</w:t>
      </w:r>
      <w:r>
        <w:rPr>
          <w:rFonts w:hint="eastAsia" w:ascii="仿宋_GB2312" w:hAnsi="仿宋_GB2312" w:eastAsia="仿宋_GB2312" w:cs="仿宋_GB2312"/>
          <w:sz w:val="28"/>
          <w:szCs w:val="28"/>
          <w:lang w:bidi="ar"/>
        </w:rPr>
        <w:t xml:space="preserve">20年1月1日以来（以合同签订日期为准）不同单位类似项目案例。</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5.1.1同时含有外环境保洁、绿化管养、垃圾外运、化粪池清掏、四害灭杀和动物养殖等，每提供一个案例得2分。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5.1.2含有外环境保洁、绿化管养、垃圾外运、化粪池清掏、四害灭杀和动物养殖任意二至五项服务内容，每提供一个案例得1分。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以上得分不能兼得，本项最高10分（提供合同复印件，提供</w:t>
      </w:r>
      <w:r>
        <w:rPr>
          <w:rFonts w:hint="eastAsia" w:ascii="仿宋_GB2312" w:hAnsi="仿宋_GB2312" w:eastAsia="仿宋_GB2312" w:cs="仿宋_GB2312"/>
          <w:color w:val="0d0d0d"/>
          <w:sz w:val="28"/>
          <w:szCs w:val="28"/>
          <w:lang w:bidi="ar"/>
        </w:rPr>
        <w:t xml:space="preserve">合同内容未明确服务内容的，需业主单位盖章出具相关说明；</w:t>
      </w:r>
      <w:r>
        <w:rPr>
          <w:rFonts w:hint="eastAsia" w:ascii="仿宋_GB2312" w:hAnsi="仿宋_GB2312" w:eastAsia="仿宋_GB2312" w:cs="仿宋_GB2312"/>
          <w:sz w:val="28"/>
          <w:szCs w:val="28"/>
          <w:lang w:bidi="ar"/>
        </w:rPr>
        <w:t xml:space="preserve">在同一家单位服务的不同物业合同只算一个项目）。</w:t>
      </w:r>
      <w:r/>
    </w:p>
    <w:p>
      <w:pPr>
        <w:ind w:firstLine="562"/>
        <w:jc w:val="left"/>
        <w:spacing w:line="560" w:lineRule="exact"/>
        <w:widowControl/>
        <w:rPr>
          <w:rFonts w:ascii="仿宋_GB2312" w:hAnsi="仿宋_GB2312" w:eastAsia="仿宋_GB2312" w:cs="仿宋_GB2312"/>
          <w:color w:val="ff0000"/>
          <w:sz w:val="28"/>
          <w:szCs w:val="28"/>
          <w:lang w:bidi="ar"/>
        </w:rPr>
      </w:pPr>
      <w:r>
        <w:rPr>
          <w:rFonts w:hint="eastAsia" w:ascii="仿宋_GB2312" w:hAnsi="仿宋_GB2312" w:eastAsia="仿宋_GB2312" w:cs="仿宋_GB2312"/>
          <w:b/>
          <w:bCs/>
          <w:sz w:val="28"/>
          <w:szCs w:val="28"/>
          <w:lang w:bidi="ar"/>
        </w:rPr>
        <w:t xml:space="preserve">说明：上述材料均需提供有效的扫描件或复印件。采购人有权要求中标人在签订合同前提供原件核查。</w:t>
      </w:r>
      <w:r/>
    </w:p>
    <w:p>
      <w:pPr>
        <w:pStyle w:val="987"/>
        <w:ind w:firstLine="482"/>
        <w:spacing w:beforeAutospacing="0" w:afterAutospacing="0" w:line="560" w:lineRule="exact"/>
        <w:rPr>
          <w:b/>
          <w:bCs/>
          <w:lang w:bidi="ar"/>
        </w:rPr>
      </w:pPr>
      <w:r>
        <w:rPr>
          <w:b/>
          <w:bCs/>
          <w:lang w:bidi="ar"/>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jc w:val="center"/>
        <w:spacing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3"/>
      <w:r/>
      <w:bookmarkEnd w:id="164"/>
      <w:r/>
      <w:bookmarkEnd w:id="171"/>
      <w:r>
        <w:rPr>
          <w:rFonts w:hint="eastAsia" w:ascii="方正黑体_GBK" w:hAnsi="方正黑体_GBK" w:eastAsia="方正黑体_GBK" w:cs="方正黑体_GBK"/>
          <w:color w:val="000000"/>
          <w:sz w:val="32"/>
          <w:szCs w:val="32"/>
        </w:rPr>
        <w:t xml:space="preserve">文件格式</w:t>
      </w:r>
      <w:r/>
    </w:p>
    <w:p>
      <w:pPr>
        <w:jc w:val="center"/>
        <w:rPr>
          <w:rFonts w:ascii="宋体" w:hAnsi="宋体"/>
          <w:b/>
          <w:sz w:val="72"/>
        </w:rPr>
      </w:pPr>
      <w:r/>
      <w:bookmarkStart w:id="173" w:name="_Hlt26955039"/>
      <w:r/>
      <w:bookmarkStart w:id="174" w:name="_Hlt26671244"/>
      <w:r/>
      <w:bookmarkStart w:id="175" w:name="_Toc120614282"/>
      <w:r/>
      <w:bookmarkStart w:id="176" w:name="_Toc49090576"/>
      <w:r/>
      <w:bookmarkStart w:id="177" w:name="_Toc26554094"/>
      <w:r/>
      <w:bookmarkEnd w:id="173"/>
      <w:r/>
      <w:bookmarkEnd w:id="174"/>
      <w:r/>
      <w:r/>
    </w:p>
    <w:p>
      <w:pPr>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960"/>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p>
    <w:p>
      <w:pPr>
        <w:ind w:firstLine="960"/>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p>
    <w:p>
      <w:pPr>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jc w:val="center"/>
        <w:spacing w:line="440" w:lineRule="exact"/>
        <w:rPr>
          <w:rFonts w:ascii="宋体" w:hAnsi="宋体"/>
          <w:b/>
          <w:bCs/>
          <w:sz w:val="32"/>
          <w:szCs w:val="32"/>
        </w:rPr>
      </w:pPr>
      <w:r>
        <w:rPr>
          <w:rFonts w:ascii="宋体" w:hAnsi="宋体"/>
          <w:b/>
          <w:bCs/>
          <w:sz w:val="32"/>
          <w:szCs w:val="32"/>
        </w:rPr>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2.2024或2025年度的财务状况报告（投标人成立不满一年无需提供）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声明函（如果本项目专门面向中小微型企业采购，则必须提供。格式见附件9）</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11.残疾人福利性单位声明函（如果本项目专门面向中小微型企业采购，供应商为残疾人福利性单位并由本单位提供服务。格式见附件10）</w:t>
      </w:r>
      <w:r/>
    </w:p>
    <w:p>
      <w:pPr>
        <w:ind w:firstLine="640"/>
        <w:spacing w:line="560" w:lineRule="exact"/>
        <w:rPr>
          <w:rFonts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rPr>
        <w:t xml:space="preserve">12.联合体协议（如果本项目接受联合体参加投标，投标人是联合体的，则必须提供。格式见附件11）</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声明函（格式见附件9）</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ind w:firstLine="640"/>
        <w:jc w:val="left"/>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3.关于符合本国产品标准的声明函（格式见附件13）</w:t>
      </w:r>
      <w:r/>
    </w:p>
    <w:p>
      <w:pPr>
        <w:ind w:firstLine="640"/>
        <w:jc w:val="left"/>
        <w:spacing w:line="560" w:lineRule="exact"/>
        <w:rPr>
          <w:rFonts w:ascii="方正魏碑_GBK" w:hAnsi="方正魏碑_GBK" w:eastAsia="方正魏碑_GBK" w:cs="方正魏碑_GBK"/>
          <w:color w:val="0d0d0d"/>
          <w:sz w:val="32"/>
          <w:szCs w:val="32"/>
        </w:rPr>
      </w:pPr>
      <w:r>
        <w:rPr>
          <w:rFonts w:ascii="方正魏碑_GBK" w:hAnsi="方正魏碑_GBK" w:eastAsia="方正魏碑_GBK" w:cs="方正魏碑_GBK"/>
          <w:color w:val="0d0d0d"/>
          <w:sz w:val="32"/>
          <w:szCs w:val="32"/>
        </w:rPr>
      </w:r>
      <w:r/>
    </w:p>
    <w:p>
      <w:pPr>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附件1 开标一览表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color w:val="000000"/>
          <w:sz w:val="32"/>
          <w:szCs w:val="32"/>
        </w:rPr>
        <w:t xml:space="preserve">XXXX</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color w:val="000000"/>
          <w:sz w:val="32"/>
          <w:szCs w:val="32"/>
        </w:rPr>
        <w:t xml:space="preserve">JSZC-320000-SCZX-G20XX-XXXX    </w:t>
      </w:r>
      <w:r>
        <w:rPr>
          <w:rFonts w:hint="eastAsia" w:ascii="方正仿宋_GBK" w:hAnsi="方正仿宋_GBK" w:eastAsia="方正仿宋_GBK" w:cs="方正仿宋_GBK"/>
          <w:sz w:val="32"/>
          <w:szCs w:val="32"/>
        </w:rPr>
        <w:t xml:space="preserve">                                  </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投标总报价（三年）</w:t>
            </w:r>
            <w:r/>
          </w:p>
        </w:tc>
      </w:tr>
      <w:tr>
        <w:trPr>
          <w:cantSplit/>
          <w:trHeight w:val="612"/>
        </w:trPr>
        <w:tc>
          <w:tcPr>
            <w:tcW w:w="8934" w:type="dxa"/>
            <w:vAlign w:val="center"/>
            <w:textDirection w:val="lrTb"/>
            <w:noWrap w:val="false"/>
          </w:tcPr>
          <w:p>
            <w:pPr>
              <w:pStyle w:val="1010"/>
              <w:ind w:firstLine="0"/>
              <w:spacing w:before="0" w:after="0"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rPr>
          <w:rFonts w:ascii="宋体" w:hAnsi="宋体"/>
          <w:sz w:val="24"/>
          <w:szCs w:val="24"/>
        </w:rPr>
      </w:pPr>
      <w:r>
        <w:rPr>
          <w:rFonts w:ascii="宋体" w:hAnsi="宋体"/>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分项服务名称/货物名称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规格</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交付期/服务期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highlight w:val="cyan"/>
              </w:rPr>
            </w:pPr>
            <w:r>
              <w:rPr>
                <w:rFonts w:ascii="方正魏碑_GBK" w:hAnsi="方正魏碑_GBK" w:eastAsia="方正魏碑_GBK" w:cs="方正魏碑_GBK"/>
                <w:color w:val="0d0d0d"/>
                <w:sz w:val="28"/>
                <w:szCs w:val="28"/>
                <w:highlight w:val="cyan"/>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合同签订后</w:t>
            </w:r>
            <w:r>
              <w:rPr>
                <w:rFonts w:hint="eastAsia" w:ascii="方正魏碑_GBK" w:hAnsi="方正魏碑_GBK" w:eastAsia="方正魏碑_GBK" w:cs="方正魏碑_GBK"/>
                <w:color w:val="0d0d0d"/>
                <w:sz w:val="28"/>
                <w:szCs w:val="28"/>
                <w:u w:val="single"/>
              </w:rPr>
              <w:t xml:space="preserve">  </w:t>
            </w:r>
            <w:r>
              <w:rPr>
                <w:rFonts w:hint="eastAsia" w:ascii="方正魏碑_GBK" w:hAnsi="方正魏碑_GBK" w:eastAsia="方正魏碑_GBK" w:cs="方正魏碑_GBK"/>
                <w:color w:val="0d0d0d"/>
                <w:sz w:val="28"/>
                <w:szCs w:val="28"/>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投标总报价（人民币：元）</w:t>
            </w:r>
            <w:r>
              <w:rPr>
                <w:rFonts w:hint="eastAsia" w:ascii="方正魏碑_GBK" w:hAnsi="方正魏碑_GBK" w:eastAsia="方正魏碑_GBK" w:cs="方正魏碑_GBK"/>
                <w:color w:val="0d0d0d"/>
                <w:sz w:val="28"/>
                <w:szCs w:val="28"/>
                <w:u w:val="single"/>
              </w:rPr>
              <w:t xml:space="preserve">                             </w:t>
            </w:r>
            <w:r/>
          </w:p>
        </w:tc>
      </w:tr>
      <w:tr>
        <w:trPr>
          <w:cantSplit/>
          <w:trHeight w:val="757"/>
        </w:trPr>
        <w:tc>
          <w:tcPr>
            <w:gridSpan w:val="10"/>
            <w:tcW w:w="9861" w:type="dxa"/>
            <w:textDirection w:val="lrTb"/>
            <w:noWrap w:val="false"/>
          </w:tcPr>
          <w:p>
            <w:pPr>
              <w:pStyle w:val="987"/>
              <w:spacing w:before="0" w:beforeAutospacing="0" w:after="0" w:afterAutospacing="0"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本采购包中提供的符合本国产品标准的货物成本之和占该采购</w:t>
            </w:r>
            <w:r>
              <w:rPr>
                <w:rFonts w:hint="eastAsia" w:ascii="方正魏碑_GBK" w:hAnsi="方正魏碑_GBK" w:eastAsia="方正魏碑_GBK" w:cs="方正魏碑_GBK"/>
                <w:color w:val="0d0d0d"/>
                <w:sz w:val="28"/>
                <w:szCs w:val="28"/>
              </w:rPr>
              <w:t xml:space="preserve">包全部</w:t>
            </w:r>
            <w:r>
              <w:rPr>
                <w:rFonts w:hint="eastAsia" w:ascii="方正魏碑_GBK" w:hAnsi="方正魏碑_GBK" w:eastAsia="方正魏碑_GBK" w:cs="方正魏碑_GBK"/>
                <w:color w:val="0d0d0d"/>
                <w:sz w:val="28"/>
                <w:szCs w:val="28"/>
              </w:rPr>
              <w:t xml:space="preserve">成本之和的比例为</w:t>
            </w:r>
            <w:r>
              <w:rPr>
                <w:rFonts w:hint="eastAsia" w:ascii="Times New Roman" w:hAnsi="Times New Roman" w:eastAsia="方正仿宋_GBK" w:cs="Times New Roman"/>
                <w:color w:val="0d0d0d"/>
                <w:sz w:val="32"/>
                <w:szCs w:val="32"/>
                <w:u w:val="single"/>
              </w:rPr>
              <w:t xml:space="preserve">XX</w:t>
            </w:r>
            <w:r>
              <w:rPr>
                <w:rFonts w:hint="eastAsia" w:ascii="方正魏碑_GBK" w:hAnsi="方正魏碑_GBK" w:eastAsia="方正魏碑_GBK" w:cs="方正魏碑_GBK"/>
                <w:color w:val="0d0d0d"/>
                <w:sz w:val="28"/>
                <w:szCs w:val="28"/>
              </w:rPr>
              <w:t xml:space="preserve">%。</w:t>
            </w:r>
            <w:r/>
          </w:p>
        </w:tc>
      </w:tr>
    </w:tbl>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w:t>
      </w:r>
      <w:r>
        <w:rPr>
          <w:rFonts w:hint="eastAsia" w:ascii="方正仿宋_GBK" w:hAnsi="方正仿宋_GBK" w:eastAsia="方正仿宋_GBK" w:cs="方正仿宋_GBK"/>
          <w:sz w:val="32"/>
          <w:szCs w:val="32"/>
        </w:rPr>
        <w:t xml:space="preserve">采用总</w:t>
      </w:r>
      <w:r>
        <w:rPr>
          <w:rFonts w:hint="eastAsia" w:ascii="方正仿宋_GBK" w:hAnsi="方正仿宋_GBK" w:eastAsia="方正仿宋_GBK" w:cs="方正仿宋_GBK"/>
          <w:sz w:val="32"/>
          <w:szCs w:val="3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方正仿宋_GBK" w:hAnsi="方正仿宋_GBK" w:eastAsia="方正仿宋_GBK" w:cs="方正仿宋_GBK"/>
          <w:sz w:val="32"/>
          <w:szCs w:val="32"/>
        </w:rPr>
        <w:t xml:space="preserve">和</w:t>
      </w:r>
      <w:r>
        <w:rPr>
          <w:rFonts w:hint="eastAsia" w:ascii="方正仿宋_GBK" w:hAnsi="方正仿宋_GBK" w:eastAsia="方正仿宋_GBK" w:cs="方正仿宋_GBK"/>
          <w:sz w:val="32"/>
          <w:szCs w:val="32"/>
        </w:rPr>
        <w:t xml:space="preserve">。</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ind w:firstLine="482"/>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3.分项服务不需填写品牌、规格型号、制造商、产地。</w:t>
      </w:r>
      <w:r/>
    </w:p>
    <w:p>
      <w:pPr>
        <w:ind w:firstLine="482"/>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4.本采购包中含有货物时，供应商未填写本采购包中提供的符合本国产品标准的货物成本之和占该采购</w:t>
      </w:r>
      <w:r>
        <w:rPr>
          <w:rFonts w:hint="eastAsia" w:ascii="方正魏碑_GBK" w:hAnsi="方正魏碑_GBK" w:eastAsia="方正魏碑_GBK" w:cs="方正魏碑_GBK"/>
          <w:color w:val="0d0d0d"/>
          <w:sz w:val="32"/>
          <w:szCs w:val="32"/>
        </w:rPr>
        <w:t xml:space="preserve">包全部</w:t>
      </w:r>
      <w:r>
        <w:rPr>
          <w:rFonts w:hint="eastAsia" w:ascii="方正魏碑_GBK" w:hAnsi="方正魏碑_GBK" w:eastAsia="方正魏碑_GBK" w:cs="方正魏碑_GBK"/>
          <w:color w:val="0d0d0d"/>
          <w:sz w:val="32"/>
          <w:szCs w:val="32"/>
        </w:rPr>
        <w:t xml:space="preserve">成本之和比例数值的，或比例数值低于80%的，将不享受本国产品价格评审优惠。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ind w:firstLine="640"/>
        <w:spacing w:line="560" w:lineRule="exact"/>
        <w:rPr>
          <w:rFonts w:ascii="方正仿宋_GBK" w:hAnsi="方正仿宋_GBK" w:eastAsia="方正仿宋_GBK" w:cs="方正仿宋_GBK"/>
          <w:sz w:val="32"/>
          <w:szCs w:val="32"/>
          <w:highlight w:val="yellow"/>
        </w:rPr>
      </w:pPr>
      <w:r>
        <w:rPr>
          <w:rFonts w:ascii="方正仿宋_GBK" w:hAnsi="方正仿宋_GBK" w:eastAsia="方正仿宋_GBK" w:cs="方正仿宋_GBK"/>
          <w:sz w:val="32"/>
          <w:szCs w:val="32"/>
          <w:highlight w:val="yellow"/>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人员工资、社会保险和公积金三项费用报价表（采购包号：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0" w:lineRule="atLeas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jc w:val="left"/>
              <w:spacing w:line="0" w:lineRule="atLeas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spacing w:line="0" w:lineRule="atLeast"/>
              <w:widowControl/>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bl>
    <w:p>
      <w:pPr>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1.本表仅适用物业管理服务品目政府采购项目，供应商需在投标（响应）文件中填报此表。</w:t>
      </w:r>
      <w:r/>
    </w:p>
    <w:p>
      <w:pPr>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i/>
          <w:sz w:val="32"/>
          <w:szCs w:val="32"/>
          <w:u w:val="single"/>
        </w:rPr>
        <w:t xml:space="preserve">2.供应商在投标（响应）文件中响应的拟投入本项目的服务人员不得是全日制在校学生。</w:t>
      </w:r>
      <w:r/>
    </w:p>
    <w:p>
      <w:pPr>
        <w:spacing w:line="560" w:lineRule="exact"/>
        <w:rPr>
          <w:rFonts w:ascii="方正仿宋_GBK" w:hAnsi="方正仿宋_GBK" w:eastAsia="方正仿宋_GBK" w:cs="方正仿宋_GBK"/>
          <w:i/>
          <w:sz w:val="32"/>
          <w:szCs w:val="32"/>
          <w:u w:val="single"/>
        </w:rPr>
      </w:pPr>
      <w:r>
        <w:rPr>
          <w:rFonts w:ascii="方正仿宋_GBK" w:hAnsi="方正仿宋_GBK" w:eastAsia="方正仿宋_GBK" w:cs="方正仿宋_GBK"/>
          <w:i/>
          <w:sz w:val="32"/>
          <w:szCs w:val="32"/>
          <w:u w:val="single"/>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0" w:lineRule="atLeast"/>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ascii="宋体" w:hAnsi="宋体"/>
          <w:sz w:val="24"/>
          <w:szCs w:val="24"/>
        </w:rPr>
      </w:pPr>
      <w:r>
        <w:rPr>
          <w:rFonts w:ascii="宋体" w:hAnsi="宋体"/>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0" w:lineRule="atLeas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2"/>
        <w:spacing w:line="560" w:lineRule="exact"/>
        <w:rPr>
          <w:rFonts w:ascii="宋体" w:hAnsi="宋体"/>
          <w:b/>
          <w:sz w:val="24"/>
        </w:rPr>
      </w:pPr>
      <w:r>
        <w:rPr>
          <w:rFonts w:ascii="宋体" w:hAnsi="宋体"/>
          <w:b/>
          <w:sz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spacing w:line="560" w:lineRule="exact"/>
        <w:rPr>
          <w:rFonts w:ascii="宋体" w:hAnsi="宋体"/>
          <w:bCs/>
          <w:color w:val="000000"/>
          <w:sz w:val="24"/>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p>
    <w:p>
      <w:pPr>
        <w:ind w:firstLine="640"/>
        <w:spacing w:line="560" w:lineRule="exact"/>
        <w:rPr>
          <w:rFonts w:ascii="方正仿宋_GBK" w:hAnsi="方正仿宋_GBK" w:cs="方正仿宋_GBK" w:eastAsiaTheme="minorEastAsia"/>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附件7         法人授权书</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spacing w:line="560" w:lineRule="exact"/>
        <w:tabs>
          <w:tab w:val="left" w:pos="360" w:leader="none"/>
        </w:tabs>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color w:val="000000"/>
          <w:sz w:val="32"/>
          <w:szCs w:val="32"/>
          <w:highlight w:val="yellow"/>
        </w:rPr>
      </w:pPr>
      <w:r>
        <w:rPr>
          <w:rFonts w:ascii="方正仿宋_GBK" w:hAnsi="方正仿宋_GBK" w:eastAsia="方正仿宋_GBK" w:cs="方正仿宋_GBK"/>
          <w:color w:val="000000"/>
          <w:sz w:val="32"/>
          <w:szCs w:val="32"/>
          <w:highlight w:val="yellow"/>
        </w:rPr>
      </w:r>
      <w:r/>
    </w:p>
    <w:p>
      <w:pPr>
        <w:jc w:val="center"/>
        <w:spacing w:line="5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olor w:val="000000"/>
          <w:sz w:val="32"/>
          <w:szCs w:val="32"/>
        </w:rPr>
        <w:t xml:space="preserve">JSZC-320000-SCZX-G20XX-XXXX</w:t>
      </w:r>
      <w:r>
        <w:rPr>
          <w:rFonts w:ascii="Times New Roman" w:hAnsi="Times New Roman" w:eastAsia="方正仿宋_GBK"/>
          <w:sz w:val="32"/>
          <w:szCs w:val="32"/>
        </w:rPr>
        <w:t xml:space="preserve">，</w:t>
      </w:r>
      <w:r>
        <w:rPr>
          <w:rFonts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签字</w:t>
      </w:r>
      <w:r>
        <w:rPr>
          <w:rFonts w:hint="eastAsia" w:ascii="方正仿宋_GBK" w:hAnsi="方正仿宋_GBK" w:eastAsia="方正仿宋_GBK" w:cs="方正仿宋_GBK"/>
          <w:sz w:val="32"/>
          <w:szCs w:val="32"/>
        </w:rPr>
        <w:t xml:space="preserve">人兹宣布</w:t>
      </w:r>
      <w:r>
        <w:rPr>
          <w:rFonts w:hint="eastAsia" w:ascii="方正仿宋_GBK" w:hAnsi="方正仿宋_GBK" w:eastAsia="方正仿宋_GBK" w:cs="方正仿宋_GBK"/>
          <w:sz w:val="32"/>
          <w:szCs w:val="32"/>
        </w:rPr>
        <w:t xml:space="preserve">同意如下：</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1010"/>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1010"/>
        <w:ind w:firstLine="105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1010"/>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w:t>
      </w:r>
      <w:r>
        <w:rPr>
          <w:rFonts w:hint="eastAsia" w:ascii="方正仿宋_GBK" w:hAnsi="方正仿宋_GBK" w:eastAsia="方正仿宋_GBK" w:cs="方正仿宋_GBK"/>
          <w:sz w:val="32"/>
          <w:szCs w:val="32"/>
        </w:rPr>
        <w:t xml:space="preserve">          编：</w:t>
      </w:r>
      <w:r/>
    </w:p>
    <w:p>
      <w:pPr>
        <w:pStyle w:val="1010"/>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1010"/>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1010"/>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1010"/>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w:t>
      </w:r>
      <w:r>
        <w:rPr>
          <w:rFonts w:hint="eastAsia" w:ascii="方正仿宋_GBK" w:hAnsi="方正仿宋_GBK" w:eastAsia="方正仿宋_GBK" w:cs="方正仿宋_GBK"/>
          <w:sz w:val="32"/>
          <w:szCs w:val="32"/>
        </w:rPr>
        <w:t xml:space="preserve">        号： </w:t>
      </w:r>
      <w:r/>
    </w:p>
    <w:p>
      <w:pPr>
        <w:pStyle w:val="1010"/>
        <w:ind w:left="420"/>
        <w:spacing w:before="0" w:after="0" w:line="420" w:lineRule="exact"/>
        <w:rPr>
          <w:rFonts w:ascii="宋体" w:hAnsi="宋体"/>
          <w:szCs w:val="21"/>
        </w:rPr>
      </w:pPr>
      <w:r>
        <w:rPr>
          <w:rFonts w:ascii="宋体" w:hAnsi="宋体"/>
          <w:szCs w:val="21"/>
        </w:rPr>
      </w:r>
      <w:r/>
    </w:p>
    <w:p>
      <w:pPr>
        <w:jc w:val="right"/>
        <w:spacing w:line="420" w:lineRule="exact"/>
        <w:rPr>
          <w:rFonts w:ascii="宋体" w:hAnsi="宋体"/>
          <w:color w:val="0d0d0d"/>
        </w:rPr>
      </w:pPr>
      <w:r>
        <w:rPr>
          <w:rFonts w:hint="eastAsia" w:ascii="方正魏碑_GBK" w:hAnsi="方正魏碑_GBK" w:eastAsia="方正魏碑_GBK" w:cs="方正魏碑_GBK"/>
          <w:color w:val="0d0d0d"/>
          <w:sz w:val="32"/>
          <w:szCs w:val="32"/>
        </w:rPr>
        <w:t xml:space="preserve">供应商全称（加盖CA电子公章）：</w:t>
      </w:r>
      <w:r/>
    </w:p>
    <w:p>
      <w:pPr>
        <w:pStyle w:val="1010"/>
        <w:jc w:val="right"/>
        <w:spacing w:before="0" w:after="0" w:line="42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78" w:name="_Toc120614284"/>
      <w:r/>
      <w:bookmarkEnd w:id="175"/>
      <w:r/>
      <w:bookmarkEnd w:id="176"/>
      <w:r/>
      <w:bookmarkEnd w:id="177"/>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w:t>
      </w:r>
      <w:r>
        <w:rPr>
          <w:rFonts w:hint="eastAsia" w:ascii="方正黑体_GBK" w:hAnsi="方正黑体_GBK" w:eastAsia="方正黑体_GBK" w:cs="方正黑体_GBK"/>
          <w:bCs/>
          <w:sz w:val="32"/>
          <w:szCs w:val="32"/>
        </w:rPr>
        <w:t xml:space="preserve">微企业</w:t>
      </w:r>
      <w:r>
        <w:rPr>
          <w:rFonts w:hint="eastAsia" w:ascii="方正黑体_GBK" w:hAnsi="方正黑体_GBK" w:eastAsia="方正黑体_GBK" w:cs="方正黑体_GBK"/>
          <w:bCs/>
          <w:sz w:val="32"/>
          <w:szCs w:val="32"/>
        </w:rPr>
        <w:t xml:space="preserve">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（单位名称）采购编号为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项目（项目名称）（采购包号：XX）的采购活动，服务全部由符合政策的中小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承接。相关企业（含联合体中的中小微企业、签订采购包意向协议的中小微企业）的具体情况如下：</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eastAsia="方正仿宋_GBK"/>
          <w:color w:val="000000"/>
          <w:sz w:val="32"/>
          <w:szCs w:val="32"/>
        </w:rPr>
        <w:t xml:space="preserve">（</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right="180" w:firstLine="640"/>
        <w:jc w:val="cente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ind w:right="180" w:firstLine="640"/>
        <w:jc w:val="cente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                    日     期：___年___月___日 </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w:t>
      </w:r>
      <w:r>
        <w:rPr>
          <w:rFonts w:hint="eastAsia" w:ascii="方正仿宋_GBK" w:hAnsi="方正仿宋_GBK" w:eastAsia="方正仿宋_GBK" w:cs="方正仿宋_GBK"/>
          <w:sz w:val="32"/>
          <w:szCs w:val="32"/>
        </w:rPr>
        <w:t xml:space="preserve">一</w:t>
      </w:r>
      <w:r>
        <w:rPr>
          <w:rFonts w:hint="eastAsia" w:ascii="方正仿宋_GBK" w:hAnsi="方正仿宋_GBK" w:eastAsia="方正仿宋_GBK" w:cs="方正仿宋_GBK"/>
          <w:sz w:val="32"/>
          <w:szCs w:val="32"/>
        </w:rPr>
        <w:t xml:space="preserve">年度数据的新成立企业可不填报。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spacing w:line="560" w:lineRule="exact"/>
        <w:rPr>
          <w:rFonts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方正仿宋_GBK" w:hAnsi="方正仿宋_GBK" w:eastAsia="方正仿宋_GBK" w:cs="方正仿宋_GBK"/>
          <w:sz w:val="32"/>
          <w:szCs w:val="32"/>
        </w:rPr>
        <w:t xml:space="preserve">自行勾选承接</w:t>
      </w:r>
      <w:r>
        <w:rPr>
          <w:rFonts w:hint="eastAsia" w:ascii="方正仿宋_GBK" w:hAnsi="方正仿宋_GBK" w:eastAsia="方正仿宋_GBK" w:cs="方正仿宋_GBK"/>
          <w:sz w:val="32"/>
          <w:szCs w:val="32"/>
        </w:rPr>
        <w:t xml:space="preserve">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Cs/>
          <w:sz w:val="32"/>
          <w:szCs w:val="32"/>
        </w:rPr>
        <w:t xml:space="preserve">附件10 残疾人福利性单位声明函（服务类项目）（采购包号：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w:t>
      </w:r>
      <w:r>
        <w:rPr>
          <w:rFonts w:hint="eastAsia" w:ascii="方正仿宋_GBK" w:hAnsi="方正仿宋_GBK" w:eastAsia="方正仿宋_GBK" w:cs="方正仿宋_GBK"/>
          <w:sz w:val="32"/>
          <w:szCs w:val="32"/>
        </w:rPr>
        <w:t xml:space="preserve">声明函将随</w:t>
      </w:r>
      <w:r>
        <w:rPr>
          <w:rFonts w:hint="eastAsia" w:ascii="方正仿宋_GBK" w:hAnsi="方正仿宋_GBK" w:eastAsia="方正仿宋_GBK" w:cs="方正仿宋_GBK"/>
          <w:sz w:val="32"/>
          <w:szCs w:val="32"/>
        </w:rPr>
        <w:t xml:space="preserve">中标/成交结果同时公告，接受社会监督</w:t>
      </w:r>
      <w:r/>
    </w:p>
    <w:p>
      <w:pPr>
        <w:ind w:firstLine="664"/>
        <w:spacing w:line="560" w:lineRule="exact"/>
        <w:rPr>
          <w:rFonts w:ascii="方正仿宋_GBK" w:hAnsi="方正仿宋_GBK" w:eastAsia="方正仿宋_GBK" w:cs="方正仿宋_GBK"/>
          <w:spacing w:val="6"/>
          <w:sz w:val="32"/>
          <w:szCs w:val="32"/>
        </w:rPr>
      </w:pPr>
      <w:r>
        <w:rPr>
          <w:rFonts w:ascii="方正仿宋_GBK" w:hAnsi="方正仿宋_GBK" w:eastAsia="方正仿宋_GBK" w:cs="方正仿宋_GBK"/>
          <w:spacing w:val="6"/>
          <w:sz w:val="32"/>
          <w:szCs w:val="32"/>
        </w:rPr>
      </w:r>
      <w:r/>
    </w:p>
    <w:p>
      <w:pPr>
        <w:ind w:right="1559" w:firstLine="664"/>
        <w:jc w:val="center"/>
        <w:spacing w:line="560" w:lineRule="exact"/>
        <w:tabs>
          <w:tab w:val="left" w:pos="48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spacing w:line="560" w:lineRule="exact"/>
        <w:tabs>
          <w:tab w:val="left" w:pos="48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     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ind w:firstLine="640"/>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项目（项目名称）（采购包号：XX）的政府采购活动，我联合体指定</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日期：___年____月____日     </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ind w:firstLine="640"/>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合同期内，项目经理和项目主管不得随意更换，如果更换须提前一个月通知采购人并经采购人同意。其他工作人员调整，提前三天报采购人备案。</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项目总需求人数不得低于85人，投标时可自行增加人数。2.进场人员与投标文件保持一致。3.拟投入项目人员每人只能填报一个岗位，填报多个岗位为无效投标。4.为确保服务质量，中标人增加人数服务费用不作调整。</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（1）执行合同期间未达到法定退休年龄</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sz w:val="32"/>
          <w:szCs w:val="32"/>
        </w:rPr>
        <w:t xml:space="preserve">逐条做出明确响应，否则作无效投标处理。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明确响应的，或未按招标文件要求提供证明材料的，该采购包作无效投标处理。</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jc w:val="center"/>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附件13  关于符合本国产品标准的声明函（采购包号：XX）</w:t>
      </w:r>
      <w:r/>
    </w:p>
    <w:p>
      <w:pPr>
        <w:pStyle w:val="987"/>
        <w:ind w:firstLine="640"/>
        <w:spacing w:before="0" w:beforeAutospacing="0" w:after="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w:t>
      </w:r>
      <w:r>
        <w:rPr>
          <w:rStyle w:val="998"/>
          <w:rFonts w:hint="eastAsia" w:ascii="方正魏碑_GBK" w:hAnsi="方正魏碑_GBK" w:eastAsia="方正魏碑_GBK" w:cs="方正魏碑_GBK"/>
          <w:i w:val="0"/>
          <w:color w:val="0d0d0d"/>
          <w:sz w:val="32"/>
          <w:szCs w:val="32"/>
          <w:u w:val="single"/>
          <w:shd w:val="clear" w:color="auto" w:fill="ffffff"/>
        </w:rPr>
        <w:t xml:space="preserve">（产品名称1）</w:t>
      </w:r>
      <w:r>
        <w:rPr>
          <w:rStyle w:val="998"/>
          <w:rFonts w:hint="eastAsia" w:ascii="方正魏碑_GBK" w:hAnsi="方正魏碑_GBK" w:eastAsia="方正魏碑_GBK" w:cs="方正魏碑_GBK"/>
          <w:i w:val="0"/>
          <w:color w:val="0d0d0d"/>
          <w:sz w:val="32"/>
          <w:szCs w:val="32"/>
          <w:shd w:val="clear" w:color="auto" w:fill="ffffff"/>
          <w:vertAlign w:val="superscript"/>
        </w:rPr>
        <w:t xml:space="preserve">1</w:t>
      </w:r>
      <w:r>
        <w:rPr>
          <w:rFonts w:hint="eastAsia" w:ascii="方正魏碑_GBK" w:hAnsi="方正魏碑_GBK" w:eastAsia="方正魏碑_GBK" w:cs="方正魏碑_GBK"/>
          <w:color w:val="0d0d0d"/>
          <w:sz w:val="32"/>
          <w:szCs w:val="32"/>
          <w:shd w:val="clear" w:color="auto" w:fill="ffffff"/>
        </w:rPr>
        <w:t xml:space="preserve">，生产厂为</w:t>
      </w:r>
      <w:r>
        <w:rPr>
          <w:rStyle w:val="998"/>
          <w:rFonts w:hint="eastAsia" w:ascii="方正魏碑_GBK" w:hAnsi="方正魏碑_GBK" w:eastAsia="方正魏碑_GBK" w:cs="方正魏碑_GBK"/>
          <w:i w:val="0"/>
          <w:color w:val="0d0d0d"/>
          <w:sz w:val="32"/>
          <w:szCs w:val="32"/>
          <w:u w:val="single"/>
          <w:shd w:val="clear" w:color="auto" w:fill="ffffff"/>
        </w:rPr>
        <w:t xml:space="preserve">（厂名）</w:t>
      </w:r>
      <w:r>
        <w:rPr>
          <w:rStyle w:val="998"/>
          <w:rFonts w:hint="eastAsia" w:ascii="方正魏碑_GBK" w:hAnsi="方正魏碑_GBK" w:eastAsia="方正魏碑_GBK" w:cs="方正魏碑_GBK"/>
          <w:i w:val="0"/>
          <w:color w:val="0d0d0d"/>
          <w:sz w:val="32"/>
          <w:szCs w:val="32"/>
          <w:shd w:val="clear" w:color="auto" w:fill="ffffff"/>
          <w:vertAlign w:val="superscript"/>
        </w:rPr>
        <w:t xml:space="preserve">2</w:t>
      </w:r>
      <w:r>
        <w:rPr>
          <w:rFonts w:hint="eastAsia" w:ascii="方正魏碑_GBK" w:hAnsi="方正魏碑_GBK" w:eastAsia="方正魏碑_GBK" w:cs="方正魏碑_GBK"/>
          <w:color w:val="0d0d0d"/>
          <w:sz w:val="32"/>
          <w:szCs w:val="32"/>
          <w:shd w:val="clear" w:color="auto" w:fill="ffffff"/>
        </w:rPr>
        <w:t xml:space="preserve">，厂址为</w:t>
      </w:r>
      <w:r>
        <w:rPr>
          <w:rStyle w:val="998"/>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shd w:val="clear" w:color="auto" w:fill="ffffff"/>
          <w:vertAlign w:val="superscript"/>
        </w:rPr>
        <w:t xml:space="preserve">3</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shd w:val="clear" w:color="auto" w:fill="ffffff"/>
          <w:vertAlign w:val="superscript"/>
        </w:rPr>
        <w:t xml:space="preserve">4</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shd w:val="clear" w:color="auto" w:fill="ffffff"/>
          <w:vertAlign w:val="superscript"/>
        </w:rPr>
        <w:t xml:space="preserve">5</w:t>
      </w:r>
      <w:r>
        <w:rPr>
          <w:rFonts w:hint="eastAsia" w:ascii="方正魏碑_GBK" w:hAnsi="方正魏碑_GBK" w:eastAsia="方正魏碑_GBK" w:cs="方正魏碑_GBK"/>
          <w:color w:val="0d0d0d"/>
          <w:sz w:val="32"/>
          <w:szCs w:val="32"/>
          <w:shd w:val="clear" w:color="auto" w:fill="ffffff"/>
        </w:rPr>
        <w:t xml:space="preserve">在中国境内完成。</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w:t>
      </w:r>
      <w:r>
        <w:rPr>
          <w:rStyle w:val="998"/>
          <w:rFonts w:hint="eastAsia" w:ascii="方正魏碑_GBK" w:hAnsi="方正魏碑_GBK" w:eastAsia="方正魏碑_GBK" w:cs="方正魏碑_GBK"/>
          <w:i w:val="0"/>
          <w:color w:val="0d0d0d"/>
          <w:sz w:val="32"/>
          <w:szCs w:val="32"/>
          <w:u w:val="single"/>
          <w:shd w:val="clear" w:color="auto" w:fill="ffffff"/>
        </w:rPr>
        <w:t xml:space="preserve">（产品名称2）</w:t>
      </w:r>
      <w:r>
        <w:rPr>
          <w:rFonts w:hint="eastAsia" w:ascii="方正魏碑_GBK" w:hAnsi="方正魏碑_GBK" w:eastAsia="方正魏碑_GBK" w:cs="方正魏碑_GBK"/>
          <w:color w:val="0d0d0d"/>
          <w:sz w:val="32"/>
          <w:szCs w:val="32"/>
          <w:shd w:val="clear" w:color="auto" w:fill="ffffff"/>
        </w:rPr>
        <w:t xml:space="preserve">，生产厂为</w:t>
      </w:r>
      <w:r>
        <w:rPr>
          <w:rStyle w:val="998"/>
          <w:rFonts w:hint="eastAsia" w:ascii="方正魏碑_GBK" w:hAnsi="方正魏碑_GBK" w:eastAsia="方正魏碑_GBK" w:cs="方正魏碑_GBK"/>
          <w:i w:val="0"/>
          <w:color w:val="0d0d0d"/>
          <w:sz w:val="32"/>
          <w:szCs w:val="32"/>
          <w:u w:val="single"/>
          <w:shd w:val="clear" w:color="auto" w:fill="ffffff"/>
        </w:rPr>
        <w:t xml:space="preserve">（厂名）</w:t>
      </w:r>
      <w:r>
        <w:rPr>
          <w:rFonts w:hint="eastAsia" w:ascii="方正魏碑_GBK" w:hAnsi="方正魏碑_GBK" w:eastAsia="方正魏碑_GBK" w:cs="方正魏碑_GBK"/>
          <w:color w:val="0d0d0d"/>
          <w:sz w:val="32"/>
          <w:szCs w:val="32"/>
          <w:shd w:val="clear" w:color="auto" w:fill="ffffff"/>
        </w:rPr>
        <w:t xml:space="preserve">，厂址为</w:t>
      </w:r>
      <w:r>
        <w:rPr>
          <w:rStyle w:val="998"/>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在中国境内完成。</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本公司（单位）对上述声明内容的真实性负责。如有虚假，愿承担相应法律责任。</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ascii="方正魏碑_GBK" w:hAnsi="方正魏碑_GBK" w:eastAsia="方正魏碑_GBK" w:cs="方正魏碑_GBK"/>
          <w:color w:val="0d0d0d"/>
          <w:sz w:val="32"/>
          <w:szCs w:val="32"/>
        </w:rPr>
      </w:r>
      <w:r/>
    </w:p>
    <w:p>
      <w:pPr>
        <w:pStyle w:val="987"/>
        <w:ind w:firstLine="640"/>
        <w:jc w:val="right"/>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公司（单位）名称（加盖CA电子公章）：　        </w:t>
      </w:r>
      <w:r/>
    </w:p>
    <w:p>
      <w:pPr>
        <w:pStyle w:val="987"/>
        <w:ind w:firstLine="640"/>
        <w:jc w:val="center"/>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日期：</w:t>
      </w:r>
      <w:r>
        <w:rPr>
          <w:rFonts w:hint="eastAsia" w:ascii="方正魏碑_GBK" w:hAnsi="方正魏碑_GBK" w:eastAsia="方正魏碑_GBK" w:cs="方正魏碑_GBK"/>
          <w:color w:val="0d0d0d"/>
          <w:sz w:val="32"/>
          <w:szCs w:val="32"/>
        </w:rPr>
        <w:t xml:space="preserve">___年____月____日</w:t>
      </w:r>
      <w:r>
        <w:rPr>
          <w:rFonts w:hint="eastAsia" w:ascii="方正魏碑_GBK" w:hAnsi="方正魏碑_GBK" w:eastAsia="方正魏碑_GBK" w:cs="方正魏碑_GBK"/>
          <w:color w:val="0d0d0d"/>
          <w:sz w:val="32"/>
          <w:szCs w:val="32"/>
          <w:shd w:val="clear" w:color="auto" w:fill="ffffff"/>
        </w:rPr>
        <w:t xml:space="preserve">        </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__________________</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1.产品如有型号，请在“产品名称”栏一并填写。</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2.生产厂名与厂址应与生产厂营业执照载明的相关信息保持一致。</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3.该产品的中国境内生产的组件成本占比相关要求实施前，“规定比例”栏可不填，下同。</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4.该产品的关键组件要求实施前，“关键组件”栏可不填，下同。</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5.该产品的关键工序要求实施前，“关键工序”栏可不填，下同。</w:t>
      </w:r>
      <w:r/>
    </w:p>
    <w:p>
      <w:pPr>
        <w:pStyle w:val="987"/>
        <w:ind w:firstLine="640"/>
        <w:spacing w:before="30" w:beforeAutospacing="0" w:after="30" w:afterAutospacing="0" w:line="560" w:lineRule="exact"/>
        <w:rPr>
          <w:rFonts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6.《声明函》中标注“</w:t>
      </w:r>
      <w:r>
        <w:rPr>
          <w:rFonts w:hint="eastAsia" w:ascii="方正魏碑_GBK" w:hAnsi="方正魏碑_GBK" w:eastAsia="方正魏碑_GBK" w:cs="方正魏碑_GBK"/>
          <w:color w:val="0d0d0d"/>
          <w:sz w:val="32"/>
          <w:szCs w:val="32"/>
          <w:u w:val="single"/>
          <w:shd w:val="clear" w:color="auto" w:fill="ffffff"/>
        </w:rPr>
        <w:t xml:space="preserve">  </w:t>
      </w:r>
      <w:r>
        <w:rPr>
          <w:rStyle w:val="998"/>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”的地方无需填写。</w:t>
      </w:r>
      <w:r/>
    </w:p>
    <w:p>
      <w:pPr>
        <w:spacing w:line="460" w:lineRule="exact"/>
        <w:rPr>
          <w:rFonts w:ascii="方正魏碑_GBK" w:hAnsi="方正魏碑_GBK" w:eastAsia="方正魏碑_GBK" w:cs="方正魏碑_GBK"/>
          <w:bCs/>
          <w:color w:val="ff0000"/>
          <w:sz w:val="24"/>
        </w:rPr>
      </w:pPr>
      <w:r>
        <w:rPr>
          <w:rFonts w:ascii="方正魏碑_GBK" w:hAnsi="方正魏碑_GBK" w:eastAsia="方正魏碑_GBK" w:cs="方正魏碑_GBK"/>
          <w:bCs/>
          <w:color w:val="ff0000"/>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bookmarkEnd w:id="161"/>
      <w:bookmarkEnd w:id="162"/>
      <w:bookmarkEnd w:id="178"/>
      <w:r/>
    </w:p>
    <w:p>
      <w:pPr>
        <w:ind w:firstLine="640"/>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ind w:firstLine="640"/>
        <w:spacing w:before="290"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w:t>
      </w:r>
      <w:r>
        <w:rPr>
          <w:rFonts w:hint="eastAsia" w:ascii="方正仿宋_GBK" w:hAnsi="方正仿宋_GBK" w:eastAsia="方正仿宋_GBK" w:cs="方正仿宋_GBK"/>
          <w:sz w:val="32"/>
          <w:szCs w:val="32"/>
        </w:rPr>
        <w:t xml:space="preserve">质疑函应按</w:t>
      </w:r>
      <w:r>
        <w:rPr>
          <w:rFonts w:hint="eastAsia" w:ascii="方正仿宋_GBK" w:hAnsi="方正仿宋_GBK" w:eastAsia="方正仿宋_GBK" w:cs="方正仿宋_GBK"/>
          <w:sz w:val="32"/>
          <w:szCs w:val="32"/>
        </w:rPr>
        <w:t xml:space="preserve">要求列明“授权代表”的有关内容，并在附件中提交由质疑供应商签署的授权委托书。授权委托书应载明代理人的姓名或者名称、代理事项、具体权限、期限和相关事项。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w:t>
      </w:r>
      <w:r>
        <w:rPr>
          <w:rFonts w:hint="eastAsia" w:ascii="方正仿宋_GBK" w:hAnsi="方正仿宋_GBK" w:eastAsia="方正仿宋_GBK" w:cs="方正仿宋_GBK"/>
          <w:sz w:val="32"/>
          <w:szCs w:val="32"/>
        </w:rPr>
        <w:t xml:space="preserve">质疑函应由</w:t>
      </w:r>
      <w:r>
        <w:rPr>
          <w:rFonts w:hint="eastAsia" w:ascii="方正仿宋_GBK" w:hAnsi="方正仿宋_GBK" w:eastAsia="方正仿宋_GBK" w:cs="方正仿宋_GBK"/>
          <w:sz w:val="32"/>
          <w:szCs w:val="32"/>
        </w:rPr>
        <w:t xml:space="preserve">本人签字；质疑供应商为法人或者其他组织的，</w:t>
      </w:r>
      <w:r>
        <w:rPr>
          <w:rFonts w:hint="eastAsia" w:ascii="方正仿宋_GBK" w:hAnsi="方正仿宋_GBK" w:eastAsia="方正仿宋_GBK" w:cs="方正仿宋_GBK"/>
          <w:sz w:val="32"/>
          <w:szCs w:val="32"/>
        </w:rPr>
        <w:t xml:space="preserve">质疑函应由</w:t>
      </w:r>
      <w:r>
        <w:rPr>
          <w:rFonts w:hint="eastAsia" w:ascii="方正仿宋_GBK" w:hAnsi="方正仿宋_GBK" w:eastAsia="方正仿宋_GBK" w:cs="方正仿宋_GBK"/>
          <w:sz w:val="32"/>
          <w:szCs w:val="32"/>
        </w:rPr>
        <w:t xml:space="preserve">法定代表人、主要负责人，或者其授权代表签字或者盖章，并加盖公章。</w:t>
      </w:r>
      <w:r/>
    </w:p>
    <w:p>
      <w:pPr>
        <w:pStyle w:val="951"/>
        <w:rPr>
          <w:sz w:val="24"/>
          <w:szCs w:val="24"/>
        </w:rPr>
      </w:pPr>
      <w:r>
        <w:rPr>
          <w:sz w:val="24"/>
          <w:szCs w:val="24"/>
        </w:rPr>
      </w:r>
      <w:r/>
    </w:p>
    <w:p>
      <w:pPr>
        <w:pStyle w:val="95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3"/>
      <w:isLgl w:val="false"/>
      <w:suff w:val="nothing"/>
      <w:lvlText w:val=""/>
      <w:lvlJc w:val="left"/>
      <w:pPr>
        <w:ind w:left="0" w:firstLine="0"/>
      </w:pPr>
      <w:rPr>
        <w:rFonts w:hint="eastAsia"/>
      </w:rPr>
    </w:lvl>
    <w:lvl w:ilvl="6">
      <w:start w:val="1"/>
      <w:numFmt w:val="decimal"/>
      <w:pStyle w:val="774"/>
      <w:isLgl w:val="false"/>
      <w:suff w:val="nothing"/>
      <w:lvlText w:val=""/>
      <w:lvlJc w:val="left"/>
      <w:pPr>
        <w:ind w:left="0" w:firstLine="0"/>
      </w:pPr>
      <w:rPr>
        <w:rFonts w:hint="eastAsia"/>
      </w:rPr>
    </w:lvl>
    <w:lvl w:ilvl="7">
      <w:start w:val="1"/>
      <w:numFmt w:val="decimal"/>
      <w:pStyle w:val="775"/>
      <w:isLgl w:val="false"/>
      <w:suff w:val="nothing"/>
      <w:lvlText w:val=""/>
      <w:lvlJc w:val="left"/>
      <w:pPr>
        <w:ind w:left="0" w:firstLine="0"/>
      </w:pPr>
      <w:rPr>
        <w:rFonts w:hint="eastAsia"/>
      </w:rPr>
    </w:lvl>
    <w:lvl w:ilvl="8">
      <w:start w:val="1"/>
      <w:numFmt w:val="decimal"/>
      <w:pStyle w:val="776"/>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8"/>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0"/>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77"/>
    <w:link w:val="791"/>
    <w:uiPriority w:val="10"/>
    <w:rPr>
      <w:sz w:val="48"/>
      <w:szCs w:val="48"/>
    </w:rPr>
  </w:style>
  <w:style w:type="character" w:styleId="36">
    <w:name w:val="Subtitle Char"/>
    <w:basedOn w:val="777"/>
    <w:link w:val="793"/>
    <w:uiPriority w:val="11"/>
    <w:rPr>
      <w:sz w:val="24"/>
      <w:szCs w:val="24"/>
    </w:rPr>
  </w:style>
  <w:style w:type="character" w:styleId="38">
    <w:name w:val="Quote Char"/>
    <w:link w:val="795"/>
    <w:uiPriority w:val="29"/>
    <w:rPr>
      <w:i/>
    </w:rPr>
  </w:style>
  <w:style w:type="character" w:styleId="40">
    <w:name w:val="Intense Quote Char"/>
    <w:link w:val="797"/>
    <w:uiPriority w:val="30"/>
    <w:rPr>
      <w:i/>
    </w:rPr>
  </w:style>
  <w:style w:type="character" w:styleId="175">
    <w:name w:val="Footnote Text Char"/>
    <w:link w:val="932"/>
    <w:uiPriority w:val="99"/>
    <w:rPr>
      <w:sz w:val="18"/>
    </w:rPr>
  </w:style>
  <w:style w:type="character" w:styleId="178">
    <w:name w:val="Endnote Text Char"/>
    <w:link w:val="935"/>
    <w:uiPriority w:val="99"/>
    <w:rPr>
      <w:sz w:val="20"/>
    </w:rPr>
  </w:style>
  <w:style w:type="paragraph" w:styleId="767" w:default="1">
    <w:name w:val="Normal"/>
    <w:qFormat/>
    <w:pPr>
      <w:jc w:val="both"/>
      <w:widowControl w:val="off"/>
    </w:pPr>
    <w:rPr>
      <w:rFonts w:ascii="Times New Roman" w:hAnsi="Times New Roman"/>
      <w:sz w:val="21"/>
      <w:szCs w:val="21"/>
    </w:rPr>
  </w:style>
  <w:style w:type="paragraph" w:styleId="768">
    <w:name w:val="Heading 1"/>
    <w:basedOn w:val="767"/>
    <w:next w:val="767"/>
    <w:link w:val="949"/>
    <w:qFormat/>
    <w:pPr>
      <w:jc w:val="center"/>
      <w:keepNext/>
      <w:outlineLvl w:val="0"/>
    </w:pPr>
    <w:rPr>
      <w:rFonts w:ascii="楷体_GB2312" w:eastAsia="楷体_GB2312"/>
      <w:sz w:val="28"/>
      <w:szCs w:val="28"/>
    </w:rPr>
  </w:style>
  <w:style w:type="paragraph" w:styleId="769">
    <w:name w:val="Heading 2"/>
    <w:basedOn w:val="767"/>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770">
    <w:name w:val="Heading 3"/>
    <w:basedOn w:val="767"/>
    <w:next w:val="951"/>
    <w:link w:val="953"/>
    <w:qFormat/>
    <w:pPr>
      <w:keepLines/>
      <w:keepNext/>
      <w:spacing w:before="260" w:after="260" w:line="416" w:lineRule="auto"/>
      <w:outlineLvl w:val="2"/>
    </w:pPr>
    <w:rPr>
      <w:b/>
      <w:bCs/>
      <w:sz w:val="32"/>
      <w:szCs w:val="32"/>
    </w:rPr>
  </w:style>
  <w:style w:type="paragraph" w:styleId="771">
    <w:name w:val="Heading 4"/>
    <w:basedOn w:val="767"/>
    <w:next w:val="951"/>
    <w:link w:val="954"/>
    <w:qFormat/>
    <w:pPr>
      <w:keepLines/>
      <w:keepNext/>
      <w:spacing w:before="280" w:after="290" w:line="376" w:lineRule="auto"/>
      <w:outlineLvl w:val="3"/>
    </w:pPr>
    <w:rPr>
      <w:rFonts w:ascii="Arial" w:hAnsi="Arial" w:eastAsia="黑体" w:cs="Arial"/>
      <w:b/>
      <w:bCs/>
      <w:sz w:val="28"/>
      <w:szCs w:val="28"/>
    </w:rPr>
  </w:style>
  <w:style w:type="paragraph" w:styleId="772">
    <w:name w:val="Heading 5"/>
    <w:basedOn w:val="767"/>
    <w:next w:val="951"/>
    <w:link w:val="955"/>
    <w:qFormat/>
    <w:pPr>
      <w:keepNext/>
      <w:outlineLvl w:val="4"/>
    </w:pPr>
    <w:rPr>
      <w:rFonts w:ascii="宋体"/>
      <w:color w:val="000000"/>
      <w:sz w:val="28"/>
      <w:szCs w:val="28"/>
    </w:rPr>
  </w:style>
  <w:style w:type="paragraph" w:styleId="773">
    <w:name w:val="Heading 6"/>
    <w:basedOn w:val="767"/>
    <w:next w:val="767"/>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Heading 7"/>
    <w:basedOn w:val="767"/>
    <w:next w:val="767"/>
    <w:link w:val="957"/>
    <w:qFormat/>
    <w:pPr>
      <w:numPr>
        <w:ilvl w:val="6"/>
        <w:numId w:val="1"/>
      </w:numPr>
      <w:keepLines/>
      <w:keepNext/>
      <w:spacing w:before="240" w:after="64" w:line="320" w:lineRule="auto"/>
      <w:outlineLvl w:val="6"/>
    </w:pPr>
    <w:rPr>
      <w:b/>
      <w:bCs/>
      <w:sz w:val="24"/>
      <w:szCs w:val="24"/>
    </w:rPr>
  </w:style>
  <w:style w:type="paragraph" w:styleId="775">
    <w:name w:val="Heading 8"/>
    <w:basedOn w:val="767"/>
    <w:next w:val="767"/>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Heading 9"/>
    <w:basedOn w:val="767"/>
    <w:next w:val="767"/>
    <w:link w:val="959"/>
    <w:qFormat/>
    <w:pPr>
      <w:numPr>
        <w:ilvl w:val="8"/>
        <w:numId w:val="1"/>
      </w:numPr>
      <w:keepLines/>
      <w:keepNext/>
      <w:spacing w:before="240" w:after="64" w:line="320" w:lineRule="auto"/>
      <w:outlineLvl w:val="8"/>
    </w:pPr>
    <w:rPr>
      <w:rFonts w:ascii="Arial" w:hAnsi="Arial" w:eastAsia="黑体"/>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character" w:styleId="780" w:customStyle="1">
    <w:name w:val="Heading 1 Char"/>
    <w:uiPriority w:val="9"/>
    <w:rPr>
      <w:rFonts w:ascii="Arial" w:hAnsi="Arial" w:eastAsia="Arial" w:cs="Arial"/>
      <w:sz w:val="40"/>
      <w:szCs w:val="40"/>
    </w:rPr>
  </w:style>
  <w:style w:type="character" w:styleId="781" w:customStyle="1">
    <w:name w:val="Heading 2 Char"/>
    <w:uiPriority w:val="9"/>
    <w:rPr>
      <w:rFonts w:ascii="Arial" w:hAnsi="Arial" w:eastAsia="Arial" w:cs="Arial"/>
      <w:sz w:val="34"/>
    </w:rPr>
  </w:style>
  <w:style w:type="character" w:styleId="782" w:customStyle="1">
    <w:name w:val="Heading 3 Char"/>
    <w:uiPriority w:val="9"/>
    <w:rPr>
      <w:rFonts w:ascii="Arial" w:hAnsi="Arial" w:eastAsia="Arial" w:cs="Arial"/>
      <w:sz w:val="30"/>
      <w:szCs w:val="30"/>
    </w:rPr>
  </w:style>
  <w:style w:type="character" w:styleId="783" w:customStyle="1">
    <w:name w:val="Heading 4 Char"/>
    <w:uiPriority w:val="9"/>
    <w:rPr>
      <w:rFonts w:ascii="Arial" w:hAnsi="Arial" w:eastAsia="Arial" w:cs="Arial"/>
      <w:b/>
      <w:bCs/>
      <w:sz w:val="26"/>
      <w:szCs w:val="26"/>
    </w:rPr>
  </w:style>
  <w:style w:type="character" w:styleId="784" w:customStyle="1">
    <w:name w:val="Heading 5 Char"/>
    <w:uiPriority w:val="9"/>
    <w:rPr>
      <w:rFonts w:ascii="Arial" w:hAnsi="Arial" w:eastAsia="Arial" w:cs="Arial"/>
      <w:b/>
      <w:bCs/>
      <w:sz w:val="24"/>
      <w:szCs w:val="24"/>
    </w:rPr>
  </w:style>
  <w:style w:type="character" w:styleId="785" w:customStyle="1">
    <w:name w:val="Heading 6 Char"/>
    <w:uiPriority w:val="9"/>
    <w:rPr>
      <w:rFonts w:ascii="Arial" w:hAnsi="Arial" w:eastAsia="Arial" w:cs="Arial"/>
      <w:b/>
      <w:bCs/>
      <w:sz w:val="22"/>
      <w:szCs w:val="22"/>
    </w:rPr>
  </w:style>
  <w:style w:type="character" w:styleId="786" w:customStyle="1">
    <w:name w:val="Heading 7 Char"/>
    <w:uiPriority w:val="9"/>
    <w:rPr>
      <w:rFonts w:ascii="Arial" w:hAnsi="Arial" w:eastAsia="Arial" w:cs="Arial"/>
      <w:b/>
      <w:bCs/>
      <w:i/>
      <w:iCs/>
      <w:sz w:val="22"/>
      <w:szCs w:val="22"/>
    </w:rPr>
  </w:style>
  <w:style w:type="character" w:styleId="787" w:customStyle="1">
    <w:name w:val="Heading 8 Char"/>
    <w:uiPriority w:val="9"/>
    <w:rPr>
      <w:rFonts w:ascii="Arial" w:hAnsi="Arial" w:eastAsia="Arial" w:cs="Arial"/>
      <w:i/>
      <w:iCs/>
      <w:sz w:val="22"/>
      <w:szCs w:val="22"/>
    </w:rPr>
  </w:style>
  <w:style w:type="character" w:styleId="788" w:customStyle="1">
    <w:name w:val="Heading 9 Char"/>
    <w:uiPriority w:val="9"/>
    <w:rPr>
      <w:rFonts w:ascii="Arial" w:hAnsi="Arial" w:eastAsia="Arial" w:cs="Arial"/>
      <w:i/>
      <w:iCs/>
      <w:sz w:val="21"/>
      <w:szCs w:val="21"/>
    </w:rPr>
  </w:style>
  <w:style w:type="paragraph" w:styleId="789">
    <w:name w:val="List Paragraph"/>
    <w:basedOn w:val="767"/>
    <w:qFormat/>
    <w:pPr>
      <w:contextualSpacing/>
      <w:ind w:left="720"/>
      <w:jc w:val="left"/>
      <w:widowControl/>
    </w:pPr>
    <w:rPr>
      <w:rFonts w:ascii="Calibri" w:hAnsi="Calibri"/>
      <w:sz w:val="24"/>
      <w:szCs w:val="24"/>
      <w:lang w:eastAsia="en-US" w:bidi="en-US"/>
    </w:rPr>
  </w:style>
  <w:style w:type="paragraph" w:styleId="790">
    <w:name w:val="No Spacing"/>
    <w:uiPriority w:val="99"/>
    <w:qFormat/>
    <w:pPr>
      <w:jc w:val="both"/>
      <w:widowControl w:val="off"/>
    </w:pPr>
    <w:rPr>
      <w:rFonts w:ascii="Times New Roman" w:hAnsi="Times New Roman"/>
      <w:sz w:val="21"/>
      <w:szCs w:val="21"/>
    </w:rPr>
  </w:style>
  <w:style w:type="paragraph" w:styleId="791">
    <w:name w:val="Title"/>
    <w:basedOn w:val="767"/>
    <w:next w:val="767"/>
    <w:link w:val="792"/>
    <w:uiPriority w:val="10"/>
    <w:qFormat/>
    <w:pPr>
      <w:contextualSpacing/>
      <w:spacing w:before="300" w:after="200"/>
    </w:pPr>
    <w:rPr>
      <w:sz w:val="48"/>
      <w:szCs w:val="48"/>
    </w:rPr>
  </w:style>
  <w:style w:type="character" w:styleId="792" w:customStyle="1">
    <w:name w:val="标题 Char"/>
    <w:link w:val="791"/>
    <w:uiPriority w:val="10"/>
    <w:rPr>
      <w:sz w:val="48"/>
      <w:szCs w:val="48"/>
    </w:rPr>
  </w:style>
  <w:style w:type="paragraph" w:styleId="793">
    <w:name w:val="Subtitle"/>
    <w:basedOn w:val="767"/>
    <w:next w:val="767"/>
    <w:link w:val="794"/>
    <w:uiPriority w:val="11"/>
    <w:qFormat/>
    <w:pPr>
      <w:spacing w:before="200" w:after="200"/>
    </w:pPr>
    <w:rPr>
      <w:sz w:val="24"/>
      <w:szCs w:val="24"/>
    </w:rPr>
  </w:style>
  <w:style w:type="character" w:styleId="794" w:customStyle="1">
    <w:name w:val="副标题 Char"/>
    <w:link w:val="793"/>
    <w:uiPriority w:val="11"/>
    <w:rPr>
      <w:sz w:val="24"/>
      <w:szCs w:val="24"/>
    </w:rPr>
  </w:style>
  <w:style w:type="paragraph" w:styleId="795">
    <w:name w:val="Quote"/>
    <w:basedOn w:val="767"/>
    <w:next w:val="767"/>
    <w:link w:val="796"/>
    <w:uiPriority w:val="29"/>
    <w:qFormat/>
    <w:pPr>
      <w:ind w:left="720" w:right="720"/>
    </w:pPr>
    <w:rPr>
      <w:i/>
    </w:rPr>
  </w:style>
  <w:style w:type="character" w:styleId="796" w:customStyle="1">
    <w:name w:val="引用 Char"/>
    <w:link w:val="795"/>
    <w:uiPriority w:val="29"/>
    <w:rPr>
      <w:i/>
    </w:rPr>
  </w:style>
  <w:style w:type="paragraph" w:styleId="797">
    <w:name w:val="Intense Quote"/>
    <w:basedOn w:val="767"/>
    <w:next w:val="767"/>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rPr>
      <w:i/>
    </w:rPr>
  </w:style>
  <w:style w:type="paragraph" w:styleId="799">
    <w:name w:val="Header"/>
    <w:basedOn w:val="767"/>
    <w:link w:val="981"/>
    <w:pPr>
      <w:jc w:val="center"/>
      <w:tabs>
        <w:tab w:val="center" w:pos="4153" w:leader="none"/>
        <w:tab w:val="right" w:pos="8306" w:leader="none"/>
      </w:tabs>
      <w:pBdr>
        <w:bottom w:val="single" w:color="000000" w:sz="6" w:space="1"/>
      </w:pBdr>
    </w:pPr>
    <w:rPr>
      <w:sz w:val="18"/>
      <w:szCs w:val="18"/>
    </w:rPr>
  </w:style>
  <w:style w:type="character" w:styleId="800" w:customStyle="1">
    <w:name w:val="Header Char"/>
    <w:uiPriority w:val="99"/>
  </w:style>
  <w:style w:type="paragraph" w:styleId="801">
    <w:name w:val="Footer"/>
    <w:basedOn w:val="767"/>
    <w:link w:val="980"/>
    <w:uiPriority w:val="99"/>
    <w:pPr>
      <w:jc w:val="left"/>
      <w:tabs>
        <w:tab w:val="center" w:pos="4153" w:leader="none"/>
        <w:tab w:val="right" w:pos="8306" w:leader="none"/>
      </w:tabs>
    </w:pPr>
    <w:rPr>
      <w:sz w:val="18"/>
      <w:szCs w:val="18"/>
    </w:rPr>
  </w:style>
  <w:style w:type="character" w:styleId="802" w:customStyle="1">
    <w:name w:val="Footer Char"/>
    <w:uiPriority w:val="99"/>
  </w:style>
  <w:style w:type="paragraph" w:styleId="803">
    <w:name w:val="Caption"/>
    <w:basedOn w:val="767"/>
    <w:next w:val="767"/>
    <w:uiPriority w:val="35"/>
    <w:semiHidden/>
    <w:unhideWhenUsed/>
    <w:qFormat/>
    <w:pPr>
      <w:spacing w:line="276" w:lineRule="auto"/>
    </w:pPr>
    <w:rPr>
      <w:b/>
      <w:bCs/>
      <w:color w:val="4f81bd" w:themeColor="accent1"/>
      <w:sz w:val="18"/>
      <w:szCs w:val="18"/>
    </w:rPr>
  </w:style>
  <w:style w:type="character" w:styleId="804" w:customStyle="1">
    <w:name w:val="Caption Char"/>
    <w:uiPriority w:val="99"/>
  </w:style>
  <w:style w:type="table" w:styleId="805">
    <w:name w:val="Table Grid"/>
    <w:basedOn w:val="778"/>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80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3"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name w:val="Hyperlink"/>
    <w:rPr>
      <w:color w:val="0000ff"/>
      <w:u w:val="single"/>
    </w:rPr>
  </w:style>
  <w:style w:type="paragraph" w:styleId="932">
    <w:name w:val="footnote text"/>
    <w:basedOn w:val="767"/>
    <w:link w:val="933"/>
    <w:uiPriority w:val="99"/>
    <w:semiHidden/>
    <w:unhideWhenUsed/>
    <w:pPr>
      <w:spacing w:after="40"/>
    </w:pPr>
    <w:rPr>
      <w:sz w:val="18"/>
    </w:rPr>
  </w:style>
  <w:style w:type="character" w:styleId="933" w:customStyle="1">
    <w:name w:val="脚注文本 Char"/>
    <w:link w:val="932"/>
    <w:uiPriority w:val="99"/>
    <w:rPr>
      <w:sz w:val="18"/>
    </w:rPr>
  </w:style>
  <w:style w:type="character" w:styleId="934">
    <w:name w:val="footnote reference"/>
    <w:uiPriority w:val="99"/>
    <w:unhideWhenUsed/>
    <w:rPr>
      <w:vertAlign w:val="superscript"/>
    </w:rPr>
  </w:style>
  <w:style w:type="paragraph" w:styleId="935">
    <w:name w:val="endnote text"/>
    <w:basedOn w:val="767"/>
    <w:link w:val="936"/>
    <w:uiPriority w:val="99"/>
    <w:semiHidden/>
    <w:unhideWhenUsed/>
    <w:rPr>
      <w:sz w:val="20"/>
    </w:rPr>
  </w:style>
  <w:style w:type="character" w:styleId="936" w:customStyle="1">
    <w:name w:val="尾注文本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767"/>
    <w:next w:val="767"/>
    <w:semiHidden/>
    <w:pPr>
      <w:jc w:val="left"/>
      <w:spacing w:before="120" w:after="120" w:line="400" w:lineRule="exact"/>
      <w:tabs>
        <w:tab w:val="right" w:pos="8720" w:leader="dot"/>
      </w:tabs>
    </w:pPr>
    <w:rPr>
      <w:rFonts w:ascii="宋体" w:hAnsi="宋体"/>
      <w:caps/>
      <w:sz w:val="24"/>
      <w:szCs w:val="24"/>
    </w:rPr>
  </w:style>
  <w:style w:type="paragraph" w:styleId="939">
    <w:name w:val="toc 2"/>
    <w:basedOn w:val="767"/>
    <w:next w:val="767"/>
    <w:semiHidden/>
    <w:pPr>
      <w:ind w:left="210"/>
      <w:jc w:val="left"/>
    </w:pPr>
    <w:rPr>
      <w:smallCaps/>
      <w:szCs w:val="24"/>
    </w:rPr>
  </w:style>
  <w:style w:type="paragraph" w:styleId="940">
    <w:name w:val="toc 3"/>
    <w:basedOn w:val="767"/>
    <w:next w:val="767"/>
    <w:semiHidden/>
    <w:pPr>
      <w:ind w:left="420"/>
      <w:jc w:val="left"/>
    </w:pPr>
    <w:rPr>
      <w:i/>
      <w:iCs/>
      <w:szCs w:val="24"/>
    </w:rPr>
  </w:style>
  <w:style w:type="paragraph" w:styleId="941">
    <w:name w:val="toc 4"/>
    <w:basedOn w:val="767"/>
    <w:next w:val="767"/>
    <w:semiHidden/>
    <w:pPr>
      <w:ind w:left="630"/>
      <w:jc w:val="left"/>
    </w:pPr>
  </w:style>
  <w:style w:type="paragraph" w:styleId="942">
    <w:name w:val="toc 5"/>
    <w:basedOn w:val="767"/>
    <w:next w:val="767"/>
    <w:semiHidden/>
    <w:pPr>
      <w:ind w:left="840"/>
      <w:jc w:val="left"/>
    </w:pPr>
  </w:style>
  <w:style w:type="paragraph" w:styleId="943">
    <w:name w:val="toc 6"/>
    <w:basedOn w:val="767"/>
    <w:next w:val="767"/>
    <w:semiHidden/>
    <w:pPr>
      <w:ind w:left="1050"/>
      <w:jc w:val="left"/>
    </w:pPr>
  </w:style>
  <w:style w:type="paragraph" w:styleId="944">
    <w:name w:val="toc 7"/>
    <w:basedOn w:val="767"/>
    <w:next w:val="767"/>
    <w:semiHidden/>
    <w:pPr>
      <w:ind w:left="1260"/>
      <w:jc w:val="left"/>
    </w:pPr>
  </w:style>
  <w:style w:type="paragraph" w:styleId="945">
    <w:name w:val="toc 8"/>
    <w:basedOn w:val="767"/>
    <w:next w:val="767"/>
    <w:semiHidden/>
    <w:pPr>
      <w:ind w:left="1470"/>
      <w:jc w:val="left"/>
    </w:pPr>
  </w:style>
  <w:style w:type="paragraph" w:styleId="946">
    <w:name w:val="toc 9"/>
    <w:basedOn w:val="767"/>
    <w:next w:val="767"/>
    <w:semiHidden/>
    <w:pPr>
      <w:ind w:left="1680"/>
      <w:jc w:val="left"/>
    </w:pPr>
  </w:style>
  <w:style w:type="paragraph" w:styleId="947">
    <w:name w:val="TOC Heading"/>
    <w:uiPriority w:val="39"/>
    <w:unhideWhenUsed/>
  </w:style>
  <w:style w:type="paragraph" w:styleId="948">
    <w:name w:val="table of figures"/>
    <w:basedOn w:val="767"/>
    <w:next w:val="767"/>
    <w:semiHidden/>
    <w:pPr>
      <w:ind w:left="840" w:hanging="420"/>
    </w:pPr>
  </w:style>
  <w:style w:type="character" w:styleId="949" w:customStyle="1">
    <w:name w:val="标题 1 Char"/>
    <w:link w:val="768"/>
    <w:rPr>
      <w:rFonts w:ascii="楷体_GB2312" w:hAnsi="Times New Roman" w:eastAsia="楷体_GB2312" w:cs="Times New Roman"/>
      <w:sz w:val="28"/>
      <w:szCs w:val="28"/>
    </w:rPr>
  </w:style>
  <w:style w:type="character" w:styleId="950" w:customStyle="1">
    <w:name w:val="标题 2 Char"/>
    <w:link w:val="769"/>
    <w:rPr>
      <w:rFonts w:ascii="Arial" w:hAnsi="Arial" w:eastAsia="幼圆" w:cs="Arial"/>
      <w:b/>
      <w:bCs/>
      <w:sz w:val="44"/>
      <w:szCs w:val="44"/>
    </w:rPr>
  </w:style>
  <w:style w:type="paragraph" w:styleId="951">
    <w:name w:val="Normal Indent"/>
    <w:basedOn w:val="767"/>
    <w:link w:val="952"/>
    <w:pPr>
      <w:ind w:firstLine="420"/>
    </w:pPr>
  </w:style>
  <w:style w:type="character" w:styleId="952" w:customStyle="1">
    <w:name w:val="正文缩进 Char"/>
    <w:link w:val="951"/>
    <w:rPr>
      <w:rFonts w:ascii="Times New Roman" w:hAnsi="Times New Roman" w:eastAsia="宋体" w:cs="Times New Roman"/>
      <w:szCs w:val="21"/>
    </w:rPr>
  </w:style>
  <w:style w:type="character" w:styleId="953" w:customStyle="1">
    <w:name w:val="标题 3 Char"/>
    <w:link w:val="770"/>
    <w:rPr>
      <w:rFonts w:ascii="Times New Roman" w:hAnsi="Times New Roman" w:eastAsia="宋体" w:cs="Times New Roman"/>
      <w:b/>
      <w:bCs/>
      <w:sz w:val="32"/>
      <w:szCs w:val="32"/>
    </w:rPr>
  </w:style>
  <w:style w:type="character" w:styleId="954" w:customStyle="1">
    <w:name w:val="标题 4 Char"/>
    <w:link w:val="771"/>
    <w:rPr>
      <w:rFonts w:ascii="Arial" w:hAnsi="Arial" w:eastAsia="黑体" w:cs="Arial"/>
      <w:b/>
      <w:bCs/>
      <w:sz w:val="28"/>
      <w:szCs w:val="28"/>
    </w:rPr>
  </w:style>
  <w:style w:type="character" w:styleId="955" w:customStyle="1">
    <w:name w:val="标题 5 Char"/>
    <w:link w:val="772"/>
    <w:rPr>
      <w:rFonts w:ascii="宋体" w:hAnsi="Times New Roman" w:eastAsia="宋体" w:cs="Times New Roman"/>
      <w:color w:val="000000"/>
      <w:sz w:val="28"/>
      <w:szCs w:val="28"/>
    </w:rPr>
  </w:style>
  <w:style w:type="character" w:styleId="956" w:customStyle="1">
    <w:name w:val="标题 6 Char"/>
    <w:link w:val="773"/>
    <w:rPr>
      <w:rFonts w:ascii="Arial" w:hAnsi="Arial" w:eastAsia="黑体" w:cs="Times New Roman"/>
      <w:b/>
      <w:bCs/>
      <w:sz w:val="24"/>
      <w:szCs w:val="24"/>
    </w:rPr>
  </w:style>
  <w:style w:type="character" w:styleId="957" w:customStyle="1">
    <w:name w:val="标题 7 Char"/>
    <w:link w:val="774"/>
    <w:rPr>
      <w:rFonts w:ascii="Times New Roman" w:hAnsi="Times New Roman" w:eastAsia="宋体" w:cs="Times New Roman"/>
      <w:b/>
      <w:bCs/>
      <w:sz w:val="24"/>
      <w:szCs w:val="24"/>
    </w:rPr>
  </w:style>
  <w:style w:type="character" w:styleId="958" w:customStyle="1">
    <w:name w:val="标题 8 Char"/>
    <w:link w:val="775"/>
    <w:rPr>
      <w:rFonts w:ascii="Arial" w:hAnsi="Arial" w:eastAsia="黑体" w:cs="Times New Roman"/>
      <w:sz w:val="24"/>
      <w:szCs w:val="24"/>
    </w:rPr>
  </w:style>
  <w:style w:type="character" w:styleId="959" w:customStyle="1">
    <w:name w:val="标题 9 Char"/>
    <w:link w:val="776"/>
    <w:rPr>
      <w:rFonts w:ascii="Arial" w:hAnsi="Arial" w:eastAsia="黑体" w:cs="Times New Roman"/>
      <w:szCs w:val="21"/>
    </w:rPr>
  </w:style>
  <w:style w:type="paragraph" w:styleId="960">
    <w:name w:val="List 3"/>
    <w:basedOn w:val="767"/>
    <w:pPr>
      <w:ind w:left="100" w:hanging="200"/>
    </w:pPr>
  </w:style>
  <w:style w:type="paragraph" w:styleId="961">
    <w:name w:val="Document Map"/>
    <w:basedOn w:val="767"/>
    <w:link w:val="962"/>
    <w:semiHidden/>
    <w:pPr>
      <w:shd w:val="clear" w:color="auto" w:fill="000080"/>
    </w:pPr>
  </w:style>
  <w:style w:type="character" w:styleId="962" w:customStyle="1">
    <w:name w:val="文档结构图 Char"/>
    <w:link w:val="961"/>
    <w:semiHidden/>
    <w:rPr>
      <w:rFonts w:ascii="Times New Roman" w:hAnsi="Times New Roman" w:eastAsia="宋体" w:cs="Times New Roman"/>
      <w:szCs w:val="21"/>
      <w:shd w:val="clear" w:color="auto" w:fill="000080"/>
    </w:rPr>
  </w:style>
  <w:style w:type="paragraph" w:styleId="963">
    <w:name w:val="annotation text"/>
    <w:basedOn w:val="767"/>
    <w:link w:val="964"/>
    <w:semiHidden/>
    <w:pPr>
      <w:jc w:val="left"/>
    </w:pPr>
  </w:style>
  <w:style w:type="character" w:styleId="964" w:customStyle="1">
    <w:name w:val="批注文字 Char"/>
    <w:link w:val="963"/>
    <w:semiHidden/>
    <w:rPr>
      <w:rFonts w:ascii="Times New Roman" w:hAnsi="Times New Roman" w:eastAsia="宋体" w:cs="Times New Roman"/>
      <w:szCs w:val="21"/>
    </w:rPr>
  </w:style>
  <w:style w:type="paragraph" w:styleId="965">
    <w:name w:val="Body Text 3"/>
    <w:basedOn w:val="767"/>
    <w:link w:val="966"/>
    <w:rPr>
      <w:rFonts w:ascii="仿宋_GB2312" w:hAnsi="Arial" w:eastAsia="仿宋_GB2312"/>
      <w:sz w:val="32"/>
      <w:szCs w:val="32"/>
    </w:rPr>
  </w:style>
  <w:style w:type="character" w:styleId="966" w:customStyle="1">
    <w:name w:val="正文文本 3 Char"/>
    <w:link w:val="965"/>
    <w:rPr>
      <w:rFonts w:ascii="仿宋_GB2312" w:hAnsi="Arial" w:eastAsia="仿宋_GB2312" w:cs="Times New Roman"/>
      <w:sz w:val="32"/>
      <w:szCs w:val="32"/>
    </w:rPr>
  </w:style>
  <w:style w:type="paragraph" w:styleId="967">
    <w:name w:val="Body Text"/>
    <w:basedOn w:val="767"/>
    <w:link w:val="968"/>
    <w:rPr>
      <w:rFonts w:ascii="楷体_GB2312" w:hAnsi="Arial" w:eastAsia="楷体_GB2312"/>
      <w:sz w:val="28"/>
      <w:szCs w:val="28"/>
    </w:rPr>
  </w:style>
  <w:style w:type="character" w:styleId="968" w:customStyle="1">
    <w:name w:val="正文文本 Char"/>
    <w:link w:val="967"/>
    <w:rPr>
      <w:rFonts w:ascii="楷体_GB2312" w:hAnsi="Arial" w:eastAsia="楷体_GB2312" w:cs="Times New Roman"/>
      <w:sz w:val="28"/>
      <w:szCs w:val="28"/>
    </w:rPr>
  </w:style>
  <w:style w:type="paragraph" w:styleId="969">
    <w:name w:val="Body Text Indent"/>
    <w:basedOn w:val="767"/>
    <w:link w:val="970"/>
    <w:pPr>
      <w:ind w:firstLine="645"/>
    </w:pPr>
    <w:rPr>
      <w:rFonts w:ascii="楷体_GB2312" w:eastAsia="楷体_GB2312"/>
      <w:sz w:val="32"/>
      <w:szCs w:val="32"/>
    </w:rPr>
  </w:style>
  <w:style w:type="character" w:styleId="970" w:customStyle="1">
    <w:name w:val="正文文本缩进 Char"/>
    <w:link w:val="969"/>
    <w:rPr>
      <w:rFonts w:ascii="楷体_GB2312" w:hAnsi="Times New Roman" w:eastAsia="楷体_GB2312" w:cs="Times New Roman"/>
      <w:sz w:val="32"/>
      <w:szCs w:val="32"/>
    </w:rPr>
  </w:style>
  <w:style w:type="paragraph" w:styleId="971">
    <w:name w:val="List 2"/>
    <w:basedOn w:val="767"/>
    <w:pPr>
      <w:ind w:left="100" w:hanging="200"/>
    </w:pPr>
  </w:style>
  <w:style w:type="paragraph" w:styleId="972">
    <w:name w:val="Plain Text"/>
    <w:basedOn w:val="767"/>
    <w:link w:val="973"/>
    <w:rPr>
      <w:rFonts w:ascii="宋体" w:hAnsi="Courier New" w:cs="Courier New"/>
    </w:rPr>
  </w:style>
  <w:style w:type="character" w:styleId="973" w:customStyle="1">
    <w:name w:val="纯文本 Char"/>
    <w:link w:val="972"/>
    <w:rPr>
      <w:rFonts w:ascii="宋体" w:hAnsi="Courier New" w:eastAsia="宋体" w:cs="Courier New"/>
      <w:szCs w:val="21"/>
    </w:rPr>
  </w:style>
  <w:style w:type="paragraph" w:styleId="974">
    <w:name w:val="Date"/>
    <w:basedOn w:val="767"/>
    <w:next w:val="767"/>
    <w:link w:val="975"/>
    <w:rPr>
      <w:sz w:val="24"/>
      <w:szCs w:val="24"/>
    </w:rPr>
  </w:style>
  <w:style w:type="character" w:styleId="975" w:customStyle="1">
    <w:name w:val="日期 Char"/>
    <w:link w:val="974"/>
    <w:rPr>
      <w:rFonts w:ascii="Times New Roman" w:hAnsi="Times New Roman" w:eastAsia="宋体" w:cs="Times New Roman"/>
      <w:sz w:val="24"/>
      <w:szCs w:val="24"/>
    </w:rPr>
  </w:style>
  <w:style w:type="paragraph" w:styleId="976">
    <w:name w:val="Body Text Indent 2"/>
    <w:basedOn w:val="767"/>
    <w:link w:val="977"/>
    <w:pPr>
      <w:ind w:left="630" w:firstLine="645"/>
    </w:pPr>
    <w:rPr>
      <w:rFonts w:ascii="Arial" w:hAnsi="Arial" w:eastAsia="仿宋_GB2312" w:cs="Arial"/>
      <w:sz w:val="32"/>
      <w:szCs w:val="32"/>
    </w:rPr>
  </w:style>
  <w:style w:type="character" w:styleId="977" w:customStyle="1">
    <w:name w:val="正文文本缩进 2 Char"/>
    <w:link w:val="976"/>
    <w:rPr>
      <w:rFonts w:ascii="Arial" w:hAnsi="Arial" w:eastAsia="仿宋_GB2312" w:cs="Arial"/>
      <w:sz w:val="32"/>
      <w:szCs w:val="32"/>
    </w:rPr>
  </w:style>
  <w:style w:type="paragraph" w:styleId="978">
    <w:name w:val="Balloon Text"/>
    <w:basedOn w:val="767"/>
    <w:link w:val="979"/>
    <w:semiHidden/>
    <w:rPr>
      <w:sz w:val="18"/>
      <w:szCs w:val="18"/>
    </w:rPr>
  </w:style>
  <w:style w:type="character" w:styleId="979" w:customStyle="1">
    <w:name w:val="批注框文本 Char"/>
    <w:link w:val="978"/>
    <w:semiHidden/>
    <w:rPr>
      <w:rFonts w:ascii="Times New Roman" w:hAnsi="Times New Roman" w:eastAsia="宋体" w:cs="Times New Roman"/>
      <w:sz w:val="18"/>
      <w:szCs w:val="18"/>
    </w:rPr>
  </w:style>
  <w:style w:type="character" w:styleId="980" w:customStyle="1">
    <w:name w:val="页脚 Char"/>
    <w:link w:val="801"/>
    <w:uiPriority w:val="99"/>
    <w:rPr>
      <w:rFonts w:ascii="Times New Roman" w:hAnsi="Times New Roman" w:eastAsia="宋体" w:cs="Times New Roman"/>
      <w:sz w:val="18"/>
      <w:szCs w:val="18"/>
    </w:rPr>
  </w:style>
  <w:style w:type="character" w:styleId="981" w:customStyle="1">
    <w:name w:val="页眉 Char"/>
    <w:link w:val="799"/>
    <w:rPr>
      <w:rFonts w:ascii="Times New Roman" w:hAnsi="Times New Roman" w:eastAsia="宋体" w:cs="Times New Roman"/>
      <w:sz w:val="18"/>
      <w:szCs w:val="18"/>
    </w:rPr>
  </w:style>
  <w:style w:type="paragraph" w:styleId="982">
    <w:name w:val="List"/>
    <w:basedOn w:val="767"/>
    <w:pPr>
      <w:ind w:left="200" w:hanging="200"/>
    </w:pPr>
  </w:style>
  <w:style w:type="paragraph" w:styleId="983">
    <w:name w:val="Body Text Indent 3"/>
    <w:basedOn w:val="767"/>
    <w:link w:val="984"/>
    <w:pPr>
      <w:ind w:left="645" w:firstLine="645"/>
    </w:pPr>
    <w:rPr>
      <w:rFonts w:ascii="Arial" w:hAnsi="Arial" w:eastAsia="仿宋_GB2312" w:cs="Arial"/>
      <w:color w:val="ffff00"/>
      <w:sz w:val="32"/>
      <w:szCs w:val="32"/>
    </w:rPr>
  </w:style>
  <w:style w:type="character" w:styleId="984" w:customStyle="1">
    <w:name w:val="正文文本缩进 3 Char"/>
    <w:link w:val="983"/>
    <w:rPr>
      <w:rFonts w:ascii="Arial" w:hAnsi="Arial" w:eastAsia="仿宋_GB2312" w:cs="Arial"/>
      <w:color w:val="ffff00"/>
      <w:sz w:val="32"/>
      <w:szCs w:val="32"/>
    </w:rPr>
  </w:style>
  <w:style w:type="paragraph" w:styleId="985">
    <w:name w:val="Body Text 2"/>
    <w:basedOn w:val="767"/>
    <w:link w:val="986"/>
    <w:pPr>
      <w:jc w:val="center"/>
      <w:widowControl/>
    </w:pPr>
    <w:rPr>
      <w:rFonts w:ascii="楷体_GB2312" w:eastAsia="楷体_GB2312"/>
      <w:sz w:val="28"/>
      <w:szCs w:val="28"/>
    </w:rPr>
  </w:style>
  <w:style w:type="character" w:styleId="986" w:customStyle="1">
    <w:name w:val="正文文本 2 Char"/>
    <w:link w:val="985"/>
    <w:rPr>
      <w:rFonts w:ascii="楷体_GB2312" w:hAnsi="Times New Roman" w:eastAsia="楷体_GB2312" w:cs="Times New Roman"/>
      <w:sz w:val="28"/>
      <w:szCs w:val="28"/>
    </w:rPr>
  </w:style>
  <w:style w:type="paragraph" w:styleId="987">
    <w:name w:val="Normal (Web)"/>
    <w:basedOn w:val="767"/>
    <w:qFormat/>
    <w:pPr>
      <w:jc w:val="left"/>
      <w:spacing w:before="100" w:beforeAutospacing="1" w:after="100" w:afterAutospacing="1"/>
      <w:widowControl/>
    </w:pPr>
    <w:rPr>
      <w:rFonts w:ascii="宋体" w:hAnsi="宋体" w:cs="宋体"/>
      <w:sz w:val="24"/>
      <w:szCs w:val="24"/>
    </w:rPr>
  </w:style>
  <w:style w:type="paragraph" w:styleId="988">
    <w:name w:val="index 1"/>
    <w:basedOn w:val="767"/>
    <w:next w:val="767"/>
    <w:semiHidden/>
    <w:pPr>
      <w:spacing w:line="240" w:lineRule="atLeast"/>
    </w:pPr>
    <w:rPr>
      <w:b/>
      <w:bCs/>
    </w:rPr>
  </w:style>
  <w:style w:type="paragraph" w:styleId="989">
    <w:name w:val="annotation subject"/>
    <w:basedOn w:val="963"/>
    <w:next w:val="963"/>
    <w:link w:val="990"/>
    <w:semiHidden/>
    <w:rPr>
      <w:b/>
      <w:bCs/>
    </w:rPr>
  </w:style>
  <w:style w:type="character" w:styleId="990" w:customStyle="1">
    <w:name w:val="批注主题 Char"/>
    <w:link w:val="989"/>
    <w:semiHidden/>
    <w:rPr>
      <w:rFonts w:ascii="Times New Roman" w:hAnsi="Times New Roman" w:eastAsia="宋体" w:cs="Times New Roman"/>
      <w:b/>
      <w:bCs/>
      <w:szCs w:val="21"/>
    </w:rPr>
  </w:style>
  <w:style w:type="paragraph" w:styleId="991">
    <w:name w:val="Body Text First Indent"/>
    <w:basedOn w:val="767"/>
    <w:link w:val="992"/>
    <w:pPr>
      <w:ind w:firstLine="200"/>
      <w:spacing w:line="360" w:lineRule="auto"/>
    </w:pPr>
    <w:rPr>
      <w:rFonts w:ascii="仿宋_GB2312" w:eastAsia="仿宋_GB2312"/>
      <w:sz w:val="30"/>
      <w:szCs w:val="30"/>
    </w:rPr>
  </w:style>
  <w:style w:type="character" w:styleId="992" w:customStyle="1">
    <w:name w:val="正文首行缩进 Char"/>
    <w:link w:val="991"/>
    <w:rPr>
      <w:rFonts w:ascii="仿宋_GB2312" w:hAnsi="Times New Roman" w:eastAsia="仿宋_GB2312" w:cs="Times New Roman"/>
      <w:sz w:val="30"/>
      <w:szCs w:val="30"/>
    </w:rPr>
  </w:style>
  <w:style w:type="paragraph" w:styleId="993">
    <w:name w:val="Body Text First Indent 2"/>
    <w:basedOn w:val="969"/>
    <w:link w:val="994"/>
    <w:pPr>
      <w:ind w:firstLine="420"/>
      <w:spacing w:line="360" w:lineRule="auto"/>
    </w:pPr>
    <w:rPr>
      <w:rFonts w:ascii="宋体" w:hAnsi="宋体" w:eastAsia="宋体"/>
      <w:sz w:val="21"/>
      <w:szCs w:val="20"/>
    </w:rPr>
  </w:style>
  <w:style w:type="character" w:styleId="994" w:customStyle="1">
    <w:name w:val="正文首行缩进 2 Char"/>
    <w:link w:val="993"/>
    <w:rPr>
      <w:rFonts w:ascii="宋体" w:hAnsi="宋体" w:eastAsia="宋体" w:cs="Times New Roman"/>
      <w:sz w:val="32"/>
      <w:szCs w:val="20"/>
    </w:rPr>
  </w:style>
  <w:style w:type="character" w:styleId="995">
    <w:name w:val="Strong"/>
    <w:qFormat/>
    <w:rPr>
      <w:b/>
      <w:bCs/>
    </w:rPr>
  </w:style>
  <w:style w:type="character" w:styleId="996">
    <w:name w:val="page number"/>
  </w:style>
  <w:style w:type="character" w:styleId="997">
    <w:name w:val="FollowedHyperlink"/>
    <w:rPr>
      <w:color w:val="800080"/>
      <w:u w:val="single"/>
    </w:rPr>
  </w:style>
  <w:style w:type="character" w:styleId="998">
    <w:name w:val="Emphasis"/>
    <w:qFormat/>
    <w:rPr>
      <w:i/>
    </w:rPr>
  </w:style>
  <w:style w:type="character" w:styleId="999">
    <w:name w:val="annotation reference"/>
    <w:qFormat/>
    <w:rPr>
      <w:sz w:val="21"/>
      <w:szCs w:val="21"/>
    </w:rPr>
  </w:style>
  <w:style w:type="character" w:styleId="1000" w:customStyle="1">
    <w:name w:val="font5 Char"/>
    <w:rPr>
      <w:rFonts w:ascii="宋体" w:hAnsi="宋体" w:eastAsia="宋体"/>
      <w:sz w:val="28"/>
      <w:szCs w:val="28"/>
      <w:lang w:val="en-US" w:eastAsia="zh-CN" w:bidi="ar-SA"/>
    </w:rPr>
  </w:style>
  <w:style w:type="character" w:styleId="1001" w:customStyle="1">
    <w:name w:val="二级目录 Char"/>
    <w:link w:val="1002"/>
    <w:rPr>
      <w:b/>
      <w:sz w:val="30"/>
      <w:szCs w:val="28"/>
    </w:rPr>
  </w:style>
  <w:style w:type="paragraph" w:styleId="1002" w:customStyle="1">
    <w:name w:val="二级目录"/>
    <w:next w:val="767"/>
    <w:link w:val="1001"/>
    <w:pPr>
      <w:numPr>
        <w:numId w:val="2"/>
      </w:numPr>
      <w:tabs>
        <w:tab w:val="left" w:pos="907" w:leader="none"/>
        <w:tab w:val="left" w:pos="1145" w:leader="none"/>
      </w:tabs>
      <w:outlineLvl w:val="1"/>
    </w:pPr>
    <w:rPr>
      <w:b/>
      <w:sz w:val="30"/>
      <w:szCs w:val="28"/>
    </w:rPr>
  </w:style>
  <w:style w:type="character" w:styleId="1003" w:customStyle="1">
    <w:name w:val="列出段落 Char"/>
    <w:link w:val="1004"/>
    <w:rPr>
      <w:rFonts w:ascii="Calibri" w:hAnsi="Calibri"/>
      <w:sz w:val="24"/>
      <w:szCs w:val="24"/>
      <w:lang w:eastAsia="en-US" w:bidi="en-US"/>
    </w:rPr>
  </w:style>
  <w:style w:type="paragraph" w:styleId="1004" w:customStyle="1">
    <w:name w:val="列出段落1"/>
    <w:basedOn w:val="767"/>
    <w:link w:val="1003"/>
    <w:qFormat/>
    <w:pPr>
      <w:contextualSpacing/>
      <w:ind w:left="720"/>
      <w:jc w:val="left"/>
      <w:widowControl/>
    </w:pPr>
    <w:rPr>
      <w:rFonts w:ascii="Calibri" w:hAnsi="Calibri"/>
      <w:sz w:val="24"/>
      <w:szCs w:val="24"/>
      <w:lang w:eastAsia="en-US" w:bidi="en-US"/>
    </w:rPr>
  </w:style>
  <w:style w:type="paragraph" w:styleId="1005" w:customStyle="1">
    <w:name w:val="Body Text(ch)"/>
    <w:basedOn w:val="767"/>
    <w:next w:val="967"/>
    <w:pPr>
      <w:spacing w:after="120"/>
    </w:pPr>
    <w:rPr>
      <w:rFonts w:ascii="宋体" w:hAnsi="Arial"/>
      <w:bCs/>
      <w:iCs/>
      <w:szCs w:val="24"/>
    </w:rPr>
  </w:style>
  <w:style w:type="paragraph" w:styleId="1006" w:customStyle="1">
    <w:name w:val="xl27"/>
    <w:basedOn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67"/>
    <w:pPr>
      <w:ind w:firstLine="200"/>
      <w:tabs>
        <w:tab w:val="left" w:pos="360" w:leader="none"/>
      </w:tabs>
    </w:pPr>
    <w:rPr>
      <w:sz w:val="28"/>
      <w:szCs w:val="30"/>
    </w:rPr>
  </w:style>
  <w:style w:type="paragraph" w:styleId="1009" w:customStyle="1">
    <w:name w:val="Char"/>
    <w:basedOn w:val="961"/>
    <w:rPr>
      <w:rFonts w:ascii="Tahoma" w:hAnsi="Tahoma"/>
      <w:sz w:val="24"/>
      <w:szCs w:val="24"/>
    </w:rPr>
  </w:style>
  <w:style w:type="paragraph" w:styleId="1010" w:customStyle="1">
    <w:name w:val="普通正文"/>
    <w:basedOn w:val="767"/>
    <w:pPr>
      <w:ind w:firstLine="480"/>
      <w:jc w:val="left"/>
      <w:spacing w:before="120" w:after="120" w:line="360" w:lineRule="auto"/>
    </w:pPr>
    <w:rPr>
      <w:rFonts w:ascii="Arial" w:hAnsi="Arial"/>
      <w:sz w:val="24"/>
      <w:szCs w:val="24"/>
    </w:rPr>
  </w:style>
  <w:style w:type="paragraph" w:styleId="1011" w:customStyle="1">
    <w:name w:val="table_lines"/>
    <w:basedOn w:val="767"/>
    <w:pPr>
      <w:jc w:val="left"/>
      <w:widowControl/>
    </w:pPr>
    <w:rPr>
      <w:sz w:val="20"/>
      <w:szCs w:val="20"/>
      <w:lang w:val="de-DE" w:eastAsia="de-DE"/>
    </w:rPr>
  </w:style>
  <w:style w:type="paragraph" w:styleId="1012" w:customStyle="1">
    <w:name w:val="附录1"/>
    <w:pPr>
      <w:ind w:left="907" w:hanging="907"/>
      <w:spacing w:before="240" w:line="600" w:lineRule="atLeast"/>
      <w:tabs>
        <w:tab w:val="left" w:pos="907" w:leader="none"/>
      </w:tabs>
    </w:pPr>
    <w:rPr>
      <w:rFonts w:ascii="Times New Roman" w:hAnsi="Times New Roman"/>
      <w:b/>
      <w:i/>
      <w:sz w:val="28"/>
    </w:rPr>
  </w:style>
  <w:style w:type="paragraph" w:styleId="1013" w:customStyle="1">
    <w:name w:val="font7"/>
    <w:basedOn w:val="767"/>
    <w:pPr>
      <w:jc w:val="left"/>
      <w:spacing w:before="100" w:beforeAutospacing="1" w:after="100" w:afterAutospacing="1"/>
      <w:widowControl/>
    </w:pPr>
    <w:rPr>
      <w:rFonts w:hint="eastAsia" w:ascii="宋体" w:hAnsi="宋体"/>
      <w:sz w:val="18"/>
      <w:szCs w:val="18"/>
    </w:rPr>
  </w:style>
  <w:style w:type="paragraph" w:styleId="1014" w:customStyle="1">
    <w:name w:val="Char Char Char Char"/>
    <w:basedOn w:val="961"/>
    <w:pPr>
      <w:spacing w:line="360" w:lineRule="auto"/>
    </w:pPr>
    <w:rPr>
      <w:rFonts w:ascii="Tahoma" w:hAnsi="Tahoma"/>
      <w:sz w:val="24"/>
      <w:szCs w:val="24"/>
    </w:rPr>
  </w:style>
  <w:style w:type="paragraph" w:styleId="1015" w:customStyle="1">
    <w:name w:val="4"/>
    <w:basedOn w:val="767"/>
    <w:next w:val="983"/>
    <w:pPr>
      <w:ind w:firstLine="420"/>
      <w:spacing w:line="360" w:lineRule="auto"/>
    </w:pPr>
    <w:rPr>
      <w:color w:val="ff0000"/>
      <w:sz w:val="24"/>
      <w:szCs w:val="24"/>
    </w:rPr>
  </w:style>
  <w:style w:type="paragraph" w:styleId="1016" w:customStyle="1">
    <w:name w:val="普通 (Web)"/>
    <w:basedOn w:val="767"/>
    <w:pPr>
      <w:jc w:val="left"/>
      <w:spacing w:before="100" w:beforeAutospacing="1" w:after="100" w:afterAutospacing="1"/>
      <w:widowControl/>
    </w:pPr>
    <w:rPr>
      <w:rFonts w:ascii="宋体" w:hAnsi="宋体"/>
      <w:sz w:val="24"/>
      <w:szCs w:val="24"/>
    </w:rPr>
  </w:style>
  <w:style w:type="paragraph" w:styleId="1017" w:customStyle="1">
    <w:name w:val="Char Char Char Char Char Char Char Char Char Char"/>
    <w:basedOn w:val="767"/>
    <w:pPr>
      <w:spacing w:line="360" w:lineRule="auto"/>
    </w:pPr>
    <w:rPr>
      <w:sz w:val="24"/>
      <w:szCs w:val="20"/>
    </w:rPr>
  </w:style>
  <w:style w:type="paragraph" w:styleId="1018" w:customStyle="1">
    <w:name w:val="样式1"/>
    <w:basedOn w:val="767"/>
    <w:pPr>
      <w:numPr>
        <w:numId w:val="3"/>
      </w:numPr>
      <w:tabs>
        <w:tab w:val="left" w:pos="709" w:leader="none"/>
      </w:tabs>
    </w:pPr>
    <w:rPr>
      <w:rFonts w:ascii="宋体" w:hAnsi="宋体"/>
    </w:rPr>
  </w:style>
  <w:style w:type="paragraph" w:styleId="1019" w:customStyle="1">
    <w:name w:val="font6"/>
    <w:basedOn w:val="767"/>
    <w:pPr>
      <w:jc w:val="left"/>
      <w:spacing w:before="100" w:beforeAutospacing="1" w:after="100" w:afterAutospacing="1"/>
      <w:widowControl/>
    </w:pPr>
    <w:rPr>
      <w:rFonts w:hint="eastAsia" w:ascii="宋体" w:hAnsi="宋体"/>
      <w:sz w:val="28"/>
      <w:szCs w:val="28"/>
      <w:u w:val="single"/>
    </w:rPr>
  </w:style>
  <w:style w:type="paragraph" w:styleId="1020" w:customStyle="1">
    <w:name w:val="xl25"/>
    <w:basedOn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图标"/>
    <w:basedOn w:val="767"/>
    <w:next w:val="7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2" w:customStyle="1">
    <w:name w:val="标题3"/>
    <w:basedOn w:val="767"/>
    <w:next w:val="767"/>
    <w:pPr>
      <w:ind w:firstLine="624"/>
      <w:spacing w:line="590" w:lineRule="atLeast"/>
    </w:pPr>
    <w:rPr>
      <w:rFonts w:ascii="方正黑体_GBK" w:eastAsia="方正黑体_GBK"/>
      <w:sz w:val="32"/>
      <w:szCs w:val="32"/>
    </w:rPr>
  </w:style>
  <w:style w:type="paragraph" w:styleId="1023" w:customStyle="1">
    <w:name w:val="xl24"/>
    <w:basedOn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Char Char Char Char Char Char Char"/>
    <w:basedOn w:val="767"/>
    <w:pPr>
      <w:jc w:val="left"/>
      <w:spacing w:after="160" w:line="240" w:lineRule="exact"/>
      <w:widowControl/>
    </w:pPr>
    <w:rPr>
      <w:rFonts w:ascii="Verdana" w:hAnsi="Verdana"/>
      <w:sz w:val="20"/>
      <w:szCs w:val="20"/>
      <w:lang w:eastAsia="en-US"/>
    </w:rPr>
  </w:style>
  <w:style w:type="paragraph" w:styleId="1026" w:customStyle="1">
    <w:name w:val="xl28"/>
    <w:basedOn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67"/>
    <w:pPr>
      <w:jc w:val="left"/>
      <w:spacing w:after="160" w:line="240" w:lineRule="exact"/>
      <w:widowControl/>
    </w:pPr>
    <w:rPr>
      <w:rFonts w:ascii="Verdana" w:hAnsi="Verdana"/>
      <w:sz w:val="20"/>
      <w:szCs w:val="20"/>
      <w:lang w:eastAsia="en-US"/>
    </w:rPr>
  </w:style>
  <w:style w:type="paragraph" w:styleId="1028" w:customStyle="1">
    <w:name w:val="xl30"/>
    <w:basedOn w:val="767"/>
    <w:pPr>
      <w:jc w:val="center"/>
      <w:spacing w:before="100" w:beforeAutospacing="1" w:after="100" w:afterAutospacing="1"/>
      <w:widowControl/>
    </w:pPr>
    <w:rPr>
      <w:rFonts w:ascii="宋体" w:hAnsi="宋体"/>
      <w:b/>
      <w:bCs/>
      <w:sz w:val="36"/>
      <w:szCs w:val="36"/>
    </w:rPr>
  </w:style>
  <w:style w:type="paragraph" w:styleId="1029" w:customStyle="1">
    <w:name w:val="Char Char Char Char"/>
    <w:basedOn w:val="961"/>
    <w:pPr>
      <w:spacing w:line="360" w:lineRule="auto"/>
    </w:pPr>
    <w:rPr>
      <w:rFonts w:ascii="Tahoma" w:hAnsi="Tahoma"/>
      <w:sz w:val="24"/>
      <w:szCs w:val="24"/>
    </w:rPr>
  </w:style>
  <w:style w:type="paragraph" w:styleId="1030" w:customStyle="1">
    <w:name w:val="table_1stline"/>
    <w:basedOn w:val="767"/>
    <w:pPr>
      <w:jc w:val="left"/>
      <w:spacing w:before="120"/>
      <w:widowControl/>
    </w:pPr>
    <w:rPr>
      <w:bCs/>
      <w:sz w:val="20"/>
      <w:szCs w:val="20"/>
      <w:lang w:val="de-DE" w:eastAsia="de-DE"/>
    </w:rPr>
  </w:style>
  <w:style w:type="paragraph" w:styleId="1031" w:customStyle="1">
    <w:name w:val="font5"/>
    <w:basedOn w:val="767"/>
    <w:pPr>
      <w:jc w:val="left"/>
      <w:spacing w:before="100" w:beforeAutospacing="1" w:after="100" w:afterAutospacing="1"/>
      <w:widowControl/>
    </w:pPr>
    <w:rPr>
      <w:rFonts w:hint="eastAsia" w:ascii="宋体" w:hAnsi="宋体"/>
      <w:sz w:val="28"/>
      <w:szCs w:val="28"/>
    </w:rPr>
  </w:style>
  <w:style w:type="paragraph" w:styleId="1032" w:customStyle="1">
    <w:name w:val="标题1"/>
    <w:basedOn w:val="767"/>
    <w:next w:val="76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name w:val="Revision"/>
    <w:uiPriority w:val="99"/>
    <w:semiHidden/>
    <w:rPr>
      <w:rFonts w:ascii="Times New Roman" w:hAnsi="Times New Roman"/>
      <w:sz w:val="21"/>
      <w:szCs w:val="21"/>
    </w:rPr>
  </w:style>
  <w:style w:type="paragraph" w:styleId="1034" w:customStyle="1">
    <w:name w:val="标题 21"/>
    <w:basedOn w:val="767"/>
    <w:next w:val="1035"/>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35" w:customStyle="1">
    <w:name w:val="正文缩进1"/>
    <w:basedOn w:val="767"/>
    <w:qFormat/>
    <w:pPr>
      <w:ind w:firstLine="420"/>
      <w:jc w:val="left"/>
      <w:widowControl/>
    </w:pPr>
    <w:rPr>
      <w:rFonts w:eastAsia="Arial"/>
      <w:color w:val="000000"/>
      <w:sz w:val="20"/>
      <w:lang w:eastAsia="en-US"/>
    </w:rPr>
  </w:style>
  <w:style w:type="paragraph" w:styleId="1036" w:customStyle="1">
    <w:name w:val="标题 411"/>
    <w:basedOn w:val="767"/>
    <w:next w:val="1037"/>
    <w:uiPriority w:val="9"/>
    <w:qFormat/>
    <w:pPr>
      <w:keepLines/>
      <w:keepNext/>
      <w:spacing w:before="280" w:after="290" w:line="376" w:lineRule="auto"/>
      <w:outlineLvl w:val="3"/>
    </w:pPr>
    <w:rPr>
      <w:rFonts w:ascii="Arial" w:hAnsi="Arial" w:eastAsia="黑体" w:cs="Arial"/>
      <w:b/>
      <w:bCs/>
      <w:sz w:val="28"/>
      <w:szCs w:val="28"/>
    </w:rPr>
  </w:style>
  <w:style w:type="paragraph" w:styleId="1037" w:customStyle="1">
    <w:name w:val="正文缩进11"/>
    <w:basedOn w:val="767"/>
    <w:qFormat/>
    <w:pPr>
      <w:ind w:firstLine="420"/>
    </w:pPr>
  </w:style>
  <w:style w:type="paragraph" w:styleId="1038" w:customStyle="1">
    <w:name w:val="标题 31"/>
    <w:basedOn w:val="767"/>
    <w:next w:val="1035"/>
    <w:qFormat/>
    <w:pPr>
      <w:jc w:val="left"/>
      <w:keepLines/>
      <w:keepNext/>
      <w:spacing w:before="260" w:after="260" w:line="416" w:lineRule="auto"/>
      <w:widowControl/>
      <w:outlineLvl w:val="2"/>
    </w:pPr>
    <w:rPr>
      <w:rFonts w:eastAsia="Arial"/>
      <w:b/>
      <w:bCs/>
      <w:color w:val="000000"/>
      <w:sz w:val="32"/>
      <w:szCs w:val="32"/>
      <w:lang w:eastAsia="en-US"/>
    </w:rPr>
  </w:style>
  <w:style w:type="paragraph" w:styleId="1039" w:customStyle="1">
    <w:name w:val="招标"/>
    <w:basedOn w:val="767"/>
    <w:qFormat/>
    <w:pPr>
      <w:ind w:firstLine="420"/>
      <w:jc w:val="left"/>
      <w:spacing w:line="400" w:lineRule="exact"/>
      <w:widowControl/>
    </w:pPr>
    <w:rPr>
      <w:rFonts w:ascii="宋体" w:hAnsi="宋体" w:eastAsia="Arial"/>
      <w:color w:val="000000"/>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C9D2C-3696-45C9-89CC-E7D669E64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15</cp:revision>
  <dcterms:created xsi:type="dcterms:W3CDTF">2026-06-02T08:43:00Z</dcterms:created>
  <dcterms:modified xsi:type="dcterms:W3CDTF">2026-06-12T03:19:20Z</dcterms:modified>
  <cp:version>917504</cp:version>
</cp:coreProperties>
</file>