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451"/>
        <w:jc w:val="center"/>
        <w:spacing w:line="1241" w:lineRule="exact"/>
        <w:rPr>
          <w:rFonts w:hint="eastAsia"/>
          <w:color w:val="auto"/>
          <w:sz w:val="24"/>
          <w:szCs w:val="24"/>
          <w:highlight w:val="none"/>
        </w:rPr>
      </w:pPr>
      <w:r>
        <w:rPr>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4351020</wp:posOffset>
                </wp:positionH>
                <wp:positionV relativeFrom="paragraph">
                  <wp:posOffset>-3175</wp:posOffset>
                </wp:positionV>
                <wp:extent cx="1461770" cy="11334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5494020" y="911225"/>
                          <a:ext cx="1461770" cy="1133475"/>
                        </a:xfrm>
                        <a:prstGeom prst="rect">
                          <a:avLst/>
                        </a:prstGeom>
                        <a:noFill/>
                        <a:ln w="6350">
                          <a:noFill/>
                        </a:ln>
                        <a:effectLst/>
                      </wps:spPr>
                      <wps:txbx>
                        <w:txbxContent>
                          <w:p>
                            <w:pPr>
                              <w:rPr>
                                <w:rFonts w:hint="eastAsia" w:ascii="Malgun Gothic" w:hAnsi="Malgun Gothic" w:eastAsia="Malgun Gothic" w:cs="Malgun Gothic"/>
                                <w:b/>
                                <w:bCs/>
                                <w:color w:val="000000" w:themeColor="text1"/>
                                <w:sz w:val="84"/>
                                <w:szCs w:val="84"/>
                                <w:lang w:val="en-US" w:eastAsia="zh-CN"/>
                                <w14:textFill>
                                  <w14:solidFill>
                                    <w14:schemeClr w14:val="tx1"/>
                                  </w14:solidFill>
                                </w14:textFill>
                              </w:rPr>
                            </w:pPr>
                            <w:r>
                              <w:rPr>
                                <w:rFonts w:hint="eastAsia" w:ascii="Malgun Gothic" w:hAnsi="Malgun Gothic" w:eastAsia="Malgun Gothic" w:cs="Malgun Gothic"/>
                                <w:b/>
                                <w:bCs/>
                                <w:color w:val="4f81bd" w:themeColor="accent1"/>
                                <w:sz w:val="56"/>
                                <w:szCs w:val="56"/>
                                <w:lang w:val="en-US" w:eastAsia="zh-CN"/>
                                <w14:textFill>
                                  <w14:solidFill>
                                    <w14:schemeClr w14:val="accent1"/>
                                  </w14:solidFill>
                                </w14:textFill>
                              </w:rPr>
                              <w:t xml:space="preserve">SUZI</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text;margin-left:342.6pt;mso-position-horizontal:absolute;mso-position-vertical-relative:text;margin-top:-0.2pt;mso-position-vertical:absolute;width:115.1pt;height:89.2pt;mso-wrap-distance-left:9.0pt;mso-wrap-distance-top:0.0pt;mso-wrap-distance-right:9.0pt;mso-wrap-distance-bottom:0.0pt;v-text-anchor:top;visibility:visible;" filled="f" stroked="f" strokeweight="0.50pt">
                <v:textbox inset="0,0,0,0">
                  <w:txbxContent>
                    <w:p>
                      <w:pPr>
                        <w:rPr>
                          <w:rFonts w:hint="eastAsia" w:ascii="Malgun Gothic" w:hAnsi="Malgun Gothic" w:eastAsia="Malgun Gothic" w:cs="Malgun Gothic"/>
                          <w:b/>
                          <w:bCs/>
                          <w:color w:val="000000" w:themeColor="text1"/>
                          <w:sz w:val="84"/>
                          <w:szCs w:val="84"/>
                          <w:lang w:val="en-US" w:eastAsia="zh-CN"/>
                          <w14:textFill>
                            <w14:solidFill>
                              <w14:schemeClr w14:val="tx1"/>
                            </w14:solidFill>
                          </w14:textFill>
                        </w:rPr>
                      </w:pPr>
                      <w:r>
                        <w:rPr>
                          <w:rFonts w:hint="eastAsia" w:ascii="Malgun Gothic" w:hAnsi="Malgun Gothic" w:eastAsia="Malgun Gothic" w:cs="Malgun Gothic"/>
                          <w:b/>
                          <w:bCs/>
                          <w:color w:val="4f81bd" w:themeColor="accent1"/>
                          <w:sz w:val="56"/>
                          <w:szCs w:val="56"/>
                          <w:lang w:val="en-US" w:eastAsia="zh-CN"/>
                          <w14:textFill>
                            <w14:solidFill>
                              <w14:schemeClr w14:val="accent1"/>
                            </w14:solidFill>
                          </w14:textFill>
                        </w:rPr>
                        <w:t xml:space="preserve">SUZI</w:t>
                      </w:r>
                      <w:r/>
                    </w:p>
                  </w:txbxContent>
                </v:textbox>
              </v:shape>
            </w:pict>
          </mc:Fallback>
        </mc:AlternateContent>
      </w:r>
      <w:r/>
    </w:p>
    <w:p>
      <w:pPr>
        <w:ind w:right="-94"/>
        <w:jc w:val="center"/>
        <w:spacing w:line="1241" w:lineRule="exact"/>
        <w:rPr>
          <w:rFonts w:hint="eastAsia" w:ascii="黑体" w:hAnsi="黑体" w:eastAsia="黑体" w:cs="黑体"/>
          <w:color w:val="auto"/>
          <w:sz w:val="21"/>
          <w:szCs w:val="21"/>
          <w:highlight w:val="none"/>
        </w:rPr>
        <w:outlineLvl w:val="9"/>
      </w:pPr>
      <w:r/>
      <w:bookmarkStart w:id="0" w:name="_Toc4100"/>
      <w:r/>
      <w:bookmarkStart w:id="1" w:name="_Toc19871"/>
      <w:r/>
      <w:r/>
    </w:p>
    <w:p>
      <w:pPr>
        <w:ind w:right="-94"/>
        <w:jc w:val="center"/>
        <w:spacing w:line="1241" w:lineRule="exact"/>
        <w:rPr>
          <w:rFonts w:hint="eastAsia" w:ascii="黑体" w:hAnsi="黑体" w:eastAsia="黑体" w:cs="黑体"/>
          <w:color w:val="auto"/>
          <w:sz w:val="100"/>
          <w:highlight w:val="none"/>
        </w:rPr>
        <w:outlineLvl w:val="0"/>
      </w:pPr>
      <w:r/>
      <w:bookmarkStart w:id="2" w:name="_Toc6814"/>
      <w:r/>
      <w:bookmarkStart w:id="3" w:name="_Toc8567"/>
      <w:r>
        <w:rPr>
          <w:rFonts w:hint="eastAsia" w:ascii="黑体" w:hAnsi="黑体" w:eastAsia="黑体" w:cs="黑体"/>
          <w:color w:val="auto"/>
          <w:sz w:val="84"/>
          <w:szCs w:val="84"/>
          <w:highlight w:val="none"/>
        </w:rPr>
        <w:t xml:space="preserve">竞争性磋商文件</w:t>
      </w:r>
      <w:bookmarkEnd w:id="0"/>
      <w:r/>
      <w:bookmarkEnd w:id="1"/>
      <w:r/>
      <w:bookmarkEnd w:id="2"/>
      <w:r/>
      <w:bookmarkEnd w:id="3"/>
      <w:r/>
      <w:r/>
    </w:p>
    <w:p>
      <w:pPr>
        <w:ind w:right="1334" w:firstLine="592"/>
        <w:jc w:val="left"/>
        <w:spacing w:line="266" w:lineRule="auto"/>
        <w:rPr>
          <w:rFonts w:hint="eastAsia" w:asciiTheme="majorEastAsia" w:hAnsiTheme="majorEastAsia" w:eastAsiaTheme="majorEastAsia" w:cstheme="majorEastAsia"/>
          <w:color w:val="auto"/>
          <w:spacing w:val="-12"/>
          <w:sz w:val="32"/>
          <w:szCs w:val="32"/>
          <w:highlight w:val="none"/>
        </w:rPr>
      </w:pPr>
      <w:r>
        <w:rPr>
          <w:rFonts w:hint="eastAsia" w:asciiTheme="majorEastAsia" w:hAnsiTheme="majorEastAsia" w:eastAsiaTheme="majorEastAsia" w:cstheme="majorEastAsia"/>
          <w:color w:val="auto"/>
          <w:spacing w:val="-12"/>
          <w:sz w:val="32"/>
          <w:szCs w:val="32"/>
          <w:highlight w:val="none"/>
        </w:rPr>
      </w:r>
      <w:r/>
    </w:p>
    <w:p>
      <w:pPr>
        <w:ind w:left="0" w:right="0" w:firstLine="0"/>
        <w:jc w:val="center"/>
        <w:pageBreakBefore w:val="0"/>
        <w:spacing w:line="360" w:lineRule="auto"/>
        <w:widowControl w:val="off"/>
        <w:rPr>
          <w:rFonts w:hint="eastAsia" w:ascii="宋体" w:hAnsi="宋体" w:cs="宋体"/>
          <w:color w:val="auto"/>
          <w:spacing w:val="-12"/>
          <w:sz w:val="36"/>
          <w:szCs w:val="36"/>
          <w:highlight w:val="none"/>
          <w:lang w:eastAsia="zh-CN"/>
        </w:rPr>
        <w:outlineLvl w:val="0"/>
      </w:pPr>
      <w:r/>
      <w:bookmarkStart w:id="4" w:name="_Toc32002"/>
      <w:r/>
      <w:bookmarkStart w:id="5" w:name="_Toc2173"/>
      <w:r>
        <w:rPr>
          <w:rFonts w:hint="eastAsia" w:ascii="宋体" w:hAnsi="宋体" w:eastAsia="宋体" w:cs="宋体"/>
          <w:color w:val="auto"/>
          <w:spacing w:val="-12"/>
          <w:sz w:val="36"/>
          <w:szCs w:val="36"/>
          <w:highlight w:val="none"/>
        </w:rPr>
        <w:t xml:space="preserve">项目名称：</w:t>
      </w:r>
      <w:bookmarkEnd w:id="4"/>
      <w:r>
        <w:rPr>
          <w:rFonts w:hint="eastAsia" w:ascii="宋体" w:hAnsi="宋体" w:cs="宋体"/>
          <w:color w:val="auto"/>
          <w:spacing w:val="-12"/>
          <w:sz w:val="36"/>
          <w:szCs w:val="36"/>
          <w:highlight w:val="none"/>
          <w:lang w:eastAsia="zh-CN"/>
        </w:rPr>
        <w:t xml:space="preserve">第四届江苏省退役军人创业创新大赛</w:t>
      </w:r>
      <w:bookmarkEnd w:id="5"/>
      <w:r/>
      <w:r/>
    </w:p>
    <w:p>
      <w:pPr>
        <w:ind w:left="0" w:right="0" w:firstLine="0"/>
        <w:jc w:val="center"/>
        <w:pageBreakBefore w:val="0"/>
        <w:spacing w:line="360" w:lineRule="auto"/>
        <w:widowControl w:val="off"/>
        <w:rPr>
          <w:rFonts w:hint="eastAsia" w:ascii="宋体" w:hAnsi="宋体" w:eastAsia="宋体" w:cs="宋体"/>
          <w:color w:val="auto"/>
          <w:spacing w:val="-12"/>
          <w:sz w:val="36"/>
          <w:szCs w:val="36"/>
          <w:highlight w:val="none"/>
          <w:lang w:eastAsia="zh-CN"/>
        </w:rPr>
        <w:outlineLvl w:val="0"/>
      </w:pPr>
      <w:r/>
      <w:bookmarkStart w:id="6" w:name="_Toc9342"/>
      <w:r>
        <w:rPr>
          <w:rFonts w:hint="eastAsia" w:ascii="宋体" w:hAnsi="宋体" w:cs="宋体"/>
          <w:color w:val="auto"/>
          <w:spacing w:val="-12"/>
          <w:sz w:val="36"/>
          <w:szCs w:val="36"/>
          <w:highlight w:val="none"/>
          <w:lang w:eastAsia="zh-CN"/>
        </w:rPr>
        <w:t xml:space="preserve">技术支持和会展服务</w:t>
      </w:r>
      <w:bookmarkEnd w:id="6"/>
      <w:r/>
      <w:r/>
    </w:p>
    <w:p>
      <w:pPr>
        <w:ind w:left="0" w:right="0" w:firstLine="0"/>
        <w:jc w:val="center"/>
        <w:keepLines w:val="0"/>
        <w:keepNext w:val="0"/>
        <w:pageBreakBefore w:val="0"/>
        <w:spacing w:line="360" w:lineRule="auto"/>
        <w:widowControl w:val="off"/>
        <w:rPr>
          <w:rFonts w:hint="eastAsia" w:ascii="宋体" w:hAnsi="宋体" w:eastAsia="宋体" w:cs="宋体"/>
          <w:color w:val="auto"/>
          <w:spacing w:val="-12"/>
          <w:sz w:val="32"/>
          <w:szCs w:val="32"/>
          <w:highlight w:val="none"/>
          <w:lang w:val="en-US" w:eastAsia="zh-CN"/>
        </w:rPr>
      </w:pPr>
      <w:r>
        <w:rPr>
          <w:rFonts w:hint="eastAsia" w:ascii="宋体" w:hAnsi="宋体" w:eastAsia="宋体" w:cs="宋体"/>
          <w:color w:val="auto"/>
          <w:spacing w:val="-12"/>
          <w:sz w:val="32"/>
          <w:szCs w:val="32"/>
          <w:highlight w:val="none"/>
          <w:lang w:val="en-US" w:eastAsia="zh-CN"/>
        </w:rPr>
      </w:r>
      <w:r/>
    </w:p>
    <w:p>
      <w:pPr>
        <w:ind w:left="0" w:right="0" w:firstLine="0"/>
        <w:jc w:val="center"/>
        <w:keepLines w:val="0"/>
        <w:keepNext w:val="0"/>
        <w:pageBreakBefore w:val="0"/>
        <w:spacing w:line="360" w:lineRule="auto"/>
        <w:widowControl w:val="off"/>
        <w:rPr>
          <w:rFonts w:hint="eastAsia" w:ascii="宋体" w:hAnsi="宋体" w:eastAsia="宋体" w:cs="宋体"/>
          <w:color w:val="auto"/>
          <w:spacing w:val="-12"/>
          <w:sz w:val="36"/>
          <w:szCs w:val="36"/>
          <w:highlight w:val="none"/>
        </w:rPr>
        <w:outlineLvl w:val="0"/>
      </w:pPr>
      <w:r/>
      <w:bookmarkStart w:id="7" w:name="_Toc4514"/>
      <w:r/>
      <w:bookmarkStart w:id="8" w:name="_Toc28974"/>
      <w:r>
        <w:rPr>
          <w:rFonts w:hint="eastAsia" w:ascii="宋体" w:hAnsi="宋体" w:eastAsia="宋体" w:cs="宋体"/>
          <w:color w:val="auto"/>
          <w:spacing w:val="-12"/>
          <w:sz w:val="36"/>
          <w:szCs w:val="36"/>
          <w:highlight w:val="none"/>
        </w:rPr>
        <w:t xml:space="preserve">项目编号：</w:t>
      </w:r>
      <w:bookmarkEnd w:id="7"/>
      <w:r/>
      <w:bookmarkEnd w:id="8"/>
      <w:r>
        <w:rPr>
          <w:rFonts w:hint="eastAsia" w:ascii="宋体" w:hAnsi="宋体" w:eastAsia="宋体" w:cs="宋体"/>
          <w:color w:val="auto"/>
          <w:spacing w:val="-12"/>
          <w:sz w:val="36"/>
          <w:szCs w:val="36"/>
          <w:highlight w:val="none"/>
        </w:rPr>
        <w:t xml:space="preserve">JSZC-320000-JSSZ-C2026-0030</w:t>
      </w:r>
      <w:r/>
    </w:p>
    <w:p>
      <w:pPr>
        <w:ind w:left="0" w:right="0" w:firstLine="0"/>
        <w:jc w:val="center"/>
        <w:keepLines w:val="0"/>
        <w:keepNext w:val="0"/>
        <w:pageBreakBefore w:val="0"/>
        <w:spacing w:line="360" w:lineRule="auto"/>
        <w:widowControl w:val="off"/>
        <w:rPr>
          <w:rFonts w:hint="default" w:ascii="宋体" w:hAnsi="宋体" w:eastAsia="宋体" w:cs="宋体"/>
          <w:color w:val="auto"/>
          <w:spacing w:val="-12"/>
          <w:sz w:val="36"/>
          <w:szCs w:val="36"/>
          <w:highlight w:val="none"/>
          <w:lang w:val="en-US" w:eastAsia="zh-CN"/>
        </w:rPr>
        <w:outlineLvl w:val="0"/>
      </w:pPr>
      <w:r>
        <w:rPr>
          <w:rFonts w:hint="default" w:ascii="宋体" w:hAnsi="宋体" w:eastAsia="宋体" w:cs="宋体"/>
          <w:color w:val="auto"/>
          <w:spacing w:val="-12"/>
          <w:sz w:val="36"/>
          <w:szCs w:val="36"/>
          <w:highlight w:val="none"/>
          <w:lang w:val="en-US" w:eastAsia="zh-CN"/>
        </w:rPr>
      </w:r>
      <w:r/>
    </w:p>
    <w:p>
      <w:pPr>
        <w:ind w:left="0" w:right="0" w:firstLine="0"/>
        <w:jc w:val="center"/>
        <w:pageBreakBefore w:val="0"/>
        <w:spacing w:line="360" w:lineRule="auto"/>
        <w:widowControl w:val="off"/>
        <w:rPr>
          <w:rFonts w:hint="default" w:ascii="宋体" w:hAnsi="宋体" w:eastAsia="宋体" w:cs="宋体"/>
          <w:color w:val="auto"/>
          <w:spacing w:val="-12"/>
          <w:sz w:val="32"/>
          <w:szCs w:val="32"/>
          <w:highlight w:val="none"/>
          <w:lang w:val="en-US" w:eastAsia="zh-CN"/>
        </w:rPr>
      </w:pPr>
      <w:r>
        <w:rPr>
          <w:rFonts w:hint="default" w:ascii="宋体" w:hAnsi="宋体" w:eastAsia="宋体" w:cs="宋体"/>
          <w:color w:val="auto"/>
          <w:spacing w:val="-12"/>
          <w:sz w:val="32"/>
          <w:szCs w:val="32"/>
          <w:highlight w:val="none"/>
          <w:lang w:val="en-US" w:eastAsia="zh-CN"/>
        </w:rPr>
      </w:r>
      <w:r/>
    </w:p>
    <w:p>
      <w:pPr>
        <w:ind w:left="0" w:right="0" w:firstLine="0"/>
        <w:jc w:val="center"/>
        <w:pageBreakBefore w:val="0"/>
        <w:spacing w:line="360" w:lineRule="auto"/>
        <w:widowControl w:val="off"/>
        <w:rPr>
          <w:rFonts w:hint="default" w:ascii="宋体" w:hAnsi="宋体" w:eastAsia="宋体" w:cs="宋体"/>
          <w:b/>
          <w:bCs/>
          <w:color w:val="auto"/>
          <w:spacing w:val="-12"/>
          <w:sz w:val="32"/>
          <w:szCs w:val="32"/>
          <w:highlight w:val="none"/>
          <w:lang w:val="en-US" w:eastAsia="zh-CN"/>
        </w:rPr>
      </w:pPr>
      <w:r>
        <w:rPr>
          <w:rFonts w:hint="eastAsia" w:ascii="宋体" w:hAnsi="宋体" w:cs="宋体"/>
          <w:b/>
          <w:bCs/>
          <w:color w:val="auto"/>
          <w:spacing w:val="-12"/>
          <w:sz w:val="32"/>
          <w:szCs w:val="32"/>
          <w:highlight w:val="none"/>
          <w:lang w:val="en-US" w:eastAsia="zh-CN"/>
        </w:rPr>
        <w:t xml:space="preserve">（服务类项目，非专门面向中小企业）</w:t>
      </w:r>
      <w:r/>
    </w:p>
    <w:p>
      <w:pPr>
        <w:pStyle w:val="742"/>
        <w:ind w:left="0" w:right="0" w:firstLine="0"/>
        <w:jc w:val="center"/>
        <w:pageBreakBefore w:val="0"/>
        <w:spacing w:before="0" w:after="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jc w:val="center"/>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both"/>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ight="0" w:firstLine="0"/>
        <w:jc w:val="center"/>
        <w:pageBreakBefore w:val="0"/>
        <w:spacing w:line="360" w:lineRule="auto"/>
        <w:widowControl w:val="off"/>
        <w:rPr>
          <w:rFonts w:hint="eastAsia" w:ascii="宋体" w:hAnsi="宋体" w:eastAsia="宋体" w:cs="宋体"/>
          <w:b/>
          <w:bCs/>
          <w:color w:val="auto"/>
          <w:spacing w:val="-12"/>
          <w:sz w:val="32"/>
          <w:szCs w:val="32"/>
          <w:highlight w:val="none"/>
          <w:lang w:eastAsia="zh-CN"/>
        </w:rPr>
      </w:pPr>
      <w:r>
        <w:rPr>
          <w:rFonts w:hint="eastAsia" w:ascii="宋体" w:hAnsi="宋体" w:eastAsia="宋体" w:cs="宋体"/>
          <w:b/>
          <w:bCs/>
          <w:color w:val="auto"/>
          <w:spacing w:val="-12"/>
          <w:sz w:val="32"/>
          <w:szCs w:val="32"/>
          <w:highlight w:val="none"/>
        </w:rPr>
        <w:t xml:space="preserve">采 购 人：</w:t>
      </w:r>
      <w:r>
        <w:rPr>
          <w:rFonts w:hint="eastAsia" w:ascii="宋体" w:hAnsi="宋体" w:cs="宋体"/>
          <w:b/>
          <w:bCs/>
          <w:color w:val="auto"/>
          <w:spacing w:val="-12"/>
          <w:sz w:val="32"/>
          <w:szCs w:val="32"/>
          <w:highlight w:val="none"/>
          <w:lang w:eastAsia="zh-CN"/>
        </w:rPr>
        <w:t xml:space="preserve">江苏省退役军人事务厅</w:t>
      </w:r>
      <w:r/>
    </w:p>
    <w:p>
      <w:pPr>
        <w:ind w:left="0" w:right="0" w:firstLine="0"/>
        <w:jc w:val="center"/>
        <w:pageBreakBefore w:val="0"/>
        <w:spacing w:line="360" w:lineRule="auto"/>
        <w:widowControl w:val="off"/>
        <w:rPr>
          <w:rFonts w:hint="eastAsia" w:ascii="宋体" w:hAnsi="宋体" w:eastAsia="宋体" w:cs="宋体"/>
          <w:b/>
          <w:bCs/>
          <w:color w:val="auto"/>
          <w:spacing w:val="-12"/>
          <w:sz w:val="32"/>
          <w:szCs w:val="32"/>
          <w:highlight w:val="none"/>
        </w:rPr>
      </w:pPr>
      <w:r>
        <w:rPr>
          <w:rFonts w:hint="eastAsia" w:ascii="宋体" w:hAnsi="宋体" w:eastAsia="宋体" w:cs="宋体"/>
          <w:b/>
          <w:bCs/>
          <w:color w:val="auto"/>
          <w:spacing w:val="-12"/>
          <w:sz w:val="32"/>
          <w:szCs w:val="32"/>
          <w:highlight w:val="none"/>
        </w:rPr>
        <w:t xml:space="preserve">招标代理：江苏苏咨工程咨询有限责任公司</w:t>
      </w:r>
      <w:r/>
    </w:p>
    <w:p>
      <w:pPr>
        <w:ind w:left="0" w:right="0" w:firstLine="0"/>
        <w:jc w:val="center"/>
        <w:pageBreakBefore w:val="0"/>
        <w:spacing w:line="360" w:lineRule="auto"/>
        <w:widowControl w:val="off"/>
        <w:rPr>
          <w:rFonts w:hint="eastAsia" w:ascii="宋体" w:hAnsi="宋体" w:eastAsia="宋体" w:cs="宋体"/>
          <w:b/>
          <w:bCs/>
          <w:color w:val="auto"/>
          <w:spacing w:val="-12"/>
          <w:sz w:val="32"/>
          <w:szCs w:val="32"/>
          <w:highlight w:val="none"/>
        </w:rPr>
      </w:pPr>
      <w:r>
        <w:rPr>
          <w:rFonts w:hint="eastAsia" w:ascii="宋体" w:hAnsi="宋体" w:cs="宋体"/>
          <w:b/>
          <w:bCs/>
          <w:color w:val="auto"/>
          <w:spacing w:val="-12"/>
          <w:sz w:val="32"/>
          <w:szCs w:val="32"/>
          <w:highlight w:val="none"/>
          <w:lang w:val="en-US" w:eastAsia="zh-CN"/>
        </w:rPr>
        <w:t xml:space="preserve">日期：</w:t>
      </w:r>
      <w:r>
        <w:rPr>
          <w:rFonts w:hint="eastAsia" w:ascii="宋体" w:hAnsi="宋体" w:eastAsia="宋体" w:cs="宋体"/>
          <w:b/>
          <w:bCs/>
          <w:color w:val="auto"/>
          <w:spacing w:val="-12"/>
          <w:sz w:val="32"/>
          <w:szCs w:val="32"/>
          <w:highlight w:val="none"/>
        </w:rPr>
        <w:t xml:space="preserve">二〇二</w:t>
      </w:r>
      <w:r>
        <w:rPr>
          <w:rFonts w:hint="eastAsia" w:ascii="宋体" w:hAnsi="宋体" w:cs="宋体"/>
          <w:b/>
          <w:bCs/>
          <w:color w:val="auto"/>
          <w:spacing w:val="-12"/>
          <w:sz w:val="32"/>
          <w:szCs w:val="32"/>
          <w:highlight w:val="none"/>
          <w:lang w:val="en-US" w:eastAsia="zh-CN"/>
        </w:rPr>
        <w:t xml:space="preserve">六</w:t>
      </w:r>
      <w:r>
        <w:rPr>
          <w:rFonts w:hint="eastAsia" w:ascii="宋体" w:hAnsi="宋体" w:eastAsia="宋体" w:cs="宋体"/>
          <w:b/>
          <w:bCs/>
          <w:color w:val="auto"/>
          <w:spacing w:val="-12"/>
          <w:sz w:val="32"/>
          <w:szCs w:val="32"/>
          <w:highlight w:val="none"/>
        </w:rPr>
        <w:t xml:space="preserve">年</w:t>
      </w:r>
      <w:r>
        <w:rPr>
          <w:rFonts w:hint="eastAsia" w:ascii="宋体" w:hAnsi="宋体" w:cs="宋体"/>
          <w:b/>
          <w:bCs/>
          <w:color w:val="auto"/>
          <w:spacing w:val="-12"/>
          <w:sz w:val="32"/>
          <w:szCs w:val="32"/>
          <w:highlight w:val="none"/>
          <w:lang w:val="en-US" w:eastAsia="zh-CN"/>
        </w:rPr>
        <w:t xml:space="preserve">六</w:t>
      </w:r>
      <w:r>
        <w:rPr>
          <w:rFonts w:hint="eastAsia" w:ascii="宋体" w:hAnsi="宋体" w:eastAsia="宋体" w:cs="宋体"/>
          <w:b/>
          <w:bCs/>
          <w:color w:val="auto"/>
          <w:spacing w:val="-12"/>
          <w:sz w:val="32"/>
          <w:szCs w:val="32"/>
          <w:highlight w:val="none"/>
        </w:rPr>
        <w:t xml:space="preserve">月</w:t>
      </w:r>
      <w:r/>
    </w:p>
    <w:p>
      <w:pPr>
        <w:ind w:right="452"/>
        <w:jc w:val="center"/>
        <w:spacing w:line="567" w:lineRule="exact"/>
        <w:tabs>
          <w:tab w:val="left" w:pos="1447" w:leader="none"/>
        </w:tabs>
        <w:rPr>
          <w:rFonts w:hint="eastAsia" w:ascii="宋体" w:hAnsi="宋体" w:eastAsia="宋体" w:cs="宋体"/>
          <w:b/>
          <w:bCs/>
          <w:color w:val="auto"/>
          <w:sz w:val="32"/>
          <w:szCs w:val="32"/>
          <w:highlight w:val="none"/>
        </w:rPr>
        <w:sectPr>
          <w:footnotePr/>
          <w:endnotePr/>
          <w:type w:val="nextPage"/>
          <w:pgSz w:w="11906" w:h="16838" w:orient="portrait"/>
          <w:pgMar w:top="1417" w:right="1814" w:bottom="1417" w:left="1814" w:header="851" w:footer="992" w:gutter="0"/>
          <w:cols w:num="1" w:sep="0" w:space="425" w:equalWidth="1"/>
          <w:docGrid w:linePitch="360"/>
        </w:sectPr>
        <w:outlineLvl w:val="9"/>
      </w:pPr>
      <w:r>
        <w:rPr>
          <w:rFonts w:hint="eastAsia" w:ascii="宋体" w:hAnsi="宋体" w:eastAsia="宋体" w:cs="宋体"/>
          <w:b/>
          <w:bCs/>
          <w:color w:val="auto"/>
          <w:sz w:val="32"/>
          <w:szCs w:val="32"/>
          <w:highlight w:val="none"/>
        </w:rPr>
      </w:r>
      <w:r/>
    </w:p>
    <w:sdt>
      <w:sdtPr>
        <w15:appearance w15:val="boundingBox"/>
        <w15:color w:val="dbdbdb"/>
        <w:id w:val="147454883"/>
        <w:docPartObj>
          <w:docPartGallery w:val="Table of Contents"/>
          <w:docPartUnique w:val="true"/>
        </w:docPartObj>
        <w:rPr>
          <w:rFonts w:hint="default" w:ascii="宋体" w:hAnsi="宋体" w:eastAsia="宋体" w:cs="Times New Roman"/>
          <w:b/>
          <w:bCs/>
          <w:sz w:val="36"/>
          <w:szCs w:val="36"/>
          <w:highlight w:val="none"/>
          <w:lang w:val="en-US" w:eastAsia="zh-CN" w:bidi="ar-SA"/>
        </w:rPr>
      </w:sdtPr>
      <w:sdtContent>
        <w:p>
          <w:pPr>
            <w:ind w:left="0" w:right="0" w:firstLine="0"/>
            <w:jc w:val="center"/>
            <w:spacing w:before="0" w:after="0" w:line="240" w:lineRule="auto"/>
            <w:rPr>
              <w:b/>
              <w:bCs/>
              <w:sz w:val="36"/>
              <w:szCs w:val="36"/>
              <w:highlight w:val="none"/>
            </w:rPr>
          </w:pPr>
          <w:r/>
          <w:bookmarkStart w:id="9" w:name="_Toc120614210"/>
          <w:r/>
          <w:bookmarkStart w:id="10" w:name="_Toc523127445"/>
          <w:r/>
          <w:bookmarkStart w:id="11" w:name="_Toc513029200"/>
          <w:r/>
          <w:bookmarkStart w:id="12" w:name="_Toc16938516"/>
          <w:r/>
          <w:bookmarkStart w:id="13" w:name="_Toc479757206"/>
          <w:r/>
          <w:bookmarkStart w:id="14" w:name="_Toc20823272"/>
          <w:r>
            <w:rPr>
              <w:rFonts w:ascii="宋体" w:hAnsi="宋体" w:eastAsia="宋体"/>
              <w:b/>
              <w:bCs/>
              <w:sz w:val="36"/>
              <w:szCs w:val="36"/>
              <w:highlight w:val="none"/>
            </w:rPr>
            <w:t xml:space="preserve">目</w:t>
          </w:r>
          <w:r>
            <w:rPr>
              <w:rFonts w:hint="eastAsia" w:ascii="宋体" w:hAnsi="宋体" w:eastAsia="宋体"/>
              <w:b/>
              <w:bCs/>
              <w:sz w:val="36"/>
              <w:szCs w:val="36"/>
              <w:highlight w:val="none"/>
              <w:lang w:val="en-US" w:eastAsia="zh-CN"/>
            </w:rPr>
            <w:t xml:space="preserve">  </w:t>
          </w:r>
          <w:r>
            <w:rPr>
              <w:rFonts w:ascii="宋体" w:hAnsi="宋体" w:eastAsia="宋体"/>
              <w:b/>
              <w:bCs/>
              <w:sz w:val="36"/>
              <w:szCs w:val="36"/>
              <w:highlight w:val="none"/>
            </w:rPr>
            <w:t xml:space="preserve">录</w:t>
          </w:r>
          <w:r/>
        </w:p>
        <w:p>
          <w:pPr>
            <w:pStyle w:val="765"/>
            <w:tabs>
              <w:tab w:val="right" w:pos="8278" w:leader="dot"/>
            </w:tabs>
            <w:rPr>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p>
        <w:p>
          <w:pPr>
            <w:pStyle w:val="765"/>
            <w:spacing w:line="480" w:lineRule="auto"/>
            <w:tabs>
              <w:tab w:val="right" w:pos="8278" w:leader="dot"/>
            </w:tabs>
            <w:rPr>
              <w:b/>
              <w:bCs/>
              <w:sz w:val="24"/>
              <w:szCs w:val="24"/>
              <w:highlight w:val="none"/>
            </w:rPr>
          </w:pPr>
          <w:r>
            <w:rPr>
              <w:b/>
              <w:bCs/>
              <w:color w:val="auto"/>
              <w:sz w:val="24"/>
              <w:szCs w:val="24"/>
              <w:highlight w:val="none"/>
            </w:rPr>
            <w:fldChar w:fldCharType="begin"/>
          </w:r>
          <w:r>
            <w:rPr>
              <w:b/>
              <w:bCs/>
              <w:sz w:val="24"/>
              <w:szCs w:val="24"/>
              <w:highlight w:val="none"/>
            </w:rPr>
            <w:instrText xml:space="preserve"> HYPERLINK \l _Toc11572 </w:instrText>
          </w:r>
          <w:r>
            <w:rPr>
              <w:b/>
              <w:bCs/>
              <w:sz w:val="24"/>
              <w:szCs w:val="24"/>
              <w:highlight w:val="none"/>
            </w:rPr>
            <w:fldChar w:fldCharType="separate"/>
          </w:r>
          <w:r>
            <w:rPr>
              <w:rFonts w:hint="eastAsia" w:ascii="宋体" w:hAnsi="宋体" w:eastAsia="宋体" w:cs="宋体"/>
              <w:b/>
              <w:bCs/>
              <w:sz w:val="24"/>
              <w:szCs w:val="44"/>
              <w:highlight w:val="none"/>
            </w:rPr>
            <w:t xml:space="preserve">第一章  竞争性磋商公告</w:t>
          </w:r>
          <w:r>
            <w:rPr>
              <w:b/>
              <w:bCs/>
              <w:sz w:val="24"/>
              <w:szCs w:val="24"/>
              <w:highlight w:val="none"/>
            </w:rPr>
            <w:tab/>
          </w:r>
          <w:r>
            <w:rPr>
              <w:b/>
              <w:bCs/>
              <w:sz w:val="24"/>
              <w:szCs w:val="24"/>
              <w:highlight w:val="none"/>
            </w:rPr>
            <w:fldChar w:fldCharType="begin"/>
          </w:r>
          <w:r>
            <w:rPr>
              <w:b/>
              <w:bCs/>
              <w:sz w:val="24"/>
              <w:szCs w:val="24"/>
              <w:highlight w:val="none"/>
            </w:rPr>
            <w:instrText xml:space="preserve"> PAGEREF _Toc11572 \h </w:instrText>
          </w:r>
          <w:r>
            <w:rPr>
              <w:b/>
              <w:bCs/>
              <w:sz w:val="24"/>
              <w:szCs w:val="24"/>
              <w:highlight w:val="none"/>
            </w:rPr>
            <w:fldChar w:fldCharType="separate"/>
          </w:r>
          <w:r>
            <w:rPr>
              <w:b/>
              <w:bCs/>
              <w:sz w:val="24"/>
              <w:szCs w:val="24"/>
              <w:highlight w:val="none"/>
            </w:rPr>
            <w:t xml:space="preserve">1</w:t>
          </w:r>
          <w:r>
            <w:rPr>
              <w:b/>
              <w:bCs/>
              <w:sz w:val="24"/>
              <w:szCs w:val="24"/>
              <w:highlight w:val="none"/>
            </w:rPr>
            <w:fldChar w:fldCharType="end"/>
          </w:r>
          <w:r>
            <w:rPr>
              <w:b/>
              <w:bCs/>
              <w:color w:val="auto"/>
              <w:sz w:val="24"/>
              <w:szCs w:val="24"/>
              <w:highlight w:val="none"/>
            </w:rPr>
            <w:fldChar w:fldCharType="end"/>
          </w:r>
          <w:r/>
        </w:p>
        <w:p>
          <w:pPr>
            <w:pStyle w:val="765"/>
            <w:spacing w:line="480" w:lineRule="auto"/>
            <w:tabs>
              <w:tab w:val="right" w:pos="8278" w:leader="dot"/>
            </w:tabs>
            <w:rPr>
              <w:b/>
              <w:bCs/>
              <w:sz w:val="24"/>
              <w:szCs w:val="24"/>
              <w:highlight w:val="none"/>
            </w:rPr>
          </w:pPr>
          <w:r>
            <w:rPr>
              <w:b/>
              <w:bCs/>
              <w:color w:val="auto"/>
              <w:sz w:val="24"/>
              <w:szCs w:val="24"/>
              <w:highlight w:val="none"/>
            </w:rPr>
            <w:fldChar w:fldCharType="begin"/>
          </w:r>
          <w:r>
            <w:rPr>
              <w:b/>
              <w:bCs/>
              <w:sz w:val="24"/>
              <w:szCs w:val="24"/>
              <w:highlight w:val="none"/>
            </w:rPr>
            <w:instrText xml:space="preserve"> HYPERLINK \l _Toc17999 </w:instrText>
          </w:r>
          <w:r>
            <w:rPr>
              <w:b/>
              <w:bCs/>
              <w:sz w:val="24"/>
              <w:szCs w:val="24"/>
              <w:highlight w:val="none"/>
            </w:rPr>
            <w:fldChar w:fldCharType="separate"/>
          </w:r>
          <w:r>
            <w:rPr>
              <w:rFonts w:hint="eastAsia" w:ascii="宋体" w:hAnsi="宋体" w:eastAsia="宋体" w:cs="宋体"/>
              <w:b/>
              <w:bCs/>
              <w:sz w:val="24"/>
              <w:szCs w:val="44"/>
              <w:highlight w:val="none"/>
              <w:lang w:val="en-US" w:eastAsia="zh-CN" w:bidi="ar-SA"/>
            </w:rPr>
            <w:t xml:space="preserve">第二章  供应商须知</w:t>
          </w:r>
          <w:r>
            <w:rPr>
              <w:b/>
              <w:bCs/>
              <w:sz w:val="24"/>
              <w:szCs w:val="24"/>
              <w:highlight w:val="none"/>
            </w:rPr>
            <w:tab/>
          </w:r>
          <w:r>
            <w:rPr>
              <w:b/>
              <w:bCs/>
              <w:sz w:val="24"/>
              <w:szCs w:val="24"/>
              <w:highlight w:val="none"/>
            </w:rPr>
            <w:fldChar w:fldCharType="begin"/>
          </w:r>
          <w:r>
            <w:rPr>
              <w:b/>
              <w:bCs/>
              <w:sz w:val="24"/>
              <w:szCs w:val="24"/>
              <w:highlight w:val="none"/>
            </w:rPr>
            <w:instrText xml:space="preserve"> PAGEREF _Toc17999 \h </w:instrText>
          </w:r>
          <w:r>
            <w:rPr>
              <w:b/>
              <w:bCs/>
              <w:sz w:val="24"/>
              <w:szCs w:val="24"/>
              <w:highlight w:val="none"/>
            </w:rPr>
            <w:fldChar w:fldCharType="separate"/>
          </w:r>
          <w:r>
            <w:rPr>
              <w:b/>
              <w:bCs/>
              <w:sz w:val="24"/>
              <w:szCs w:val="24"/>
              <w:highlight w:val="none"/>
            </w:rPr>
            <w:t xml:space="preserve">6</w:t>
          </w:r>
          <w:r>
            <w:rPr>
              <w:b/>
              <w:bCs/>
              <w:sz w:val="24"/>
              <w:szCs w:val="24"/>
              <w:highlight w:val="none"/>
            </w:rPr>
            <w:fldChar w:fldCharType="end"/>
          </w:r>
          <w:r>
            <w:rPr>
              <w:b/>
              <w:bCs/>
              <w:color w:val="auto"/>
              <w:sz w:val="24"/>
              <w:szCs w:val="24"/>
              <w:highlight w:val="none"/>
            </w:rPr>
            <w:fldChar w:fldCharType="end"/>
          </w:r>
          <w:r/>
        </w:p>
        <w:p>
          <w:pPr>
            <w:pStyle w:val="765"/>
            <w:spacing w:line="480" w:lineRule="auto"/>
            <w:tabs>
              <w:tab w:val="right" w:pos="8278" w:leader="dot"/>
            </w:tabs>
            <w:rPr>
              <w:b/>
              <w:bCs/>
              <w:sz w:val="24"/>
              <w:szCs w:val="24"/>
              <w:highlight w:val="none"/>
            </w:rPr>
          </w:pPr>
          <w:r>
            <w:rPr>
              <w:b/>
              <w:bCs/>
              <w:color w:val="auto"/>
              <w:sz w:val="24"/>
              <w:szCs w:val="24"/>
              <w:highlight w:val="none"/>
            </w:rPr>
            <w:fldChar w:fldCharType="begin"/>
          </w:r>
          <w:r>
            <w:rPr>
              <w:b/>
              <w:bCs/>
              <w:sz w:val="24"/>
              <w:szCs w:val="24"/>
              <w:highlight w:val="none"/>
            </w:rPr>
            <w:instrText xml:space="preserve"> HYPERLINK \l _Toc14629 </w:instrText>
          </w:r>
          <w:r>
            <w:rPr>
              <w:b/>
              <w:bCs/>
              <w:sz w:val="24"/>
              <w:szCs w:val="24"/>
              <w:highlight w:val="none"/>
            </w:rPr>
            <w:fldChar w:fldCharType="separate"/>
          </w:r>
          <w:r>
            <w:rPr>
              <w:rFonts w:hint="eastAsia" w:ascii="宋体" w:hAnsi="宋体" w:eastAsia="宋体" w:cs="宋体"/>
              <w:b/>
              <w:bCs/>
              <w:sz w:val="24"/>
              <w:szCs w:val="44"/>
              <w:highlight w:val="none"/>
              <w:lang w:val="en-US" w:eastAsia="zh-CN" w:bidi="ar-SA"/>
            </w:rPr>
            <w:t xml:space="preserve">第三章  合同条款及格式</w:t>
          </w:r>
          <w:r>
            <w:rPr>
              <w:b/>
              <w:bCs/>
              <w:sz w:val="24"/>
              <w:szCs w:val="24"/>
              <w:highlight w:val="none"/>
            </w:rPr>
            <w:tab/>
          </w:r>
          <w:r>
            <w:rPr>
              <w:b/>
              <w:bCs/>
              <w:sz w:val="24"/>
              <w:szCs w:val="24"/>
              <w:highlight w:val="none"/>
            </w:rPr>
            <w:fldChar w:fldCharType="begin"/>
          </w:r>
          <w:r>
            <w:rPr>
              <w:b/>
              <w:bCs/>
              <w:sz w:val="24"/>
              <w:szCs w:val="24"/>
              <w:highlight w:val="none"/>
            </w:rPr>
            <w:instrText xml:space="preserve"> PAGEREF _Toc14629 \h </w:instrText>
          </w:r>
          <w:r>
            <w:rPr>
              <w:b/>
              <w:bCs/>
              <w:sz w:val="24"/>
              <w:szCs w:val="24"/>
              <w:highlight w:val="none"/>
            </w:rPr>
            <w:fldChar w:fldCharType="separate"/>
          </w:r>
          <w:r>
            <w:rPr>
              <w:b/>
              <w:bCs/>
              <w:sz w:val="24"/>
              <w:szCs w:val="24"/>
              <w:highlight w:val="none"/>
            </w:rPr>
            <w:t xml:space="preserve">18</w:t>
          </w:r>
          <w:r>
            <w:rPr>
              <w:b/>
              <w:bCs/>
              <w:sz w:val="24"/>
              <w:szCs w:val="24"/>
              <w:highlight w:val="none"/>
            </w:rPr>
            <w:fldChar w:fldCharType="end"/>
          </w:r>
          <w:r>
            <w:rPr>
              <w:b/>
              <w:bCs/>
              <w:color w:val="auto"/>
              <w:sz w:val="24"/>
              <w:szCs w:val="24"/>
              <w:highlight w:val="none"/>
            </w:rPr>
            <w:fldChar w:fldCharType="end"/>
          </w:r>
          <w:r/>
        </w:p>
        <w:p>
          <w:pPr>
            <w:pStyle w:val="765"/>
            <w:spacing w:line="480" w:lineRule="auto"/>
            <w:tabs>
              <w:tab w:val="right" w:pos="8278" w:leader="dot"/>
            </w:tabs>
            <w:rPr>
              <w:b/>
              <w:bCs/>
              <w:sz w:val="24"/>
              <w:szCs w:val="24"/>
              <w:highlight w:val="none"/>
            </w:rPr>
          </w:pPr>
          <w:r>
            <w:rPr>
              <w:b/>
              <w:bCs/>
              <w:color w:val="auto"/>
              <w:sz w:val="24"/>
              <w:szCs w:val="24"/>
              <w:highlight w:val="none"/>
            </w:rPr>
            <w:fldChar w:fldCharType="begin"/>
          </w:r>
          <w:r>
            <w:rPr>
              <w:b/>
              <w:bCs/>
              <w:sz w:val="24"/>
              <w:szCs w:val="24"/>
              <w:highlight w:val="none"/>
            </w:rPr>
            <w:instrText xml:space="preserve"> HYPERLINK \l _Toc28579 </w:instrText>
          </w:r>
          <w:r>
            <w:rPr>
              <w:b/>
              <w:bCs/>
              <w:sz w:val="24"/>
              <w:szCs w:val="24"/>
              <w:highlight w:val="none"/>
            </w:rPr>
            <w:fldChar w:fldCharType="separate"/>
          </w:r>
          <w:r>
            <w:rPr>
              <w:rFonts w:hint="eastAsia" w:ascii="宋体" w:hAnsi="宋体" w:eastAsia="宋体" w:cs="宋体"/>
              <w:b/>
              <w:bCs/>
              <w:sz w:val="24"/>
              <w:szCs w:val="44"/>
              <w:highlight w:val="none"/>
              <w:lang w:val="en-US" w:eastAsia="zh-CN" w:bidi="ar-SA"/>
            </w:rPr>
            <w:t xml:space="preserve">第四章  项目需求</w:t>
          </w:r>
          <w:r>
            <w:rPr>
              <w:b/>
              <w:bCs/>
              <w:sz w:val="24"/>
              <w:szCs w:val="24"/>
              <w:highlight w:val="none"/>
            </w:rPr>
            <w:tab/>
          </w:r>
          <w:r>
            <w:rPr>
              <w:b/>
              <w:bCs/>
              <w:sz w:val="24"/>
              <w:szCs w:val="24"/>
              <w:highlight w:val="none"/>
            </w:rPr>
            <w:fldChar w:fldCharType="begin"/>
          </w:r>
          <w:r>
            <w:rPr>
              <w:b/>
              <w:bCs/>
              <w:sz w:val="24"/>
              <w:szCs w:val="24"/>
              <w:highlight w:val="none"/>
            </w:rPr>
            <w:instrText xml:space="preserve"> PAGEREF _Toc28579 \h </w:instrText>
          </w:r>
          <w:r>
            <w:rPr>
              <w:b/>
              <w:bCs/>
              <w:sz w:val="24"/>
              <w:szCs w:val="24"/>
              <w:highlight w:val="none"/>
            </w:rPr>
            <w:fldChar w:fldCharType="separate"/>
          </w:r>
          <w:r>
            <w:rPr>
              <w:b/>
              <w:bCs/>
              <w:sz w:val="24"/>
              <w:szCs w:val="24"/>
              <w:highlight w:val="none"/>
            </w:rPr>
            <w:t xml:space="preserve">27</w:t>
          </w:r>
          <w:r>
            <w:rPr>
              <w:b/>
              <w:bCs/>
              <w:sz w:val="24"/>
              <w:szCs w:val="24"/>
              <w:highlight w:val="none"/>
            </w:rPr>
            <w:fldChar w:fldCharType="end"/>
          </w:r>
          <w:r>
            <w:rPr>
              <w:b/>
              <w:bCs/>
              <w:color w:val="auto"/>
              <w:sz w:val="24"/>
              <w:szCs w:val="24"/>
              <w:highlight w:val="none"/>
            </w:rPr>
            <w:fldChar w:fldCharType="end"/>
          </w:r>
          <w:r/>
        </w:p>
        <w:p>
          <w:pPr>
            <w:pStyle w:val="765"/>
            <w:spacing w:line="480" w:lineRule="auto"/>
            <w:tabs>
              <w:tab w:val="right" w:pos="8278" w:leader="dot"/>
            </w:tabs>
            <w:rPr>
              <w:b/>
              <w:bCs/>
              <w:sz w:val="24"/>
              <w:szCs w:val="24"/>
              <w:highlight w:val="none"/>
            </w:rPr>
          </w:pPr>
          <w:r>
            <w:rPr>
              <w:b/>
              <w:bCs/>
              <w:color w:val="auto"/>
              <w:sz w:val="24"/>
              <w:szCs w:val="24"/>
              <w:highlight w:val="none"/>
            </w:rPr>
            <w:fldChar w:fldCharType="begin"/>
          </w:r>
          <w:r>
            <w:rPr>
              <w:b/>
              <w:bCs/>
              <w:sz w:val="24"/>
              <w:szCs w:val="24"/>
              <w:highlight w:val="none"/>
            </w:rPr>
            <w:instrText xml:space="preserve"> HYPERLINK \l _Toc30186 </w:instrText>
          </w:r>
          <w:r>
            <w:rPr>
              <w:b/>
              <w:bCs/>
              <w:sz w:val="24"/>
              <w:szCs w:val="24"/>
              <w:highlight w:val="none"/>
            </w:rPr>
            <w:fldChar w:fldCharType="separate"/>
          </w:r>
          <w:r>
            <w:rPr>
              <w:rFonts w:hint="eastAsia"/>
              <w:b/>
              <w:bCs/>
              <w:sz w:val="24"/>
              <w:szCs w:val="44"/>
              <w:highlight w:val="none"/>
              <w:lang w:val="en-US" w:eastAsia="zh-CN"/>
            </w:rPr>
            <w:t xml:space="preserve">第五章  评标方法与评标标准</w:t>
          </w:r>
          <w:r>
            <w:rPr>
              <w:b/>
              <w:bCs/>
              <w:sz w:val="24"/>
              <w:szCs w:val="24"/>
              <w:highlight w:val="none"/>
            </w:rPr>
            <w:tab/>
          </w:r>
          <w:r>
            <w:rPr>
              <w:b/>
              <w:bCs/>
              <w:sz w:val="24"/>
              <w:szCs w:val="24"/>
              <w:highlight w:val="none"/>
            </w:rPr>
            <w:fldChar w:fldCharType="begin"/>
          </w:r>
          <w:r>
            <w:rPr>
              <w:b/>
              <w:bCs/>
              <w:sz w:val="24"/>
              <w:szCs w:val="24"/>
              <w:highlight w:val="none"/>
            </w:rPr>
            <w:instrText xml:space="preserve"> PAGEREF _Toc30186 \h </w:instrText>
          </w:r>
          <w:r>
            <w:rPr>
              <w:b/>
              <w:bCs/>
              <w:sz w:val="24"/>
              <w:szCs w:val="24"/>
              <w:highlight w:val="none"/>
            </w:rPr>
            <w:fldChar w:fldCharType="separate"/>
          </w:r>
          <w:r>
            <w:rPr>
              <w:b/>
              <w:bCs/>
              <w:sz w:val="24"/>
              <w:szCs w:val="24"/>
              <w:highlight w:val="none"/>
            </w:rPr>
            <w:t xml:space="preserve">32</w:t>
          </w:r>
          <w:r>
            <w:rPr>
              <w:b/>
              <w:bCs/>
              <w:sz w:val="24"/>
              <w:szCs w:val="24"/>
              <w:highlight w:val="none"/>
            </w:rPr>
            <w:fldChar w:fldCharType="end"/>
          </w:r>
          <w:r>
            <w:rPr>
              <w:b/>
              <w:bCs/>
              <w:color w:val="auto"/>
              <w:sz w:val="24"/>
              <w:szCs w:val="24"/>
              <w:highlight w:val="none"/>
            </w:rPr>
            <w:fldChar w:fldCharType="end"/>
          </w:r>
          <w:r/>
        </w:p>
        <w:p>
          <w:pPr>
            <w:pStyle w:val="765"/>
            <w:spacing w:line="480" w:lineRule="auto"/>
            <w:tabs>
              <w:tab w:val="right" w:pos="8278" w:leader="dot"/>
            </w:tabs>
            <w:rPr>
              <w:b/>
              <w:bCs/>
              <w:sz w:val="24"/>
              <w:szCs w:val="24"/>
              <w:highlight w:val="none"/>
            </w:rPr>
          </w:pPr>
          <w:r>
            <w:rPr>
              <w:b/>
              <w:bCs/>
              <w:color w:val="auto"/>
              <w:sz w:val="24"/>
              <w:szCs w:val="24"/>
              <w:highlight w:val="none"/>
            </w:rPr>
            <w:fldChar w:fldCharType="begin"/>
          </w:r>
          <w:r>
            <w:rPr>
              <w:b/>
              <w:bCs/>
              <w:sz w:val="24"/>
              <w:szCs w:val="24"/>
              <w:highlight w:val="none"/>
            </w:rPr>
            <w:instrText xml:space="preserve"> HYPERLINK \l _Toc24012 </w:instrText>
          </w:r>
          <w:r>
            <w:rPr>
              <w:b/>
              <w:bCs/>
              <w:sz w:val="24"/>
              <w:szCs w:val="24"/>
              <w:highlight w:val="none"/>
            </w:rPr>
            <w:fldChar w:fldCharType="separate"/>
          </w:r>
          <w:r>
            <w:rPr>
              <w:rFonts w:hint="eastAsia" w:ascii="宋体" w:hAnsi="宋体" w:eastAsia="宋体" w:cs="宋体"/>
              <w:b/>
              <w:bCs/>
              <w:sz w:val="24"/>
              <w:szCs w:val="44"/>
              <w:highlight w:val="none"/>
              <w:lang w:val="en-US" w:eastAsia="zh-CN" w:bidi="ar-SA"/>
            </w:rPr>
            <w:t xml:space="preserve">第六章  </w:t>
          </w:r>
          <w:r>
            <w:rPr>
              <w:rFonts w:hint="eastAsia" w:hAnsi="宋体" w:cs="宋体"/>
              <w:b/>
              <w:bCs/>
              <w:sz w:val="24"/>
              <w:szCs w:val="44"/>
              <w:highlight w:val="none"/>
              <w:lang w:val="en-US" w:eastAsia="zh-CN" w:bidi="ar-SA"/>
            </w:rPr>
            <w:t xml:space="preserve">响应文件</w:t>
          </w:r>
          <w:r>
            <w:rPr>
              <w:rFonts w:hint="eastAsia" w:ascii="宋体" w:hAnsi="宋体" w:eastAsia="宋体" w:cs="宋体"/>
              <w:b/>
              <w:bCs/>
              <w:sz w:val="24"/>
              <w:szCs w:val="44"/>
              <w:highlight w:val="none"/>
              <w:lang w:val="en-US" w:eastAsia="zh-CN" w:bidi="ar-SA"/>
            </w:rPr>
            <w:t xml:space="preserve">格式</w:t>
          </w:r>
          <w:r>
            <w:rPr>
              <w:b/>
              <w:bCs/>
              <w:sz w:val="24"/>
              <w:szCs w:val="24"/>
              <w:highlight w:val="none"/>
            </w:rPr>
            <w:tab/>
          </w:r>
          <w:r>
            <w:rPr>
              <w:b/>
              <w:bCs/>
              <w:sz w:val="24"/>
              <w:szCs w:val="24"/>
              <w:highlight w:val="none"/>
            </w:rPr>
            <w:fldChar w:fldCharType="begin"/>
          </w:r>
          <w:r>
            <w:rPr>
              <w:b/>
              <w:bCs/>
              <w:sz w:val="24"/>
              <w:szCs w:val="24"/>
              <w:highlight w:val="none"/>
            </w:rPr>
            <w:instrText xml:space="preserve"> PAGEREF _Toc24012 \h </w:instrText>
          </w:r>
          <w:r>
            <w:rPr>
              <w:b/>
              <w:bCs/>
              <w:sz w:val="24"/>
              <w:szCs w:val="24"/>
              <w:highlight w:val="none"/>
            </w:rPr>
            <w:fldChar w:fldCharType="separate"/>
          </w:r>
          <w:r>
            <w:rPr>
              <w:b/>
              <w:bCs/>
              <w:sz w:val="24"/>
              <w:szCs w:val="24"/>
              <w:highlight w:val="none"/>
            </w:rPr>
            <w:t xml:space="preserve">39</w:t>
          </w:r>
          <w:r>
            <w:rPr>
              <w:b/>
              <w:bCs/>
              <w:sz w:val="24"/>
              <w:szCs w:val="24"/>
              <w:highlight w:val="none"/>
            </w:rPr>
            <w:fldChar w:fldCharType="end"/>
          </w:r>
          <w:r>
            <w:rPr>
              <w:b/>
              <w:bCs/>
              <w:color w:val="auto"/>
              <w:sz w:val="24"/>
              <w:szCs w:val="24"/>
              <w:highlight w:val="none"/>
            </w:rPr>
            <w:fldChar w:fldCharType="end"/>
          </w:r>
          <w:r/>
        </w:p>
        <w:p>
          <w:pPr>
            <w:pStyle w:val="765"/>
            <w:tabs>
              <w:tab w:val="right" w:pos="8278" w:leader="dot"/>
            </w:tabs>
            <w:rPr>
              <w:highlight w:val="none"/>
            </w:rPr>
          </w:pPr>
          <w:r>
            <w:rPr>
              <w:highlight w:val="none"/>
            </w:rPr>
          </w:r>
          <w:r/>
        </w:p>
        <w:p>
          <w:pPr>
            <w:rPr>
              <w:rFonts w:hint="default" w:ascii="Times New Roman" w:hAnsi="Times New Roman" w:eastAsia="宋体" w:cs="Times New Roman"/>
              <w:color w:val="auto"/>
              <w:sz w:val="21"/>
              <w:szCs w:val="21"/>
              <w:highlight w:val="none"/>
              <w:lang w:val="en-US" w:eastAsia="zh-CN" w:bidi="ar-SA"/>
            </w:rPr>
          </w:pPr>
          <w:r>
            <w:rPr>
              <w:color w:val="auto"/>
              <w:highlight w:val="none"/>
            </w:rPr>
            <w:fldChar w:fldCharType="end"/>
          </w:r>
          <w:r/>
        </w:p>
      </w:sdtContent>
    </w:sdt>
    <w:p>
      <w:pPr>
        <w:pStyle w:val="745"/>
        <w:rPr>
          <w:highlight w:val="none"/>
        </w:rPr>
      </w:pPr>
      <w:r>
        <w:rPr>
          <w:highlight w:val="none"/>
        </w:rPr>
      </w:r>
      <w:r/>
    </w:p>
    <w:p>
      <w:pPr>
        <w:rPr>
          <w:color w:val="auto"/>
          <w:highlight w:val="none"/>
        </w:rPr>
      </w:pPr>
      <w:r>
        <w:rPr>
          <w:color w:val="auto"/>
          <w:highlight w:val="none"/>
        </w:rPr>
      </w:r>
      <w:r/>
    </w:p>
    <w:p>
      <w:pPr>
        <w:ind w:left="0" w:firstLine="0"/>
        <w:jc w:val="center"/>
        <w:keepLines w:val="0"/>
        <w:keepNext w:val="0"/>
        <w:pageBreakBefore w:val="0"/>
        <w:spacing w:line="360" w:lineRule="auto"/>
        <w:widowControl w:val="off"/>
        <w:rPr>
          <w:rFonts w:hint="eastAsia" w:ascii="宋体" w:hAnsi="宋体" w:eastAsia="宋体" w:cs="宋体"/>
          <w:color w:val="auto"/>
          <w:sz w:val="36"/>
          <w:szCs w:val="36"/>
          <w:highlight w:val="none"/>
        </w:rPr>
        <w:sectPr>
          <w:headerReference w:type="default" r:id="rId9"/>
          <w:footerReference w:type="default" r:id="rId10"/>
          <w:footerReference w:type="first" r:id="rId11"/>
          <w:footnotePr/>
          <w:endnotePr/>
          <w:type w:val="nextPage"/>
          <w:pgSz w:w="11906" w:h="16838" w:orient="portrait"/>
          <w:pgMar w:top="1417" w:right="1814" w:bottom="1417" w:left="1814" w:header="851" w:footer="907" w:gutter="0"/>
          <w:pgNumType w:start="1"/>
          <w:cols w:num="1" w:sep="0" w:space="1701" w:equalWidth="1"/>
          <w:docGrid w:linePitch="360"/>
          <w:titlePg/>
        </w:sectPr>
        <w:outlineLvl w:val="0"/>
      </w:pPr>
      <w:r/>
      <w:bookmarkStart w:id="15" w:name="_Toc2511"/>
      <w:r/>
      <w:r/>
    </w:p>
    <w:p>
      <w:pPr>
        <w:ind w:left="0" w:firstLine="0"/>
        <w:jc w:val="center"/>
        <w:keepLines w:val="0"/>
        <w:keepNext w:val="0"/>
        <w:pageBreakBefore w:val="0"/>
        <w:spacing w:line="360" w:lineRule="auto"/>
        <w:widowControl w:val="off"/>
        <w:rPr>
          <w:rFonts w:hint="eastAsia" w:ascii="宋体" w:hAnsi="宋体" w:eastAsia="宋体" w:cs="宋体"/>
          <w:b/>
          <w:bCs/>
          <w:color w:val="auto"/>
          <w:sz w:val="36"/>
          <w:szCs w:val="36"/>
          <w:highlight w:val="none"/>
        </w:rPr>
        <w:outlineLvl w:val="0"/>
      </w:pPr>
      <w:r/>
      <w:bookmarkStart w:id="16" w:name="_Toc11572"/>
      <w:r>
        <w:rPr>
          <w:rFonts w:hint="eastAsia" w:ascii="宋体" w:hAnsi="宋体" w:eastAsia="宋体" w:cs="宋体"/>
          <w:b/>
          <w:bCs/>
          <w:color w:val="auto"/>
          <w:sz w:val="36"/>
          <w:szCs w:val="36"/>
          <w:highlight w:val="none"/>
        </w:rPr>
        <w:t xml:space="preserve">第一章  </w:t>
      </w:r>
      <w:bookmarkEnd w:id="9"/>
      <w:r>
        <w:rPr>
          <w:rFonts w:hint="eastAsia" w:ascii="宋体" w:hAnsi="宋体" w:eastAsia="宋体" w:cs="宋体"/>
          <w:b/>
          <w:bCs/>
          <w:color w:val="auto"/>
          <w:sz w:val="36"/>
          <w:szCs w:val="36"/>
          <w:highlight w:val="none"/>
        </w:rPr>
        <w:t xml:space="preserve">竞争性磋商公告</w:t>
      </w:r>
      <w:bookmarkEnd w:id="15"/>
      <w:r/>
      <w:bookmarkEnd w:id="16"/>
      <w:r/>
      <w:r/>
    </w:p>
    <w:p>
      <w:pPr>
        <w:ind w:firstLine="422"/>
        <w:jc w:val="left"/>
        <w:spacing w:line="360" w:lineRule="auto"/>
        <w:widowControl/>
        <w:rPr>
          <w:rFonts w:ascii="宋体" w:hAnsi="宋体" w:cs="宋体"/>
          <w:b/>
          <w:bCs/>
          <w:color w:val="auto"/>
          <w:highlight w:val="none"/>
        </w:rPr>
        <w:pBdr>
          <w:top w:val="single" w:color="auto" w:sz="4" w:space="1"/>
          <w:left w:val="single" w:color="auto" w:sz="4" w:space="4"/>
          <w:bottom w:val="single" w:color="auto" w:sz="4" w:space="1"/>
          <w:right w:val="single" w:color="auto" w:sz="4" w:space="4"/>
        </w:pBdr>
      </w:pPr>
      <w:r/>
      <w:bookmarkStart w:id="17" w:name="_Toc35393790"/>
      <w:r/>
      <w:bookmarkStart w:id="18" w:name="_Toc38985263"/>
      <w:r/>
      <w:bookmarkStart w:id="19" w:name="_Toc28359079"/>
      <w:r/>
      <w:bookmarkStart w:id="20" w:name="_Toc28359002"/>
      <w:r/>
      <w:bookmarkStart w:id="21" w:name="_Toc35393621"/>
      <w:r/>
      <w:bookmarkStart w:id="22" w:name="_Hlk24379207"/>
      <w:r>
        <w:rPr>
          <w:rFonts w:hint="eastAsia" w:ascii="宋体" w:hAnsi="宋体" w:cs="宋体"/>
          <w:b/>
          <w:bCs/>
          <w:color w:val="auto"/>
          <w:highlight w:val="none"/>
        </w:rPr>
        <w:t xml:space="preserve">项目概况</w:t>
      </w:r>
      <w:r/>
    </w:p>
    <w:p>
      <w:pPr>
        <w:ind w:firstLine="420"/>
        <w:jc w:val="left"/>
        <w:spacing w:line="360" w:lineRule="auto"/>
        <w:widowControl/>
        <w:rPr>
          <w:rFonts w:hint="eastAsia" w:ascii="宋体" w:hAnsi="宋体" w:cs="宋体"/>
          <w:color w:val="auto"/>
          <w:sz w:val="24"/>
          <w:szCs w:val="24"/>
          <w:highlight w:val="none"/>
          <w:lang w:eastAsia="zh-CN"/>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lang w:eastAsia="zh-CN"/>
        </w:rPr>
        <w:t xml:space="preserve">第四届江苏省退役军人创业创新大赛技术支持和会展服务（</w:t>
      </w:r>
      <w:r>
        <w:rPr>
          <w:rFonts w:hint="eastAsia" w:ascii="宋体" w:hAnsi="宋体" w:cs="宋体"/>
          <w:color w:val="auto"/>
          <w:sz w:val="24"/>
          <w:szCs w:val="24"/>
          <w:highlight w:val="none"/>
          <w:lang w:val="en-US" w:eastAsia="zh-CN"/>
        </w:rPr>
        <w:t xml:space="preserve">项目编号：</w:t>
      </w:r>
      <w:r>
        <w:rPr>
          <w:rFonts w:hint="eastAsia" w:ascii="宋体" w:hAnsi="宋体" w:cs="宋体"/>
          <w:color w:val="auto"/>
          <w:sz w:val="24"/>
          <w:szCs w:val="24"/>
          <w:highlight w:val="none"/>
          <w:lang w:eastAsia="zh-CN"/>
        </w:rPr>
        <w:t xml:space="preserve">JSZC-320000-JSSZ-C2026-0030</w:t>
      </w:r>
      <w:r>
        <w:rPr>
          <w:rFonts w:hint="eastAsia" w:ascii="宋体" w:hAnsi="宋体" w:cs="宋体"/>
          <w:color w:val="auto"/>
          <w:sz w:val="24"/>
          <w:szCs w:val="24"/>
          <w:highlight w:val="none"/>
          <w:lang w:eastAsia="zh-CN"/>
        </w:rPr>
        <w:t xml:space="preserve">）采购项目的潜在供应商应在</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江苏政府采购网“苏采云”系统</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获取采购文件，并于202</w:t>
      </w:r>
      <w:r>
        <w:rPr>
          <w:rFonts w:hint="eastAsia" w:ascii="宋体" w:hAnsi="宋体" w:cs="宋体"/>
          <w:color w:val="auto"/>
          <w:sz w:val="24"/>
          <w:szCs w:val="24"/>
          <w:highlight w:val="none"/>
          <w:lang w:val="en-US" w:eastAsia="zh-CN"/>
        </w:rPr>
        <w:t xml:space="preserve">6年6月25日14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lang w:eastAsia="zh-CN"/>
        </w:rPr>
        <w:t xml:space="preserve">（北京时间）前提交响应文件。</w:t>
      </w:r>
      <w:r/>
    </w:p>
    <w:p>
      <w:pPr>
        <w:pStyle w:val="807"/>
        <w:pageBreakBefore w:val="0"/>
        <w:spacing w:before="0" w:after="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一、项目基本情况</w:t>
      </w:r>
      <w:bookmarkEnd w:id="17"/>
      <w:r/>
      <w:bookmarkEnd w:id="18"/>
      <w:r/>
      <w:bookmarkEnd w:id="19"/>
      <w:r/>
      <w:bookmarkEnd w:id="20"/>
      <w:r/>
      <w:bookmarkEnd w:id="21"/>
      <w:r/>
      <w:bookmarkEnd w:id="22"/>
      <w:r/>
      <w:r/>
    </w:p>
    <w:p>
      <w:pPr>
        <w:ind w:firstLine="48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：JSZC-320000-JSSZ-C2026-0030</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第四届江苏省退役军人创业创新大赛技术支持和会展服务</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168</w:t>
      </w:r>
      <w:r>
        <w:rPr>
          <w:rFonts w:hint="eastAsia" w:ascii="宋体" w:hAnsi="宋体" w:eastAsia="宋体" w:cs="宋体"/>
          <w:color w:val="auto"/>
          <w:sz w:val="24"/>
          <w:szCs w:val="24"/>
          <w:highlight w:val="none"/>
        </w:rPr>
        <w:t xml:space="preserve">万元</w:t>
      </w:r>
      <w:r/>
    </w:p>
    <w:p>
      <w:pPr>
        <w:ind w:firstLine="48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4.最高限价：</w:t>
      </w:r>
      <w:r>
        <w:rPr>
          <w:rFonts w:hint="eastAsia" w:ascii="宋体" w:hAnsi="宋体" w:cs="宋体"/>
          <w:color w:val="auto"/>
          <w:sz w:val="24"/>
          <w:szCs w:val="24"/>
          <w:highlight w:val="none"/>
          <w:lang w:val="en-US" w:eastAsia="zh-CN"/>
        </w:rPr>
        <w:t xml:space="preserve">采购包1（第四届创业创新大赛技术支持）90万元；采购包2（第四届创业创新大赛会展服务）78万元</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w:t>
      </w:r>
      <w:r>
        <w:rPr>
          <w:rFonts w:hint="eastAsia" w:ascii="宋体" w:hAnsi="宋体" w:cs="宋体"/>
          <w:color w:val="auto"/>
          <w:sz w:val="24"/>
          <w:szCs w:val="24"/>
          <w:highlight w:val="none"/>
          <w:lang w:val="en-US" w:eastAsia="zh-CN"/>
        </w:rPr>
        <w:t xml:space="preserve">采购包1（第四届创业创新大赛技术支持）：300人左右的食宿、比赛场地费用；评委费用（约65人次）；大赛活动策划、前期项目对接、参赛项目审查、赛前辅导、邀请专家评委、引进风投机构、评分系统、现场会务接待服务、国赛前辅导等。采购包2（第四届创业创新大赛会展服务）：开幕式、颁奖活动的整体设计和组织实施、赛场安装搭建、视频制作、摄像摄影、大赛活动的物料制作、安装服务，大赛会务、参赛手册以及宣传资料、印刷服务等。</w:t>
      </w:r>
      <w:r>
        <w:rPr>
          <w:rFonts w:hint="eastAsia" w:ascii="宋体" w:hAnsi="宋体" w:eastAsia="宋体" w:cs="宋体"/>
          <w:color w:val="auto"/>
          <w:sz w:val="24"/>
          <w:szCs w:val="24"/>
          <w:highlight w:val="none"/>
        </w:rPr>
        <w:t xml:space="preserve">具体需求详见</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w:t>
      </w:r>
      <w:r>
        <w:rPr>
          <w:rFonts w:hint="eastAsia" w:ascii="宋体" w:hAnsi="宋体" w:cs="宋体"/>
          <w:color w:val="auto"/>
          <w:sz w:val="24"/>
          <w:szCs w:val="24"/>
          <w:highlight w:val="none"/>
          <w:lang w:val="en-US" w:eastAsia="zh-CN"/>
        </w:rPr>
        <w:t xml:space="preserve">第四章项目需求</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6.合同履行期限：</w:t>
      </w:r>
      <w:r>
        <w:rPr>
          <w:rFonts w:hint="eastAsia" w:ascii="宋体" w:hAnsi="宋体" w:cs="宋体"/>
          <w:color w:val="auto"/>
          <w:sz w:val="24"/>
          <w:szCs w:val="24"/>
          <w:highlight w:val="none"/>
          <w:lang w:val="en-US" w:eastAsia="zh-CN"/>
        </w:rPr>
        <w:t xml:space="preserve">合同签订之日起至</w:t>
      </w:r>
      <w:r>
        <w:rPr>
          <w:rFonts w:hint="eastAsia" w:ascii="宋体" w:hAnsi="宋体" w:cs="宋体"/>
          <w:color w:val="auto"/>
          <w:sz w:val="24"/>
          <w:szCs w:val="24"/>
          <w:highlight w:val="none"/>
          <w:lang w:eastAsia="zh-CN"/>
        </w:rPr>
        <w:t xml:space="preserve">第四届江苏省退役军人创业创新大赛</w:t>
      </w:r>
      <w:r>
        <w:rPr>
          <w:rFonts w:hint="eastAsia" w:ascii="宋体" w:hAnsi="宋体" w:cs="宋体"/>
          <w:color w:val="auto"/>
          <w:sz w:val="24"/>
          <w:szCs w:val="24"/>
          <w:highlight w:val="none"/>
          <w:lang w:val="en-US" w:eastAsia="zh-CN"/>
        </w:rPr>
        <w:t xml:space="preserve">赛事结束，以及赛后工作完全完成</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不接受</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联合体投标。</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cs="宋体"/>
          <w:bCs/>
          <w:color w:val="000000"/>
          <w:sz w:val="24"/>
          <w:highlight w:val="none"/>
        </w:rPr>
        <w:t xml:space="preserve">本项目采购标的所属</w:t>
      </w:r>
      <w:r>
        <w:rPr>
          <w:rFonts w:hint="eastAsia" w:ascii="宋体" w:hAnsi="宋体"/>
          <w:color w:val="000000"/>
          <w:sz w:val="24"/>
          <w:highlight w:val="none"/>
        </w:rPr>
        <w:t xml:space="preserve">行业为：租赁和商务服务业</w:t>
      </w:r>
      <w:r>
        <w:rPr>
          <w:rFonts w:hint="eastAsia" w:ascii="宋体" w:hAnsi="宋体"/>
          <w:color w:val="000000"/>
          <w:sz w:val="24"/>
          <w:highlight w:val="none"/>
          <w:lang w:eastAsia="zh-CN"/>
        </w:rPr>
        <w:t xml:space="preserve">。</w:t>
      </w:r>
      <w:r/>
    </w:p>
    <w:p>
      <w:pPr>
        <w:pStyle w:val="807"/>
        <w:pageBreakBefore w:val="0"/>
        <w:spacing w:before="0" w:after="0" w:line="360" w:lineRule="auto"/>
        <w:widowControl w:val="off"/>
        <w:rPr>
          <w:rFonts w:hint="eastAsia" w:ascii="宋体" w:hAnsi="宋体" w:eastAsia="宋体" w:cs="宋体"/>
          <w:b/>
          <w:bCs/>
          <w:color w:val="auto"/>
          <w:highlight w:val="none"/>
        </w:rPr>
      </w:pPr>
      <w:r/>
      <w:bookmarkStart w:id="23" w:name="_Toc28359080"/>
      <w:r/>
      <w:bookmarkStart w:id="24" w:name="_Toc38985264"/>
      <w:r/>
      <w:bookmarkStart w:id="25" w:name="_Toc28359003"/>
      <w:r/>
      <w:bookmarkStart w:id="26" w:name="_Toc35393622"/>
      <w:r/>
      <w:bookmarkStart w:id="27" w:name="_Toc35393791"/>
      <w:r>
        <w:rPr>
          <w:rFonts w:hint="eastAsia" w:ascii="宋体" w:hAnsi="宋体" w:eastAsia="宋体" w:cs="宋体"/>
          <w:b/>
          <w:bCs/>
          <w:color w:val="auto"/>
          <w:highlight w:val="none"/>
        </w:rPr>
        <w:t xml:space="preserve">二、申请人的资格要求</w:t>
      </w:r>
      <w:bookmarkEnd w:id="23"/>
      <w:r/>
      <w:bookmarkEnd w:id="24"/>
      <w:r/>
      <w:bookmarkEnd w:id="25"/>
      <w:r/>
      <w:bookmarkEnd w:id="26"/>
      <w:r/>
      <w:bookmarkEnd w:id="27"/>
      <w:r/>
      <w:r/>
    </w:p>
    <w:p>
      <w:pPr>
        <w:ind w:firstLine="480"/>
        <w:spacing w:line="360" w:lineRule="auto"/>
        <w:widowControl/>
        <w:rPr>
          <w:rFonts w:ascii="宋体" w:hAnsi="宋体" w:cs="宋体"/>
          <w:bCs/>
          <w:color w:val="000000"/>
          <w:sz w:val="24"/>
          <w:highlight w:val="none"/>
        </w:rPr>
      </w:pPr>
      <w:r/>
      <w:bookmarkStart w:id="28" w:name="_Hlk8392111"/>
      <w:r/>
      <w:bookmarkStart w:id="29" w:name="_Toc28359004"/>
      <w:r/>
      <w:bookmarkStart w:id="30" w:name="_Toc28359081"/>
      <w:r/>
      <w:bookmarkStart w:id="31" w:name="_Toc35393792"/>
      <w:r/>
      <w:bookmarkStart w:id="32" w:name="_Toc38985265"/>
      <w:r/>
      <w:bookmarkStart w:id="33" w:name="_Toc35393623"/>
      <w:r>
        <w:rPr>
          <w:rFonts w:hint="eastAsia" w:ascii="宋体" w:hAnsi="宋体" w:cs="宋体"/>
          <w:bCs/>
          <w:color w:val="000000"/>
          <w:sz w:val="24"/>
          <w:highlight w:val="none"/>
        </w:rPr>
        <w:t xml:space="preserve">2.1满足《中华人民共和国政府采购法》第二十二条规定，并提供下列材料：</w:t>
      </w:r>
      <w:r/>
    </w:p>
    <w:p>
      <w:pPr>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（1）具有独立承担民事责任的能力（提供法人或者其他组织的营业执照等证明文件并加盖公章。如投标人为自然人的，提供其身份证明，并加盖公章。）； </w:t>
      </w:r>
      <w:r/>
    </w:p>
    <w:p>
      <w:pPr>
        <w:ind w:firstLine="480"/>
        <w:spacing w:line="360" w:lineRule="auto"/>
        <w:widowControl/>
        <w:rPr>
          <w:rFonts w:ascii="宋体" w:hAnsi="宋体" w:cs="宋体"/>
          <w:bCs/>
          <w:color w:val="000000"/>
          <w:sz w:val="24"/>
          <w:highlight w:val="none"/>
        </w:rPr>
      </w:pPr>
      <w:r>
        <w:rPr>
          <w:rFonts w:hint="eastAsia" w:ascii="宋体" w:hAnsi="宋体" w:cs="宋体"/>
          <w:bCs/>
          <w:color w:val="000000"/>
          <w:sz w:val="24"/>
          <w:highlight w:val="none"/>
        </w:rPr>
        <w:t xml:space="preserve">（2）具有良好的商业信誉和健全的财务会计制度（提供202</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年度财务审计报告，或2025年</w:t>
      </w:r>
      <w:r>
        <w:rPr>
          <w:rFonts w:hint="eastAsia" w:ascii="宋体" w:hAnsi="宋体" w:cs="宋体"/>
          <w:bCs/>
          <w:color w:val="000000"/>
          <w:sz w:val="24"/>
          <w:highlight w:val="none"/>
          <w:lang w:val="en-US" w:eastAsia="zh-CN"/>
        </w:rPr>
        <w:t xml:space="preserve">12</w:t>
      </w:r>
      <w:r>
        <w:rPr>
          <w:rFonts w:hint="eastAsia" w:ascii="宋体" w:hAnsi="宋体" w:cs="宋体"/>
          <w:bCs/>
          <w:color w:val="000000"/>
          <w:sz w:val="24"/>
          <w:highlight w:val="none"/>
        </w:rPr>
        <w:t xml:space="preserve">月以来银行出具的资信证明，或2025年</w:t>
      </w:r>
      <w:r>
        <w:rPr>
          <w:rFonts w:hint="eastAsia" w:ascii="宋体" w:hAnsi="宋体" w:cs="宋体"/>
          <w:bCs/>
          <w:color w:val="000000"/>
          <w:sz w:val="24"/>
          <w:highlight w:val="none"/>
          <w:lang w:val="en-US" w:eastAsia="zh-CN"/>
        </w:rPr>
        <w:t xml:space="preserve">12</w:t>
      </w:r>
      <w:r>
        <w:rPr>
          <w:rFonts w:hint="eastAsia" w:ascii="宋体" w:hAnsi="宋体" w:cs="宋体"/>
          <w:bCs/>
          <w:color w:val="000000"/>
          <w:sz w:val="24"/>
          <w:highlight w:val="none"/>
        </w:rPr>
        <w:t xml:space="preserve">月以来财政部门认可的专业担保机构出具的投标担保函；并加盖公章。投标人成立不满一年不需提供。）；</w:t>
      </w:r>
      <w:r/>
    </w:p>
    <w:p>
      <w:pPr>
        <w:ind w:firstLine="480"/>
        <w:spacing w:line="360" w:lineRule="auto"/>
        <w:widowControl/>
        <w:rPr>
          <w:rFonts w:ascii="宋体" w:hAnsi="宋体" w:cs="宋体"/>
          <w:color w:val="000000"/>
          <w:sz w:val="24"/>
          <w:highlight w:val="none"/>
        </w:rPr>
      </w:pPr>
      <w:r>
        <w:rPr>
          <w:rFonts w:hint="eastAsia" w:ascii="宋体" w:hAnsi="宋体" w:cs="宋体"/>
          <w:bCs/>
          <w:color w:val="000000"/>
          <w:sz w:val="24"/>
          <w:highlight w:val="none"/>
        </w:rPr>
        <w:t xml:space="preserve">（3）有依法缴纳税收</w:t>
      </w:r>
      <w:r>
        <w:rPr>
          <w:rFonts w:hint="eastAsia" w:ascii="宋体" w:hAnsi="宋体" w:cs="宋体"/>
          <w:color w:val="000000"/>
          <w:sz w:val="24"/>
          <w:highlight w:val="none"/>
        </w:rPr>
        <w:t xml:space="preserve">和社会保障资金的良好记录（提交2025年</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月以来</w:t>
      </w:r>
      <w:r>
        <w:rPr>
          <w:rFonts w:hint="eastAsia" w:ascii="宋体" w:hAnsi="宋体" w:cs="Arial"/>
          <w:color w:val="000000"/>
          <w:sz w:val="24"/>
          <w:highlight w:val="none"/>
        </w:rPr>
        <w:t xml:space="preserve">至少一个月</w:t>
      </w:r>
      <w:r>
        <w:rPr>
          <w:rFonts w:ascii="宋体" w:hAnsi="宋体" w:cs="宋体"/>
          <w:color w:val="000000"/>
          <w:sz w:val="24"/>
          <w:highlight w:val="none"/>
        </w:rPr>
        <w:t xml:space="preserve">依法缴纳税收和社会保障资金的</w:t>
      </w:r>
      <w:r>
        <w:rPr>
          <w:rFonts w:hint="eastAsia" w:ascii="宋体" w:hAnsi="宋体" w:cs="宋体"/>
          <w:color w:val="000000"/>
          <w:sz w:val="24"/>
          <w:highlight w:val="none"/>
        </w:rPr>
        <w:t xml:space="preserve">有效证明</w:t>
      </w:r>
      <w:r>
        <w:rPr>
          <w:rFonts w:ascii="宋体" w:hAnsi="宋体" w:cs="宋体"/>
          <w:color w:val="000000"/>
          <w:sz w:val="24"/>
          <w:highlight w:val="none"/>
        </w:rPr>
        <w:t xml:space="preserve">材料</w:t>
      </w:r>
      <w:r>
        <w:rPr>
          <w:rFonts w:hint="eastAsia" w:ascii="宋体" w:hAnsi="宋体" w:cs="宋体"/>
          <w:color w:val="000000"/>
          <w:sz w:val="24"/>
          <w:highlight w:val="none"/>
        </w:rPr>
        <w:t xml:space="preserve">，并加盖公章。</w:t>
      </w:r>
      <w:r>
        <w:rPr>
          <w:rFonts w:hint="eastAsia" w:ascii="宋体" w:hAnsi="宋体"/>
          <w:color w:val="000000"/>
          <w:sz w:val="24"/>
          <w:highlight w:val="none"/>
        </w:rPr>
        <w:t xml:space="preserve">投标人依法享受缓缴、免缴税收或社会保障资金的，须提供有效证明材料。</w:t>
      </w:r>
      <w:r>
        <w:rPr>
          <w:rFonts w:hint="eastAsia" w:ascii="宋体" w:hAnsi="宋体"/>
          <w:color w:val="000000"/>
          <w:szCs w:val="21"/>
          <w:highlight w:val="none"/>
        </w:rPr>
        <w:t xml:space="preserve">）</w:t>
      </w:r>
      <w:r>
        <w:rPr>
          <w:rFonts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具备履行合同所必需的设备和专业技术能力</w:t>
      </w:r>
      <w:r>
        <w:rPr>
          <w:rFonts w:hint="eastAsia" w:ascii="宋体" w:hAnsi="宋体" w:cs="宋体"/>
          <w:color w:val="000000"/>
          <w:sz w:val="24"/>
          <w:highlight w:val="none"/>
        </w:rPr>
        <w:t xml:space="preserve">（提供书面</w:t>
      </w:r>
      <w:r>
        <w:rPr>
          <w:rFonts w:ascii="宋体" w:hAnsi="宋体" w:cs="宋体"/>
          <w:color w:val="000000"/>
          <w:sz w:val="24"/>
          <w:highlight w:val="none"/>
        </w:rPr>
        <w:t xml:space="preserve">声明</w:t>
      </w:r>
      <w:r>
        <w:rPr>
          <w:rFonts w:hint="eastAsia" w:ascii="宋体" w:hAnsi="宋体" w:cs="宋体"/>
          <w:color w:val="000000"/>
          <w:sz w:val="24"/>
          <w:highlight w:val="none"/>
        </w:rPr>
        <w:t xml:space="preserve">并加盖公章，格式自拟）</w:t>
      </w:r>
      <w:r>
        <w:rPr>
          <w:rFonts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参加政府采购活动前3年内在经营活动中没有重大违法记录</w:t>
      </w:r>
      <w:r>
        <w:rPr>
          <w:rFonts w:hint="eastAsia" w:ascii="宋体" w:hAnsi="宋体" w:cs="宋体"/>
          <w:color w:val="000000"/>
          <w:sz w:val="24"/>
          <w:highlight w:val="none"/>
        </w:rPr>
        <w:t xml:space="preserve">（提供书面</w:t>
      </w:r>
      <w:r>
        <w:rPr>
          <w:rFonts w:ascii="宋体" w:hAnsi="宋体" w:cs="宋体"/>
          <w:color w:val="000000"/>
          <w:sz w:val="24"/>
          <w:highlight w:val="none"/>
        </w:rPr>
        <w:t xml:space="preserve">声明</w:t>
      </w:r>
      <w:r>
        <w:rPr>
          <w:rFonts w:hint="eastAsia" w:ascii="宋体" w:hAnsi="宋体" w:cs="宋体"/>
          <w:color w:val="000000"/>
          <w:sz w:val="24"/>
          <w:highlight w:val="none"/>
        </w:rPr>
        <w:t xml:space="preserve">并加盖公章，格式自拟）。</w:t>
      </w:r>
      <w:r/>
    </w:p>
    <w:p>
      <w:pPr>
        <w:ind w:firstLine="482"/>
        <w:spacing w:line="360" w:lineRule="auto"/>
        <w:rPr>
          <w:rFonts w:ascii="宋体" w:hAnsi="宋体" w:cs="Arial"/>
          <w:b/>
          <w:bCs/>
          <w:color w:val="000000"/>
          <w:sz w:val="24"/>
          <w:highlight w:val="none"/>
        </w:rPr>
      </w:pPr>
      <w:r/>
      <w:bookmarkStart w:id="34" w:name="_Hlk106724798"/>
      <w:r>
        <w:rPr>
          <w:rFonts w:ascii="宋体" w:hAnsi="宋体" w:cs="Arial"/>
          <w:b/>
          <w:bCs/>
          <w:color w:val="000000"/>
          <w:sz w:val="24"/>
          <w:highlight w:val="none"/>
        </w:rPr>
        <w:t xml:space="preserve">2.2</w:t>
      </w:r>
      <w:bookmarkStart w:id="35" w:name="_Hlk106725740"/>
      <w:r/>
      <w:bookmarkStart w:id="36" w:name="_Hlk106726432"/>
      <w:r>
        <w:rPr>
          <w:rFonts w:hint="eastAsia" w:ascii="宋体" w:hAnsi="宋体" w:cs="Arial"/>
          <w:b/>
          <w:bCs/>
          <w:color w:val="000000"/>
          <w:sz w:val="24"/>
          <w:highlight w:val="none"/>
        </w:rPr>
        <w:t xml:space="preserve">落实政府采购政策需满足的资格要求：</w:t>
      </w:r>
      <w:r/>
    </w:p>
    <w:p>
      <w:pPr>
        <w:ind w:firstLine="482"/>
        <w:spacing w:line="360" w:lineRule="auto"/>
        <w:rPr>
          <w:rFonts w:ascii="宋体" w:hAnsi="宋体" w:cs="Arial"/>
          <w:b/>
          <w:bCs/>
          <w:color w:val="000000"/>
          <w:sz w:val="24"/>
          <w:highlight w:val="none"/>
        </w:rPr>
      </w:pPr>
      <w:r>
        <w:rPr>
          <w:rFonts w:hint="eastAsia" w:ascii="宋体" w:hAnsi="宋体" w:cs="宋体"/>
          <w:b/>
          <w:bCs/>
          <w:color w:val="000000"/>
          <w:sz w:val="24"/>
          <w:highlight w:val="none"/>
        </w:rPr>
        <w:t xml:space="preserve">本项目按照采用以下第</w:t>
      </w:r>
      <w:r>
        <w:rPr>
          <w:rFonts w:hint="eastAsia" w:ascii="宋体" w:hAnsi="宋体" w:cs="宋体"/>
          <w:b/>
          <w:bCs/>
          <w:color w:val="000000"/>
          <w:sz w:val="24"/>
          <w:highlight w:val="none"/>
          <w:u w:val="single"/>
        </w:rPr>
        <w:t xml:space="preserve">（4）</w:t>
      </w:r>
      <w:r>
        <w:rPr>
          <w:rFonts w:hint="eastAsia" w:ascii="宋体" w:hAnsi="宋体" w:cs="宋体"/>
          <w:b/>
          <w:bCs/>
          <w:color w:val="000000"/>
          <w:sz w:val="24"/>
          <w:highlight w:val="none"/>
        </w:rPr>
        <w:t xml:space="preserve">种方式落实政府采购促进中小企业发展的要求：</w:t>
      </w:r>
      <w:r/>
    </w:p>
    <w:p>
      <w:pPr>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（1）本项目整体专门面向中小企业采购；</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（2）本项目整体专门面向小微企业采购；</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（3）本项目通过以下第</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种方式预留部分采购份额，面向中小企业采购：</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①本项目要求供应商以联合体形式参加，中小企业合同金额应当达到的比例为</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②本项目要求供应商进行合同分包，中小企业合同金额应当达到的比例为</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2"/>
        <w:spacing w:line="360" w:lineRule="auto"/>
        <w:rPr>
          <w:rFonts w:ascii="宋体" w:hAnsi="宋体" w:cs="宋体"/>
          <w:b/>
          <w:bCs/>
          <w:color w:val="000000"/>
          <w:sz w:val="24"/>
          <w:highlight w:val="none"/>
        </w:rPr>
      </w:pPr>
      <w:r>
        <w:rPr>
          <w:rFonts w:hint="eastAsia" w:ascii="宋体" w:hAnsi="宋体" w:cs="宋体"/>
          <w:b/>
          <w:bCs/>
          <w:sz w:val="24"/>
          <w:highlight w:val="none"/>
        </w:rPr>
        <w:t xml:space="preserve">（4）本项目为非预留份额专门面向中小企业的采购项目或采购包，执行价格扣除优</w:t>
      </w:r>
      <w:r>
        <w:rPr>
          <w:rFonts w:hint="eastAsia" w:ascii="宋体" w:hAnsi="宋体" w:cs="宋体"/>
          <w:b/>
          <w:bCs/>
          <w:color w:val="000000"/>
          <w:sz w:val="24"/>
          <w:highlight w:val="none"/>
        </w:rPr>
        <w:t xml:space="preserve">惠政策，详见“第五章评标办法与评分标准”。</w:t>
      </w:r>
      <w:bookmarkEnd w:id="34"/>
      <w:r/>
      <w:bookmarkEnd w:id="35"/>
      <w:r/>
      <w:bookmarkEnd w:id="36"/>
      <w:r/>
      <w:r/>
    </w:p>
    <w:p>
      <w:pPr>
        <w:ind w:firstLine="482"/>
        <w:spacing w:line="360" w:lineRule="auto"/>
        <w:widowControl/>
        <w:rPr>
          <w:rFonts w:ascii="宋体" w:hAnsi="宋体" w:cs="宋体"/>
          <w:b/>
          <w:color w:val="000000"/>
          <w:sz w:val="24"/>
          <w:highlight w:val="none"/>
        </w:rPr>
      </w:pPr>
      <w:r>
        <w:rPr>
          <w:rFonts w:ascii="宋体" w:hAnsi="宋体" w:cs="宋体"/>
          <w:b/>
          <w:color w:val="000000"/>
          <w:sz w:val="24"/>
          <w:highlight w:val="none"/>
        </w:rPr>
        <w:t xml:space="preserve">2.3</w:t>
      </w:r>
      <w:r>
        <w:rPr>
          <w:rFonts w:hint="eastAsia" w:ascii="宋体" w:hAnsi="宋体" w:cs="宋体"/>
          <w:b/>
          <w:color w:val="000000"/>
          <w:sz w:val="24"/>
          <w:highlight w:val="none"/>
        </w:rPr>
        <w:t xml:space="preserve">本项目 </w:t>
      </w:r>
      <w:r>
        <w:rPr>
          <w:rFonts w:hint="eastAsia" w:ascii="宋体" w:hAnsi="宋体" w:cs="宋体"/>
          <w:b/>
          <w:color w:val="000000"/>
          <w:sz w:val="24"/>
          <w:highlight w:val="none"/>
          <w:u w:val="single"/>
        </w:rPr>
        <w:t xml:space="preserve">不接受 </w:t>
      </w:r>
      <w:r>
        <w:rPr>
          <w:rFonts w:hint="eastAsia" w:ascii="宋体" w:hAnsi="宋体" w:cs="宋体"/>
          <w:b/>
          <w:color w:val="000000"/>
          <w:sz w:val="24"/>
          <w:highlight w:val="none"/>
        </w:rPr>
        <w:t xml:space="preserve">进口产品投标；本项目 </w:t>
      </w:r>
      <w:r>
        <w:rPr>
          <w:rFonts w:hint="eastAsia" w:ascii="宋体" w:hAnsi="宋体" w:cs="宋体"/>
          <w:b/>
          <w:color w:val="000000"/>
          <w:sz w:val="24"/>
          <w:highlight w:val="none"/>
          <w:u w:val="single"/>
        </w:rPr>
        <w:t xml:space="preserve">不接受</w:t>
      </w:r>
      <w:r>
        <w:rPr>
          <w:rFonts w:hint="eastAsia" w:ascii="宋体" w:hAnsi="宋体" w:cs="宋体"/>
          <w:b/>
          <w:color w:val="000000"/>
          <w:sz w:val="24"/>
          <w:highlight w:val="none"/>
        </w:rPr>
        <w:t xml:space="preserve"> 联合体参与投标。</w:t>
      </w:r>
      <w:r/>
    </w:p>
    <w:p>
      <w:pPr>
        <w:ind w:firstLine="482"/>
        <w:spacing w:line="360" w:lineRule="auto"/>
        <w:widowControl/>
        <w:rPr>
          <w:rFonts w:ascii="宋体" w:hAnsi="宋体" w:cs="宋体"/>
          <w:color w:val="000000"/>
          <w:sz w:val="24"/>
          <w:highlight w:val="none"/>
        </w:rPr>
      </w:pPr>
      <w:r>
        <w:rPr>
          <w:rFonts w:ascii="宋体" w:hAnsi="宋体"/>
          <w:b/>
          <w:bCs/>
          <w:color w:val="000000"/>
          <w:sz w:val="24"/>
          <w:highlight w:val="none"/>
        </w:rPr>
        <w:t xml:space="preserve">2.4</w:t>
      </w:r>
      <w:r>
        <w:rPr>
          <w:rFonts w:hint="eastAsia" w:ascii="宋体" w:hAnsi="宋体"/>
          <w:b/>
          <w:bCs/>
          <w:color w:val="000000"/>
          <w:sz w:val="24"/>
          <w:highlight w:val="none"/>
        </w:rPr>
        <w:t xml:space="preserve">本项目的特定资格要求：</w:t>
      </w:r>
      <w:bookmarkStart w:id="37" w:name="_Hlk28680991"/>
      <w:r>
        <w:rPr>
          <w:rFonts w:hint="eastAsia" w:ascii="宋体" w:hAnsi="宋体"/>
          <w:b/>
          <w:bCs/>
          <w:color w:val="000000"/>
          <w:sz w:val="24"/>
          <w:highlight w:val="none"/>
        </w:rPr>
        <w:t xml:space="preserve">无。</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5</w:t>
      </w:r>
      <w:r>
        <w:rPr>
          <w:rFonts w:hint="eastAsia" w:ascii="宋体" w:hAnsi="宋体" w:cs="宋体"/>
          <w:color w:val="000000"/>
          <w:sz w:val="24"/>
          <w:highlight w:val="none"/>
        </w:rPr>
        <w:t xml:space="preserve">拒绝以下投标人参加本次采购活动：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（1）被“信用中国”网站（</w:t>
      </w:r>
      <w:r>
        <w:rPr>
          <w:rFonts w:ascii="宋体" w:hAnsi="宋体" w:cs="宋体"/>
          <w:color w:val="000000"/>
          <w:sz w:val="24"/>
          <w:highlight w:val="none"/>
        </w:rPr>
        <w:t xml:space="preserve">www.creditchina.gov.cn</w:t>
      </w:r>
      <w:r>
        <w:rPr>
          <w:rFonts w:hint="eastAsia" w:ascii="宋体" w:hAnsi="宋体" w:cs="宋体"/>
          <w:color w:val="000000"/>
          <w:sz w:val="24"/>
          <w:highlight w:val="none"/>
        </w:rPr>
        <w:t xml:space="preserve">）、“中国政府采购网”(www.ccgp.gov.cn)列入失信被执行人、税收违法黑名单、政府采购严重失信行为记录名单，及其他不符合《中华人民共和国政府采购法》第二十二条规定条件的信用记录。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（2）供应商</w:t>
      </w:r>
      <w:r>
        <w:rPr>
          <w:rFonts w:ascii="宋体" w:hAnsi="宋体" w:cs="宋体"/>
          <w:color w:val="000000"/>
          <w:sz w:val="24"/>
          <w:highlight w:val="none"/>
        </w:rPr>
        <w:t xml:space="preserve">单位负责人为同一人或者存在直接控股、管理关系的不同供应商，不得参加同一合同项下的政府采购活动</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为</w:t>
      </w:r>
      <w:r>
        <w:rPr>
          <w:rFonts w:hint="eastAsia" w:ascii="宋体" w:hAnsi="宋体" w:cs="宋体"/>
          <w:color w:val="000000"/>
          <w:sz w:val="24"/>
          <w:highlight w:val="none"/>
        </w:rPr>
        <w:t xml:space="preserve">本</w:t>
      </w:r>
      <w:r>
        <w:rPr>
          <w:rFonts w:ascii="宋体" w:hAnsi="宋体" w:cs="宋体"/>
          <w:color w:val="000000"/>
          <w:sz w:val="24"/>
          <w:highlight w:val="none"/>
        </w:rPr>
        <w:t xml:space="preserve">项目提供整体设计、规范编制或者项目管理、监理、检测等服务的供应商，不得再参加</w:t>
      </w:r>
      <w:r>
        <w:rPr>
          <w:rFonts w:hint="eastAsia" w:ascii="宋体" w:hAnsi="宋体" w:cs="宋体"/>
          <w:color w:val="000000"/>
          <w:sz w:val="24"/>
          <w:highlight w:val="none"/>
        </w:rPr>
        <w:t xml:space="preserve">本项目的其他</w:t>
      </w:r>
      <w:r>
        <w:rPr>
          <w:rFonts w:ascii="宋体" w:hAnsi="宋体" w:cs="宋体"/>
          <w:color w:val="000000"/>
          <w:sz w:val="24"/>
          <w:highlight w:val="none"/>
        </w:rPr>
        <w:t xml:space="preserve">采购活动</w:t>
      </w:r>
      <w:r>
        <w:rPr>
          <w:rFonts w:hint="eastAsia" w:ascii="宋体" w:hAnsi="宋体" w:cs="宋体"/>
          <w:color w:val="000000"/>
          <w:sz w:val="24"/>
          <w:highlight w:val="none"/>
        </w:rPr>
        <w:t xml:space="preserve">。</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（4）依据“财政部令第102号《政府购买服务管理办法》”第二章 第八条“公益一类事业单位、使用事业编制且由财政拨款保障的群团组织，不作为政府购买服务的购买主体和承接主体。”</w:t>
      </w:r>
      <w:bookmarkEnd w:id="28"/>
      <w:r/>
      <w:bookmarkEnd w:id="37"/>
      <w:r/>
      <w:r/>
    </w:p>
    <w:p>
      <w:pPr>
        <w:pStyle w:val="807"/>
        <w:pageBreakBefore w:val="0"/>
        <w:spacing w:before="0" w:after="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w:t>
      </w:r>
      <w:r>
        <w:rPr>
          <w:rFonts w:hint="eastAsia" w:ascii="宋体" w:hAnsi="宋体" w:eastAsia="宋体" w:cs="宋体"/>
          <w:b/>
          <w:bCs/>
          <w:color w:val="auto"/>
          <w:highlight w:val="none"/>
          <w:lang w:eastAsia="zh-CN"/>
        </w:rPr>
        <w:t xml:space="preserve">磋商</w:t>
      </w:r>
      <w:r>
        <w:rPr>
          <w:rFonts w:hint="eastAsia" w:ascii="宋体" w:hAnsi="宋体" w:eastAsia="宋体" w:cs="宋体"/>
          <w:b/>
          <w:bCs/>
          <w:color w:val="auto"/>
          <w:highlight w:val="none"/>
        </w:rPr>
        <w:t xml:space="preserve">文件</w:t>
      </w:r>
      <w:bookmarkEnd w:id="29"/>
      <w:r/>
      <w:bookmarkEnd w:id="30"/>
      <w:r/>
      <w:bookmarkEnd w:id="31"/>
      <w:r/>
      <w:bookmarkEnd w:id="32"/>
      <w:r/>
      <w:bookmarkEnd w:id="33"/>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bookmarkStart w:id="38" w:name="_Toc28359005"/>
      <w:r/>
      <w:bookmarkStart w:id="39" w:name="_Toc28359082"/>
      <w:r/>
      <w:bookmarkStart w:id="40" w:name="_Toc38985266"/>
      <w:r/>
      <w:bookmarkStart w:id="41" w:name="_Toc35393624"/>
      <w:r/>
      <w:bookmarkStart w:id="42" w:name="_Toc35393793"/>
      <w:r>
        <w:rPr>
          <w:rFonts w:hint="eastAsia" w:ascii="宋体" w:hAnsi="宋体" w:eastAsia="宋体" w:cs="宋体"/>
          <w:color w:val="auto"/>
          <w:sz w:val="24"/>
          <w:szCs w:val="24"/>
          <w:highlight w:val="none"/>
          <w:lang w:val="zh-CN"/>
        </w:rPr>
        <w:t xml:space="preserve">时间：</w:t>
      </w:r>
      <w:r>
        <w:rPr>
          <w:rFonts w:hint="eastAsia" w:ascii="宋体" w:hAnsi="宋体" w:cs="宋体"/>
          <w:bCs/>
          <w:sz w:val="24"/>
          <w:highlight w:val="none"/>
        </w:rPr>
        <w:t xml:space="preserve">自</w:t>
      </w:r>
      <w:r>
        <w:rPr>
          <w:rFonts w:hint="eastAsia" w:ascii="宋体" w:hAnsi="宋体" w:cs="宋体"/>
          <w:bCs/>
          <w:sz w:val="24"/>
          <w:highlight w:val="none"/>
          <w:lang w:val="en-US" w:eastAsia="zh-CN"/>
        </w:rPr>
        <w:t xml:space="preserve">竞争性磋商</w:t>
      </w:r>
      <w:r>
        <w:rPr>
          <w:rFonts w:hint="eastAsia" w:ascii="宋体" w:hAnsi="宋体" w:cs="宋体"/>
          <w:bCs/>
          <w:sz w:val="24"/>
          <w:highlight w:val="none"/>
        </w:rPr>
        <w:t xml:space="preserve">公告发布之日起5个工作日</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地点：</w:t>
      </w:r>
      <w:r>
        <w:rPr>
          <w:rFonts w:hint="eastAsia" w:ascii="宋体" w:hAnsi="宋体" w:eastAsia="宋体" w:cs="宋体"/>
          <w:color w:val="auto"/>
          <w:sz w:val="24"/>
          <w:szCs w:val="24"/>
          <w:highlight w:val="none"/>
          <w:lang w:val="en-US" w:eastAsia="zh-CN"/>
        </w:rPr>
        <w:t xml:space="preserve">江苏政府采购网</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方式：</w:t>
      </w:r>
      <w:r>
        <w:rPr>
          <w:rFonts w:hint="eastAsia" w:ascii="宋体" w:hAnsi="宋体" w:eastAsia="宋体" w:cs="宋体"/>
          <w:color w:val="auto"/>
          <w:sz w:val="24"/>
          <w:szCs w:val="24"/>
          <w:highlight w:val="none"/>
          <w:lang w:val="en-US" w:eastAsia="zh-CN"/>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售价：0.00元</w:t>
      </w:r>
      <w:r/>
    </w:p>
    <w:p>
      <w:pPr>
        <w:pStyle w:val="807"/>
        <w:pageBreakBefore w:val="0"/>
        <w:spacing w:before="0" w:after="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四、提交</w:t>
      </w:r>
      <w:r>
        <w:rPr>
          <w:rFonts w:hint="eastAsia" w:ascii="宋体" w:hAnsi="宋体" w:eastAsia="宋体" w:cs="宋体"/>
          <w:b/>
          <w:bCs/>
          <w:color w:val="auto"/>
          <w:highlight w:val="none"/>
          <w:lang w:eastAsia="zh-CN"/>
        </w:rPr>
        <w:t xml:space="preserve">响应</w:t>
      </w:r>
      <w:r>
        <w:rPr>
          <w:rFonts w:hint="eastAsia" w:ascii="宋体" w:hAnsi="宋体" w:eastAsia="宋体" w:cs="宋体"/>
          <w:b/>
          <w:bCs/>
          <w:color w:val="auto"/>
          <w:highlight w:val="none"/>
        </w:rPr>
        <w:t xml:space="preserve">文件</w:t>
      </w:r>
      <w:bookmarkEnd w:id="38"/>
      <w:r/>
      <w:bookmarkEnd w:id="39"/>
      <w:r>
        <w:rPr>
          <w:rFonts w:hint="eastAsia" w:ascii="宋体" w:hAnsi="宋体" w:eastAsia="宋体" w:cs="宋体"/>
          <w:b/>
          <w:bCs/>
          <w:color w:val="auto"/>
          <w:highlight w:val="none"/>
        </w:rPr>
        <w:t xml:space="preserve">截止时间、开标时间和地点</w:t>
      </w:r>
      <w:bookmarkEnd w:id="40"/>
      <w:r/>
      <w:bookmarkEnd w:id="41"/>
      <w:r/>
      <w:bookmarkEnd w:id="42"/>
      <w:r/>
      <w:r/>
    </w:p>
    <w:p>
      <w:pPr>
        <w:ind w:firstLine="480"/>
        <w:pageBreakBefore w:val="0"/>
        <w:spacing w:line="360" w:lineRule="auto"/>
        <w:widowControl w:val="off"/>
        <w:rPr>
          <w:rFonts w:hint="eastAsia" w:ascii="宋体" w:hAnsi="宋体" w:eastAsia="宋体" w:cs="宋体"/>
          <w:color w:val="auto"/>
          <w:sz w:val="24"/>
          <w:szCs w:val="24"/>
          <w:highlight w:val="none"/>
          <w:lang w:val="zh-CN" w:eastAsia="zh-CN"/>
        </w:rPr>
      </w:pPr>
      <w:r/>
      <w:bookmarkStart w:id="43" w:name="_Toc28359084"/>
      <w:r/>
      <w:bookmarkStart w:id="44" w:name="_Toc35393794"/>
      <w:r/>
      <w:bookmarkStart w:id="45" w:name="_Toc38985267"/>
      <w:r/>
      <w:bookmarkStart w:id="46" w:name="_Toc35393625"/>
      <w:r/>
      <w:bookmarkStart w:id="47" w:name="_Toc28359007"/>
      <w:r>
        <w:rPr>
          <w:rFonts w:hint="eastAsia" w:ascii="宋体" w:hAnsi="宋体" w:eastAsia="宋体" w:cs="宋体"/>
          <w:color w:val="auto"/>
          <w:sz w:val="24"/>
          <w:szCs w:val="24"/>
          <w:highlight w:val="none"/>
          <w:lang w:val="zh-CN" w:eastAsia="zh-CN"/>
        </w:rPr>
        <w:t xml:space="preserve">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日14</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zh-CN" w:eastAsia="zh-CN"/>
        </w:rPr>
        <w:t xml:space="preserve">（北京时间）</w:t>
      </w:r>
      <w:r/>
    </w:p>
    <w:p>
      <w:pPr>
        <w:ind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地点：江苏省政府采购交易系统（以下简称苏采云系统）网上开标大厅</w:t>
      </w:r>
      <w:r/>
    </w:p>
    <w:p>
      <w:pPr>
        <w:pStyle w:val="807"/>
        <w:pageBreakBefore w:val="0"/>
        <w:spacing w:before="0" w:after="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五、公告期限</w:t>
      </w:r>
      <w:bookmarkEnd w:id="43"/>
      <w:r/>
      <w:bookmarkEnd w:id="44"/>
      <w:r/>
      <w:bookmarkEnd w:id="45"/>
      <w:r/>
      <w:bookmarkEnd w:id="46"/>
      <w:r/>
      <w:bookmarkEnd w:id="47"/>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48" w:name="_Toc35393626"/>
      <w:r/>
      <w:bookmarkStart w:id="49" w:name="_Toc38985268"/>
      <w:r/>
      <w:bookmarkStart w:id="50" w:name="_Toc35393795"/>
      <w:r>
        <w:rPr>
          <w:rFonts w:hint="eastAsia" w:ascii="宋体" w:hAnsi="宋体" w:eastAsia="宋体" w:cs="宋体"/>
          <w:color w:val="auto"/>
          <w:sz w:val="24"/>
          <w:szCs w:val="24"/>
          <w:highlight w:val="none"/>
        </w:rPr>
        <w:t xml:space="preserve">自本公告发布之日起3个工作日。</w:t>
      </w:r>
      <w:r/>
    </w:p>
    <w:p>
      <w:pPr>
        <w:pStyle w:val="807"/>
        <w:pageBreakBefore w:val="0"/>
        <w:spacing w:before="0" w:after="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六、其他事宜</w:t>
      </w:r>
      <w:bookmarkEnd w:id="48"/>
      <w:r/>
      <w:bookmarkEnd w:id="49"/>
      <w:r/>
      <w:bookmarkEnd w:id="50"/>
      <w:r/>
      <w:r/>
    </w:p>
    <w:p>
      <w:pPr>
        <w:ind w:firstLine="482"/>
        <w:pageBreakBefore w:val="0"/>
        <w:spacing w:line="360" w:lineRule="auto"/>
        <w:widowControl w:val="off"/>
        <w:rPr>
          <w:rFonts w:hint="eastAsia" w:ascii="宋体" w:hAnsi="宋体" w:eastAsia="宋体" w:cs="宋体"/>
          <w:b/>
          <w:bCs/>
          <w:color w:val="auto"/>
          <w:sz w:val="24"/>
          <w:szCs w:val="24"/>
          <w:highlight w:val="none"/>
          <w:lang w:val="zh-CN" w:eastAsia="zh-CN"/>
        </w:rPr>
      </w:pPr>
      <w:r/>
      <w:bookmarkStart w:id="51" w:name="_Toc28359085"/>
      <w:r/>
      <w:bookmarkStart w:id="52" w:name="_Toc35393796"/>
      <w:r/>
      <w:bookmarkStart w:id="53" w:name="_Toc28359008"/>
      <w:r/>
      <w:bookmarkStart w:id="54" w:name="_Toc38985269"/>
      <w:r/>
      <w:bookmarkStart w:id="55" w:name="_Toc35393627"/>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zh-CN" w:eastAsia="zh-CN"/>
        </w:rPr>
        <w:t xml:space="preserve">.本次招标 </w:t>
      </w:r>
      <w:r>
        <w:rPr>
          <w:rFonts w:hint="eastAsia" w:ascii="宋体" w:hAnsi="宋体" w:eastAsia="宋体" w:cs="宋体"/>
          <w:b/>
          <w:bCs/>
          <w:color w:val="auto"/>
          <w:sz w:val="24"/>
          <w:szCs w:val="24"/>
          <w:highlight w:val="none"/>
          <w:u w:val="single"/>
          <w:lang w:val="zh-CN" w:eastAsia="zh-CN"/>
        </w:rPr>
        <w:t xml:space="preserve">不收取</w:t>
      </w:r>
      <w:r>
        <w:rPr>
          <w:rFonts w:hint="eastAsia" w:ascii="宋体" w:hAnsi="宋体" w:eastAsia="宋体" w:cs="宋体"/>
          <w:b/>
          <w:bCs/>
          <w:color w:val="auto"/>
          <w:sz w:val="24"/>
          <w:szCs w:val="24"/>
          <w:highlight w:val="none"/>
          <w:lang w:val="zh-CN" w:eastAsia="zh-CN"/>
        </w:rPr>
        <w:t xml:space="preserve"> </w:t>
      </w:r>
      <w:r>
        <w:rPr>
          <w:rFonts w:hint="eastAsia" w:ascii="宋体" w:hAnsi="宋体" w:eastAsia="宋体" w:cs="宋体"/>
          <w:b/>
          <w:bCs/>
          <w:color w:val="auto"/>
          <w:sz w:val="24"/>
          <w:szCs w:val="24"/>
          <w:highlight w:val="none"/>
          <w:lang w:val="en-US" w:eastAsia="zh-CN"/>
        </w:rPr>
        <w:t xml:space="preserve">磋商</w:t>
      </w:r>
      <w:r>
        <w:rPr>
          <w:rFonts w:hint="eastAsia" w:ascii="宋体" w:hAnsi="宋体" w:eastAsia="宋体" w:cs="宋体"/>
          <w:b/>
          <w:bCs/>
          <w:color w:val="auto"/>
          <w:sz w:val="24"/>
          <w:szCs w:val="24"/>
          <w:highlight w:val="none"/>
          <w:lang w:val="zh-CN" w:eastAsia="zh-CN"/>
        </w:rPr>
        <w:t xml:space="preserve">保证金</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本项目分为包一、包二，共计两个采购包，可兼投但不兼中。按照包一、包二顺序依次评审。如供应商在包一中为第一中标候选人，则不再推荐为包二的中标候选人，包二的中标候选人按综合得分由高到低依序产生。</w:t>
      </w:r>
      <w:r/>
    </w:p>
    <w:p>
      <w:pPr>
        <w:ind w:firstLine="48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.潜在供应</w:t>
      </w:r>
      <w:r>
        <w:rPr>
          <w:rFonts w:hint="eastAsia" w:ascii="宋体" w:hAnsi="宋体" w:eastAsia="宋体" w:cs="宋体"/>
          <w:color w:val="auto"/>
          <w:sz w:val="24"/>
          <w:szCs w:val="24"/>
          <w:highlight w:val="none"/>
          <w:lang w:val="zh-CN" w:eastAsia="zh-CN"/>
        </w:rPr>
        <w:t xml:space="preserve">商访问政府采购管理交易系统（苏采云）的网络地址和方法：</w:t>
      </w:r>
      <w:r/>
    </w:p>
    <w:p>
      <w:pPr>
        <w:ind w:firstLine="480"/>
        <w:pageBreakBefore w:val="0"/>
        <w:spacing w:line="360" w:lineRule="auto"/>
        <w:widowControl w:val="off"/>
        <w:rPr>
          <w:rFonts w:ascii="宋体" w:hAnsi="宋体" w:eastAsia="宋体" w:cs="Times New Roman"/>
          <w:color w:val="000000"/>
          <w:sz w:val="24"/>
          <w:highlight w:val="none"/>
        </w:rPr>
      </w:pPr>
      <w:r>
        <w:rPr>
          <w:rFonts w:hint="eastAsia" w:ascii="宋体" w:hAnsi="宋体" w:eastAsia="宋体" w:cs="宋体"/>
          <w:color w:val="auto"/>
          <w:sz w:val="24"/>
          <w:szCs w:val="24"/>
          <w:highlight w:val="none"/>
          <w:lang w:val="zh-CN" w:eastAsia="zh-CN"/>
        </w:rPr>
        <w:t xml:space="preserve">（1）潜在供应商访问政府采购管理交易系统（苏采云）的方法：“苏采云”系统用户注册--获取“CA</w:t>
      </w:r>
      <w:r>
        <w:rPr>
          <w:rFonts w:hint="eastAsia" w:ascii="宋体" w:hAnsi="宋体" w:eastAsia="宋体" w:cs="Times New Roman"/>
          <w:color w:val="000000"/>
          <w:sz w:val="24"/>
          <w:highlight w:val="none"/>
        </w:rPr>
        <w:t xml:space="preserve">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（3）“CA数字证书”的办理材料以及供应商操作手册详见：http://jsxcmm.com/help/gys.html。</w:t>
      </w:r>
      <w:r/>
    </w:p>
    <w:p>
      <w:pPr>
        <w:ind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（4）潜在供应商访问“苏采云”系统的网络地址和方法：“苏采云”系统的网址：http://jszfcg.jsczt.cn/jszc/login。</w:t>
      </w:r>
      <w:r/>
    </w:p>
    <w:p>
      <w:pPr>
        <w:ind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w:t>
      </w:r>
      <w:r>
        <w:rPr>
          <w:rFonts w:hint="eastAsia" w:ascii="宋体" w:hAnsi="宋体" w:eastAsia="宋体" w:cs="Times New Roman"/>
          <w:color w:val="000000"/>
          <w:sz w:val="24"/>
          <w:highlight w:val="none"/>
          <w:lang w:eastAsia="zh-CN"/>
        </w:rPr>
        <w:t xml:space="preserve">采购代理机构</w:t>
      </w:r>
      <w:r>
        <w:rPr>
          <w:rFonts w:hint="eastAsia" w:ascii="宋体" w:hAnsi="宋体" w:eastAsia="宋体" w:cs="Times New Roman"/>
          <w:color w:val="000000"/>
          <w:sz w:val="24"/>
          <w:highlight w:val="none"/>
        </w:rPr>
        <w:t xml:space="preserve">将数据电文形式的采购文件加载至“苏采云”系统，供潜在供应商下载或者查阅。</w:t>
      </w:r>
      <w:r/>
    </w:p>
    <w:p>
      <w:pPr>
        <w:ind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（7）苏采云系统使用谷歌浏览器参与不见面开标。</w:t>
      </w:r>
      <w:r/>
    </w:p>
    <w:p>
      <w:pPr>
        <w:ind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（8）“苏采云”南京地区客服热线025-83633744、025-83633743。</w:t>
      </w:r>
      <w:r/>
    </w:p>
    <w:p>
      <w:pPr>
        <w:ind w:firstLine="480"/>
        <w:spacing w:line="360" w:lineRule="auto"/>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p>
    <w:p>
      <w:pPr>
        <w:pStyle w:val="807"/>
        <w:pageBreakBefore w:val="0"/>
        <w:spacing w:before="0" w:after="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七、本次招标联系方式</w:t>
      </w:r>
      <w:bookmarkEnd w:id="51"/>
      <w:r/>
      <w:bookmarkEnd w:id="52"/>
      <w:r/>
      <w:bookmarkEnd w:id="53"/>
      <w:r/>
      <w:bookmarkEnd w:id="54"/>
      <w:r/>
      <w:bookmarkEnd w:id="55"/>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7.1采购人信息</w:t>
      </w:r>
      <w:r/>
    </w:p>
    <w:p>
      <w:pPr>
        <w:ind w:firstLine="480"/>
        <w:spacing w:line="360" w:lineRule="auto"/>
        <w:rPr>
          <w:rFonts w:hint="default"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名  称：</w:t>
      </w:r>
      <w:r>
        <w:rPr>
          <w:rFonts w:hint="eastAsia" w:ascii="宋体" w:hAnsi="宋体" w:eastAsia="宋体" w:cs="Times New Roman"/>
          <w:color w:val="000000"/>
          <w:sz w:val="24"/>
          <w:highlight w:val="none"/>
          <w:lang w:val="en-US" w:eastAsia="zh-CN"/>
        </w:rPr>
        <w:t xml:space="preserve">江苏省退役军人事务厅</w:t>
      </w:r>
      <w:r/>
    </w:p>
    <w:p>
      <w:pPr>
        <w:ind w:firstLine="480"/>
        <w:spacing w:line="360" w:lineRule="auto"/>
        <w:rPr>
          <w:rFonts w:hint="default"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地  址：</w:t>
      </w:r>
      <w:r>
        <w:rPr>
          <w:rFonts w:hint="eastAsia" w:ascii="宋体" w:hAnsi="宋体" w:cs="Times New Roman"/>
          <w:color w:val="000000"/>
          <w:sz w:val="24"/>
          <w:highlight w:val="none"/>
          <w:lang w:eastAsia="zh-CN"/>
        </w:rPr>
        <w:t xml:space="preserve">南京市鼓楼区新模范马路</w:t>
      </w:r>
      <w:r>
        <w:rPr>
          <w:rFonts w:hint="eastAsia" w:ascii="宋体" w:hAnsi="宋体" w:cs="Times New Roman"/>
          <w:color w:val="000000"/>
          <w:sz w:val="24"/>
          <w:highlight w:val="none"/>
          <w:lang w:val="en-US" w:eastAsia="zh-CN"/>
        </w:rPr>
        <w:t xml:space="preserve">90号</w:t>
      </w:r>
      <w:r/>
    </w:p>
    <w:p>
      <w:pPr>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联系人：</w:t>
      </w:r>
      <w:r>
        <w:rPr>
          <w:rFonts w:hint="eastAsia" w:ascii="宋体" w:hAnsi="宋体" w:cs="Times New Roman"/>
          <w:color w:val="000000"/>
          <w:sz w:val="24"/>
          <w:highlight w:val="none"/>
          <w:lang w:eastAsia="zh-CN"/>
        </w:rPr>
        <w:t xml:space="preserve">方进</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联系电话：</w:t>
      </w:r>
      <w:r>
        <w:rPr>
          <w:rFonts w:hint="eastAsia" w:ascii="宋体" w:hAnsi="宋体" w:cs="Times New Roman"/>
          <w:color w:val="000000"/>
          <w:sz w:val="24"/>
          <w:highlight w:val="none"/>
          <w:lang w:val="en-US" w:eastAsia="zh-CN"/>
        </w:rPr>
        <w:t xml:space="preserve">025-58502086</w:t>
      </w:r>
      <w:r>
        <w:rPr>
          <w:rFonts w:hint="default" w:ascii="Arial" w:hAnsi="Arial" w:eastAsia="Arial" w:cs="Arial"/>
          <w:i w:val="0"/>
          <w:iCs w:val="0"/>
          <w:caps w:val="0"/>
          <w:color w:val="2440b3"/>
          <w:spacing w:val="0"/>
          <w:sz w:val="18"/>
          <w:szCs w:val="18"/>
          <w:highlight w:val="none"/>
          <w:shd w:val="clear" w:color="auto" w:fill="ffffff"/>
          <w:lang w:val="en-US" w:eastAsia="zh-CN" w:bidi="ar"/>
        </w:rPr>
        <w:fldChar w:fldCharType="begin"/>
      </w:r>
      <w:r>
        <w:rPr>
          <w:rFonts w:hint="default" w:ascii="Arial" w:hAnsi="Arial" w:eastAsia="Arial" w:cs="Arial"/>
          <w:i w:val="0"/>
          <w:iCs w:val="0"/>
          <w:caps w:val="0"/>
          <w:color w:val="2440b3"/>
          <w:spacing w:val="0"/>
          <w:sz w:val="18"/>
          <w:szCs w:val="18"/>
          <w:highlight w:val="none"/>
          <w:shd w:val="clear" w:color="auto" w:fill="ffffff"/>
          <w:lang w:val="en-US" w:eastAsia="zh-CN" w:bidi="ar"/>
        </w:rPr>
        <w:instrText xml:space="preserve"> HYPERLINK "http://www.baidu.com/link?url=Ya445uzKW3OAmDV6Be4__MUfxcj7peZRbcRDdgDI6mdsCwFFxxUR31jJ7d-bUyFn" \t "https://www.baidu.com/_blank" </w:instrText>
      </w:r>
      <w:r>
        <w:rPr>
          <w:rFonts w:hint="default" w:ascii="Arial" w:hAnsi="Arial" w:eastAsia="Arial" w:cs="Arial"/>
          <w:i w:val="0"/>
          <w:iCs w:val="0"/>
          <w:caps w:val="0"/>
          <w:color w:val="2440b3"/>
          <w:spacing w:val="0"/>
          <w:sz w:val="18"/>
          <w:szCs w:val="18"/>
          <w:highlight w:val="none"/>
          <w:shd w:val="clear" w:color="auto" w:fill="ffffff"/>
          <w:lang w:val="en-US" w:eastAsia="zh-CN" w:bidi="ar"/>
        </w:rPr>
        <w:fldChar w:fldCharType="separate"/>
      </w:r>
      <w:r>
        <w:rPr>
          <w:rFonts w:hint="default" w:ascii="Arial" w:hAnsi="Arial" w:eastAsia="Arial" w:cs="Arial"/>
          <w:i w:val="0"/>
          <w:iCs w:val="0"/>
          <w:caps w:val="0"/>
          <w:color w:val="2440b3"/>
          <w:spacing w:val="0"/>
          <w:sz w:val="18"/>
          <w:szCs w:val="18"/>
          <w:highlight w:val="none"/>
          <w:shd w:val="clear" w:color="auto" w:fill="ffffff"/>
          <w:lang w:val="en-US" w:eastAsia="zh-CN" w:bidi="ar"/>
        </w:rPr>
        <w:fldChar w:fldCharType="end"/>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7.2采购代理机构信息</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名  称：江苏苏咨工程咨询有限责任公司</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地  址：南京市鼓楼区中山北路285号附楼（原江虞宾馆）3-4楼</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联系人：何仁杰 </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联系电话：025-83581356</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7.3项目联系方式</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项目联系人：何仁杰</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电话：025-83581356</w:t>
      </w:r>
      <w:r/>
    </w:p>
    <w:p>
      <w:pPr>
        <w:pStyle w:val="857"/>
        <w:rPr>
          <w:rFonts w:hint="eastAsia"/>
          <w:color w:val="auto"/>
          <w:highlight w:val="none"/>
        </w:rPr>
      </w:pPr>
      <w:r>
        <w:rPr>
          <w:rFonts w:hint="eastAsia"/>
          <w:color w:val="auto"/>
          <w:highlight w:val="none"/>
        </w:rPr>
      </w:r>
      <w:r/>
    </w:p>
    <w:p>
      <w:pPr>
        <w:pStyle w:val="857"/>
        <w:rPr>
          <w:rFonts w:hint="eastAsia"/>
          <w:color w:val="auto"/>
          <w:highlight w:val="none"/>
        </w:rPr>
      </w:pPr>
      <w:r>
        <w:rPr>
          <w:rFonts w:hint="eastAsia"/>
          <w:color w:val="auto"/>
          <w:highlight w:val="none"/>
        </w:rPr>
      </w:r>
      <w:r/>
    </w:p>
    <w:p>
      <w:pPr>
        <w:pStyle w:val="865"/>
        <w:ind w:left="0"/>
        <w:jc w:val="center"/>
        <w:keepLines w:val="0"/>
        <w:keepNext w:val="0"/>
        <w:pageBreakBefore w:val="0"/>
        <w:spacing w:line="360" w:lineRule="auto"/>
        <w:widowControl w:val="off"/>
        <w:tabs>
          <w:tab w:val="left" w:pos="463" w:leader="none"/>
        </w:tabs>
        <w:rPr>
          <w:rFonts w:hint="eastAsia" w:ascii="宋体" w:hAnsi="宋体" w:eastAsia="宋体" w:cs="宋体"/>
          <w:color w:val="auto"/>
          <w:sz w:val="36"/>
          <w:szCs w:val="36"/>
          <w:highlight w:val="none"/>
          <w:lang w:val="en-US"/>
        </w:rPr>
        <w:outlineLvl w:val="0"/>
      </w:pPr>
      <w:r/>
      <w:bookmarkStart w:id="56" w:name="_Toc120614211"/>
      <w:r>
        <w:rPr>
          <w:rFonts w:hint="eastAsia" w:ascii="方正小标宋简体" w:hAnsi="方正小标宋简体" w:eastAsia="方正小标宋简体" w:cs="方正小标宋简体"/>
          <w:color w:val="auto"/>
          <w:sz w:val="36"/>
          <w:szCs w:val="36"/>
          <w:highlight w:val="none"/>
          <w:lang w:val="en-US"/>
        </w:rPr>
        <w:br w:type="page" w:clear="all"/>
      </w:r>
      <w:bookmarkStart w:id="57" w:name="_Toc17999"/>
      <w:r/>
      <w:bookmarkStart w:id="58" w:name="_Toc719"/>
      <w:r>
        <w:rPr>
          <w:rFonts w:hint="eastAsia" w:ascii="宋体" w:hAnsi="宋体" w:eastAsia="宋体" w:cs="宋体"/>
          <w:b/>
          <w:bCs/>
          <w:color w:val="auto"/>
          <w:sz w:val="36"/>
          <w:szCs w:val="36"/>
          <w:highlight w:val="none"/>
          <w:lang w:val="en-US" w:eastAsia="zh-CN" w:bidi="ar-SA"/>
        </w:rPr>
        <w:t xml:space="preserve">第二章  </w:t>
      </w:r>
      <w:bookmarkEnd w:id="10"/>
      <w:r/>
      <w:bookmarkEnd w:id="11"/>
      <w:r/>
      <w:bookmarkEnd w:id="12"/>
      <w:r/>
      <w:bookmarkEnd w:id="13"/>
      <w:r/>
      <w:bookmarkEnd w:id="14"/>
      <w:r/>
      <w:bookmarkEnd w:id="56"/>
      <w:r/>
      <w:bookmarkStart w:id="59" w:name="_Toc120614213"/>
      <w:r/>
      <w:bookmarkStart w:id="60" w:name="_Toc16938518"/>
      <w:r/>
      <w:bookmarkStart w:id="61" w:name="_Toc20823274"/>
      <w:r/>
      <w:bookmarkStart w:id="62" w:name="_Toc513029202"/>
      <w:r>
        <w:rPr>
          <w:rFonts w:hint="eastAsia" w:ascii="宋体" w:hAnsi="宋体" w:eastAsia="宋体" w:cs="宋体"/>
          <w:b/>
          <w:bCs/>
          <w:color w:val="auto"/>
          <w:sz w:val="36"/>
          <w:szCs w:val="36"/>
          <w:highlight w:val="none"/>
          <w:lang w:val="en-US" w:eastAsia="zh-CN" w:bidi="ar-SA"/>
        </w:rPr>
        <w:t xml:space="preserve">供应商须知</w:t>
      </w:r>
      <w:bookmarkEnd w:id="57"/>
      <w:r/>
      <w:bookmarkEnd w:id="58"/>
      <w:r/>
      <w:bookmarkEnd w:id="59"/>
      <w:r/>
      <w:bookmarkEnd w:id="60"/>
      <w:r/>
      <w:bookmarkEnd w:id="61"/>
      <w:r/>
      <w:bookmarkEnd w:id="62"/>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bookmarkStart w:id="63" w:name="_Toc513029242"/>
      <w:r/>
      <w:bookmarkStart w:id="64" w:name="_Toc479757207"/>
      <w:r/>
      <w:bookmarkStart w:id="65" w:name="_Toc20823314"/>
      <w:r/>
      <w:bookmarkStart w:id="66" w:name="_Toc120614221"/>
      <w:r/>
      <w:bookmarkStart w:id="67" w:name="_Toc16938558"/>
      <w:r>
        <w:rPr>
          <w:rFonts w:ascii="宋体" w:hAnsi="宋体" w:eastAsia="宋体" w:cs="宋体"/>
          <w:b/>
          <w:color w:val="auto"/>
          <w:sz w:val="24"/>
          <w:highlight w:val="none"/>
        </w:rPr>
        <w:t xml:space="preserve">一、总则</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1、适用法律</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1.1《中华人民共和国政府采购法》、《中华人民共和国政府采购法实施条例》、《政府采购竞争性磋商采购方式管理暂行办法》等有关法律、规章和规定等。</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2、定义</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2.1“供应商”是指参加磋商竞争，并符合采购文件规定资格条件的法人、其他组织或者自然人。</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2.2“服务”指本磋商文件中所述服务。</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2.3“用户或使用单位”是指本项目采购人。</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3、政策功能</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3.1中小企业政策</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p>
    <w:p>
      <w:pPr>
        <w:ind w:left="0" w:right="0" w:firstLine="480"/>
        <w:jc w:val="both"/>
        <w:keepLines w:val="0"/>
        <w:keepNext w:val="0"/>
        <w:pageBreakBefore w:val="0"/>
        <w:spacing w:before="0" w:after="0" w:line="360" w:lineRule="auto"/>
        <w:widowControl w:val="off"/>
        <w:rPr>
          <w:rFonts w:eastAsia="宋体"/>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（2）对于专门面向中小企业或小型、微型企业的项目，只面向中小企业或小型、微型企业采购。对于非专门面向中小企业的项目，对小</w:t>
      </w:r>
      <w:r>
        <w:rPr>
          <w:rFonts w:ascii="宋体" w:hAnsi="宋体" w:eastAsia="宋体" w:cs="宋体"/>
          <w:b w:val="0"/>
          <w:bCs w:val="0"/>
          <w:color w:val="auto"/>
          <w:sz w:val="24"/>
          <w:highlight w:val="none"/>
        </w:rPr>
        <w:t xml:space="preserve">型和微型企业提供的货物、承担的工程或服报价价格给予扣除，用扣除后的价格参与评审：投标供应商为小微企业，则给予投标价格10%的扣除，用扣除后的价格参与评审。</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（3）参加政府采购活动的中小企业应当提供《中小企业声明函》、由省级以上监狱管理局戒毒管理局(含新疆生产建设兵团)出具的属于监狱企业的证明文件或《残疾人福利性单位声明函》。</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对于接受供应商以联合体形式参加采购活动的项目，小型、微型企业联合体应当符合《政府采购促进中小企业发展管理办法》（财库〔2020〕46号）的规定。联合协议中约定，小型、微型企业的协议合同金额占到联合体协议合同总金额30%以上的，给予联合体2%的价格扣除。</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（5）中小企业依据《政府采购促进中小企业发展管理办法》（财库〔2020〕46号）规定的政策获取政府采购合同后，小型、微型企业不得分包或转包给大型、中型企业，中型企业不得分包或转包给大型企业。</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（6）组成联合体的大中型企业和其他自然人、法人或者其他组织，与小型、微型企业之间不得存在投资关系；</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（7）供应商同时为小型、微型企业、监狱企业或残疾人福利性单位的，评审中只享受一次价格扣除。不重复进行价格扣除。</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（8）未按要求提供相关材料的，不享受相关政策。</w:t>
      </w:r>
      <w:r/>
    </w:p>
    <w:p>
      <w:pPr>
        <w:ind w:left="0" w:right="0" w:firstLine="482"/>
        <w:jc w:val="both"/>
        <w:keepLines w:val="0"/>
        <w:keepNext w:val="0"/>
        <w:pageBreakBefore w:val="0"/>
        <w:spacing w:before="0" w:after="0" w:line="360" w:lineRule="auto"/>
        <w:widowControl w:val="off"/>
        <w:rPr>
          <w:rFonts w:hint="eastAsia"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9</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本项目归属行业为</w:t>
      </w:r>
      <w:r>
        <w:rPr>
          <w:rFonts w:hint="eastAsia" w:ascii="宋体" w:hAnsi="宋体"/>
          <w:b/>
          <w:bCs/>
          <w:color w:val="000000"/>
          <w:sz w:val="24"/>
          <w:highlight w:val="none"/>
        </w:rPr>
        <w:t xml:space="preserve">租赁和商务服务业</w:t>
      </w:r>
      <w:r>
        <w:rPr>
          <w:rFonts w:hint="eastAsia" w:ascii="宋体" w:hAnsi="宋体" w:eastAsia="宋体" w:cs="宋体"/>
          <w:b/>
          <w:bCs/>
          <w:color w:val="auto"/>
          <w:sz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3.2供应商信用信息查询</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（1）采购人或采购代理机构将在“信用中国”（www.creditchina.gov.cn）、“中国政府采购网”（www.ccgp.gov.cn）对供应商进行信用信息查询，并将网站查询有关记录留存（财库[2016]125号）。</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（2）供应商信用查询记录不符合</w:t>
      </w:r>
      <w:r>
        <w:rPr>
          <w:rFonts w:hint="eastAsia" w:ascii="宋体" w:hAnsi="宋体" w:cs="宋体"/>
          <w:color w:val="auto"/>
          <w:sz w:val="24"/>
          <w:highlight w:val="none"/>
          <w:lang w:eastAsia="zh-CN"/>
        </w:rPr>
        <w:t xml:space="preserve">磋商文件</w:t>
      </w:r>
      <w:r>
        <w:rPr>
          <w:rFonts w:ascii="宋体" w:hAnsi="宋体" w:eastAsia="宋体" w:cs="宋体"/>
          <w:color w:val="auto"/>
          <w:sz w:val="24"/>
          <w:highlight w:val="none"/>
        </w:rPr>
        <w:t xml:space="preserve">要求的，采购人或采购代理机构将依法拒绝供应商参加本次采购活动。</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4、磋商费用</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4.1供应商应承担所有与准备和参加磋商有关的费用，无论采购结果如何，采购代理机构和采购人在任何情况下均无义务和责任承担这些费用。</w:t>
      </w:r>
      <w:r/>
    </w:p>
    <w:p>
      <w:pPr>
        <w:ind w:left="0" w:right="0" w:firstLine="482"/>
        <w:jc w:val="both"/>
        <w:keepLines w:val="0"/>
        <w:keepNext w:val="0"/>
        <w:pageBreakBefore w:val="0"/>
        <w:spacing w:before="0" w:after="0" w:line="360" w:lineRule="auto"/>
        <w:widowControl w:val="off"/>
        <w:rPr>
          <w:rFonts w:eastAsia="宋体"/>
          <w:b/>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auto"/>
          <w:sz w:val="24"/>
          <w:highlight w:val="none"/>
        </w:rPr>
        <w:t xml:space="preserve">4.2本次采购代理服务费由成交供应商支付给采购代理机构，请供应商予以关注并核算到总报价中。具体收费标准如下：</w:t>
      </w:r>
      <w:r>
        <w:rPr>
          <w:rFonts w:hint="eastAsia" w:ascii="宋体" w:hAnsi="宋体" w:cs="宋体"/>
          <w:b/>
          <w:bCs w:val="0"/>
          <w:color w:val="auto"/>
          <w:sz w:val="24"/>
          <w:highlight w:val="none"/>
          <w:lang w:val="en-US" w:eastAsia="zh-CN"/>
        </w:rPr>
        <w:t xml:space="preserve">3000元/每采购包</w:t>
      </w:r>
      <w:r>
        <w:rPr>
          <w:rFonts w:ascii="宋体" w:hAnsi="宋体" w:eastAsia="宋体" w:cs="宋体"/>
          <w:b/>
          <w:bCs w:val="0"/>
          <w:color w:val="auto"/>
          <w:sz w:val="24"/>
          <w:highlight w:val="none"/>
        </w:rPr>
        <w:t xml:space="preserve">。</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4.3本次采购代理服务费在成交供应商领取成交通知书时结算。</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二、响应文件编制</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5、供应商应当按照磋商文件的要求编制响应文件，并对其提交的响应文件真实性、合法性承担法律责任。</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6、响应文件的语言、计量单位、货币和编制</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6.1</w:t>
      </w:r>
      <w:r>
        <w:rPr>
          <w:rFonts w:ascii="宋体" w:hAnsi="宋体" w:eastAsia="宋体" w:cs="宋体"/>
          <w:b w:val="0"/>
          <w:bCs w:val="0"/>
          <w:color w:val="auto"/>
          <w:sz w:val="24"/>
          <w:highlight w:val="none"/>
        </w:rPr>
        <w:t xml:space="preserve">提交的响应文件、技术文件和资料，包括相关说明，以及供应商与采购代理机构就有关磋商的所有来往函电均应使用中文。响应文件中若有英文或其他语言文字的资料，应提供相应的中文翻译资料，否则不予认可。对不同文本响应文件的解释发生异议的，以中文文本为准。</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6.2供应商所使用的计量单位应为国家法定计量单位。</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6.3供应商应用人民币报价。</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6.4响应文件应字迹清楚、内容齐全。</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7、响应文件的组成</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7.1供应商应当根据磋商文件要求编制响应文件，并根据自己的商务能力、技术水平对磋商文件提出的要求和条件逐条标明是否响应。响应文件由商务部分、技术部分、价格部分，以及其他部分组成。</w:t>
      </w:r>
      <w:r/>
    </w:p>
    <w:p>
      <w:pPr>
        <w:ind w:left="0" w:right="0" w:firstLine="482"/>
        <w:jc w:val="both"/>
        <w:keepLines w:val="0"/>
        <w:keepNext w:val="0"/>
        <w:pageBreakBefore w:val="0"/>
        <w:spacing w:before="0" w:after="0" w:line="360" w:lineRule="auto"/>
        <w:widowControl w:val="off"/>
        <w:rPr>
          <w:rFonts w:eastAsia="宋体"/>
          <w:b/>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auto"/>
          <w:sz w:val="24"/>
          <w:highlight w:val="none"/>
        </w:rPr>
        <w:t xml:space="preserve">7.2响应文件的商务部分。商务部分是证明供应商有资格参加磋商和成交后有能力履行合同的文件，这些文件应能满足竞争性磋商采购文件的要求，包括但不限于下列文件，其中加※项目不得有缺失或无效：</w:t>
      </w:r>
      <w:r/>
    </w:p>
    <w:p>
      <w:pPr>
        <w:ind w:left="0" w:right="0" w:firstLine="482"/>
        <w:jc w:val="both"/>
        <w:keepLines w:val="0"/>
        <w:keepNext w:val="0"/>
        <w:pageBreakBefore w:val="0"/>
        <w:spacing w:before="0" w:after="0" w:line="360" w:lineRule="auto"/>
        <w:widowControl w:val="off"/>
        <w:rPr>
          <w:rFonts w:eastAsia="宋体"/>
          <w:b/>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auto"/>
          <w:sz w:val="24"/>
          <w:highlight w:val="none"/>
        </w:rPr>
        <w:t xml:space="preserve">（1）※磋商申请及声明；</w:t>
      </w:r>
      <w:r/>
    </w:p>
    <w:p>
      <w:pPr>
        <w:ind w:left="0" w:right="0" w:firstLine="482"/>
        <w:keepLines w:val="0"/>
        <w:keepNext w:val="0"/>
        <w:pageBreakBefore w:val="0"/>
        <w:spacing w:before="0" w:after="0" w:line="360" w:lineRule="auto"/>
        <w:widowControl w:val="off"/>
        <w:rPr>
          <w:rFonts w:eastAsia="宋体"/>
          <w:b/>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auto"/>
          <w:sz w:val="24"/>
          <w:highlight w:val="none"/>
        </w:rPr>
        <w:t xml:space="preserve">（2）※法定代表人授权委托书及委托代理人的身份证复印件； </w:t>
      </w:r>
      <w:r/>
    </w:p>
    <w:p>
      <w:pPr>
        <w:ind w:left="0" w:right="0" w:firstLine="482"/>
        <w:keepLines w:val="0"/>
        <w:keepNext w:val="0"/>
        <w:pageBreakBefore w:val="0"/>
        <w:spacing w:before="0" w:after="0" w:line="360" w:lineRule="auto"/>
        <w:shd w:val="clear" w:color="ffffff" w:fill="ffffff"/>
        <w:widowControl w:val="off"/>
        <w:rPr>
          <w:rFonts w:eastAsia="宋体"/>
          <w:b/>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auto"/>
          <w:sz w:val="24"/>
          <w:highlight w:val="none"/>
        </w:rPr>
        <w:t xml:space="preserve">（3）不存在与参加本项目的其他供应商单位负责人为同一人或者存在直接控股、管理关系承诺；</w:t>
      </w:r>
      <w:r/>
    </w:p>
    <w:p>
      <w:pPr>
        <w:ind w:left="0" w:right="0" w:firstLine="482"/>
        <w:jc w:val="both"/>
        <w:keepLines w:val="0"/>
        <w:keepNext w:val="0"/>
        <w:pageBreakBefore w:val="0"/>
        <w:spacing w:before="0" w:after="0" w:line="360" w:lineRule="auto"/>
        <w:widowControl w:val="off"/>
        <w:rPr>
          <w:rFonts w:eastAsia="宋体"/>
          <w:b/>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auto"/>
          <w:sz w:val="24"/>
          <w:highlight w:val="none"/>
        </w:rPr>
        <w:t xml:space="preserve">（4）※第一章竞争性磋商邀请中《中华人民共和国政府采购法》第二十二条规定的条件的证明文件；</w:t>
      </w:r>
      <w:r/>
    </w:p>
    <w:p>
      <w:pPr>
        <w:ind w:left="0" w:right="0" w:firstLine="482"/>
        <w:jc w:val="both"/>
        <w:keepLines w:val="0"/>
        <w:keepNext w:val="0"/>
        <w:pageBreakBefore w:val="0"/>
        <w:spacing w:before="0" w:after="0" w:line="360" w:lineRule="auto"/>
        <w:widowControl w:val="off"/>
        <w:rPr>
          <w:rFonts w:eastAsia="宋体"/>
          <w:b/>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auto"/>
          <w:sz w:val="24"/>
          <w:highlight w:val="none"/>
        </w:rPr>
        <w:t xml:space="preserve">（5）※第一章竞争性磋商邀请中采购人根据采购项目的特殊要求规定的特定条件的证明文件</w:t>
      </w:r>
      <w:r>
        <w:rPr>
          <w:rFonts w:hint="eastAsia" w:ascii="宋体" w:hAnsi="宋体" w:cs="宋体"/>
          <w:b/>
          <w:bCs w:val="0"/>
          <w:color w:val="auto"/>
          <w:sz w:val="24"/>
          <w:highlight w:val="none"/>
          <w:lang w:eastAsia="zh-CN"/>
        </w:rPr>
        <w:t xml:space="preserve">（如有）</w:t>
      </w:r>
      <w:r>
        <w:rPr>
          <w:rFonts w:ascii="宋体" w:hAnsi="宋体" w:eastAsia="宋体" w:cs="宋体"/>
          <w:b/>
          <w:bCs w:val="0"/>
          <w:color w:val="auto"/>
          <w:sz w:val="24"/>
          <w:highlight w:val="none"/>
        </w:rPr>
        <w:t xml:space="preserve">； </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6</w:t>
      </w:r>
      <w:r>
        <w:rPr>
          <w:rFonts w:ascii="宋体" w:hAnsi="宋体" w:eastAsia="宋体" w:cs="宋体"/>
          <w:b w:val="0"/>
          <w:bCs/>
          <w:color w:val="auto"/>
          <w:sz w:val="24"/>
          <w:highlight w:val="none"/>
        </w:rPr>
        <w:t xml:space="preserve">）供应商认为需要提供的其他资格证明文件和商务资料；</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w:t>
      </w:r>
      <w:r>
        <w:rPr>
          <w:rFonts w:ascii="宋体" w:hAnsi="宋体" w:eastAsia="宋体" w:cs="宋体"/>
          <w:b w:val="0"/>
          <w:bCs/>
          <w:color w:val="auto"/>
          <w:sz w:val="24"/>
          <w:highlight w:val="none"/>
        </w:rPr>
        <w:t xml:space="preserve">）《商务条款偏离表》。</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7.3响应文件的技术部分。技术部分是证明供应商提供的服务是合格的，并符合磋商文件要求的证明文件，以及对服务的详细说明，这些文件可以是文字资料、图纸（表）和数据等。提供的服务如与磋商文件要求有不符之处，应说明其差别之所在。包括但不限于下列文件，其中加“※”项目不得有缺失或无效：</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（1）服务内容的详细说明；</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（2）项目实施方案；</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（3）验收标准、技术资料；</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（4）服务承诺；</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（5）供应商认为需要提供的其他技术资料等；</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7.4响应文件的价格部分</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（1）价格部分是对服务价格构成的说明，磋商文件如没有特别说明的话，对每一项服务仅接受一个价格。</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（2）报价应包含完成本服务项目发生的所有含税费用、支付给员工的工资和国家强制缴纳的各种社会保障资金，以及供应商认为需要的其他费用等</w:t>
      </w:r>
      <w:r>
        <w:rPr>
          <w:rFonts w:ascii="宋体" w:hAnsi="宋体" w:eastAsia="宋体" w:cs="宋体"/>
          <w:b/>
          <w:color w:val="auto"/>
          <w:sz w:val="24"/>
          <w:highlight w:val="none"/>
        </w:rPr>
        <w:t xml:space="preserve">。</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（3）供应商应充分考虑到市场价格变动，以及项目实施过程中的不可预见因素，一旦成交，单价不变。如果有漏项，视同让利。</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（4）经磋商后，如果成交价高于或低于供应商在响应文件首次报价的，单价同比例调整。</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7.5响应文件的其他部分。其他部分由供应商根据编制响应文件需要提供的其他相关文件。</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8、磋商保证金</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8.1本项目不收取磋商保证金。</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三、响应文件签署与提交、撤回与修改</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9.供应商应当按照《操作手册》规定，在磋商公告规定的提交响应文件截止时间前制作并上传电子响应文件。</w:t>
      </w:r>
      <w:r/>
    </w:p>
    <w:p>
      <w:pPr>
        <w:ind w:left="0" w:right="0" w:firstLine="482"/>
        <w:jc w:val="both"/>
        <w:keepLines w:val="0"/>
        <w:keepNext w:val="0"/>
        <w:pageBreakBefore w:val="0"/>
        <w:spacing w:before="0" w:after="0" w:line="360" w:lineRule="auto"/>
        <w:widowControl w:val="off"/>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10.供应商应充分考虑网络环境、网络带宽等因素可能对磋商产生的影响，如因供应商自身原因造成的电子响应文件上传不成功的，按无效响应文件处理。</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11、有下列情形之一的响应文件将拒收：</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11.1列入失信被执行人、重大税收违法案件当事人名单、政府采购严重违法失信行为记录名单及其他失信记录的供应商；</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11.2拒绝接收提交响应文件截止时间后上传的任何电子响应文件。</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12 响应文件的撤回</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12.1供应商可在提交响应文件截止时间前撤回其电子响应文件，具体操作方法见《操作手册》。</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12.2 供应商撤回电子响应文件，则认为其不再参与本项目磋商活动。</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13.响应文件的修改</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13.1 供应商可在提交响应文件截止时间前对其电子响应文件进行修改，具体操作方法见《操作手册》。</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13.2提交响应文件截止时间之后，供应商不得对其电子响应文件作任何修改。</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13.3 在提交响应文件截止时间至磋商文件中规定的磋商有效期满之间的这段时间内，供应商不得撤回其响应文件。</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14.采购代理机构可以按照规定，通过修改磋商文件酌情延长提交响应文件截止日期，在此情况下，供应商的所有权利和义务均以延长后新的截止日期为准。</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u w:val="none"/>
        </w:rPr>
        <w:t xml:space="preserve">四、</w:t>
      </w:r>
      <w:r>
        <w:rPr>
          <w:rFonts w:ascii="宋体" w:hAnsi="宋体" w:eastAsia="宋体" w:cs="宋体"/>
          <w:b/>
          <w:color w:val="auto"/>
          <w:sz w:val="24"/>
          <w:highlight w:val="none"/>
        </w:rPr>
        <w:t xml:space="preserve">联合体</w:t>
      </w:r>
      <w:r/>
    </w:p>
    <w:p>
      <w:pPr>
        <w:ind w:left="0" w:right="0" w:firstLine="482"/>
        <w:jc w:val="both"/>
        <w:keepLines w:val="0"/>
        <w:keepNext w:val="0"/>
        <w:pageBreakBefore w:val="0"/>
        <w:spacing w:before="0" w:after="0" w:line="360" w:lineRule="auto"/>
        <w:widowControl w:val="off"/>
        <w:rPr>
          <w:rFonts w:eastAsia="宋体"/>
          <w:b/>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highlight w:val="none"/>
        </w:rPr>
        <w:t xml:space="preserve">15.本项目不接受联合体磋商。</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五、响应文件的解密与评审</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16.响应文件解密</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16.1 供应商应当按照《操作手册》规定，在苏采云系统规定的时间内对响应文件进行解密。</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u w:val="none"/>
        </w:rPr>
        <w:t xml:space="preserve">17.</w:t>
      </w:r>
      <w:r>
        <w:rPr>
          <w:rFonts w:ascii="宋体" w:hAnsi="宋体" w:eastAsia="宋体" w:cs="宋体"/>
          <w:b/>
          <w:color w:val="auto"/>
          <w:sz w:val="24"/>
          <w:highlight w:val="none"/>
        </w:rPr>
        <w:t xml:space="preserve">磋商</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17.1 采购代理机构将组织磋商小组对响应文件进行评审。</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17.2 磋商小组由采购人代表和有关技术、经济等方面的专家组成，且人员构成符合政府采购有关规定。</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17.3 磋商小组独立工作，负责评审所有响应文件并推荐成交候选人，或根据采购人授权直接确定成交供应商。</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18.评审过程的保密与公正</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18.1 磋商小组、采购人和采购代理机构工作人员、相关监督人员等与评审工作有关的人员，对评审情况以及在评审过程中获悉的国家秘密、商业秘密负有保密责任。</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18.2 供应商不得以任何方式影响磋商评审，否则其响应文件将被作为无效响应文件。</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18.3 采购代理机构和磋商小组不向未成交的供应商解释未成交原因，也不公布评审过程中的相关细节。</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u w:val="none"/>
        </w:rPr>
        <w:t xml:space="preserve">19</w:t>
      </w:r>
      <w:r>
        <w:rPr>
          <w:rFonts w:ascii="宋体" w:hAnsi="宋体" w:eastAsia="宋体" w:cs="宋体"/>
          <w:b/>
          <w:color w:val="auto"/>
          <w:sz w:val="24"/>
          <w:highlight w:val="none"/>
        </w:rPr>
        <w:t xml:space="preserve">.评审过程中的澄清</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19.1 项目评审期间，磋商小组有权要求供应商对响应文件中含义不明确、同类问题表述不一致或者有明显文字和计算错误的内容等作出必要的澄清、说明或者补正。</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供应商的澄清、说明或者补正不得超出响应文件的范围或者改变响应文件的实质性内容。</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磋商小组并非对每个供应商都作澄清要求。</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19.2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19.3 接到磋商小组澄清、说明和补正要求的供应商如未按规定做出澄清、说明和补正，其风险由供应商自行承担。</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u w:val="none"/>
        </w:rPr>
        <w:t xml:space="preserve">20</w:t>
      </w:r>
      <w:r>
        <w:rPr>
          <w:rFonts w:ascii="宋体" w:hAnsi="宋体" w:eastAsia="宋体" w:cs="宋体"/>
          <w:b/>
          <w:color w:val="auto"/>
          <w:sz w:val="24"/>
          <w:highlight w:val="none"/>
        </w:rPr>
        <w:t xml:space="preserve">.响应文件的审查</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响应文件审查分为资格审查和符合性审查。</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20.1资格审查。</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依据法律法规和磋商文件的规定，磋商小组对响应文件中的资格证明文件进行审查，以确定供应商是否具备参加磋商的资格。</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磋商小组进行资格审查时，将在“信用中国”网站（www.creditchina.gov.cn）、“中国政府采购网”网站（www.ccgp.gov.cn）查询供应商的信用记录，以确定供应商是否具备磋商资格,查询结果留存并归档。</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接受联合体的项目，联合体成员存在不良信用记录的，视同联合体存在不良信用记录。</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20.2符合性审查。</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依据磋商文件的规定，由磋商小组从有效性、完整性和对磋商文件的响应程度等方面对响应文件进行审查，以确定是否对磋商文件的实质性要求作出响应。</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20.3未通过资格审查或符合性审查的供应商，磋商小组将通过苏采云系统告知具体原因，评审结束后将不再接受有关询问。</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20.4在详细评审之前，磋商小组将首先审查每份响应文件是否实质性响应了磋商文件的要求。实质性响应的响应文件应该是与磋商文件要求的条款、条件和规格相符，没有重大偏离或保留的文件。</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left="0" w:right="0" w:firstLine="482"/>
        <w:jc w:val="both"/>
        <w:keepLines w:val="0"/>
        <w:keepNext w:val="0"/>
        <w:pageBreakBefore w:val="0"/>
        <w:spacing w:before="0" w:after="0" w:line="360" w:lineRule="auto"/>
        <w:widowControl w:val="off"/>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20.5</w:t>
      </w:r>
      <w:r>
        <w:rPr>
          <w:rFonts w:ascii="宋体" w:hAnsi="宋体" w:eastAsia="宋体" w:cs="宋体"/>
          <w:b/>
          <w:bCs/>
          <w:color w:val="auto"/>
          <w:sz w:val="24"/>
          <w:highlight w:val="none"/>
        </w:rPr>
        <w:t xml:space="preserve">响应文件属下列情形之一的，按照无效</w:t>
      </w:r>
      <w:r>
        <w:rPr>
          <w:rFonts w:hint="eastAsia" w:ascii="宋体" w:hAnsi="宋体" w:eastAsia="宋体" w:cs="宋体"/>
          <w:b/>
          <w:bCs/>
          <w:color w:val="auto"/>
          <w:sz w:val="24"/>
          <w:highlight w:val="none"/>
        </w:rPr>
        <w:t xml:space="preserve">响应</w:t>
      </w:r>
      <w:r>
        <w:rPr>
          <w:rFonts w:ascii="宋体" w:hAnsi="宋体" w:eastAsia="宋体" w:cs="宋体"/>
          <w:b/>
          <w:bCs/>
          <w:color w:val="auto"/>
          <w:sz w:val="24"/>
          <w:highlight w:val="none"/>
        </w:rPr>
        <w:t xml:space="preserve">处理：</w:t>
      </w:r>
      <w:r/>
    </w:p>
    <w:p>
      <w:pPr>
        <w:ind w:left="0" w:right="0" w:firstLine="482"/>
        <w:jc w:val="both"/>
        <w:keepLines w:val="0"/>
        <w:keepNext w:val="0"/>
        <w:pageBreakBefore w:val="0"/>
        <w:spacing w:before="0" w:after="0" w:line="360" w:lineRule="auto"/>
        <w:widowControl w:val="off"/>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如果响应文件实质上没有响应竞争性磋商文件的要求，磋商小组将予以拒绝，供应商不得通过修改或撤销不合要求的偏离或保留而使其投标成为实质性响应的投标。</w:t>
      </w:r>
      <w:r/>
    </w:p>
    <w:p>
      <w:pPr>
        <w:ind w:left="0" w:right="0" w:firstLine="482"/>
        <w:jc w:val="both"/>
        <w:keepLines w:val="0"/>
        <w:keepNext w:val="0"/>
        <w:pageBreakBefore w:val="0"/>
        <w:spacing w:before="0" w:after="0" w:line="360" w:lineRule="auto"/>
        <w:widowControl w:val="off"/>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w:t>
      </w:r>
      <w:r>
        <w:rPr>
          <w:rFonts w:ascii="宋体" w:hAnsi="宋体" w:eastAsia="宋体" w:cs="宋体"/>
          <w:b/>
          <w:bCs/>
          <w:color w:val="auto"/>
          <w:sz w:val="24"/>
          <w:highlight w:val="none"/>
        </w:rPr>
        <w:t xml:space="preserve">1）</w:t>
      </w:r>
      <w:r>
        <w:rPr>
          <w:rFonts w:hint="eastAsia" w:ascii="宋体" w:hAnsi="宋体" w:eastAsia="宋体" w:cs="宋体"/>
          <w:b/>
          <w:bCs/>
          <w:color w:val="auto"/>
          <w:sz w:val="24"/>
          <w:highlight w:val="none"/>
        </w:rPr>
        <w:t xml:space="preserve">供应商在苏采云系统规定的时间内未成功解密电子响应文件</w:t>
      </w:r>
      <w:r>
        <w:rPr>
          <w:rFonts w:ascii="宋体" w:hAnsi="宋体" w:eastAsia="宋体" w:cs="宋体"/>
          <w:b/>
          <w:bCs/>
          <w:color w:val="auto"/>
          <w:sz w:val="24"/>
          <w:highlight w:val="none"/>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68" w:name="OLE_LINK9"/>
      <w:r>
        <w:rPr>
          <w:rFonts w:hint="eastAsia" w:ascii="宋体" w:hAnsi="宋体" w:eastAsia="宋体" w:cs="宋体"/>
          <w:color w:val="auto"/>
          <w:sz w:val="24"/>
          <w:highlight w:val="none"/>
        </w:rPr>
        <w:t xml:space="preserve">（2</w:t>
      </w:r>
      <w:r>
        <w:rPr>
          <w:rFonts w:ascii="宋体" w:hAnsi="宋体" w:eastAsia="宋体" w:cs="宋体"/>
          <w:color w:val="auto"/>
          <w:sz w:val="24"/>
          <w:highlight w:val="none"/>
        </w:rPr>
        <w:t xml:space="preserve">）</w:t>
      </w:r>
      <w:bookmarkEnd w:id="68"/>
      <w:r>
        <w:rPr>
          <w:rFonts w:hint="eastAsia" w:ascii="宋体" w:hAnsi="宋体" w:eastAsia="宋体" w:cs="宋体"/>
          <w:color w:val="auto"/>
          <w:sz w:val="24"/>
          <w:highlight w:val="none"/>
        </w:rPr>
        <w:t xml:space="preserve">供应商未按照磋商文件要求上传电子响应文件；</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响应文件未按照磋商文件要求加盖电子公章；</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同一供应商提交两个（含两个）以上不同的响应文件或者最后报价</w:t>
      </w:r>
      <w:r>
        <w:rPr>
          <w:rFonts w:hint="eastAsia" w:ascii="宋体" w:hAnsi="宋体" w:eastAsia="宋体" w:cs="宋体"/>
          <w:color w:val="auto"/>
          <w:sz w:val="24"/>
          <w:highlight w:val="none"/>
          <w:lang w:eastAsia="zh-CN"/>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w:t>
      </w:r>
      <w:r>
        <w:rPr>
          <w:rFonts w:ascii="宋体" w:hAnsi="宋体" w:eastAsia="宋体" w:cs="宋体"/>
          <w:color w:val="auto"/>
          <w:sz w:val="24"/>
          <w:highlight w:val="none"/>
        </w:rPr>
        <w:t xml:space="preserve">）不具备</w:t>
      </w:r>
      <w:r>
        <w:rPr>
          <w:rFonts w:hint="eastAsia" w:ascii="宋体" w:hAnsi="宋体" w:eastAsia="宋体" w:cs="宋体"/>
          <w:color w:val="auto"/>
          <w:sz w:val="24"/>
          <w:highlight w:val="none"/>
        </w:rPr>
        <w:t xml:space="preserve">竞争性磋商文件</w:t>
      </w:r>
      <w:r>
        <w:rPr>
          <w:rFonts w:ascii="宋体" w:hAnsi="宋体" w:eastAsia="宋体" w:cs="宋体"/>
          <w:color w:val="auto"/>
          <w:sz w:val="24"/>
          <w:highlight w:val="none"/>
        </w:rPr>
        <w:t xml:space="preserve">中规定资格要求的；</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w:t>
      </w:r>
      <w:r>
        <w:rPr>
          <w:rFonts w:ascii="宋体" w:hAnsi="宋体" w:eastAsia="宋体" w:cs="宋体"/>
          <w:color w:val="auto"/>
          <w:sz w:val="24"/>
          <w:highlight w:val="none"/>
        </w:rPr>
        <w:t xml:space="preserve">）投标总价超出采购项目预算或者最高限价的；</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w:t>
      </w:r>
      <w:r>
        <w:rPr>
          <w:rFonts w:ascii="宋体" w:hAnsi="宋体" w:eastAsia="宋体" w:cs="宋体"/>
          <w:color w:val="auto"/>
          <w:sz w:val="24"/>
          <w:highlight w:val="none"/>
        </w:rPr>
        <w:t xml:space="preserve">）不同供应商的响应文件由同一单位或者个人编制；</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w:t>
      </w:r>
      <w:r>
        <w:rPr>
          <w:rFonts w:ascii="宋体" w:hAnsi="宋体" w:eastAsia="宋体" w:cs="宋体"/>
          <w:color w:val="auto"/>
          <w:sz w:val="24"/>
          <w:highlight w:val="none"/>
        </w:rPr>
        <w:t xml:space="preserve">）不同供应商委托同一单位或者个人办理投标事宜；</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（9）不同供应商的ip地址、MAC地址、标书制作工具客户端标识码一致的；</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w:t>
      </w:r>
      <w:r>
        <w:rPr>
          <w:rFonts w:ascii="宋体" w:hAnsi="宋体" w:eastAsia="宋体" w:cs="宋体"/>
          <w:color w:val="auto"/>
          <w:sz w:val="24"/>
          <w:highlight w:val="none"/>
        </w:rPr>
        <w:t xml:space="preserve">）</w:t>
      </w:r>
      <w:bookmarkStart w:id="69" w:name="OLE_LINK7"/>
      <w:r>
        <w:rPr>
          <w:rFonts w:ascii="宋体" w:hAnsi="宋体" w:eastAsia="宋体" w:cs="宋体"/>
          <w:color w:val="auto"/>
          <w:sz w:val="24"/>
          <w:highlight w:val="none"/>
        </w:rPr>
        <w:t xml:space="preserve">不同供应商的响应文件载明的项目管理成员</w:t>
      </w:r>
      <w:r>
        <w:rPr>
          <w:rFonts w:hint="eastAsia" w:ascii="宋体" w:hAnsi="宋体" w:eastAsia="宋体" w:cs="宋体"/>
          <w:color w:val="auto"/>
          <w:sz w:val="24"/>
          <w:highlight w:val="none"/>
        </w:rPr>
        <w:t xml:space="preserve">或者联系人员为同一</w:t>
      </w:r>
      <w:r>
        <w:rPr>
          <w:rFonts w:ascii="宋体" w:hAnsi="宋体" w:eastAsia="宋体" w:cs="宋体"/>
          <w:color w:val="auto"/>
          <w:sz w:val="24"/>
          <w:highlight w:val="none"/>
        </w:rPr>
        <w:t xml:space="preserve">人</w:t>
      </w:r>
      <w:bookmarkEnd w:id="69"/>
      <w:r>
        <w:rPr>
          <w:rFonts w:ascii="宋体" w:hAnsi="宋体" w:eastAsia="宋体" w:cs="宋体"/>
          <w:color w:val="auto"/>
          <w:sz w:val="24"/>
          <w:highlight w:val="none"/>
        </w:rPr>
        <w:t xml:space="preserve">；</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w:t>
      </w:r>
      <w:r>
        <w:rPr>
          <w:rFonts w:ascii="宋体" w:hAnsi="宋体" w:eastAsia="宋体" w:cs="宋体"/>
          <w:color w:val="auto"/>
          <w:sz w:val="24"/>
          <w:highlight w:val="none"/>
        </w:rPr>
        <w:t xml:space="preserve">）不同供应商的响应文件异常一致或者投标报价呈规律性差异；</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w:t>
      </w:r>
      <w:r>
        <w:rPr>
          <w:rFonts w:ascii="宋体" w:hAnsi="宋体" w:eastAsia="宋体" w:cs="宋体"/>
          <w:color w:val="auto"/>
          <w:sz w:val="24"/>
          <w:highlight w:val="none"/>
        </w:rPr>
        <w:t xml:space="preserve">）不同供应商的负责人为同一人或者存在控股、管理关系的；</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w:t>
      </w:r>
      <w:r>
        <w:rPr>
          <w:rFonts w:ascii="宋体" w:hAnsi="宋体" w:eastAsia="宋体" w:cs="宋体"/>
          <w:color w:val="auto"/>
          <w:sz w:val="24"/>
          <w:highlight w:val="none"/>
        </w:rPr>
        <w:t xml:space="preserve">）响应文件含有采购人不能接受的附加条件的；</w:t>
      </w:r>
      <w:r/>
    </w:p>
    <w:p>
      <w:pPr>
        <w:ind w:left="0" w:right="0" w:firstLine="480"/>
        <w:jc w:val="both"/>
        <w:keepLines w:val="0"/>
        <w:keepNext w:val="0"/>
        <w:pageBreakBefore w:val="0"/>
        <w:spacing w:before="0" w:after="0" w:line="360" w:lineRule="auto"/>
        <w:widowControl w:val="off"/>
        <w:rPr>
          <w:rFonts w:hint="eastAsia" w:cs="Times New Roman" w:asciiTheme="majorEastAsia" w:hAnsiTheme="majorEastAsia" w:eastAsiaTheme="majorEastAsia"/>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w:t>
      </w:r>
      <w:r>
        <w:rPr>
          <w:rFonts w:ascii="宋体" w:hAnsi="宋体" w:eastAsia="宋体" w:cs="宋体"/>
          <w:color w:val="auto"/>
          <w:sz w:val="24"/>
          <w:highlight w:val="none"/>
        </w:rPr>
        <w:t xml:space="preserve">）不符合法律、法规和</w:t>
      </w:r>
      <w:r>
        <w:rPr>
          <w:rFonts w:hint="eastAsia" w:ascii="宋体" w:hAnsi="宋体" w:eastAsia="宋体" w:cs="宋体"/>
          <w:color w:val="auto"/>
          <w:sz w:val="24"/>
          <w:highlight w:val="none"/>
        </w:rPr>
        <w:t xml:space="preserve">竞争性磋商文件</w:t>
      </w:r>
      <w:r>
        <w:rPr>
          <w:rFonts w:ascii="宋体" w:hAnsi="宋体" w:eastAsia="宋体" w:cs="宋体"/>
          <w:color w:val="auto"/>
          <w:sz w:val="24"/>
          <w:highlight w:val="none"/>
        </w:rPr>
        <w:t xml:space="preserve">规定的其他实质性要求的</w:t>
      </w:r>
      <w:r>
        <w:rPr>
          <w:rFonts w:hint="eastAsia" w:ascii="宋体" w:hAnsi="宋体" w:eastAsia="宋体" w:cs="宋体"/>
          <w:color w:val="auto"/>
          <w:sz w:val="24"/>
          <w:highlight w:val="none"/>
          <w:lang w:val="zh-CN"/>
        </w:rPr>
        <w:t xml:space="preserve">。</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20.6如果响应文件实质上没有响应磋商文件的要求，磋商小组将予以拒绝，供应商不得通过修改或撤销不合要求的偏离或保留而使其成为实质性响应的文件。</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u w:val="none"/>
        </w:rPr>
        <w:t xml:space="preserve">2</w:t>
      </w:r>
      <w:r>
        <w:rPr>
          <w:rFonts w:ascii="宋体" w:hAnsi="宋体" w:eastAsia="宋体" w:cs="宋体"/>
          <w:color w:val="auto"/>
          <w:sz w:val="24"/>
          <w:highlight w:val="none"/>
        </w:rPr>
        <w:t xml:space="preserve">0.7 供应商在项目评审全过程中应保持通讯畅通，及时登录苏采云系统查阅、答复相关信息，并安排专人与采购代理机构及磋商小组联系。</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21.磋商程序及评审方法和评审标准</w:t>
      </w:r>
      <w:r/>
    </w:p>
    <w:p>
      <w:pPr>
        <w:numPr>
          <w:ilvl w:val="0"/>
          <w:numId w:val="0"/>
        </w:numPr>
        <w:ind w:left="0" w:firstLine="480"/>
        <w:jc w:val="both"/>
        <w:keepLines w:val="0"/>
        <w:keepNext w:val="0"/>
        <w:pageBreakBefore w:val="0"/>
        <w:spacing w:before="0" w:after="0" w:line="360" w:lineRule="auto"/>
        <w:widowControl w:val="off"/>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21.1 磋商程序</w:t>
      </w:r>
      <w:r/>
    </w:p>
    <w:p>
      <w:pPr>
        <w:numPr>
          <w:ilvl w:val="0"/>
          <w:numId w:val="0"/>
        </w:numPr>
        <w:ind w:lef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(1)磋商小组将与通过资格审查和符合性审查的供应商分别进行磋商。磋商小组通过苏采云系统向供应商</w:t>
      </w:r>
      <w:r>
        <w:rPr>
          <w:rFonts w:ascii="宋体" w:hAnsi="宋体" w:eastAsia="宋体" w:cs="宋体"/>
          <w:color w:val="auto"/>
          <w:sz w:val="24"/>
          <w:highlight w:val="none"/>
        </w:rPr>
        <w:t xml:space="preserve">发出《磋商函》，供应商应当按照要求在苏采云系统提交《磋商响应函》并加盖电子公章。</w:t>
      </w:r>
      <w:r/>
    </w:p>
    <w:p>
      <w:pPr>
        <w:numPr>
          <w:ilvl w:val="0"/>
          <w:numId w:val="0"/>
        </w:numPr>
        <w:ind w:lef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2</w:t>
      </w:r>
      <w:r>
        <w:rPr>
          <w:rFonts w:hint="default" w:ascii="宋体" w:hAnsi="宋体" w:eastAsia="宋体" w:cs="宋体"/>
          <w:color w:val="auto"/>
          <w:sz w:val="24"/>
          <w:highlight w:val="none"/>
          <w:lang w:val="en-US" w:eastAsia="zh-CN"/>
        </w:rPr>
        <w:t xml:space="preserve">)磋商文件能</w:t>
      </w:r>
      <w:r>
        <w:rPr>
          <w:rFonts w:ascii="宋体" w:hAnsi="宋体" w:eastAsia="宋体" w:cs="宋体"/>
          <w:color w:val="auto"/>
          <w:sz w:val="24"/>
          <w:highlight w:val="none"/>
        </w:rPr>
        <w:t xml:space="preserve">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numPr>
          <w:ilvl w:val="0"/>
          <w:numId w:val="0"/>
        </w:numPr>
        <w:ind w:left="0" w:firstLine="480"/>
        <w:jc w:val="both"/>
        <w:keepLines w:val="0"/>
        <w:keepNext w:val="0"/>
        <w:pageBreakBefore w:val="0"/>
        <w:spacing w:before="0" w:after="0" w:line="360" w:lineRule="auto"/>
        <w:widowControl w:val="off"/>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苏采云系统中向其发出《最后报价要求函》及最后报价格</w:t>
      </w:r>
      <w:r>
        <w:rPr>
          <w:rFonts w:hint="default" w:ascii="宋体" w:hAnsi="宋体" w:eastAsia="宋体" w:cs="宋体"/>
          <w:color w:val="auto"/>
          <w:sz w:val="24"/>
          <w:highlight w:val="none"/>
          <w:lang w:val="en-US" w:eastAsia="zh-CN"/>
        </w:rPr>
        <w:t xml:space="preserve">式表，要求其在规定时间内提交最后报价。</w:t>
      </w:r>
      <w:r/>
    </w:p>
    <w:p>
      <w:pPr>
        <w:numPr>
          <w:ilvl w:val="0"/>
          <w:numId w:val="0"/>
        </w:numPr>
        <w:ind w:left="0" w:firstLine="480"/>
        <w:jc w:val="both"/>
        <w:keepLines w:val="0"/>
        <w:keepNext w:val="0"/>
        <w:pageBreakBefore w:val="0"/>
        <w:spacing w:before="0" w:after="0" w:line="360" w:lineRule="auto"/>
        <w:widowControl w:val="off"/>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4</w:t>
      </w:r>
      <w:r>
        <w:rPr>
          <w:rFonts w:hint="default" w:ascii="宋体" w:hAnsi="宋体" w:eastAsia="宋体" w:cs="宋体"/>
          <w:color w:val="auto"/>
          <w:sz w:val="24"/>
          <w:highlight w:val="none"/>
          <w:lang w:val="en-US"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numPr>
          <w:ilvl w:val="0"/>
          <w:numId w:val="0"/>
        </w:numPr>
        <w:ind w:left="0" w:firstLine="482"/>
        <w:jc w:val="both"/>
        <w:keepLines w:val="0"/>
        <w:keepNext w:val="0"/>
        <w:pageBreakBefore w:val="0"/>
        <w:spacing w:before="0" w:after="0" w:line="360" w:lineRule="auto"/>
        <w:widowControl w:val="off"/>
        <w:rPr>
          <w:rFonts w:hint="default" w:ascii="宋体" w:hAnsi="宋体" w:eastAsia="宋体" w:cs="宋体"/>
          <w:b/>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auto"/>
          <w:sz w:val="24"/>
          <w:highlight w:val="none"/>
          <w:lang w:val="en-US" w:eastAsia="zh-CN"/>
        </w:rPr>
        <w:t xml:space="preserve">(</w:t>
      </w:r>
      <w:r>
        <w:rPr>
          <w:rFonts w:hint="eastAsia" w:ascii="宋体" w:hAnsi="宋体" w:cs="宋体"/>
          <w:b/>
          <w:bCs/>
          <w:color w:val="auto"/>
          <w:sz w:val="24"/>
          <w:highlight w:val="none"/>
          <w:lang w:val="en-US" w:eastAsia="zh-CN"/>
        </w:rPr>
        <w:t xml:space="preserve">5</w:t>
      </w:r>
      <w:r>
        <w:rPr>
          <w:rFonts w:hint="default" w:ascii="宋体" w:hAnsi="宋体" w:eastAsia="宋体" w:cs="宋体"/>
          <w:b/>
          <w:bCs/>
          <w:color w:val="auto"/>
          <w:sz w:val="24"/>
          <w:highlight w:val="none"/>
          <w:lang w:val="en-US" w:eastAsia="zh-CN"/>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21.2 评审方法和评审标准</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(1)</w:t>
      </w:r>
      <w:r>
        <w:rPr>
          <w:rFonts w:ascii="宋体" w:hAnsi="宋体" w:eastAsia="宋体" w:cs="宋体"/>
          <w:color w:val="auto"/>
          <w:sz w:val="24"/>
          <w:highlight w:val="none"/>
        </w:rPr>
        <w:t xml:space="preserve">评审方法。</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（2）评审标准</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见本磋商文件。</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（3）采购活动终止</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出现下列情形之一的，本次采购活动将被终止：</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1）因情况变化，不再符合竞争性磋商采购方式适用情形。</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2）出现影响采购公正的违法、违规行为。</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3）在苏采云系统规定时间内成功解密电子响应文件的供应商不足3家。</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4）除本磋商文件第二章第21.1（5）条第三款规定的情形外，磋商过程中符合要求的供应商或者提交最后报价且未超过采购预算（最高限价）的供应商不足3家。</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5）法律法规规定的其他应当终止情形。</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22、确定成交候选供应商</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22.1 成交候选供应商的确定原则和数量见磋商文件第三章。</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22.2 按以下第（</w:t>
      </w:r>
      <w:r>
        <w:rPr>
          <w:rFonts w:hint="eastAsia" w:ascii="宋体" w:hAnsi="宋体" w:cs="宋体"/>
          <w:color w:val="auto"/>
          <w:sz w:val="24"/>
          <w:highlight w:val="none"/>
          <w:lang w:val="en-US" w:eastAsia="zh-CN"/>
        </w:rPr>
        <w:t xml:space="preserve">2</w:t>
      </w:r>
      <w:r>
        <w:rPr>
          <w:rFonts w:ascii="宋体" w:hAnsi="宋体" w:eastAsia="宋体" w:cs="宋体"/>
          <w:color w:val="auto"/>
          <w:sz w:val="24"/>
          <w:highlight w:val="none"/>
        </w:rPr>
        <w:t xml:space="preserve">）种方式确定成交供应商</w:t>
      </w:r>
      <w:r/>
    </w:p>
    <w:p>
      <w:pPr>
        <w:ind w:left="0" w:right="0" w:firstLine="480"/>
        <w:jc w:val="both"/>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（1）磋商小组直接确定排名第一的成交候选供应商为成交供应商；</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（2）采购人在磋商小组推荐的成交候选供应商中按顺序确定成交供应商。</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按第二种方式确定成交供应商的，采购代理机构自评审结束之日起两个工作日内将评审报告送交采购人，采购人自收到评审报告之日起五个工作日内，在评审报告推荐的成交候选供应商中按顺序确定成交供应商。</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22.3采购代理机构将在江苏政府采购网（http://www.ccgp-jiangsu.gov.cn）发布成交结果公告，公告期限为1个工作日。</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22.4 若有充分证据证明成交供应商有下列情况之一的，一经查实将被取消成交资格：</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(1)</w:t>
      </w:r>
      <w:r>
        <w:rPr>
          <w:rFonts w:ascii="宋体" w:hAnsi="宋体" w:eastAsia="宋体" w:cs="宋体"/>
          <w:color w:val="auto"/>
          <w:sz w:val="24"/>
          <w:highlight w:val="none"/>
        </w:rPr>
        <w:t xml:space="preserve">提供虚假材料谋取成交。</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(2)</w:t>
      </w:r>
      <w:r>
        <w:rPr>
          <w:rFonts w:ascii="宋体" w:hAnsi="宋体" w:eastAsia="宋体" w:cs="宋体"/>
          <w:color w:val="auto"/>
          <w:sz w:val="24"/>
          <w:highlight w:val="none"/>
        </w:rPr>
        <w:t xml:space="preserve">与评审专家、采购人、其他供应商或者采购代理机构工作人员恶意串通。</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(3)</w:t>
      </w:r>
      <w:r>
        <w:rPr>
          <w:rFonts w:ascii="宋体" w:hAnsi="宋体" w:eastAsia="宋体" w:cs="宋体"/>
          <w:color w:val="auto"/>
          <w:sz w:val="24"/>
          <w:highlight w:val="none"/>
        </w:rPr>
        <w:t xml:space="preserve">向评审专家、采购人或采购代理机构工作人员行贿或者提供其他不正当利益。</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不满足本磋商文件规定的实质性要求，但在评审过程中未被磋商小组发现。</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(5)</w:t>
      </w:r>
      <w:r>
        <w:rPr>
          <w:rFonts w:ascii="宋体" w:hAnsi="宋体" w:eastAsia="宋体" w:cs="宋体"/>
          <w:color w:val="auto"/>
          <w:sz w:val="24"/>
          <w:highlight w:val="none"/>
        </w:rPr>
        <w:t xml:space="preserve">成交后无正当理由拒不与采购人签订政府采购合同或者未按照磋商文件确定的事项签订政府采购合同。</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lang w:val="en-US" w:eastAsia="zh-CN"/>
        </w:rPr>
        <w:t xml:space="preserve">(6)</w:t>
      </w:r>
      <w:r>
        <w:rPr>
          <w:rFonts w:ascii="宋体" w:hAnsi="宋体" w:eastAsia="宋体" w:cs="宋体"/>
          <w:color w:val="auto"/>
          <w:sz w:val="24"/>
          <w:highlight w:val="none"/>
        </w:rPr>
        <w:t xml:space="preserve">将合同标的转包。</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23.成交通知书</w:t>
      </w:r>
      <w:r/>
    </w:p>
    <w:p>
      <w:pPr>
        <w:ind w:left="0" w:right="0" w:firstLine="480"/>
        <w:jc w:val="both"/>
        <w:keepLines w:val="0"/>
        <w:keepNext w:val="0"/>
        <w:pageBreakBefore w:val="0"/>
        <w:spacing w:before="0" w:after="0" w:line="360" w:lineRule="auto"/>
        <w:widowControl w:val="off"/>
        <w:rPr>
          <w:rFonts w:eastAsia="宋体"/>
          <w:b w:val="0"/>
          <w:bCs w:val="0"/>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4"/>
          <w:highlight w:val="none"/>
        </w:rPr>
        <w:t xml:space="preserve">23.1 成交结果确定后，采购代理机构将向成交供应商发出《成交通知书》。成交供应商应在3工作日内</w:t>
      </w:r>
      <w:r>
        <w:rPr>
          <w:rFonts w:hint="eastAsia" w:ascii="宋体" w:hAnsi="宋体" w:cs="宋体"/>
          <w:b w:val="0"/>
          <w:bCs w:val="0"/>
          <w:color w:val="auto"/>
          <w:sz w:val="24"/>
          <w:highlight w:val="none"/>
          <w:lang w:eastAsia="zh-CN"/>
        </w:rPr>
        <w:t xml:space="preserve">前往</w:t>
      </w:r>
      <w:r>
        <w:rPr>
          <w:rFonts w:ascii="宋体" w:hAnsi="宋体" w:eastAsia="宋体" w:cs="宋体"/>
          <w:b w:val="0"/>
          <w:bCs w:val="0"/>
          <w:color w:val="auto"/>
          <w:sz w:val="24"/>
          <w:highlight w:val="none"/>
        </w:rPr>
        <w:t xml:space="preserve">采购代理机构</w:t>
      </w:r>
      <w:r>
        <w:rPr>
          <w:rFonts w:hint="eastAsia" w:ascii="宋体" w:hAnsi="宋体" w:cs="宋体"/>
          <w:b w:val="0"/>
          <w:bCs w:val="0"/>
          <w:color w:val="auto"/>
          <w:sz w:val="24"/>
          <w:highlight w:val="none"/>
          <w:lang w:eastAsia="zh-CN"/>
        </w:rPr>
        <w:t xml:space="preserve">领取</w:t>
      </w:r>
      <w:r>
        <w:rPr>
          <w:rFonts w:ascii="宋体" w:hAnsi="宋体" w:eastAsia="宋体" w:cs="宋体"/>
          <w:b w:val="0"/>
          <w:bCs w:val="0"/>
          <w:color w:val="auto"/>
          <w:sz w:val="24"/>
          <w:highlight w:val="none"/>
        </w:rPr>
        <w:t xml:space="preserve">成交通知书。</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23.2 《成交通知书》将是合同的一个组成部分，对采购人和成交供应商均具有法律效力。《成交通知书》发出后，采购人改变成交结果的，或者成交供应商放弃成交项目的，应当依法承担法律责任。</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24、签订合同</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24.1成交供应商应当自成交通知书发出之日起三十日内，与采购人签订政府采购合同，所签订的合同不得对磋商文件和响应文件作实质性修改。</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24.2采购人不得向成交供应商提出任何不合理的要求作为签订合同的条件，不得与成交供应商私下订立背离合同实质性内容的协议。</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24.3除不可抗力等因素外，成交通知书发出后，采购人改变成交结果，或者成交供应商拒绝签订政府采购合同的，应当承担相应的法律责任。</w:t>
      </w:r>
      <w:r/>
    </w:p>
    <w:p>
      <w:pPr>
        <w:ind w:left="0" w:right="0" w:firstLine="480"/>
        <w:jc w:val="both"/>
        <w:keepLines w:val="0"/>
        <w:keepNext w:val="0"/>
        <w:pageBreakBefore w:val="0"/>
        <w:spacing w:before="0" w:after="0" w:line="360" w:lineRule="auto"/>
        <w:shd w:val="clear" w:color="ffffff" w:fill="ffffff"/>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24.4成交供应商除发生法律规定的不能预见、不能避免并不能克服的客观情况外不得放弃或拒绝签订合同的。放弃或拒绝签订合同的，财政部门视情将其列入不良行为名单，在一至三年内禁止参加政府采购活动，并予以通报。</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24.6政府采购合同履行中，采购人需追加与合同标的相同的服务的，在不改变合同其他条款的前提下，可以与供应商协商签订补充合同，但所有补充合同的采购金额不得超过原合同采购金额的百分之十。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六、询问、质疑、投诉和诚实信用</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25、询问</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25.1供应商对采购活动事项有疑问的，可以依法向采购代理机构或采购人提出询问（口头或书面），采购人或者采购代理机构在三个工作日内对供应商依法提出的询问作出答复，但答复的内容不涉及商业秘密。</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26、质疑</w:t>
      </w:r>
      <w:r/>
    </w:p>
    <w:p>
      <w:pPr>
        <w:ind w:left="0" w:right="0" w:firstLine="480"/>
        <w:jc w:val="both"/>
        <w:keepLines w:val="0"/>
        <w:keepNext w:val="0"/>
        <w:pageBreakBefore w:val="0"/>
        <w:spacing w:before="0" w:after="0" w:line="360" w:lineRule="auto"/>
        <w:shd w:val="clear" w:color="ffffff" w:fill="ffffff"/>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26.1供应商认为采购文件、采购过程和成交结果使自己的合法权益受到损害的，可以在知道或者应当知道其权益受到损害之日起七个工作日内，将书面质疑文件原件送达采购代理机构。</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26.2 供应商的质疑行为应符合《政府采购质疑和投诉办法》（财政部令第 94 号）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相关规定，提出质疑的供应商应当是参与项目投标活动的供应商，潜在供应商已依法获取磋商文件的，可以对磋商文件提出质疑。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26.3 供应商应知其权益受到损害之日，是指：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（1）对磋商文件提出质疑的，自获取磋商文件或磋商公告期限届满之日起计算；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（2）对磋商过程提出质疑的，自磋商各程序环节结束之日起计算；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（3）对成交结果提出质疑的，自成交结果公告期限届满之日起计算。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26.4供应商应在法定质疑期内一次性提出针对同一采购程序环节的质疑。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26.5 供应商提出质疑应当提交质疑函和必要的证明材料。质疑函应当包括下列内容：</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（1）供应商的姓名或者名称、地址、邮编、联系人及联系电话；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（2）质疑项目的名称、编号；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（3）具体、明确的质疑事项和与质疑事项相关的请求；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（4）事实依据；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（5）必要的法律依据；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（6）提出质疑的日期； </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（7）供应商为自然人</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应当由本人签字；供应商为法人或者其他组织的，应当由法定代表人、主要负责人或者其授权代表签字或者盖章</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并加盖公章。委托代理人提出质疑</w:t>
      </w:r>
      <w:r>
        <w:rPr>
          <w:rFonts w:hint="eastAsia" w:ascii="宋体" w:hAnsi="宋体" w:cs="宋体"/>
          <w:color w:val="auto"/>
          <w:sz w:val="24"/>
          <w:highlight w:val="none"/>
          <w:lang w:val="en-US" w:eastAsia="zh-CN"/>
        </w:rPr>
        <w:t xml:space="preserve">,</w:t>
      </w:r>
      <w:r>
        <w:rPr>
          <w:rFonts w:ascii="宋体" w:hAnsi="宋体" w:eastAsia="宋体" w:cs="宋体"/>
          <w:color w:val="auto"/>
          <w:sz w:val="24"/>
          <w:highlight w:val="none"/>
        </w:rPr>
        <w:t xml:space="preserve">应当提交供应商签署的授权委托书。其授权委托书应当载明委托代理人的姓名或者名称、代理事项、具体权限、期限和相关事项。 </w:t>
      </w:r>
      <w:r/>
    </w:p>
    <w:p>
      <w:pPr>
        <w:ind w:left="0" w:right="0" w:firstLine="480"/>
        <w:jc w:val="both"/>
        <w:keepLines w:val="0"/>
        <w:keepNext w:val="0"/>
        <w:pageBreakBefore w:val="0"/>
        <w:spacing w:before="0" w:after="0" w:line="360" w:lineRule="auto"/>
        <w:shd w:val="clear" w:color="ffffff" w:fill="ffffff"/>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26.6 供应商不得虚假质疑和恶意质疑，并对质疑内容的真实性承担责任。供应商或者其他利害关系人通过捏造事实、伪造证明材料等方式提出异议或投诉，阻碍磋商活动正常进行的，属于严重不良行为，采购代理机构将提请财政部门将其列入不良行为记录名单，并依法予以处罚。</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26.7采购代理机构在收到供应商的书面质疑后将及时组织调查核实，在七个工作日内作出答复，并以书面或电子邮件形式通知质疑供应商和其他有关供应商，答复的内容不涉及商业秘密。</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27、投诉</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27.1质疑供应商对采购人、采购代理机构的答复不满意或者采购人、采购代理机构未在规定的时间内作出答复的，可以在答复期满后十五个工作日内向同级政府采购监督管理部门投诉。</w:t>
      </w:r>
      <w:r/>
    </w:p>
    <w:p>
      <w:pPr>
        <w:ind w:left="0" w:right="0" w:firstLine="482"/>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28、诚实信用</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28.1供应商之间不得相互串通报价，不得妨碍其他供应商的公平竞争，不得损害采购人和其他供应商的合法权益。</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28.2供应商不得以向采购代理机构工作人员、磋商小组行贿或者采取其他不正当手段谋取成交。经查实供应商有此行为的，政府采购监督管理部门将供应商列入不良行为记录名单，按照政府采购法有关规定处理。</w:t>
      </w:r>
      <w:r/>
    </w:p>
    <w:p>
      <w:pPr>
        <w:ind w:left="0" w:right="0" w:firstLine="480"/>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28.3供应商不得虚假承诺，否则，按照提供虚假材料谋取成交处理。</w:t>
      </w:r>
      <w:r/>
    </w:p>
    <w:p>
      <w:pPr>
        <w:ind w:left="0" w:right="0" w:firstLine="480"/>
        <w:jc w:val="both"/>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28.4供应商应自觉遵守磋商、评审纪律，扰乱磋商、评审现场秩序的，属于失信行为，根据《南京市政府采购供应商信用管理工作暂行办法》、《江苏省政府采购供应商监督管理暂行办法》，失信行为将被记入供应商诚信档案。</w:t>
      </w:r>
      <w:r/>
    </w:p>
    <w:p>
      <w:pPr>
        <w:ind w:left="0" w:right="0" w:firstLine="482"/>
        <w:keepLines w:val="0"/>
        <w:keepNext w:val="0"/>
        <w:pageBreakBefore w:val="0"/>
        <w:spacing w:before="0" w:after="0" w:line="360" w:lineRule="auto"/>
        <w:widowControl w:val="off"/>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29、违反信用承诺的法律责任</w:t>
      </w:r>
      <w:r/>
    </w:p>
    <w:p>
      <w:pPr>
        <w:ind w:left="0" w:right="0" w:firstLine="480"/>
        <w:keepLines w:val="0"/>
        <w:keepNext w:val="0"/>
        <w:pageBreakBefore w:val="0"/>
        <w:spacing w:before="0" w:after="0" w:line="360" w:lineRule="auto"/>
        <w:widowControl w:val="off"/>
        <w:rPr>
          <w:rFonts w:eastAsia="宋体"/>
          <w:b w:val="0"/>
          <w:bCs/>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highlight w:val="none"/>
        </w:rPr>
        <w:t xml:space="preserve">29.1供应商应对其</w:t>
      </w:r>
      <w:r>
        <w:rPr>
          <w:rFonts w:hint="eastAsia" w:ascii="宋体" w:hAnsi="宋体" w:cs="宋体"/>
          <w:b w:val="0"/>
          <w:bCs/>
          <w:color w:val="auto"/>
          <w:sz w:val="24"/>
          <w:highlight w:val="none"/>
          <w:lang w:eastAsia="zh-CN"/>
        </w:rPr>
        <w:t xml:space="preserve">提供响应文件</w:t>
      </w:r>
      <w:r>
        <w:rPr>
          <w:rFonts w:ascii="宋体" w:hAnsi="宋体" w:eastAsia="宋体" w:cs="宋体"/>
          <w:b w:val="0"/>
          <w:bCs/>
          <w:color w:val="auto"/>
          <w:sz w:val="24"/>
          <w:highlight w:val="none"/>
        </w:rPr>
        <w:t xml:space="preserve">内容的真实性、合法性、有效性负责。如作出虚假信用承诺，视同为“提供虚假材料谋取中标、成交”的违法行为。经财政部门调查核实后，按照《政府采购法》第七十七条规定，处以采购金额千分之五以上千分之十一下的罚款，列入不良行为记录名单，在一至三年内禁止参加政府采购活动；有违法所得的，并处没收违法所得，情节严重的，由市场监管部门吊销营业执照；构成犯罪的，依法追究刑事责任。</w:t>
      </w:r>
      <w:r/>
    </w:p>
    <w:p>
      <w:pPr>
        <w:ind w:left="0"/>
        <w:jc w:val="center"/>
        <w:keepLines w:val="0"/>
        <w:keepNext w:val="0"/>
        <w:pageBreakBefore w:val="0"/>
        <w:widowControl w:val="off"/>
        <w:rPr>
          <w:rFonts w:hint="eastAsia" w:ascii="宋体" w:hAnsi="宋体" w:eastAsia="宋体" w:cs="宋体"/>
          <w:color w:val="auto"/>
          <w:sz w:val="36"/>
          <w:szCs w:val="36"/>
          <w:highlight w:val="none"/>
          <w:lang w:val="en-US" w:eastAsia="zh-CN" w:bidi="ar-SA"/>
        </w:rPr>
        <w:outlineLvl w:val="0"/>
      </w:pPr>
      <w:r/>
      <w:bookmarkStart w:id="70" w:name="_Toc10277"/>
      <w:r>
        <w:rPr>
          <w:rFonts w:hint="eastAsia" w:ascii="宋体" w:hAnsi="宋体" w:eastAsia="宋体" w:cs="宋体"/>
          <w:color w:val="auto"/>
          <w:sz w:val="36"/>
          <w:szCs w:val="36"/>
          <w:highlight w:val="none"/>
          <w:lang w:val="en-US" w:eastAsia="zh-CN" w:bidi="ar-SA"/>
        </w:rPr>
        <w:br w:type="page" w:clear="all"/>
      </w:r>
      <w:r/>
    </w:p>
    <w:p>
      <w:pPr>
        <w:pStyle w:val="865"/>
        <w:ind w:left="0"/>
        <w:jc w:val="center"/>
        <w:keepLines w:val="0"/>
        <w:keepNext w:val="0"/>
        <w:pageBreakBefore w:val="0"/>
        <w:widowControl w:val="off"/>
        <w:tabs>
          <w:tab w:val="left" w:pos="463" w:leader="none"/>
        </w:tabs>
        <w:rPr>
          <w:rFonts w:hint="eastAsia" w:ascii="方正小标宋简体" w:hAnsi="方正小标宋简体" w:eastAsia="方正小标宋简体" w:cs="方正小标宋简体"/>
          <w:b/>
          <w:bCs/>
          <w:color w:val="auto"/>
          <w:sz w:val="36"/>
          <w:szCs w:val="36"/>
          <w:highlight w:val="none"/>
          <w:lang w:val="en-US"/>
        </w:rPr>
        <w:outlineLvl w:val="0"/>
      </w:pPr>
      <w:r/>
      <w:bookmarkStart w:id="71" w:name="_Toc14629"/>
      <w:r>
        <w:rPr>
          <w:rFonts w:hint="eastAsia" w:ascii="宋体" w:hAnsi="宋体" w:eastAsia="宋体" w:cs="宋体"/>
          <w:b/>
          <w:bCs/>
          <w:color w:val="auto"/>
          <w:sz w:val="36"/>
          <w:szCs w:val="36"/>
          <w:highlight w:val="none"/>
          <w:lang w:val="en-US" w:eastAsia="zh-CN" w:bidi="ar-SA"/>
        </w:rPr>
        <w:t xml:space="preserve">第三章  </w:t>
      </w:r>
      <w:bookmarkEnd w:id="63"/>
      <w:r/>
      <w:bookmarkEnd w:id="64"/>
      <w:r/>
      <w:bookmarkEnd w:id="65"/>
      <w:r/>
      <w:bookmarkEnd w:id="66"/>
      <w:r/>
      <w:bookmarkEnd w:id="67"/>
      <w:r>
        <w:rPr>
          <w:rFonts w:hint="eastAsia" w:ascii="宋体" w:hAnsi="宋体" w:eastAsia="宋体" w:cs="宋体"/>
          <w:b/>
          <w:bCs/>
          <w:color w:val="auto"/>
          <w:sz w:val="36"/>
          <w:szCs w:val="36"/>
          <w:highlight w:val="none"/>
          <w:lang w:val="en-US" w:eastAsia="zh-CN" w:bidi="ar-SA"/>
        </w:rPr>
        <w:t xml:space="preserve">合同条款及格式</w:t>
      </w:r>
      <w:bookmarkEnd w:id="70"/>
      <w:r/>
      <w:bookmarkEnd w:id="71"/>
      <w:r/>
      <w:r/>
    </w:p>
    <w:p>
      <w:pPr>
        <w:spacing w:line="360" w:lineRule="auto"/>
        <w:rPr>
          <w:rFonts w:hint="eastAsia" w:ascii="宋体" w:hAnsi="宋体" w:eastAsia="宋体" w:cs="宋体"/>
          <w:b/>
          <w:bCs/>
          <w:color w:val="auto"/>
          <w:sz w:val="24"/>
          <w:szCs w:val="24"/>
          <w:highlight w:val="none"/>
          <w:lang w:val="en-US" w:eastAsia="zh-CN"/>
        </w:rPr>
      </w:pPr>
      <w:r/>
      <w:bookmarkStart w:id="72" w:name="_Hlt16619350"/>
      <w:r/>
      <w:bookmarkStart w:id="73" w:name="_Toc16938590"/>
      <w:r/>
      <w:bookmarkStart w:id="74" w:name="_Toc120614244"/>
      <w:r/>
      <w:bookmarkStart w:id="75" w:name="_Toc31632"/>
      <w:r/>
      <w:bookmarkStart w:id="76" w:name="_Toc20823346"/>
      <w:r/>
      <w:bookmarkStart w:id="77" w:name="_Toc462564139"/>
      <w:r/>
      <w:bookmarkStart w:id="78" w:name="_Toc479757211"/>
      <w:r/>
      <w:r/>
    </w:p>
    <w:p>
      <w:pPr>
        <w:jc w:val="center"/>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政府采购合同范本（</w:t>
      </w:r>
      <w:r>
        <w:rPr>
          <w:rFonts w:hint="eastAsia" w:ascii="宋体" w:hAnsi="宋体" w:eastAsia="宋体" w:cs="宋体"/>
          <w:b/>
          <w:bCs/>
          <w:sz w:val="24"/>
          <w:szCs w:val="24"/>
          <w:highlight w:val="none"/>
        </w:rPr>
        <w:t xml:space="preserve">服务类</w:t>
      </w:r>
      <w:r>
        <w:rPr>
          <w:rFonts w:hint="eastAsia" w:ascii="宋体" w:hAnsi="宋体" w:eastAsia="宋体" w:cs="宋体"/>
          <w:b/>
          <w:bCs/>
          <w:sz w:val="24"/>
          <w:szCs w:val="24"/>
          <w:highlight w:val="none"/>
          <w:lang w:val="zh-CN"/>
        </w:rPr>
        <w:t xml:space="preserve">）</w:t>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合同编号：</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            </w:t>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甲方（采购人）：</w:t>
      </w:r>
      <w:r>
        <w:rPr>
          <w:rFonts w:hint="eastAsia" w:ascii="宋体" w:hAnsi="宋体" w:eastAsia="宋体" w:cs="宋体"/>
          <w:sz w:val="24"/>
          <w:szCs w:val="24"/>
          <w:highlight w:val="none"/>
          <w:u w:val="single"/>
          <w:lang w:val="zh-CN"/>
        </w:rPr>
        <w:t xml:space="preserve">                    </w:t>
      </w:r>
      <w:r/>
    </w:p>
    <w:p>
      <w:pPr>
        <w:ind w:firstLine="480"/>
        <w:spacing w:line="360" w:lineRule="auto"/>
        <w:rPr>
          <w:rFonts w:hint="eastAsia" w:ascii="宋体" w:hAnsi="宋体" w:eastAsia="宋体" w:cs="宋体"/>
          <w:sz w:val="24"/>
          <w:szCs w:val="24"/>
          <w:highlight w:val="none"/>
          <w:u w:val="single"/>
          <w:lang w:val="zh-CN"/>
        </w:rPr>
      </w:pPr>
      <w:r>
        <w:rPr>
          <w:rFonts w:hint="eastAsia" w:ascii="宋体" w:hAnsi="宋体" w:eastAsia="宋体" w:cs="宋体"/>
          <w:sz w:val="24"/>
          <w:szCs w:val="24"/>
          <w:highlight w:val="none"/>
          <w:lang w:val="zh-CN"/>
        </w:rPr>
        <w:t xml:space="preserve">住所地：</w:t>
      </w:r>
      <w:r>
        <w:rPr>
          <w:rFonts w:hint="eastAsia" w:ascii="宋体" w:hAnsi="宋体" w:eastAsia="宋体" w:cs="宋体"/>
          <w:sz w:val="24"/>
          <w:szCs w:val="24"/>
          <w:highlight w:val="none"/>
          <w:u w:val="single"/>
          <w:lang w:val="zh-CN"/>
        </w:rPr>
        <w:t xml:space="preserve">                           </w:t>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乙方（</w:t>
      </w: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u w:val="single"/>
          <w:lang w:val="zh-CN"/>
        </w:rPr>
        <w:t xml:space="preserve">                    </w:t>
      </w:r>
      <w:r/>
    </w:p>
    <w:p>
      <w:pPr>
        <w:ind w:firstLine="48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zh-CN"/>
        </w:rPr>
        <w:t xml:space="preserve">住所地：</w:t>
      </w:r>
      <w:r>
        <w:rPr>
          <w:rFonts w:hint="eastAsia" w:ascii="宋体" w:hAnsi="宋体" w:eastAsia="宋体" w:cs="宋体"/>
          <w:sz w:val="24"/>
          <w:szCs w:val="24"/>
          <w:highlight w:val="none"/>
          <w:u w:val="single"/>
          <w:lang w:val="zh-CN"/>
        </w:rPr>
        <w:t xml:space="preserve">                          </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甲</w:t>
      </w:r>
      <w:r>
        <w:rPr>
          <w:rFonts w:hint="eastAsia" w:ascii="宋体" w:hAnsi="宋体" w:eastAsia="宋体" w:cs="宋体"/>
          <w:sz w:val="24"/>
          <w:szCs w:val="24"/>
          <w:highlight w:val="none"/>
          <w:lang w:val="zh-CN"/>
        </w:rPr>
        <w:t xml:space="preserve">乙</w:t>
      </w:r>
      <w:r>
        <w:rPr>
          <w:rFonts w:hint="eastAsia" w:ascii="宋体" w:hAnsi="宋体" w:eastAsia="宋体" w:cs="宋体"/>
          <w:sz w:val="24"/>
          <w:szCs w:val="24"/>
          <w:highlight w:val="none"/>
        </w:rPr>
        <w:t xml:space="preserve">双方根据</w:t>
      </w:r>
      <w:r>
        <w:rPr>
          <w:rFonts w:hint="eastAsia" w:ascii="宋体" w:hAnsi="宋体" w:eastAsia="宋体" w:cs="宋体"/>
          <w:sz w:val="24"/>
          <w:szCs w:val="24"/>
          <w:highlight w:val="none"/>
          <w:u w:val="single"/>
          <w:lang w:val="zh-CN"/>
        </w:rPr>
        <w:t xml:space="preserve"> （采购人或者代理机构） </w:t>
      </w:r>
      <w:r>
        <w:rPr>
          <w:rFonts w:hint="eastAsia" w:ascii="宋体" w:hAnsi="宋体" w:eastAsia="宋体" w:cs="宋体"/>
          <w:sz w:val="24"/>
          <w:szCs w:val="24"/>
          <w:highlight w:val="none"/>
          <w:lang w:val="zh-CN"/>
        </w:rPr>
        <w:t xml:space="preserve">组织的“ </w:t>
      </w:r>
      <w:r>
        <w:rPr>
          <w:rFonts w:hint="eastAsia" w:ascii="宋体" w:hAnsi="宋体" w:eastAsia="宋体" w:cs="宋体"/>
          <w:sz w:val="24"/>
          <w:szCs w:val="24"/>
          <w:highlight w:val="none"/>
          <w:u w:val="single"/>
          <w:lang w:val="zh-CN"/>
        </w:rPr>
        <w:t xml:space="preserve"> （项目名称及项目编号）  </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的采购结果</w:t>
      </w:r>
      <w:r>
        <w:rPr>
          <w:rFonts w:hint="eastAsia" w:ascii="宋体" w:hAnsi="宋体" w:eastAsia="宋体" w:cs="宋体"/>
          <w:sz w:val="24"/>
          <w:szCs w:val="24"/>
          <w:highlight w:val="none"/>
          <w:lang w:val="zh-CN"/>
        </w:rPr>
        <w:t xml:space="preserve">及</w:t>
      </w:r>
      <w:r>
        <w:rPr>
          <w:rFonts w:hint="eastAsia" w:ascii="宋体" w:hAnsi="宋体" w:eastAsia="宋体" w:cs="宋体"/>
          <w:sz w:val="24"/>
          <w:szCs w:val="24"/>
          <w:highlight w:val="none"/>
        </w:rPr>
        <w:t xml:space="preserve">采购</w:t>
      </w:r>
      <w:r>
        <w:rPr>
          <w:rFonts w:hint="eastAsia" w:ascii="宋体" w:hAnsi="宋体" w:eastAsia="宋体" w:cs="宋体"/>
          <w:sz w:val="24"/>
          <w:szCs w:val="24"/>
          <w:highlight w:val="none"/>
          <w:lang w:val="zh-CN"/>
        </w:rPr>
        <w:t xml:space="preserve">文件、</w:t>
      </w:r>
      <w:r>
        <w:rPr>
          <w:rFonts w:hint="eastAsia" w:ascii="宋体" w:hAnsi="宋体" w:eastAsia="宋体" w:cs="宋体"/>
          <w:sz w:val="24"/>
          <w:szCs w:val="24"/>
          <w:highlight w:val="none"/>
        </w:rPr>
        <w:t xml:space="preserve">响应</w:t>
      </w:r>
      <w:r>
        <w:rPr>
          <w:rFonts w:hint="eastAsia" w:ascii="宋体" w:hAnsi="宋体" w:eastAsia="宋体" w:cs="宋体"/>
          <w:sz w:val="24"/>
          <w:szCs w:val="24"/>
          <w:highlight w:val="none"/>
          <w:lang w:val="zh-CN"/>
        </w:rPr>
        <w:t xml:space="preserve">文件规定条款</w:t>
      </w:r>
      <w:r>
        <w:rPr>
          <w:rFonts w:hint="eastAsia" w:ascii="宋体" w:hAnsi="宋体" w:eastAsia="宋体" w:cs="宋体"/>
          <w:sz w:val="24"/>
          <w:szCs w:val="24"/>
          <w:highlight w:val="none"/>
        </w:rPr>
        <w:t xml:space="preserve">与乙方</w:t>
      </w:r>
      <w:r>
        <w:rPr>
          <w:rFonts w:hint="eastAsia" w:ascii="宋体" w:hAnsi="宋体" w:eastAsia="宋体" w:cs="宋体"/>
          <w:sz w:val="24"/>
          <w:szCs w:val="24"/>
          <w:highlight w:val="none"/>
          <w:lang w:val="zh-CN"/>
        </w:rPr>
        <w:t xml:space="preserve">承诺，</w:t>
      </w:r>
      <w:r>
        <w:rPr>
          <w:rFonts w:hint="eastAsia" w:ascii="宋体" w:hAnsi="宋体" w:eastAsia="宋体" w:cs="宋体"/>
          <w:sz w:val="24"/>
          <w:szCs w:val="24"/>
          <w:highlight w:val="none"/>
        </w:rPr>
        <w:t xml:space="preserve">依据</w:t>
      </w:r>
      <w:r>
        <w:rPr>
          <w:rFonts w:hint="eastAsia" w:ascii="宋体" w:hAnsi="宋体" w:eastAsia="宋体" w:cs="宋体"/>
          <w:sz w:val="24"/>
          <w:szCs w:val="24"/>
          <w:highlight w:val="none"/>
          <w:lang w:val="zh-CN"/>
        </w:rPr>
        <w:t xml:space="preserve">《中华人民共和国民法典》《中华人民共和国政府采购法》</w:t>
      </w:r>
      <w:r>
        <w:rPr>
          <w:rFonts w:hint="eastAsia" w:ascii="宋体" w:hAnsi="宋体" w:eastAsia="宋体" w:cs="宋体"/>
          <w:sz w:val="24"/>
          <w:szCs w:val="24"/>
          <w:highlight w:val="none"/>
        </w:rPr>
        <w:t xml:space="preserve">等</w:t>
      </w:r>
      <w:r>
        <w:rPr>
          <w:rFonts w:hint="eastAsia" w:ascii="宋体" w:hAnsi="宋体" w:eastAsia="宋体" w:cs="宋体"/>
          <w:sz w:val="24"/>
          <w:szCs w:val="24"/>
          <w:highlight w:val="none"/>
          <w:lang w:val="zh-CN"/>
        </w:rPr>
        <w:t xml:space="preserve">相关法律法规</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val="zh-CN"/>
        </w:rPr>
        <w:t xml:space="preserve">规定，经甲乙双方协商一致，签订本合同。</w:t>
      </w:r>
      <w:r/>
    </w:p>
    <w:p>
      <w:pPr>
        <w:ind w:firstLine="482"/>
        <w:spacing w:line="360" w:lineRule="auto"/>
        <w:rPr>
          <w:rFonts w:hint="eastAsia" w:ascii="宋体" w:hAnsi="宋体" w:eastAsia="宋体" w:cs="宋体"/>
          <w:b/>
          <w:bCs/>
          <w:sz w:val="24"/>
          <w:szCs w:val="24"/>
          <w:highlight w:val="none"/>
          <w:lang w:val="zh-CN"/>
        </w:rPr>
        <w:outlineLvl w:val="0"/>
      </w:pPr>
      <w:r/>
      <w:bookmarkStart w:id="79" w:name="_Toc29982"/>
      <w:r>
        <w:rPr>
          <w:rFonts w:hint="eastAsia" w:ascii="宋体" w:hAnsi="宋体" w:eastAsia="宋体" w:cs="宋体"/>
          <w:b/>
          <w:bCs/>
          <w:sz w:val="24"/>
          <w:szCs w:val="24"/>
          <w:highlight w:val="none"/>
          <w:lang w:val="zh-CN"/>
        </w:rPr>
        <w:t xml:space="preserve">第一条 服务内容及要求</w:t>
      </w:r>
      <w:bookmarkEnd w:id="79"/>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1.服务名称： </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2.服务内容：                       。</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3.服务时间： </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4.服务标准：详见采购文件及响应文件，以标准高者（严格者）为准。</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5.提供服务的地点：</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6.提供服务的形式：</w:t>
      </w:r>
      <w:r/>
    </w:p>
    <w:p>
      <w:pPr>
        <w:ind w:firstLine="482"/>
        <w:spacing w:line="360" w:lineRule="auto"/>
        <w:rPr>
          <w:rFonts w:hint="eastAsia" w:ascii="宋体" w:hAnsi="宋体" w:eastAsia="宋体" w:cs="宋体"/>
          <w:b/>
          <w:bCs/>
          <w:sz w:val="24"/>
          <w:szCs w:val="24"/>
          <w:highlight w:val="none"/>
          <w:lang w:val="zh-CN"/>
        </w:rPr>
        <w:outlineLvl w:val="0"/>
      </w:pPr>
      <w:r/>
      <w:bookmarkStart w:id="80" w:name="_Toc22257"/>
      <w:r>
        <w:rPr>
          <w:rFonts w:hint="eastAsia" w:ascii="宋体" w:hAnsi="宋体" w:eastAsia="宋体" w:cs="宋体"/>
          <w:b/>
          <w:bCs/>
          <w:sz w:val="24"/>
          <w:szCs w:val="24"/>
          <w:highlight w:val="none"/>
          <w:lang w:val="zh-CN"/>
        </w:rPr>
        <w:t xml:space="preserve">第二条 合同总价款</w:t>
      </w:r>
      <w:bookmarkEnd w:id="80"/>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本合同项下服务总价款（含税）为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u w:val="single"/>
          <w:lang w:val="zh-CN"/>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lang w:val="zh-CN"/>
        </w:rPr>
        <w:t xml:space="preserve">（大写）人民币，分项价款在“分项报价表”中有明确规定。</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甲方就本合同不再向乙方支付任何其他款项。 </w:t>
      </w:r>
      <w:r/>
    </w:p>
    <w:p>
      <w:pPr>
        <w:ind w:firstLine="482"/>
        <w:spacing w:line="360" w:lineRule="auto"/>
        <w:rPr>
          <w:rFonts w:hint="eastAsia" w:ascii="宋体" w:hAnsi="宋体" w:eastAsia="宋体" w:cs="宋体"/>
          <w:b/>
          <w:bCs/>
          <w:sz w:val="24"/>
          <w:szCs w:val="24"/>
          <w:highlight w:val="none"/>
          <w:lang w:val="zh-CN"/>
        </w:rPr>
        <w:outlineLvl w:val="0"/>
      </w:pPr>
      <w:r/>
      <w:bookmarkStart w:id="81" w:name="_Toc13996"/>
      <w:r>
        <w:rPr>
          <w:rFonts w:hint="eastAsia" w:ascii="宋体" w:hAnsi="宋体" w:eastAsia="宋体" w:cs="宋体"/>
          <w:b/>
          <w:bCs/>
          <w:sz w:val="24"/>
          <w:szCs w:val="24"/>
          <w:highlight w:val="none"/>
          <w:lang w:val="zh-CN"/>
        </w:rPr>
        <w:t xml:space="preserve">第三条 组成本合同的有关文件</w:t>
      </w:r>
      <w:bookmarkEnd w:id="81"/>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1.本合同履行过程中双方共同签署的补充、修正文件及双方确认的明确双方权利、义务的会谈纪要；</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2.本合同书；</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3.本项目成交通知书；</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4.乙方的本项目响应文件的全部内容（含电子档）；</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5.本项目采购文件中的全部内容；                         </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6.其他合同文件（需列明）：甲乙双方在成交通知书发出后至本合同签订前的来往函件。</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上述文件互相补充和解释，如有不明确或不一致之处，按照上述文件次序在先者为准。同一层次合同文件有矛盾的，以时间较后的为准。</w:t>
      </w:r>
      <w:r/>
    </w:p>
    <w:p>
      <w:pPr>
        <w:ind w:firstLine="482"/>
        <w:spacing w:line="360" w:lineRule="auto"/>
        <w:rPr>
          <w:rFonts w:hint="eastAsia" w:ascii="宋体" w:hAnsi="宋体" w:eastAsia="宋体" w:cs="宋体"/>
          <w:b/>
          <w:bCs/>
          <w:sz w:val="24"/>
          <w:szCs w:val="24"/>
          <w:highlight w:val="none"/>
          <w:lang w:val="zh-CN"/>
        </w:rPr>
        <w:outlineLvl w:val="0"/>
      </w:pPr>
      <w:r/>
      <w:bookmarkStart w:id="82" w:name="_Toc29842"/>
      <w:r>
        <w:rPr>
          <w:rFonts w:hint="eastAsia" w:ascii="宋体" w:hAnsi="宋体" w:eastAsia="宋体" w:cs="宋体"/>
          <w:b/>
          <w:bCs/>
          <w:sz w:val="24"/>
          <w:szCs w:val="24"/>
          <w:highlight w:val="none"/>
          <w:lang w:val="zh-CN"/>
        </w:rPr>
        <w:t xml:space="preserve">第四条 甲方权利与义务</w:t>
      </w:r>
      <w:bookmarkEnd w:id="82"/>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1.甲方有权向乙方询问工作进展情况及相关的内容，有权检查和监督乙方的服务工作的质量、管理等情况，有权要求乙方以书面形式就前述内容进行汇报。</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三日之内，乙方仍未执行，甲方可另聘第三人执行该指示所要求的工作，并将有关费用作为债务向乙方追讨，或从本合同应付或将付款项中扣除。</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3.甲方在任何时候可以向乙方发出书面指示，在合同总体范围内提出变更。</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6.甲方有权同意或不同意乙方因自身工作需要而更换合同约定的项目服务人员的要求。</w:t>
      </w:r>
      <w:r/>
    </w:p>
    <w:p>
      <w:pPr>
        <w:ind w:firstLine="482"/>
        <w:spacing w:line="360" w:lineRule="auto"/>
        <w:rPr>
          <w:rFonts w:hint="eastAsia" w:ascii="宋体" w:hAnsi="宋体" w:eastAsia="宋体" w:cs="宋体"/>
          <w:b/>
          <w:bCs/>
          <w:sz w:val="24"/>
          <w:szCs w:val="24"/>
          <w:highlight w:val="none"/>
          <w:lang w:val="zh-CN"/>
        </w:rPr>
        <w:outlineLvl w:val="0"/>
      </w:pPr>
      <w:r/>
      <w:bookmarkStart w:id="83" w:name="_Toc7566"/>
      <w:r>
        <w:rPr>
          <w:rFonts w:hint="eastAsia" w:ascii="宋体" w:hAnsi="宋体" w:eastAsia="宋体" w:cs="宋体"/>
          <w:b/>
          <w:bCs/>
          <w:sz w:val="24"/>
          <w:szCs w:val="24"/>
          <w:highlight w:val="none"/>
          <w:lang w:val="zh-CN"/>
        </w:rPr>
        <w:t xml:space="preserve">第五条 乙方权利与义务</w:t>
      </w:r>
      <w:bookmarkEnd w:id="83"/>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1.乙方应严格遵守相关法律法规的规定，保证在合法且不侵犯他人利益的原则下进行项目服务活动，并对其所进行的服务活动负责。</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2.乙方应按本合同所述的时间、服务范围和内容,依据本合同约定及行业通常接受的技术惯例和专业机构承认的标准，高效地履行自己的义务。</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3.乙方应对本项目所提供服务结果的可靠性、准确性、全面性向甲方负责，由于服务结果的可靠性、准确性、全面性不足而导致甲方工作偏差或失误，乙方应承担相应法律责任。</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4.乙方在履行合同期间，履行本合同所确定的项目团队负责人及主要专业技术、管理人员等必须是本项目的实际操作者，未经甲方同意，乙方不得调换或撤离上述人员。</w:t>
      </w:r>
      <w:r/>
    </w:p>
    <w:p>
      <w:pPr>
        <w:ind w:firstLine="482"/>
        <w:spacing w:line="360" w:lineRule="auto"/>
        <w:rPr>
          <w:rFonts w:hint="eastAsia" w:ascii="宋体" w:hAnsi="宋体" w:eastAsia="宋体" w:cs="宋体"/>
          <w:b/>
          <w:bCs/>
          <w:sz w:val="24"/>
          <w:szCs w:val="24"/>
          <w:highlight w:val="none"/>
          <w:lang w:val="zh-CN"/>
        </w:rPr>
        <w:outlineLvl w:val="0"/>
      </w:pPr>
      <w:r/>
      <w:bookmarkStart w:id="84" w:name="_Toc19647"/>
      <w:r>
        <w:rPr>
          <w:rFonts w:hint="eastAsia" w:ascii="宋体" w:hAnsi="宋体" w:eastAsia="宋体" w:cs="宋体"/>
          <w:b/>
          <w:bCs/>
          <w:sz w:val="24"/>
          <w:szCs w:val="24"/>
          <w:highlight w:val="none"/>
          <w:lang w:val="zh-CN"/>
        </w:rPr>
        <w:t xml:space="preserve">第六条 权利保证</w:t>
      </w:r>
      <w:bookmarkEnd w:id="84"/>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1.知识产权</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2.所有权</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w:t>
      </w:r>
      <w:r/>
    </w:p>
    <w:p>
      <w:pPr>
        <w:ind w:firstLine="482"/>
        <w:spacing w:line="360" w:lineRule="auto"/>
        <w:rPr>
          <w:rFonts w:hint="eastAsia" w:ascii="宋体" w:hAnsi="宋体" w:eastAsia="宋体" w:cs="宋体"/>
          <w:b/>
          <w:bCs/>
          <w:sz w:val="24"/>
          <w:szCs w:val="24"/>
          <w:highlight w:val="none"/>
          <w:lang w:val="zh-CN"/>
        </w:rPr>
        <w:outlineLvl w:val="0"/>
      </w:pPr>
      <w:r/>
      <w:bookmarkStart w:id="85" w:name="_Toc2610"/>
      <w:r>
        <w:rPr>
          <w:rFonts w:hint="eastAsia" w:ascii="宋体" w:hAnsi="宋体" w:eastAsia="宋体" w:cs="宋体"/>
          <w:b/>
          <w:bCs/>
          <w:sz w:val="24"/>
          <w:szCs w:val="24"/>
          <w:highlight w:val="none"/>
          <w:lang w:val="zh-CN"/>
        </w:rPr>
        <w:t xml:space="preserve">第七条 质量保证</w:t>
      </w:r>
      <w:bookmarkEnd w:id="85"/>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1.采购文件规定、响应文件承诺的规范及要求明确的，乙方所交付项目的质量标准应当符合采购文件规定、响应文件承诺的规范及要求，且不应低于国家强制性标准。</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3.乙方所交付的项目还应符合国家和江苏省有关安全、环保、卫生之规定。</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4.如乙方未能按合同规定履行其质量保证责任和义务，甲方有权委托其他单位来实施，甲方因寻求替代履行所支付的费用和损失，有权向乙方提出赔偿，或从本合同应付或将付款项中扣除。</w:t>
      </w:r>
      <w:r/>
    </w:p>
    <w:p>
      <w:pPr>
        <w:ind w:firstLine="482"/>
        <w:spacing w:line="360" w:lineRule="auto"/>
        <w:rPr>
          <w:rFonts w:hint="eastAsia" w:ascii="宋体" w:hAnsi="宋体" w:eastAsia="宋体" w:cs="宋体"/>
          <w:b/>
          <w:bCs/>
          <w:sz w:val="24"/>
          <w:szCs w:val="24"/>
          <w:highlight w:val="none"/>
          <w:lang w:val="zh-CN"/>
        </w:rPr>
        <w:outlineLvl w:val="0"/>
      </w:pPr>
      <w:r/>
      <w:bookmarkStart w:id="86" w:name="_Toc21626"/>
      <w:r>
        <w:rPr>
          <w:rFonts w:hint="eastAsia" w:ascii="宋体" w:hAnsi="宋体" w:eastAsia="宋体" w:cs="宋体"/>
          <w:b/>
          <w:bCs/>
          <w:sz w:val="24"/>
          <w:szCs w:val="24"/>
          <w:highlight w:val="none"/>
          <w:lang w:val="zh-CN"/>
        </w:rPr>
        <w:t xml:space="preserve">第八条 交付使用和验收</w:t>
      </w:r>
      <w:bookmarkEnd w:id="86"/>
      <w:r/>
      <w:r/>
    </w:p>
    <w:p>
      <w:pPr>
        <w:ind w:firstLine="482"/>
        <w:spacing w:line="360" w:lineRule="auto"/>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甲方应当根据国家、行业验收标准，以及合同约定验收方案，明确验收时间、方式、程序和内容等事项，组成验收小组，在收到乙方项目验收申请之日起7个工作日内，对本项目进行实质性验收（验收申请有明显不当的除外）。乙方应对提交的服务成果作出全面检查和整理，并列出清单，作为甲方验收和使用技术条件依据，清单应随提交的服务成果交给甲方。</w:t>
      </w:r>
      <w:r/>
    </w:p>
    <w:p>
      <w:pPr>
        <w:ind w:firstLine="482"/>
        <w:spacing w:line="360" w:lineRule="auto"/>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zh-CN"/>
        </w:rPr>
        <w:t xml:space="preserve">.甲方自行组织或视情邀请相关专家或国家认可的质量检测机构参加验收，乙方提供的服务不符合采购文件、乙方响应文件及承诺等有关附件和合同规定的，甲方有权拒收，并由乙方承担验收费用等。</w:t>
      </w:r>
      <w:r/>
    </w:p>
    <w:p>
      <w:pPr>
        <w:ind w:firstLine="482"/>
        <w:spacing w:line="360" w:lineRule="auto"/>
        <w:rPr>
          <w:rFonts w:hint="eastAsia" w:ascii="宋体" w:hAnsi="宋体" w:eastAsia="宋体" w:cs="宋体"/>
          <w:b/>
          <w:bCs/>
          <w:sz w:val="24"/>
          <w:szCs w:val="24"/>
          <w:highlight w:val="none"/>
          <w:lang w:val="zh-CN"/>
        </w:rPr>
        <w:outlineLvl w:val="0"/>
      </w:pPr>
      <w:r/>
      <w:bookmarkStart w:id="87" w:name="_Toc688"/>
      <w:r>
        <w:rPr>
          <w:rFonts w:hint="eastAsia" w:ascii="宋体" w:hAnsi="宋体" w:eastAsia="宋体" w:cs="宋体"/>
          <w:b/>
          <w:bCs/>
          <w:sz w:val="24"/>
          <w:szCs w:val="24"/>
          <w:highlight w:val="none"/>
          <w:lang w:val="zh-CN"/>
        </w:rPr>
        <w:t xml:space="preserve">第九条 履约保证金（如有）</w:t>
      </w:r>
      <w:bookmarkEnd w:id="87"/>
      <w:r/>
      <w:r/>
    </w:p>
    <w:p>
      <w:pPr>
        <w:ind w:firstLine="482"/>
        <w:spacing w:line="360" w:lineRule="auto"/>
        <w:rPr>
          <w:rFonts w:hint="eastAsia" w:ascii="宋体" w:hAnsi="宋体" w:eastAsia="宋体" w:cs="宋体"/>
          <w:b/>
          <w:bCs/>
          <w:sz w:val="24"/>
          <w:szCs w:val="24"/>
          <w:highlight w:val="none"/>
          <w:lang w:val="zh-CN"/>
        </w:rPr>
        <w:outlineLvl w:val="0"/>
      </w:pPr>
      <w:r/>
      <w:bookmarkStart w:id="88" w:name="_Toc21009"/>
      <w:r>
        <w:rPr>
          <w:rFonts w:hint="eastAsia" w:ascii="宋体" w:hAnsi="宋体" w:eastAsia="宋体" w:cs="宋体"/>
          <w:b/>
          <w:bCs/>
          <w:sz w:val="24"/>
          <w:szCs w:val="24"/>
          <w:highlight w:val="none"/>
          <w:lang w:val="zh-CN"/>
        </w:rPr>
        <w:t xml:space="preserve">第十条 合同款支付</w:t>
      </w:r>
      <w:bookmarkEnd w:id="88"/>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合同签订后15个工作日内，采购人向成交供应商支付合同款项的</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0%作为预付款；项目结束且验收合格后，采购人向成交供应商支付剩余款项。采购人向成交供应商付款时，成交供应商需提供国家正规等额发票。</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因财政资金未按时拨付，付款期限顺延。</w:t>
      </w:r>
      <w:r/>
    </w:p>
    <w:p>
      <w:pPr>
        <w:ind w:firstLine="482"/>
        <w:spacing w:line="360" w:lineRule="auto"/>
        <w:rPr>
          <w:rFonts w:hint="eastAsia" w:ascii="宋体" w:hAnsi="宋体" w:eastAsia="宋体" w:cs="宋体"/>
          <w:b/>
          <w:bCs/>
          <w:sz w:val="24"/>
          <w:szCs w:val="24"/>
          <w:highlight w:val="none"/>
          <w:lang w:val="zh-CN"/>
        </w:rPr>
        <w:outlineLvl w:val="0"/>
      </w:pPr>
      <w:r/>
      <w:bookmarkStart w:id="89" w:name="_Toc4690"/>
      <w:r>
        <w:rPr>
          <w:rFonts w:hint="eastAsia" w:ascii="宋体" w:hAnsi="宋体" w:eastAsia="宋体" w:cs="宋体"/>
          <w:b/>
          <w:bCs/>
          <w:sz w:val="24"/>
          <w:szCs w:val="24"/>
          <w:highlight w:val="none"/>
          <w:lang w:val="zh-CN"/>
        </w:rPr>
        <w:t xml:space="preserve">第十一条 违约责任</w:t>
      </w:r>
      <w:bookmarkEnd w:id="89"/>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1.甲方未按合同规定的期限向乙方支付服务费的，每逾期1日甲方向乙方支付欠款总额0.05%的违约金，但累计违约金总额不超过欠款总额的5%，因财政资金未按时拨付导致甲方迟延付款的，甲方不承担违约责任。</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2.如乙方拒绝提供服务的，甲方有权单方解除合同，乙方还应向甲方支付合同总金额30%的违约金。</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乙方逾期提供本合同项下任一子项服务内容的，每逾期1日，乙方向甲方支付合同总金额万分之五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w:t>
      </w:r>
      <w:r>
        <w:rPr>
          <w:rFonts w:hint="eastAsia" w:ascii="宋体" w:hAnsi="宋体" w:eastAsia="宋体" w:cs="宋体"/>
          <w:sz w:val="24"/>
          <w:szCs w:val="24"/>
          <w:highlight w:val="none"/>
          <w:lang w:val="zh-CN"/>
        </w:rPr>
        <w:t xml:space="preserve">任何款项，已支付的款项（如有）乙方应予全额退还。（2）甲方仅拒收部分服务内容的，对于该拒收的服务内容，甲方不再向乙方付费，已支付的款项（如有）乙方应予全额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并根据上述第（1）（2）项约定执行。</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8.乙方响应属虚假承诺，或经权威部门检测提供的服务不能满足采购文件要求，或是由于乙方的过错造成合同无法继续履行的，乙方履约保证金（如有）不予退还外，还应向甲方支付不少于合同总金额30%的违约金。</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2"/>
        <w:spacing w:line="360" w:lineRule="auto"/>
        <w:rPr>
          <w:rFonts w:hint="eastAsia" w:ascii="宋体" w:hAnsi="宋体" w:eastAsia="宋体" w:cs="宋体"/>
          <w:b/>
          <w:bCs/>
          <w:sz w:val="24"/>
          <w:szCs w:val="24"/>
          <w:highlight w:val="none"/>
          <w:lang w:val="zh-CN"/>
        </w:rPr>
        <w:outlineLvl w:val="0"/>
      </w:pPr>
      <w:r/>
      <w:bookmarkStart w:id="90" w:name="_Toc20757"/>
      <w:r>
        <w:rPr>
          <w:rFonts w:hint="eastAsia" w:ascii="宋体" w:hAnsi="宋体" w:eastAsia="宋体" w:cs="宋体"/>
          <w:b/>
          <w:bCs/>
          <w:sz w:val="24"/>
          <w:szCs w:val="24"/>
          <w:highlight w:val="none"/>
          <w:lang w:val="zh-CN"/>
        </w:rPr>
        <w:t xml:space="preserve">第十二条 保密</w:t>
      </w:r>
      <w:bookmarkEnd w:id="90"/>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3.乙方为履行本合同所形成的任何成果，乙方负有保密义务。</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5.违反保密义务的，视为严重的根本违约行为，除应按合同约定承担有关违约责任外，还应当承担由此导致的行政乃至刑事法律责任，并应承担损失赔偿责任。</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6.保密的内容包括但不限于书面、电子数据等承载保密信息的各种形式。</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7.前述保密义务条款为独立条款，不因本协议的解除、终止而失效。</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8.如乙方违反保密义务，应向甲方支付合同总金额20%的违约金。</w:t>
      </w:r>
      <w:r/>
    </w:p>
    <w:p>
      <w:pPr>
        <w:ind w:firstLine="482"/>
        <w:spacing w:line="360" w:lineRule="auto"/>
        <w:rPr>
          <w:rFonts w:hint="eastAsia" w:ascii="宋体" w:hAnsi="宋体" w:eastAsia="宋体" w:cs="宋体"/>
          <w:b/>
          <w:bCs/>
          <w:sz w:val="24"/>
          <w:szCs w:val="24"/>
          <w:highlight w:val="none"/>
          <w:lang w:val="zh-CN"/>
        </w:rPr>
        <w:outlineLvl w:val="0"/>
      </w:pPr>
      <w:r/>
      <w:bookmarkStart w:id="91" w:name="_Toc13862"/>
      <w:r>
        <w:rPr>
          <w:rFonts w:hint="eastAsia" w:ascii="宋体" w:hAnsi="宋体" w:eastAsia="宋体" w:cs="宋体"/>
          <w:b/>
          <w:bCs/>
          <w:sz w:val="24"/>
          <w:szCs w:val="24"/>
          <w:highlight w:val="none"/>
          <w:lang w:val="zh-CN"/>
        </w:rPr>
        <w:t xml:space="preserve">第十三条 合同的变更和终止</w:t>
      </w:r>
      <w:bookmarkEnd w:id="91"/>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1.除《政府采购法》第50条第二款规定的情形外，本合同一经签订，甲乙双方不得擅自变更、中止或终止合同。</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2.除发生法律规定的不能预见、不能避免并不能克服的客观情况外，甲乙双方不得放弃或拒绝履行合同。如乙方放弃或拒绝履行合同，在三年内不得参加甲方组织的政府采购活动。</w:t>
      </w:r>
      <w:r/>
    </w:p>
    <w:p>
      <w:pPr>
        <w:ind w:firstLine="482"/>
        <w:spacing w:line="360" w:lineRule="auto"/>
        <w:rPr>
          <w:rFonts w:hint="eastAsia" w:ascii="宋体" w:hAnsi="宋体" w:eastAsia="宋体" w:cs="宋体"/>
          <w:b/>
          <w:bCs/>
          <w:sz w:val="24"/>
          <w:szCs w:val="24"/>
          <w:highlight w:val="none"/>
          <w:lang w:val="zh-CN"/>
        </w:rPr>
        <w:outlineLvl w:val="0"/>
      </w:pPr>
      <w:r/>
      <w:bookmarkStart w:id="92" w:name="_Toc788"/>
      <w:r>
        <w:rPr>
          <w:rFonts w:hint="eastAsia" w:ascii="宋体" w:hAnsi="宋体" w:eastAsia="宋体" w:cs="宋体"/>
          <w:b/>
          <w:bCs/>
          <w:sz w:val="24"/>
          <w:szCs w:val="24"/>
          <w:highlight w:val="none"/>
          <w:lang w:val="zh-CN"/>
        </w:rPr>
        <w:t xml:space="preserve">第十四条 合同的转让</w:t>
      </w:r>
      <w:bookmarkEnd w:id="92"/>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乙方不得将本项目转包或分包（经甲方同意的非主体子项目分包除外），否则甲方有权单方解除本合同。</w:t>
      </w:r>
      <w:r/>
    </w:p>
    <w:p>
      <w:pPr>
        <w:ind w:firstLine="482"/>
        <w:spacing w:line="360" w:lineRule="auto"/>
        <w:rPr>
          <w:rFonts w:hint="eastAsia" w:ascii="宋体" w:hAnsi="宋体" w:eastAsia="宋体" w:cs="宋体"/>
          <w:b/>
          <w:bCs/>
          <w:sz w:val="24"/>
          <w:szCs w:val="24"/>
          <w:highlight w:val="none"/>
          <w:lang w:val="zh-CN"/>
        </w:rPr>
        <w:outlineLvl w:val="0"/>
      </w:pPr>
      <w:r/>
      <w:bookmarkStart w:id="93" w:name="_Toc18263"/>
      <w:r>
        <w:rPr>
          <w:rFonts w:hint="eastAsia" w:ascii="宋体" w:hAnsi="宋体" w:eastAsia="宋体" w:cs="宋体"/>
          <w:b/>
          <w:bCs/>
          <w:sz w:val="24"/>
          <w:szCs w:val="24"/>
          <w:highlight w:val="none"/>
          <w:lang w:val="zh-CN"/>
        </w:rPr>
        <w:t xml:space="preserve">第十五条 不可抗力</w:t>
      </w:r>
      <w:bookmarkEnd w:id="93"/>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1.如果合同各方因不可抗力而导致合同实施延误或不能履行合同义务的话，不应该承担误期赔偿或不能履行合同义务的责任。</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2.在不可抗力事件发生后，当事方应尽快以书面形式将不可抗力的情况和原因通知对方，并在15日内将有关当局出具的不可抗力证明文件发送给另一方确认。合同各方应尽实际可 能继续履行合同义务，并积极寻求采取合理的方案履行不受不可抗力影响的其他事项。合同各方应通过友好协商在合理的时间内达成进一步履行合同的协议。</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3.当不可抗力情形终止或消除后，受影响的一方应尽快以电话、传真或邮政EMS通知对方。</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4.受不可抗力影响方应尽一切努力减少因不可抗力而产生的损失，否则应对扩大的损失承担责任。</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5.如不可抗力延续超过45日以上（含本数）时，双方应通过友好协商解决本合同的履行问题，并应尽快达成协议。</w:t>
      </w:r>
      <w:r/>
    </w:p>
    <w:p>
      <w:pPr>
        <w:ind w:firstLine="482"/>
        <w:spacing w:line="360" w:lineRule="auto"/>
        <w:rPr>
          <w:rFonts w:hint="eastAsia" w:ascii="宋体" w:hAnsi="宋体" w:eastAsia="宋体" w:cs="宋体"/>
          <w:b/>
          <w:bCs/>
          <w:sz w:val="24"/>
          <w:szCs w:val="24"/>
          <w:highlight w:val="none"/>
          <w:lang w:val="zh-CN"/>
        </w:rPr>
        <w:outlineLvl w:val="0"/>
      </w:pPr>
      <w:r/>
      <w:bookmarkStart w:id="94" w:name="_Toc23322"/>
      <w:r>
        <w:rPr>
          <w:rFonts w:hint="eastAsia" w:ascii="宋体" w:hAnsi="宋体" w:eastAsia="宋体" w:cs="宋体"/>
          <w:b/>
          <w:bCs/>
          <w:sz w:val="24"/>
          <w:szCs w:val="24"/>
          <w:highlight w:val="none"/>
          <w:lang w:val="zh-CN"/>
        </w:rPr>
        <w:t xml:space="preserve">第十六条 争议的解决</w:t>
      </w:r>
      <w:bookmarkEnd w:id="94"/>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1.因履行本合同引起的或与本合同有关的争议，甲、乙双方应首先通过友好协商解决，如果协商不能解决争议，则采取以下第（1）种方式解决争议：</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（1）向甲方所在地有管辖权的人民法院提起诉讼；</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（2）向南京仲裁委员会按其仲裁规则申请仲裁。 </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2.在争议解决期间，本合同应继续履行。</w:t>
      </w:r>
      <w:r/>
    </w:p>
    <w:p>
      <w:pPr>
        <w:ind w:firstLine="482"/>
        <w:spacing w:line="360" w:lineRule="auto"/>
        <w:rPr>
          <w:rFonts w:hint="eastAsia" w:ascii="宋体" w:hAnsi="宋体" w:eastAsia="宋体" w:cs="宋体"/>
          <w:b/>
          <w:bCs/>
          <w:sz w:val="24"/>
          <w:szCs w:val="24"/>
          <w:highlight w:val="none"/>
          <w:lang w:val="zh-CN"/>
        </w:rPr>
        <w:outlineLvl w:val="0"/>
      </w:pPr>
      <w:r/>
      <w:bookmarkStart w:id="95" w:name="_Toc6434"/>
      <w:r>
        <w:rPr>
          <w:rFonts w:hint="eastAsia" w:ascii="宋体" w:hAnsi="宋体" w:eastAsia="宋体" w:cs="宋体"/>
          <w:b/>
          <w:bCs/>
          <w:sz w:val="24"/>
          <w:szCs w:val="24"/>
          <w:highlight w:val="none"/>
          <w:lang w:val="zh-CN"/>
        </w:rPr>
        <w:t xml:space="preserve">第十七条 诚实信用</w:t>
      </w:r>
      <w:bookmarkEnd w:id="95"/>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乙方应诚实信用，严格按照采购文件要求和承诺履行合同，不向甲方进行商业贿赂或者提供不正当利益。</w:t>
      </w:r>
      <w:r/>
    </w:p>
    <w:p>
      <w:pPr>
        <w:ind w:firstLine="482"/>
        <w:spacing w:line="360" w:lineRule="auto"/>
        <w:rPr>
          <w:rFonts w:hint="eastAsia" w:ascii="宋体" w:hAnsi="宋体" w:eastAsia="宋体" w:cs="宋体"/>
          <w:b/>
          <w:bCs/>
          <w:sz w:val="24"/>
          <w:szCs w:val="24"/>
          <w:highlight w:val="none"/>
          <w:lang w:val="zh-CN"/>
        </w:rPr>
        <w:outlineLvl w:val="0"/>
      </w:pPr>
      <w:r/>
      <w:bookmarkStart w:id="96" w:name="_Toc25155"/>
      <w:r>
        <w:rPr>
          <w:rFonts w:hint="eastAsia" w:ascii="宋体" w:hAnsi="宋体" w:eastAsia="宋体" w:cs="宋体"/>
          <w:b/>
          <w:bCs/>
          <w:sz w:val="24"/>
          <w:szCs w:val="24"/>
          <w:highlight w:val="none"/>
          <w:lang w:val="zh-CN"/>
        </w:rPr>
        <w:t xml:space="preserve">第十八条 合同生效及其他</w:t>
      </w:r>
      <w:bookmarkEnd w:id="96"/>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1.本合同自双方加盖公章之日起生效。</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2.本合同一式四份，甲乙双方各执二份，具有同等法律效力。</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3.本合同应按照中华人民共和国的现行法律进行解释。</w:t>
      </w:r>
      <w:r/>
    </w:p>
    <w:p>
      <w:pPr>
        <w:ind w:firstLine="482"/>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p>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以下无正文</w:t>
      </w:r>
      <w:r>
        <w:rPr>
          <w:rFonts w:hint="eastAsia" w:ascii="宋体" w:hAnsi="宋体" w:eastAsia="宋体" w:cs="宋体"/>
          <w:sz w:val="24"/>
          <w:szCs w:val="24"/>
          <w:highlight w:val="none"/>
          <w:lang w:val="zh-CN"/>
        </w:rPr>
        <w:t xml:space="preserve">）</w:t>
      </w:r>
      <w:r/>
    </w:p>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ageBreakBefore/>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本页为合同签署页</w:t>
      </w:r>
      <w:r>
        <w:rPr>
          <w:rFonts w:hint="eastAsia" w:ascii="宋体" w:hAnsi="宋体" w:eastAsia="宋体" w:cs="宋体"/>
          <w:sz w:val="24"/>
          <w:szCs w:val="24"/>
          <w:highlight w:val="none"/>
          <w:lang w:val="zh-CN"/>
        </w:rPr>
        <w:t xml:space="preserve">）</w:t>
      </w:r>
      <w:r/>
    </w:p>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spacing w:line="360" w:lineRule="auto"/>
        <w:tabs>
          <w:tab w:val="left" w:pos="782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甲方（盖章）：</w:t>
      </w:r>
      <w:r/>
    </w:p>
    <w:p>
      <w:pPr>
        <w:spacing w:line="360" w:lineRule="auto"/>
        <w:tabs>
          <w:tab w:val="left" w:pos="782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法定代表人或其授权委托人（签章）：</w:t>
      </w:r>
      <w:r/>
    </w:p>
    <w:p>
      <w:pPr>
        <w:spacing w:line="360" w:lineRule="auto"/>
        <w:tabs>
          <w:tab w:val="left" w:pos="782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签订时间：     </w:t>
      </w:r>
      <w:r>
        <w:rPr>
          <w:rFonts w:hint="eastAsia" w:ascii="宋体" w:hAnsi="宋体" w:eastAsia="宋体" w:cs="宋体"/>
          <w:sz w:val="24"/>
          <w:szCs w:val="24"/>
          <w:highlight w:val="none"/>
          <w:lang w:val="zh-CN"/>
        </w:rPr>
        <w:t xml:space="preserve">年  月   日</w:t>
      </w:r>
      <w:r/>
    </w:p>
    <w:p>
      <w:pPr>
        <w:spacing w:line="360" w:lineRule="auto"/>
        <w:tabs>
          <w:tab w:val="left" w:pos="782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spacing w:line="360" w:lineRule="auto"/>
        <w:tabs>
          <w:tab w:val="left" w:pos="782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spacing w:line="360" w:lineRule="auto"/>
        <w:tabs>
          <w:tab w:val="left" w:pos="782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spacing w:line="360" w:lineRule="auto"/>
        <w:tabs>
          <w:tab w:val="left" w:pos="782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spacing w:line="360" w:lineRule="auto"/>
        <w:tabs>
          <w:tab w:val="left" w:pos="782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乙方（盖章）：</w:t>
      </w:r>
      <w:r/>
    </w:p>
    <w:p>
      <w:pPr>
        <w:spacing w:line="360" w:lineRule="auto"/>
        <w:tabs>
          <w:tab w:val="left" w:pos="782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法定代表人或其授权委托人（签章）：</w:t>
      </w:r>
      <w:r/>
    </w:p>
    <w:p>
      <w:pPr>
        <w:spacing w:line="360" w:lineRule="auto"/>
        <w:tabs>
          <w:tab w:val="left" w:pos="782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签订时间：     </w:t>
      </w:r>
      <w:r>
        <w:rPr>
          <w:rFonts w:hint="eastAsia" w:ascii="宋体" w:hAnsi="宋体" w:eastAsia="宋体" w:cs="宋体"/>
          <w:sz w:val="24"/>
          <w:szCs w:val="24"/>
          <w:highlight w:val="none"/>
          <w:lang w:val="zh-CN"/>
        </w:rPr>
        <w:t xml:space="preserve">年  月   日</w:t>
      </w:r>
      <w:r/>
    </w:p>
    <w:p>
      <w:pPr>
        <w:ind w:firstLine="482"/>
        <w:spacing w:line="360" w:lineRule="auto"/>
        <w:tabs>
          <w:tab w:val="left" w:pos="782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b/>
          <w:bCs/>
          <w:color w:val="auto"/>
          <w:sz w:val="36"/>
          <w:szCs w:val="36"/>
          <w:highlight w:val="none"/>
          <w:lang w:val="en-US" w:eastAsia="zh-CN" w:bidi="ar-SA"/>
        </w:rPr>
      </w:pPr>
      <w:r>
        <w:rPr>
          <w:rFonts w:hint="eastAsia" w:ascii="宋体" w:hAnsi="宋体" w:eastAsia="宋体" w:cs="宋体"/>
          <w:b/>
          <w:bCs/>
          <w:color w:val="auto"/>
          <w:sz w:val="36"/>
          <w:szCs w:val="36"/>
          <w:highlight w:val="none"/>
          <w:lang w:val="en-US" w:eastAsia="zh-CN" w:bidi="ar-SA"/>
        </w:rPr>
      </w:r>
      <w:r/>
    </w:p>
    <w:p>
      <w:pPr>
        <w:rPr>
          <w:rFonts w:hint="eastAsia" w:ascii="宋体" w:hAnsi="宋体" w:eastAsia="宋体" w:cs="宋体"/>
          <w:b/>
          <w:bCs/>
          <w:color w:val="auto"/>
          <w:sz w:val="36"/>
          <w:szCs w:val="36"/>
          <w:highlight w:val="none"/>
          <w:lang w:val="en-US" w:eastAsia="zh-CN" w:bidi="ar-SA"/>
        </w:rPr>
      </w:pPr>
      <w:r/>
      <w:bookmarkStart w:id="97" w:name="_Toc28579"/>
      <w:r>
        <w:rPr>
          <w:rFonts w:hint="eastAsia" w:ascii="宋体" w:hAnsi="宋体" w:eastAsia="宋体" w:cs="宋体"/>
          <w:b/>
          <w:bCs/>
          <w:color w:val="auto"/>
          <w:sz w:val="36"/>
          <w:szCs w:val="36"/>
          <w:highlight w:val="none"/>
          <w:lang w:val="en-US" w:eastAsia="zh-CN" w:bidi="ar-SA"/>
        </w:rPr>
        <w:br w:type="page" w:clear="all"/>
      </w:r>
      <w:r/>
    </w:p>
    <w:p>
      <w:pPr>
        <w:pStyle w:val="1032"/>
        <w:jc w:val="center"/>
        <w:keepLines w:val="0"/>
        <w:keepNext w:val="0"/>
        <w:pageBreakBefore w:val="0"/>
        <w:spacing w:before="120" w:after="120" w:line="0" w:lineRule="atLeast"/>
        <w:widowControl w:val="off"/>
        <w:rPr>
          <w:rFonts w:hint="eastAsia" w:hAnsi="宋体"/>
          <w:b/>
          <w:bCs/>
          <w:color w:val="auto"/>
          <w:sz w:val="24"/>
          <w:szCs w:val="24"/>
          <w:highlight w:val="none"/>
        </w:rPr>
        <w:outlineLvl w:val="0"/>
      </w:pPr>
      <w:r>
        <w:rPr>
          <w:rFonts w:hint="eastAsia" w:ascii="宋体" w:hAnsi="宋体" w:eastAsia="宋体" w:cs="宋体"/>
          <w:b/>
          <w:bCs/>
          <w:color w:val="auto"/>
          <w:sz w:val="36"/>
          <w:szCs w:val="36"/>
          <w:highlight w:val="none"/>
          <w:lang w:val="en-US" w:eastAsia="zh-CN" w:bidi="ar-SA"/>
        </w:rPr>
        <w:t xml:space="preserve">第</w:t>
      </w:r>
      <w:bookmarkEnd w:id="72"/>
      <w:r>
        <w:rPr>
          <w:rFonts w:hint="eastAsia" w:ascii="宋体" w:hAnsi="宋体" w:eastAsia="宋体" w:cs="宋体"/>
          <w:b/>
          <w:bCs/>
          <w:color w:val="auto"/>
          <w:sz w:val="36"/>
          <w:szCs w:val="36"/>
          <w:highlight w:val="none"/>
          <w:lang w:val="en-US" w:eastAsia="zh-CN" w:bidi="ar-SA"/>
        </w:rPr>
        <w:t xml:space="preserve">四章  项目需求</w:t>
      </w:r>
      <w:bookmarkEnd w:id="73"/>
      <w:r/>
      <w:bookmarkEnd w:id="74"/>
      <w:r/>
      <w:bookmarkEnd w:id="75"/>
      <w:r/>
      <w:bookmarkEnd w:id="76"/>
      <w:r/>
      <w:bookmarkEnd w:id="97"/>
      <w:r/>
      <w:r/>
    </w:p>
    <w:p>
      <w:pPr>
        <w:rPr>
          <w:rFonts w:hint="eastAsia" w:ascii="方正小标宋简体" w:hAnsi="方正小标宋简体" w:eastAsia="方正小标宋简体" w:cs="方正小标宋简体"/>
          <w:color w:val="auto"/>
          <w:sz w:val="28"/>
          <w:szCs w:val="28"/>
          <w:highlight w:val="none"/>
        </w:rPr>
      </w:pPr>
      <w:r/>
      <w:bookmarkStart w:id="98" w:name="_Toc120614281"/>
      <w:r/>
      <w:bookmarkStart w:id="99" w:name="_Toc49090575"/>
      <w:r/>
      <w:bookmarkStart w:id="100" w:name="_Toc26554093"/>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采购包1（第四届创业创新大赛技术支持）</w:t>
      </w:r>
      <w:r>
        <w:rPr>
          <w:rFonts w:hint="eastAsia" w:ascii="宋体" w:hAnsi="宋体" w:eastAsia="宋体" w:cs="宋体"/>
          <w:b/>
          <w:bCs/>
          <w:color w:val="auto"/>
          <w:sz w:val="24"/>
          <w:szCs w:val="24"/>
          <w:highlight w:val="none"/>
          <w:lang w:val="en-US" w:eastAsia="zh-CN"/>
        </w:rPr>
        <w:t xml:space="preserve">90万元】</w:t>
      </w:r>
      <w:r/>
    </w:p>
    <w:p>
      <w:pPr>
        <w:pageBreakBefore w:val="0"/>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lang w:val="en-US" w:eastAsia="zh-CN"/>
        </w:rPr>
        <w:t xml:space="preserve">一</w:t>
      </w:r>
      <w:r>
        <w:rPr>
          <w:rFonts w:hint="eastAsia" w:ascii="宋体" w:hAnsi="宋体" w:eastAsia="宋体" w:cs="宋体"/>
          <w:b/>
          <w:sz w:val="22"/>
          <w:szCs w:val="22"/>
          <w:highlight w:val="none"/>
        </w:rPr>
        <w:t xml:space="preserve">、项目概况</w:t>
      </w:r>
      <w:r/>
    </w:p>
    <w:p>
      <w:pPr>
        <w:ind w:firstLine="44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为深入贯彻</w:t>
      </w:r>
      <w:r>
        <w:rPr>
          <w:rFonts w:hint="eastAsia" w:ascii="宋体" w:hAnsi="宋体" w:eastAsia="宋体" w:cs="宋体"/>
          <w:sz w:val="22"/>
          <w:szCs w:val="22"/>
          <w:highlight w:val="none"/>
          <w:lang w:eastAsia="zh-CN"/>
        </w:rPr>
        <w:t xml:space="preserve">习近平总书记关于退役军人工作的重要论述</w:t>
      </w:r>
      <w:r>
        <w:rPr>
          <w:rFonts w:hint="eastAsia" w:ascii="宋体" w:hAnsi="宋体" w:eastAsia="宋体" w:cs="宋体"/>
          <w:sz w:val="22"/>
          <w:szCs w:val="22"/>
          <w:highlight w:val="none"/>
        </w:rPr>
        <w:t xml:space="preserve">，全面落实党中央、国务院关于纵深推进大众创业万众创新的决策部署和省委、省政府相关要求，激发退役军人创业创新热情，展示退役军人创业创新风采，推进退役军人实现更高质量创业。江苏省退役军人事务厅决定举办</w:t>
      </w:r>
      <w:r>
        <w:rPr>
          <w:rFonts w:hint="eastAsia" w:ascii="宋体" w:hAnsi="宋体" w:eastAsia="宋体" w:cs="宋体"/>
          <w:sz w:val="22"/>
          <w:szCs w:val="22"/>
          <w:highlight w:val="none"/>
          <w:lang w:val="en-US" w:eastAsia="zh-CN"/>
        </w:rPr>
        <w:t xml:space="preserve">于2026年7月举办</w:t>
      </w:r>
      <w:r>
        <w:rPr>
          <w:rFonts w:hint="eastAsia" w:ascii="宋体" w:hAnsi="宋体" w:eastAsia="宋体" w:cs="宋体"/>
          <w:sz w:val="22"/>
          <w:szCs w:val="22"/>
          <w:highlight w:val="none"/>
        </w:rPr>
        <w:t xml:space="preserve">第</w:t>
      </w:r>
      <w:r>
        <w:rPr>
          <w:rFonts w:hint="eastAsia" w:ascii="宋体" w:hAnsi="宋体" w:eastAsia="宋体" w:cs="宋体"/>
          <w:sz w:val="22"/>
          <w:szCs w:val="22"/>
          <w:highlight w:val="none"/>
          <w:lang w:val="en-US" w:eastAsia="zh-CN"/>
        </w:rPr>
        <w:t xml:space="preserve">四</w:t>
      </w:r>
      <w:r>
        <w:rPr>
          <w:rFonts w:hint="eastAsia" w:ascii="宋体" w:hAnsi="宋体" w:eastAsia="宋体" w:cs="宋体"/>
          <w:sz w:val="22"/>
          <w:szCs w:val="22"/>
          <w:highlight w:val="none"/>
        </w:rPr>
        <w:t xml:space="preserve">届江苏省退役军人创业创新大赛，大赛设“新兴和未来产业</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传统产业</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生活服务业</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现代农业（乡村振兴）</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退役士兵大学生士兵”5个赛道。</w:t>
      </w:r>
      <w:r>
        <w:rPr>
          <w:rFonts w:hint="eastAsia" w:ascii="宋体" w:hAnsi="宋体" w:eastAsia="宋体" w:cs="宋体"/>
          <w:sz w:val="22"/>
          <w:szCs w:val="22"/>
          <w:highlight w:val="none"/>
          <w:lang w:val="en-US" w:eastAsia="zh-CN"/>
        </w:rPr>
        <w:t xml:space="preserve">现</w:t>
      </w:r>
      <w:r>
        <w:rPr>
          <w:rFonts w:hint="eastAsia" w:ascii="宋体" w:hAnsi="宋体" w:eastAsia="宋体" w:cs="宋体"/>
          <w:sz w:val="22"/>
          <w:szCs w:val="22"/>
          <w:highlight w:val="none"/>
        </w:rPr>
        <w:t xml:space="preserve">通过竞争性磋商的方式</w:t>
      </w:r>
      <w:r>
        <w:rPr>
          <w:rFonts w:hint="eastAsia" w:ascii="宋体" w:hAnsi="宋体" w:eastAsia="宋体" w:cs="宋体"/>
          <w:sz w:val="22"/>
          <w:szCs w:val="22"/>
          <w:highlight w:val="none"/>
          <w:lang w:val="en-US" w:eastAsia="zh-CN"/>
        </w:rPr>
        <w:t xml:space="preserve">确定</w:t>
      </w:r>
      <w:r>
        <w:rPr>
          <w:rFonts w:hint="eastAsia" w:ascii="宋体" w:hAnsi="宋体" w:eastAsia="宋体" w:cs="宋体"/>
          <w:sz w:val="22"/>
          <w:szCs w:val="22"/>
          <w:highlight w:val="none"/>
        </w:rPr>
        <w:t xml:space="preserve">本项目供应商。</w:t>
      </w:r>
      <w:r/>
    </w:p>
    <w:p>
      <w:pPr>
        <w:pStyle w:val="745"/>
        <w:ind w:firstLine="440"/>
        <w:pageBreakBefore w:val="0"/>
        <w:spacing w:before="0" w:after="0" w:line="360" w:lineRule="auto"/>
        <w:rPr>
          <w:rFonts w:hint="eastAsia" w:ascii="宋体" w:hAnsi="宋体" w:eastAsia="宋体" w:cs="宋体"/>
          <w:b w:val="0"/>
          <w:bCs w:val="0"/>
          <w:sz w:val="22"/>
          <w:szCs w:val="22"/>
          <w:highlight w:val="none"/>
          <w:lang w:val="en-US" w:eastAsia="zh-CN" w:bidi="ar-SA"/>
        </w:rPr>
      </w:pPr>
      <w:r>
        <w:rPr>
          <w:rFonts w:hint="eastAsia" w:ascii="宋体" w:hAnsi="宋体" w:eastAsia="宋体" w:cs="宋体"/>
          <w:b w:val="0"/>
          <w:bCs w:val="0"/>
          <w:sz w:val="22"/>
          <w:szCs w:val="22"/>
          <w:highlight w:val="none"/>
          <w:lang w:val="en-US" w:eastAsia="zh-CN" w:bidi="ar-SA"/>
        </w:rPr>
        <w:t xml:space="preserve">本采购包预算90万元，供应商报价须包含以下全部费用：</w:t>
      </w:r>
      <w:r/>
    </w:p>
    <w:p>
      <w:pPr>
        <w:pStyle w:val="745"/>
        <w:ind w:firstLine="440"/>
        <w:pageBreakBefore w:val="0"/>
        <w:spacing w:before="0" w:after="0" w:line="360" w:lineRule="auto"/>
        <w:rPr>
          <w:rFonts w:hint="eastAsia" w:ascii="宋体" w:hAnsi="宋体" w:eastAsia="宋体" w:cs="宋体"/>
          <w:b w:val="0"/>
          <w:bCs w:val="0"/>
          <w:sz w:val="22"/>
          <w:szCs w:val="22"/>
          <w:highlight w:val="none"/>
          <w:lang w:val="en-US" w:eastAsia="zh-CN" w:bidi="ar-SA"/>
        </w:rPr>
      </w:pPr>
      <w:r>
        <w:rPr>
          <w:rFonts w:hint="eastAsia" w:ascii="宋体" w:hAnsi="宋体" w:eastAsia="宋体" w:cs="宋体"/>
          <w:b w:val="0"/>
          <w:bCs w:val="0"/>
          <w:sz w:val="22"/>
          <w:szCs w:val="22"/>
          <w:highlight w:val="none"/>
          <w:lang w:val="en-US" w:eastAsia="zh-CN" w:bidi="ar-SA"/>
        </w:rPr>
        <w:t xml:space="preserve">1.市级赛事对接支持；</w:t>
      </w:r>
      <w:r/>
    </w:p>
    <w:p>
      <w:pPr>
        <w:pStyle w:val="745"/>
        <w:ind w:firstLine="440"/>
        <w:pageBreakBefore w:val="0"/>
        <w:spacing w:before="0" w:after="0" w:line="360" w:lineRule="auto"/>
        <w:rPr>
          <w:rFonts w:hint="eastAsia" w:ascii="宋体" w:hAnsi="宋体" w:eastAsia="宋体" w:cs="宋体"/>
          <w:b w:val="0"/>
          <w:bCs w:val="0"/>
          <w:sz w:val="22"/>
          <w:szCs w:val="22"/>
          <w:highlight w:val="none"/>
          <w:lang w:val="en-US" w:eastAsia="zh-CN" w:bidi="ar-SA"/>
        </w:rPr>
      </w:pPr>
      <w:r>
        <w:rPr>
          <w:rFonts w:hint="eastAsia" w:ascii="宋体" w:hAnsi="宋体" w:eastAsia="宋体" w:cs="宋体"/>
          <w:b w:val="0"/>
          <w:bCs w:val="0"/>
          <w:sz w:val="22"/>
          <w:szCs w:val="22"/>
          <w:highlight w:val="none"/>
          <w:lang w:val="en-US" w:eastAsia="zh-CN" w:bidi="ar-SA"/>
        </w:rPr>
        <w:t xml:space="preserve">2.省级决赛前的项目审查、初评、赛前指导；</w:t>
      </w:r>
      <w:r/>
    </w:p>
    <w:p>
      <w:pPr>
        <w:pStyle w:val="745"/>
        <w:ind w:firstLine="440"/>
        <w:pageBreakBefore w:val="0"/>
        <w:spacing w:before="0" w:after="0" w:line="360" w:lineRule="auto"/>
        <w:rPr>
          <w:rFonts w:hint="eastAsia" w:ascii="宋体" w:hAnsi="宋体" w:eastAsia="宋体" w:cs="宋体"/>
          <w:b w:val="0"/>
          <w:bCs w:val="0"/>
          <w:sz w:val="22"/>
          <w:szCs w:val="22"/>
          <w:highlight w:val="none"/>
          <w:lang w:val="en-US" w:eastAsia="zh-CN" w:bidi="ar-SA"/>
        </w:rPr>
      </w:pPr>
      <w:r>
        <w:rPr>
          <w:rFonts w:hint="eastAsia" w:ascii="宋体" w:hAnsi="宋体" w:eastAsia="宋体" w:cs="宋体"/>
          <w:b w:val="0"/>
          <w:bCs w:val="0"/>
          <w:sz w:val="22"/>
          <w:szCs w:val="22"/>
          <w:highlight w:val="none"/>
          <w:lang w:val="en-US" w:eastAsia="zh-CN" w:bidi="ar-SA"/>
        </w:rPr>
        <w:t xml:space="preserve">3.省级决赛期间（约300人）的食宿费用，开赛仪式、5个赛场、颁奖仪式等场地费用；</w:t>
      </w:r>
      <w:r/>
    </w:p>
    <w:p>
      <w:pPr>
        <w:pStyle w:val="745"/>
        <w:ind w:firstLine="440"/>
        <w:pageBreakBefore w:val="0"/>
        <w:spacing w:before="0" w:after="0" w:line="360" w:lineRule="auto"/>
        <w:rPr>
          <w:rFonts w:hint="eastAsia" w:ascii="宋体" w:hAnsi="宋体" w:eastAsia="宋体" w:cs="宋体"/>
          <w:b w:val="0"/>
          <w:bCs w:val="0"/>
          <w:sz w:val="22"/>
          <w:szCs w:val="22"/>
          <w:highlight w:val="none"/>
          <w:lang w:val="en-US" w:eastAsia="zh-CN" w:bidi="ar-SA"/>
        </w:rPr>
      </w:pPr>
      <w:r>
        <w:rPr>
          <w:rFonts w:hint="eastAsia" w:ascii="宋体" w:hAnsi="宋体" w:eastAsia="宋体" w:cs="宋体"/>
          <w:b w:val="0"/>
          <w:bCs w:val="0"/>
          <w:sz w:val="22"/>
          <w:szCs w:val="22"/>
          <w:highlight w:val="none"/>
          <w:lang w:val="en-US" w:eastAsia="zh-CN" w:bidi="ar-SA"/>
        </w:rPr>
        <w:t xml:space="preserve">4.省级决赛期间的评审组织、赛事执行、会务服务、企业及金融资源对接；</w:t>
      </w:r>
      <w:r/>
    </w:p>
    <w:p>
      <w:pPr>
        <w:pStyle w:val="745"/>
        <w:ind w:firstLine="440"/>
        <w:pageBreakBefore w:val="0"/>
        <w:spacing w:before="0" w:after="0" w:line="360" w:lineRule="auto"/>
        <w:rPr>
          <w:rFonts w:hint="eastAsia" w:ascii="宋体" w:hAnsi="宋体" w:eastAsia="宋体" w:cs="宋体"/>
          <w:highlight w:val="none"/>
        </w:rPr>
      </w:pPr>
      <w:r>
        <w:rPr>
          <w:rFonts w:hint="eastAsia" w:ascii="宋体" w:hAnsi="宋体" w:eastAsia="宋体" w:cs="宋体"/>
          <w:b w:val="0"/>
          <w:bCs w:val="0"/>
          <w:sz w:val="22"/>
          <w:szCs w:val="22"/>
          <w:highlight w:val="none"/>
          <w:lang w:val="en-US" w:eastAsia="zh-CN" w:bidi="ar-SA"/>
        </w:rPr>
        <w:t xml:space="preserve">5.省赛后国赛前的项目辅导。</w:t>
      </w:r>
      <w:r/>
    </w:p>
    <w:p>
      <w:pPr>
        <w:pageBreakBefore w:val="0"/>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lang w:val="en-US" w:eastAsia="zh-CN"/>
        </w:rPr>
        <w:t xml:space="preserve">二</w:t>
      </w:r>
      <w:r>
        <w:rPr>
          <w:rFonts w:hint="eastAsia" w:ascii="宋体" w:hAnsi="宋体" w:eastAsia="宋体" w:cs="宋体"/>
          <w:b/>
          <w:sz w:val="22"/>
          <w:szCs w:val="22"/>
          <w:highlight w:val="none"/>
        </w:rPr>
        <w:t xml:space="preserve">、项目内容及要求：</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（一）</w:t>
      </w:r>
      <w:r>
        <w:rPr>
          <w:rFonts w:hint="eastAsia" w:ascii="宋体" w:hAnsi="宋体" w:eastAsia="宋体" w:cs="宋体"/>
          <w:color w:val="auto"/>
          <w:sz w:val="22"/>
          <w:szCs w:val="22"/>
          <w:highlight w:val="none"/>
          <w:lang w:val="en-US" w:eastAsia="zh-CN"/>
        </w:rPr>
        <w:t xml:space="preserve">市级赛事支持</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lang w:val="en-US" w:eastAsia="zh-CN"/>
        </w:rPr>
        <w:t xml:space="preserve">1.对接各市，参与各市级赛事，</w:t>
      </w:r>
      <w:r>
        <w:rPr>
          <w:rFonts w:hint="eastAsia" w:ascii="宋体" w:hAnsi="宋体" w:eastAsia="宋体" w:cs="宋体"/>
          <w:color w:val="auto"/>
          <w:sz w:val="22"/>
          <w:szCs w:val="22"/>
          <w:highlight w:val="none"/>
          <w:lang w:val="en-US" w:eastAsia="zh-CN"/>
        </w:rPr>
        <w:t xml:space="preserve">协助各市完成项目资格审查，市级决赛现场邀请专家团（不低于3人）对市级项目进行预审观察，挑选优秀项目备赛省赛国赛。</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（二）</w:t>
      </w:r>
      <w:r>
        <w:rPr>
          <w:rFonts w:hint="eastAsia" w:ascii="宋体" w:hAnsi="宋体" w:eastAsia="宋体" w:cs="宋体"/>
          <w:color w:val="auto"/>
          <w:sz w:val="22"/>
          <w:szCs w:val="22"/>
          <w:highlight w:val="none"/>
          <w:lang w:val="en-US" w:eastAsia="zh-CN"/>
        </w:rPr>
        <w:t xml:space="preserve">省级</w:t>
      </w:r>
      <w:r>
        <w:rPr>
          <w:rFonts w:hint="eastAsia" w:ascii="宋体" w:hAnsi="宋体" w:eastAsia="宋体" w:cs="宋体"/>
          <w:color w:val="auto"/>
          <w:sz w:val="22"/>
          <w:szCs w:val="22"/>
          <w:highlight w:val="none"/>
        </w:rPr>
        <w:t xml:space="preserve">决赛前</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1.对各设区市上报的项目进行汇总、统计、资格审查等，经审查通过的项目方可参赛。</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负责提供就业创业研究和指导专家、成功创业企业家及创投行业领军人士、孵化载体及创服机构负责人等相关创业领域至少五十名专家评审备选名单（姓名、单位、职务、联系方式、相关工作经验），确保真实、准确、有效、自愿参与。</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3.组织项目初评：根据参赛项目数量，组织不低于5位专家评委参与项目初评。</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组织决赛赛前指导：组织进入决赛的参赛企业（团队）开展赛事训练营，为参赛项目提供项目优化、路演技巧、路演礼仪、模拟路演展示等方面的指导，评委点评纠偏等辅导过程，帮助项目掌握创业项目的优化、路演展示方法与技巧，并学会通过路演进行项目推介及自我推介。</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5.根据进入决赛的项目情况，制定活动策划，拟订决赛方案；</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6.供应商需联系不少于10家包括各风投、金融机构为获奖创业项目进行投资对接，通过现场交流，为退役军人创业已成熟的企业寻求投资机会。</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三</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省级</w:t>
      </w:r>
      <w:r>
        <w:rPr>
          <w:rFonts w:hint="eastAsia" w:ascii="宋体" w:hAnsi="宋体" w:eastAsia="宋体" w:cs="宋体"/>
          <w:color w:val="auto"/>
          <w:sz w:val="22"/>
          <w:szCs w:val="22"/>
          <w:highlight w:val="none"/>
        </w:rPr>
        <w:t xml:space="preserve">决赛期间</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1.食宿与场地要求</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（1）</w:t>
      </w:r>
      <w:r>
        <w:rPr>
          <w:rFonts w:hint="eastAsia" w:ascii="宋体" w:hAnsi="宋体" w:eastAsia="宋体" w:cs="宋体"/>
          <w:color w:val="auto"/>
          <w:sz w:val="22"/>
          <w:szCs w:val="22"/>
          <w:highlight w:val="none"/>
          <w:lang w:val="en-US" w:eastAsia="zh-CN"/>
        </w:rPr>
        <w:t xml:space="preserve">食宿费用：供应商须承担省级决赛期间所有人员的食宿费用，包括：约300人（5个赛道每市2个项目约200人+各市领队及工作人员50人+评委40人+会务人员20人，共约310人，按300人预估），日程为2.5天（第一天报到彩排，第二天全天比赛，第三天上午颁奖仪式、下午离会）。</w:t>
      </w:r>
      <w:r/>
    </w:p>
    <w:p>
      <w:pPr>
        <w:numPr>
          <w:ilvl w:val="0"/>
          <w:numId w:val="0"/>
        </w:numPr>
        <w:ind w:firstLine="442"/>
        <w:keepLines w:val="0"/>
        <w:keepNext w:val="0"/>
        <w:pageBreakBefore w:val="0"/>
        <w:spacing w:line="360" w:lineRule="auto"/>
        <w:widowControl w:val="off"/>
        <w:rPr>
          <w:rFonts w:hint="eastAsia" w:ascii="宋体" w:hAnsi="宋体" w:eastAsia="宋体" w:cs="宋体"/>
          <w:b/>
          <w:bCs/>
          <w:i/>
          <w:iCs/>
          <w:color w:val="auto"/>
          <w:sz w:val="22"/>
          <w:szCs w:val="22"/>
          <w:highlight w:val="none"/>
          <w:u w:val="single"/>
          <w:lang w:val="en-US" w:eastAsia="zh-CN"/>
        </w:rPr>
      </w:pPr>
      <w:r>
        <w:rPr>
          <w:rFonts w:hint="eastAsia" w:ascii="宋体" w:hAnsi="宋体" w:eastAsia="宋体" w:cs="宋体"/>
          <w:b/>
          <w:bCs/>
          <w:i/>
          <w:iCs/>
          <w:sz w:val="22"/>
          <w:szCs w:val="22"/>
          <w:highlight w:val="none"/>
          <w:u w:val="single"/>
        </w:rPr>
        <w:t xml:space="preserve">（</w:t>
      </w:r>
      <w:r>
        <w:rPr>
          <w:rFonts w:hint="eastAsia" w:ascii="宋体" w:hAnsi="宋体" w:eastAsia="宋体" w:cs="宋体"/>
          <w:b/>
          <w:bCs/>
          <w:i/>
          <w:iCs/>
          <w:sz w:val="22"/>
          <w:szCs w:val="22"/>
          <w:highlight w:val="none"/>
          <w:u w:val="single"/>
          <w:lang w:val="en-US" w:eastAsia="zh-CN"/>
        </w:rPr>
        <w:t xml:space="preserve">2</w:t>
      </w:r>
      <w:r>
        <w:rPr>
          <w:rFonts w:hint="eastAsia" w:ascii="宋体" w:hAnsi="宋体" w:eastAsia="宋体" w:cs="宋体"/>
          <w:b/>
          <w:bCs/>
          <w:i/>
          <w:iCs/>
          <w:sz w:val="22"/>
          <w:szCs w:val="22"/>
          <w:highlight w:val="none"/>
          <w:u w:val="single"/>
        </w:rPr>
        <w:t xml:space="preserve">）</w:t>
      </w:r>
      <w:r>
        <w:rPr>
          <w:rFonts w:hint="eastAsia" w:ascii="宋体" w:hAnsi="宋体" w:eastAsia="宋体" w:cs="宋体"/>
          <w:b/>
          <w:bCs/>
          <w:i/>
          <w:iCs/>
          <w:color w:val="auto"/>
          <w:sz w:val="22"/>
          <w:szCs w:val="22"/>
          <w:highlight w:val="none"/>
          <w:u w:val="single"/>
          <w:lang w:val="en-US" w:eastAsia="zh-CN"/>
        </w:rPr>
        <w:t xml:space="preserve">酒店要求（本项为实质性需求，如未响应为无效标）：酒店应具备同时容纳300人以上住宿、用餐的能力，且必须选择</w:t>
      </w:r>
      <w:r>
        <w:rPr>
          <w:rFonts w:hint="eastAsia" w:ascii="宋体" w:hAnsi="宋体" w:cs="宋体"/>
          <w:b/>
          <w:bCs/>
          <w:i/>
          <w:iCs/>
          <w:color w:val="auto"/>
          <w:sz w:val="22"/>
          <w:szCs w:val="22"/>
          <w:highlight w:val="none"/>
          <w:u w:val="single"/>
          <w:lang w:val="en-US" w:eastAsia="zh-CN"/>
        </w:rPr>
        <w:t xml:space="preserve">“2026-2027年度南京市国家机关、事业单位和社会团体会议（分包一：具有大型会议接待能力的单位）”的入围单位；</w:t>
      </w:r>
      <w:r>
        <w:rPr>
          <w:rFonts w:hint="eastAsia" w:ascii="宋体" w:hAnsi="宋体" w:eastAsia="宋体" w:cs="宋体"/>
          <w:b/>
          <w:bCs/>
          <w:i/>
          <w:iCs/>
          <w:color w:val="auto"/>
          <w:sz w:val="22"/>
          <w:szCs w:val="22"/>
          <w:highlight w:val="none"/>
          <w:u w:val="single"/>
          <w:lang w:val="en-US" w:eastAsia="zh-CN"/>
        </w:rPr>
        <w:t xml:space="preserve">定点酒店名录随本磋商文件后附。（供应商应提供与相关定点酒店名录的会务确认函）。</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w:t>
      </w:r>
      <w:r>
        <w:rPr>
          <w:rFonts w:hint="eastAsia" w:ascii="宋体" w:hAnsi="宋体" w:eastAsia="宋体" w:cs="宋体"/>
          <w:color w:val="auto"/>
          <w:sz w:val="22"/>
          <w:szCs w:val="22"/>
          <w:highlight w:val="none"/>
          <w:lang w:val="en-US" w:eastAsia="zh-CN"/>
        </w:rPr>
        <w:t xml:space="preserve">决赛赛场：5个赛道需设置5个平行赛场，每个赛场面积不低于100平方米，配备LED屏幕、音响、评分系统等标准路演设施。</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w:t>
      </w:r>
      <w:r>
        <w:rPr>
          <w:rFonts w:hint="eastAsia" w:ascii="宋体" w:hAnsi="宋体" w:eastAsia="宋体" w:cs="宋体"/>
          <w:color w:val="auto"/>
          <w:sz w:val="22"/>
          <w:szCs w:val="22"/>
          <w:highlight w:val="none"/>
          <w:lang w:val="en-US" w:eastAsia="zh-CN"/>
        </w:rPr>
        <w:t xml:space="preserve">颁奖仪式主会场：面积不低于800平方米，须具备大型活动的基础条件。</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w:t>
      </w:r>
      <w:r>
        <w:rPr>
          <w:rFonts w:hint="eastAsia" w:ascii="宋体" w:hAnsi="宋体" w:eastAsia="宋体" w:cs="宋体"/>
          <w:color w:val="auto"/>
          <w:sz w:val="22"/>
          <w:szCs w:val="22"/>
          <w:highlight w:val="none"/>
          <w:lang w:val="en-US" w:eastAsia="zh-CN"/>
        </w:rPr>
        <w:t xml:space="preserve">场地费用：包括上述5个平行赛场和1个主会场的租赁费用，均包含在供应商报价中。</w:t>
      </w:r>
      <w:r/>
    </w:p>
    <w:p>
      <w:pPr>
        <w:numPr>
          <w:ilvl w:val="0"/>
          <w:numId w:val="4"/>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会务及赛事组织</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color w:val="auto"/>
          <w:sz w:val="22"/>
          <w:szCs w:val="22"/>
          <w:highlight w:val="none"/>
        </w:rPr>
        <w:t xml:space="preserve">负责会务服务：签到、用餐、</w:t>
      </w:r>
      <w:r>
        <w:rPr>
          <w:rFonts w:hint="eastAsia" w:ascii="宋体" w:hAnsi="宋体" w:eastAsia="宋体" w:cs="宋体"/>
          <w:color w:val="auto"/>
          <w:sz w:val="22"/>
          <w:szCs w:val="22"/>
          <w:highlight w:val="none"/>
          <w:lang w:val="en-US" w:eastAsia="zh-CN"/>
        </w:rPr>
        <w:t xml:space="preserve">现场组织</w:t>
      </w:r>
      <w:r>
        <w:rPr>
          <w:rFonts w:hint="eastAsia" w:ascii="宋体" w:hAnsi="宋体" w:eastAsia="宋体" w:cs="宋体"/>
          <w:color w:val="auto"/>
          <w:sz w:val="22"/>
          <w:szCs w:val="22"/>
          <w:highlight w:val="none"/>
        </w:rPr>
        <w:t xml:space="preserve">、安保等会务服务。</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负责大赛的所有组织协调服务，包括5个赛道的主持人、评分系统、现场工作人员等。</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对因不可抗力不能参加现场比赛的选手，同步开展线上比赛。</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邀请决赛评委：配合采购方做好评委遴选工作，每个赛道评委各不少于7人。</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配合拟定配套的颁奖典礼方案，协调颁奖现场全流程。</w:t>
      </w:r>
      <w:r/>
    </w:p>
    <w:p>
      <w:pPr>
        <w:numPr>
          <w:ilvl w:val="0"/>
          <w:numId w:val="0"/>
        </w:num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w:t>
      </w:r>
      <w:r>
        <w:rPr>
          <w:rFonts w:hint="eastAsia" w:ascii="宋体" w:hAnsi="宋体" w:eastAsia="宋体" w:cs="宋体"/>
          <w:color w:val="auto"/>
          <w:sz w:val="22"/>
          <w:szCs w:val="22"/>
          <w:highlight w:val="none"/>
          <w:lang w:val="en-US" w:eastAsia="zh-CN"/>
        </w:rPr>
        <w:t xml:space="preserve">省赛</w:t>
      </w:r>
      <w:r>
        <w:rPr>
          <w:rFonts w:hint="eastAsia" w:ascii="宋体" w:hAnsi="宋体" w:eastAsia="宋体" w:cs="宋体"/>
          <w:color w:val="auto"/>
          <w:sz w:val="22"/>
          <w:szCs w:val="22"/>
          <w:highlight w:val="none"/>
        </w:rPr>
        <w:t xml:space="preserve">赛后服务</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国赛跟踪指导：</w:t>
      </w:r>
      <w:r>
        <w:rPr>
          <w:rFonts w:hint="eastAsia" w:ascii="宋体" w:hAnsi="宋体" w:eastAsia="宋体" w:cs="宋体"/>
          <w:color w:val="auto"/>
          <w:sz w:val="22"/>
          <w:szCs w:val="22"/>
          <w:highlight w:val="none"/>
          <w:lang w:val="en-US" w:eastAsia="zh-CN"/>
        </w:rPr>
        <w:t xml:space="preserve">入围国赛项目4个，每个项目提供不低于10人次的专项辅导</w:t>
      </w:r>
      <w:r>
        <w:rPr>
          <w:rFonts w:hint="eastAsia" w:ascii="宋体" w:hAnsi="宋体" w:eastAsia="宋体" w:cs="宋体"/>
          <w:sz w:val="22"/>
          <w:szCs w:val="22"/>
          <w:highlight w:val="none"/>
          <w:lang w:val="en-US" w:eastAsia="zh-CN"/>
        </w:rPr>
        <w:t xml:space="preserve">，挖掘好项目亮点，协助选手讲好创业故事。</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2.对参赛项目的路演PPT、商业计划书、展示视频、演讲稿等材料进行包装设计和拍摄制作。</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3.委派专人做好国赛期间的现场辅导服务保障工作。</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4.回顾总结阶段。整理大赛数据，对本次大赛活动形成系统分析，形成总结台账及汇报PPT。</w:t>
      </w:r>
      <w:r/>
    </w:p>
    <w:p>
      <w:pPr>
        <w:pageBreakBefore w:val="0"/>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四、商务要求</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（一）供应商</w:t>
      </w:r>
      <w:r>
        <w:rPr>
          <w:rFonts w:hint="eastAsia" w:ascii="宋体" w:hAnsi="宋体" w:eastAsia="宋体" w:cs="宋体"/>
          <w:sz w:val="22"/>
          <w:szCs w:val="22"/>
          <w:highlight w:val="none"/>
          <w:lang w:eastAsia="zh-CN"/>
        </w:rPr>
        <w:t xml:space="preserve">所提</w:t>
      </w:r>
      <w:r>
        <w:rPr>
          <w:rFonts w:hint="eastAsia" w:ascii="宋体" w:hAnsi="宋体" w:eastAsia="宋体" w:cs="宋体"/>
          <w:sz w:val="22"/>
          <w:szCs w:val="22"/>
          <w:highlight w:val="none"/>
        </w:rPr>
        <w:t xml:space="preserve">供本大赛活动所需的宣传资料，应保证其不侵犯第三方包括知识产权、肖像权等在内的一切合法权益。</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（二）采购人有权对供应商所</w:t>
      </w:r>
      <w:r>
        <w:rPr>
          <w:rFonts w:hint="eastAsia" w:ascii="宋体" w:hAnsi="宋体" w:eastAsia="宋体" w:cs="宋体"/>
          <w:sz w:val="22"/>
          <w:szCs w:val="22"/>
          <w:highlight w:val="none"/>
          <w:lang w:eastAsia="zh-CN"/>
        </w:rPr>
        <w:t xml:space="preserve">做</w:t>
      </w:r>
      <w:r>
        <w:rPr>
          <w:rFonts w:hint="eastAsia" w:ascii="宋体" w:hAnsi="宋体" w:eastAsia="宋体" w:cs="宋体"/>
          <w:sz w:val="22"/>
          <w:szCs w:val="22"/>
          <w:highlight w:val="none"/>
        </w:rPr>
        <w:t xml:space="preserve">的宣传等服务进行全程监督，根据项目进展提出意见和建议。</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（三）服务流程须符合最新的国家、省市及其他相关的行业规范和技术标准。</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w:t>
      </w:r>
      <w:r>
        <w:rPr>
          <w:rFonts w:hint="eastAsia" w:ascii="宋体" w:hAnsi="宋体" w:eastAsia="宋体" w:cs="宋体"/>
          <w:sz w:val="22"/>
          <w:szCs w:val="22"/>
          <w:highlight w:val="none"/>
          <w:lang w:val="en-US" w:eastAsia="zh-CN"/>
        </w:rPr>
        <w:t xml:space="preserve">本次</w:t>
      </w:r>
      <w:r>
        <w:rPr>
          <w:rFonts w:hint="eastAsia" w:ascii="宋体" w:hAnsi="宋体" w:eastAsia="宋体" w:cs="宋体"/>
          <w:sz w:val="22"/>
          <w:szCs w:val="22"/>
          <w:highlight w:val="none"/>
        </w:rPr>
        <w:t xml:space="preserve">项目未经采购人同意，不得转包或分包。</w:t>
      </w:r>
      <w:r/>
    </w:p>
    <w:p>
      <w:pPr>
        <w:pageBreakBefore w:val="0"/>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五、付款方式</w:t>
      </w:r>
      <w:r/>
    </w:p>
    <w:p>
      <w:pPr>
        <w:ind w:firstLine="44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合同签订后15个工作日内，采购人向成交供应商支付合同款项的</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rPr>
        <w:t xml:space="preserve">0%作为预付款；项目结束后，采购人向成交供应商支付剩余款项。采购人向成交供应商付款时，成交供应商需提供国家正规等额发票。</w:t>
      </w:r>
      <w:r/>
    </w:p>
    <w:p>
      <w:pP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br w:type="page" w:clear="all"/>
      </w:r>
      <w:r/>
    </w:p>
    <w:p>
      <w:pPr>
        <w:ind w:left="0"/>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【采购包2（第四届创业创新大赛会展服务）78万元】</w:t>
      </w:r>
      <w:r/>
    </w:p>
    <w:p>
      <w:pPr>
        <w:pStyle w:val="760"/>
        <w:spacing w:before="120" w:after="120" w:line="360" w:lineRule="auto"/>
        <w:rPr>
          <w:rFonts w:hint="eastAsia" w:ascii="宋体" w:hAnsi="宋体" w:eastAsia="宋体" w:cs="宋体"/>
          <w:b/>
          <w:sz w:val="24"/>
          <w:szCs w:val="24"/>
          <w:highlight w:val="none"/>
        </w:rPr>
        <w:outlineLvl w:val="1"/>
      </w:pPr>
      <w:r/>
      <w:bookmarkStart w:id="101" w:name="_Toc23624"/>
      <w:r/>
      <w:bookmarkStart w:id="102" w:name="_Toc30708"/>
      <w:r>
        <w:rPr>
          <w:rFonts w:hint="eastAsia" w:ascii="宋体" w:hAnsi="宋体" w:eastAsia="宋体" w:cs="宋体"/>
          <w:b/>
          <w:sz w:val="24"/>
          <w:szCs w:val="24"/>
          <w:highlight w:val="none"/>
          <w:lang w:val="en-US" w:eastAsia="zh-CN"/>
        </w:rPr>
        <w:t xml:space="preserve">一</w:t>
      </w:r>
      <w:r>
        <w:rPr>
          <w:rFonts w:hint="eastAsia" w:ascii="宋体" w:hAnsi="宋体" w:eastAsia="宋体" w:cs="宋体"/>
          <w:b/>
          <w:sz w:val="24"/>
          <w:szCs w:val="24"/>
          <w:highlight w:val="none"/>
        </w:rPr>
        <w:t xml:space="preserve">、项目概况</w:t>
      </w:r>
      <w:bookmarkEnd w:id="101"/>
      <w:r/>
      <w:r/>
    </w:p>
    <w:p>
      <w:pPr>
        <w:ind w:firstLine="440"/>
        <w:spacing w:line="360" w:lineRule="auto"/>
        <w:rPr>
          <w:rFonts w:hint="eastAsia" w:ascii="宋体" w:hAnsi="宋体" w:eastAsia="宋体" w:cs="宋体"/>
          <w:sz w:val="22"/>
          <w:highlight w:val="none"/>
        </w:rPr>
      </w:pPr>
      <w:r>
        <w:rPr>
          <w:rFonts w:hint="eastAsia" w:ascii="宋体" w:hAnsi="宋体" w:eastAsia="宋体" w:cs="宋体"/>
          <w:sz w:val="22"/>
          <w:highlight w:val="none"/>
        </w:rPr>
        <w:t xml:space="preserve">为深入贯彻习近平总书记关于退役军人工作重要论述，全面落实党中央、国务院关于纵深推进大众创业万众创新的决策部署和省委、省政府相关要求，激发退役军人创业创新热情，展示退役军人创业创新风采，推进退役军人实现更高质量创业。大赛</w:t>
      </w:r>
      <w:r>
        <w:rPr>
          <w:rFonts w:hint="eastAsia" w:ascii="宋体" w:hAnsi="宋体" w:eastAsia="宋体" w:cs="宋体"/>
          <w:sz w:val="22"/>
          <w:highlight w:val="none"/>
          <w:lang w:eastAsia="zh-CN"/>
        </w:rPr>
        <w:t xml:space="preserve">设“新兴和未来产业”、“传统产业”、“生活服务业”、“</w:t>
      </w:r>
      <w:r>
        <w:rPr>
          <w:rFonts w:hint="eastAsia" w:ascii="宋体" w:hAnsi="宋体" w:eastAsia="宋体" w:cs="宋体"/>
          <w:sz w:val="22"/>
          <w:highlight w:val="none"/>
          <w:lang w:val="en-US" w:eastAsia="zh-CN"/>
        </w:rPr>
        <w:t xml:space="preserve">现代农业（乡村振兴）</w:t>
      </w:r>
      <w:r>
        <w:rPr>
          <w:rFonts w:hint="eastAsia" w:ascii="宋体" w:hAnsi="宋体" w:eastAsia="宋体" w:cs="宋体"/>
          <w:sz w:val="22"/>
          <w:highlight w:val="none"/>
          <w:lang w:eastAsia="zh-CN"/>
        </w:rPr>
        <w:t xml:space="preserve">”、“</w:t>
      </w:r>
      <w:r>
        <w:rPr>
          <w:rFonts w:hint="eastAsia" w:ascii="宋体" w:hAnsi="宋体" w:eastAsia="宋体" w:cs="宋体"/>
          <w:sz w:val="22"/>
          <w:highlight w:val="none"/>
          <w:lang w:val="en-US" w:eastAsia="zh-CN"/>
        </w:rPr>
        <w:t xml:space="preserve">大学生退役士兵</w:t>
      </w:r>
      <w:r>
        <w:rPr>
          <w:rFonts w:hint="eastAsia" w:ascii="宋体" w:hAnsi="宋体" w:eastAsia="宋体" w:cs="宋体"/>
          <w:sz w:val="22"/>
          <w:highlight w:val="none"/>
          <w:lang w:eastAsia="zh-CN"/>
        </w:rPr>
        <w:t xml:space="preserve">”</w:t>
      </w:r>
      <w:r>
        <w:rPr>
          <w:rFonts w:hint="eastAsia" w:ascii="宋体" w:hAnsi="宋体" w:eastAsia="宋体" w:cs="宋体"/>
          <w:sz w:val="22"/>
          <w:highlight w:val="none"/>
          <w:lang w:val="en-US" w:eastAsia="zh-CN"/>
        </w:rPr>
        <w:t xml:space="preserve">5</w:t>
      </w:r>
      <w:r>
        <w:rPr>
          <w:rFonts w:hint="eastAsia" w:ascii="宋体" w:hAnsi="宋体" w:eastAsia="宋体" w:cs="宋体"/>
          <w:sz w:val="22"/>
          <w:highlight w:val="none"/>
          <w:lang w:eastAsia="zh-CN"/>
        </w:rPr>
        <w:t xml:space="preserve">个赛道</w:t>
      </w:r>
      <w:r>
        <w:rPr>
          <w:rFonts w:hint="eastAsia" w:ascii="宋体" w:hAnsi="宋体" w:eastAsia="宋体" w:cs="宋体"/>
          <w:sz w:val="22"/>
          <w:highlight w:val="none"/>
        </w:rPr>
        <w:t xml:space="preserve">，由各设区市推荐每个赛道2个项目参加省级决赛。</w:t>
      </w:r>
      <w:r/>
    </w:p>
    <w:p>
      <w:pPr>
        <w:pStyle w:val="760"/>
        <w:spacing w:before="120" w:after="120" w:line="360" w:lineRule="auto"/>
        <w:rPr>
          <w:rFonts w:hint="eastAsia" w:ascii="宋体" w:hAnsi="宋体" w:eastAsia="宋体" w:cs="宋体"/>
          <w:b/>
          <w:sz w:val="24"/>
          <w:szCs w:val="24"/>
          <w:highlight w:val="none"/>
        </w:rPr>
        <w:outlineLvl w:val="1"/>
      </w:pPr>
      <w:r/>
      <w:bookmarkStart w:id="103" w:name="_Toc13411"/>
      <w:r>
        <w:rPr>
          <w:rFonts w:hint="eastAsia" w:ascii="宋体" w:hAnsi="宋体" w:eastAsia="宋体" w:cs="宋体"/>
          <w:b/>
          <w:sz w:val="24"/>
          <w:szCs w:val="24"/>
          <w:highlight w:val="none"/>
        </w:rPr>
        <w:t xml:space="preserve">三、项目内容及要求：</w:t>
      </w:r>
      <w:bookmarkEnd w:id="103"/>
      <w:r/>
      <w:r/>
    </w:p>
    <w:p>
      <w:pPr>
        <w:numPr>
          <w:ilvl w:val="0"/>
          <w:numId w:val="0"/>
        </w:numPr>
        <w:ind w:firstLine="442"/>
        <w:spacing w:line="360" w:lineRule="auto"/>
        <w:rPr>
          <w:rFonts w:hint="eastAsia" w:ascii="宋体" w:hAnsi="宋体" w:eastAsia="宋体" w:cs="宋体"/>
          <w:sz w:val="22"/>
          <w:highlight w:val="none"/>
        </w:rPr>
      </w:pPr>
      <w:r>
        <w:rPr>
          <w:rFonts w:hint="eastAsia" w:ascii="宋体" w:hAnsi="宋体" w:eastAsia="宋体" w:cs="宋体"/>
          <w:b/>
          <w:bCs/>
          <w:sz w:val="22"/>
          <w:szCs w:val="21"/>
          <w:highlight w:val="none"/>
          <w:lang w:val="en-US" w:eastAsia="zh-CN" w:bidi="ar-SA"/>
        </w:rPr>
        <w:t xml:space="preserve">1、</w:t>
      </w:r>
      <w:r>
        <w:rPr>
          <w:rFonts w:hint="eastAsia" w:ascii="宋体" w:hAnsi="宋体" w:eastAsia="宋体" w:cs="宋体"/>
          <w:b/>
          <w:bCs/>
          <w:sz w:val="22"/>
          <w:highlight w:val="none"/>
        </w:rPr>
        <w:t xml:space="preserve">设计</w:t>
      </w:r>
      <w:r>
        <w:rPr>
          <w:rFonts w:hint="eastAsia" w:ascii="宋体" w:hAnsi="宋体" w:eastAsia="宋体" w:cs="宋体"/>
          <w:b/>
          <w:sz w:val="22"/>
          <w:highlight w:val="none"/>
        </w:rPr>
        <w:t xml:space="preserve">服务</w:t>
      </w:r>
      <w:r>
        <w:rPr>
          <w:rFonts w:hint="eastAsia" w:ascii="宋体" w:hAnsi="宋体" w:eastAsia="宋体" w:cs="宋体"/>
          <w:sz w:val="22"/>
          <w:highlight w:val="none"/>
        </w:rPr>
        <w:t xml:space="preserve">:主要包括活动主KV创意及延展物料设计、活动创意策划、PPT制作、背景板海报设计、活动现场展板设计、宣传海报设计</w:t>
      </w:r>
      <w:r>
        <w:rPr>
          <w:rFonts w:hint="eastAsia" w:ascii="宋体" w:hAnsi="宋体" w:eastAsia="宋体" w:cs="宋体"/>
          <w:sz w:val="22"/>
          <w:highlight w:val="none"/>
          <w:lang w:eastAsia="zh-CN"/>
        </w:rPr>
        <w:t xml:space="preserve">、</w:t>
      </w:r>
      <w:r>
        <w:rPr>
          <w:rFonts w:hint="eastAsia" w:ascii="宋体" w:hAnsi="宋体" w:eastAsia="宋体" w:cs="宋体"/>
          <w:sz w:val="22"/>
          <w:highlight w:val="none"/>
        </w:rPr>
        <w:t xml:space="preserve">物料及延展应用、颁奖舞台造型设计、舞美灯光设计、比赛场地设计等。</w:t>
      </w:r>
      <w:r/>
    </w:p>
    <w:p>
      <w:pPr>
        <w:ind w:firstLine="442"/>
        <w:spacing w:line="360" w:lineRule="auto"/>
        <w:rPr>
          <w:rFonts w:hint="eastAsia" w:ascii="宋体" w:hAnsi="宋体" w:eastAsia="宋体" w:cs="宋体"/>
          <w:sz w:val="22"/>
          <w:highlight w:val="none"/>
        </w:rPr>
      </w:pPr>
      <w:r>
        <w:rPr>
          <w:rFonts w:hint="eastAsia" w:ascii="宋体" w:hAnsi="宋体" w:eastAsia="宋体" w:cs="宋体"/>
          <w:b/>
          <w:sz w:val="22"/>
          <w:highlight w:val="none"/>
          <w:lang w:val="en-US" w:eastAsia="zh-CN"/>
        </w:rPr>
        <w:t xml:space="preserve">2</w:t>
      </w:r>
      <w:r>
        <w:rPr>
          <w:rFonts w:hint="eastAsia" w:ascii="宋体" w:hAnsi="宋体" w:eastAsia="宋体" w:cs="宋体"/>
          <w:b/>
          <w:sz w:val="22"/>
          <w:highlight w:val="none"/>
        </w:rPr>
        <w:t xml:space="preserve">、印刷服务</w:t>
      </w:r>
      <w:r>
        <w:rPr>
          <w:rFonts w:hint="eastAsia" w:ascii="宋体" w:hAnsi="宋体" w:eastAsia="宋体" w:cs="宋体"/>
          <w:sz w:val="22"/>
          <w:highlight w:val="none"/>
        </w:rPr>
        <w:t xml:space="preserve">：相关物料包括会议流程资料、坐席卡、椅背贴、工作证100个、参赛证200个、请柬、荣誉证书156个、评审手册50份、项目手册400份、参赛手册600份、选手胸贴2套每套156个、手卡若干、手拎袋400个、道旗、宣传册、获奖支票、嘉宾流程单、沿途指引地贴、签到簿、签到台卡、横幅、站位贴、主持人手卡、易拉宝、抽签条等。</w:t>
      </w:r>
      <w:r/>
    </w:p>
    <w:p>
      <w:pPr>
        <w:ind w:firstLine="442"/>
        <w:spacing w:line="360" w:lineRule="auto"/>
        <w:rPr>
          <w:rFonts w:hint="eastAsia" w:ascii="宋体" w:hAnsi="宋体" w:eastAsia="宋体" w:cs="宋体"/>
          <w:sz w:val="22"/>
          <w:highlight w:val="none"/>
        </w:rPr>
      </w:pPr>
      <w:r>
        <w:rPr>
          <w:rFonts w:hint="eastAsia" w:ascii="宋体" w:hAnsi="宋体" w:eastAsia="宋体" w:cs="宋体"/>
          <w:b/>
          <w:sz w:val="22"/>
          <w:highlight w:val="none"/>
          <w:lang w:val="en-US" w:eastAsia="zh-CN"/>
        </w:rPr>
        <w:t xml:space="preserve">3</w:t>
      </w:r>
      <w:r>
        <w:rPr>
          <w:rFonts w:hint="eastAsia" w:ascii="宋体" w:hAnsi="宋体" w:eastAsia="宋体" w:cs="宋体"/>
          <w:b/>
          <w:sz w:val="22"/>
          <w:highlight w:val="none"/>
        </w:rPr>
        <w:t xml:space="preserve">、搭建服务</w:t>
      </w:r>
      <w:r>
        <w:rPr>
          <w:rFonts w:hint="eastAsia" w:ascii="宋体" w:hAnsi="宋体" w:eastAsia="宋体" w:cs="宋体"/>
          <w:sz w:val="22"/>
          <w:highlight w:val="none"/>
        </w:rPr>
        <w:t xml:space="preserve">：相关开赛仪式、赛场和颁奖会场布置搭建服务，主要包括1个开赛仪式、</w:t>
      </w:r>
      <w:r>
        <w:rPr>
          <w:rFonts w:hint="eastAsia" w:ascii="宋体" w:hAnsi="宋体" w:eastAsia="宋体" w:cs="宋体"/>
          <w:sz w:val="22"/>
          <w:highlight w:val="none"/>
          <w:lang w:val="en-US" w:eastAsia="zh-CN"/>
        </w:rPr>
        <w:t xml:space="preserve">4</w:t>
      </w:r>
      <w:r>
        <w:rPr>
          <w:rFonts w:hint="eastAsia" w:ascii="宋体" w:hAnsi="宋体" w:eastAsia="宋体" w:cs="宋体"/>
          <w:sz w:val="22"/>
          <w:highlight w:val="none"/>
        </w:rPr>
        <w:t xml:space="preserve">个赛场、1个颁奖会场、活动背景6个、品牌logo墙1个、签到墙1个、舞台+台阶、主题立体字、优秀创业成果背景板5组、龙门架、雷亚架、光速灯、LEDpar灯、LOGO灯+造型、戎耀今生主题雕刻字、辅屏、音响、舞台前沿屏、大屏控台、演讲台包边画面、启动球、提词器、灯光控台等。</w:t>
      </w:r>
      <w:r/>
    </w:p>
    <w:p>
      <w:pPr>
        <w:ind w:firstLine="442"/>
        <w:spacing w:line="360" w:lineRule="auto"/>
        <w:rPr>
          <w:rFonts w:hint="eastAsia" w:ascii="宋体" w:hAnsi="宋体" w:eastAsia="宋体" w:cs="宋体"/>
          <w:sz w:val="22"/>
          <w:highlight w:val="none"/>
        </w:rPr>
      </w:pPr>
      <w:r>
        <w:rPr>
          <w:rFonts w:hint="eastAsia" w:ascii="宋体" w:hAnsi="宋体" w:eastAsia="宋体" w:cs="宋体"/>
          <w:b/>
          <w:sz w:val="22"/>
          <w:highlight w:val="none"/>
        </w:rPr>
        <w:t xml:space="preserve">4、视频服务</w:t>
      </w:r>
      <w:r>
        <w:rPr>
          <w:rFonts w:hint="eastAsia" w:ascii="宋体" w:hAnsi="宋体" w:eastAsia="宋体" w:cs="宋体"/>
          <w:sz w:val="22"/>
          <w:highlight w:val="none"/>
        </w:rPr>
        <w:t xml:space="preserve">：包括拍摄制作、全程摄像录制、全程摄影、现场视频技术传输、图片直播、活动宣传片（5分钟）、活动花絮视频剪辑、创业者访谈视频、大赛回顾视频、优惠政策和帮扶措施视频等，大屏动态画面设计、节目背景视频、新媒体短视频等。灯光舞美等。</w:t>
      </w:r>
      <w:r/>
    </w:p>
    <w:p>
      <w:pPr>
        <w:ind w:firstLine="442"/>
        <w:spacing w:line="360" w:lineRule="auto"/>
        <w:rPr>
          <w:rFonts w:hint="eastAsia" w:ascii="宋体" w:hAnsi="宋体" w:eastAsia="宋体" w:cs="宋体"/>
          <w:sz w:val="22"/>
          <w:highlight w:val="none"/>
        </w:rPr>
      </w:pPr>
      <w:r>
        <w:rPr>
          <w:rFonts w:hint="eastAsia" w:ascii="宋体" w:hAnsi="宋体" w:eastAsia="宋体" w:cs="宋体"/>
          <w:b/>
          <w:sz w:val="22"/>
          <w:highlight w:val="none"/>
        </w:rPr>
        <w:t xml:space="preserve">5、人员服务</w:t>
      </w:r>
      <w:r>
        <w:rPr>
          <w:rFonts w:hint="eastAsia" w:ascii="宋体" w:hAnsi="宋体" w:eastAsia="宋体" w:cs="宋体"/>
          <w:sz w:val="22"/>
          <w:highlight w:val="none"/>
        </w:rPr>
        <w:t xml:space="preserve">：导演、编导、表演人员、礼仪、项目经理、知名主持人男女各1人、大屏、音响、灯光师、化妆造型人员、日常服务工作人员等。带妆彩排一次。</w:t>
      </w:r>
      <w:r/>
    </w:p>
    <w:p>
      <w:pPr>
        <w:ind w:firstLine="442"/>
        <w:spacing w:line="360" w:lineRule="auto"/>
        <w:rPr>
          <w:rFonts w:hint="eastAsia" w:ascii="宋体" w:hAnsi="宋体" w:eastAsia="宋体" w:cs="宋体"/>
          <w:sz w:val="22"/>
          <w:highlight w:val="none"/>
        </w:rPr>
      </w:pPr>
      <w:r>
        <w:rPr>
          <w:rFonts w:hint="eastAsia" w:ascii="宋体" w:hAnsi="宋体" w:eastAsia="宋体" w:cs="宋体"/>
          <w:b/>
          <w:sz w:val="22"/>
          <w:highlight w:val="none"/>
        </w:rPr>
        <w:t xml:space="preserve">6、杂项服务</w:t>
      </w:r>
      <w:r>
        <w:rPr>
          <w:rFonts w:hint="eastAsia" w:ascii="宋体" w:hAnsi="宋体" w:eastAsia="宋体" w:cs="宋体"/>
          <w:sz w:val="22"/>
          <w:highlight w:val="none"/>
        </w:rPr>
        <w:t xml:space="preserve">: 现场速记、地毯、签到笔、电子签约设备、对讲机、绿植、抽签箱、奖牌和奖杯各若干个、指示牌若干、线阵含手持话筒与鹅颈话筒、话筒牌、其它设备器材（租或自备）、文具用品、矿泉水、地面保护、通讯交通办公杂费、物料运输费、花篮、台花等。</w:t>
      </w:r>
      <w:r/>
    </w:p>
    <w:p>
      <w:pPr>
        <w:pageBreakBefore w:val="0"/>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四、商务要求</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（一）供应商</w:t>
      </w:r>
      <w:r>
        <w:rPr>
          <w:rFonts w:hint="eastAsia" w:ascii="宋体" w:hAnsi="宋体" w:eastAsia="宋体" w:cs="宋体"/>
          <w:sz w:val="22"/>
          <w:szCs w:val="22"/>
          <w:highlight w:val="none"/>
          <w:lang w:eastAsia="zh-CN"/>
        </w:rPr>
        <w:t xml:space="preserve">所提</w:t>
      </w:r>
      <w:r>
        <w:rPr>
          <w:rFonts w:hint="eastAsia" w:ascii="宋体" w:hAnsi="宋体" w:eastAsia="宋体" w:cs="宋体"/>
          <w:sz w:val="22"/>
          <w:szCs w:val="22"/>
          <w:highlight w:val="none"/>
        </w:rPr>
        <w:t xml:space="preserve">供本大赛活动所需的宣传资料，应保证其不侵犯第三方包括知识产权、肖像权等在内的一切合法权益。</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（二）采购人有权对供应商所</w:t>
      </w:r>
      <w:r>
        <w:rPr>
          <w:rFonts w:hint="eastAsia" w:ascii="宋体" w:hAnsi="宋体" w:eastAsia="宋体" w:cs="宋体"/>
          <w:sz w:val="22"/>
          <w:szCs w:val="22"/>
          <w:highlight w:val="none"/>
          <w:lang w:eastAsia="zh-CN"/>
        </w:rPr>
        <w:t xml:space="preserve">做</w:t>
      </w:r>
      <w:r>
        <w:rPr>
          <w:rFonts w:hint="eastAsia" w:ascii="宋体" w:hAnsi="宋体" w:eastAsia="宋体" w:cs="宋体"/>
          <w:sz w:val="22"/>
          <w:szCs w:val="22"/>
          <w:highlight w:val="none"/>
        </w:rPr>
        <w:t xml:space="preserve">的宣传等服务进行全程监督，根据项目进展提出意见和建议。</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（三）服务流程须符合最新的国家、省市及其他相关的行业规范和技术标准。</w:t>
      </w:r>
      <w:r/>
    </w:p>
    <w:p>
      <w:pPr>
        <w:numPr>
          <w:ilvl w:val="0"/>
          <w:numId w:val="0"/>
        </w:numPr>
        <w:ind w:firstLine="440"/>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w:t>
      </w:r>
      <w:r>
        <w:rPr>
          <w:rFonts w:hint="eastAsia" w:ascii="宋体" w:hAnsi="宋体" w:eastAsia="宋体" w:cs="宋体"/>
          <w:sz w:val="22"/>
          <w:szCs w:val="22"/>
          <w:highlight w:val="none"/>
          <w:lang w:val="en-US" w:eastAsia="zh-CN"/>
        </w:rPr>
        <w:t xml:space="preserve">本次</w:t>
      </w:r>
      <w:r>
        <w:rPr>
          <w:rFonts w:hint="eastAsia" w:ascii="宋体" w:hAnsi="宋体" w:eastAsia="宋体" w:cs="宋体"/>
          <w:sz w:val="22"/>
          <w:szCs w:val="22"/>
          <w:highlight w:val="none"/>
        </w:rPr>
        <w:t xml:space="preserve">项目未经采购人同意，不得转包或分包。</w:t>
      </w:r>
      <w:r/>
    </w:p>
    <w:p>
      <w:pPr>
        <w:pageBreakBefore w:val="0"/>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五、付款方式</w:t>
      </w:r>
      <w:r/>
    </w:p>
    <w:p>
      <w:pPr>
        <w:ind w:firstLine="440"/>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合同签订后15个工作日内，采购人向成交供应商支付合同款项的</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rPr>
        <w:t xml:space="preserve">0%作为预付款；项目结束后，采购人向成交供应商支付剩余款项。采购人向成交供应商付款时，成交供应商需提供国家正规等额发票。</w:t>
      </w:r>
      <w:r/>
    </w:p>
    <w:p>
      <w:pPr>
        <w:rPr>
          <w:rStyle w:val="785"/>
          <w:rFonts w:hint="eastAsia"/>
          <w:color w:val="auto"/>
          <w:sz w:val="36"/>
          <w:szCs w:val="36"/>
          <w:highlight w:val="none"/>
          <w:lang w:val="en-US" w:eastAsia="zh-CN"/>
        </w:rPr>
      </w:pPr>
      <w:r>
        <w:rPr>
          <w:rStyle w:val="785"/>
          <w:rFonts w:hint="eastAsia"/>
          <w:color w:val="auto"/>
          <w:sz w:val="36"/>
          <w:szCs w:val="36"/>
          <w:highlight w:val="none"/>
          <w:lang w:val="en-US" w:eastAsia="zh-CN"/>
        </w:rPr>
        <w:br w:type="page" w:clear="all"/>
      </w:r>
      <w:r/>
    </w:p>
    <w:p>
      <w:pPr>
        <w:jc w:val="center"/>
        <w:rPr>
          <w:rStyle w:val="785"/>
          <w:rFonts w:hint="eastAsia"/>
          <w:b/>
          <w:bCs/>
          <w:color w:val="auto"/>
          <w:sz w:val="36"/>
          <w:szCs w:val="36"/>
          <w:highlight w:val="none"/>
          <w:lang w:val="en-US" w:eastAsia="zh-CN"/>
        </w:rPr>
        <w:outlineLvl w:val="0"/>
      </w:pPr>
      <w:r/>
      <w:bookmarkStart w:id="104" w:name="_Toc30186"/>
      <w:r>
        <w:rPr>
          <w:rStyle w:val="785"/>
          <w:rFonts w:hint="eastAsia"/>
          <w:b/>
          <w:bCs/>
          <w:color w:val="auto"/>
          <w:sz w:val="36"/>
          <w:szCs w:val="36"/>
          <w:highlight w:val="none"/>
          <w:lang w:val="en-US" w:eastAsia="zh-CN"/>
        </w:rPr>
        <w:t xml:space="preserve">第五章  评标方法与评标标准</w:t>
      </w:r>
      <w:bookmarkEnd w:id="102"/>
      <w:r/>
      <w:bookmarkEnd w:id="104"/>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采用综合评分法的，评标结果按评审后得分由高到低顺序排列。得分相同的，按投标报价由低到高顺序排列。得分且投标报价相同的，按</w:t>
      </w:r>
      <w:r>
        <w:rPr>
          <w:rFonts w:hint="eastAsia" w:ascii="宋体" w:hAnsi="宋体" w:eastAsia="宋体" w:cs="宋体"/>
          <w:color w:val="auto"/>
          <w:sz w:val="24"/>
          <w:szCs w:val="24"/>
          <w:highlight w:val="none"/>
          <w:lang w:eastAsia="zh-CN"/>
        </w:rPr>
        <w:t xml:space="preserve">技术</w:t>
      </w:r>
      <w:r>
        <w:rPr>
          <w:rFonts w:hint="eastAsia" w:ascii="宋体" w:hAnsi="宋体" w:eastAsia="宋体" w:cs="宋体"/>
          <w:color w:val="auto"/>
          <w:sz w:val="24"/>
          <w:szCs w:val="24"/>
          <w:highlight w:val="none"/>
        </w:rPr>
        <w:t xml:space="preserve">得分由高到低顺序排列。在</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全部实质性要求的供应商中，按照评审得分由高到低选取3名中标候选人。</w:t>
      </w:r>
      <w:r/>
    </w:p>
    <w:p>
      <w:pPr>
        <w:ind w:firstLine="482"/>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分为包一、包二，共计两个采购包，可兼投但不兼中。按照包一、包二顺序依次评审。如供应商在包一中为第一中标候选人，则不再推荐为包二的中标候选人，包二的中标候选人按综合得分由高到低依序产生。</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二、小微企业价格扣除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本项目服务全部由小微企业承接的，</w:t>
      </w:r>
      <w:r>
        <w:rPr>
          <w:rFonts w:hint="eastAsia" w:ascii="宋体" w:hAnsi="宋体" w:eastAsia="宋体" w:cs="宋体"/>
          <w:color w:val="auto"/>
          <w:sz w:val="24"/>
          <w:szCs w:val="24"/>
          <w:highlight w:val="none"/>
        </w:rPr>
        <w:t xml:space="preserve">对报价给予</w:t>
      </w:r>
      <w:r>
        <w:rPr>
          <w:rFonts w:hint="eastAsia" w:ascii="宋体" w:hAnsi="宋体" w:eastAsia="宋体" w:cs="宋体"/>
          <w:color w:val="auto"/>
          <w:sz w:val="24"/>
          <w:szCs w:val="24"/>
          <w:highlight w:val="none"/>
          <w:lang w:val="zh-CN"/>
        </w:rPr>
        <w:t xml:space="preserve">10%</w:t>
      </w:r>
      <w:r>
        <w:rPr>
          <w:rFonts w:hint="eastAsia" w:ascii="宋体" w:hAnsi="宋体" w:eastAsia="宋体" w:cs="宋体"/>
          <w:color w:val="auto"/>
          <w:sz w:val="24"/>
          <w:szCs w:val="24"/>
          <w:highlight w:val="none"/>
        </w:rPr>
        <w:t xml:space="preserve">的扣除，用扣除后的价格参与评审。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三、评标标准</w:t>
      </w:r>
      <w:r/>
    </w:p>
    <w:p>
      <w:pPr>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采购包1（第四届创业创新大赛技术支持）90万元</w:t>
      </w:r>
      <w:r/>
    </w:p>
    <w:tbl>
      <w:tblPr>
        <w:tblStyle w:val="752"/>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104"/>
        <w:gridCol w:w="6510"/>
        <w:gridCol w:w="776"/>
      </w:tblGrid>
      <w:tr>
        <w:trPr>
          <w:jc w:val="center"/>
          <w:trHeight w:val="438"/>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pageBreakBefore w:val="0"/>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pageBreakBefore w:val="0"/>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评分因素</w:t>
            </w:r>
            <w:r/>
          </w:p>
        </w:tc>
        <w:tc>
          <w:tcPr>
            <w:tcBorders>
              <w:top w:val="single" w:color="auto" w:sz="4" w:space="0"/>
              <w:left w:val="single" w:color="auto" w:sz="4" w:space="0"/>
              <w:bottom w:val="single" w:color="auto" w:sz="4" w:space="0"/>
              <w:right w:val="single" w:color="auto" w:sz="4" w:space="0"/>
            </w:tcBorders>
            <w:tcW w:w="6510" w:type="dxa"/>
            <w:vAlign w:val="center"/>
            <w:textDirection w:val="lrTb"/>
            <w:noWrap w:val="false"/>
          </w:tcPr>
          <w:p>
            <w:pPr>
              <w:ind w:firstLine="442"/>
              <w:jc w:val="center"/>
              <w:pageBreakBefore w:val="0"/>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评审标准</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pageBreakBefore w:val="0"/>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分值</w:t>
            </w:r>
            <w:r/>
          </w:p>
        </w:tc>
      </w:tr>
      <w:tr>
        <w:trPr>
          <w:jc w:val="center"/>
          <w:trHeight w:val="426"/>
        </w:trPr>
        <w:tc>
          <w:tcPr>
            <w:gridSpan w:val="4"/>
            <w:tcBorders>
              <w:top w:val="single" w:color="auto" w:sz="4" w:space="0"/>
              <w:left w:val="single" w:color="auto" w:sz="4" w:space="0"/>
              <w:bottom w:val="single" w:color="auto" w:sz="4" w:space="0"/>
              <w:right w:val="single" w:color="auto" w:sz="4" w:space="0"/>
            </w:tcBorders>
            <w:tcW w:w="9071" w:type="dxa"/>
            <w:vAlign w:val="center"/>
            <w:textDirection w:val="lrTb"/>
            <w:noWrap w:val="false"/>
          </w:tcPr>
          <w:p>
            <w:pPr>
              <w:jc w:val="both"/>
              <w:pageBreakBefore w:val="0"/>
              <w:spacing w:line="360" w:lineRule="auto"/>
              <w:rPr>
                <w:rFonts w:hint="eastAsia" w:ascii="宋体" w:hAnsi="宋体" w:eastAsia="宋体" w:cs="宋体"/>
                <w:sz w:val="22"/>
                <w:szCs w:val="22"/>
                <w:highlight w:val="none"/>
                <w:lang w:val="en-US" w:eastAsia="zh-CN"/>
              </w:rPr>
            </w:pPr>
            <w:r>
              <w:rPr>
                <w:rFonts w:hint="eastAsia" w:ascii="宋体" w:hAnsi="宋体" w:eastAsia="宋体" w:cs="宋体"/>
                <w:b/>
                <w:bCs/>
                <w:sz w:val="22"/>
                <w:szCs w:val="22"/>
                <w:highlight w:val="none"/>
                <w:lang w:eastAsia="zh-CN"/>
              </w:rPr>
              <w:t xml:space="preserve">（</w:t>
            </w:r>
            <w:r>
              <w:rPr>
                <w:rFonts w:hint="eastAsia" w:ascii="宋体" w:hAnsi="宋体" w:eastAsia="宋体" w:cs="宋体"/>
                <w:b/>
                <w:bCs/>
                <w:sz w:val="22"/>
                <w:szCs w:val="22"/>
                <w:highlight w:val="none"/>
                <w:lang w:val="en-US" w:eastAsia="zh-CN"/>
              </w:rPr>
              <w:t xml:space="preserve">一</w:t>
            </w:r>
            <w:r>
              <w:rPr>
                <w:rFonts w:hint="eastAsia" w:ascii="宋体" w:hAnsi="宋体" w:eastAsia="宋体" w:cs="宋体"/>
                <w:b/>
                <w:bCs/>
                <w:sz w:val="22"/>
                <w:szCs w:val="22"/>
                <w:highlight w:val="none"/>
                <w:lang w:eastAsia="zh-CN"/>
              </w:rPr>
              <w:t xml:space="preserve">）</w:t>
            </w:r>
            <w:r>
              <w:rPr>
                <w:rFonts w:hint="eastAsia" w:ascii="宋体" w:hAnsi="宋体" w:eastAsia="宋体" w:cs="宋体"/>
                <w:b/>
                <w:bCs/>
                <w:sz w:val="22"/>
                <w:szCs w:val="22"/>
                <w:highlight w:val="none"/>
                <w:lang w:val="en-US" w:eastAsia="zh-CN"/>
              </w:rPr>
              <w:t xml:space="preserve">价格部分（10分）</w:t>
            </w:r>
            <w:r/>
          </w:p>
        </w:tc>
      </w:tr>
      <w:tr>
        <w:trPr>
          <w:jc w:val="center"/>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pageBreakBefore w:val="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价格</w:t>
            </w:r>
            <w:r/>
          </w:p>
        </w:tc>
        <w:tc>
          <w:tcPr>
            <w:tcBorders>
              <w:top w:val="single" w:color="auto" w:sz="4" w:space="0"/>
              <w:left w:val="single" w:color="auto" w:sz="4" w:space="0"/>
              <w:bottom w:val="single" w:color="auto" w:sz="4" w:space="0"/>
              <w:right w:val="single" w:color="auto" w:sz="4" w:space="0"/>
            </w:tcBorders>
            <w:tcW w:w="6510" w:type="dxa"/>
            <w:vAlign w:val="center"/>
            <w:textDirection w:val="lrTb"/>
            <w:noWrap w:val="false"/>
          </w:tcPr>
          <w:p>
            <w:pPr>
              <w:jc w:val="left"/>
              <w:pageBreakBefore w:val="0"/>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采用低价优先法计算，即满足磋商文件要求且最终报价最低的响应报价为评审基准价，其价格分为满分。其他供应商的价格分统一按照下列公式计算</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响应报价得分=</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评审基准价/最终响应报价</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10</w:t>
            </w:r>
            <w:r>
              <w:rPr>
                <w:rFonts w:hint="eastAsia" w:ascii="宋体" w:hAnsi="宋体" w:eastAsia="宋体" w:cs="宋体"/>
                <w:sz w:val="22"/>
                <w:szCs w:val="22"/>
                <w:highlight w:val="none"/>
              </w:rPr>
              <w:t xml:space="preserve">（小数点保留两位）。</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pageBreakBefore w:val="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10</w:t>
            </w:r>
            <w:r/>
          </w:p>
        </w:tc>
      </w:tr>
      <w:tr>
        <w:trPr>
          <w:jc w:val="center"/>
          <w:trHeight w:val="388"/>
        </w:trPr>
        <w:tc>
          <w:tcPr>
            <w:gridSpan w:val="4"/>
            <w:tcBorders>
              <w:top w:val="single" w:color="auto" w:sz="4" w:space="0"/>
              <w:left w:val="single" w:color="auto" w:sz="4" w:space="0"/>
              <w:bottom w:val="single" w:color="auto" w:sz="4" w:space="0"/>
              <w:right w:val="single" w:color="auto" w:sz="4" w:space="0"/>
            </w:tcBorders>
            <w:tcW w:w="9071" w:type="dxa"/>
            <w:vAlign w:val="center"/>
            <w:textDirection w:val="lrTb"/>
            <w:noWrap w:val="false"/>
          </w:tcPr>
          <w:p>
            <w:pPr>
              <w:jc w:val="both"/>
              <w:pageBreakBefore w:val="0"/>
              <w:spacing w:line="360" w:lineRule="auto"/>
              <w:rPr>
                <w:rFonts w:hint="eastAsia" w:ascii="宋体" w:hAnsi="宋体" w:eastAsia="宋体" w:cs="宋体"/>
                <w:sz w:val="22"/>
                <w:szCs w:val="22"/>
                <w:highlight w:val="none"/>
                <w:lang w:val="en-US" w:eastAsia="zh-CN"/>
              </w:rPr>
            </w:pPr>
            <w:r>
              <w:rPr>
                <w:rFonts w:hint="eastAsia" w:ascii="宋体" w:hAnsi="宋体" w:eastAsia="宋体" w:cs="宋体"/>
                <w:b/>
                <w:bCs/>
                <w:sz w:val="22"/>
                <w:szCs w:val="22"/>
                <w:highlight w:val="none"/>
                <w:lang w:eastAsia="zh-CN"/>
              </w:rPr>
              <w:t xml:space="preserve">（</w:t>
            </w:r>
            <w:r>
              <w:rPr>
                <w:rFonts w:hint="eastAsia" w:ascii="宋体" w:hAnsi="宋体" w:eastAsia="宋体" w:cs="宋体"/>
                <w:b/>
                <w:bCs/>
                <w:sz w:val="22"/>
                <w:szCs w:val="22"/>
                <w:highlight w:val="none"/>
                <w:lang w:val="en-US" w:eastAsia="zh-CN"/>
              </w:rPr>
              <w:t xml:space="preserve">二</w:t>
            </w:r>
            <w:r>
              <w:rPr>
                <w:rFonts w:hint="eastAsia" w:ascii="宋体" w:hAnsi="宋体" w:eastAsia="宋体" w:cs="宋体"/>
                <w:b/>
                <w:bCs/>
                <w:sz w:val="22"/>
                <w:szCs w:val="22"/>
                <w:highlight w:val="none"/>
                <w:lang w:eastAsia="zh-CN"/>
              </w:rPr>
              <w:t xml:space="preserve">）</w:t>
            </w:r>
            <w:r>
              <w:rPr>
                <w:rFonts w:hint="eastAsia" w:ascii="宋体" w:hAnsi="宋体" w:eastAsia="宋体" w:cs="宋体"/>
                <w:b/>
                <w:bCs/>
                <w:sz w:val="22"/>
                <w:szCs w:val="22"/>
                <w:highlight w:val="none"/>
                <w:lang w:val="en-US" w:eastAsia="zh-CN"/>
              </w:rPr>
              <w:t xml:space="preserve">技术部分（45分）</w:t>
            </w:r>
            <w:r/>
          </w:p>
        </w:tc>
      </w:tr>
      <w:tr>
        <w:trPr>
          <w:jc w:val="center"/>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2.1</w:t>
            </w:r>
            <w:r/>
          </w:p>
        </w:tc>
        <w:tc>
          <w:tcPr>
            <w:tcBorders>
              <w:top w:val="single" w:color="auto" w:sz="4" w:space="0"/>
              <w:left w:val="single" w:color="auto" w:sz="4" w:space="0"/>
              <w:right w:val="single" w:color="auto" w:sz="4" w:space="0"/>
            </w:tcBorders>
            <w:tcW w:w="1104" w:type="dxa"/>
            <w:vAlign w:val="center"/>
            <w:textDirection w:val="lrTb"/>
            <w:noWrap w:val="false"/>
          </w:tcPr>
          <w:p>
            <w:pPr>
              <w:jc w:val="center"/>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活动策划方案</w:t>
            </w:r>
            <w:r/>
          </w:p>
        </w:tc>
        <w:tc>
          <w:tcPr>
            <w:tcBorders>
              <w:top w:val="single" w:color="auto" w:sz="4" w:space="0"/>
              <w:left w:val="single" w:color="auto" w:sz="4" w:space="0"/>
              <w:bottom w:val="single" w:color="auto" w:sz="4" w:space="0"/>
              <w:right w:val="single" w:color="auto" w:sz="4" w:space="0"/>
            </w:tcBorders>
            <w:tcW w:w="6510" w:type="dxa"/>
            <w:vAlign w:val="center"/>
            <w:textDirection w:val="lrTb"/>
            <w:noWrap w:val="false"/>
          </w:tcPr>
          <w:p>
            <w:pPr>
              <w:jc w:val="left"/>
              <w:pageBreakBefore w:val="0"/>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根据供应商提供的活动策划方案全面性、创新性、特色亮点等进行综合评分：</w:t>
            </w:r>
            <w:r/>
          </w:p>
          <w:p>
            <w:pPr>
              <w:jc w:val="left"/>
              <w:pageBreakBefore w:val="0"/>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方案全面、可操作性强、有针对性、新颖、有特色、有较好的图文设计能力得1</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分；方案全面</w:t>
            </w:r>
            <w:r>
              <w:rPr>
                <w:rFonts w:hint="eastAsia" w:ascii="宋体" w:hAnsi="宋体" w:eastAsia="宋体" w:cs="宋体"/>
                <w:sz w:val="22"/>
                <w:szCs w:val="22"/>
                <w:highlight w:val="none"/>
                <w:lang w:eastAsia="zh-CN"/>
              </w:rPr>
              <w:t xml:space="preserve">，具</w:t>
            </w:r>
            <w:r>
              <w:rPr>
                <w:rFonts w:hint="eastAsia" w:ascii="宋体" w:hAnsi="宋体" w:eastAsia="宋体" w:cs="宋体"/>
                <w:sz w:val="22"/>
                <w:szCs w:val="22"/>
                <w:highlight w:val="none"/>
              </w:rPr>
              <w:t xml:space="preserve">有操作性、定位准确、比较新颖，具有一定的创新性</w:t>
            </w:r>
            <w:r>
              <w:rPr>
                <w:rFonts w:hint="eastAsia" w:ascii="宋体" w:hAnsi="宋体" w:eastAsia="宋体" w:cs="宋体"/>
                <w:sz w:val="22"/>
                <w:szCs w:val="22"/>
                <w:highlight w:val="none"/>
                <w:lang w:eastAsia="zh-CN"/>
              </w:rPr>
              <w:t xml:space="preserve">，具</w:t>
            </w:r>
            <w:r>
              <w:rPr>
                <w:rFonts w:hint="eastAsia" w:ascii="宋体" w:hAnsi="宋体" w:eastAsia="宋体" w:cs="宋体"/>
                <w:sz w:val="22"/>
                <w:szCs w:val="22"/>
                <w:highlight w:val="none"/>
              </w:rPr>
              <w:t xml:space="preserve">有一定图文设计能力得</w:t>
            </w: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rPr>
              <w:t xml:space="preserve">分； 方案基本全面</w:t>
            </w:r>
            <w:r>
              <w:rPr>
                <w:rFonts w:hint="eastAsia" w:ascii="宋体" w:hAnsi="宋体" w:eastAsia="宋体" w:cs="宋体"/>
                <w:sz w:val="22"/>
                <w:szCs w:val="22"/>
                <w:highlight w:val="none"/>
                <w:lang w:eastAsia="zh-CN"/>
              </w:rPr>
              <w:t xml:space="preserve">，具</w:t>
            </w:r>
            <w:r>
              <w:rPr>
                <w:rFonts w:hint="eastAsia" w:ascii="宋体" w:hAnsi="宋体" w:eastAsia="宋体" w:cs="宋体"/>
                <w:sz w:val="22"/>
                <w:szCs w:val="22"/>
                <w:highlight w:val="none"/>
              </w:rPr>
              <w:t xml:space="preserve">有一定操作性、定位基本准确，图文设计能力一般得</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分；方案不够全面，定位不够准确、针对性不强得</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其他或未提供不得分。 </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pageBreakBefore w:val="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12</w:t>
            </w:r>
            <w:r/>
          </w:p>
        </w:tc>
      </w:tr>
      <w:tr>
        <w:trPr>
          <w:jc w:val="center"/>
        </w:trPr>
        <w:tc>
          <w:tcPr>
            <w:tcBorders>
              <w:top w:val="single" w:color="auto" w:sz="4" w:space="0"/>
              <w:left w:val="single" w:color="auto" w:sz="4" w:space="0"/>
              <w:right w:val="single" w:color="auto" w:sz="4" w:space="0"/>
            </w:tcBorders>
            <w:tcW w:w="681" w:type="dxa"/>
            <w:vAlign w:val="center"/>
            <w:textDirection w:val="lrTb"/>
            <w:noWrap w:val="false"/>
          </w:tcPr>
          <w:p>
            <w:pPr>
              <w:jc w:val="center"/>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2.2</w:t>
            </w:r>
            <w:r/>
          </w:p>
        </w:tc>
        <w:tc>
          <w:tcPr>
            <w:tcBorders>
              <w:left w:val="single" w:color="auto" w:sz="4" w:space="0"/>
              <w:right w:val="single" w:color="auto" w:sz="4" w:space="0"/>
            </w:tcBorders>
            <w:tcW w:w="1104" w:type="dxa"/>
            <w:vAlign w:val="center"/>
            <w:textDirection w:val="lrTb"/>
            <w:noWrap w:val="false"/>
          </w:tcPr>
          <w:p>
            <w:pPr>
              <w:jc w:val="center"/>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参赛项目对接及审查方案</w:t>
            </w:r>
            <w:r/>
          </w:p>
        </w:tc>
        <w:tc>
          <w:tcPr>
            <w:tcBorders>
              <w:top w:val="single" w:color="auto" w:sz="4" w:space="0"/>
              <w:left w:val="single" w:color="auto" w:sz="4" w:space="0"/>
              <w:bottom w:val="single" w:color="auto" w:sz="4" w:space="0"/>
              <w:right w:val="single" w:color="auto" w:sz="4" w:space="0"/>
            </w:tcBorders>
            <w:tcW w:w="6510" w:type="dxa"/>
            <w:vAlign w:val="center"/>
            <w:textDirection w:val="lrTb"/>
            <w:noWrap w:val="false"/>
          </w:tcPr>
          <w:p>
            <w:pPr>
              <w:jc w:val="left"/>
              <w:pageBreakBefore w:val="0"/>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根据供应商提供的参赛项目对接及项目审查方案进行综合评分：</w:t>
            </w:r>
            <w:r/>
          </w:p>
          <w:p>
            <w:pPr>
              <w:jc w:val="left"/>
              <w:pageBreakBefore w:val="0"/>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有切实可行的对接方式以及明确的项目审查经验及审查方法得</w:t>
            </w: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分；有切实可行的对接方式以及较为明确的项目审查经验及审查方法得</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分；对接方式和审查项目方法尚可得</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分；对接方式及审查项目方法都不明确得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分；无对接方式和审查方法不得分。</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pageBreakBefore w:val="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8</w:t>
            </w:r>
            <w:r/>
          </w:p>
        </w:tc>
      </w:tr>
      <w:tr>
        <w:trPr>
          <w:jc w:val="center"/>
        </w:trPr>
        <w:tc>
          <w:tcPr>
            <w:tcBorders>
              <w:top w:val="single" w:color="auto" w:sz="4" w:space="0"/>
              <w:left w:val="single" w:color="auto" w:sz="4" w:space="0"/>
              <w:right w:val="single" w:color="auto" w:sz="4" w:space="0"/>
            </w:tcBorders>
            <w:tcW w:w="681"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2.3</w:t>
            </w:r>
            <w:r/>
          </w:p>
        </w:tc>
        <w:tc>
          <w:tcPr>
            <w:tcBorders>
              <w:left w:val="single" w:color="auto" w:sz="4" w:space="0"/>
              <w:right w:val="single" w:color="auto" w:sz="4" w:space="0"/>
            </w:tcBorders>
            <w:tcW w:w="1104"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食宿及场地安排方案</w:t>
            </w:r>
            <w:r/>
          </w:p>
        </w:tc>
        <w:tc>
          <w:tcPr>
            <w:tcBorders>
              <w:top w:val="single" w:color="auto" w:sz="4" w:space="0"/>
              <w:left w:val="single" w:color="auto" w:sz="4" w:space="0"/>
              <w:bottom w:val="single" w:color="auto" w:sz="4" w:space="0"/>
              <w:right w:val="single" w:color="auto" w:sz="4" w:space="0"/>
            </w:tcBorders>
            <w:tcW w:w="6510" w:type="dxa"/>
            <w:vAlign w:val="center"/>
            <w:textDirection w:val="lrTb"/>
            <w:noWrap w:val="false"/>
          </w:tcPr>
          <w:p>
            <w:pPr>
              <w:jc w:val="left"/>
              <w:pageBreakBefore w:val="0"/>
              <w:spacing w:line="360" w:lineRule="auto"/>
              <w:tabs>
                <w:tab w:val="left" w:pos="3600" w:leader="none"/>
              </w:tabs>
              <w:rPr>
                <w:rFonts w:hint="eastAsia" w:ascii="宋体" w:hAnsi="宋体" w:eastAsia="宋体" w:cs="宋体"/>
                <w:color w:val="auto"/>
                <w:sz w:val="22"/>
                <w:szCs w:val="22"/>
                <w:highlight w:val="none"/>
              </w:rPr>
            </w:pPr>
            <w:r>
              <w:rPr>
                <w:rFonts w:hint="eastAsia" w:ascii="宋体" w:hAnsi="宋体" w:eastAsia="宋体" w:cs="宋体"/>
                <w:strike w:val="0"/>
                <w:color w:val="auto"/>
                <w:sz w:val="22"/>
                <w:szCs w:val="22"/>
                <w:highlight w:val="none"/>
              </w:rPr>
              <w:t xml:space="preserve">在提供政府定点酒店及场地确认函</w:t>
            </w:r>
            <w:r>
              <w:rPr>
                <w:rFonts w:hint="eastAsia" w:ascii="宋体" w:hAnsi="宋体" w:eastAsia="宋体" w:cs="宋体"/>
                <w:strike w:val="0"/>
                <w:color w:val="auto"/>
                <w:sz w:val="22"/>
                <w:szCs w:val="22"/>
                <w:highlight w:val="none"/>
                <w:lang w:val="en-US" w:eastAsia="zh-CN"/>
              </w:rPr>
              <w:t xml:space="preserve">的</w:t>
            </w:r>
            <w:r>
              <w:rPr>
                <w:rFonts w:hint="eastAsia" w:ascii="宋体" w:hAnsi="宋体" w:eastAsia="宋体" w:cs="宋体"/>
                <w:color w:val="auto"/>
                <w:sz w:val="22"/>
                <w:szCs w:val="22"/>
                <w:highlight w:val="none"/>
              </w:rPr>
              <w:t xml:space="preserve">基础上</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食宿方案科学细致、满足300人2.5天得2分；5个平行赛场方案清晰、设备齐全</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每提供1个</w:t>
            </w:r>
            <w:r>
              <w:rPr>
                <w:rFonts w:hint="eastAsia" w:ascii="宋体" w:hAnsi="宋体" w:eastAsia="宋体" w:cs="宋体"/>
                <w:color w:val="auto"/>
                <w:sz w:val="22"/>
                <w:szCs w:val="22"/>
                <w:highlight w:val="none"/>
              </w:rPr>
              <w:t xml:space="preserve">平行赛场方案得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最多得5分</w:t>
            </w:r>
            <w:r>
              <w:rPr>
                <w:rFonts w:hint="eastAsia" w:ascii="宋体" w:hAnsi="宋体" w:eastAsia="宋体" w:cs="宋体"/>
                <w:color w:val="auto"/>
                <w:sz w:val="22"/>
                <w:szCs w:val="22"/>
                <w:highlight w:val="none"/>
              </w:rPr>
              <w:t xml:space="preserve">；主会场≥800平米且</w:t>
            </w:r>
            <w:r>
              <w:rPr>
                <w:rFonts w:hint="eastAsia" w:ascii="宋体" w:hAnsi="宋体" w:eastAsia="宋体" w:cs="宋体"/>
                <w:color w:val="auto"/>
                <w:sz w:val="22"/>
                <w:szCs w:val="22"/>
                <w:highlight w:val="none"/>
                <w:lang w:val="en-US" w:eastAsia="zh-CN"/>
              </w:rPr>
              <w:t xml:space="preserve">设计</w:t>
            </w:r>
            <w:r>
              <w:rPr>
                <w:rFonts w:hint="eastAsia" w:ascii="宋体" w:hAnsi="宋体" w:eastAsia="宋体" w:cs="宋体"/>
                <w:color w:val="auto"/>
                <w:sz w:val="22"/>
                <w:szCs w:val="22"/>
                <w:highlight w:val="none"/>
              </w:rPr>
              <w:t xml:space="preserve">方案完善得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val="en-US" w:eastAsia="zh-CN"/>
              </w:rPr>
              <w:t xml:space="preserve">总计8分</w:t>
            </w:r>
            <w:r>
              <w:rPr>
                <w:rFonts w:hint="eastAsia" w:ascii="宋体" w:hAnsi="宋体" w:eastAsia="宋体" w:cs="宋体"/>
                <w:color w:val="auto"/>
                <w:sz w:val="22"/>
                <w:szCs w:val="22"/>
                <w:highlight w:val="none"/>
              </w:rPr>
              <w:t xml:space="preserve">。</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pageBreakBefore w:val="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8</w:t>
            </w:r>
            <w:r/>
          </w:p>
        </w:tc>
      </w:tr>
      <w:tr>
        <w:trPr>
          <w:jc w:val="center"/>
        </w:trPr>
        <w:tc>
          <w:tcPr>
            <w:tcBorders>
              <w:top w:val="single" w:color="auto" w:sz="4" w:space="0"/>
              <w:left w:val="single" w:color="auto" w:sz="4" w:space="0"/>
              <w:right w:val="single" w:color="auto" w:sz="4" w:space="0"/>
            </w:tcBorders>
            <w:tcW w:w="681" w:type="dxa"/>
            <w:vAlign w:val="center"/>
            <w:textDirection w:val="lrTb"/>
            <w:noWrap w:val="false"/>
          </w:tcPr>
          <w:p>
            <w:pPr>
              <w:jc w:val="center"/>
              <w:pageBreakBefore w:val="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2.4</w:t>
            </w:r>
            <w:r/>
          </w:p>
        </w:tc>
        <w:tc>
          <w:tcPr>
            <w:tcBorders>
              <w:left w:val="single" w:color="auto" w:sz="4" w:space="0"/>
              <w:right w:val="single" w:color="auto" w:sz="4" w:space="0"/>
            </w:tcBorders>
            <w:tcW w:w="1104" w:type="dxa"/>
            <w:vAlign w:val="center"/>
            <w:textDirection w:val="lrTb"/>
            <w:noWrap w:val="false"/>
          </w:tcPr>
          <w:p>
            <w:pPr>
              <w:jc w:val="center"/>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国赛前辅导方案</w:t>
            </w:r>
            <w:r/>
          </w:p>
        </w:tc>
        <w:tc>
          <w:tcPr>
            <w:tcBorders>
              <w:top w:val="single" w:color="auto" w:sz="4" w:space="0"/>
              <w:left w:val="single" w:color="auto" w:sz="4" w:space="0"/>
              <w:bottom w:val="single" w:color="auto" w:sz="4" w:space="0"/>
              <w:right w:val="single" w:color="auto" w:sz="4" w:space="0"/>
            </w:tcBorders>
            <w:tcW w:w="6510" w:type="dxa"/>
            <w:vAlign w:val="center"/>
            <w:textDirection w:val="lrTb"/>
            <w:noWrap w:val="false"/>
          </w:tcPr>
          <w:p>
            <w:pPr>
              <w:jc w:val="left"/>
              <w:pageBreakBefore w:val="0"/>
              <w:spacing w:line="360" w:lineRule="auto"/>
              <w:tabs>
                <w:tab w:val="left" w:pos="3600" w:leader="none"/>
              </w:tabs>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跟踪辅导每个项目≥10人次；材料包装制作方案专业可行；专人现场保障；总结方案完整</w:t>
            </w:r>
            <w:r>
              <w:rPr>
                <w:rFonts w:hint="eastAsia" w:ascii="宋体" w:hAnsi="宋体" w:eastAsia="宋体" w:cs="宋体"/>
                <w:sz w:val="22"/>
                <w:szCs w:val="22"/>
                <w:highlight w:val="none"/>
                <w:lang w:val="en-US" w:eastAsia="zh-CN"/>
              </w:rPr>
              <w:t xml:space="preserve">得5分；</w:t>
            </w:r>
            <w:r>
              <w:rPr>
                <w:rFonts w:hint="eastAsia" w:ascii="宋体" w:hAnsi="宋体" w:eastAsia="宋体" w:cs="宋体"/>
                <w:sz w:val="22"/>
                <w:szCs w:val="22"/>
                <w:highlight w:val="none"/>
              </w:rPr>
              <w:t xml:space="preserve">方案基本完整，细节略有不足</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得3分；</w:t>
            </w:r>
            <w:r>
              <w:rPr>
                <w:rFonts w:hint="eastAsia" w:ascii="宋体" w:hAnsi="宋体" w:eastAsia="宋体" w:cs="宋体"/>
                <w:sz w:val="22"/>
                <w:szCs w:val="22"/>
                <w:highlight w:val="none"/>
              </w:rPr>
              <w:t xml:space="preserve">仅有简单描述</w:t>
            </w:r>
            <w:r>
              <w:rPr>
                <w:rFonts w:hint="eastAsia" w:ascii="宋体" w:hAnsi="宋体" w:eastAsia="宋体" w:cs="宋体"/>
                <w:sz w:val="22"/>
                <w:szCs w:val="22"/>
                <w:highlight w:val="none"/>
                <w:lang w:val="en-US" w:eastAsia="zh-CN"/>
              </w:rPr>
              <w:t xml:space="preserve">得1分；</w:t>
            </w:r>
            <w:r>
              <w:rPr>
                <w:rFonts w:hint="eastAsia" w:ascii="宋体" w:hAnsi="宋体" w:eastAsia="宋体" w:cs="宋体"/>
                <w:sz w:val="22"/>
                <w:szCs w:val="22"/>
                <w:highlight w:val="none"/>
              </w:rPr>
              <w:t xml:space="preserve">未提供</w:t>
            </w:r>
            <w:r>
              <w:rPr>
                <w:rFonts w:hint="eastAsia" w:ascii="宋体" w:hAnsi="宋体" w:eastAsia="宋体" w:cs="宋体"/>
                <w:sz w:val="22"/>
                <w:szCs w:val="22"/>
                <w:highlight w:val="none"/>
                <w:lang w:val="en-US" w:eastAsia="zh-CN"/>
              </w:rPr>
              <w:t xml:space="preserve">不得分。</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pageBreakBefore w:val="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w:t>
            </w:r>
            <w:r/>
          </w:p>
        </w:tc>
      </w:tr>
      <w:tr>
        <w:trPr>
          <w:jc w:val="center"/>
        </w:trPr>
        <w:tc>
          <w:tcPr>
            <w:tcBorders>
              <w:left w:val="single" w:color="auto" w:sz="4" w:space="0"/>
              <w:right w:val="single" w:color="auto" w:sz="4" w:space="0"/>
            </w:tcBorders>
            <w:tcW w:w="681" w:type="dxa"/>
            <w:vAlign w:val="center"/>
            <w:textDirection w:val="lrTb"/>
            <w:noWrap w:val="false"/>
          </w:tcPr>
          <w:p>
            <w:pPr>
              <w:jc w:val="center"/>
              <w:pageBreakBefore w:val="0"/>
              <w:spacing w:line="360" w:lineRule="auto"/>
              <w:rPr>
                <w:rFonts w:hint="eastAsia" w:ascii="宋体" w:hAnsi="宋体" w:eastAsia="宋体" w:cs="宋体"/>
                <w:sz w:val="22"/>
                <w:szCs w:val="22"/>
                <w:highlight w:val="none"/>
                <w:lang w:val="en-US"/>
              </w:rPr>
            </w:pPr>
            <w:r>
              <w:rPr>
                <w:rFonts w:hint="eastAsia" w:ascii="宋体" w:hAnsi="宋体" w:eastAsia="宋体" w:cs="宋体"/>
                <w:sz w:val="22"/>
                <w:szCs w:val="22"/>
                <w:highlight w:val="none"/>
                <w:lang w:val="en-US" w:eastAsia="zh-CN"/>
              </w:rPr>
              <w:t xml:space="preserve">2.5</w:t>
            </w:r>
            <w:r/>
          </w:p>
        </w:tc>
        <w:tc>
          <w:tcPr>
            <w:tcBorders>
              <w:left w:val="single" w:color="auto" w:sz="4" w:space="0"/>
              <w:right w:val="single" w:color="auto" w:sz="4" w:space="0"/>
            </w:tcBorders>
            <w:tcW w:w="1104" w:type="dxa"/>
            <w:vAlign w:val="center"/>
            <w:textDirection w:val="lrTb"/>
            <w:noWrap w:val="false"/>
          </w:tcPr>
          <w:p>
            <w:pPr>
              <w:jc w:val="center"/>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1"/>
                <w:szCs w:val="21"/>
                <w:highlight w:val="none"/>
              </w:rPr>
              <w:t xml:space="preserve">人员配备</w:t>
            </w:r>
            <w:r/>
          </w:p>
        </w:tc>
        <w:tc>
          <w:tcPr>
            <w:tcBorders>
              <w:top w:val="single" w:color="auto" w:sz="4" w:space="0"/>
              <w:left w:val="single" w:color="auto" w:sz="4" w:space="0"/>
              <w:bottom w:val="single" w:color="auto" w:sz="4" w:space="0"/>
              <w:right w:val="single" w:color="auto" w:sz="4" w:space="0"/>
            </w:tcBorders>
            <w:tcW w:w="6510" w:type="dxa"/>
            <w:vAlign w:val="center"/>
            <w:textDirection w:val="lrTb"/>
            <w:noWrap w:val="false"/>
          </w:tcPr>
          <w:p>
            <w:pPr>
              <w:jc w:val="left"/>
              <w:pageBreakBefore w:val="0"/>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根据供应商提供的本项目拟投入的人员配备情况（人员配备是否充足，分工是否明确、分配是否合理等）进行综合评分：</w:t>
            </w:r>
            <w:r/>
          </w:p>
          <w:p>
            <w:pPr>
              <w:jc w:val="left"/>
              <w:pageBreakBefore w:val="0"/>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人员安排合理、拟安排人员经验丰富且综合素质高且不低于10人得10分；人员安排合理、人员经验尚可，综合素质尚可且不低于8人得8分；人员安排能够满足采购需求、经验一般、综合素质一般且不低于6人得6分；人员安排合理性、经验、综合素质较弱且不低于4人得4分；</w:t>
            </w:r>
            <w:r/>
          </w:p>
          <w:p>
            <w:pPr>
              <w:jc w:val="left"/>
              <w:pageBreakBefore w:val="0"/>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项目负责人资质加分：提供</w:t>
            </w:r>
            <w:r>
              <w:rPr>
                <w:rFonts w:hint="eastAsia" w:ascii="宋体" w:hAnsi="宋体" w:eastAsia="宋体" w:cs="宋体"/>
                <w:color w:val="auto"/>
                <w:sz w:val="22"/>
                <w:szCs w:val="22"/>
                <w:highlight w:val="none"/>
              </w:rPr>
              <w:t xml:space="preserve">1次</w:t>
            </w:r>
            <w:r>
              <w:rPr>
                <w:rFonts w:hint="eastAsia" w:ascii="宋体" w:hAnsi="宋体" w:cs="宋体"/>
                <w:color w:val="auto"/>
                <w:sz w:val="22"/>
                <w:szCs w:val="22"/>
                <w:highlight w:val="none"/>
                <w:lang w:eastAsia="zh-CN"/>
              </w:rPr>
              <w:t xml:space="preserve">省级及以上</w:t>
            </w:r>
            <w:r>
              <w:rPr>
                <w:rFonts w:hint="eastAsia" w:ascii="宋体" w:hAnsi="宋体" w:eastAsia="宋体" w:cs="宋体"/>
                <w:color w:val="auto"/>
                <w:sz w:val="22"/>
                <w:szCs w:val="22"/>
                <w:highlight w:val="none"/>
              </w:rPr>
              <w:t xml:space="preserve">同类赛事评委经验有效证明得2分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其他或未提供不得分。（项目团队均需提供社保缴纳证明，负责人需提供相关聘书、邀请函等）</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pageBreakBefore w:val="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12</w:t>
            </w:r>
            <w:r/>
          </w:p>
        </w:tc>
      </w:tr>
      <w:tr>
        <w:trPr>
          <w:jc w:val="center"/>
          <w:trHeight w:val="315"/>
        </w:trPr>
        <w:tc>
          <w:tcPr>
            <w:gridSpan w:val="4"/>
            <w:tcBorders>
              <w:left w:val="single" w:color="auto" w:sz="4" w:space="0"/>
              <w:right w:val="single" w:color="auto" w:sz="4" w:space="0"/>
            </w:tcBorders>
            <w:tcW w:w="9071" w:type="dxa"/>
            <w:vAlign w:val="center"/>
            <w:textDirection w:val="lrTb"/>
            <w:noWrap w:val="false"/>
          </w:tcPr>
          <w:p>
            <w:pPr>
              <w:jc w:val="both"/>
              <w:pageBreakBefore w:val="0"/>
              <w:spacing w:line="360" w:lineRule="auto"/>
              <w:rPr>
                <w:rFonts w:hint="eastAsia" w:ascii="宋体" w:hAnsi="宋体" w:eastAsia="宋体" w:cs="宋体"/>
                <w:sz w:val="22"/>
                <w:szCs w:val="22"/>
                <w:highlight w:val="none"/>
                <w:lang w:val="en-US" w:eastAsia="zh-CN"/>
              </w:rPr>
            </w:pPr>
            <w:r>
              <w:rPr>
                <w:rFonts w:hint="eastAsia" w:ascii="宋体" w:hAnsi="宋体" w:eastAsia="宋体" w:cs="宋体"/>
                <w:b/>
                <w:bCs/>
                <w:sz w:val="22"/>
                <w:szCs w:val="22"/>
                <w:highlight w:val="none"/>
                <w:lang w:eastAsia="zh-CN"/>
              </w:rPr>
              <w:t xml:space="preserve">（</w:t>
            </w:r>
            <w:r>
              <w:rPr>
                <w:rFonts w:hint="eastAsia" w:ascii="宋体" w:hAnsi="宋体" w:eastAsia="宋体" w:cs="宋体"/>
                <w:b/>
                <w:bCs/>
                <w:sz w:val="22"/>
                <w:szCs w:val="22"/>
                <w:highlight w:val="none"/>
                <w:lang w:val="en-US" w:eastAsia="zh-CN"/>
              </w:rPr>
              <w:t xml:space="preserve">三</w:t>
            </w:r>
            <w:r>
              <w:rPr>
                <w:rFonts w:hint="eastAsia" w:ascii="宋体" w:hAnsi="宋体" w:eastAsia="宋体" w:cs="宋体"/>
                <w:b/>
                <w:bCs/>
                <w:sz w:val="22"/>
                <w:szCs w:val="22"/>
                <w:highlight w:val="none"/>
                <w:lang w:eastAsia="zh-CN"/>
              </w:rPr>
              <w:t xml:space="preserve">）</w:t>
            </w:r>
            <w:r>
              <w:rPr>
                <w:rFonts w:hint="eastAsia" w:ascii="宋体" w:hAnsi="宋体" w:eastAsia="宋体" w:cs="宋体"/>
                <w:b/>
                <w:bCs/>
                <w:sz w:val="22"/>
                <w:szCs w:val="22"/>
                <w:highlight w:val="none"/>
                <w:lang w:val="en-US" w:eastAsia="zh-CN"/>
              </w:rPr>
              <w:t xml:space="preserve">商务部分（45分）</w:t>
            </w:r>
            <w:r/>
          </w:p>
        </w:tc>
      </w:tr>
      <w:tr>
        <w:trPr>
          <w:jc w:val="center"/>
        </w:trPr>
        <w:tc>
          <w:tcPr>
            <w:tcBorders>
              <w:left w:val="single" w:color="auto" w:sz="4" w:space="0"/>
              <w:right w:val="single" w:color="auto" w:sz="4" w:space="0"/>
            </w:tcBorders>
            <w:tcW w:w="681" w:type="dxa"/>
            <w:vAlign w:val="center"/>
            <w:textDirection w:val="lrTb"/>
            <w:noWrap w:val="false"/>
          </w:tcPr>
          <w:p>
            <w:pPr>
              <w:jc w:val="center"/>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.1</w:t>
            </w:r>
            <w:r/>
          </w:p>
        </w:tc>
        <w:tc>
          <w:tcPr>
            <w:tcBorders>
              <w:left w:val="single" w:color="auto" w:sz="4" w:space="0"/>
              <w:right w:val="single" w:color="auto" w:sz="4" w:space="0"/>
            </w:tcBorders>
            <w:tcW w:w="1104" w:type="dxa"/>
            <w:vAlign w:val="center"/>
            <w:textDirection w:val="lrTb"/>
            <w:noWrap w:val="false"/>
          </w:tcPr>
          <w:p>
            <w:pPr>
              <w:jc w:val="center"/>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业绩</w:t>
            </w:r>
            <w:r/>
          </w:p>
        </w:tc>
        <w:tc>
          <w:tcPr>
            <w:tcBorders>
              <w:top w:val="single" w:color="auto" w:sz="4" w:space="0"/>
              <w:left w:val="single" w:color="auto" w:sz="4" w:space="0"/>
              <w:bottom w:val="single" w:color="auto" w:sz="4" w:space="0"/>
              <w:right w:val="single" w:color="auto" w:sz="4" w:space="0"/>
            </w:tcBorders>
            <w:tcW w:w="6510" w:type="dxa"/>
            <w:vAlign w:val="center"/>
            <w:textDirection w:val="lrTb"/>
            <w:noWrap w:val="false"/>
          </w:tcPr>
          <w:p>
            <w:pPr>
              <w:jc w:val="left"/>
              <w:pageBreakBefore w:val="0"/>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类似业绩：响应供应商提供20</w:t>
            </w:r>
            <w:r>
              <w:rPr>
                <w:rFonts w:hint="eastAsia" w:ascii="宋体" w:hAnsi="宋体" w:eastAsia="宋体" w:cs="宋体"/>
                <w:sz w:val="22"/>
                <w:szCs w:val="22"/>
                <w:highlight w:val="none"/>
                <w:lang w:val="en-US" w:eastAsia="zh-CN"/>
              </w:rPr>
              <w:t xml:space="preserve">21</w:t>
            </w:r>
            <w:r>
              <w:rPr>
                <w:rFonts w:hint="eastAsia" w:ascii="宋体" w:hAnsi="宋体" w:eastAsia="宋体" w:cs="宋体"/>
                <w:sz w:val="22"/>
                <w:szCs w:val="22"/>
                <w:highlight w:val="none"/>
              </w:rPr>
              <w:t xml:space="preserve">年7月1日（含）以来承接过类似大赛项目业绩，每提供一个业绩得3分，最多得15分。（以合同签订时间为准，需提供完整的合同复印件加盖公章，提供的材料须反映相关数据，否则视为未提供，原件备查）</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w:t>
            </w:r>
            <w:r/>
          </w:p>
        </w:tc>
      </w:tr>
      <w:tr>
        <w:trPr>
          <w:jc w:val="center"/>
          <w:trHeight w:val="1970"/>
        </w:trPr>
        <w:tc>
          <w:tcPr>
            <w:tcBorders>
              <w:left w:val="single" w:color="auto" w:sz="4" w:space="0"/>
              <w:right w:val="single" w:color="auto" w:sz="4" w:space="0"/>
            </w:tcBorders>
            <w:tcW w:w="681" w:type="dxa"/>
            <w:vAlign w:val="center"/>
            <w:textDirection w:val="lrTb"/>
            <w:noWrap w:val="false"/>
          </w:tcPr>
          <w:p>
            <w:pPr>
              <w:jc w:val="center"/>
              <w:pageBreakBefore w:val="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2</w:t>
            </w:r>
            <w:r/>
          </w:p>
        </w:tc>
        <w:tc>
          <w:tcPr>
            <w:tcBorders>
              <w:left w:val="single" w:color="auto" w:sz="4" w:space="0"/>
              <w:right w:val="single" w:color="auto" w:sz="4" w:space="0"/>
            </w:tcBorders>
            <w:tcW w:w="1104" w:type="dxa"/>
            <w:vAlign w:val="center"/>
            <w:textDirection w:val="lrTb"/>
            <w:noWrap w:val="false"/>
          </w:tcPr>
          <w:p>
            <w:pPr>
              <w:jc w:val="center"/>
              <w:pageBreakBefore w:val="0"/>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评委导师库</w:t>
            </w:r>
            <w:r/>
          </w:p>
        </w:tc>
        <w:tc>
          <w:tcPr>
            <w:tcBorders>
              <w:top w:val="single" w:color="auto" w:sz="4" w:space="0"/>
              <w:left w:val="single" w:color="auto" w:sz="4" w:space="0"/>
              <w:bottom w:val="single" w:color="auto" w:sz="4" w:space="0"/>
              <w:right w:val="single" w:color="auto" w:sz="4" w:space="0"/>
            </w:tcBorders>
            <w:tcW w:w="6510" w:type="dxa"/>
            <w:vAlign w:val="center"/>
            <w:textDirection w:val="lrTb"/>
            <w:noWrap w:val="false"/>
          </w:tcPr>
          <w:p>
            <w:pPr>
              <w:jc w:val="left"/>
              <w:pageBreakBefore w:val="0"/>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根据供应商提供的本次赛事相关要求的评委导师库总人数达50人及以上的得</w:t>
            </w:r>
            <w:r>
              <w:rPr>
                <w:rFonts w:hint="eastAsia" w:ascii="宋体" w:hAnsi="宋体" w:eastAsia="宋体" w:cs="宋体"/>
                <w:sz w:val="22"/>
                <w:szCs w:val="22"/>
                <w:highlight w:val="none"/>
                <w:lang w:val="en-US" w:eastAsia="zh-CN"/>
              </w:rPr>
              <w:t xml:space="preserve">10</w:t>
            </w:r>
            <w:r>
              <w:rPr>
                <w:rFonts w:hint="eastAsia" w:ascii="宋体" w:hAnsi="宋体" w:eastAsia="宋体" w:cs="宋体"/>
                <w:sz w:val="22"/>
                <w:szCs w:val="22"/>
                <w:highlight w:val="none"/>
              </w:rPr>
              <w:t xml:space="preserve">分，总人数达30人及以上得</w:t>
            </w: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分，总人数达10人及以上得6分，总人数低于10人得</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分。（需提供相关证明材料加盖公章，提供的材料须反映相关数据，否则视为未提供，原件备查）</w:t>
            </w:r>
            <w:r/>
          </w:p>
        </w:tc>
        <w:tc>
          <w:tcPr>
            <w:tcBorders>
              <w:left w:val="single" w:color="auto" w:sz="4" w:space="0"/>
              <w:right w:val="single" w:color="auto" w:sz="4" w:space="0"/>
            </w:tcBorders>
            <w:tcW w:w="776" w:type="dxa"/>
            <w:vAlign w:val="center"/>
            <w:textDirection w:val="lrTb"/>
            <w:noWrap w:val="false"/>
          </w:tcPr>
          <w:p>
            <w:pPr>
              <w:jc w:val="center"/>
              <w:pageBreakBefore w:val="0"/>
              <w:spacing w:line="360" w:lineRule="auto"/>
              <w:tabs>
                <w:tab w:val="left" w:pos="3600" w:leader="none"/>
              </w:tabs>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10</w:t>
            </w:r>
            <w:r/>
          </w:p>
        </w:tc>
      </w:tr>
      <w:tr>
        <w:trPr>
          <w:jc w:val="center"/>
          <w:trHeight w:val="436"/>
        </w:trPr>
        <w:tc>
          <w:tcPr>
            <w:tcBorders>
              <w:left w:val="single" w:color="auto" w:sz="4" w:space="0"/>
              <w:right w:val="single" w:color="auto" w:sz="4" w:space="0"/>
            </w:tcBorders>
            <w:tcW w:w="681" w:type="dxa"/>
            <w:vAlign w:val="center"/>
            <w:textDirection w:val="lrTb"/>
            <w:noWrap w:val="false"/>
          </w:tcPr>
          <w:p>
            <w:pPr>
              <w:jc w:val="center"/>
              <w:pageBreakBefore w:val="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3</w:t>
            </w:r>
            <w:r/>
          </w:p>
        </w:tc>
        <w:tc>
          <w:tcPr>
            <w:tcBorders>
              <w:left w:val="single" w:color="auto" w:sz="4" w:space="0"/>
              <w:right w:val="single" w:color="auto" w:sz="4" w:space="0"/>
            </w:tcBorders>
            <w:tcW w:w="1104" w:type="dxa"/>
            <w:vAlign w:val="center"/>
            <w:textDirection w:val="lrTb"/>
            <w:noWrap w:val="false"/>
          </w:tcPr>
          <w:p>
            <w:pPr>
              <w:jc w:val="center"/>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企业实力</w:t>
            </w:r>
            <w:r/>
          </w:p>
        </w:tc>
        <w:tc>
          <w:tcPr>
            <w:tcBorders>
              <w:top w:val="single" w:color="auto" w:sz="4" w:space="0"/>
              <w:left w:val="single" w:color="auto" w:sz="4" w:space="0"/>
              <w:bottom w:val="single" w:color="auto" w:sz="4" w:space="0"/>
              <w:right w:val="single" w:color="auto" w:sz="4" w:space="0"/>
            </w:tcBorders>
            <w:tcW w:w="6510" w:type="dxa"/>
            <w:vAlign w:val="center"/>
            <w:textDirection w:val="lrTb"/>
            <w:noWrap w:val="false"/>
          </w:tcPr>
          <w:p>
            <w:pPr>
              <w:jc w:val="left"/>
              <w:pageBreakBefore w:val="0"/>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根据供应商提供</w:t>
            </w:r>
            <w:r>
              <w:rPr>
                <w:rFonts w:hint="eastAsia" w:ascii="宋体" w:hAnsi="宋体" w:cs="宋体"/>
                <w:sz w:val="22"/>
                <w:szCs w:val="22"/>
                <w:highlight w:val="none"/>
                <w:lang w:eastAsia="zh-CN"/>
              </w:rPr>
              <w:t xml:space="preserve">类似创业创新赛事</w:t>
            </w:r>
            <w:r>
              <w:rPr>
                <w:rFonts w:hint="eastAsia" w:ascii="宋体" w:hAnsi="宋体" w:eastAsia="宋体" w:cs="宋体"/>
                <w:sz w:val="22"/>
                <w:szCs w:val="22"/>
                <w:highlight w:val="none"/>
              </w:rPr>
              <w:t xml:space="preserve">辅导项目获得过三等奖及以上奖项的一个得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分，满分</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分。</w:t>
            </w:r>
            <w:r/>
          </w:p>
          <w:p>
            <w:pPr>
              <w:jc w:val="left"/>
              <w:pageBreakBefore w:val="0"/>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（需提供相关证明材料加盖公章，提供的材料须反映相关数据，否则视为未提供，原件备查）</w:t>
            </w:r>
            <w:r/>
          </w:p>
        </w:tc>
        <w:tc>
          <w:tcPr>
            <w:tcBorders>
              <w:top w:val="single" w:color="auto" w:sz="4" w:space="0"/>
              <w:left w:val="single" w:color="auto" w:sz="4" w:space="0"/>
              <w:right w:val="single" w:color="auto" w:sz="4" w:space="0"/>
            </w:tcBorders>
            <w:tcW w:w="776" w:type="dxa"/>
            <w:vAlign w:val="center"/>
            <w:textDirection w:val="lrTb"/>
            <w:noWrap w:val="false"/>
          </w:tcPr>
          <w:p>
            <w:pPr>
              <w:jc w:val="center"/>
              <w:pageBreakBefore w:val="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6</w:t>
            </w:r>
            <w:r/>
          </w:p>
        </w:tc>
      </w:tr>
      <w:tr>
        <w:trPr>
          <w:jc w:val="center"/>
          <w:trHeight w:val="436"/>
        </w:trPr>
        <w:tc>
          <w:tcPr>
            <w:tcBorders>
              <w:left w:val="single" w:color="auto" w:sz="4" w:space="0"/>
              <w:right w:val="single" w:color="auto" w:sz="4" w:space="0"/>
            </w:tcBorders>
            <w:tcW w:w="681" w:type="dxa"/>
            <w:vAlign w:val="center"/>
            <w:textDirection w:val="lrTb"/>
            <w:noWrap w:val="false"/>
          </w:tcPr>
          <w:p>
            <w:pPr>
              <w:jc w:val="center"/>
              <w:pageBreakBefore w:val="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4</w:t>
            </w:r>
            <w:r/>
          </w:p>
        </w:tc>
        <w:tc>
          <w:tcPr>
            <w:tcBorders>
              <w:left w:val="single" w:color="auto" w:sz="4" w:space="0"/>
              <w:right w:val="single" w:color="auto" w:sz="4" w:space="0"/>
            </w:tcBorders>
            <w:tcW w:w="1104" w:type="dxa"/>
            <w:vAlign w:val="center"/>
            <w:textDirection w:val="lrTb"/>
            <w:noWrap w:val="false"/>
          </w:tcPr>
          <w:p>
            <w:pPr>
              <w:jc w:val="center"/>
              <w:pageBreakBefore w:val="0"/>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风投机构</w:t>
            </w:r>
            <w:r/>
          </w:p>
        </w:tc>
        <w:tc>
          <w:tcPr>
            <w:tcBorders>
              <w:top w:val="single" w:color="auto" w:sz="4" w:space="0"/>
              <w:left w:val="single" w:color="auto" w:sz="4" w:space="0"/>
              <w:bottom w:val="single" w:color="auto" w:sz="4" w:space="0"/>
              <w:right w:val="single" w:color="auto" w:sz="4" w:space="0"/>
            </w:tcBorders>
            <w:tcW w:w="6510" w:type="dxa"/>
            <w:vAlign w:val="center"/>
            <w:textDirection w:val="lrTb"/>
            <w:noWrap w:val="false"/>
          </w:tcPr>
          <w:p>
            <w:pPr>
              <w:jc w:val="left"/>
              <w:pageBreakBefore w:val="0"/>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根据供应商引进的风投机构数量进行打分，每引进一家得2分，满分</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分。（需提供相关证明材料加盖公章，提供的材料须反映相关数据，否则视为未提供，原件备查）</w:t>
            </w:r>
            <w:r/>
          </w:p>
        </w:tc>
        <w:tc>
          <w:tcPr>
            <w:tcBorders>
              <w:left w:val="single" w:color="auto" w:sz="4" w:space="0"/>
              <w:bottom w:val="single" w:color="auto" w:sz="4" w:space="0"/>
              <w:right w:val="single" w:color="auto" w:sz="4" w:space="0"/>
            </w:tcBorders>
            <w:tcW w:w="776" w:type="dxa"/>
            <w:vAlign w:val="center"/>
            <w:textDirection w:val="lrTb"/>
            <w:noWrap w:val="false"/>
          </w:tcPr>
          <w:p>
            <w:pPr>
              <w:jc w:val="center"/>
              <w:pageBreakBefore w:val="0"/>
              <w:spacing w:line="360" w:lineRule="auto"/>
              <w:tabs>
                <w:tab w:val="left" w:pos="3600" w:leader="none"/>
              </w:tabs>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6</w:t>
            </w:r>
            <w:r/>
          </w:p>
        </w:tc>
      </w:tr>
      <w:tr>
        <w:trPr>
          <w:jc w:val="center"/>
          <w:trHeight w:val="436"/>
        </w:trPr>
        <w:tc>
          <w:tcPr>
            <w:tcBorders>
              <w:left w:val="single" w:color="auto" w:sz="4" w:space="0"/>
              <w:right w:val="single" w:color="auto" w:sz="4" w:space="0"/>
            </w:tcBorders>
            <w:tcW w:w="681" w:type="dxa"/>
            <w:vAlign w:val="center"/>
            <w:textDirection w:val="lrTb"/>
            <w:noWrap w:val="false"/>
          </w:tcPr>
          <w:p>
            <w:pPr>
              <w:jc w:val="center"/>
              <w:pageBreakBefore w:val="0"/>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3.5</w:t>
            </w:r>
            <w:r/>
          </w:p>
        </w:tc>
        <w:tc>
          <w:tcPr>
            <w:tcBorders>
              <w:left w:val="single" w:color="auto" w:sz="4" w:space="0"/>
              <w:right w:val="single" w:color="auto" w:sz="4" w:space="0"/>
            </w:tcBorders>
            <w:tcW w:w="1104" w:type="dxa"/>
            <w:vAlign w:val="center"/>
            <w:textDirection w:val="lrTb"/>
            <w:noWrap w:val="false"/>
          </w:tcPr>
          <w:p>
            <w:pPr>
              <w:jc w:val="center"/>
              <w:pageBreakBefore w:val="0"/>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技术经理人配备</w:t>
            </w:r>
            <w:r/>
          </w:p>
        </w:tc>
        <w:tc>
          <w:tcPr>
            <w:tcBorders>
              <w:top w:val="single" w:color="auto" w:sz="4" w:space="0"/>
              <w:left w:val="single" w:color="auto" w:sz="4" w:space="0"/>
              <w:bottom w:val="single" w:color="auto" w:sz="4" w:space="0"/>
              <w:right w:val="single" w:color="auto" w:sz="4" w:space="0"/>
            </w:tcBorders>
            <w:tcW w:w="65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2"/>
                <w:szCs w:val="22"/>
                <w:highlight w:val="none"/>
              </w:rPr>
              <w:suppressLineNumbers w:val="0"/>
            </w:pPr>
            <w:r>
              <w:rPr>
                <w:rFonts w:hint="eastAsia" w:ascii="宋体" w:hAnsi="宋体" w:eastAsia="宋体" w:cs="宋体"/>
                <w:sz w:val="22"/>
                <w:szCs w:val="22"/>
                <w:highlight w:val="none"/>
                <w:lang w:val="en-US" w:eastAsia="zh-CN"/>
              </w:rPr>
              <w:t xml:space="preserve">供应商需提供不少于2名专职技术经理人的相关证明材料及近6个月社保缴纳证明：2名及以上技术经理人资质齐全、社保缴纳证明完整有效的得8分；仅提供1名技术经理人完整证明材料的得4分；未提供或提供的材料不完整、不符合要求的不得分。（需提供技术经理人资质证明、社保缴纳证明复印件加盖公章，原件备查）</w:t>
            </w:r>
            <w:r/>
          </w:p>
        </w:tc>
        <w:tc>
          <w:tcPr>
            <w:tcBorders>
              <w:left w:val="single" w:color="auto" w:sz="4" w:space="0"/>
              <w:bottom w:val="single" w:color="auto" w:sz="4" w:space="0"/>
              <w:right w:val="single" w:color="auto" w:sz="4" w:space="0"/>
            </w:tcBorders>
            <w:tcW w:w="776" w:type="dxa"/>
            <w:vAlign w:val="center"/>
            <w:textDirection w:val="lrTb"/>
            <w:noWrap w:val="false"/>
          </w:tcPr>
          <w:p>
            <w:pPr>
              <w:jc w:val="center"/>
              <w:pageBreakBefore w:val="0"/>
              <w:spacing w:line="360" w:lineRule="auto"/>
              <w:tabs>
                <w:tab w:val="left" w:pos="3600" w:leader="none"/>
              </w:tabs>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8</w:t>
            </w:r>
            <w:r/>
          </w:p>
        </w:tc>
      </w:tr>
      <w:tr>
        <w:trPr>
          <w:jc w:val="center"/>
        </w:trPr>
        <w:tc>
          <w:tcPr>
            <w:gridSpan w:val="3"/>
            <w:tcBorders>
              <w:top w:val="single" w:color="auto" w:sz="4" w:space="0"/>
              <w:left w:val="single" w:color="auto" w:sz="4" w:space="0"/>
              <w:bottom w:val="single" w:color="auto" w:sz="4" w:space="0"/>
              <w:right w:val="single" w:color="auto" w:sz="4" w:space="0"/>
            </w:tcBorders>
            <w:tcW w:w="8295" w:type="dxa"/>
            <w:vAlign w:val="center"/>
            <w:textDirection w:val="lrTb"/>
            <w:noWrap w:val="false"/>
          </w:tcPr>
          <w:p>
            <w:pPr>
              <w:ind w:firstLine="440"/>
              <w:jc w:val="center"/>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合计</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pageBreakBefore w:val="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100</w:t>
            </w:r>
            <w:r/>
          </w:p>
        </w:tc>
      </w:tr>
    </w:tbl>
    <w:p>
      <w:pPr>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br w:type="page" w:clear="all"/>
      </w:r>
      <w:r/>
    </w:p>
    <w:p>
      <w:pPr>
        <w:keepLines w:val="0"/>
        <w:keepNext w:val="0"/>
        <w:pageBreakBefore w:val="0"/>
        <w:spacing w:line="360" w:lineRule="auto"/>
        <w:widowControl w:val="off"/>
        <w:rPr>
          <w:rFonts w:hint="eastAsia"/>
          <w:b/>
          <w:bCs/>
          <w:highlight w:val="none"/>
        </w:rPr>
      </w:pPr>
      <w:r>
        <w:rPr>
          <w:rFonts w:hint="eastAsia" w:ascii="宋体" w:hAnsi="宋体" w:cs="宋体"/>
          <w:b/>
          <w:bCs/>
          <w:color w:val="auto"/>
          <w:sz w:val="24"/>
          <w:szCs w:val="24"/>
          <w:highlight w:val="none"/>
          <w:lang w:val="en-US" w:eastAsia="zh-CN"/>
        </w:rPr>
        <w:t xml:space="preserve">采购包2（第四届创业创新大赛会展服务）78万元</w:t>
      </w:r>
      <w:r/>
    </w:p>
    <w:tbl>
      <w:tblPr>
        <w:tblStyle w:val="752"/>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104"/>
        <w:gridCol w:w="6501"/>
        <w:gridCol w:w="785"/>
      </w:tblGrid>
      <w:tr>
        <w:trPr>
          <w:jc w:val="center"/>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评分因素</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ind w:firstLine="442"/>
              <w:jc w:val="center"/>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评审标准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分值</w:t>
            </w:r>
            <w:r/>
          </w:p>
        </w:tc>
      </w:tr>
      <w:tr>
        <w:trPr>
          <w:jc w:val="center"/>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价格</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用低价优先法计算，即满足磋商文件要求且最终报价最低的响应报价为评审基准价，其价格分为满分。其他供应商的价格分统一按照下列公式计算:响应报价得分=(评审基准价/最终响应报价)×15（小数点保留两位）。</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15分</w:t>
            </w:r>
            <w:r/>
          </w:p>
        </w:tc>
      </w:tr>
      <w:tr>
        <w:trPr>
          <w:jc w:val="center"/>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p>
        </w:tc>
        <w:tc>
          <w:tcPr>
            <w:tcBorders>
              <w:top w:val="single" w:color="auto" w:sz="4" w:space="0"/>
              <w:left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大赛活动主题、物料设计方案</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根据供应商提供的大赛</w:t>
            </w:r>
            <w:r>
              <w:rPr>
                <w:rFonts w:hint="eastAsia" w:ascii="宋体" w:hAnsi="宋体" w:eastAsia="宋体" w:cs="宋体"/>
                <w:sz w:val="22"/>
                <w:szCs w:val="22"/>
                <w:highlight w:val="none"/>
              </w:rPr>
              <w:t xml:space="preserve">展示</w:t>
            </w:r>
            <w:r>
              <w:rPr>
                <w:rFonts w:hint="eastAsia" w:ascii="宋体" w:hAnsi="宋体" w:eastAsia="宋体" w:cs="宋体"/>
                <w:sz w:val="22"/>
                <w:szCs w:val="22"/>
                <w:highlight w:val="none"/>
              </w:rPr>
              <w:t xml:space="preserve">整体视觉</w:t>
            </w:r>
            <w:r>
              <w:rPr>
                <w:rFonts w:hint="eastAsia" w:ascii="宋体" w:hAnsi="宋体" w:eastAsia="宋体" w:cs="宋体"/>
                <w:sz w:val="22"/>
                <w:szCs w:val="22"/>
                <w:highlight w:val="none"/>
              </w:rPr>
              <w:t xml:space="preserve">物料及展陈设计方案</w:t>
            </w:r>
            <w:r>
              <w:rPr>
                <w:rFonts w:hint="eastAsia" w:ascii="宋体" w:hAnsi="宋体" w:eastAsia="宋体" w:cs="宋体"/>
                <w:sz w:val="22"/>
                <w:szCs w:val="22"/>
                <w:highlight w:val="none"/>
                <w:lang w:val="en-US" w:eastAsia="zh-CN"/>
              </w:rPr>
              <w:t xml:space="preserve">以及效果图</w:t>
            </w:r>
            <w:r>
              <w:rPr>
                <w:rFonts w:hint="eastAsia" w:ascii="宋体" w:hAnsi="宋体" w:eastAsia="宋体" w:cs="宋体"/>
                <w:sz w:val="22"/>
                <w:szCs w:val="22"/>
                <w:highlight w:val="none"/>
              </w:rPr>
              <w:t xml:space="preserve">进行综合评分： </w:t>
            </w:r>
            <w:r/>
          </w:p>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设计方案</w:t>
            </w:r>
            <w:r>
              <w:rPr>
                <w:rFonts w:hint="eastAsia" w:ascii="宋体" w:hAnsi="宋体" w:eastAsia="宋体" w:cs="宋体"/>
                <w:sz w:val="22"/>
                <w:szCs w:val="22"/>
                <w:highlight w:val="none"/>
              </w:rPr>
              <w:t xml:space="preserve">详细合理，整体思路非常清晰，充分体现本次活动主题、思路新颖，可操作性强的得12分；</w:t>
            </w:r>
            <w:r/>
          </w:p>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设计方案</w:t>
            </w:r>
            <w:r>
              <w:rPr>
                <w:rFonts w:hint="eastAsia" w:ascii="宋体" w:hAnsi="宋体" w:eastAsia="宋体" w:cs="宋体"/>
                <w:sz w:val="22"/>
                <w:szCs w:val="22"/>
                <w:highlight w:val="none"/>
              </w:rPr>
              <w:t xml:space="preserve">思路清晰，基本体现活动主题，有一定可操作性得</w:t>
            </w: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rPr>
              <w:t xml:space="preserve">分；</w:t>
            </w:r>
            <w:r/>
          </w:p>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设计方案</w:t>
            </w:r>
            <w:r>
              <w:rPr>
                <w:rFonts w:hint="eastAsia" w:ascii="宋体" w:hAnsi="宋体" w:eastAsia="宋体" w:cs="宋体"/>
                <w:sz w:val="22"/>
                <w:szCs w:val="22"/>
                <w:highlight w:val="none"/>
              </w:rPr>
              <w:t xml:space="preserve">思路基本清晰，可操作性一般的得</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分；</w:t>
            </w:r>
            <w:r/>
          </w:p>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设计方案</w:t>
            </w:r>
            <w:r>
              <w:rPr>
                <w:rFonts w:hint="eastAsia" w:ascii="宋体" w:hAnsi="宋体" w:eastAsia="宋体" w:cs="宋体"/>
                <w:sz w:val="22"/>
                <w:szCs w:val="22"/>
                <w:highlight w:val="none"/>
              </w:rPr>
              <w:t xml:space="preserve">思路较差、不具备可操作性得</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分；未提供的不得分。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12分</w:t>
            </w:r>
            <w:r/>
          </w:p>
        </w:tc>
      </w:tr>
      <w:tr>
        <w:trPr>
          <w:jc w:val="center"/>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w:t>
            </w:r>
            <w:r/>
          </w:p>
        </w:tc>
        <w:tc>
          <w:tcPr>
            <w:tcBorders>
              <w:top w:val="single" w:color="auto" w:sz="4" w:space="0"/>
              <w:left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颁奖舞台及比赛场地设计</w:t>
            </w:r>
            <w:r>
              <w:rPr>
                <w:rFonts w:hint="eastAsia" w:ascii="宋体" w:hAnsi="宋体" w:eastAsia="宋体" w:cs="宋体"/>
                <w:sz w:val="22"/>
                <w:szCs w:val="22"/>
                <w:highlight w:val="none"/>
              </w:rPr>
              <w:t xml:space="preserve">方案</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根据供应商提供的</w:t>
            </w:r>
            <w:r>
              <w:rPr>
                <w:rFonts w:hint="eastAsia" w:ascii="宋体" w:hAnsi="宋体" w:eastAsia="宋体" w:cs="宋体"/>
                <w:sz w:val="22"/>
                <w:szCs w:val="22"/>
                <w:highlight w:val="none"/>
              </w:rPr>
              <w:t xml:space="preserve">颁奖舞台</w:t>
            </w:r>
            <w:r>
              <w:rPr>
                <w:rFonts w:hint="eastAsia" w:ascii="宋体" w:hAnsi="宋体" w:eastAsia="宋体" w:cs="宋体"/>
                <w:sz w:val="22"/>
                <w:szCs w:val="22"/>
                <w:highlight w:val="none"/>
              </w:rPr>
              <w:t xml:space="preserve">和比赛场地</w:t>
            </w:r>
            <w:r>
              <w:rPr>
                <w:rFonts w:hint="eastAsia" w:ascii="宋体" w:hAnsi="宋体" w:eastAsia="宋体" w:cs="宋体"/>
                <w:sz w:val="22"/>
                <w:szCs w:val="22"/>
                <w:highlight w:val="none"/>
              </w:rPr>
              <w:t xml:space="preserve">设计</w:t>
            </w:r>
            <w:r>
              <w:rPr>
                <w:rFonts w:hint="eastAsia" w:ascii="宋体" w:hAnsi="宋体" w:eastAsia="宋体" w:cs="宋体"/>
                <w:sz w:val="22"/>
                <w:szCs w:val="22"/>
                <w:highlight w:val="none"/>
              </w:rPr>
              <w:t xml:space="preserve">方案</w:t>
            </w:r>
            <w:r>
              <w:rPr>
                <w:rFonts w:hint="eastAsia" w:ascii="宋体" w:hAnsi="宋体" w:eastAsia="宋体" w:cs="宋体"/>
                <w:sz w:val="22"/>
                <w:szCs w:val="22"/>
                <w:highlight w:val="none"/>
                <w:lang w:val="en-US" w:eastAsia="zh-CN"/>
              </w:rPr>
              <w:t xml:space="preserve">以及效果图等</w:t>
            </w:r>
            <w:r>
              <w:rPr>
                <w:rFonts w:hint="eastAsia" w:ascii="宋体" w:hAnsi="宋体" w:eastAsia="宋体" w:cs="宋体"/>
                <w:sz w:val="22"/>
                <w:szCs w:val="22"/>
                <w:highlight w:val="none"/>
              </w:rPr>
              <w:t xml:space="preserve">进行综合评分： </w:t>
            </w:r>
            <w:r/>
          </w:p>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设计方案</w:t>
            </w:r>
            <w:r>
              <w:rPr>
                <w:rFonts w:hint="eastAsia" w:ascii="宋体" w:hAnsi="宋体" w:eastAsia="宋体" w:cs="宋体"/>
                <w:sz w:val="22"/>
                <w:szCs w:val="22"/>
                <w:highlight w:val="none"/>
              </w:rPr>
              <w:t xml:space="preserve">非常独特、思路新颖，可操作性很强的得</w:t>
            </w:r>
            <w:r>
              <w:rPr>
                <w:rFonts w:hint="eastAsia" w:ascii="宋体" w:hAnsi="宋体" w:eastAsia="宋体" w:cs="宋体"/>
                <w:sz w:val="22"/>
                <w:szCs w:val="22"/>
                <w:highlight w:val="none"/>
                <w:lang w:val="en-US" w:eastAsia="zh-CN"/>
              </w:rPr>
              <w:t xml:space="preserve">12</w:t>
            </w:r>
            <w:r>
              <w:rPr>
                <w:rFonts w:hint="eastAsia" w:ascii="宋体" w:hAnsi="宋体" w:eastAsia="宋体" w:cs="宋体"/>
                <w:sz w:val="22"/>
                <w:szCs w:val="22"/>
                <w:highlight w:val="none"/>
              </w:rPr>
              <w:t xml:space="preserve">分；</w:t>
            </w:r>
            <w:r/>
          </w:p>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设计方案</w:t>
            </w:r>
            <w:r>
              <w:rPr>
                <w:rFonts w:hint="eastAsia" w:ascii="宋体" w:hAnsi="宋体" w:eastAsia="宋体" w:cs="宋体"/>
                <w:sz w:val="22"/>
                <w:szCs w:val="22"/>
                <w:highlight w:val="none"/>
              </w:rPr>
              <w:t xml:space="preserve">思路较为突出、思路清晰，可操作性尚可的得</w:t>
            </w: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rPr>
              <w:t xml:space="preserve">分；</w:t>
            </w:r>
            <w:r/>
          </w:p>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设计方案</w:t>
            </w:r>
            <w:r>
              <w:rPr>
                <w:rFonts w:hint="eastAsia" w:ascii="宋体" w:hAnsi="宋体" w:eastAsia="宋体" w:cs="宋体"/>
                <w:sz w:val="22"/>
                <w:szCs w:val="22"/>
                <w:highlight w:val="none"/>
              </w:rPr>
              <w:t xml:space="preserve">思路基本清晰、有可操作性的得</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分；</w:t>
            </w:r>
            <w:r/>
          </w:p>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设计方案</w:t>
            </w:r>
            <w:r>
              <w:rPr>
                <w:rFonts w:hint="eastAsia" w:ascii="宋体" w:hAnsi="宋体" w:eastAsia="宋体" w:cs="宋体"/>
                <w:sz w:val="22"/>
                <w:szCs w:val="22"/>
                <w:highlight w:val="none"/>
              </w:rPr>
              <w:t xml:space="preserve">思路基本清晰、可操作性较弱的得</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w:t>
            </w:r>
            <w:r/>
          </w:p>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12分</w:t>
            </w:r>
            <w:r/>
          </w:p>
        </w:tc>
      </w:tr>
      <w:tr>
        <w:trPr>
          <w:jc w:val="center"/>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jc w:val="center"/>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4</w:t>
            </w:r>
            <w:r/>
          </w:p>
        </w:tc>
        <w:tc>
          <w:tcPr>
            <w:tcBorders>
              <w:left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视频脚本策划</w:t>
            </w:r>
            <w:r>
              <w:rPr>
                <w:rFonts w:hint="eastAsia" w:ascii="宋体" w:hAnsi="宋体" w:eastAsia="宋体" w:cs="宋体"/>
                <w:sz w:val="22"/>
                <w:szCs w:val="22"/>
                <w:highlight w:val="none"/>
              </w:rPr>
              <w:t xml:space="preserve">方案</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根据供应商提供的关于大赛展示的</w:t>
            </w:r>
            <w:r>
              <w:rPr>
                <w:rFonts w:hint="eastAsia" w:ascii="宋体" w:hAnsi="宋体" w:eastAsia="宋体" w:cs="宋体"/>
                <w:sz w:val="22"/>
                <w:szCs w:val="22"/>
                <w:highlight w:val="none"/>
              </w:rPr>
              <w:t xml:space="preserve">视频脚本策划</w:t>
            </w:r>
            <w:r>
              <w:rPr>
                <w:rFonts w:hint="eastAsia" w:ascii="宋体" w:hAnsi="宋体" w:eastAsia="宋体" w:cs="宋体"/>
                <w:sz w:val="22"/>
                <w:szCs w:val="22"/>
                <w:highlight w:val="none"/>
              </w:rPr>
              <w:t xml:space="preserve">方案进行综合评分</w:t>
            </w:r>
            <w:r>
              <w:rPr>
                <w:rFonts w:hint="eastAsia" w:ascii="宋体" w:hAnsi="宋体" w:eastAsia="宋体" w:cs="宋体"/>
                <w:sz w:val="22"/>
                <w:szCs w:val="22"/>
                <w:highlight w:val="none"/>
              </w:rPr>
              <w:t xml:space="preserve">视</w:t>
            </w:r>
            <w:r/>
          </w:p>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方案创作</w:t>
            </w:r>
            <w:r>
              <w:rPr>
                <w:rFonts w:hint="eastAsia" w:ascii="宋体" w:hAnsi="宋体" w:eastAsia="宋体" w:cs="宋体"/>
                <w:sz w:val="22"/>
                <w:szCs w:val="22"/>
                <w:highlight w:val="none"/>
              </w:rPr>
              <w:t xml:space="preserve">思路新颖，主题特出、可操作性强的得12分；</w:t>
            </w:r>
            <w:r/>
          </w:p>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方案创作</w:t>
            </w:r>
            <w:r>
              <w:rPr>
                <w:rFonts w:hint="eastAsia" w:ascii="宋体" w:hAnsi="宋体" w:eastAsia="宋体" w:cs="宋体"/>
                <w:sz w:val="22"/>
                <w:szCs w:val="22"/>
                <w:highlight w:val="none"/>
              </w:rPr>
              <w:t xml:space="preserve">思路清晰，贴合主题、可操作性尚可的得9分；</w:t>
            </w:r>
            <w:r/>
          </w:p>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方案创作</w:t>
            </w:r>
            <w:r>
              <w:rPr>
                <w:rFonts w:hint="eastAsia" w:ascii="宋体" w:hAnsi="宋体" w:eastAsia="宋体" w:cs="宋体"/>
                <w:sz w:val="22"/>
                <w:szCs w:val="22"/>
                <w:highlight w:val="none"/>
              </w:rPr>
              <w:t xml:space="preserve">思路基本清晰、有可操作性的得6分；</w:t>
            </w:r>
            <w:r/>
          </w:p>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方案创作</w:t>
            </w:r>
            <w:r>
              <w:rPr>
                <w:rFonts w:hint="eastAsia" w:ascii="宋体" w:hAnsi="宋体" w:eastAsia="宋体" w:cs="宋体"/>
                <w:sz w:val="22"/>
                <w:szCs w:val="22"/>
                <w:highlight w:val="none"/>
              </w:rPr>
              <w:t xml:space="preserve">思路基本清晰、可操作性较弱的得3分；</w:t>
            </w:r>
            <w:r/>
          </w:p>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未提供的不得分。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12分</w:t>
            </w:r>
            <w:r/>
          </w:p>
        </w:tc>
      </w:tr>
      <w:tr>
        <w:trPr>
          <w:jc w:val="center"/>
          <w:trHeight w:val="381"/>
        </w:trPr>
        <w:tc>
          <w:tcPr>
            <w:tcBorders>
              <w:top w:val="single" w:color="auto" w:sz="4" w:space="0"/>
              <w:left w:val="single" w:color="auto" w:sz="4" w:space="0"/>
              <w:right w:val="single" w:color="auto" w:sz="4" w:space="0"/>
            </w:tcBorders>
            <w:tcW w:w="681" w:type="dxa"/>
            <w:vAlign w:val="center"/>
            <w:textDirection w:val="lrTb"/>
            <w:noWrap w:val="false"/>
          </w:tcPr>
          <w:p>
            <w:pPr>
              <w:jc w:val="center"/>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5</w:t>
            </w:r>
            <w:r/>
          </w:p>
        </w:tc>
        <w:tc>
          <w:tcPr>
            <w:tcBorders>
              <w:left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保障、</w:t>
            </w:r>
            <w:r>
              <w:rPr>
                <w:rFonts w:hint="eastAsia" w:ascii="宋体" w:hAnsi="宋体" w:eastAsia="宋体" w:cs="宋体"/>
                <w:sz w:val="22"/>
                <w:szCs w:val="22"/>
                <w:highlight w:val="none"/>
              </w:rPr>
              <w:t xml:space="preserve">服务承诺方案</w:t>
            </w:r>
            <w:r>
              <w:rPr>
                <w:rFonts w:hint="eastAsia" w:ascii="宋体" w:hAnsi="宋体" w:eastAsia="宋体" w:cs="宋体"/>
                <w:sz w:val="22"/>
                <w:szCs w:val="22"/>
                <w:highlight w:val="none"/>
              </w:rPr>
              <w:t xml:space="preserve">及</w:t>
            </w:r>
            <w:r>
              <w:rPr>
                <w:rFonts w:hint="eastAsia" w:ascii="宋体" w:hAnsi="宋体" w:eastAsia="宋体" w:cs="宋体"/>
                <w:sz w:val="22"/>
                <w:szCs w:val="22"/>
                <w:highlight w:val="none"/>
              </w:rPr>
              <w:t xml:space="preserve">应急预案</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根据供应商提供的后勤保障方案、承诺达到有效参赛效果及应急预案防控进行综合评分：</w:t>
            </w:r>
            <w:r/>
          </w:p>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保障服务项目响应时间及时、合理，实施性强，承诺和</w:t>
            </w:r>
            <w:r>
              <w:rPr>
                <w:rFonts w:hint="eastAsia" w:ascii="宋体" w:hAnsi="宋体" w:eastAsia="宋体" w:cs="宋体"/>
                <w:sz w:val="22"/>
                <w:szCs w:val="22"/>
                <w:highlight w:val="none"/>
              </w:rPr>
              <w:t xml:space="preserve">应急预案</w:t>
            </w:r>
            <w:r>
              <w:rPr>
                <w:rFonts w:hint="eastAsia" w:ascii="宋体" w:hAnsi="宋体" w:eastAsia="宋体" w:cs="宋体"/>
                <w:sz w:val="22"/>
                <w:szCs w:val="22"/>
                <w:highlight w:val="none"/>
              </w:rPr>
              <w:t xml:space="preserve">内容全面的得</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分；</w:t>
            </w:r>
            <w:r/>
          </w:p>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保障服务项目响应时间及时，实施性尚可，承诺和</w:t>
            </w:r>
            <w:r>
              <w:rPr>
                <w:rFonts w:hint="eastAsia" w:ascii="宋体" w:hAnsi="宋体" w:eastAsia="宋体" w:cs="宋体"/>
                <w:sz w:val="22"/>
                <w:szCs w:val="22"/>
                <w:highlight w:val="none"/>
              </w:rPr>
              <w:t xml:space="preserve">应急预案</w:t>
            </w:r>
            <w:r>
              <w:rPr>
                <w:rFonts w:hint="eastAsia" w:ascii="宋体" w:hAnsi="宋体" w:eastAsia="宋体" w:cs="宋体"/>
                <w:sz w:val="22"/>
                <w:szCs w:val="22"/>
                <w:highlight w:val="none"/>
              </w:rPr>
              <w:t xml:space="preserve">内容较为合理得</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w:t>
            </w:r>
            <w:r/>
          </w:p>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保障服务项目响应时间及时，可实施性，承诺和</w:t>
            </w:r>
            <w:r>
              <w:rPr>
                <w:rFonts w:hint="eastAsia" w:ascii="宋体" w:hAnsi="宋体" w:eastAsia="宋体" w:cs="宋体"/>
                <w:sz w:val="22"/>
                <w:szCs w:val="22"/>
                <w:highlight w:val="none"/>
              </w:rPr>
              <w:t xml:space="preserve">应急预案</w:t>
            </w:r>
            <w:r>
              <w:rPr>
                <w:rFonts w:hint="eastAsia" w:ascii="宋体" w:hAnsi="宋体" w:eastAsia="宋体" w:cs="宋体"/>
                <w:sz w:val="22"/>
                <w:szCs w:val="22"/>
                <w:highlight w:val="none"/>
              </w:rPr>
              <w:t xml:space="preserve">内容一般得</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分；未提供的不得分。 </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分</w:t>
            </w:r>
            <w:r/>
          </w:p>
        </w:tc>
      </w:tr>
      <w:tr>
        <w:trPr>
          <w:jc w:val="center"/>
        </w:trPr>
        <w:tc>
          <w:tcPr>
            <w:tcBorders>
              <w:left w:val="single" w:color="auto" w:sz="4" w:space="0"/>
              <w:right w:val="single" w:color="auto" w:sz="4" w:space="0"/>
            </w:tcBorders>
            <w:tcW w:w="681" w:type="dxa"/>
            <w:vAlign w:val="center"/>
            <w:textDirection w:val="lrTb"/>
            <w:noWrap w:val="false"/>
          </w:tcPr>
          <w:p>
            <w:pPr>
              <w:jc w:val="center"/>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7</w:t>
            </w:r>
            <w:r/>
          </w:p>
        </w:tc>
        <w:tc>
          <w:tcPr>
            <w:tcBorders>
              <w:left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服务团队人员配备方案</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根据供应商服务团队人员配备方案的进行综合评分:</w:t>
            </w:r>
            <w:r/>
          </w:p>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供应商组建服务团队人员配备岗位设置合理，专业配备齐全的得</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分;</w:t>
            </w:r>
            <w:r/>
          </w:p>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供应商组建服务团队人员配备岗位设置较为合理，专业配备较为齐全的得</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w:t>
            </w:r>
            <w:r/>
          </w:p>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供应商组建服务团队人员配备岗位设置不够合理，专业配备欠缺的得1分;未提供的不得分。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分</w:t>
            </w:r>
            <w:r/>
          </w:p>
        </w:tc>
      </w:tr>
      <w:tr>
        <w:trPr>
          <w:jc w:val="center"/>
          <w:trHeight w:val="2163"/>
        </w:trPr>
        <w:tc>
          <w:tcPr>
            <w:tcBorders>
              <w:left w:val="single" w:color="auto" w:sz="4" w:space="0"/>
              <w:right w:val="single" w:color="auto" w:sz="4" w:space="0"/>
            </w:tcBorders>
            <w:tcW w:w="681" w:type="dxa"/>
            <w:vAlign w:val="center"/>
            <w:vMerge w:val="restart"/>
            <w:textDirection w:val="lrTb"/>
            <w:noWrap w:val="false"/>
          </w:tcPr>
          <w:p>
            <w:pPr>
              <w:jc w:val="center"/>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8</w:t>
            </w:r>
            <w:r/>
          </w:p>
        </w:tc>
        <w:tc>
          <w:tcPr>
            <w:tcBorders>
              <w:left w:val="single" w:color="auto" w:sz="4" w:space="0"/>
              <w:right w:val="single" w:color="auto" w:sz="4" w:space="0"/>
            </w:tcBorders>
            <w:tcW w:w="1104" w:type="dxa"/>
            <w:vAlign w:val="center"/>
            <w:vMerge w:val="restart"/>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团队人员专业性</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keepLines w:val="0"/>
              <w:keepNext w:val="0"/>
              <w:pageBreakBefore w:val="0"/>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根据供应商服务团队设计、策划人员组成专业性的进行综合评分:</w:t>
            </w:r>
            <w:r/>
          </w:p>
          <w:p>
            <w:pPr>
              <w:jc w:val="left"/>
              <w:keepLines w:val="0"/>
              <w:keepNext w:val="0"/>
              <w:pageBreakBefore w:val="0"/>
              <w:spacing w:line="360" w:lineRule="auto"/>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1、拟派项目负责人具有设计专业资质证书的，得2分。</w:t>
            </w:r>
            <w:r/>
          </w:p>
          <w:p>
            <w:pPr>
              <w:jc w:val="left"/>
              <w:keepLines w:val="0"/>
              <w:keepNext w:val="0"/>
              <w:pageBreakBefore w:val="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拟派本项目组成员中</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除项目负责人外</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rPr>
                <w:rFonts w:hint="eastAsia" w:ascii="宋体" w:hAnsi="宋体" w:eastAsia="宋体" w:cs="宋体"/>
                <w:szCs w:val="20"/>
                <w:highlight w:val="none"/>
              </w:rPr>
              <w:t xml:space="preserve">每提供一名“艺术设计类相关专业（如艺术、设计、美术、平面设计、视觉传达设计、数字媒体艺术等）毕业</w:t>
            </w:r>
            <w:r>
              <w:rPr>
                <w:rFonts w:hint="eastAsia" w:ascii="宋体" w:hAnsi="宋体" w:eastAsia="宋体" w:cs="宋体"/>
                <w:szCs w:val="20"/>
                <w:highlight w:val="none"/>
                <w:lang w:val="en-US" w:eastAsia="zh-CN"/>
              </w:rPr>
              <w:t xml:space="preserve">或有对应从业经历的</w:t>
            </w:r>
            <w:r>
              <w:rPr>
                <w:rFonts w:hint="eastAsia" w:ascii="宋体" w:hAnsi="宋体" w:eastAsia="宋体" w:cs="宋体"/>
                <w:szCs w:val="20"/>
                <w:highlight w:val="none"/>
              </w:rPr>
              <w:t xml:space="preserve">人员得</w:t>
            </w:r>
            <w:r>
              <w:rPr>
                <w:rFonts w:hint="eastAsia" w:ascii="宋体" w:hAnsi="宋体" w:eastAsia="宋体" w:cs="宋体"/>
                <w:szCs w:val="20"/>
                <w:highlight w:val="none"/>
                <w:lang w:val="en-US" w:eastAsia="zh-CN"/>
              </w:rPr>
              <w:t xml:space="preserve">2</w:t>
            </w:r>
            <w:r>
              <w:rPr>
                <w:rFonts w:hint="eastAsia" w:ascii="宋体" w:hAnsi="宋体" w:eastAsia="宋体" w:cs="宋体"/>
                <w:szCs w:val="20"/>
                <w:highlight w:val="none"/>
              </w:rPr>
              <w:t xml:space="preserve">分，最多得</w:t>
            </w:r>
            <w:r>
              <w:rPr>
                <w:rFonts w:hint="eastAsia" w:ascii="宋体" w:hAnsi="宋体" w:eastAsia="宋体" w:cs="宋体"/>
                <w:szCs w:val="20"/>
                <w:highlight w:val="none"/>
                <w:lang w:val="en-US" w:eastAsia="zh-CN"/>
              </w:rPr>
              <w:t xml:space="preserve">8</w:t>
            </w:r>
            <w:r>
              <w:rPr>
                <w:rFonts w:hint="eastAsia" w:ascii="宋体" w:hAnsi="宋体" w:eastAsia="宋体" w:cs="宋体"/>
                <w:szCs w:val="20"/>
                <w:highlight w:val="none"/>
              </w:rPr>
              <w:t xml:space="preserve">分</w:t>
            </w:r>
            <w:r>
              <w:rPr>
                <w:rFonts w:hint="eastAsia" w:ascii="宋体" w:hAnsi="宋体" w:eastAsia="宋体" w:cs="宋体"/>
                <w:color w:val="auto"/>
                <w:sz w:val="22"/>
                <w:szCs w:val="22"/>
                <w:highlight w:val="none"/>
                <w:lang w:eastAsia="zh-CN"/>
              </w:rPr>
              <w:t xml:space="preserve">。</w:t>
            </w:r>
            <w:r/>
          </w:p>
          <w:p>
            <w:pPr>
              <w:jc w:val="left"/>
              <w:keepLines w:val="0"/>
              <w:keepNext w:val="0"/>
              <w:pageBreakBefore w:val="0"/>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注：需提供详细的人员名单、学历证书复印件以及供应商为其缴纳的近六个月以来的社保证明材料，不提供不得分。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lang w:val="en-US" w:eastAsia="zh-CN"/>
              </w:rPr>
              <w:t xml:space="preserve">0</w:t>
            </w:r>
            <w:r>
              <w:rPr>
                <w:rFonts w:hint="eastAsia" w:ascii="宋体" w:hAnsi="宋体" w:eastAsia="宋体" w:cs="宋体"/>
                <w:sz w:val="22"/>
                <w:szCs w:val="22"/>
                <w:highlight w:val="none"/>
              </w:rPr>
              <w:t xml:space="preserve">分</w:t>
            </w:r>
            <w:r/>
          </w:p>
        </w:tc>
      </w:tr>
      <w:tr>
        <w:trPr>
          <w:jc w:val="center"/>
          <w:trHeight w:val="1018"/>
        </w:trPr>
        <w:tc>
          <w:tcPr>
            <w:tcBorders>
              <w:left w:val="single" w:color="auto" w:sz="4" w:space="0"/>
              <w:right w:val="single" w:color="auto" w:sz="4" w:space="0"/>
            </w:tcBorders>
            <w:tcW w:w="681" w:type="dxa"/>
            <w:vAlign w:val="center"/>
            <w:vMerge w:val="continue"/>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left w:val="single" w:color="auto" w:sz="4" w:space="0"/>
              <w:right w:val="single" w:color="auto" w:sz="4" w:space="0"/>
            </w:tcBorders>
            <w:tcW w:w="1104" w:type="dxa"/>
            <w:vAlign w:val="center"/>
            <w:vMerge w:val="continue"/>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根据供应商提供的长期签约或本单位具备的主持人及导演，每提供一人得1分，得3分。（需提供合作合同及相关主持人、导演证明材料加盖公章）。</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3分</w:t>
            </w:r>
            <w:r/>
          </w:p>
        </w:tc>
      </w:tr>
      <w:tr>
        <w:trPr>
          <w:jc w:val="center"/>
          <w:trHeight w:val="746"/>
        </w:trPr>
        <w:tc>
          <w:tcPr>
            <w:tcBorders>
              <w:left w:val="single" w:color="auto" w:sz="4" w:space="0"/>
              <w:right w:val="single" w:color="auto" w:sz="4" w:space="0"/>
            </w:tcBorders>
            <w:tcW w:w="681" w:type="dxa"/>
            <w:vAlign w:val="center"/>
            <w:textDirection w:val="lrTb"/>
            <w:noWrap w:val="false"/>
          </w:tcPr>
          <w:p>
            <w:pPr>
              <w:jc w:val="center"/>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9</w:t>
            </w:r>
            <w:r/>
          </w:p>
        </w:tc>
        <w:tc>
          <w:tcPr>
            <w:tcBorders>
              <w:left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印刷保证</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供应商具有</w:t>
            </w:r>
            <w:r>
              <w:rPr>
                <w:rFonts w:hint="eastAsia" w:ascii="宋体" w:hAnsi="宋体" w:eastAsia="宋体" w:cs="宋体"/>
                <w:sz w:val="22"/>
                <w:szCs w:val="22"/>
                <w:highlight w:val="none"/>
                <w:lang w:val="en-US" w:eastAsia="zh-CN"/>
              </w:rPr>
              <w:t xml:space="preserve">有效期内的</w:t>
            </w:r>
            <w:r>
              <w:rPr>
                <w:rFonts w:hint="eastAsia" w:ascii="宋体" w:hAnsi="宋体" w:eastAsia="宋体" w:cs="宋体"/>
                <w:sz w:val="22"/>
                <w:szCs w:val="22"/>
                <w:highlight w:val="none"/>
                <w:lang w:val="zh-CN"/>
              </w:rPr>
              <w:t xml:space="preserve">《印刷经营许可证》</w:t>
            </w:r>
            <w:r>
              <w:rPr>
                <w:rFonts w:hint="eastAsia" w:ascii="宋体" w:hAnsi="宋体" w:eastAsia="宋体" w:cs="宋体"/>
                <w:sz w:val="22"/>
                <w:szCs w:val="22"/>
                <w:highlight w:val="none"/>
              </w:rPr>
              <w:t xml:space="preserve">得3分。响应文件相关证明材料的复印件并加盖公章，否则不得分，原件备查。</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3分</w:t>
            </w:r>
            <w:r/>
          </w:p>
        </w:tc>
      </w:tr>
      <w:tr>
        <w:trPr>
          <w:jc w:val="center"/>
          <w:trHeight w:val="746"/>
        </w:trPr>
        <w:tc>
          <w:tcPr>
            <w:tcBorders>
              <w:left w:val="single" w:color="auto" w:sz="4" w:space="0"/>
              <w:right w:val="single" w:color="auto" w:sz="4" w:space="0"/>
            </w:tcBorders>
            <w:tcW w:w="681" w:type="dxa"/>
            <w:vAlign w:val="center"/>
            <w:textDirection w:val="lrTb"/>
            <w:noWrap w:val="false"/>
          </w:tcPr>
          <w:p>
            <w:pPr>
              <w:jc w:val="center"/>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10</w:t>
            </w:r>
            <w:r/>
          </w:p>
        </w:tc>
        <w:tc>
          <w:tcPr>
            <w:tcBorders>
              <w:left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zh-CN"/>
              </w:rPr>
              <w:t xml:space="preserve">质量保证</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根据供应商的省质量检测中心出具的印刷质量检测报告，得3分。（响应文件内需提供有效的检测报告书复印件，原件备查）</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3分</w:t>
            </w:r>
            <w:r/>
          </w:p>
        </w:tc>
      </w:tr>
      <w:tr>
        <w:trPr>
          <w:jc w:val="center"/>
          <w:trHeight w:val="508"/>
        </w:trPr>
        <w:tc>
          <w:tcPr>
            <w:tcBorders>
              <w:left w:val="single" w:color="auto" w:sz="4" w:space="0"/>
              <w:right w:val="single" w:color="auto" w:sz="4" w:space="0"/>
            </w:tcBorders>
            <w:tcW w:w="681" w:type="dxa"/>
            <w:vAlign w:val="center"/>
            <w:textDirection w:val="lrTb"/>
            <w:noWrap w:val="false"/>
          </w:tcPr>
          <w:p>
            <w:pPr>
              <w:jc w:val="center"/>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11</w:t>
            </w:r>
            <w:r/>
          </w:p>
        </w:tc>
        <w:tc>
          <w:tcPr>
            <w:tcBorders>
              <w:left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eastAsia="宋体" w:cs="宋体"/>
                <w:sz w:val="22"/>
                <w:szCs w:val="22"/>
                <w:highlight w:val="none"/>
                <w:lang w:val="zh-CN"/>
              </w:rPr>
            </w:pPr>
            <w:r>
              <w:rPr>
                <w:rFonts w:hint="eastAsia" w:ascii="宋体" w:hAnsi="宋体" w:eastAsia="宋体" w:cs="宋体"/>
                <w:sz w:val="22"/>
                <w:szCs w:val="22"/>
                <w:highlight w:val="none"/>
              </w:rPr>
              <w:t xml:space="preserve">企业证书</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获得</w:t>
            </w:r>
            <w:r>
              <w:rPr>
                <w:rFonts w:hint="eastAsia" w:ascii="宋体" w:hAnsi="宋体" w:eastAsia="宋体" w:cs="宋体"/>
                <w:sz w:val="22"/>
                <w:szCs w:val="22"/>
                <w:highlight w:val="none"/>
                <w:lang w:val="en-US" w:eastAsia="zh-CN"/>
              </w:rPr>
              <w:t xml:space="preserve">有效期内的</w:t>
            </w:r>
            <w:r>
              <w:rPr>
                <w:rFonts w:hint="eastAsia" w:ascii="宋体" w:hAnsi="宋体" w:eastAsia="宋体" w:cs="宋体"/>
                <w:sz w:val="22"/>
                <w:szCs w:val="22"/>
                <w:highlight w:val="none"/>
              </w:rPr>
              <w:t xml:space="preserve">质量体系认证证书的得2分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w:t>
            </w:r>
            <w:r/>
          </w:p>
        </w:tc>
      </w:tr>
      <w:tr>
        <w:trPr>
          <w:jc w:val="center"/>
          <w:trHeight w:val="228"/>
        </w:trPr>
        <w:tc>
          <w:tcPr>
            <w:tcBorders>
              <w:left w:val="single" w:color="auto" w:sz="4" w:space="0"/>
              <w:right w:val="single" w:color="auto" w:sz="4" w:space="0"/>
            </w:tcBorders>
            <w:tcW w:w="681" w:type="dxa"/>
            <w:vAlign w:val="center"/>
            <w:vMerge w:val="restart"/>
            <w:textDirection w:val="lrTb"/>
            <w:noWrap w:val="false"/>
          </w:tcPr>
          <w:p>
            <w:pPr>
              <w:jc w:val="center"/>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12</w:t>
            </w:r>
            <w:r/>
          </w:p>
        </w:tc>
        <w:tc>
          <w:tcPr>
            <w:tcBorders>
              <w:left w:val="single" w:color="auto" w:sz="4" w:space="0"/>
              <w:right w:val="single" w:color="auto" w:sz="4" w:space="0"/>
            </w:tcBorders>
            <w:tcW w:w="1104" w:type="dxa"/>
            <w:vAlign w:val="center"/>
            <w:vMerge w:val="restart"/>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业绩</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供应商自2021年1月1日</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以合同签订日期为准</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以来</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承接过类似本项目综合会展</w:t>
            </w:r>
            <w:r>
              <w:rPr>
                <w:rFonts w:hint="eastAsia" w:ascii="宋体" w:hAnsi="宋体" w:eastAsia="宋体" w:cs="宋体"/>
                <w:sz w:val="22"/>
                <w:szCs w:val="22"/>
                <w:highlight w:val="none"/>
              </w:rPr>
              <w:t xml:space="preserve">服务</w:t>
            </w:r>
            <w:r>
              <w:rPr>
                <w:rFonts w:hint="eastAsia" w:ascii="宋体" w:hAnsi="宋体" w:eastAsia="宋体" w:cs="宋体"/>
                <w:sz w:val="22"/>
                <w:szCs w:val="22"/>
                <w:highlight w:val="none"/>
                <w:lang w:val="en-US" w:eastAsia="zh-CN"/>
              </w:rPr>
              <w:t xml:space="preserve">项目的</w:t>
            </w:r>
            <w:r>
              <w:rPr>
                <w:rFonts w:hint="eastAsia" w:ascii="宋体" w:hAnsi="宋体" w:eastAsia="宋体" w:cs="宋体"/>
                <w:sz w:val="22"/>
                <w:szCs w:val="22"/>
                <w:highlight w:val="none"/>
              </w:rPr>
              <w:t xml:space="preserve">，每提供一个案例得2分，本项最高得</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分。</w:t>
            </w:r>
            <w:r/>
          </w:p>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注：响应文件内需提供案例合同、中标（成交）通知书的复印件，合同内容须清晰可见，原件备查。</w:t>
            </w:r>
            <w:r/>
          </w:p>
          <w:p>
            <w:pPr>
              <w:pStyle w:val="745"/>
              <w:rPr>
                <w:rFonts w:hint="eastAsia"/>
                <w:highlight w:val="none"/>
              </w:rPr>
            </w:pPr>
            <w:r>
              <w:rPr>
                <w:rFonts w:hint="eastAsia" w:ascii="宋体" w:hAnsi="宋体" w:eastAsia="宋体" w:cs="宋体"/>
                <w:b/>
                <w:bCs/>
                <w:sz w:val="22"/>
                <w:szCs w:val="22"/>
                <w:highlight w:val="none"/>
                <w:lang w:val="en-US" w:eastAsia="zh-CN"/>
              </w:rPr>
              <w:t xml:space="preserve">两项业绩评分可兼得。</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分</w:t>
            </w:r>
            <w:r/>
          </w:p>
        </w:tc>
      </w:tr>
      <w:tr>
        <w:trPr>
          <w:jc w:val="center"/>
        </w:trPr>
        <w:tc>
          <w:tcPr>
            <w:tcBorders>
              <w:left w:val="single" w:color="auto" w:sz="4" w:space="0"/>
              <w:right w:val="single" w:color="auto" w:sz="4" w:space="0"/>
            </w:tcBorders>
            <w:tcW w:w="681" w:type="dxa"/>
            <w:vAlign w:val="center"/>
            <w:vMerge w:val="continue"/>
            <w:textDirection w:val="lrTb"/>
            <w:noWrap w:val="false"/>
          </w:tcPr>
          <w:p>
            <w:pPr>
              <w:jc w:val="center"/>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tc>
        <w:tc>
          <w:tcPr>
            <w:tcBorders>
              <w:left w:val="single" w:color="auto" w:sz="4" w:space="0"/>
              <w:right w:val="single" w:color="auto" w:sz="4" w:space="0"/>
            </w:tcBorders>
            <w:tcW w:w="1104" w:type="dxa"/>
            <w:vAlign w:val="center"/>
            <w:vMerge w:val="continue"/>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供应商自2021年1月1日</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以合同签订日期为准</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以来</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lang w:val="en-US" w:eastAsia="zh-CN"/>
              </w:rPr>
              <w:t xml:space="preserve">承接过类似本项目视频制作</w:t>
            </w:r>
            <w:r>
              <w:rPr>
                <w:rFonts w:hint="eastAsia" w:ascii="宋体" w:hAnsi="宋体" w:eastAsia="宋体" w:cs="宋体"/>
                <w:sz w:val="22"/>
                <w:szCs w:val="22"/>
                <w:highlight w:val="none"/>
              </w:rPr>
              <w:t xml:space="preserve">服务</w:t>
            </w:r>
            <w:bookmarkStart w:id="130" w:name="_GoBack"/>
            <w:r/>
            <w:bookmarkEnd w:id="130"/>
            <w:r>
              <w:rPr>
                <w:rFonts w:hint="eastAsia" w:ascii="宋体" w:hAnsi="宋体" w:eastAsia="宋体" w:cs="宋体"/>
                <w:sz w:val="22"/>
                <w:szCs w:val="22"/>
                <w:highlight w:val="none"/>
                <w:lang w:val="en-US" w:eastAsia="zh-CN"/>
              </w:rPr>
              <w:t xml:space="preserve">项目的</w:t>
            </w:r>
            <w:r>
              <w:rPr>
                <w:rFonts w:hint="eastAsia" w:ascii="宋体" w:hAnsi="宋体" w:eastAsia="宋体" w:cs="宋体"/>
                <w:sz w:val="22"/>
                <w:szCs w:val="22"/>
                <w:highlight w:val="none"/>
              </w:rPr>
              <w:t xml:space="preserve">，每提供一个案例得2分，本项最高得</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分。</w:t>
            </w:r>
            <w:r/>
          </w:p>
          <w:p>
            <w:pPr>
              <w:jc w:val="left"/>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注</w:t>
            </w:r>
            <w:r>
              <w:rPr>
                <w:rFonts w:hint="eastAsia" w:ascii="宋体" w:hAnsi="宋体" w:eastAsia="宋体" w:cs="宋体"/>
                <w:sz w:val="22"/>
                <w:szCs w:val="22"/>
                <w:highlight w:val="none"/>
                <w:lang w:val="en-US" w:eastAsia="zh-CN"/>
              </w:rPr>
              <w:t xml:space="preserve">：响应文件内需提供案例合同、中标（成交）通知书的复印件，合同内容须清晰可见，原件备查。</w:t>
            </w:r>
            <w:r/>
          </w:p>
          <w:p>
            <w:pPr>
              <w:jc w:val="left"/>
              <w:spacing w:line="360" w:lineRule="auto"/>
              <w:rPr>
                <w:rFonts w:hint="default" w:eastAsia="宋体"/>
                <w:highlight w:val="none"/>
                <w:lang w:val="en-US" w:eastAsia="zh-CN"/>
              </w:rPr>
            </w:pPr>
            <w:r>
              <w:rPr>
                <w:rFonts w:hint="eastAsia" w:ascii="宋体" w:hAnsi="宋体" w:eastAsia="宋体" w:cs="宋体"/>
                <w:b/>
                <w:bCs/>
                <w:sz w:val="22"/>
                <w:szCs w:val="22"/>
                <w:highlight w:val="none"/>
                <w:lang w:val="en-US" w:eastAsia="zh-CN"/>
              </w:rPr>
              <w:t xml:space="preserve">两项业绩评分可兼得。</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分</w:t>
            </w:r>
            <w:r/>
          </w:p>
        </w:tc>
      </w:tr>
      <w:tr>
        <w:trPr>
          <w:jc w:val="center"/>
        </w:trPr>
        <w:tc>
          <w:tcPr>
            <w:tcBorders>
              <w:left w:val="single" w:color="auto" w:sz="4" w:space="0"/>
              <w:right w:val="single" w:color="auto" w:sz="4" w:space="0"/>
            </w:tcBorders>
            <w:tcW w:w="681" w:type="dxa"/>
            <w:vAlign w:val="center"/>
            <w:textDirection w:val="lrTb"/>
            <w:noWrap w:val="false"/>
          </w:tcPr>
          <w:p>
            <w:pPr>
              <w:jc w:val="center"/>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13</w:t>
            </w:r>
            <w:r/>
          </w:p>
        </w:tc>
        <w:tc>
          <w:tcPr>
            <w:tcBorders>
              <w:left w:val="single" w:color="auto" w:sz="4" w:space="0"/>
              <w:right w:val="single" w:color="auto" w:sz="4" w:space="0"/>
            </w:tcBorders>
            <w:tcW w:w="1104" w:type="dxa"/>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Cs w:val="20"/>
                <w:highlight w:val="none"/>
              </w:rPr>
              <w:t xml:space="preserve">履约情况</w:t>
            </w:r>
            <w:r/>
          </w:p>
        </w:tc>
        <w:tc>
          <w:tcPr>
            <w:tcBorders>
              <w:top w:val="single" w:color="auto" w:sz="4" w:space="0"/>
              <w:left w:val="single" w:color="auto" w:sz="4" w:space="0"/>
              <w:bottom w:val="single" w:color="auto" w:sz="4" w:space="0"/>
              <w:right w:val="single" w:color="auto" w:sz="4" w:space="0"/>
            </w:tcBorders>
            <w:tcW w:w="6501" w:type="dxa"/>
            <w:vAlign w:val="center"/>
            <w:textDirection w:val="lrTb"/>
            <w:noWrap w:val="false"/>
          </w:tcPr>
          <w:p>
            <w:pPr>
              <w:jc w:val="left"/>
              <w:spacing w:line="360" w:lineRule="auto"/>
              <w:rPr>
                <w:rFonts w:hint="eastAsia" w:ascii="宋体" w:hAnsi="宋体" w:eastAsia="宋体" w:cs="宋体"/>
                <w:szCs w:val="20"/>
                <w:highlight w:val="none"/>
                <w:lang w:eastAsia="zh-CN"/>
              </w:rPr>
            </w:pPr>
            <w:r>
              <w:rPr>
                <w:rFonts w:hint="eastAsia" w:ascii="宋体" w:hAnsi="宋体" w:eastAsia="宋体" w:cs="宋体"/>
                <w:szCs w:val="20"/>
                <w:highlight w:val="none"/>
                <w:lang w:val="en-US" w:eastAsia="zh-CN"/>
              </w:rPr>
              <w:t xml:space="preserve">供应商需提供</w:t>
            </w:r>
            <w:r>
              <w:rPr>
                <w:rFonts w:hint="eastAsia" w:ascii="宋体" w:hAnsi="宋体" w:cs="宋体"/>
                <w:szCs w:val="20"/>
                <w:highlight w:val="none"/>
                <w:lang w:val="en-US" w:eastAsia="zh-CN"/>
              </w:rPr>
              <w:t xml:space="preserve">类似本项目</w:t>
            </w:r>
            <w:r>
              <w:rPr>
                <w:rFonts w:hint="eastAsia" w:ascii="宋体" w:hAnsi="宋体" w:eastAsia="宋体" w:cs="宋体"/>
                <w:szCs w:val="20"/>
                <w:highlight w:val="none"/>
                <w:lang w:val="en-US" w:eastAsia="zh-CN"/>
              </w:rPr>
              <w:t xml:space="preserve">业绩的服务评价证明材料，</w:t>
            </w:r>
            <w:r>
              <w:rPr>
                <w:rFonts w:hint="eastAsia" w:ascii="宋体" w:hAnsi="宋体" w:eastAsia="宋体" w:cs="宋体"/>
                <w:szCs w:val="20"/>
                <w:highlight w:val="none"/>
              </w:rPr>
              <w:t xml:space="preserve">评委</w:t>
            </w:r>
            <w:r>
              <w:rPr>
                <w:rFonts w:hint="eastAsia" w:ascii="宋体" w:hAnsi="宋体" w:eastAsia="宋体" w:cs="宋体"/>
                <w:szCs w:val="20"/>
                <w:highlight w:val="none"/>
                <w:lang w:val="en-US" w:eastAsia="zh-CN"/>
              </w:rPr>
              <w:t xml:space="preserve">对得分业绩的</w:t>
            </w:r>
            <w:r>
              <w:rPr>
                <w:rFonts w:hint="eastAsia" w:ascii="宋体" w:hAnsi="宋体" w:eastAsia="宋体" w:cs="宋体"/>
                <w:szCs w:val="20"/>
                <w:highlight w:val="none"/>
              </w:rPr>
              <w:t xml:space="preserve">展览项目的履约情况按下述规则进行打分</w:t>
            </w:r>
            <w:r>
              <w:rPr>
                <w:rFonts w:hint="eastAsia" w:ascii="宋体" w:hAnsi="宋体" w:eastAsia="宋体" w:cs="宋体"/>
                <w:szCs w:val="20"/>
                <w:highlight w:val="none"/>
                <w:lang w:eastAsia="zh-CN"/>
              </w:rPr>
              <w:t xml:space="preserve">：</w:t>
            </w:r>
            <w:r/>
          </w:p>
          <w:p>
            <w:pPr>
              <w:jc w:val="left"/>
              <w:spacing w:line="360" w:lineRule="auto"/>
              <w:tabs>
                <w:tab w:val="left" w:pos="3600" w:leader="none"/>
              </w:tabs>
              <w:rPr>
                <w:rFonts w:hint="eastAsia" w:ascii="宋体" w:hAnsi="宋体" w:eastAsia="宋体" w:cs="宋体"/>
                <w:sz w:val="22"/>
                <w:szCs w:val="22"/>
                <w:highlight w:val="none"/>
              </w:rPr>
            </w:pPr>
            <w:r>
              <w:rPr>
                <w:rFonts w:hint="eastAsia" w:ascii="宋体" w:hAnsi="宋体" w:eastAsia="宋体" w:cs="宋体"/>
                <w:szCs w:val="20"/>
                <w:highlight w:val="none"/>
              </w:rPr>
              <w:t xml:space="preserve">每提供一份业主单位满意度评价“良好”等类似评价及以上的得2分，最高得</w:t>
            </w:r>
            <w:r>
              <w:rPr>
                <w:rFonts w:hint="eastAsia" w:ascii="宋体" w:hAnsi="宋体" w:eastAsia="宋体" w:cs="宋体"/>
                <w:szCs w:val="20"/>
                <w:highlight w:val="none"/>
                <w:lang w:val="en-US" w:eastAsia="zh-CN"/>
              </w:rPr>
              <w:t xml:space="preserve">6</w:t>
            </w:r>
            <w:r>
              <w:rPr>
                <w:rFonts w:hint="eastAsia" w:ascii="宋体" w:hAnsi="宋体" w:eastAsia="宋体" w:cs="宋体"/>
                <w:szCs w:val="20"/>
                <w:highlight w:val="none"/>
              </w:rPr>
              <w:t xml:space="preserve">分。（提供有业主单位公章的复印件，原件备查。同一单位的证明文件不重复计分。</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6分</w:t>
            </w:r>
            <w:r/>
          </w:p>
        </w:tc>
      </w:tr>
      <w:tr>
        <w:trPr>
          <w:jc w:val="center"/>
        </w:trPr>
        <w:tc>
          <w:tcPr>
            <w:gridSpan w:val="3"/>
            <w:tcBorders>
              <w:top w:val="single" w:color="auto" w:sz="4" w:space="0"/>
              <w:left w:val="single" w:color="auto" w:sz="4" w:space="0"/>
              <w:bottom w:val="single" w:color="auto" w:sz="4" w:space="0"/>
              <w:right w:val="single" w:color="auto" w:sz="4" w:space="0"/>
            </w:tcBorders>
            <w:tcW w:w="8286" w:type="dxa"/>
            <w:vAlign w:val="center"/>
            <w:textDirection w:val="lrTb"/>
            <w:noWrap w:val="false"/>
          </w:tcPr>
          <w:p>
            <w:pPr>
              <w:ind w:firstLine="440"/>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合计</w:t>
            </w:r>
            <w:r/>
          </w:p>
        </w:tc>
        <w:tc>
          <w:tcPr>
            <w:tcBorders>
              <w:top w:val="single" w:color="auto" w:sz="4" w:space="0"/>
              <w:left w:val="single" w:color="auto" w:sz="4" w:space="0"/>
              <w:bottom w:val="single" w:color="auto" w:sz="4" w:space="0"/>
              <w:right w:val="single" w:color="auto" w:sz="4" w:space="0"/>
            </w:tcBorders>
            <w:tcW w:w="785" w:type="dxa"/>
            <w:vAlign w:val="center"/>
            <w:textDirection w:val="lrTb"/>
            <w:noWrap w:val="false"/>
          </w:tcPr>
          <w:p>
            <w:pPr>
              <w:jc w:val="center"/>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100</w:t>
            </w:r>
            <w:r/>
          </w:p>
        </w:tc>
      </w:tr>
    </w:tbl>
    <w:p>
      <w:pPr>
        <w:ind w:firstLine="482"/>
        <w:rPr>
          <w:rFonts w:hint="eastAsia" w:ascii="宋体" w:hAnsi="宋体" w:cs="宋体"/>
          <w:b/>
          <w:sz w:val="24"/>
          <w:highlight w:val="none"/>
        </w:rPr>
      </w:pPr>
      <w:r>
        <w:rPr>
          <w:rFonts w:hint="eastAsia" w:ascii="宋体" w:hAnsi="宋体" w:cs="宋体"/>
          <w:b/>
          <w:sz w:val="24"/>
          <w:highlight w:val="none"/>
        </w:rPr>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四、关于“强化政府采购异常低价审查的要求”</w:t>
      </w:r>
      <w:r/>
    </w:p>
    <w:p>
      <w:pPr>
        <w:ind w:firstLine="723"/>
        <w:spacing w:line="360" w:lineRule="auto"/>
        <w:rPr>
          <w:rFonts w:hint="eastAsia" w:ascii="宋体" w:hAnsi="宋体" w:cs="宋体"/>
          <w:b/>
          <w:sz w:val="24"/>
          <w:szCs w:val="11"/>
          <w:highlight w:val="none"/>
        </w:rPr>
      </w:pPr>
      <w:r>
        <w:rPr>
          <w:rFonts w:hint="eastAsia" w:ascii="宋体" w:hAnsi="宋体" w:cs="宋体"/>
          <w:b/>
          <w:sz w:val="24"/>
          <w:szCs w:val="11"/>
          <w:highlight w:val="none"/>
        </w:rPr>
        <w:t xml:space="preserve">参照财库【2026】2号文《财政部关于推动解决政府采购异常低价问题的通知》执行，具体说明如下： </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（一）采购人应当在采购文件中明确，政府采购评审中出现下列情形之一的，评审委员会应当启动异常低价投标（响应）审查程序：</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3.投标（响应）报价低于采购项目最高限价45%的，即投标（响应）报价&lt;采购项目最高限价×45%；</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4.评审委员会基于专业判断，认为供应商报价过低，有可能影响产品质量或者不能诚信履约的其他情形。</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相关法律法规对供应商报价有规定的，从其规定。</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rPr>
          <w:rFonts w:hint="eastAsia" w:ascii="宋体" w:hAnsi="宋体" w:cs="宋体"/>
          <w:szCs w:val="21"/>
          <w:highlight w:val="none"/>
        </w:rPr>
      </w:pPr>
      <w:r>
        <w:rPr>
          <w:rFonts w:hint="eastAsia" w:ascii="宋体" w:hAnsi="宋体" w:cs="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830"/>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rPr>
          <w:rFonts w:hint="eastAsia" w:ascii="宋体" w:hAnsi="宋体" w:cs="宋体"/>
          <w:b/>
          <w:bCs/>
          <w:color w:val="auto"/>
          <w:sz w:val="30"/>
          <w:szCs w:val="30"/>
          <w:highlight w:val="none"/>
        </w:rPr>
      </w:pPr>
      <w:r>
        <w:rPr>
          <w:rFonts w:hint="eastAsia" w:ascii="宋体" w:hAnsi="宋体" w:eastAsia="宋体" w:cs="宋体"/>
          <w:color w:val="auto"/>
          <w:sz w:val="36"/>
          <w:szCs w:val="36"/>
          <w:highlight w:val="none"/>
          <w:lang w:val="en-US" w:eastAsia="zh-CN" w:bidi="ar-SA"/>
        </w:rPr>
        <w:br w:type="page" w:clear="all"/>
      </w:r>
      <w:r/>
    </w:p>
    <w:p>
      <w:pPr>
        <w:rPr>
          <w:rFonts w:hint="eastAsia" w:ascii="宋体" w:hAnsi="宋体" w:eastAsia="宋体" w:cs="宋体"/>
          <w:color w:val="auto"/>
          <w:sz w:val="36"/>
          <w:szCs w:val="36"/>
          <w:highlight w:val="none"/>
          <w:lang w:val="en-US" w:eastAsia="zh-CN" w:bidi="ar-SA"/>
        </w:rPr>
      </w:pPr>
      <w:r/>
      <w:bookmarkStart w:id="105" w:name="_Toc21162"/>
      <w:r/>
      <w:r/>
    </w:p>
    <w:p>
      <w:pPr>
        <w:pStyle w:val="1032"/>
        <w:jc w:val="center"/>
        <w:spacing w:before="120" w:after="120" w:line="0" w:lineRule="atLeast"/>
        <w:rPr>
          <w:rFonts w:hint="eastAsia" w:ascii="宋体" w:hAnsi="宋体" w:eastAsia="宋体" w:cs="宋体"/>
          <w:b/>
          <w:bCs/>
          <w:color w:val="auto"/>
          <w:sz w:val="36"/>
          <w:szCs w:val="36"/>
          <w:highlight w:val="none"/>
          <w:lang w:val="en-US" w:eastAsia="zh-CN" w:bidi="ar-SA"/>
        </w:rPr>
        <w:outlineLvl w:val="0"/>
      </w:pPr>
      <w:r/>
      <w:bookmarkStart w:id="106" w:name="_Toc24012"/>
      <w:r>
        <w:rPr>
          <w:rFonts w:hint="eastAsia" w:ascii="宋体" w:hAnsi="宋体" w:eastAsia="宋体" w:cs="宋体"/>
          <w:b/>
          <w:bCs/>
          <w:color w:val="auto"/>
          <w:sz w:val="36"/>
          <w:szCs w:val="36"/>
          <w:highlight w:val="none"/>
          <w:lang w:val="en-US" w:eastAsia="zh-CN" w:bidi="ar-SA"/>
        </w:rPr>
        <w:t xml:space="preserve">第六章  </w:t>
      </w:r>
      <w:bookmarkEnd w:id="98"/>
      <w:r/>
      <w:bookmarkEnd w:id="99"/>
      <w:r/>
      <w:bookmarkEnd w:id="100"/>
      <w:r>
        <w:rPr>
          <w:rFonts w:hint="eastAsia" w:hAnsi="宋体" w:cs="宋体"/>
          <w:b/>
          <w:bCs/>
          <w:color w:val="auto"/>
          <w:sz w:val="36"/>
          <w:szCs w:val="36"/>
          <w:highlight w:val="none"/>
          <w:lang w:val="en-US" w:eastAsia="zh-CN" w:bidi="ar-SA"/>
        </w:rPr>
        <w:t xml:space="preserve">响应文件</w:t>
      </w:r>
      <w:r>
        <w:rPr>
          <w:rFonts w:hint="eastAsia" w:ascii="宋体" w:hAnsi="宋体" w:eastAsia="宋体" w:cs="宋体"/>
          <w:b/>
          <w:bCs/>
          <w:color w:val="auto"/>
          <w:sz w:val="36"/>
          <w:szCs w:val="36"/>
          <w:highlight w:val="none"/>
          <w:lang w:val="en-US" w:eastAsia="zh-CN" w:bidi="ar-SA"/>
        </w:rPr>
        <w:t xml:space="preserve">格式</w:t>
      </w:r>
      <w:bookmarkEnd w:id="105"/>
      <w:r/>
      <w:bookmarkEnd w:id="106"/>
      <w:r/>
      <w:r/>
    </w:p>
    <w:p>
      <w:pPr>
        <w:jc w:val="center"/>
        <w:rPr>
          <w:rFonts w:hint="eastAsia" w:ascii="宋体" w:hAnsi="宋体"/>
          <w:b/>
          <w:color w:val="auto"/>
          <w:sz w:val="72"/>
          <w:highlight w:val="none"/>
        </w:rPr>
      </w:pPr>
      <w:r/>
      <w:bookmarkStart w:id="107" w:name="_Hlt26955039"/>
      <w:r/>
      <w:bookmarkEnd w:id="107"/>
      <w:r/>
      <w:bookmarkStart w:id="108" w:name="_Hlt26671244"/>
      <w:r/>
      <w:bookmarkEnd w:id="108"/>
      <w:r/>
      <w:bookmarkStart w:id="109" w:name="_Toc49090576"/>
      <w:r/>
      <w:bookmarkStart w:id="110" w:name="_Toc120614282"/>
      <w:r/>
      <w:bookmarkStart w:id="111" w:name="_Toc26554094"/>
      <w:r/>
      <w:r/>
    </w:p>
    <w:p>
      <w:pPr>
        <w:jc w:val="center"/>
        <w:rPr>
          <w:rFonts w:hint="eastAsia"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（加盖电子公章）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highlight w:val="none"/>
        </w:rPr>
      </w:pPr>
      <w:r>
        <w:rPr>
          <w:rFonts w:ascii="宋体" w:hAnsi="宋体"/>
          <w:color w:val="auto"/>
          <w:highlight w:val="none"/>
        </w:rPr>
      </w:r>
      <w:r/>
    </w:p>
    <w:p>
      <w:pPr>
        <w:jc w:val="center"/>
        <w:rPr>
          <w:rFonts w:hint="eastAsia" w:ascii="方正黑体_GBK" w:hAnsi="方正黑体_GBK" w:eastAsia="方正黑体_GBK" w:cs="方正黑体_GBK"/>
          <w:color w:val="auto"/>
          <w:sz w:val="32"/>
          <w:szCs w:val="32"/>
          <w:highlight w:val="none"/>
        </w:rPr>
      </w:pPr>
      <w:r>
        <w:rPr>
          <w:rFonts w:ascii="宋体" w:hAnsi="宋体"/>
          <w:b/>
          <w:color w:val="auto"/>
          <w:sz w:val="36"/>
          <w:highlight w:val="none"/>
          <w:u w:val="single"/>
        </w:rPr>
        <w:br w:type="page" w:clear="all"/>
      </w:r>
      <w:r>
        <w:rPr>
          <w:rFonts w:hint="eastAsia" w:ascii="方正黑体_GBK" w:hAnsi="方正黑体_GBK" w:eastAsia="方正黑体_GBK" w:cs="方正黑体_GBK"/>
          <w:color w:val="auto"/>
          <w:sz w:val="32"/>
          <w:szCs w:val="32"/>
          <w:highlight w:val="none"/>
          <w:lang w:eastAsia="zh-CN"/>
        </w:rPr>
        <w:t xml:space="preserve">响应文件</w:t>
      </w:r>
      <w:r>
        <w:rPr>
          <w:rFonts w:hint="eastAsia" w:ascii="方正黑体_GBK" w:hAnsi="方正黑体_GBK" w:eastAsia="方正黑体_GBK" w:cs="方正黑体_GBK"/>
          <w:color w:val="auto"/>
          <w:sz w:val="32"/>
          <w:szCs w:val="32"/>
          <w:highlight w:val="none"/>
        </w:rPr>
        <w:t xml:space="preserve">目录</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一、投标函</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二、满足特定资格要求的证明文件（如有特定资格要求）</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三、法人授权书</w:t>
      </w:r>
      <w:r/>
    </w:p>
    <w:p>
      <w:pPr>
        <w:ind w:firstLine="560"/>
        <w:spacing w:line="60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四、</w:t>
      </w:r>
      <w:r>
        <w:rPr>
          <w:rFonts w:hint="eastAsia" w:ascii="宋体" w:hAnsi="宋体" w:cs="宋体"/>
          <w:color w:val="auto"/>
          <w:sz w:val="28"/>
          <w:szCs w:val="28"/>
          <w:highlight w:val="none"/>
          <w:lang w:eastAsia="zh-CN"/>
        </w:rPr>
        <w:t xml:space="preserve">报价表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五、商务要求响应及偏离表</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六、中小企业声明函（如有）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七、残疾人福利性单位声明函（如有）</w:t>
      </w:r>
      <w:r/>
    </w:p>
    <w:p>
      <w:pPr>
        <w:ind w:firstLine="560"/>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r>
      <w:r/>
    </w:p>
    <w:p>
      <w:pPr>
        <w:pStyle w:val="1071"/>
        <w:rPr>
          <w:color w:val="auto"/>
          <w:sz w:val="24"/>
          <w:highlight w:val="none"/>
        </w:rPr>
      </w:pPr>
      <w:r>
        <w:rPr>
          <w:color w:val="auto"/>
          <w:sz w:val="24"/>
          <w:highlight w:val="none"/>
        </w:rPr>
      </w:r>
      <w:r/>
    </w:p>
    <w:p>
      <w:pPr>
        <w:pStyle w:val="1071"/>
        <w:rPr>
          <w:color w:val="auto"/>
          <w:sz w:val="24"/>
          <w:highlight w:val="none"/>
        </w:rPr>
      </w:pPr>
      <w:r>
        <w:rPr>
          <w:color w:val="auto"/>
          <w:sz w:val="24"/>
          <w:highlight w:val="none"/>
        </w:rPr>
      </w:r>
      <w:r/>
    </w:p>
    <w:p>
      <w:pPr>
        <w:pStyle w:val="1071"/>
        <w:rPr>
          <w:color w:val="auto"/>
          <w:sz w:val="24"/>
          <w:highlight w:val="none"/>
        </w:rPr>
      </w:pPr>
      <w:r>
        <w:rPr>
          <w:color w:val="auto"/>
          <w:sz w:val="24"/>
          <w:highlight w:val="none"/>
        </w:rPr>
      </w:r>
      <w:r/>
    </w:p>
    <w:p>
      <w:pPr>
        <w:pStyle w:val="1071"/>
        <w:rPr>
          <w:color w:val="auto"/>
          <w:sz w:val="24"/>
          <w:highlight w:val="none"/>
        </w:rPr>
      </w:pPr>
      <w:r>
        <w:rPr>
          <w:color w:val="auto"/>
          <w:sz w:val="24"/>
          <w:highlight w:val="none"/>
        </w:rPr>
      </w:r>
      <w:r/>
    </w:p>
    <w:p>
      <w:pPr>
        <w:pStyle w:val="1071"/>
        <w:rPr>
          <w:color w:val="auto"/>
          <w:sz w:val="24"/>
          <w:highlight w:val="none"/>
        </w:rPr>
      </w:pPr>
      <w:r>
        <w:rPr>
          <w:color w:val="auto"/>
          <w:sz w:val="24"/>
          <w:highlight w:val="none"/>
        </w:rPr>
      </w:r>
      <w:bookmarkEnd w:id="77"/>
      <w:r/>
      <w:bookmarkEnd w:id="78"/>
      <w:r/>
      <w:bookmarkEnd w:id="109"/>
      <w:r/>
      <w:bookmarkEnd w:id="110"/>
      <w:r/>
      <w:bookmarkEnd w:id="111"/>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br w:type="page" w:clear="all"/>
      </w:r>
      <w:r>
        <w:rPr>
          <w:rFonts w:hint="eastAsia" w:ascii="黑体" w:hAnsi="黑体" w:eastAsia="黑体"/>
          <w:color w:val="auto"/>
          <w:sz w:val="32"/>
          <w:szCs w:val="32"/>
          <w:highlight w:val="none"/>
        </w:rPr>
        <w:t xml:space="preserve">一、投标函</w:t>
      </w:r>
      <w:r/>
    </w:p>
    <w:p>
      <w:pPr>
        <w:jc w:val="center"/>
        <w:spacing w:line="360" w:lineRule="auto"/>
        <w:rPr>
          <w:rFonts w:hint="eastAsia" w:ascii="方正小标宋简体" w:hAnsi="方正小标宋简体" w:eastAsia="方正小标宋简体" w:cs="方正小标宋简体"/>
          <w:color w:val="auto"/>
          <w:sz w:val="32"/>
          <w:szCs w:val="32"/>
          <w:highlight w:val="none"/>
        </w:rPr>
        <w:outlineLvl w:val="0"/>
      </w:pPr>
      <w:r/>
      <w:bookmarkStart w:id="112" w:name="_Toc25654"/>
      <w:r>
        <w:rPr>
          <w:rFonts w:hint="eastAsia" w:ascii="方正小标宋简体" w:hAnsi="方正小标宋简体" w:eastAsia="方正小标宋简体" w:cs="方正小标宋简体"/>
          <w:color w:val="auto"/>
          <w:sz w:val="32"/>
          <w:szCs w:val="32"/>
          <w:highlight w:val="none"/>
        </w:rPr>
        <w:t xml:space="preserve">投标函</w:t>
      </w:r>
      <w:bookmarkEnd w:id="112"/>
      <w:r/>
      <w:r/>
    </w:p>
    <w:p>
      <w:pPr>
        <w:pStyle w:val="1082"/>
        <w:spacing w:before="0" w:after="0" w:line="42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致：</w:t>
      </w:r>
      <w:r>
        <w:rPr>
          <w:rFonts w:hint="eastAsia" w:ascii="宋体" w:hAnsi="宋体"/>
          <w:color w:val="auto"/>
          <w:szCs w:val="21"/>
          <w:highlight w:val="none"/>
          <w:lang w:eastAsia="zh-CN"/>
        </w:rPr>
        <w:t xml:space="preserve">江苏苏咨工程咨询有限责任公司</w:t>
      </w:r>
      <w:r/>
    </w:p>
    <w:p>
      <w:pPr>
        <w:pStyle w:val="108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根据贵方编号为</w:t>
      </w:r>
      <w:r>
        <w:rPr>
          <w:rFonts w:hint="eastAsia" w:ascii="宋体" w:hAnsi="宋体"/>
          <w:color w:val="auto"/>
          <w:highlight w:val="none"/>
          <w:u w:val="single"/>
        </w:rPr>
        <w:t xml:space="preserve">                             </w:t>
      </w:r>
      <w:r>
        <w:rPr>
          <w:rFonts w:hint="eastAsia" w:ascii="宋体" w:hAnsi="宋体"/>
          <w:color w:val="auto"/>
          <w:highlight w:val="none"/>
        </w:rPr>
        <w:t xml:space="preserve">的</w:t>
      </w:r>
      <w:r>
        <w:rPr>
          <w:rFonts w:hint="eastAsia" w:ascii="宋体" w:hAnsi="宋体"/>
          <w:color w:val="auto"/>
          <w:szCs w:val="21"/>
          <w:highlight w:val="none"/>
        </w:rPr>
        <w:t xml:space="preserve">项目</w:t>
      </w:r>
      <w:r>
        <w:rPr>
          <w:rFonts w:hint="eastAsia" w:ascii="宋体" w:hAnsi="宋体"/>
          <w:color w:val="auto"/>
          <w:szCs w:val="21"/>
          <w:highlight w:val="none"/>
          <w:lang w:eastAsia="zh-CN"/>
        </w:rPr>
        <w:t xml:space="preserve">磋商文件</w:t>
      </w:r>
      <w:r>
        <w:rPr>
          <w:rFonts w:hint="eastAsia" w:ascii="宋体" w:hAnsi="宋体"/>
          <w:color w:val="auto"/>
          <w:szCs w:val="21"/>
          <w:highlight w:val="none"/>
        </w:rPr>
        <w:t xml:space="preserve">，我方正式提</w:t>
      </w:r>
      <w:r>
        <w:rPr>
          <w:rFonts w:hint="eastAsia" w:ascii="宋体" w:hAnsi="宋体" w:cs="宋体"/>
          <w:color w:val="auto"/>
          <w:highlight w:val="none"/>
        </w:rPr>
        <w:t xml:space="preserve">交投标函，</w:t>
      </w:r>
      <w:r>
        <w:rPr>
          <w:rFonts w:hint="eastAsia" w:ascii="宋体" w:hAnsi="宋体"/>
          <w:color w:val="auto"/>
          <w:szCs w:val="21"/>
          <w:highlight w:val="none"/>
        </w:rPr>
        <w:t xml:space="preserve">并宣布同意如下内容：</w:t>
      </w:r>
      <w:r/>
    </w:p>
    <w:p>
      <w:pPr>
        <w:pStyle w:val="108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w:t>
      </w:r>
      <w:r>
        <w:rPr>
          <w:rFonts w:hint="eastAsia" w:ascii="宋体" w:hAnsi="宋体"/>
          <w:color w:val="auto"/>
          <w:szCs w:val="21"/>
          <w:highlight w:val="none"/>
          <w:lang w:eastAsia="zh-CN"/>
        </w:rPr>
        <w:t xml:space="preserve">磋商文件</w:t>
      </w:r>
      <w:r>
        <w:rPr>
          <w:rFonts w:hint="eastAsia" w:ascii="宋体" w:hAnsi="宋体"/>
          <w:color w:val="auto"/>
          <w:szCs w:val="21"/>
          <w:highlight w:val="none"/>
        </w:rPr>
        <w:t xml:space="preserve">规定的各项要求，向买方提供所需服务（包含与服务相关的货物）。</w:t>
      </w:r>
      <w:r/>
    </w:p>
    <w:p>
      <w:pPr>
        <w:pStyle w:val="108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108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w:t>
      </w:r>
      <w:r>
        <w:rPr>
          <w:rFonts w:hint="eastAsia" w:ascii="宋体" w:hAnsi="宋体"/>
          <w:color w:val="auto"/>
          <w:szCs w:val="21"/>
          <w:highlight w:val="none"/>
          <w:lang w:eastAsia="zh-CN"/>
        </w:rPr>
        <w:t xml:space="preserve">磋商文件</w:t>
      </w:r>
      <w:r>
        <w:rPr>
          <w:rFonts w:hint="eastAsia" w:ascii="宋体" w:hAnsi="宋体"/>
          <w:color w:val="auto"/>
          <w:szCs w:val="21"/>
          <w:highlight w:val="none"/>
        </w:rPr>
        <w:t xml:space="preserve">及其有效补充文件，我们知道必须放弃提出含糊不清或误解问题的权利。</w:t>
      </w:r>
      <w:r/>
    </w:p>
    <w:p>
      <w:pPr>
        <w:pStyle w:val="108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4.我们同意从规定的开标日期起遵循本</w:t>
      </w:r>
      <w:r>
        <w:rPr>
          <w:rFonts w:hint="eastAsia" w:ascii="宋体" w:hAnsi="宋体"/>
          <w:color w:val="auto"/>
          <w:szCs w:val="21"/>
          <w:highlight w:val="none"/>
          <w:lang w:eastAsia="zh-CN"/>
        </w:rPr>
        <w:t xml:space="preserve">响应文件</w:t>
      </w:r>
      <w:r>
        <w:rPr>
          <w:rFonts w:hint="eastAsia" w:ascii="宋体" w:hAnsi="宋体"/>
          <w:color w:val="auto"/>
          <w:szCs w:val="21"/>
          <w:highlight w:val="none"/>
        </w:rPr>
        <w:t xml:space="preserve">，并在规定的投标有效期期满之前均具有约束力。</w:t>
      </w:r>
      <w:r/>
    </w:p>
    <w:p>
      <w:pPr>
        <w:pStyle w:val="1082"/>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.同意向贵方提供贵方可能另外要求的与投标有关的任何证据或资料，并保证我方已提供和将要提供的文件是真实的、准确的。</w:t>
      </w:r>
      <w:r/>
    </w:p>
    <w:p>
      <w:pPr>
        <w:pStyle w:val="1082"/>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.一旦我方中标，我方将根据</w:t>
      </w:r>
      <w:r>
        <w:rPr>
          <w:rFonts w:hint="eastAsia" w:ascii="宋体" w:hAnsi="宋体"/>
          <w:color w:val="auto"/>
          <w:szCs w:val="21"/>
          <w:highlight w:val="none"/>
          <w:lang w:eastAsia="zh-CN"/>
        </w:rPr>
        <w:t xml:space="preserve">磋商文件</w:t>
      </w:r>
      <w:r>
        <w:rPr>
          <w:rFonts w:hint="eastAsia" w:ascii="宋体" w:hAnsi="宋体"/>
          <w:color w:val="auto"/>
          <w:szCs w:val="21"/>
          <w:highlight w:val="none"/>
        </w:rPr>
        <w:t xml:space="preserve">的规定，严格履行合同的责任和义务,并保证在</w:t>
      </w:r>
      <w:r>
        <w:rPr>
          <w:rFonts w:hint="eastAsia" w:ascii="宋体" w:hAnsi="宋体"/>
          <w:color w:val="auto"/>
          <w:szCs w:val="21"/>
          <w:highlight w:val="none"/>
          <w:lang w:eastAsia="zh-CN"/>
        </w:rPr>
        <w:t xml:space="preserve">磋商文件</w:t>
      </w:r>
      <w:r>
        <w:rPr>
          <w:rFonts w:hint="eastAsia" w:ascii="宋体" w:hAnsi="宋体"/>
          <w:color w:val="auto"/>
          <w:szCs w:val="21"/>
          <w:highlight w:val="none"/>
        </w:rPr>
        <w:t xml:space="preserve">规定的时间完成项目，交付买方验收、使用。</w:t>
      </w:r>
      <w:r/>
    </w:p>
    <w:p>
      <w:pPr>
        <w:ind w:firstLine="480"/>
        <w:jc w:val="left"/>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cs="宋体"/>
          <w:color w:val="auto"/>
          <w:sz w:val="24"/>
          <w:szCs w:val="24"/>
          <w:highlight w:val="none"/>
        </w:rPr>
        <w:t xml:space="preserve">内</w:t>
      </w:r>
      <w:r>
        <w:rPr>
          <w:rFonts w:hint="eastAsia" w:ascii="宋体" w:hAnsi="宋体"/>
          <w:color w:val="auto"/>
          <w:sz w:val="24"/>
          <w:szCs w:val="24"/>
          <w:highlight w:val="none"/>
          <w:lang w:val="zh-CN"/>
        </w:rPr>
        <w:t xml:space="preserve">打</w:t>
      </w:r>
      <w:r>
        <w:rPr>
          <w:rFonts w:hint="eastAsia" w:ascii="宋体" w:hAnsi="宋体" w:cs="Verdana"/>
          <w:color w:val="auto"/>
          <w:sz w:val="24"/>
          <w:szCs w:val="24"/>
          <w:highlight w:val="none"/>
          <w:lang w:val="zh-CN"/>
        </w:rPr>
        <w:t xml:space="preserve">“√”</w:t>
      </w:r>
      <w:r>
        <w:rPr>
          <w:rFonts w:hint="eastAsia" w:ascii="宋体" w:hAnsi="宋体"/>
          <w:color w:val="auto"/>
          <w:sz w:val="24"/>
          <w:szCs w:val="24"/>
          <w:highlight w:val="none"/>
        </w:rPr>
        <w:t xml:space="preserve">）</w:t>
      </w:r>
      <w:r/>
    </w:p>
    <w:p>
      <w:pPr>
        <w:pStyle w:val="108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8.我方与本次投标有关信息</w:t>
      </w:r>
      <w:r/>
    </w:p>
    <w:p>
      <w:pPr>
        <w:pStyle w:val="108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108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1082"/>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电  话：</w:t>
      </w:r>
      <w:r/>
    </w:p>
    <w:p>
      <w:pPr>
        <w:pStyle w:val="1082"/>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传  真：</w:t>
      </w:r>
      <w:r/>
    </w:p>
    <w:p>
      <w:pPr>
        <w:pStyle w:val="1082"/>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开户行：</w:t>
      </w:r>
      <w:r/>
    </w:p>
    <w:p>
      <w:pPr>
        <w:pStyle w:val="1082"/>
        <w:spacing w:before="0" w:after="0" w:line="420" w:lineRule="exact"/>
        <w:rPr>
          <w:rFonts w:hint="eastAsia" w:ascii="宋体" w:hAnsi="宋体"/>
          <w:color w:val="auto"/>
          <w:szCs w:val="21"/>
          <w:highlight w:val="none"/>
          <w:u w:val="single"/>
        </w:rPr>
      </w:pPr>
      <w:r>
        <w:rPr>
          <w:rFonts w:hint="eastAsia" w:ascii="宋体" w:hAnsi="宋体"/>
          <w:color w:val="auto"/>
          <w:szCs w:val="21"/>
          <w:highlight w:val="none"/>
        </w:rPr>
        <w:t xml:space="preserve">账  号：</w:t>
      </w:r>
      <w:r/>
    </w:p>
    <w:p>
      <w:pPr>
        <w:ind w:right="180"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pStyle w:val="108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pStyle w:val="1108"/>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pStyle w:val="1070"/>
        <w:rPr>
          <w:rFonts w:hint="eastAsia" w:ascii="宋体" w:hAnsi="宋体"/>
          <w:b/>
          <w:bCs/>
          <w:color w:val="auto"/>
          <w:highlight w:val="none"/>
          <w:lang w:eastAsia="zh-CN"/>
        </w:rPr>
        <w:sectPr>
          <w:footerReference w:type="default" r:id="rId12"/>
          <w:footerReference w:type="first" r:id="rId13"/>
          <w:footnotePr/>
          <w:endnotePr/>
          <w:type w:val="nextPage"/>
          <w:pgSz w:w="11906" w:h="16838" w:orient="portrait"/>
          <w:pgMar w:top="1417" w:right="1814" w:bottom="1417" w:left="1814" w:header="851" w:footer="907" w:gutter="0"/>
          <w:pgNumType w:start="1"/>
          <w:cols w:num="1" w:sep="0" w:space="1701" w:equalWidth="1"/>
          <w:docGrid w:linePitch="360"/>
          <w:titlePg/>
        </w:sectPr>
      </w:pPr>
      <w:r>
        <w:rPr>
          <w:rFonts w:hint="eastAsia" w:ascii="宋体" w:hAnsi="宋体"/>
          <w:b/>
          <w:bCs/>
          <w:color w:val="auto"/>
          <w:highlight w:val="none"/>
          <w:lang w:eastAsia="zh-CN"/>
        </w:rPr>
      </w:r>
      <w:r/>
    </w:p>
    <w:p>
      <w:pPr>
        <w:rPr>
          <w:rFonts w:hint="eastAsia" w:ascii="黑体" w:hAnsi="黑体" w:eastAsia="黑体"/>
          <w:i/>
          <w:color w:val="auto"/>
          <w:sz w:val="32"/>
          <w:szCs w:val="32"/>
          <w:highlight w:val="none"/>
          <w:u w:val="single"/>
        </w:rPr>
      </w:pPr>
      <w:r>
        <w:rPr>
          <w:rFonts w:hint="eastAsia" w:ascii="黑体" w:hAnsi="黑体" w:eastAsia="黑体"/>
          <w:color w:val="auto"/>
          <w:sz w:val="32"/>
          <w:szCs w:val="32"/>
          <w:highlight w:val="none"/>
        </w:rPr>
        <w:t xml:space="preserve">二、满足特定资格要求的证明文件</w:t>
      </w:r>
      <w:r/>
    </w:p>
    <w:p>
      <w:pPr>
        <w:pStyle w:val="1080"/>
        <w:ind w:firstLine="480"/>
        <w:rPr>
          <w:rFonts w:hint="eastAsia"/>
          <w:color w:val="auto"/>
          <w:sz w:val="24"/>
          <w:szCs w:val="24"/>
          <w:highlight w:val="none"/>
        </w:rPr>
      </w:pPr>
      <w:r>
        <w:rPr>
          <w:rFonts w:hint="eastAsia"/>
          <w:color w:val="auto"/>
          <w:sz w:val="24"/>
          <w:szCs w:val="24"/>
          <w:highlight w:val="none"/>
        </w:rPr>
        <w:t xml:space="preserve">本项目申请人的特定资格要求中要求提供的材料。</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1070"/>
        <w:rPr>
          <w:rFonts w:hint="eastAsia"/>
          <w:color w:val="auto"/>
          <w:highlight w:val="none"/>
          <w:lang w:eastAsia="zh-CN"/>
        </w:rPr>
      </w:pPr>
      <w:r>
        <w:rPr>
          <w:rFonts w:hint="eastAsia"/>
          <w:color w:val="auto"/>
          <w:highlight w:val="none"/>
          <w:lang w:eastAsia="zh-CN"/>
        </w:rPr>
      </w:r>
      <w:r/>
    </w:p>
    <w:p>
      <w:pPr>
        <w:rPr>
          <w:rFonts w:hint="eastAsia"/>
          <w:color w:val="auto"/>
          <w:highlight w:val="none"/>
        </w:rPr>
      </w:pPr>
      <w:r>
        <w:rPr>
          <w:rFonts w:hint="eastAsia"/>
          <w:color w:val="auto"/>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sectPr>
          <w:footnotePr/>
          <w:endnotePr/>
          <w:type w:val="nextPage"/>
          <w:pgSz w:w="11906" w:h="16838" w:orient="portrait"/>
          <w:pgMar w:top="1417" w:right="1814" w:bottom="1417" w:left="1814" w:header="851" w:footer="907" w:gutter="0"/>
          <w:cols w:num="1" w:sep="0" w:space="1701" w:equalWidth="1"/>
          <w:docGrid w:linePitch="360"/>
          <w:titlePg/>
        </w:sect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t xml:space="preserve">三、法人授权书</w:t>
      </w:r>
      <w:r/>
    </w:p>
    <w:p>
      <w:pPr>
        <w:jc w:val="center"/>
        <w:spacing w:line="420" w:lineRule="exact"/>
        <w:rPr>
          <w:rFonts w:hint="eastAsia" w:ascii="方正小标宋简体" w:hAnsi="方正小标宋简体" w:eastAsia="方正小标宋简体" w:cs="方正小标宋简体"/>
          <w:color w:val="auto"/>
          <w:sz w:val="32"/>
          <w:szCs w:val="32"/>
          <w:highlight w:val="none"/>
        </w:rPr>
        <w:outlineLvl w:val="0"/>
      </w:pPr>
      <w:r/>
      <w:bookmarkStart w:id="113" w:name="_Toc17303"/>
      <w:r/>
      <w:bookmarkStart w:id="114" w:name="_Toc19516"/>
      <w:r>
        <w:rPr>
          <w:rFonts w:hint="eastAsia" w:ascii="方正小标宋简体" w:hAnsi="方正小标宋简体" w:eastAsia="方正小标宋简体" w:cs="方正小标宋简体"/>
          <w:color w:val="auto"/>
          <w:sz w:val="32"/>
          <w:szCs w:val="32"/>
          <w:highlight w:val="none"/>
        </w:rPr>
        <w:t xml:space="preserve">法人授权书</w:t>
      </w:r>
      <w:bookmarkEnd w:id="113"/>
      <w:r/>
      <w:bookmarkEnd w:id="114"/>
      <w:r/>
      <w:r/>
    </w:p>
    <w:p>
      <w:pPr>
        <w:pStyle w:val="1080"/>
        <w:ind w:firstLine="480"/>
        <w:spacing w:line="420" w:lineRule="exact"/>
        <w:rPr>
          <w:rFonts w:hint="eastAsia"/>
          <w:color w:val="auto"/>
          <w:sz w:val="24"/>
          <w:szCs w:val="24"/>
          <w:highlight w:val="none"/>
        </w:rPr>
      </w:pPr>
      <w:r>
        <w:rPr>
          <w:rFonts w:hint="eastAsia"/>
          <w:color w:val="auto"/>
          <w:sz w:val="24"/>
          <w:szCs w:val="24"/>
          <w:highlight w:val="none"/>
        </w:rPr>
      </w:r>
      <w:r/>
    </w:p>
    <w:p>
      <w:pPr>
        <w:pStyle w:val="1080"/>
        <w:ind w:firstLine="480"/>
        <w:spacing w:line="480" w:lineRule="exact"/>
        <w:rPr>
          <w:rFonts w:hint="eastAsia"/>
          <w:color w:val="auto"/>
          <w:sz w:val="24"/>
          <w:szCs w:val="24"/>
          <w:highlight w:val="none"/>
        </w:rPr>
      </w:pPr>
      <w:r>
        <w:rPr>
          <w:rFonts w:hint="eastAsia"/>
          <w:color w:val="auto"/>
          <w:sz w:val="24"/>
          <w:szCs w:val="24"/>
          <w:highlight w:val="none"/>
        </w:rPr>
        <w:t xml:space="preserve">本授权书声明：</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（投标人名称）授权</w:t>
      </w:r>
      <w:r>
        <w:rPr>
          <w:rFonts w:hint="eastAsia" w:ascii="宋体" w:hAnsi="宋体" w:cs="宋体"/>
          <w:color w:val="auto"/>
          <w:sz w:val="24"/>
          <w:szCs w:val="24"/>
          <w:highlight w:val="none"/>
          <w:u w:val="single"/>
        </w:rPr>
        <w:t xml:space="preserve">                 </w:t>
      </w:r>
      <w:r>
        <w:rPr>
          <w:rFonts w:hint="eastAsia"/>
          <w:color w:val="auto"/>
          <w:sz w:val="24"/>
          <w:szCs w:val="24"/>
          <w:highlight w:val="none"/>
        </w:rPr>
        <w:t xml:space="preserve">（被授权人姓名）作为我方参加编号为</w:t>
      </w:r>
      <w:r>
        <w:rPr>
          <w:rFonts w:hint="eastAsia" w:ascii="宋体" w:hAnsi="宋体"/>
          <w:color w:val="auto"/>
          <w:sz w:val="24"/>
          <w:szCs w:val="24"/>
          <w:highlight w:val="none"/>
          <w:u w:val="single"/>
        </w:rPr>
        <w:t xml:space="preserve">                              </w:t>
      </w:r>
      <w:r>
        <w:rPr>
          <w:rFonts w:hint="eastAsia"/>
          <w:color w:val="auto"/>
          <w:sz w:val="24"/>
          <w:szCs w:val="24"/>
          <w:highlight w:val="none"/>
        </w:rPr>
        <w:t xml:space="preserve">项目采购活动的合法代理人，以本单位名义全权处理一切与该项目采购有关的事务。</w:t>
      </w:r>
      <w:r/>
    </w:p>
    <w:p>
      <w:pPr>
        <w:pStyle w:val="1080"/>
        <w:ind w:firstLine="480"/>
        <w:spacing w:line="480" w:lineRule="exact"/>
        <w:rPr>
          <w:rFonts w:hint="eastAsia"/>
          <w:color w:val="auto"/>
          <w:sz w:val="24"/>
          <w:szCs w:val="24"/>
          <w:highlight w:val="none"/>
        </w:rPr>
      </w:pPr>
      <w:r>
        <w:rPr>
          <w:rFonts w:hint="eastAsia"/>
          <w:color w:val="auto"/>
          <w:sz w:val="24"/>
          <w:szCs w:val="24"/>
          <w:highlight w:val="none"/>
        </w:rPr>
        <w:t xml:space="preserve">本授权书自______年____月____日起生效，特此声明。</w:t>
      </w:r>
      <w:r/>
    </w:p>
    <w:p>
      <w:pPr>
        <w:pStyle w:val="1080"/>
        <w:ind w:firstLine="480"/>
        <w:spacing w:line="480" w:lineRule="exact"/>
        <w:rPr>
          <w:rFonts w:hint="eastAsia"/>
          <w:color w:val="auto"/>
          <w:sz w:val="24"/>
          <w:szCs w:val="24"/>
          <w:highlight w:val="none"/>
        </w:rPr>
      </w:pPr>
      <w:r>
        <w:rPr>
          <w:rFonts w:hint="eastAsia"/>
          <w:color w:val="auto"/>
          <w:sz w:val="24"/>
          <w:szCs w:val="24"/>
          <w:highlight w:val="none"/>
        </w:rPr>
        <w:t xml:space="preserve">被授权人身份证号码：</w:t>
      </w:r>
      <w:r/>
    </w:p>
    <w:p>
      <w:pPr>
        <w:pStyle w:val="1080"/>
        <w:ind w:firstLine="480"/>
        <w:spacing w:line="480" w:lineRule="exact"/>
        <w:rPr>
          <w:rFonts w:hint="eastAsia"/>
          <w:color w:val="auto"/>
          <w:sz w:val="24"/>
          <w:szCs w:val="24"/>
          <w:highlight w:val="none"/>
          <w:u w:val="single"/>
        </w:rPr>
      </w:pPr>
      <w:r>
        <w:rPr>
          <w:rFonts w:hint="eastAsia"/>
          <w:color w:val="auto"/>
          <w:sz w:val="24"/>
          <w:szCs w:val="24"/>
          <w:highlight w:val="none"/>
        </w:rPr>
        <w:t xml:space="preserve">被授权人联系电话：（手机）</w:t>
      </w:r>
      <w:r/>
    </w:p>
    <w:p>
      <w:pPr>
        <w:pStyle w:val="1080"/>
        <w:ind w:firstLine="468"/>
        <w:spacing w:line="480" w:lineRule="exact"/>
        <w:rPr>
          <w:color w:val="auto"/>
          <w:sz w:val="24"/>
          <w:szCs w:val="24"/>
          <w:highlight w:val="none"/>
        </w:rPr>
      </w:pPr>
      <w:r>
        <w:rPr>
          <w:rFonts w:hint="eastAsia"/>
          <w:color w:val="auto"/>
          <w:sz w:val="24"/>
          <w:szCs w:val="24"/>
          <w:highlight w:val="none"/>
        </w:rPr>
        <w:t xml:space="preserve">单位名称：</w:t>
      </w:r>
      <w:r>
        <w:rPr>
          <w:rFonts w:hint="eastAsia" w:ascii="宋体" w:hAnsi="宋体" w:cs="宋体"/>
          <w:color w:val="auto"/>
          <w:sz w:val="24"/>
          <w:szCs w:val="24"/>
          <w:highlight w:val="none"/>
        </w:rPr>
        <w:t xml:space="preserve">（加盖电子公章）</w:t>
      </w:r>
      <w:r/>
    </w:p>
    <w:p>
      <w:pPr>
        <w:pStyle w:val="1080"/>
        <w:ind w:firstLine="480"/>
        <w:spacing w:line="480" w:lineRule="exact"/>
        <w:rPr>
          <w:rFonts w:hint="eastAsia"/>
          <w:color w:val="auto"/>
          <w:sz w:val="24"/>
          <w:szCs w:val="24"/>
          <w:highlight w:val="none"/>
          <w:u w:val="single"/>
        </w:rPr>
      </w:pPr>
      <w:r>
        <w:rPr>
          <w:rFonts w:hint="eastAsia"/>
          <w:color w:val="auto"/>
          <w:sz w:val="24"/>
          <w:szCs w:val="24"/>
          <w:highlight w:val="none"/>
        </w:rPr>
        <w:t xml:space="preserve">单位地址：</w:t>
      </w:r>
      <w:r/>
    </w:p>
    <w:p>
      <w:pPr>
        <w:pStyle w:val="1080"/>
        <w:ind w:firstLine="480"/>
        <w:spacing w:line="480" w:lineRule="exact"/>
        <w:rPr>
          <w:rFonts w:hint="eastAsia"/>
          <w:color w:val="auto"/>
          <w:sz w:val="24"/>
          <w:szCs w:val="24"/>
          <w:highlight w:val="none"/>
        </w:rPr>
      </w:pPr>
      <w:r>
        <w:rPr>
          <w:rFonts w:hint="eastAsia"/>
          <w:color w:val="auto"/>
          <w:sz w:val="24"/>
          <w:szCs w:val="24"/>
          <w:highlight w:val="none"/>
        </w:rPr>
        <w:t xml:space="preserve">日    期：</w:t>
      </w:r>
      <w:bookmarkStart w:id="115" w:name="_Hlt26955070"/>
      <w:r/>
      <w:bookmarkEnd w:id="115"/>
      <w:r/>
      <w:bookmarkStart w:id="116" w:name="_格式3__银行出具的资信证明"/>
      <w:r/>
      <w:bookmarkEnd w:id="116"/>
      <w:r/>
      <w:bookmarkStart w:id="117" w:name="_Hlt26671380"/>
      <w:r/>
      <w:bookmarkEnd w:id="117"/>
      <w:r/>
      <w:r/>
    </w:p>
    <w:p>
      <w:pPr>
        <w:pStyle w:val="808"/>
        <w:rPr>
          <w:rFonts w:hint="eastAsia"/>
          <w:i/>
          <w:color w:val="auto"/>
          <w:sz w:val="24"/>
          <w:szCs w:val="24"/>
          <w:highlight w:val="none"/>
          <w:u w:val="single"/>
        </w:rPr>
      </w:pPr>
      <w:r>
        <w:rPr>
          <w:rFonts w:hint="eastAsia"/>
          <w:i/>
          <w:color w:val="auto"/>
          <w:sz w:val="24"/>
          <w:szCs w:val="24"/>
          <w:highlight w:val="none"/>
          <w:u w:val="single"/>
        </w:rPr>
      </w:r>
      <w:r/>
    </w:p>
    <w:p>
      <w:pPr>
        <w:pStyle w:val="808"/>
        <w:ind w:firstLine="0"/>
        <w:rPr>
          <w:rFonts w:hint="eastAsia"/>
          <w:color w:val="auto"/>
          <w:highlight w:val="none"/>
        </w:rPr>
      </w:pPr>
      <w:r>
        <w:rPr>
          <w:rFonts w:hint="eastAsia"/>
          <w:color w:val="auto"/>
          <w:highlight w:val="none"/>
        </w:rPr>
      </w:r>
      <w:r/>
    </w:p>
    <w:p>
      <w:pPr>
        <w:spacing w:line="460" w:lineRule="exact"/>
        <w:rPr>
          <w:rFonts w:hint="eastAsia" w:ascii="楷体" w:hAnsi="楷体" w:eastAsia="楷体"/>
          <w:bCs/>
          <w:color w:val="auto"/>
          <w:sz w:val="24"/>
          <w:szCs w:val="24"/>
          <w:highlight w:val="none"/>
        </w:rPr>
      </w:pPr>
      <w:r>
        <w:rPr>
          <w:rFonts w:hint="eastAsia" w:ascii="楷体" w:hAnsi="楷体" w:eastAsia="楷体"/>
          <w:bCs/>
          <w:color w:val="auto"/>
          <w:sz w:val="24"/>
          <w:szCs w:val="24"/>
          <w:highlight w:val="none"/>
        </w:rPr>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pStyle w:val="1071"/>
        <w:rPr>
          <w:rFonts w:hint="eastAsia"/>
          <w:bCs/>
          <w:color w:val="auto"/>
          <w:sz w:val="24"/>
          <w:highlight w:val="none"/>
        </w:rPr>
      </w:pPr>
      <w:r>
        <w:rPr>
          <w:rFonts w:hint="eastAsia"/>
          <w:bCs/>
          <w:color w:val="auto"/>
          <w:sz w:val="24"/>
          <w:highlight w:val="none"/>
        </w:rPr>
      </w:r>
      <w:r/>
    </w:p>
    <w:p>
      <w:pPr>
        <w:pStyle w:val="1071"/>
        <w:rPr>
          <w:rFonts w:hint="eastAsia"/>
          <w:bCs/>
          <w:color w:val="auto"/>
          <w:sz w:val="24"/>
          <w:highlight w:val="none"/>
        </w:rPr>
      </w:pPr>
      <w:r>
        <w:rPr>
          <w:rFonts w:hint="eastAsia"/>
          <w:bCs/>
          <w:color w:val="auto"/>
          <w:sz w:val="24"/>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left"/>
        <w:spacing w:line="360" w:lineRule="auto"/>
        <w:rPr>
          <w:rFonts w:hint="eastAsia" w:ascii="黑体" w:hAnsi="黑体" w:eastAsia="黑体"/>
          <w:color w:val="auto"/>
          <w:sz w:val="32"/>
          <w:szCs w:val="32"/>
          <w:highlight w:val="none"/>
        </w:rPr>
        <w:sectPr>
          <w:footnotePr/>
          <w:endnotePr/>
          <w:type w:val="nextPage"/>
          <w:pgSz w:w="11906" w:h="16838" w:orient="portrait"/>
          <w:pgMar w:top="1417" w:right="1814" w:bottom="1417" w:left="1814" w:header="851" w:footer="907" w:gutter="0"/>
          <w:cols w:num="1" w:sep="0" w:space="1701" w:equalWidth="1"/>
          <w:docGrid w:linePitch="360"/>
          <w:titlePg/>
        </w:sectPr>
      </w:pPr>
      <w:r>
        <w:rPr>
          <w:rFonts w:hint="eastAsia" w:ascii="黑体" w:hAnsi="黑体" w:eastAsia="黑体"/>
          <w:color w:val="auto"/>
          <w:sz w:val="32"/>
          <w:szCs w:val="32"/>
          <w:highlight w:val="none"/>
        </w:rPr>
      </w:r>
      <w:r/>
    </w:p>
    <w:p>
      <w:pPr>
        <w:jc w:val="left"/>
        <w:spacing w:line="360" w:lineRule="auto"/>
        <w:rPr>
          <w:rFonts w:hint="eastAsia" w:ascii="黑体" w:hAnsi="黑体" w:eastAsia="黑体"/>
          <w:color w:val="auto"/>
          <w:sz w:val="32"/>
          <w:szCs w:val="32"/>
          <w:highlight w:val="none"/>
          <w:lang w:eastAsia="zh-CN"/>
        </w:rPr>
      </w:pPr>
      <w:r>
        <w:rPr>
          <w:rFonts w:hint="eastAsia" w:ascii="黑体" w:hAnsi="黑体" w:eastAsia="黑体"/>
          <w:color w:val="auto"/>
          <w:sz w:val="32"/>
          <w:szCs w:val="32"/>
          <w:highlight w:val="none"/>
          <w:lang w:eastAsia="zh-CN"/>
        </w:rPr>
        <w:t xml:space="preserve">四</w:t>
      </w:r>
      <w:r>
        <w:rPr>
          <w:rFonts w:hint="eastAsia" w:ascii="黑体" w:hAnsi="黑体" w:eastAsia="黑体"/>
          <w:color w:val="auto"/>
          <w:sz w:val="32"/>
          <w:szCs w:val="32"/>
          <w:highlight w:val="none"/>
        </w:rPr>
        <w:t xml:space="preserve">、</w:t>
      </w:r>
      <w:r>
        <w:rPr>
          <w:rFonts w:hint="eastAsia" w:ascii="黑体" w:hAnsi="黑体" w:eastAsia="黑体"/>
          <w:color w:val="auto"/>
          <w:sz w:val="32"/>
          <w:szCs w:val="32"/>
          <w:highlight w:val="none"/>
          <w:lang w:eastAsia="zh-CN"/>
        </w:rPr>
        <w:t xml:space="preserve">报价表</w:t>
      </w:r>
      <w:r/>
    </w:p>
    <w:p>
      <w:pPr>
        <w:jc w:val="center"/>
        <w:spacing w:line="480" w:lineRule="auto"/>
        <w:rPr>
          <w:rFonts w:hint="eastAsia" w:ascii="方正小标宋简体" w:hAnsi="方正小标宋简体" w:eastAsia="方正小标宋简体" w:cs="方正小标宋简体"/>
          <w:color w:val="auto"/>
          <w:sz w:val="32"/>
          <w:szCs w:val="32"/>
          <w:highlight w:val="none"/>
        </w:rPr>
        <w:outlineLvl w:val="0"/>
      </w:pPr>
      <w:r/>
      <w:bookmarkStart w:id="118" w:name="_Toc16907"/>
      <w:r/>
      <w:bookmarkStart w:id="119" w:name="_Toc513"/>
      <w:r>
        <w:rPr>
          <w:rFonts w:hint="eastAsia" w:ascii="方正小标宋简体" w:hAnsi="方正小标宋简体" w:eastAsia="方正小标宋简体" w:cs="方正小标宋简体"/>
          <w:color w:val="auto"/>
          <w:sz w:val="32"/>
          <w:szCs w:val="32"/>
          <w:highlight w:val="none"/>
          <w:lang w:eastAsia="zh-CN"/>
        </w:rPr>
        <w:t xml:space="preserve">报价</w:t>
      </w:r>
      <w:r>
        <w:rPr>
          <w:rFonts w:hint="eastAsia" w:ascii="方正小标宋简体" w:hAnsi="方正小标宋简体" w:eastAsia="方正小标宋简体" w:cs="方正小标宋简体"/>
          <w:color w:val="auto"/>
          <w:sz w:val="32"/>
          <w:szCs w:val="32"/>
          <w:highlight w:val="none"/>
        </w:rPr>
        <w:t xml:space="preserve">表</w:t>
      </w:r>
      <w:bookmarkEnd w:id="118"/>
      <w:r/>
      <w:bookmarkEnd w:id="119"/>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spacing w:line="480" w:lineRule="auto"/>
        <w:rPr>
          <w:color w:val="auto"/>
          <w:sz w:val="24"/>
          <w:szCs w:val="24"/>
          <w:highlight w:val="none"/>
        </w:rPr>
      </w:pPr>
      <w:r>
        <w:rPr>
          <w:rFonts w:hint="eastAsia" w:ascii="宋体" w:hAnsi="宋体"/>
          <w:color w:val="auto"/>
          <w:sz w:val="24"/>
          <w:szCs w:val="24"/>
          <w:highlight w:val="none"/>
        </w:rPr>
        <w:t xml:space="preserve">项目名称：</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项目编号：                                   分包号：</w:t>
      </w:r>
      <w:r/>
    </w:p>
    <w:tbl>
      <w:tblPr>
        <w:tblStyle w:val="752"/>
        <w:tblW w:w="87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99"/>
      </w:tblGrid>
      <w:tr>
        <w:trPr>
          <w:cantSplit/>
          <w:trHeight w:val="725"/>
        </w:trPr>
        <w:tc>
          <w:tcPr>
            <w:tcW w:w="8799" w:type="dxa"/>
            <w:vAlign w:val="center"/>
            <w:textDirection w:val="lrTb"/>
            <w:noWrap w:val="false"/>
          </w:tcPr>
          <w:p>
            <w:pPr>
              <w:jc w:val="center"/>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780"/>
        </w:trPr>
        <w:tc>
          <w:tcPr>
            <w:tcW w:w="8799" w:type="dxa"/>
            <w:vAlign w:val="center"/>
            <w:textDirection w:val="lrTb"/>
            <w:noWrap w:val="false"/>
          </w:tcPr>
          <w:p>
            <w:pPr>
              <w:pStyle w:val="1082"/>
              <w:ind w:firstLine="0"/>
              <w:spacing w:before="0" w:after="0" w:line="240" w:lineRule="auto"/>
              <w:rPr>
                <w:rFonts w:hint="eastAsia" w:ascii="宋体" w:hAnsi="宋体"/>
                <w:color w:val="auto"/>
                <w:szCs w:val="21"/>
                <w:highlight w:val="none"/>
              </w:rPr>
            </w:pPr>
            <w:r>
              <w:rPr>
                <w:rFonts w:hint="eastAsia" w:ascii="宋体" w:hAnsi="宋体" w:cs="宋体"/>
                <w:color w:val="auto"/>
                <w:highlight w:val="none"/>
              </w:rPr>
              <w:t xml:space="preserve">小写（人民币：元）：                             </w:t>
            </w:r>
            <w:r/>
          </w:p>
        </w:tc>
      </w:tr>
      <w:tr>
        <w:trPr>
          <w:cantSplit/>
          <w:trHeight w:val="780"/>
        </w:trPr>
        <w:tc>
          <w:tcPr>
            <w:tcW w:w="8799" w:type="dxa"/>
            <w:vAlign w:val="center"/>
            <w:textDirection w:val="lrTb"/>
            <w:noWrap w:val="false"/>
          </w:tcPr>
          <w:p>
            <w:pPr>
              <w:pStyle w:val="1082"/>
              <w:ind w:firstLine="0"/>
              <w:spacing w:before="0" w:after="0" w:line="24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大</w:t>
            </w:r>
            <w:r>
              <w:rPr>
                <w:rFonts w:hint="eastAsia" w:ascii="宋体" w:hAnsi="宋体" w:cs="宋体"/>
                <w:color w:val="auto"/>
                <w:highlight w:val="none"/>
              </w:rPr>
              <w:t xml:space="preserve">写（人民币：元）：</w:t>
            </w:r>
            <w:r/>
          </w:p>
        </w:tc>
      </w:tr>
    </w:tbl>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480" w:lineRule="auto"/>
        <w:rPr>
          <w:rFonts w:hint="eastAsia" w:ascii="黑体" w:hAnsi="黑体" w:eastAsia="黑体"/>
          <w:b/>
          <w:i/>
          <w:color w:val="auto"/>
          <w:sz w:val="32"/>
          <w:szCs w:val="32"/>
          <w:highlight w:val="none"/>
          <w:u w:val="single"/>
        </w:rPr>
      </w:pPr>
      <w:r>
        <w:rPr>
          <w:rFonts w:hint="eastAsia" w:ascii="宋体" w:hAnsi="宋体"/>
          <w:color w:val="auto"/>
          <w:sz w:val="24"/>
          <w:szCs w:val="24"/>
          <w:highlight w:val="none"/>
        </w:rPr>
        <w:t xml:space="preserve">                                              日  期：</w:t>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jc w:val="center"/>
        <w:spacing w:line="360" w:lineRule="auto"/>
        <w:rPr>
          <w:rFonts w:hint="eastAsia" w:ascii="黑体" w:eastAsia="黑体"/>
          <w:color w:val="auto"/>
          <w:sz w:val="32"/>
          <w:szCs w:val="32"/>
          <w:highlight w:val="none"/>
        </w:rPr>
        <w:outlineLvl w:val="9"/>
      </w:pPr>
      <w:r>
        <w:rPr>
          <w:rFonts w:hint="eastAsia" w:ascii="黑体" w:eastAsia="黑体"/>
          <w:color w:val="auto"/>
          <w:sz w:val="32"/>
          <w:szCs w:val="32"/>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ascii="黑体" w:hAnsi="黑体" w:eastAsia="黑体"/>
          <w:iCs/>
          <w:color w:val="auto"/>
          <w:sz w:val="32"/>
          <w:szCs w:val="32"/>
          <w:highlight w:val="none"/>
        </w:rPr>
        <w:sectPr>
          <w:footnotePr/>
          <w:endnotePr/>
          <w:type w:val="nextPage"/>
          <w:pgSz w:w="11906" w:h="16838" w:orient="portrait"/>
          <w:pgMar w:top="1417" w:right="1814" w:bottom="1417" w:left="1814" w:header="851" w:footer="907" w:gutter="0"/>
          <w:cols w:num="1" w:sep="0" w:space="1701" w:equalWidth="1"/>
          <w:docGrid w:linePitch="360"/>
          <w:titlePg/>
        </w:sectPr>
      </w:pPr>
      <w:r/>
      <w:bookmarkStart w:id="120" w:name="_Hlt26955054"/>
      <w:r/>
      <w:bookmarkEnd w:id="120"/>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lang w:eastAsia="zh-CN"/>
        </w:rPr>
        <w:t xml:space="preserve">五</w:t>
      </w:r>
      <w:r>
        <w:rPr>
          <w:rFonts w:hint="eastAsia" w:ascii="黑体" w:hAnsi="黑体" w:eastAsia="黑体"/>
          <w:iCs/>
          <w:color w:val="auto"/>
          <w:sz w:val="32"/>
          <w:szCs w:val="32"/>
          <w:highlight w:val="none"/>
        </w:rPr>
        <w:t xml:space="preserve">、商务要求响应及偏离表</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商务要求响应及偏离表</w:t>
      </w:r>
      <w:r/>
    </w:p>
    <w:tbl>
      <w:tblPr>
        <w:tblStyle w:val="752"/>
        <w:tblW w:w="86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220"/>
        <w:gridCol w:w="2108"/>
        <w:gridCol w:w="3467"/>
      </w:tblGrid>
      <w:tr>
        <w:trPr>
          <w:cantSplit/>
          <w:trHeight w:val="600"/>
        </w:trPr>
        <w:tc>
          <w:tcPr>
            <w:tcW w:w="835" w:type="dxa"/>
            <w:vAlign w:val="center"/>
            <w:textDirection w:val="lrTb"/>
            <w:noWrap w:val="false"/>
          </w:tcPr>
          <w:p>
            <w:pPr>
              <w:jc w:val="center"/>
              <w:rPr>
                <w:rFonts w:hint="eastAsia" w:ascii="宋体" w:hAnsi="宋体"/>
                <w:color w:val="auto"/>
                <w:sz w:val="24"/>
                <w:szCs w:val="24"/>
                <w:highlight w:val="none"/>
              </w:rPr>
            </w:pPr>
            <w:r/>
            <w:bookmarkStart w:id="121" w:name="_Hlt26609391"/>
            <w:r/>
            <w:bookmarkEnd w:id="121"/>
            <w:r/>
            <w:bookmarkStart w:id="122" w:name="_Hlt26782999"/>
            <w:r/>
            <w:bookmarkEnd w:id="122"/>
            <w:r/>
            <w:bookmarkStart w:id="123" w:name="_Hlt26671372"/>
            <w:r/>
            <w:bookmarkEnd w:id="123"/>
            <w:r/>
            <w:bookmarkStart w:id="124" w:name="_Hlt26955064"/>
            <w:r/>
            <w:bookmarkEnd w:id="124"/>
            <w:r/>
            <w:bookmarkStart w:id="125" w:name="_Hlt26671343"/>
            <w:r/>
            <w:bookmarkEnd w:id="125"/>
            <w:r/>
            <w:bookmarkStart w:id="126" w:name="_Hlt26580838"/>
            <w:r/>
            <w:bookmarkEnd w:id="126"/>
            <w:r/>
            <w:bookmarkStart w:id="127" w:name="_Hlt24879081"/>
            <w:r/>
            <w:bookmarkEnd w:id="127"/>
            <w:r/>
            <w:bookmarkStart w:id="128" w:name="_Hlt26955056"/>
            <w:r/>
            <w:bookmarkEnd w:id="128"/>
            <w:r>
              <w:rPr>
                <w:rFonts w:hint="eastAsia" w:ascii="宋体" w:hAnsi="宋体"/>
                <w:color w:val="auto"/>
                <w:sz w:val="24"/>
                <w:szCs w:val="24"/>
                <w:highlight w:val="none"/>
              </w:rPr>
              <w:t xml:space="preserve">序号</w:t>
            </w:r>
            <w:r/>
          </w:p>
        </w:tc>
        <w:tc>
          <w:tcPr>
            <w:tcW w:w="2220"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要求</w:t>
            </w:r>
            <w:r/>
          </w:p>
        </w:tc>
        <w:tc>
          <w:tcPr>
            <w:tcW w:w="21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3467" w:type="dxa"/>
            <w:vAlign w:val="center"/>
            <w:textDirection w:val="lrTb"/>
            <w:noWrap w:val="false"/>
          </w:tcPr>
          <w:p>
            <w:pPr>
              <w:jc w:val="center"/>
              <w:rPr>
                <w:rFonts w:hint="eastAsia" w:ascii="宋体" w:hAnsi="宋体"/>
                <w:color w:val="auto"/>
                <w:sz w:val="24"/>
                <w:szCs w:val="24"/>
                <w:highlight w:val="none"/>
              </w:rPr>
            </w:pPr>
            <w:r>
              <w:rPr>
                <w:rFonts w:hint="eastAsia" w:cs="宋体"/>
                <w:color w:val="auto"/>
                <w:sz w:val="24"/>
                <w:szCs w:val="24"/>
                <w:highlight w:val="none"/>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2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1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46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2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1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46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2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1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46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2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1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46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2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1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46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2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1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46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220"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1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46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83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220" w:type="dxa"/>
            <w:vAlign w:val="top"/>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1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467"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854"/>
        <w:jc w:val="both"/>
        <w:spacing w:before="0" w:beforeAutospacing="0" w:after="0" w:afterAutospacing="0"/>
        <w:rPr>
          <w:color w:val="auto"/>
          <w:highlight w:val="none"/>
        </w:rPr>
      </w:pPr>
      <w:r>
        <w:rPr>
          <w:color w:val="auto"/>
          <w:highlight w:val="none"/>
        </w:rPr>
      </w:r>
      <w:r/>
    </w:p>
    <w:p>
      <w:pPr>
        <w:ind w:right="18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54"/>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备注： </w:t>
      </w:r>
      <w:r/>
    </w:p>
    <w:p>
      <w:pPr>
        <w:pStyle w:val="854"/>
        <w:ind w:firstLine="480"/>
        <w:jc w:val="both"/>
        <w:spacing w:before="0" w:beforeAutospacing="0" w:after="0" w:afterAutospacing="0" w:line="360" w:lineRule="auto"/>
        <w:rPr>
          <w:color w:val="auto"/>
          <w:highlight w:val="none"/>
        </w:rPr>
      </w:pPr>
      <w:r>
        <w:rPr>
          <w:rFonts w:hint="eastAsia"/>
          <w:color w:val="auto"/>
          <w:highlight w:val="none"/>
        </w:rPr>
        <w:t xml:space="preserve">1.供应商须对</w:t>
      </w:r>
      <w:r>
        <w:rPr>
          <w:rFonts w:hint="eastAsia"/>
          <w:color w:val="auto"/>
          <w:highlight w:val="none"/>
          <w:lang w:eastAsia="zh-CN"/>
        </w:rPr>
        <w:t xml:space="preserve">磋商文件</w:t>
      </w:r>
      <w:r>
        <w:rPr>
          <w:rFonts w:hint="eastAsia"/>
          <w:color w:val="auto"/>
          <w:highlight w:val="none"/>
        </w:rPr>
        <w:t xml:space="preserve">商务要求中的实质性要求（斜体下划线内容或打“★”内容）做出明确响应，供应商未对实质性要求作出明确响应的，视为无效投标。</w:t>
      </w:r>
      <w:r/>
    </w:p>
    <w:p>
      <w:pPr>
        <w:pStyle w:val="854"/>
        <w:ind w:firstLine="480"/>
        <w:jc w:val="both"/>
        <w:spacing w:before="0" w:beforeAutospacing="0" w:after="0" w:afterAutospacing="0" w:line="360" w:lineRule="auto"/>
        <w:rPr>
          <w:rFonts w:hint="eastAsia"/>
          <w:color w:val="auto"/>
          <w:highlight w:val="none"/>
        </w:rPr>
      </w:pPr>
      <w:r>
        <w:rPr>
          <w:rFonts w:hint="eastAsia"/>
          <w:color w:val="auto"/>
          <w:highlight w:val="none"/>
        </w:rPr>
        <w:t xml:space="preserve">2.行数不够，可自行添加。</w:t>
      </w:r>
      <w:r/>
    </w:p>
    <w:p>
      <w:pPr>
        <w:rPr>
          <w:color w:val="auto"/>
          <w:highlight w:val="none"/>
        </w:rPr>
      </w:pPr>
      <w:r>
        <w:rPr>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865"/>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rPr>
      </w:r>
      <w:r/>
    </w:p>
    <w:p>
      <w:pPr>
        <w:rPr>
          <w:rFonts w:hint="eastAsia" w:ascii="黑体" w:hAnsi="黑体" w:eastAsia="黑体"/>
          <w:iCs/>
          <w:color w:val="auto"/>
          <w:sz w:val="32"/>
          <w:szCs w:val="32"/>
          <w:highlight w:val="none"/>
        </w:rPr>
        <w:sectPr>
          <w:footnotePr/>
          <w:endnotePr/>
          <w:type w:val="nextPage"/>
          <w:pgSz w:w="11906" w:h="16838" w:orient="portrait"/>
          <w:pgMar w:top="1417" w:right="1814" w:bottom="1417" w:left="1814" w:header="851" w:footer="907" w:gutter="0"/>
          <w:cols w:num="1" w:sep="0" w:space="1701" w:equalWidth="1"/>
          <w:docGrid w:linePitch="360"/>
          <w:titlePg/>
        </w:sectPr>
      </w:pPr>
      <w:r>
        <w:rPr>
          <w:rFonts w:hint="eastAsia" w:ascii="黑体" w:hAnsi="黑体" w:eastAsia="黑体"/>
          <w:iCs/>
          <w:color w:val="auto"/>
          <w:sz w:val="32"/>
          <w:szCs w:val="32"/>
          <w:highlight w:val="none"/>
        </w:rPr>
      </w:r>
      <w:r/>
    </w:p>
    <w:p>
      <w:pPr>
        <w:rPr>
          <w:rFonts w:hint="eastAsia" w:ascii="黑体" w:hAnsi="黑体" w:eastAsia="黑体"/>
          <w:iCs/>
          <w:color w:val="auto"/>
          <w:sz w:val="32"/>
          <w:szCs w:val="32"/>
          <w:highlight w:val="none"/>
        </w:rPr>
      </w:pPr>
      <w:r>
        <w:rPr>
          <w:rFonts w:hint="eastAsia" w:ascii="黑体" w:hAnsi="黑体" w:eastAsia="黑体"/>
          <w:iCs/>
          <w:color w:val="auto"/>
          <w:sz w:val="32"/>
          <w:szCs w:val="32"/>
          <w:highlight w:val="none"/>
          <w:lang w:eastAsia="zh-CN"/>
        </w:rPr>
        <w:t xml:space="preserve">六</w:t>
      </w:r>
      <w:r>
        <w:rPr>
          <w:rFonts w:hint="eastAsia" w:ascii="黑体" w:hAnsi="黑体" w:eastAsia="黑体"/>
          <w:iCs/>
          <w:color w:val="auto"/>
          <w:sz w:val="32"/>
          <w:szCs w:val="32"/>
          <w:highlight w:val="none"/>
        </w:rPr>
        <w:t xml:space="preserve">、中小企业声明函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中小企业声明函（服务）</w:t>
      </w:r>
      <w:r/>
    </w:p>
    <w:p>
      <w:pPr>
        <w:ind w:left="0" w:righ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2011</w:t>
      </w:r>
      <w:r>
        <w:rPr>
          <w:rFonts w:hint="eastAsia" w:ascii="仿宋_GB2312" w:hAnsi="仿宋_GB2312" w:eastAsia="仿宋_GB2312" w:cs="仿宋_GB2312"/>
          <w:color w:val="auto"/>
          <w:sz w:val="24"/>
          <w:szCs w:val="24"/>
          <w:highlight w:val="none"/>
        </w:rPr>
        <w:t xml:space="preserve">〕</w:t>
      </w:r>
      <w:r>
        <w:rPr>
          <w:rFonts w:hint="eastAsia" w:ascii="宋体" w:hAnsi="宋体"/>
          <w:color w:val="auto"/>
          <w:sz w:val="24"/>
          <w:szCs w:val="24"/>
          <w:highlight w:val="none"/>
        </w:rPr>
        <w:t xml:space="preserve">300号)的规定，相关企业（含联合体中的小微企业、签订分包意向协议的中小企业）的具体情况如下：</w:t>
      </w:r>
      <w:r/>
    </w:p>
    <w:p>
      <w:pPr>
        <w:ind w:left="0" w:right="0" w:firstLine="480"/>
        <w:keepLines w:val="0"/>
        <w:keepNext w:val="0"/>
        <w:pageBreakBefore w:val="0"/>
        <w:spacing w:line="360" w:lineRule="auto"/>
        <w:widowControl w:val="off"/>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left="0" w:right="0" w:firstLine="480"/>
        <w:keepLines w:val="0"/>
        <w:keepNext w:val="0"/>
        <w:pageBreakBefore w:val="0"/>
        <w:spacing w:line="360" w:lineRule="auto"/>
        <w:widowControl w:val="off"/>
        <w:rPr>
          <w:rFonts w:hint="eastAsia" w:ascii="宋体" w:hAnsi="宋体"/>
          <w:i/>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（标的名称）属于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lang w:eastAsia="zh-CN"/>
        </w:rPr>
        <w:t xml:space="preserve">磋商文件</w:t>
      </w:r>
      <w:r>
        <w:rPr>
          <w:rFonts w:hint="eastAsia" w:ascii="宋体" w:hAnsi="宋体"/>
          <w:color w:val="auto"/>
          <w:sz w:val="24"/>
          <w:szCs w:val="24"/>
          <w:highlight w:val="none"/>
        </w:rPr>
        <w:t xml:space="preserve">中明确的所属行业）；承接企业为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（企业名称），从业人员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微型企业。</w:t>
      </w:r>
      <w:r/>
    </w:p>
    <w:p>
      <w:pPr>
        <w:ind w:left="0" w:right="0"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left="0" w:righ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pStyle w:val="865"/>
        <w:ind w:left="0" w:right="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left="0" w:right="0"/>
        <w:keepLines w:val="0"/>
        <w:keepNext w:val="0"/>
        <w:pageBreakBefore w:val="0"/>
        <w:spacing w:line="360" w:lineRule="auto"/>
        <w:widowControl w:val="off"/>
        <w:rPr>
          <w:rFonts w:hint="eastAsia"/>
          <w:color w:val="auto"/>
          <w:highlight w:val="none"/>
        </w:rPr>
      </w:pPr>
      <w:r>
        <w:rPr>
          <w:rFonts w:hint="eastAsia"/>
          <w:color w:val="auto"/>
          <w:highlight w:val="none"/>
        </w:rPr>
      </w:r>
      <w:r/>
    </w:p>
    <w:p>
      <w:pPr>
        <w:ind w:left="0" w:right="0" w:firstLine="360"/>
        <w:jc w:val="cente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left="0" w:right="0" w:firstLine="6000"/>
        <w:keepLines w:val="0"/>
        <w:keepNext w:val="0"/>
        <w:pageBreakBefore w:val="0"/>
        <w:spacing w:line="360" w:lineRule="auto"/>
        <w:widowControl w:val="off"/>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color w:val="auto"/>
          <w:sz w:val="24"/>
          <w:szCs w:val="24"/>
          <w:highlight w:val="none"/>
        </w:rPr>
        <w:t xml:space="preserve">内打“</w:t>
      </w:r>
      <w:r>
        <w:rPr>
          <w:rFonts w:ascii="Arial" w:hAnsi="Arial" w:cs="Arial"/>
          <w:color w:val="auto"/>
          <w:sz w:val="24"/>
          <w:szCs w:val="24"/>
          <w:highlight w:val="none"/>
        </w:rPr>
        <w:t xml:space="preserve">√</w:t>
      </w:r>
      <w:r>
        <w:rPr>
          <w:rFonts w:hint="eastAsia" w:ascii="宋体" w:hAnsi="宋体"/>
          <w:color w:val="auto"/>
          <w:sz w:val="24"/>
          <w:szCs w:val="24"/>
          <w:highlight w:val="none"/>
        </w:rPr>
        <w:t xml:space="preserve">”。3.投标人如不提供此声明函，不得参加专门面向中小企业采购项目或者不得享受小微企业价格扣除政策。此声明函将随成交结果同时公告，接受社会监督。4.服务采购项目中，服务的承接商应当为中小企业，不对其中涉及的货物的制造商、工程的承建商作出要求。</w:t>
      </w:r>
      <w:r/>
    </w:p>
    <w:p>
      <w:pPr>
        <w:jc w:val="left"/>
        <w:spacing w:line="360" w:lineRule="auto"/>
        <w:rPr>
          <w:rFonts w:ascii="黑体" w:hAnsi="黑体" w:eastAsia="黑体"/>
          <w:b/>
          <w:color w:val="auto"/>
          <w:sz w:val="32"/>
          <w:szCs w:val="32"/>
          <w:highlight w:val="none"/>
        </w:rPr>
        <w:sectPr>
          <w:footnotePr/>
          <w:endnotePr/>
          <w:type w:val="nextPage"/>
          <w:pgSz w:w="11906" w:h="16838" w:orient="portrait"/>
          <w:pgMar w:top="1417" w:right="1814" w:bottom="1417" w:left="1814" w:header="851" w:footer="907" w:gutter="0"/>
          <w:cols w:num="1" w:sep="0" w:space="1701" w:equalWidth="1"/>
          <w:docGrid w:linePitch="360"/>
          <w:titlePg/>
        </w:sectPr>
      </w:pPr>
      <w:r>
        <w:rPr>
          <w:rFonts w:ascii="黑体" w:hAnsi="黑体" w:eastAsia="黑体"/>
          <w:b/>
          <w:color w:val="auto"/>
          <w:sz w:val="32"/>
          <w:szCs w:val="32"/>
          <w:highlight w:val="none"/>
        </w:rPr>
      </w:r>
      <w:r/>
    </w:p>
    <w:p>
      <w:pPr>
        <w:jc w:val="center"/>
        <w:spacing w:before="312" w:after="312" w:line="360" w:lineRule="auto"/>
        <w:rPr>
          <w:rFonts w:hint="eastAsia" w:ascii="Times New Roman" w:hAnsi="Times New Roman" w:eastAsia="宋体" w:cs="Times New Roman"/>
          <w:b/>
          <w:bCs/>
          <w:color w:val="auto"/>
          <w:highlight w:val="none"/>
        </w:rPr>
      </w:pPr>
      <w:r/>
      <w:bookmarkStart w:id="129" w:name="_Toc109304977"/>
      <w:r>
        <w:rPr>
          <w:rFonts w:hint="eastAsia" w:ascii="Times New Roman" w:hAnsi="Times New Roman" w:eastAsia="宋体" w:cs="Times New Roman"/>
          <w:b/>
          <w:bCs/>
          <w:color w:val="auto"/>
          <w:highlight w:val="none"/>
        </w:rPr>
        <w:t xml:space="preserve">中小微企业划型标准</w:t>
      </w:r>
      <w:bookmarkEnd w:id="129"/>
      <w:r>
        <w:rPr>
          <w:rFonts w:hint="eastAsia" w:ascii="Times New Roman" w:hAnsi="Times New Roman" w:eastAsia="宋体" w:cs="Times New Roman"/>
          <w:b/>
          <w:bCs/>
          <w:color w:val="auto"/>
          <w:highlight w:val="none"/>
        </w:rPr>
        <w:t xml:space="preserve"> </w:t>
      </w:r>
      <w:r/>
    </w:p>
    <w:p>
      <w:pPr>
        <w:rPr>
          <w:rFonts w:hint="eastAsia"/>
          <w:color w:val="auto"/>
          <w:highlight w:val="none"/>
        </w:rPr>
      </w:pPr>
      <w:r>
        <w:rPr>
          <w:rFonts w:hint="eastAsia"/>
          <w:color w:val="auto"/>
          <w:highlight w:val="none"/>
        </w:rPr>
        <w:t xml:space="preserve">    中小微企业划型标准如下：</w:t>
      </w:r>
      <w:r/>
    </w:p>
    <w:tbl>
      <w:tblPr>
        <w:tblStyle w:val="752"/>
        <w:tblW w:w="8988" w:type="dxa"/>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23"/>
        <w:gridCol w:w="1772"/>
        <w:gridCol w:w="1137"/>
        <w:gridCol w:w="1887"/>
        <w:gridCol w:w="1757"/>
        <w:gridCol w:w="1112"/>
      </w:tblGrid>
      <w:tr>
        <w:trPr>
          <w:jc w:val="center"/>
          <w:tblCellSpacing w:w="15" w:type="dxa"/>
          <w:trHeight w:val="285"/>
        </w:trPr>
        <w:tc>
          <w:tcPr>
            <w:tcMar>
              <w:left w:w="105" w:type="dxa"/>
              <w:top w:w="0" w:type="dxa"/>
              <w:right w:w="105" w:type="dxa"/>
              <w:bottom w:w="0" w:type="dxa"/>
            </w:tcMar>
            <w:tcW w:w="1278" w:type="dxa"/>
            <w:vAlign w:val="center"/>
            <w:textDirection w:val="lrTb"/>
            <w:noWrap w:val="false"/>
          </w:tcPr>
          <w:p>
            <w:pPr>
              <w:jc w:val="center"/>
              <w:rPr>
                <w:color w:val="auto"/>
                <w:highlight w:val="none"/>
              </w:rPr>
            </w:pPr>
            <w:r>
              <w:rPr>
                <w:rFonts w:hint="eastAsia"/>
                <w:color w:val="auto"/>
                <w:highlight w:val="none"/>
              </w:rPr>
              <w:t xml:space="preserve">行业名称</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指标名称</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计量单位</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中型</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小型</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微型</w:t>
            </w:r>
            <w:r/>
          </w:p>
        </w:tc>
      </w:tr>
      <w:tr>
        <w:trPr>
          <w:jc w:val="center"/>
          <w:tblCellSpacing w:w="15" w:type="dxa"/>
          <w:trHeight w:val="225"/>
        </w:trPr>
        <w:tc>
          <w:tcPr>
            <w:tcMar>
              <w:left w:w="105" w:type="dxa"/>
              <w:top w:w="0" w:type="dxa"/>
              <w:right w:w="105" w:type="dxa"/>
              <w:bottom w:w="0" w:type="dxa"/>
            </w:tcMar>
            <w:tcW w:w="1278" w:type="dxa"/>
            <w:vAlign w:val="center"/>
            <w:textDirection w:val="lrTb"/>
            <w:noWrap w:val="false"/>
          </w:tcPr>
          <w:p>
            <w:pPr>
              <w:jc w:val="center"/>
              <w:rPr>
                <w:color w:val="auto"/>
                <w:highlight w:val="none"/>
              </w:rPr>
            </w:pPr>
            <w:r>
              <w:rPr>
                <w:rFonts w:hint="eastAsia"/>
                <w:color w:val="auto"/>
                <w:highlight w:val="none"/>
              </w:rPr>
              <w:t xml:space="preserve">农、林、牧、渔</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both"/>
              <w:rPr>
                <w:color w:val="auto"/>
                <w:highlight w:val="none"/>
              </w:rPr>
            </w:pPr>
            <w:r>
              <w:rPr>
                <w:rFonts w:hint="eastAsia"/>
                <w:color w:val="auto"/>
                <w:highlight w:val="none"/>
              </w:rPr>
              <w:t xml:space="preserve">万万元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500≤Y＜20000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50≤Y＜500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Y＜50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工业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300≤X＜1000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20≤X＜300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X＜20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2000≤Y＜40000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300≤Y＜2000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Y＜300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建筑业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6000≤Y＜80000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300≤Y＜6000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Y＜300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资产总额（Z）</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5000≤Z＜80000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300≤Z＜5000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Z＜300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批发业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20≤X＜200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5≤X＜20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X＜5</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5000≤Y＜40000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1000≤Y＜5000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Y＜1000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零售业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50≤X＜300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10≤X＜50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X＜10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500≤Y＜20000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100≤Y＜500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交通运输业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300≤X＜1000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20≤X＜300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X＜20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3000≤Y＜30000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200≤Y＜3000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Y＜200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仓储业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100≤X＜200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20≤X＜100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X＜20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1000≤Y＜30000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100≤Y＜1000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邮政业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300≤X＜1000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20≤X＜300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X＜20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2000≤Y＜30000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100≤Y＜2000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住宿业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100≤X＜300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10≤X＜100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X＜10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2000≤Y＜10000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100≤Y＜2000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餐饮业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100≤X＜300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10≤X＜100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X＜10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2000≤Y＜10000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100≤Y＜2000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信息传输业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100≤X＜2000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10≤X＜100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X＜10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1000≤Y＜100000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100≤Y＜1000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软件和信息技术服务业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100≤X＜300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10≤X＜100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X＜10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1000≤Y＜10000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50≤Y＜1000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Y＜50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房地产开发经营</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1000≤Y＜200000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100≤X＜1000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X＜100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资产总额（Z）</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5000≤Z＜10000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2000≤Y＜5000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Y＜2000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物业管理</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300≤X＜1000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100≤X＜300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X＜100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营业收入（Y）</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1000≤Y＜5000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500≤Y＜1000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Y＜500</w:t>
            </w:r>
            <w:r/>
          </w:p>
        </w:tc>
      </w:tr>
      <w:tr>
        <w:trPr>
          <w:jc w:val="center"/>
          <w:tblCellSpacing w:w="15" w:type="dxa"/>
          <w:trHeight w:val="225"/>
        </w:trPr>
        <w:tc>
          <w:tcPr>
            <w:tcMar>
              <w:left w:w="105" w:type="dxa"/>
              <w:top w:w="0" w:type="dxa"/>
              <w:right w:w="105" w:type="dxa"/>
              <w:bottom w:w="0" w:type="dxa"/>
            </w:tcMar>
            <w:tcW w:w="1278" w:type="dxa"/>
            <w:vAlign w:val="center"/>
            <w:vMerge w:val="restart"/>
            <w:textDirection w:val="lrTb"/>
            <w:noWrap w:val="false"/>
          </w:tcPr>
          <w:p>
            <w:pPr>
              <w:jc w:val="center"/>
              <w:rPr>
                <w:color w:val="auto"/>
                <w:highlight w:val="none"/>
              </w:rPr>
            </w:pPr>
            <w:r>
              <w:rPr>
                <w:rFonts w:hint="eastAsia"/>
                <w:color w:val="auto"/>
                <w:highlight w:val="none"/>
              </w:rPr>
              <w:t xml:space="preserve">租赁和商务服务业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100≤X＜300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10≤X＜100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X＜10</w:t>
            </w:r>
            <w:r/>
          </w:p>
        </w:tc>
      </w:tr>
      <w:tr>
        <w:trPr>
          <w:jc w:val="center"/>
          <w:tblCellSpacing w:w="15" w:type="dxa"/>
          <w:trHeight w:val="225"/>
        </w:trPr>
        <w:tc>
          <w:tcPr>
            <w:tcW w:w="1278" w:type="dxa"/>
            <w:vAlign w:val="center"/>
            <w:vMerge w:val="continue"/>
            <w:textDirection w:val="lrTb"/>
            <w:noWrap w:val="false"/>
          </w:tcPr>
          <w:p>
            <w:pPr>
              <w:jc w:val="center"/>
              <w:rPr>
                <w:color w:val="auto"/>
                <w:highlight w:val="none"/>
              </w:rPr>
            </w:pPr>
            <w:r>
              <w:rPr>
                <w:color w:val="auto"/>
                <w:highlight w:val="none"/>
              </w:rPr>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资产总额（Z）</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万元</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8000≤Z＜120000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100≤Z＜8000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Y＜100</w:t>
            </w:r>
            <w:r/>
          </w:p>
        </w:tc>
      </w:tr>
      <w:tr>
        <w:trPr>
          <w:jc w:val="center"/>
          <w:tblCellSpacing w:w="15" w:type="dxa"/>
          <w:trHeight w:val="225"/>
        </w:trPr>
        <w:tc>
          <w:tcPr>
            <w:tcMar>
              <w:left w:w="105" w:type="dxa"/>
              <w:top w:w="0" w:type="dxa"/>
              <w:right w:w="105" w:type="dxa"/>
              <w:bottom w:w="0" w:type="dxa"/>
            </w:tcMar>
            <w:tcW w:w="1278" w:type="dxa"/>
            <w:vAlign w:val="center"/>
            <w:textDirection w:val="lrTb"/>
            <w:noWrap w:val="false"/>
          </w:tcPr>
          <w:p>
            <w:pPr>
              <w:jc w:val="center"/>
              <w:rPr>
                <w:color w:val="auto"/>
                <w:highlight w:val="none"/>
              </w:rPr>
            </w:pPr>
            <w:r>
              <w:rPr>
                <w:rFonts w:hint="eastAsia"/>
                <w:color w:val="auto"/>
                <w:highlight w:val="none"/>
              </w:rPr>
              <w:t xml:space="preserve">其他未列明行业</w:t>
            </w:r>
            <w:r/>
          </w:p>
        </w:tc>
        <w:tc>
          <w:tcPr>
            <w:tcMar>
              <w:left w:w="105" w:type="dxa"/>
              <w:top w:w="0" w:type="dxa"/>
              <w:right w:w="105" w:type="dxa"/>
              <w:bottom w:w="0" w:type="dxa"/>
            </w:tcMar>
            <w:tcW w:w="1742" w:type="dxa"/>
            <w:vAlign w:val="center"/>
            <w:textDirection w:val="lrTb"/>
            <w:noWrap w:val="false"/>
          </w:tcPr>
          <w:p>
            <w:pPr>
              <w:jc w:val="center"/>
              <w:rPr>
                <w:color w:val="auto"/>
                <w:highlight w:val="none"/>
              </w:rPr>
            </w:pPr>
            <w:r>
              <w:rPr>
                <w:rFonts w:hint="eastAsia"/>
                <w:color w:val="auto"/>
                <w:highlight w:val="none"/>
              </w:rPr>
              <w:t xml:space="preserve">从业人员（X）</w:t>
            </w:r>
            <w:r/>
          </w:p>
        </w:tc>
        <w:tc>
          <w:tcPr>
            <w:tcMar>
              <w:left w:w="105" w:type="dxa"/>
              <w:top w:w="0" w:type="dxa"/>
              <w:right w:w="105" w:type="dxa"/>
              <w:bottom w:w="0" w:type="dxa"/>
            </w:tcMar>
            <w:tcW w:w="1107" w:type="dxa"/>
            <w:vAlign w:val="center"/>
            <w:textDirection w:val="lrTb"/>
            <w:noWrap w:val="false"/>
          </w:tcPr>
          <w:p>
            <w:pPr>
              <w:jc w:val="center"/>
              <w:rPr>
                <w:color w:val="auto"/>
                <w:highlight w:val="none"/>
              </w:rPr>
            </w:pPr>
            <w:r>
              <w:rPr>
                <w:rFonts w:hint="eastAsia"/>
                <w:color w:val="auto"/>
                <w:highlight w:val="none"/>
              </w:rPr>
              <w:t xml:space="preserve">人</w:t>
            </w:r>
            <w:r/>
          </w:p>
        </w:tc>
        <w:tc>
          <w:tcPr>
            <w:tcMar>
              <w:left w:w="105" w:type="dxa"/>
              <w:top w:w="0" w:type="dxa"/>
              <w:right w:w="105" w:type="dxa"/>
              <w:bottom w:w="0" w:type="dxa"/>
            </w:tcMar>
            <w:tcW w:w="1857" w:type="dxa"/>
            <w:vAlign w:val="center"/>
            <w:textDirection w:val="lrTb"/>
            <w:noWrap w:val="false"/>
          </w:tcPr>
          <w:p>
            <w:pPr>
              <w:jc w:val="center"/>
              <w:rPr>
                <w:color w:val="auto"/>
                <w:highlight w:val="none"/>
              </w:rPr>
            </w:pPr>
            <w:r>
              <w:rPr>
                <w:rFonts w:hint="eastAsia"/>
                <w:color w:val="auto"/>
                <w:highlight w:val="none"/>
              </w:rPr>
              <w:t xml:space="preserve">100≤X＜300</w:t>
            </w:r>
            <w:r/>
          </w:p>
        </w:tc>
        <w:tc>
          <w:tcPr>
            <w:tcMar>
              <w:left w:w="105" w:type="dxa"/>
              <w:top w:w="0" w:type="dxa"/>
              <w:right w:w="105" w:type="dxa"/>
              <w:bottom w:w="0" w:type="dxa"/>
            </w:tcMar>
            <w:tcW w:w="1727" w:type="dxa"/>
            <w:vAlign w:val="center"/>
            <w:textDirection w:val="lrTb"/>
            <w:noWrap w:val="false"/>
          </w:tcPr>
          <w:p>
            <w:pPr>
              <w:jc w:val="center"/>
              <w:rPr>
                <w:color w:val="auto"/>
                <w:highlight w:val="none"/>
              </w:rPr>
            </w:pPr>
            <w:r>
              <w:rPr>
                <w:rFonts w:hint="eastAsia"/>
                <w:color w:val="auto"/>
                <w:highlight w:val="none"/>
              </w:rPr>
              <w:t xml:space="preserve">10≤X＜100</w:t>
            </w:r>
            <w:r/>
          </w:p>
        </w:tc>
        <w:tc>
          <w:tcPr>
            <w:tcMar>
              <w:left w:w="105" w:type="dxa"/>
              <w:top w:w="0" w:type="dxa"/>
              <w:right w:w="105" w:type="dxa"/>
              <w:bottom w:w="0" w:type="dxa"/>
            </w:tcMar>
            <w:tcW w:w="1067" w:type="dxa"/>
            <w:vAlign w:val="center"/>
            <w:textDirection w:val="lrTb"/>
            <w:noWrap w:val="false"/>
          </w:tcPr>
          <w:p>
            <w:pPr>
              <w:jc w:val="center"/>
              <w:rPr>
                <w:color w:val="auto"/>
                <w:highlight w:val="none"/>
              </w:rPr>
            </w:pPr>
            <w:r>
              <w:rPr>
                <w:rFonts w:hint="eastAsia"/>
                <w:color w:val="auto"/>
                <w:highlight w:val="none"/>
              </w:rPr>
              <w:t xml:space="preserve">X＜10</w:t>
            </w:r>
            <w:r/>
          </w:p>
        </w:tc>
      </w:tr>
    </w:tbl>
    <w:p>
      <w:pPr>
        <w:pStyle w:val="1056"/>
        <w:ind w:firstLine="420"/>
        <w:spacing w:before="300" w:after="452" w:line="360" w:lineRule="auto"/>
        <w:widowControl/>
        <w:rPr>
          <w:rStyle w:val="1065"/>
          <w:rFonts w:ascii="宋体" w:hAnsi="宋体" w:cs="仿宋"/>
          <w:color w:val="auto"/>
          <w:sz w:val="21"/>
          <w:szCs w:val="21"/>
          <w:highlight w:val="none"/>
        </w:rPr>
      </w:pPr>
      <w:r>
        <w:rPr>
          <w:rStyle w:val="1065"/>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spacing w:line="360" w:lineRule="auto"/>
        <w:rPr>
          <w:rFonts w:ascii="黑体" w:hAnsi="黑体" w:eastAsia="黑体"/>
          <w:b/>
          <w:color w:val="auto"/>
          <w:sz w:val="32"/>
          <w:szCs w:val="32"/>
          <w:highlight w:val="none"/>
        </w:rPr>
        <w:sectPr>
          <w:footnotePr/>
          <w:endnotePr/>
          <w:type w:val="nextPage"/>
          <w:pgSz w:w="11906" w:h="16838" w:orient="portrait"/>
          <w:pgMar w:top="1417" w:right="1814" w:bottom="1417" w:left="1814" w:header="851" w:footer="907" w:gutter="0"/>
          <w:cols w:num="1" w:sep="0" w:space="1701" w:equalWidth="1"/>
          <w:docGrid w:linePitch="360"/>
          <w:titlePg/>
        </w:sectPr>
      </w:pPr>
      <w:r>
        <w:rPr>
          <w:rFonts w:ascii="黑体" w:hAnsi="黑体" w:eastAsia="黑体"/>
          <w:b/>
          <w:color w:val="auto"/>
          <w:sz w:val="32"/>
          <w:szCs w:val="32"/>
          <w:highlight w:val="none"/>
        </w:rPr>
      </w:r>
      <w:r/>
    </w:p>
    <w:p>
      <w:pPr>
        <w:jc w:val="left"/>
        <w:spacing w:line="360" w:lineRule="auto"/>
        <w:rPr>
          <w:rFonts w:hint="eastAsia" w:ascii="黑体" w:hAnsi="黑体" w:eastAsia="黑体"/>
          <w:color w:val="auto"/>
          <w:sz w:val="32"/>
          <w:szCs w:val="32"/>
          <w:highlight w:val="none"/>
        </w:rPr>
      </w:pPr>
      <w:r>
        <w:rPr>
          <w:rFonts w:hint="eastAsia" w:ascii="黑体" w:hAnsi="黑体" w:eastAsia="黑体"/>
          <w:iCs/>
          <w:color w:val="auto"/>
          <w:sz w:val="32"/>
          <w:szCs w:val="32"/>
          <w:highlight w:val="none"/>
          <w:lang w:eastAsia="zh-CN"/>
        </w:rPr>
        <w:t xml:space="preserve">七</w:t>
      </w:r>
      <w:r>
        <w:rPr>
          <w:rFonts w:hint="eastAsia" w:ascii="黑体" w:hAnsi="黑体" w:eastAsia="黑体"/>
          <w:iCs/>
          <w:color w:val="auto"/>
          <w:sz w:val="32"/>
          <w:szCs w:val="32"/>
          <w:highlight w:val="none"/>
        </w:rPr>
        <w:t xml:space="preserve">、</w:t>
      </w:r>
      <w:r>
        <w:rPr>
          <w:rFonts w:hint="eastAsia" w:ascii="黑体" w:hAnsi="黑体" w:eastAsia="黑体"/>
          <w:color w:val="auto"/>
          <w:sz w:val="32"/>
          <w:szCs w:val="32"/>
          <w:highlight w:val="none"/>
        </w:rPr>
        <w:t xml:space="preserve">残疾人福利性单位声明函</w:t>
      </w:r>
      <w:r/>
    </w:p>
    <w:p>
      <w:pPr>
        <w:jc w:val="center"/>
        <w:spacing w:line="360" w:lineRule="auto"/>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t xml:space="preserve">残疾人福利性单位声明函</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szCs w:val="24"/>
          <w:highlight w:val="none"/>
        </w:rPr>
        <w:t xml:space="preserve">参加</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（单位名称）采购编号为</w:t>
      </w:r>
      <w:r>
        <w:rPr>
          <w:rFonts w:hint="eastAsia" w:ascii="宋体" w:hAnsi="宋体"/>
          <w:color w:val="auto"/>
          <w:sz w:val="24"/>
          <w:szCs w:val="24"/>
          <w:highlight w:val="none"/>
          <w:u w:val="single"/>
        </w:rPr>
        <w:t xml:space="preserve">XXXXXXXXXXXXXXXXXXXXXXXXX</w:t>
      </w:r>
      <w:r>
        <w:rPr>
          <w:rFonts w:hint="eastAsia" w:ascii="宋体" w:hAnsi="宋体"/>
          <w:color w:val="auto"/>
          <w:sz w:val="24"/>
          <w:szCs w:val="24"/>
          <w:highlight w:val="none"/>
        </w:rPr>
        <w:t xml:space="preserve">项目（分包号：</w:t>
      </w:r>
      <w:r>
        <w:rPr>
          <w:rFonts w:hint="eastAsia" w:ascii="宋体" w:hAnsi="宋体"/>
          <w:color w:val="auto"/>
          <w:sz w:val="24"/>
          <w:szCs w:val="24"/>
          <w:highlight w:val="none"/>
          <w:u w:val="single"/>
        </w:rPr>
        <w:t xml:space="preserve">XXX</w:t>
      </w:r>
      <w:r>
        <w:rPr>
          <w:rFonts w:hint="eastAsia" w:ascii="宋体" w:hAnsi="宋体"/>
          <w:color w:val="auto"/>
          <w:sz w:val="24"/>
          <w:szCs w:val="24"/>
          <w:highlight w:val="none"/>
        </w:rPr>
        <w:t xml:space="preserve">）的采购活动</w:t>
      </w:r>
      <w:r>
        <w:rPr>
          <w:rFonts w:hint="eastAsia" w:ascii="宋体" w:hAnsi="宋体"/>
          <w:color w:val="auto"/>
          <w:sz w:val="24"/>
          <w:highlight w:val="none"/>
        </w:rPr>
        <w:t xml:space="preserve">，</w:t>
      </w:r>
      <w:r>
        <w:rPr>
          <w:rFonts w:hint="eastAsia" w:ascii="宋体" w:hAnsi="宋体"/>
          <w:color w:val="auto"/>
          <w:sz w:val="24"/>
          <w:szCs w:val="24"/>
          <w:highlight w:val="none"/>
        </w:rPr>
        <w:t xml:space="preserve">服务全部由本单位提供</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本单位对上述声明的真实性负责，如有虚假，将依法承担相应责任。</w:t>
      </w:r>
      <w:r/>
    </w:p>
    <w:p>
      <w:pPr>
        <w:pStyle w:val="865"/>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color w:val="auto"/>
          <w:highlight w:val="none"/>
        </w:rPr>
      </w:pPr>
      <w:r>
        <w:rPr>
          <w:rFonts w:hint="eastAsia"/>
          <w:color w:val="auto"/>
          <w:highlight w:val="none"/>
        </w:rPr>
      </w:r>
      <w:r/>
    </w:p>
    <w:p>
      <w:pPr>
        <w:ind w:right="180" w:firstLine="360"/>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企业名称：（加盖电子公章）</w:t>
      </w:r>
      <w:r/>
    </w:p>
    <w:p>
      <w:pPr>
        <w:ind w:firstLine="6000"/>
        <w:spacing w:line="360" w:lineRule="auto"/>
        <w:rPr>
          <w:rFonts w:hint="eastAsia" w:ascii="宋体" w:hAnsi="宋体"/>
          <w:color w:val="auto"/>
          <w:sz w:val="24"/>
          <w:szCs w:val="24"/>
          <w:highlight w:val="none"/>
        </w:rPr>
      </w:pPr>
      <w:r>
        <w:rPr>
          <w:rFonts w:hint="eastAsia"/>
          <w:color w:val="auto"/>
          <w:sz w:val="24"/>
          <w:szCs w:val="24"/>
          <w:highlight w:val="none"/>
        </w:rPr>
        <w:t xml:space="preserve">日    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备注：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1.投标人如不提供此声明函，价格将不作相应扣除。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2.中标人为残疾人福利性单位的，此声明函将随中标结果同时公告，接受社会监督。</w:t>
      </w:r>
      <w:r/>
    </w:p>
    <w:p>
      <w:pPr>
        <w:ind w:firstLine="480"/>
        <w:spacing w:line="480" w:lineRule="exact"/>
        <w:rPr>
          <w:rFonts w:ascii="宋体" w:hAnsi="宋体"/>
          <w:color w:val="auto"/>
          <w:sz w:val="24"/>
          <w:highlight w:val="none"/>
        </w:rPr>
      </w:pPr>
      <w:r>
        <w:rPr>
          <w:rFonts w:ascii="宋体" w:hAnsi="宋体"/>
          <w:color w:val="auto"/>
          <w:sz w:val="24"/>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Style w:val="865"/>
        <w:rPr>
          <w:rFonts w:hint="eastAsia"/>
          <w:color w:val="auto"/>
          <w:highlight w:val="none"/>
        </w:rPr>
      </w:pPr>
      <w:r>
        <w:rPr>
          <w:rFonts w:hint="eastAsia"/>
          <w:color w:val="auto"/>
          <w:highlight w:val="none"/>
        </w:rPr>
      </w:r>
      <w:r/>
    </w:p>
    <w:p>
      <w:pPr>
        <w:rPr>
          <w:rFonts w:hint="eastAsia" w:ascii="方正小标宋简体" w:hAnsi="方正小标宋简体" w:eastAsia="方正小标宋简体" w:cs="方正小标宋简体"/>
          <w:color w:val="auto"/>
          <w:sz w:val="32"/>
          <w:szCs w:val="32"/>
          <w:highlight w:val="none"/>
        </w:rPr>
      </w:pPr>
      <w:r>
        <w:rPr>
          <w:rFonts w:hint="eastAsia" w:ascii="方正小标宋简体" w:hAnsi="方正小标宋简体" w:eastAsia="方正小标宋简体" w:cs="方正小标宋简体"/>
          <w:color w:val="auto"/>
          <w:sz w:val="32"/>
          <w:szCs w:val="32"/>
          <w:highlight w:val="none"/>
        </w:rPr>
        <w:br w:type="page" w:clear="all"/>
      </w:r>
      <w:r/>
    </w:p>
    <w:p>
      <w:pPr>
        <w:pStyle w:val="744"/>
        <w:jc w:val="center"/>
        <w:spacing w:before="0" w:after="200" w:line="240" w:lineRule="auto"/>
        <w:rPr>
          <w:b/>
          <w:bCs/>
          <w:highlight w:val="none"/>
        </w:rPr>
      </w:pPr>
      <w:r>
        <w:rPr>
          <w:rFonts w:hint="eastAsia"/>
          <w:b/>
          <w:bCs/>
          <w:highlight w:val="none"/>
        </w:rPr>
        <w:t xml:space="preserve">质疑函范本</w:t>
      </w:r>
      <w:r/>
    </w:p>
    <w:p>
      <w:pPr>
        <w:spacing w:line="400" w:lineRule="exact"/>
        <w:rPr>
          <w:rFonts w:ascii="宋体" w:hAnsi="宋体" w:cs="仿宋"/>
          <w:b/>
          <w:bCs/>
          <w:sz w:val="24"/>
          <w:highlight w:val="none"/>
        </w:rPr>
      </w:pPr>
      <w:r>
        <w:rPr>
          <w:rFonts w:hint="eastAsia" w:ascii="宋体" w:hAnsi="宋体" w:cs="仿宋"/>
          <w:b/>
          <w:bCs/>
          <w:sz w:val="24"/>
          <w:highlight w:val="none"/>
        </w:rPr>
        <w:t xml:space="preserve">一、质疑供应商基本信息</w:t>
      </w:r>
      <w:r/>
    </w:p>
    <w:p>
      <w:pPr>
        <w:spacing w:line="360" w:lineRule="exact"/>
        <w:rPr>
          <w:rFonts w:ascii="宋体" w:hAnsi="宋体" w:cs="仿宋"/>
          <w:sz w:val="24"/>
          <w:highlight w:val="none"/>
          <w:u w:val="single"/>
        </w:rPr>
      </w:pPr>
      <w:r>
        <w:rPr>
          <w:rFonts w:hint="eastAsia" w:ascii="宋体" w:hAnsi="宋体" w:cs="仿宋"/>
          <w:sz w:val="24"/>
          <w:highlight w:val="none"/>
        </w:rPr>
        <w:t xml:space="preserve">质疑供应商：</w:t>
      </w:r>
      <w:r>
        <w:rPr>
          <w:rFonts w:hint="eastAsia" w:ascii="宋体" w:hAnsi="宋体" w:cs="仿宋"/>
          <w:sz w:val="24"/>
          <w:highlight w:val="none"/>
          <w:u w:val="single"/>
        </w:rPr>
        <w:t xml:space="preserve">                                                              </w:t>
      </w:r>
      <w:r/>
    </w:p>
    <w:p>
      <w:pPr>
        <w:spacing w:line="360" w:lineRule="exact"/>
        <w:rPr>
          <w:rFonts w:ascii="宋体" w:hAnsi="宋体" w:cs="仿宋"/>
          <w:sz w:val="24"/>
          <w:highlight w:val="none"/>
        </w:rPr>
      </w:pPr>
      <w:r>
        <w:rPr>
          <w:rFonts w:hint="eastAsia" w:ascii="宋体" w:hAnsi="宋体" w:cs="仿宋"/>
          <w:sz w:val="24"/>
          <w:highlight w:val="none"/>
        </w:rPr>
        <w:t xml:space="preserve">地址：</w:t>
      </w:r>
      <w:r>
        <w:rPr>
          <w:rFonts w:hint="eastAsia" w:ascii="宋体" w:hAnsi="宋体" w:cs="仿宋"/>
          <w:sz w:val="24"/>
          <w:highlight w:val="none"/>
          <w:u w:val="single"/>
        </w:rPr>
        <w:t xml:space="preserve">                             </w:t>
      </w:r>
      <w:r>
        <w:rPr>
          <w:rFonts w:hint="eastAsia" w:ascii="宋体" w:hAnsi="宋体" w:cs="仿宋"/>
          <w:sz w:val="24"/>
          <w:highlight w:val="none"/>
        </w:rPr>
        <w:t xml:space="preserve">邮编：</w:t>
      </w:r>
      <w:r>
        <w:rPr>
          <w:rFonts w:hint="eastAsia" w:ascii="宋体" w:hAnsi="宋体" w:cs="仿宋"/>
          <w:sz w:val="24"/>
          <w:highlight w:val="none"/>
          <w:u w:val="single"/>
        </w:rPr>
        <w:t xml:space="preserve">                                 </w:t>
      </w:r>
      <w:r/>
    </w:p>
    <w:p>
      <w:pPr>
        <w:spacing w:line="360" w:lineRule="exact"/>
        <w:rPr>
          <w:rFonts w:ascii="宋体" w:hAnsi="宋体" w:cs="仿宋"/>
          <w:sz w:val="24"/>
          <w:highlight w:val="none"/>
        </w:rPr>
      </w:pPr>
      <w:r>
        <w:rPr>
          <w:rFonts w:hint="eastAsia" w:ascii="宋体" w:hAnsi="宋体" w:cs="仿宋"/>
          <w:sz w:val="24"/>
          <w:highlight w:val="none"/>
        </w:rPr>
        <w:t xml:space="preserve">联系人：</w:t>
      </w:r>
      <w:r>
        <w:rPr>
          <w:rFonts w:hint="eastAsia" w:ascii="宋体" w:hAnsi="宋体" w:cs="仿宋"/>
          <w:sz w:val="24"/>
          <w:highlight w:val="none"/>
          <w:u w:val="single"/>
        </w:rPr>
        <w:t xml:space="preserve">                      </w:t>
      </w:r>
      <w:r>
        <w:rPr>
          <w:rFonts w:hint="eastAsia" w:ascii="宋体" w:hAnsi="宋体" w:cs="仿宋"/>
          <w:sz w:val="24"/>
          <w:highlight w:val="none"/>
        </w:rPr>
        <w:t xml:space="preserve">联系电话：</w:t>
      </w:r>
      <w:r>
        <w:rPr>
          <w:rFonts w:hint="eastAsia" w:ascii="宋体" w:hAnsi="宋体" w:cs="仿宋"/>
          <w:sz w:val="24"/>
          <w:highlight w:val="none"/>
          <w:u w:val="single"/>
        </w:rPr>
        <w:t xml:space="preserve">                                  </w:t>
      </w:r>
      <w:r/>
    </w:p>
    <w:p>
      <w:pPr>
        <w:spacing w:line="360" w:lineRule="exact"/>
        <w:rPr>
          <w:rFonts w:ascii="宋体" w:hAnsi="宋体" w:cs="仿宋"/>
          <w:sz w:val="24"/>
          <w:highlight w:val="none"/>
          <w:u w:val="single"/>
        </w:rPr>
      </w:pPr>
      <w:r>
        <w:rPr>
          <w:rFonts w:hint="eastAsia" w:ascii="宋体" w:hAnsi="宋体" w:cs="仿宋"/>
          <w:sz w:val="24"/>
          <w:highlight w:val="none"/>
        </w:rPr>
        <w:t xml:space="preserve">授权代表：</w:t>
      </w:r>
      <w:r>
        <w:rPr>
          <w:rFonts w:hint="eastAsia" w:ascii="宋体" w:hAnsi="宋体" w:cs="仿宋"/>
          <w:sz w:val="24"/>
          <w:highlight w:val="none"/>
          <w:u w:val="single"/>
        </w:rPr>
        <w:t xml:space="preserve">                                                                </w:t>
      </w:r>
      <w:r/>
    </w:p>
    <w:p>
      <w:pPr>
        <w:spacing w:line="360" w:lineRule="exact"/>
        <w:rPr>
          <w:rFonts w:ascii="宋体" w:hAnsi="宋体" w:cs="仿宋"/>
          <w:sz w:val="24"/>
          <w:highlight w:val="none"/>
        </w:rPr>
      </w:pPr>
      <w:r>
        <w:rPr>
          <w:rFonts w:hint="eastAsia" w:ascii="宋体" w:hAnsi="宋体" w:cs="仿宋"/>
          <w:sz w:val="24"/>
          <w:highlight w:val="none"/>
        </w:rPr>
        <w:t xml:space="preserve">联系电话：</w:t>
      </w:r>
      <w:r>
        <w:rPr>
          <w:rFonts w:hint="eastAsia" w:ascii="宋体" w:hAnsi="宋体" w:cs="仿宋"/>
          <w:sz w:val="24"/>
          <w:highlight w:val="none"/>
          <w:u w:val="single"/>
        </w:rPr>
        <w:t xml:space="preserve">                                                                </w:t>
      </w:r>
      <w:r/>
    </w:p>
    <w:p>
      <w:pPr>
        <w:spacing w:line="360" w:lineRule="exact"/>
        <w:rPr>
          <w:rFonts w:ascii="宋体" w:hAnsi="宋体" w:cs="仿宋"/>
          <w:sz w:val="24"/>
          <w:highlight w:val="none"/>
        </w:rPr>
      </w:pPr>
      <w:r>
        <w:rPr>
          <w:rFonts w:hint="eastAsia" w:ascii="宋体" w:hAnsi="宋体" w:cs="仿宋"/>
          <w:sz w:val="24"/>
          <w:highlight w:val="none"/>
        </w:rPr>
        <w:t xml:space="preserve">地址：</w:t>
      </w:r>
      <w:r>
        <w:rPr>
          <w:rFonts w:ascii="宋体" w:hAnsi="宋体" w:cs="仿宋"/>
          <w:sz w:val="24"/>
          <w:highlight w:val="none"/>
        </w:rPr>
        <w:t xml:space="preserve"> </w:t>
      </w:r>
      <w:r>
        <w:rPr>
          <w:rFonts w:hint="eastAsia" w:ascii="宋体" w:hAnsi="宋体" w:cs="仿宋"/>
          <w:sz w:val="24"/>
          <w:highlight w:val="none"/>
          <w:u w:val="single"/>
        </w:rPr>
        <w:t xml:space="preserve">                        </w:t>
      </w:r>
      <w:r>
        <w:rPr>
          <w:rFonts w:hint="eastAsia" w:ascii="宋体" w:hAnsi="宋体" w:cs="仿宋"/>
          <w:sz w:val="24"/>
          <w:highlight w:val="none"/>
        </w:rPr>
        <w:t xml:space="preserve">邮编：</w:t>
      </w:r>
      <w:r>
        <w:rPr>
          <w:rFonts w:hint="eastAsia" w:ascii="宋体" w:hAnsi="宋体" w:cs="仿宋"/>
          <w:sz w:val="24"/>
          <w:highlight w:val="none"/>
          <w:u w:val="single"/>
        </w:rPr>
        <w:t xml:space="preserve">                                     </w:t>
      </w:r>
      <w:r/>
    </w:p>
    <w:p>
      <w:pPr>
        <w:spacing w:line="400" w:lineRule="exact"/>
        <w:rPr>
          <w:rFonts w:ascii="宋体" w:hAnsi="宋体" w:cs="仿宋"/>
          <w:b/>
          <w:bCs/>
          <w:sz w:val="24"/>
          <w:highlight w:val="none"/>
        </w:rPr>
      </w:pPr>
      <w:r>
        <w:rPr>
          <w:rFonts w:hint="eastAsia" w:ascii="宋体" w:hAnsi="宋体" w:cs="仿宋"/>
          <w:b/>
          <w:bCs/>
          <w:sz w:val="24"/>
          <w:highlight w:val="none"/>
        </w:rPr>
        <w:t xml:space="preserve">二、质疑项目基本情况</w:t>
      </w:r>
      <w:r/>
    </w:p>
    <w:p>
      <w:pPr>
        <w:spacing w:line="360" w:lineRule="exact"/>
        <w:rPr>
          <w:rFonts w:ascii="宋体" w:hAnsi="宋体" w:cs="仿宋"/>
          <w:sz w:val="24"/>
          <w:highlight w:val="none"/>
        </w:rPr>
      </w:pPr>
      <w:r>
        <w:rPr>
          <w:rFonts w:hint="eastAsia" w:ascii="宋体" w:hAnsi="宋体" w:cs="仿宋"/>
          <w:sz w:val="24"/>
          <w:highlight w:val="none"/>
        </w:rPr>
        <w:t xml:space="preserve">质疑项目的名称：</w:t>
      </w:r>
      <w:r>
        <w:rPr>
          <w:rFonts w:hint="eastAsia" w:ascii="宋体" w:hAnsi="宋体" w:cs="仿宋"/>
          <w:sz w:val="24"/>
          <w:highlight w:val="none"/>
          <w:u w:val="single"/>
        </w:rPr>
        <w:t xml:space="preserve">                                                          </w:t>
      </w:r>
      <w:r/>
    </w:p>
    <w:p>
      <w:pPr>
        <w:spacing w:line="360" w:lineRule="exact"/>
        <w:rPr>
          <w:rFonts w:ascii="宋体" w:hAnsi="宋体" w:cs="仿宋"/>
          <w:sz w:val="24"/>
          <w:highlight w:val="none"/>
        </w:rPr>
      </w:pPr>
      <w:r>
        <w:rPr>
          <w:rFonts w:hint="eastAsia" w:ascii="宋体" w:hAnsi="宋体" w:cs="仿宋"/>
          <w:sz w:val="24"/>
          <w:highlight w:val="none"/>
        </w:rPr>
        <w:t xml:space="preserve">质疑项目的编号：</w:t>
      </w:r>
      <w:r>
        <w:rPr>
          <w:rFonts w:hint="eastAsia" w:ascii="宋体" w:hAnsi="宋体" w:cs="仿宋"/>
          <w:sz w:val="24"/>
          <w:highlight w:val="none"/>
          <w:u w:val="single"/>
        </w:rPr>
        <w:t xml:space="preserve">                         </w:t>
      </w:r>
      <w:r>
        <w:rPr>
          <w:rFonts w:hint="eastAsia" w:ascii="宋体" w:hAnsi="宋体" w:cs="仿宋"/>
          <w:sz w:val="24"/>
          <w:highlight w:val="none"/>
        </w:rPr>
        <w:t xml:space="preserve">包号：</w:t>
      </w:r>
      <w:r>
        <w:rPr>
          <w:rFonts w:hint="eastAsia" w:ascii="宋体" w:hAnsi="宋体" w:cs="仿宋"/>
          <w:sz w:val="24"/>
          <w:highlight w:val="none"/>
          <w:u w:val="single"/>
        </w:rPr>
        <w:t xml:space="preserve">                           </w:t>
      </w:r>
      <w:r/>
    </w:p>
    <w:p>
      <w:pPr>
        <w:spacing w:line="360" w:lineRule="exact"/>
        <w:rPr>
          <w:rFonts w:ascii="宋体" w:hAnsi="宋体" w:cs="仿宋"/>
          <w:sz w:val="24"/>
          <w:highlight w:val="none"/>
          <w:u w:val="single"/>
        </w:rPr>
      </w:pPr>
      <w:r>
        <w:rPr>
          <w:rFonts w:hint="eastAsia" w:ascii="宋体" w:hAnsi="宋体" w:cs="仿宋"/>
          <w:sz w:val="24"/>
          <w:highlight w:val="none"/>
        </w:rPr>
        <w:t xml:space="preserve">采购人名称：</w:t>
      </w:r>
      <w:r>
        <w:rPr>
          <w:rFonts w:hint="eastAsia" w:ascii="宋体" w:hAnsi="宋体" w:cs="仿宋"/>
          <w:sz w:val="24"/>
          <w:highlight w:val="none"/>
          <w:u w:val="single"/>
        </w:rPr>
        <w:t xml:space="preserve">                                                              </w:t>
      </w:r>
      <w:r/>
    </w:p>
    <w:p>
      <w:pPr>
        <w:spacing w:line="360" w:lineRule="exact"/>
        <w:rPr>
          <w:rFonts w:ascii="宋体" w:hAnsi="宋体" w:cs="仿宋"/>
          <w:sz w:val="24"/>
          <w:highlight w:val="none"/>
        </w:rPr>
      </w:pPr>
      <w:r>
        <w:rPr>
          <w:rFonts w:hint="eastAsia" w:ascii="宋体" w:hAnsi="宋体" w:cs="仿宋"/>
          <w:sz w:val="24"/>
          <w:highlight w:val="none"/>
        </w:rPr>
        <w:t xml:space="preserve">采购文件获取日期：</w:t>
      </w:r>
      <w:r>
        <w:rPr>
          <w:rFonts w:hint="eastAsia" w:ascii="宋体" w:hAnsi="宋体" w:cs="仿宋"/>
          <w:sz w:val="24"/>
          <w:highlight w:val="none"/>
          <w:u w:val="single"/>
        </w:rPr>
        <w:t xml:space="preserve">                                                        </w:t>
      </w:r>
      <w:r/>
    </w:p>
    <w:p>
      <w:pPr>
        <w:spacing w:line="400" w:lineRule="exact"/>
        <w:rPr>
          <w:rFonts w:ascii="宋体" w:hAnsi="宋体" w:cs="仿宋"/>
          <w:b/>
          <w:bCs/>
          <w:sz w:val="24"/>
          <w:highlight w:val="none"/>
        </w:rPr>
      </w:pPr>
      <w:r>
        <w:rPr>
          <w:rFonts w:hint="eastAsia" w:ascii="宋体" w:hAnsi="宋体" w:cs="仿宋"/>
          <w:b/>
          <w:bCs/>
          <w:sz w:val="24"/>
          <w:highlight w:val="none"/>
        </w:rPr>
        <w:t xml:space="preserve">三、质疑事项具体内容</w:t>
      </w:r>
      <w:r/>
    </w:p>
    <w:p>
      <w:pPr>
        <w:spacing w:line="360" w:lineRule="exact"/>
        <w:rPr>
          <w:rFonts w:ascii="宋体" w:hAnsi="宋体" w:cs="仿宋"/>
          <w:sz w:val="24"/>
          <w:highlight w:val="none"/>
          <w:u w:val="single"/>
        </w:rPr>
      </w:pPr>
      <w:r>
        <w:rPr>
          <w:rFonts w:hint="eastAsia" w:ascii="宋体" w:hAnsi="宋体" w:cs="仿宋"/>
          <w:sz w:val="24"/>
          <w:highlight w:val="none"/>
        </w:rPr>
        <w:t xml:space="preserve">质疑事项1：</w:t>
      </w:r>
      <w:r>
        <w:rPr>
          <w:rFonts w:hint="eastAsia" w:ascii="宋体" w:hAnsi="宋体" w:cs="仿宋"/>
          <w:sz w:val="24"/>
          <w:highlight w:val="none"/>
          <w:u w:val="single"/>
        </w:rPr>
        <w:t xml:space="preserve">                                                              </w:t>
      </w:r>
      <w:r/>
    </w:p>
    <w:p>
      <w:pPr>
        <w:spacing w:line="360" w:lineRule="exact"/>
        <w:rPr>
          <w:rFonts w:ascii="宋体" w:hAnsi="宋体" w:cs="仿宋"/>
          <w:sz w:val="24"/>
          <w:highlight w:val="none"/>
        </w:rPr>
      </w:pPr>
      <w:r>
        <w:rPr>
          <w:rFonts w:hint="eastAsia" w:ascii="宋体" w:hAnsi="宋体" w:cs="仿宋"/>
          <w:sz w:val="24"/>
          <w:highlight w:val="none"/>
        </w:rPr>
        <w:t xml:space="preserve">事实依据：</w:t>
      </w:r>
      <w:r>
        <w:rPr>
          <w:rFonts w:hint="eastAsia" w:ascii="宋体" w:hAnsi="宋体" w:cs="仿宋"/>
          <w:sz w:val="24"/>
          <w:highlight w:val="none"/>
          <w:u w:val="single"/>
        </w:rPr>
        <w:t xml:space="preserve">                                                                </w:t>
      </w:r>
      <w:r/>
    </w:p>
    <w:p>
      <w:pPr>
        <w:spacing w:line="360" w:lineRule="exact"/>
        <w:rPr>
          <w:rFonts w:ascii="宋体" w:hAnsi="宋体" w:cs="仿宋"/>
          <w:sz w:val="24"/>
          <w:highlight w:val="none"/>
          <w:u w:val="single"/>
        </w:rPr>
      </w:pPr>
      <w:r>
        <w:rPr>
          <w:rFonts w:hint="eastAsia" w:ascii="宋体" w:hAnsi="宋体" w:cs="仿宋"/>
          <w:sz w:val="24"/>
          <w:highlight w:val="none"/>
        </w:rPr>
        <w:t xml:space="preserve">法律依据：</w:t>
      </w:r>
      <w:r>
        <w:rPr>
          <w:rFonts w:hint="eastAsia" w:ascii="宋体" w:hAnsi="宋体" w:cs="仿宋"/>
          <w:sz w:val="24"/>
          <w:highlight w:val="none"/>
          <w:u w:val="single"/>
        </w:rPr>
        <w:t xml:space="preserve">                                                                </w:t>
      </w:r>
      <w:r/>
    </w:p>
    <w:p>
      <w:pPr>
        <w:spacing w:line="360" w:lineRule="exact"/>
        <w:rPr>
          <w:rFonts w:ascii="宋体" w:hAnsi="宋体" w:cs="仿宋"/>
          <w:sz w:val="24"/>
          <w:highlight w:val="none"/>
          <w:u w:val="single"/>
        </w:rPr>
      </w:pPr>
      <w:r>
        <w:rPr>
          <w:rFonts w:hint="eastAsia" w:ascii="宋体" w:hAnsi="宋体" w:cs="仿宋"/>
          <w:sz w:val="24"/>
          <w:highlight w:val="none"/>
        </w:rPr>
        <w:t xml:space="preserve">质疑事项2：……</w:t>
      </w:r>
      <w:r/>
    </w:p>
    <w:p>
      <w:pPr>
        <w:spacing w:line="400" w:lineRule="exact"/>
        <w:rPr>
          <w:rFonts w:ascii="宋体" w:hAnsi="宋体" w:cs="仿宋"/>
          <w:b/>
          <w:bCs/>
          <w:sz w:val="24"/>
          <w:highlight w:val="none"/>
        </w:rPr>
      </w:pPr>
      <w:r>
        <w:rPr>
          <w:rFonts w:hint="eastAsia" w:ascii="宋体" w:hAnsi="宋体" w:cs="仿宋"/>
          <w:b/>
          <w:bCs/>
          <w:sz w:val="24"/>
          <w:highlight w:val="none"/>
        </w:rPr>
        <w:t xml:space="preserve">四、与质疑事项相关的质疑请求</w:t>
      </w:r>
      <w:r/>
    </w:p>
    <w:p>
      <w:pPr>
        <w:spacing w:line="400" w:lineRule="exact"/>
        <w:rPr>
          <w:rFonts w:ascii="宋体" w:hAnsi="宋体" w:cs="仿宋"/>
          <w:sz w:val="24"/>
          <w:highlight w:val="none"/>
          <w:u w:val="single"/>
        </w:rPr>
      </w:pPr>
      <w:r>
        <w:rPr>
          <w:rFonts w:hint="eastAsia" w:ascii="宋体" w:hAnsi="宋体" w:cs="仿宋"/>
          <w:sz w:val="24"/>
          <w:highlight w:val="none"/>
        </w:rPr>
        <w:t xml:space="preserve">请求：</w:t>
      </w:r>
      <w:r>
        <w:rPr>
          <w:rFonts w:hint="eastAsia" w:ascii="宋体" w:hAnsi="宋体" w:cs="仿宋"/>
          <w:sz w:val="24"/>
          <w:highlight w:val="none"/>
          <w:u w:val="single"/>
        </w:rPr>
        <w:t xml:space="preserve">                                                                     </w:t>
      </w:r>
      <w:r/>
    </w:p>
    <w:p>
      <w:pPr>
        <w:spacing w:line="400" w:lineRule="exact"/>
        <w:rPr>
          <w:rFonts w:ascii="宋体" w:hAnsi="宋体"/>
          <w:sz w:val="24"/>
          <w:highlight w:val="none"/>
        </w:rPr>
      </w:pPr>
      <w:r>
        <w:rPr>
          <w:rFonts w:ascii="宋体" w:hAnsi="宋体"/>
          <w:sz w:val="24"/>
          <w:highlight w:val="none"/>
        </w:rPr>
      </w:r>
      <w:r/>
    </w:p>
    <w:p>
      <w:pPr>
        <w:spacing w:line="400" w:lineRule="exact"/>
        <w:rPr>
          <w:rFonts w:ascii="宋体" w:hAnsi="宋体"/>
          <w:sz w:val="24"/>
          <w:highlight w:val="none"/>
        </w:rPr>
      </w:pPr>
      <w:r>
        <w:rPr>
          <w:rFonts w:hint="eastAsia" w:ascii="宋体" w:hAnsi="宋体"/>
          <w:sz w:val="24"/>
          <w:highlight w:val="none"/>
        </w:rPr>
        <w:t xml:space="preserve">单位公章： </w:t>
      </w:r>
      <w:r>
        <w:rPr>
          <w:rFonts w:ascii="宋体" w:hAnsi="宋体"/>
          <w:sz w:val="24"/>
          <w:highlight w:val="none"/>
        </w:rPr>
        <w:t xml:space="preserve">                    </w:t>
      </w:r>
      <w:r>
        <w:rPr>
          <w:rFonts w:hint="eastAsia" w:ascii="宋体" w:hAnsi="宋体"/>
          <w:sz w:val="24"/>
          <w:highlight w:val="none"/>
        </w:rPr>
        <w:t xml:space="preserve">签字(签章)：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w:t>
      </w:r>
      <w:r/>
    </w:p>
    <w:p>
      <w:pPr>
        <w:spacing w:line="400" w:lineRule="exact"/>
        <w:rPr>
          <w:rFonts w:ascii="宋体" w:hAnsi="宋体"/>
          <w:sz w:val="24"/>
          <w:highlight w:val="none"/>
        </w:rPr>
      </w:pPr>
      <w:r>
        <w:rPr>
          <w:rFonts w:ascii="宋体" w:hAnsi="宋体"/>
          <w:sz w:val="24"/>
          <w:highlight w:val="none"/>
        </w:rPr>
      </w:r>
      <w:r/>
    </w:p>
    <w:p>
      <w:pPr>
        <w:jc w:val="left"/>
        <w:spacing w:line="320" w:lineRule="exact"/>
        <w:rPr>
          <w:rFonts w:ascii="宋体" w:hAnsi="宋体"/>
          <w:b/>
          <w:highlight w:val="none"/>
        </w:rPr>
      </w:pPr>
      <w:r>
        <w:rPr>
          <w:rFonts w:hint="eastAsia" w:ascii="宋体" w:hAnsi="宋体"/>
          <w:b/>
          <w:highlight w:val="none"/>
        </w:rPr>
        <w:t xml:space="preserve">质疑函制作说明：</w:t>
      </w:r>
      <w:r/>
    </w:p>
    <w:p>
      <w:pPr>
        <w:spacing w:line="320" w:lineRule="exact"/>
        <w:widowControl/>
        <w:rPr>
          <w:rFonts w:ascii="宋体" w:hAnsi="宋体"/>
          <w:highlight w:val="none"/>
        </w:rPr>
      </w:pPr>
      <w:r>
        <w:rPr>
          <w:rFonts w:hint="eastAsia" w:ascii="宋体" w:hAnsi="宋体"/>
          <w:highlight w:val="none"/>
        </w:rPr>
        <w:t xml:space="preserve">1.供应商提出质疑时，应提交质疑函和必要的证明材料。</w:t>
      </w:r>
      <w:r/>
    </w:p>
    <w:p>
      <w:pPr>
        <w:spacing w:line="320" w:lineRule="exact"/>
        <w:widowControl/>
        <w:rPr>
          <w:rFonts w:ascii="宋体" w:hAnsi="宋体"/>
          <w:highlight w:val="none"/>
        </w:rPr>
      </w:pPr>
      <w:r>
        <w:rPr>
          <w:rFonts w:hint="eastAsia" w:ascii="宋体" w:hAnsi="宋体"/>
          <w:highlight w:val="none"/>
        </w:rPr>
        <w:t xml:space="preserve">2.质疑供应商若委托代理人进行质疑的，质疑函应按要求列明“授权代表”的有关内容，并在附件中提交由质疑</w:t>
      </w:r>
      <w:r>
        <w:rPr>
          <w:rFonts w:hint="eastAsia" w:ascii="宋体" w:hAnsi="宋体" w:cs="宋体"/>
          <w:highlight w:val="none"/>
        </w:rPr>
        <w:t xml:space="preserve">供应商签署的授权委托书。授权委托书应载明代理人的姓名或者名称、代理事项、具体权限、期限和相关事项。</w:t>
      </w:r>
      <w:r/>
    </w:p>
    <w:p>
      <w:pPr>
        <w:spacing w:line="320" w:lineRule="exact"/>
        <w:widowControl/>
        <w:rPr>
          <w:rFonts w:ascii="宋体" w:hAnsi="宋体"/>
          <w:highlight w:val="none"/>
        </w:rPr>
      </w:pPr>
      <w:r>
        <w:rPr>
          <w:rFonts w:hint="eastAsia" w:ascii="宋体" w:hAnsi="宋体"/>
          <w:highlight w:val="none"/>
        </w:rPr>
        <w:t xml:space="preserve">3.质疑供应商若对项目的某一分包进行质疑，质疑函中应列明具体分包号。</w:t>
      </w:r>
      <w:r/>
    </w:p>
    <w:p>
      <w:pPr>
        <w:spacing w:line="320" w:lineRule="exact"/>
        <w:widowControl/>
        <w:rPr>
          <w:rFonts w:ascii="宋体" w:hAnsi="宋体"/>
          <w:highlight w:val="none"/>
        </w:rPr>
      </w:pPr>
      <w:r>
        <w:rPr>
          <w:rFonts w:hint="eastAsia" w:ascii="宋体" w:hAnsi="宋体"/>
          <w:highlight w:val="none"/>
        </w:rPr>
        <w:t xml:space="preserve">4.质疑函的质疑事项应具体、明确，并有必要的事实依据和法律依据。</w:t>
      </w:r>
      <w:r/>
    </w:p>
    <w:p>
      <w:pPr>
        <w:spacing w:line="320" w:lineRule="exact"/>
        <w:widowControl/>
        <w:rPr>
          <w:rFonts w:ascii="宋体" w:hAnsi="宋体"/>
          <w:highlight w:val="none"/>
        </w:rPr>
      </w:pPr>
      <w:r>
        <w:rPr>
          <w:rFonts w:hint="eastAsia" w:ascii="宋体" w:hAnsi="宋体"/>
          <w:highlight w:val="none"/>
        </w:rPr>
        <w:t xml:space="preserve">5.质疑函的质疑请求应与质疑事项相关。</w:t>
      </w:r>
      <w:r/>
    </w:p>
    <w:p>
      <w:pPr>
        <w:spacing w:line="320" w:lineRule="exact"/>
        <w:widowControl/>
        <w:rPr>
          <w:rFonts w:ascii="宋体" w:hAnsi="宋体"/>
          <w:highlight w:val="none"/>
        </w:rPr>
      </w:pPr>
      <w:r>
        <w:rPr>
          <w:rFonts w:hint="eastAsia" w:ascii="宋体" w:hAnsi="宋体"/>
          <w:highlight w:val="none"/>
        </w:rPr>
        <w:t xml:space="preserve">质疑供应商为自然人的，质疑函应由本人签字；质疑供应商为法人或者其他组织的，质疑函应由法定代表人、主要负责人，或者其授权代表签字或者盖章，并加盖公章。</w:t>
      </w:r>
      <w:r/>
    </w:p>
    <w:p>
      <w:pPr>
        <w:spacing w:line="320" w:lineRule="exact"/>
        <w:widowControl/>
        <w:rPr>
          <w:rFonts w:ascii="宋体" w:hAnsi="宋体"/>
          <w:highlight w:val="none"/>
        </w:rPr>
      </w:pPr>
      <w:r>
        <w:rPr>
          <w:rFonts w:hint="eastAsia" w:ascii="宋体" w:hAnsi="宋体"/>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80" w:lineRule="exact"/>
        <w:rPr>
          <w:rFonts w:hint="eastAsia" w:ascii="宋体" w:hAnsi="宋体" w:cs="仿宋"/>
          <w:color w:val="auto"/>
          <w:sz w:val="24"/>
          <w:szCs w:val="24"/>
          <w:highlight w:val="none"/>
        </w:rPr>
      </w:pPr>
      <w:r>
        <w:rPr>
          <w:rFonts w:hint="eastAsia" w:ascii="宋体" w:hAnsi="宋体" w:cs="仿宋"/>
          <w:color w:val="auto"/>
          <w:sz w:val="24"/>
          <w:szCs w:val="24"/>
          <w:highlight w:val="none"/>
        </w:rPr>
      </w:r>
      <w:r/>
    </w:p>
    <w:sectPr>
      <w:footnotePr/>
      <w:endnotePr/>
      <w:type w:val="nextPage"/>
      <w:pgSz w:w="11906" w:h="16838" w:orient="portrait"/>
      <w:pgMar w:top="1417" w:right="1814" w:bottom="1417" w:left="1814"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3"/>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3"/>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8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07"/>
      <w:isLgl w:val="false"/>
      <w:suff w:val="nothing"/>
      <w:lvlText w:val=""/>
      <w:lvlJc w:val="left"/>
      <w:pPr>
        <w:ind w:left="0" w:firstLine="0"/>
      </w:pPr>
      <w:rPr>
        <w:rFonts w:hint="eastAsia"/>
      </w:rPr>
    </w:lvl>
    <w:lvl w:ilvl="6">
      <w:start w:val="1"/>
      <w:numFmt w:val="decimal"/>
      <w:pStyle w:val="1009"/>
      <w:isLgl w:val="false"/>
      <w:suff w:val="nothing"/>
      <w:lvlText w:val=""/>
      <w:lvlJc w:val="left"/>
      <w:pPr>
        <w:ind w:left="0" w:firstLine="0"/>
      </w:pPr>
      <w:rPr>
        <w:rFonts w:hint="eastAsia"/>
      </w:rPr>
    </w:lvl>
    <w:lvl w:ilvl="7">
      <w:start w:val="1"/>
      <w:numFmt w:val="decimal"/>
      <w:pStyle w:val="1011"/>
      <w:isLgl w:val="false"/>
      <w:suff w:val="nothing"/>
      <w:lvlText w:val=""/>
      <w:lvlJc w:val="left"/>
      <w:pPr>
        <w:ind w:left="0" w:firstLine="0"/>
      </w:pPr>
      <w:rPr>
        <w:rFonts w:hint="eastAsia"/>
      </w:rPr>
    </w:lvl>
    <w:lvl w:ilvl="8">
      <w:start w:val="1"/>
      <w:numFmt w:val="decimal"/>
      <w:pStyle w:val="1013"/>
      <w:isLgl w:val="false"/>
      <w:suff w:val="nothing"/>
      <w:lvlText w:val=""/>
      <w:lvlJc w:val="left"/>
      <w:pPr>
        <w:ind w:left="0" w:firstLine="0"/>
      </w:pPr>
      <w:rPr>
        <w:rFonts w:hint="eastAsia"/>
      </w:rPr>
    </w:lvl>
  </w:abstractNum>
  <w:abstractNum w:abstractNumId="3">
    <w:multiLevelType w:val="hybridMultilevel"/>
    <w:lvl w:ilvl="0">
      <w:start w:val="1"/>
      <w:numFmt w:val="decimal"/>
      <w:pStyle w:val="109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next w:val="753"/>
    <w:link w:val="111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2">
    <w:name w:val="Heading 1"/>
    <w:basedOn w:val="741"/>
    <w:next w:val="741"/>
    <w:link w:val="784"/>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link w:val="785"/>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41"/>
    <w:link w:val="786"/>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41"/>
    <w:link w:val="787"/>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788"/>
    <w:uiPriority w:val="9"/>
    <w:unhideWhenUsed/>
    <w:qFormat/>
    <w:pPr>
      <w:keepLines/>
      <w:keepNext/>
      <w:spacing w:before="320" w:after="200"/>
      <w:outlineLvl w:val="4"/>
    </w:pPr>
    <w:rPr>
      <w:rFonts w:ascii="Arial" w:hAnsi="Arial" w:eastAsia="Arial" w:cs="Arial"/>
      <w:b/>
      <w:bCs/>
      <w:sz w:val="24"/>
      <w:szCs w:val="24"/>
    </w:rPr>
  </w:style>
  <w:style w:type="paragraph" w:styleId="747">
    <w:name w:val="Heading 6"/>
    <w:basedOn w:val="741"/>
    <w:next w:val="741"/>
    <w:link w:val="789"/>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791"/>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792"/>
    <w:uiPriority w:val="9"/>
    <w:unhideWhenUsed/>
    <w:qFormat/>
    <w:pPr>
      <w:keepLines/>
      <w:keepNext/>
      <w:spacing w:before="320" w:after="200"/>
      <w:outlineLvl w:val="8"/>
    </w:pPr>
    <w:rPr>
      <w:rFonts w:ascii="Arial" w:hAnsi="Arial" w:eastAsia="Arial" w:cs="Arial"/>
      <w:i/>
      <w:iCs/>
      <w:sz w:val="21"/>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Body Text First Indent 2"/>
    <w:basedOn w:val="754"/>
    <w:uiPriority w:val="0"/>
    <w:unhideWhenUsed/>
    <w:pPr>
      <w:ind w:left="420" w:firstLine="420"/>
      <w:spacing w:after="120"/>
    </w:pPr>
    <w:rPr>
      <w:rFonts w:ascii="宋体" w:hAnsi="宋体"/>
      <w:sz w:val="21"/>
    </w:rPr>
  </w:style>
  <w:style w:type="paragraph" w:styleId="754">
    <w:name w:val="Body Text Indent"/>
    <w:basedOn w:val="741"/>
    <w:uiPriority w:val="0"/>
    <w:pPr>
      <w:ind w:firstLine="645"/>
    </w:pPr>
    <w:rPr>
      <w:rFonts w:ascii="楷体_GB2312" w:eastAsia="楷体_GB2312"/>
      <w:sz w:val="32"/>
      <w:szCs w:val="20"/>
    </w:rPr>
  </w:style>
  <w:style w:type="paragraph" w:styleId="755">
    <w:name w:val="toc 7"/>
    <w:basedOn w:val="741"/>
    <w:next w:val="741"/>
    <w:uiPriority w:val="39"/>
    <w:unhideWhenUsed/>
    <w:qFormat/>
    <w:pPr>
      <w:ind w:left="1701" w:right="0" w:firstLine="0"/>
      <w:spacing w:after="57"/>
    </w:pPr>
  </w:style>
  <w:style w:type="paragraph" w:styleId="756">
    <w:name w:val="Caption"/>
    <w:basedOn w:val="741"/>
    <w:next w:val="7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7">
    <w:name w:val="annotation text"/>
    <w:basedOn w:val="741"/>
    <w:uiPriority w:val="99"/>
    <w:semiHidden/>
    <w:unhideWhenUsed/>
    <w:qFormat/>
    <w:pPr>
      <w:jc w:val="left"/>
    </w:pPr>
  </w:style>
  <w:style w:type="paragraph" w:styleId="758">
    <w:name w:val="toc 5"/>
    <w:basedOn w:val="741"/>
    <w:next w:val="741"/>
    <w:uiPriority w:val="39"/>
    <w:unhideWhenUsed/>
    <w:qFormat/>
    <w:pPr>
      <w:ind w:left="1134" w:right="0" w:firstLine="0"/>
      <w:spacing w:after="57"/>
    </w:pPr>
  </w:style>
  <w:style w:type="paragraph" w:styleId="759">
    <w:name w:val="toc 3"/>
    <w:basedOn w:val="741"/>
    <w:next w:val="741"/>
    <w:uiPriority w:val="39"/>
    <w:unhideWhenUsed/>
    <w:qFormat/>
    <w:pPr>
      <w:ind w:left="567" w:right="0" w:firstLine="0"/>
      <w:spacing w:after="57"/>
    </w:pPr>
  </w:style>
  <w:style w:type="paragraph" w:styleId="760">
    <w:name w:val="Plain Text"/>
    <w:basedOn w:val="741"/>
    <w:uiPriority w:val="0"/>
    <w:qFormat/>
    <w:rPr>
      <w:rFonts w:ascii="宋体" w:hAnsi="Courier New" w:eastAsia="宋体"/>
      <w:sz w:val="28"/>
      <w:szCs w:val="28"/>
    </w:rPr>
  </w:style>
  <w:style w:type="paragraph" w:styleId="761">
    <w:name w:val="toc 8"/>
    <w:basedOn w:val="741"/>
    <w:next w:val="741"/>
    <w:uiPriority w:val="39"/>
    <w:unhideWhenUsed/>
    <w:qFormat/>
    <w:pPr>
      <w:ind w:left="1984" w:right="0" w:firstLine="0"/>
      <w:spacing w:after="57"/>
    </w:pPr>
  </w:style>
  <w:style w:type="paragraph" w:styleId="762">
    <w:name w:val="endnote text"/>
    <w:basedOn w:val="741"/>
    <w:link w:val="804"/>
    <w:uiPriority w:val="99"/>
    <w:semiHidden/>
    <w:unhideWhenUsed/>
    <w:qFormat/>
    <w:pPr>
      <w:spacing w:after="0" w:line="240" w:lineRule="auto"/>
    </w:pPr>
    <w:rPr>
      <w:sz w:val="20"/>
    </w:rPr>
  </w:style>
  <w:style w:type="paragraph" w:styleId="763">
    <w:name w:val="Footer"/>
    <w:basedOn w:val="741"/>
    <w:link w:val="802"/>
    <w:uiPriority w:val="99"/>
    <w:unhideWhenUsed/>
    <w:qFormat/>
    <w:pPr>
      <w:spacing w:after="0" w:line="240" w:lineRule="auto"/>
      <w:tabs>
        <w:tab w:val="center" w:pos="7143" w:leader="none"/>
        <w:tab w:val="right" w:pos="14287" w:leader="none"/>
      </w:tabs>
    </w:pPr>
  </w:style>
  <w:style w:type="paragraph" w:styleId="764">
    <w:name w:val="Header"/>
    <w:basedOn w:val="741"/>
    <w:link w:val="801"/>
    <w:uiPriority w:val="99"/>
    <w:unhideWhenUsed/>
    <w:qFormat/>
    <w:pPr>
      <w:spacing w:after="0" w:line="240" w:lineRule="auto"/>
      <w:tabs>
        <w:tab w:val="center" w:pos="7143" w:leader="none"/>
        <w:tab w:val="right" w:pos="14287" w:leader="none"/>
      </w:tabs>
    </w:pPr>
  </w:style>
  <w:style w:type="paragraph" w:styleId="765">
    <w:name w:val="toc 1"/>
    <w:basedOn w:val="741"/>
    <w:next w:val="741"/>
    <w:uiPriority w:val="39"/>
    <w:unhideWhenUsed/>
    <w:qFormat/>
    <w:pPr>
      <w:ind w:left="0" w:right="0" w:firstLine="0"/>
      <w:spacing w:after="57"/>
    </w:pPr>
  </w:style>
  <w:style w:type="paragraph" w:styleId="766">
    <w:name w:val="toc 4"/>
    <w:basedOn w:val="741"/>
    <w:next w:val="741"/>
    <w:uiPriority w:val="39"/>
    <w:unhideWhenUsed/>
    <w:qFormat/>
    <w:pPr>
      <w:ind w:left="850" w:right="0" w:firstLine="0"/>
      <w:spacing w:after="57"/>
    </w:pPr>
  </w:style>
  <w:style w:type="paragraph" w:styleId="767">
    <w:name w:val="Subtitle"/>
    <w:basedOn w:val="741"/>
    <w:next w:val="741"/>
    <w:link w:val="796"/>
    <w:uiPriority w:val="11"/>
    <w:qFormat/>
    <w:pPr>
      <w:spacing w:before="200" w:after="200"/>
    </w:pPr>
    <w:rPr>
      <w:sz w:val="24"/>
      <w:szCs w:val="24"/>
    </w:rPr>
  </w:style>
  <w:style w:type="paragraph" w:styleId="768">
    <w:name w:val="footnote text"/>
    <w:basedOn w:val="741"/>
    <w:link w:val="803"/>
    <w:uiPriority w:val="99"/>
    <w:semiHidden/>
    <w:unhideWhenUsed/>
    <w:qFormat/>
    <w:pPr>
      <w:spacing w:after="40" w:line="240" w:lineRule="auto"/>
    </w:pPr>
    <w:rPr>
      <w:sz w:val="18"/>
    </w:rPr>
  </w:style>
  <w:style w:type="paragraph" w:styleId="769">
    <w:name w:val="toc 6"/>
    <w:basedOn w:val="741"/>
    <w:next w:val="741"/>
    <w:uiPriority w:val="39"/>
    <w:unhideWhenUsed/>
    <w:qFormat/>
    <w:pPr>
      <w:ind w:left="1417" w:right="0" w:firstLine="0"/>
      <w:spacing w:after="57"/>
    </w:pPr>
  </w:style>
  <w:style w:type="paragraph" w:styleId="770">
    <w:name w:val="table of figures"/>
    <w:basedOn w:val="741"/>
    <w:next w:val="741"/>
    <w:uiPriority w:val="99"/>
    <w:unhideWhenUsed/>
    <w:qFormat/>
    <w:pPr>
      <w:spacing w:after="0" w:afterAutospacing="0"/>
    </w:pPr>
  </w:style>
  <w:style w:type="paragraph" w:styleId="771">
    <w:name w:val="toc 2"/>
    <w:basedOn w:val="741"/>
    <w:next w:val="741"/>
    <w:uiPriority w:val="39"/>
    <w:unhideWhenUsed/>
    <w:qFormat/>
    <w:pPr>
      <w:ind w:left="283" w:right="0" w:firstLine="0"/>
      <w:spacing w:after="57"/>
    </w:pPr>
  </w:style>
  <w:style w:type="paragraph" w:styleId="772">
    <w:name w:val="toc 9"/>
    <w:basedOn w:val="741"/>
    <w:next w:val="741"/>
    <w:uiPriority w:val="39"/>
    <w:unhideWhenUsed/>
    <w:qFormat/>
    <w:pPr>
      <w:ind w:left="2268" w:right="0" w:firstLine="0"/>
      <w:spacing w:after="57"/>
    </w:pPr>
  </w:style>
  <w:style w:type="paragraph" w:styleId="773">
    <w:name w:val="Normal (Web)"/>
    <w:basedOn w:val="741"/>
    <w:uiPriority w:val="99"/>
    <w:semiHidden/>
    <w:unhideWhenUsed/>
    <w:qFormat/>
    <w:rPr>
      <w:sz w:val="24"/>
    </w:rPr>
  </w:style>
  <w:style w:type="paragraph" w:styleId="774">
    <w:name w:val="Title"/>
    <w:basedOn w:val="741"/>
    <w:next w:val="741"/>
    <w:link w:val="795"/>
    <w:uiPriority w:val="10"/>
    <w:qFormat/>
    <w:pPr>
      <w:contextualSpacing/>
      <w:spacing w:before="300" w:after="200"/>
    </w:pPr>
    <w:rPr>
      <w:sz w:val="48"/>
      <w:szCs w:val="48"/>
    </w:rPr>
  </w:style>
  <w:style w:type="table" w:styleId="7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Strong"/>
    <w:uiPriority w:val="99"/>
    <w:qFormat/>
    <w:rPr>
      <w:rFonts w:cs="Times New Roman"/>
      <w:b/>
    </w:rPr>
  </w:style>
  <w:style w:type="character" w:styleId="777">
    <w:name w:val="endnote reference"/>
    <w:uiPriority w:val="99"/>
    <w:semiHidden/>
    <w:unhideWhenUsed/>
    <w:qFormat/>
    <w:rPr>
      <w:vertAlign w:val="superscript"/>
    </w:rPr>
  </w:style>
  <w:style w:type="character" w:styleId="778">
    <w:name w:val="Hyperlink"/>
    <w:uiPriority w:val="99"/>
    <w:unhideWhenUsed/>
    <w:qFormat/>
    <w:rPr>
      <w:color w:val="0000ff" w:themeColor="hyperlink"/>
      <w:u w:val="single"/>
      <w14:textFill>
        <w14:solidFill>
          <w14:schemeClr w14:val="hlink"/>
        </w14:solidFill>
      </w14:textFill>
    </w:rPr>
  </w:style>
  <w:style w:type="character" w:styleId="779">
    <w:name w:val="footnote reference"/>
    <w:uiPriority w:val="99"/>
    <w:unhideWhenUsed/>
    <w:qFormat/>
    <w:rPr>
      <w:vertAlign w:val="superscript"/>
    </w:rPr>
  </w:style>
  <w:style w:type="paragraph" w:styleId="780" w:customStyle="1">
    <w:name w:val="首行缩进"/>
    <w:basedOn w:val="741"/>
    <w:uiPriority w:val="0"/>
    <w:qFormat/>
    <w:pPr>
      <w:ind w:firstLine="480"/>
    </w:pPr>
    <w:rPr>
      <w:lang w:val="zh-CN"/>
    </w:rPr>
  </w:style>
  <w:style w:type="character" w:styleId="781" w:customStyle="1">
    <w:name w:val="标题 2 Char"/>
    <w:link w:val="782"/>
    <w:uiPriority w:val="0"/>
    <w:qFormat/>
    <w:rPr>
      <w:rFonts w:ascii="Arial" w:hAnsi="Arial" w:eastAsia="幼圆" w:cs="Arial"/>
      <w:b/>
      <w:bCs/>
      <w:sz w:val="44"/>
      <w:szCs w:val="44"/>
    </w:rPr>
  </w:style>
  <w:style w:type="paragraph" w:styleId="782" w:customStyle="1">
    <w:name w:val="标题 21"/>
    <w:basedOn w:val="741"/>
    <w:next w:val="783"/>
    <w:link w:val="781"/>
    <w:uiPriority w:val="0"/>
    <w:qFormat/>
    <w:pPr>
      <w:jc w:val="center"/>
      <w:keepLines/>
      <w:keepNext/>
      <w:spacing w:before="260" w:after="260" w:line="416" w:lineRule="auto"/>
      <w:outlineLvl w:val="1"/>
    </w:pPr>
    <w:rPr>
      <w:rFonts w:ascii="Arial" w:hAnsi="Arial" w:eastAsia="幼圆"/>
      <w:b/>
      <w:bCs/>
      <w:sz w:val="44"/>
      <w:szCs w:val="44"/>
    </w:rPr>
  </w:style>
  <w:style w:type="paragraph" w:styleId="783" w:customStyle="1">
    <w:name w:val="正文缩进11"/>
    <w:basedOn w:val="741"/>
    <w:link w:val="1000"/>
    <w:uiPriority w:val="0"/>
    <w:qFormat/>
    <w:pPr>
      <w:ind w:firstLine="420"/>
    </w:pPr>
    <w:rPr>
      <w:sz w:val="20"/>
    </w:rPr>
  </w:style>
  <w:style w:type="character" w:styleId="784" w:customStyle="1">
    <w:name w:val="Heading 1 Char"/>
    <w:link w:val="742"/>
    <w:uiPriority w:val="9"/>
    <w:qFormat/>
    <w:rPr>
      <w:rFonts w:ascii="Arial" w:hAnsi="Arial" w:eastAsia="Arial" w:cs="Arial"/>
      <w:sz w:val="40"/>
      <w:szCs w:val="40"/>
    </w:rPr>
  </w:style>
  <w:style w:type="character" w:styleId="785" w:customStyle="1">
    <w:name w:val="Heading 2 Char"/>
    <w:link w:val="743"/>
    <w:uiPriority w:val="9"/>
    <w:qFormat/>
    <w:rPr>
      <w:rFonts w:ascii="Arial" w:hAnsi="Arial" w:eastAsia="Arial" w:cs="Arial"/>
      <w:sz w:val="34"/>
    </w:rPr>
  </w:style>
  <w:style w:type="character" w:styleId="786" w:customStyle="1">
    <w:name w:val="Heading 3 Char"/>
    <w:link w:val="744"/>
    <w:uiPriority w:val="9"/>
    <w:qFormat/>
    <w:rPr>
      <w:rFonts w:ascii="Arial" w:hAnsi="Arial" w:eastAsia="Arial" w:cs="Arial"/>
      <w:sz w:val="30"/>
      <w:szCs w:val="30"/>
    </w:rPr>
  </w:style>
  <w:style w:type="character" w:styleId="787" w:customStyle="1">
    <w:name w:val="Heading 4 Char"/>
    <w:link w:val="745"/>
    <w:uiPriority w:val="9"/>
    <w:qFormat/>
    <w:rPr>
      <w:rFonts w:ascii="Arial" w:hAnsi="Arial" w:eastAsia="Arial" w:cs="Arial"/>
      <w:b/>
      <w:bCs/>
      <w:sz w:val="26"/>
      <w:szCs w:val="26"/>
    </w:rPr>
  </w:style>
  <w:style w:type="character" w:styleId="788" w:customStyle="1">
    <w:name w:val="Heading 5 Char"/>
    <w:link w:val="746"/>
    <w:uiPriority w:val="9"/>
    <w:qFormat/>
    <w:rPr>
      <w:rFonts w:ascii="Arial" w:hAnsi="Arial" w:eastAsia="Arial" w:cs="Arial"/>
      <w:b/>
      <w:bCs/>
      <w:sz w:val="24"/>
      <w:szCs w:val="24"/>
    </w:rPr>
  </w:style>
  <w:style w:type="character" w:styleId="789" w:customStyle="1">
    <w:name w:val="Heading 6 Char"/>
    <w:link w:val="747"/>
    <w:uiPriority w:val="9"/>
    <w:qFormat/>
    <w:rPr>
      <w:rFonts w:ascii="Arial" w:hAnsi="Arial" w:eastAsia="Arial" w:cs="Arial"/>
      <w:b/>
      <w:bCs/>
      <w:sz w:val="22"/>
      <w:szCs w:val="22"/>
    </w:rPr>
  </w:style>
  <w:style w:type="character" w:styleId="790" w:customStyle="1">
    <w:name w:val="Heading 7 Char"/>
    <w:link w:val="748"/>
    <w:uiPriority w:val="9"/>
    <w:qFormat/>
    <w:rPr>
      <w:rFonts w:ascii="Arial" w:hAnsi="Arial" w:eastAsia="Arial" w:cs="Arial"/>
      <w:b/>
      <w:bCs/>
      <w:i/>
      <w:iCs/>
      <w:sz w:val="22"/>
      <w:szCs w:val="22"/>
    </w:rPr>
  </w:style>
  <w:style w:type="character" w:styleId="791" w:customStyle="1">
    <w:name w:val="Heading 8 Char"/>
    <w:link w:val="749"/>
    <w:uiPriority w:val="9"/>
    <w:qFormat/>
    <w:rPr>
      <w:rFonts w:ascii="Arial" w:hAnsi="Arial" w:eastAsia="Arial" w:cs="Arial"/>
      <w:i/>
      <w:iCs/>
      <w:sz w:val="22"/>
      <w:szCs w:val="22"/>
    </w:rPr>
  </w:style>
  <w:style w:type="character" w:styleId="792" w:customStyle="1">
    <w:name w:val="Heading 9 Char"/>
    <w:link w:val="750"/>
    <w:uiPriority w:val="9"/>
    <w:qFormat/>
    <w:rPr>
      <w:rFonts w:ascii="Arial" w:hAnsi="Arial" w:eastAsia="Arial" w:cs="Arial"/>
      <w:i/>
      <w:iCs/>
      <w:sz w:val="21"/>
      <w:szCs w:val="21"/>
    </w:rPr>
  </w:style>
  <w:style w:type="paragraph" w:styleId="793">
    <w:name w:val="List Paragraph"/>
    <w:basedOn w:val="741"/>
    <w:uiPriority w:val="34"/>
    <w:qFormat/>
    <w:pPr>
      <w:contextualSpacing/>
      <w:ind w:left="720"/>
    </w:pPr>
  </w:style>
  <w:style w:type="paragraph" w:styleId="794">
    <w:name w:val="No Spacing"/>
    <w:uiPriority w:val="1"/>
    <w:qFormat/>
    <w:pPr>
      <w:spacing w:before="0" w:after="0" w:line="240" w:lineRule="auto"/>
    </w:pPr>
    <w:rPr>
      <w:rFonts w:hint="default" w:ascii="Times New Roman" w:hAnsi="Times New Roman" w:eastAsia="宋体" w:cs="Times New Roman"/>
    </w:rPr>
  </w:style>
  <w:style w:type="character" w:styleId="795" w:customStyle="1">
    <w:name w:val="Title Char"/>
    <w:link w:val="774"/>
    <w:uiPriority w:val="10"/>
    <w:qFormat/>
    <w:rPr>
      <w:sz w:val="48"/>
      <w:szCs w:val="48"/>
    </w:rPr>
  </w:style>
  <w:style w:type="character" w:styleId="796" w:customStyle="1">
    <w:name w:val="Subtitle Char"/>
    <w:link w:val="767"/>
    <w:uiPriority w:val="11"/>
    <w:qFormat/>
    <w:rPr>
      <w:sz w:val="24"/>
      <w:szCs w:val="24"/>
    </w:rPr>
  </w:style>
  <w:style w:type="paragraph" w:styleId="797">
    <w:name w:val="Quote"/>
    <w:basedOn w:val="741"/>
    <w:next w:val="741"/>
    <w:link w:val="798"/>
    <w:uiPriority w:val="29"/>
    <w:qFormat/>
    <w:pPr>
      <w:ind w:left="720" w:right="720"/>
    </w:pPr>
    <w:rPr>
      <w:i/>
    </w:rPr>
  </w:style>
  <w:style w:type="character" w:styleId="798" w:customStyle="1">
    <w:name w:val="Quote Char"/>
    <w:link w:val="797"/>
    <w:uiPriority w:val="29"/>
    <w:qFormat/>
    <w:rPr>
      <w:i/>
    </w:rPr>
  </w:style>
  <w:style w:type="paragraph" w:styleId="799">
    <w:name w:val="Intense Quote"/>
    <w:basedOn w:val="741"/>
    <w:next w:val="741"/>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Intense Quote Char"/>
    <w:link w:val="799"/>
    <w:uiPriority w:val="30"/>
    <w:qFormat/>
    <w:rPr>
      <w:i/>
    </w:rPr>
  </w:style>
  <w:style w:type="character" w:styleId="801" w:customStyle="1">
    <w:name w:val="Header Char"/>
    <w:link w:val="764"/>
    <w:uiPriority w:val="99"/>
    <w:qFormat/>
  </w:style>
  <w:style w:type="character" w:styleId="802" w:customStyle="1">
    <w:name w:val="Footer Char"/>
    <w:link w:val="763"/>
    <w:uiPriority w:val="99"/>
    <w:qFormat/>
  </w:style>
  <w:style w:type="character" w:styleId="803" w:customStyle="1">
    <w:name w:val="Footnote Text Char"/>
    <w:link w:val="768"/>
    <w:uiPriority w:val="99"/>
    <w:qFormat/>
    <w:rPr>
      <w:sz w:val="18"/>
    </w:rPr>
  </w:style>
  <w:style w:type="character" w:styleId="804" w:customStyle="1">
    <w:name w:val="Endnote Text Char"/>
    <w:link w:val="762"/>
    <w:uiPriority w:val="99"/>
    <w:qFormat/>
    <w:rPr>
      <w:sz w:val="20"/>
    </w:rPr>
  </w:style>
  <w:style w:type="paragraph" w:styleId="805" w:customStyle="1">
    <w:name w:val="标题 111"/>
    <w:basedOn w:val="741"/>
    <w:next w:val="741"/>
    <w:link w:val="818"/>
    <w:uiPriority w:val="9"/>
    <w:qFormat/>
    <w:pPr>
      <w:keepLines/>
      <w:keepNext/>
      <w:spacing w:before="480" w:after="200"/>
      <w:outlineLvl w:val="0"/>
    </w:pPr>
    <w:rPr>
      <w:b/>
      <w:bCs/>
      <w:sz w:val="32"/>
      <w:szCs w:val="44"/>
    </w:rPr>
  </w:style>
  <w:style w:type="paragraph" w:styleId="806" w:customStyle="1">
    <w:name w:val="标题 211"/>
    <w:basedOn w:val="741"/>
    <w:next w:val="741"/>
    <w:link w:val="819"/>
    <w:uiPriority w:val="9"/>
    <w:qFormat/>
    <w:pPr>
      <w:keepLines/>
      <w:keepNext/>
      <w:spacing w:before="360" w:after="200"/>
      <w:outlineLvl w:val="1"/>
    </w:pPr>
    <w:rPr>
      <w:rFonts w:ascii="Arial" w:hAnsi="Arial" w:eastAsia="Arial"/>
      <w:sz w:val="34"/>
      <w:szCs w:val="20"/>
    </w:rPr>
  </w:style>
  <w:style w:type="paragraph" w:styleId="807" w:customStyle="1">
    <w:name w:val="标题 312"/>
    <w:basedOn w:val="741"/>
    <w:next w:val="808"/>
    <w:link w:val="820"/>
    <w:uiPriority w:val="9"/>
    <w:qFormat/>
    <w:pPr>
      <w:keepLines/>
      <w:keepNext/>
      <w:spacing w:before="320" w:after="200"/>
      <w:outlineLvl w:val="2"/>
    </w:pPr>
    <w:rPr>
      <w:rFonts w:ascii="Arial" w:hAnsi="Arial" w:eastAsia="Arial"/>
      <w:sz w:val="30"/>
      <w:szCs w:val="30"/>
    </w:rPr>
  </w:style>
  <w:style w:type="paragraph" w:styleId="808" w:customStyle="1">
    <w:name w:val="正文缩进12"/>
    <w:basedOn w:val="741"/>
    <w:uiPriority w:val="0"/>
    <w:qFormat/>
    <w:pPr>
      <w:ind w:firstLine="420"/>
    </w:pPr>
  </w:style>
  <w:style w:type="paragraph" w:styleId="809" w:customStyle="1">
    <w:name w:val="标题 411"/>
    <w:basedOn w:val="741"/>
    <w:next w:val="808"/>
    <w:link w:val="821"/>
    <w:uiPriority w:val="9"/>
    <w:qFormat/>
    <w:pPr>
      <w:keepLines/>
      <w:keepNext/>
      <w:spacing w:before="320" w:after="200"/>
      <w:outlineLvl w:val="3"/>
    </w:pPr>
    <w:rPr>
      <w:rFonts w:ascii="Arial" w:hAnsi="Arial" w:eastAsia="Arial"/>
      <w:b/>
      <w:bCs/>
      <w:sz w:val="26"/>
      <w:szCs w:val="26"/>
    </w:rPr>
  </w:style>
  <w:style w:type="paragraph" w:styleId="810" w:customStyle="1">
    <w:name w:val="标题 511"/>
    <w:basedOn w:val="741"/>
    <w:next w:val="741"/>
    <w:link w:val="822"/>
    <w:uiPriority w:val="9"/>
    <w:qFormat/>
    <w:pPr>
      <w:keepLines/>
      <w:keepNext/>
      <w:spacing w:before="320" w:after="200"/>
      <w:outlineLvl w:val="4"/>
    </w:pPr>
    <w:rPr>
      <w:rFonts w:ascii="Arial" w:hAnsi="Arial" w:eastAsia="Arial"/>
      <w:b/>
      <w:bCs/>
      <w:sz w:val="24"/>
      <w:szCs w:val="24"/>
    </w:rPr>
  </w:style>
  <w:style w:type="paragraph" w:styleId="811" w:customStyle="1">
    <w:name w:val="标题 611"/>
    <w:basedOn w:val="741"/>
    <w:next w:val="741"/>
    <w:link w:val="823"/>
    <w:uiPriority w:val="9"/>
    <w:qFormat/>
    <w:pPr>
      <w:keepLines/>
      <w:keepNext/>
      <w:spacing w:before="320" w:after="200"/>
      <w:outlineLvl w:val="5"/>
    </w:pPr>
    <w:rPr>
      <w:rFonts w:ascii="Arial" w:hAnsi="Arial" w:eastAsia="Arial"/>
      <w:b/>
      <w:bCs/>
      <w:sz w:val="22"/>
      <w:szCs w:val="22"/>
    </w:rPr>
  </w:style>
  <w:style w:type="paragraph" w:styleId="812" w:customStyle="1">
    <w:name w:val="标题 711"/>
    <w:basedOn w:val="741"/>
    <w:next w:val="741"/>
    <w:link w:val="824"/>
    <w:uiPriority w:val="9"/>
    <w:qFormat/>
    <w:pPr>
      <w:keepLines/>
      <w:keepNext/>
      <w:spacing w:before="320" w:after="200"/>
      <w:outlineLvl w:val="6"/>
    </w:pPr>
    <w:rPr>
      <w:rFonts w:ascii="Arial" w:hAnsi="Arial" w:eastAsia="Arial"/>
      <w:b/>
      <w:bCs/>
      <w:i/>
      <w:iCs/>
      <w:sz w:val="22"/>
      <w:szCs w:val="22"/>
    </w:rPr>
  </w:style>
  <w:style w:type="paragraph" w:styleId="813" w:customStyle="1">
    <w:name w:val="标题 811"/>
    <w:basedOn w:val="741"/>
    <w:next w:val="741"/>
    <w:link w:val="825"/>
    <w:uiPriority w:val="9"/>
    <w:qFormat/>
    <w:pPr>
      <w:keepLines/>
      <w:keepNext/>
      <w:spacing w:before="320" w:after="200"/>
      <w:outlineLvl w:val="7"/>
    </w:pPr>
    <w:rPr>
      <w:rFonts w:ascii="Arial" w:hAnsi="Arial" w:eastAsia="Arial"/>
      <w:i/>
      <w:iCs/>
      <w:sz w:val="22"/>
      <w:szCs w:val="22"/>
    </w:rPr>
  </w:style>
  <w:style w:type="paragraph" w:styleId="814" w:customStyle="1">
    <w:name w:val="标题 911"/>
    <w:basedOn w:val="741"/>
    <w:next w:val="741"/>
    <w:link w:val="826"/>
    <w:uiPriority w:val="9"/>
    <w:qFormat/>
    <w:pPr>
      <w:keepLines/>
      <w:keepNext/>
      <w:spacing w:before="320" w:after="200"/>
      <w:outlineLvl w:val="8"/>
    </w:pPr>
    <w:rPr>
      <w:rFonts w:ascii="Arial" w:hAnsi="Arial" w:eastAsia="Arial"/>
      <w:i/>
      <w:iCs/>
    </w:rPr>
  </w:style>
  <w:style w:type="character" w:styleId="815" w:customStyle="1">
    <w:name w:val="默认段落字体11"/>
    <w:link w:val="741"/>
    <w:uiPriority w:val="1"/>
    <w:unhideWhenUsed/>
    <w:qFormat/>
  </w:style>
  <w:style w:type="table" w:styleId="816" w:customStyle="1">
    <w:name w:val="普通表格12"/>
    <w:uiPriority w:val="99"/>
    <w:unhideWhenUsed/>
    <w:qFormat/>
    <w:tblPr/>
  </w:style>
  <w:style w:type="paragraph" w:styleId="817" w:customStyle="1">
    <w:name w:val="正文文本121"/>
    <w:basedOn w:val="741"/>
    <w:uiPriority w:val="1"/>
    <w:qFormat/>
    <w:pPr>
      <w:ind w:left="120"/>
    </w:pPr>
    <w:rPr>
      <w:rFonts w:ascii="宋体" w:hAnsi="宋体" w:eastAsia="宋体" w:cs="宋体"/>
      <w:sz w:val="21"/>
      <w:szCs w:val="21"/>
      <w:lang w:val="zh-CN" w:eastAsia="zh-CN" w:bidi="zh-CN"/>
    </w:rPr>
  </w:style>
  <w:style w:type="character" w:styleId="818" w:customStyle="1">
    <w:name w:val="标题 1 Char1"/>
    <w:link w:val="805"/>
    <w:uiPriority w:val="9"/>
    <w:qFormat/>
    <w:rPr>
      <w:rFonts w:ascii="Arial" w:hAnsi="Arial" w:eastAsia="Arial" w:cs="Arial"/>
      <w:sz w:val="40"/>
      <w:szCs w:val="40"/>
    </w:rPr>
  </w:style>
  <w:style w:type="character" w:styleId="819" w:customStyle="1">
    <w:name w:val="标题 2 Char1"/>
    <w:link w:val="806"/>
    <w:uiPriority w:val="9"/>
    <w:qFormat/>
    <w:rPr>
      <w:rFonts w:ascii="Arial" w:hAnsi="Arial" w:eastAsia="Arial" w:cs="Arial"/>
      <w:sz w:val="34"/>
    </w:rPr>
  </w:style>
  <w:style w:type="character" w:styleId="820" w:customStyle="1">
    <w:name w:val="标题 3 Char1"/>
    <w:link w:val="807"/>
    <w:uiPriority w:val="9"/>
    <w:qFormat/>
    <w:rPr>
      <w:rFonts w:ascii="Arial" w:hAnsi="Arial" w:eastAsia="Arial" w:cs="Arial"/>
      <w:sz w:val="30"/>
      <w:szCs w:val="30"/>
    </w:rPr>
  </w:style>
  <w:style w:type="character" w:styleId="821" w:customStyle="1">
    <w:name w:val="标题 4 Char1"/>
    <w:link w:val="809"/>
    <w:uiPriority w:val="9"/>
    <w:qFormat/>
    <w:rPr>
      <w:rFonts w:ascii="Arial" w:hAnsi="Arial" w:eastAsia="Arial" w:cs="Arial"/>
      <w:b/>
      <w:bCs/>
      <w:sz w:val="26"/>
      <w:szCs w:val="26"/>
    </w:rPr>
  </w:style>
  <w:style w:type="character" w:styleId="822" w:customStyle="1">
    <w:name w:val="标题 5 Char1"/>
    <w:link w:val="810"/>
    <w:uiPriority w:val="9"/>
    <w:qFormat/>
    <w:rPr>
      <w:rFonts w:ascii="Arial" w:hAnsi="Arial" w:eastAsia="Arial" w:cs="Arial"/>
      <w:b/>
      <w:bCs/>
      <w:sz w:val="24"/>
      <w:szCs w:val="24"/>
    </w:rPr>
  </w:style>
  <w:style w:type="character" w:styleId="823" w:customStyle="1">
    <w:name w:val="标题 6 Char1"/>
    <w:link w:val="811"/>
    <w:uiPriority w:val="9"/>
    <w:qFormat/>
    <w:rPr>
      <w:rFonts w:ascii="Arial" w:hAnsi="Arial" w:eastAsia="Arial" w:cs="Arial"/>
      <w:b/>
      <w:bCs/>
      <w:sz w:val="22"/>
      <w:szCs w:val="22"/>
    </w:rPr>
  </w:style>
  <w:style w:type="character" w:styleId="824" w:customStyle="1">
    <w:name w:val="标题 7 Char1"/>
    <w:link w:val="812"/>
    <w:uiPriority w:val="9"/>
    <w:qFormat/>
    <w:rPr>
      <w:rFonts w:ascii="Arial" w:hAnsi="Arial" w:eastAsia="Arial" w:cs="Arial"/>
      <w:b/>
      <w:bCs/>
      <w:i/>
      <w:iCs/>
      <w:sz w:val="22"/>
      <w:szCs w:val="22"/>
    </w:rPr>
  </w:style>
  <w:style w:type="character" w:styleId="825" w:customStyle="1">
    <w:name w:val="标题 8 Char1"/>
    <w:link w:val="813"/>
    <w:uiPriority w:val="9"/>
    <w:qFormat/>
    <w:rPr>
      <w:rFonts w:ascii="Arial" w:hAnsi="Arial" w:eastAsia="Arial" w:cs="Arial"/>
      <w:i/>
      <w:iCs/>
      <w:sz w:val="22"/>
      <w:szCs w:val="22"/>
    </w:rPr>
  </w:style>
  <w:style w:type="character" w:styleId="826" w:customStyle="1">
    <w:name w:val="标题 9 Char1"/>
    <w:link w:val="814"/>
    <w:uiPriority w:val="9"/>
    <w:qFormat/>
    <w:rPr>
      <w:rFonts w:ascii="Arial" w:hAnsi="Arial" w:eastAsia="Arial" w:cs="Arial"/>
      <w:i/>
      <w:iCs/>
      <w:sz w:val="21"/>
      <w:szCs w:val="21"/>
    </w:rPr>
  </w:style>
  <w:style w:type="paragraph" w:styleId="827" w:customStyle="1">
    <w:name w:val="目录 711"/>
    <w:basedOn w:val="741"/>
    <w:next w:val="741"/>
    <w:uiPriority w:val="39"/>
    <w:unhideWhenUsed/>
    <w:qFormat/>
    <w:pPr>
      <w:ind w:left="1701" w:right="0" w:firstLine="0"/>
      <w:spacing w:after="57"/>
    </w:pPr>
  </w:style>
  <w:style w:type="paragraph" w:styleId="828" w:customStyle="1">
    <w:name w:val="题注1"/>
    <w:basedOn w:val="741"/>
    <w:next w:val="741"/>
    <w:uiPriority w:val="35"/>
    <w:qFormat/>
    <w:pPr>
      <w:spacing w:line="276" w:lineRule="auto"/>
    </w:pPr>
    <w:rPr>
      <w:b/>
      <w:bCs/>
      <w:color w:val="4f81bd"/>
      <w:sz w:val="18"/>
      <w:szCs w:val="18"/>
    </w:rPr>
  </w:style>
  <w:style w:type="paragraph" w:styleId="829" w:customStyle="1">
    <w:name w:val="批注文字11"/>
    <w:basedOn w:val="741"/>
    <w:uiPriority w:val="99"/>
    <w:unhideWhenUsed/>
    <w:qFormat/>
    <w:pPr>
      <w:jc w:val="left"/>
    </w:pPr>
  </w:style>
  <w:style w:type="paragraph" w:styleId="830" w:customStyle="1">
    <w:name w:val="正文文本缩进11"/>
    <w:basedOn w:val="741"/>
    <w:next w:val="831"/>
    <w:uiPriority w:val="0"/>
    <w:unhideWhenUsed/>
    <w:qFormat/>
    <w:pPr>
      <w:ind w:left="420"/>
      <w:spacing w:after="120"/>
    </w:pPr>
  </w:style>
  <w:style w:type="paragraph" w:styleId="831" w:customStyle="1">
    <w:name w:val="寄信人地址1"/>
    <w:basedOn w:val="741"/>
    <w:uiPriority w:val="0"/>
    <w:qFormat/>
    <w:rPr>
      <w:rFonts w:ascii="Arial" w:hAnsi="Arial" w:eastAsia="宋体" w:cs="宋体"/>
    </w:rPr>
  </w:style>
  <w:style w:type="paragraph" w:styleId="832" w:customStyle="1">
    <w:name w:val="目录 511"/>
    <w:basedOn w:val="741"/>
    <w:next w:val="741"/>
    <w:uiPriority w:val="39"/>
    <w:unhideWhenUsed/>
    <w:qFormat/>
    <w:pPr>
      <w:ind w:left="1134" w:right="0" w:firstLine="0"/>
      <w:spacing w:after="57"/>
    </w:pPr>
  </w:style>
  <w:style w:type="paragraph" w:styleId="833" w:customStyle="1">
    <w:name w:val="目录 311"/>
    <w:basedOn w:val="741"/>
    <w:next w:val="741"/>
    <w:uiPriority w:val="39"/>
    <w:unhideWhenUsed/>
    <w:qFormat/>
    <w:pPr>
      <w:ind w:left="567" w:right="0" w:firstLine="0"/>
      <w:spacing w:after="57"/>
    </w:pPr>
  </w:style>
  <w:style w:type="paragraph" w:styleId="834" w:customStyle="1">
    <w:name w:val="纯文本11"/>
    <w:basedOn w:val="741"/>
    <w:uiPriority w:val="0"/>
    <w:qFormat/>
    <w:rPr>
      <w:rFonts w:ascii="宋体" w:hAnsi="Courier New" w:cs="Courier New"/>
    </w:rPr>
  </w:style>
  <w:style w:type="paragraph" w:styleId="835" w:customStyle="1">
    <w:name w:val="目录 811"/>
    <w:basedOn w:val="741"/>
    <w:next w:val="741"/>
    <w:uiPriority w:val="39"/>
    <w:unhideWhenUsed/>
    <w:qFormat/>
    <w:pPr>
      <w:ind w:left="1984" w:right="0" w:firstLine="0"/>
      <w:spacing w:after="57"/>
    </w:pPr>
  </w:style>
  <w:style w:type="paragraph" w:styleId="836" w:customStyle="1">
    <w:name w:val="尾注文本1"/>
    <w:basedOn w:val="741"/>
    <w:link w:val="837"/>
    <w:uiPriority w:val="99"/>
    <w:unhideWhenUsed/>
    <w:qFormat/>
    <w:pPr>
      <w:spacing w:after="0" w:line="240" w:lineRule="auto"/>
    </w:pPr>
    <w:rPr>
      <w:sz w:val="20"/>
      <w:szCs w:val="20"/>
    </w:rPr>
  </w:style>
  <w:style w:type="character" w:styleId="837" w:customStyle="1">
    <w:name w:val="尾注文本 Char"/>
    <w:link w:val="836"/>
    <w:uiPriority w:val="99"/>
    <w:qFormat/>
    <w:rPr>
      <w:sz w:val="20"/>
    </w:rPr>
  </w:style>
  <w:style w:type="paragraph" w:styleId="838" w:customStyle="1">
    <w:name w:val="批注框文本11"/>
    <w:basedOn w:val="741"/>
    <w:link w:val="839"/>
    <w:uiPriority w:val="99"/>
    <w:unhideWhenUsed/>
    <w:qFormat/>
    <w:rPr>
      <w:sz w:val="18"/>
      <w:szCs w:val="18"/>
    </w:rPr>
  </w:style>
  <w:style w:type="character" w:styleId="839" w:customStyle="1">
    <w:name w:val="批注框文本 Char1"/>
    <w:basedOn w:val="815"/>
    <w:link w:val="838"/>
    <w:uiPriority w:val="99"/>
    <w:semiHidden/>
    <w:qFormat/>
    <w:rPr>
      <w:sz w:val="18"/>
      <w:szCs w:val="18"/>
    </w:rPr>
  </w:style>
  <w:style w:type="paragraph" w:styleId="840" w:customStyle="1">
    <w:name w:val="页脚11"/>
    <w:basedOn w:val="741"/>
    <w:link w:val="841"/>
    <w:uiPriority w:val="99"/>
    <w:unhideWhenUsed/>
    <w:qFormat/>
    <w:pPr>
      <w:spacing w:after="0" w:line="240" w:lineRule="auto"/>
      <w:tabs>
        <w:tab w:val="center" w:pos="7143" w:leader="none"/>
        <w:tab w:val="right" w:pos="14287" w:leader="none"/>
      </w:tabs>
    </w:pPr>
  </w:style>
  <w:style w:type="character" w:styleId="841" w:customStyle="1">
    <w:name w:val="页脚 Char1"/>
    <w:link w:val="840"/>
    <w:uiPriority w:val="99"/>
    <w:qFormat/>
  </w:style>
  <w:style w:type="paragraph" w:styleId="842" w:customStyle="1">
    <w:name w:val="页眉11"/>
    <w:basedOn w:val="741"/>
    <w:link w:val="843"/>
    <w:uiPriority w:val="99"/>
    <w:unhideWhenUsed/>
    <w:qFormat/>
    <w:pPr>
      <w:spacing w:after="0" w:line="240" w:lineRule="auto"/>
      <w:tabs>
        <w:tab w:val="center" w:pos="7143" w:leader="none"/>
        <w:tab w:val="right" w:pos="14287" w:leader="none"/>
      </w:tabs>
    </w:pPr>
  </w:style>
  <w:style w:type="character" w:styleId="843" w:customStyle="1">
    <w:name w:val="页眉 Char1"/>
    <w:link w:val="842"/>
    <w:uiPriority w:val="99"/>
    <w:qFormat/>
  </w:style>
  <w:style w:type="paragraph" w:styleId="844" w:customStyle="1">
    <w:name w:val="目录 111"/>
    <w:basedOn w:val="741"/>
    <w:next w:val="741"/>
    <w:uiPriority w:val="39"/>
    <w:unhideWhenUsed/>
    <w:qFormat/>
    <w:pPr>
      <w:ind w:left="0" w:right="0" w:firstLine="0"/>
      <w:spacing w:after="57"/>
    </w:pPr>
  </w:style>
  <w:style w:type="paragraph" w:styleId="845" w:customStyle="1">
    <w:name w:val="目录 411"/>
    <w:basedOn w:val="741"/>
    <w:next w:val="741"/>
    <w:uiPriority w:val="39"/>
    <w:unhideWhenUsed/>
    <w:qFormat/>
    <w:pPr>
      <w:ind w:left="850" w:right="0" w:firstLine="0"/>
      <w:spacing w:after="57"/>
    </w:pPr>
  </w:style>
  <w:style w:type="paragraph" w:styleId="846" w:customStyle="1">
    <w:name w:val="副标题1"/>
    <w:basedOn w:val="741"/>
    <w:next w:val="741"/>
    <w:link w:val="847"/>
    <w:uiPriority w:val="11"/>
    <w:qFormat/>
    <w:pPr>
      <w:spacing w:before="200" w:after="200"/>
    </w:pPr>
    <w:rPr>
      <w:sz w:val="24"/>
      <w:szCs w:val="24"/>
    </w:rPr>
  </w:style>
  <w:style w:type="character" w:styleId="847" w:customStyle="1">
    <w:name w:val="副标题 Char"/>
    <w:link w:val="846"/>
    <w:uiPriority w:val="11"/>
    <w:qFormat/>
    <w:rPr>
      <w:sz w:val="24"/>
      <w:szCs w:val="24"/>
    </w:rPr>
  </w:style>
  <w:style w:type="paragraph" w:styleId="848" w:customStyle="1">
    <w:name w:val="脚注文本1"/>
    <w:basedOn w:val="741"/>
    <w:link w:val="849"/>
    <w:uiPriority w:val="99"/>
    <w:unhideWhenUsed/>
    <w:qFormat/>
    <w:pPr>
      <w:spacing w:after="40" w:line="240" w:lineRule="auto"/>
    </w:pPr>
    <w:rPr>
      <w:sz w:val="18"/>
      <w:szCs w:val="20"/>
    </w:rPr>
  </w:style>
  <w:style w:type="character" w:styleId="849" w:customStyle="1">
    <w:name w:val="脚注文本 Char"/>
    <w:link w:val="848"/>
    <w:uiPriority w:val="99"/>
    <w:qFormat/>
    <w:rPr>
      <w:sz w:val="18"/>
    </w:rPr>
  </w:style>
  <w:style w:type="paragraph" w:styleId="850" w:customStyle="1">
    <w:name w:val="目录 611"/>
    <w:basedOn w:val="741"/>
    <w:next w:val="741"/>
    <w:uiPriority w:val="39"/>
    <w:unhideWhenUsed/>
    <w:qFormat/>
    <w:pPr>
      <w:ind w:left="1417" w:right="0" w:firstLine="0"/>
      <w:spacing w:after="57"/>
    </w:pPr>
  </w:style>
  <w:style w:type="paragraph" w:styleId="851" w:customStyle="1">
    <w:name w:val="图表目录11"/>
    <w:basedOn w:val="741"/>
    <w:next w:val="741"/>
    <w:uiPriority w:val="99"/>
    <w:unhideWhenUsed/>
    <w:qFormat/>
    <w:pPr>
      <w:spacing w:after="0" w:afterAutospacing="0"/>
    </w:pPr>
  </w:style>
  <w:style w:type="paragraph" w:styleId="852" w:customStyle="1">
    <w:name w:val="目录 211"/>
    <w:basedOn w:val="741"/>
    <w:next w:val="741"/>
    <w:uiPriority w:val="39"/>
    <w:unhideWhenUsed/>
    <w:qFormat/>
    <w:pPr>
      <w:ind w:left="283" w:right="0" w:firstLine="0"/>
      <w:spacing w:after="57"/>
    </w:pPr>
  </w:style>
  <w:style w:type="paragraph" w:styleId="853" w:customStyle="1">
    <w:name w:val="目录 911"/>
    <w:basedOn w:val="741"/>
    <w:next w:val="741"/>
    <w:uiPriority w:val="39"/>
    <w:unhideWhenUsed/>
    <w:qFormat/>
    <w:pPr>
      <w:ind w:left="2268" w:right="0" w:firstLine="0"/>
      <w:spacing w:after="57"/>
    </w:pPr>
  </w:style>
  <w:style w:type="paragraph" w:styleId="854" w:customStyle="1">
    <w:name w:val="普通(网站)11"/>
    <w:basedOn w:val="741"/>
    <w:uiPriority w:val="99"/>
    <w:qFormat/>
    <w:pPr>
      <w:jc w:val="left"/>
      <w:spacing w:before="100" w:beforeAutospacing="1" w:after="100" w:afterAutospacing="1"/>
      <w:widowControl/>
    </w:pPr>
    <w:rPr>
      <w:rFonts w:ascii="宋体" w:hAnsi="宋体" w:cs="宋体"/>
      <w:sz w:val="24"/>
      <w:szCs w:val="24"/>
    </w:rPr>
  </w:style>
  <w:style w:type="paragraph" w:styleId="855" w:customStyle="1">
    <w:name w:val="标题11"/>
    <w:basedOn w:val="741"/>
    <w:next w:val="741"/>
    <w:link w:val="856"/>
    <w:uiPriority w:val="10"/>
    <w:qFormat/>
    <w:pPr>
      <w:contextualSpacing/>
      <w:spacing w:before="300" w:after="200"/>
    </w:pPr>
    <w:rPr>
      <w:sz w:val="48"/>
      <w:szCs w:val="48"/>
    </w:rPr>
  </w:style>
  <w:style w:type="character" w:styleId="856" w:customStyle="1">
    <w:name w:val="标题 Char"/>
    <w:link w:val="855"/>
    <w:uiPriority w:val="10"/>
    <w:qFormat/>
    <w:rPr>
      <w:sz w:val="48"/>
      <w:szCs w:val="48"/>
    </w:rPr>
  </w:style>
  <w:style w:type="paragraph" w:styleId="857" w:customStyle="1">
    <w:name w:val="正文首行缩进 211"/>
    <w:basedOn w:val="830"/>
    <w:next w:val="741"/>
    <w:uiPriority w:val="0"/>
    <w:qFormat/>
    <w:pPr>
      <w:ind w:left="0" w:firstLine="420"/>
      <w:spacing w:after="0" w:line="360" w:lineRule="auto"/>
    </w:pPr>
    <w:rPr>
      <w:rFonts w:ascii="宋体" w:hAnsi="宋体" w:eastAsia="宋体" w:cs="Times New Roman"/>
      <w:szCs w:val="20"/>
    </w:rPr>
  </w:style>
  <w:style w:type="table" w:styleId="858" w:customStyle="1">
    <w:name w:val="网格型12"/>
    <w:uiPriority w:val="59"/>
    <w:qFormat/>
    <w:rPr>
      <w:lang w:val="en-US" w:eastAsia="zh-CN" w:bidi="ar-SA"/>
    </w:rPr>
    <w:tblPr/>
  </w:style>
  <w:style w:type="character" w:styleId="859" w:customStyle="1">
    <w:name w:val="尾注引用1"/>
    <w:link w:val="741"/>
    <w:uiPriority w:val="99"/>
    <w:unhideWhenUsed/>
    <w:qFormat/>
    <w:rPr>
      <w:vertAlign w:val="superscript"/>
    </w:rPr>
  </w:style>
  <w:style w:type="character" w:styleId="860" w:customStyle="1">
    <w:name w:val="页码11"/>
    <w:link w:val="741"/>
    <w:uiPriority w:val="0"/>
    <w:qFormat/>
  </w:style>
  <w:style w:type="character" w:styleId="861" w:customStyle="1">
    <w:name w:val="已访问的超链接11"/>
    <w:link w:val="741"/>
    <w:uiPriority w:val="0"/>
    <w:qFormat/>
    <w:rPr>
      <w:color w:val="800080"/>
      <w:u w:val="single"/>
    </w:rPr>
  </w:style>
  <w:style w:type="character" w:styleId="862" w:customStyle="1">
    <w:name w:val="超链接11"/>
    <w:link w:val="741"/>
    <w:uiPriority w:val="99"/>
    <w:unhideWhenUsed/>
    <w:qFormat/>
    <w:rPr>
      <w:color w:val="0000ff"/>
      <w:u w:val="single"/>
    </w:rPr>
  </w:style>
  <w:style w:type="character" w:styleId="863" w:customStyle="1">
    <w:name w:val="脚注引用1"/>
    <w:link w:val="741"/>
    <w:uiPriority w:val="99"/>
    <w:unhideWhenUsed/>
    <w:qFormat/>
    <w:rPr>
      <w:vertAlign w:val="superscript"/>
    </w:rPr>
  </w:style>
  <w:style w:type="character" w:styleId="864" w:customStyle="1">
    <w:name w:val="Caption Char"/>
    <w:link w:val="741"/>
    <w:uiPriority w:val="99"/>
    <w:qFormat/>
  </w:style>
  <w:style w:type="paragraph" w:styleId="865" w:customStyle="1">
    <w:name w:val="索引 41"/>
    <w:basedOn w:val="741"/>
    <w:next w:val="741"/>
    <w:uiPriority w:val="0"/>
    <w:semiHidden/>
    <w:qFormat/>
    <w:pPr>
      <w:ind w:left="1260"/>
    </w:pPr>
    <w:rPr>
      <w:rFonts w:ascii="Calibri" w:hAnsi="Calibri" w:eastAsia="Calibri" w:cs="宋体"/>
      <w:sz w:val="20"/>
      <w:lang w:val="zh-CN"/>
    </w:rPr>
  </w:style>
  <w:style w:type="paragraph" w:styleId="866" w:customStyle="1">
    <w:name w:val="列出段落"/>
    <w:basedOn w:val="741"/>
    <w:next w:val="741"/>
    <w:uiPriority w:val="34"/>
    <w:qFormat/>
    <w:pPr>
      <w:contextualSpacing/>
      <w:ind w:left="720"/>
    </w:pPr>
  </w:style>
  <w:style w:type="paragraph" w:styleId="867" w:customStyle="1">
    <w:name w:val="无间隔"/>
    <w:uiPriority w:val="1"/>
    <w:qFormat/>
    <w:rPr>
      <w:rFonts w:hint="default" w:ascii="Times New Roman" w:hAnsi="Times New Roman" w:eastAsia="宋体" w:cs="Times New Roman"/>
      <w:lang w:val="en-US" w:eastAsia="zh-CN" w:bidi="ar-SA"/>
    </w:rPr>
  </w:style>
  <w:style w:type="paragraph" w:styleId="868" w:customStyle="1">
    <w:name w:val="引用"/>
    <w:basedOn w:val="741"/>
    <w:next w:val="741"/>
    <w:link w:val="869"/>
    <w:uiPriority w:val="29"/>
    <w:qFormat/>
    <w:pPr>
      <w:ind w:left="720" w:right="720"/>
    </w:pPr>
    <w:rPr>
      <w:i/>
      <w:sz w:val="20"/>
      <w:szCs w:val="20"/>
    </w:rPr>
  </w:style>
  <w:style w:type="character" w:styleId="869" w:customStyle="1">
    <w:name w:val="引用 Char"/>
    <w:link w:val="868"/>
    <w:uiPriority w:val="29"/>
    <w:qFormat/>
    <w:rPr>
      <w:i/>
    </w:rPr>
  </w:style>
  <w:style w:type="paragraph" w:styleId="870" w:customStyle="1">
    <w:name w:val="明显引用"/>
    <w:basedOn w:val="741"/>
    <w:next w:val="741"/>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71" w:customStyle="1">
    <w:name w:val="明显引用 Char"/>
    <w:link w:val="870"/>
    <w:uiPriority w:val="30"/>
    <w:qFormat/>
    <w:rPr>
      <w:i/>
    </w:rPr>
  </w:style>
  <w:style w:type="table" w:styleId="872" w:customStyle="1">
    <w:name w:val="Table Grid Light"/>
    <w:uiPriority w:val="59"/>
    <w:qFormat/>
    <w:rPr>
      <w:lang w:val="en-US" w:eastAsia="zh-CN" w:bidi="ar-SA"/>
    </w:rPr>
    <w:tblPr/>
  </w:style>
  <w:style w:type="table" w:styleId="873" w:customStyle="1">
    <w:name w:val="Plain Table 1"/>
    <w:uiPriority w:val="59"/>
    <w:qFormat/>
    <w:rPr>
      <w:lang w:val="en-US" w:eastAsia="zh-CN" w:bidi="ar-SA"/>
    </w:rPr>
    <w:tblPr/>
  </w:style>
  <w:style w:type="table" w:styleId="874" w:customStyle="1">
    <w:name w:val="Plain Table 2"/>
    <w:uiPriority w:val="59"/>
    <w:qFormat/>
    <w:rPr>
      <w:lang w:val="en-US" w:eastAsia="zh-CN" w:bidi="ar-SA"/>
    </w:rPr>
    <w:tblPr/>
  </w:style>
  <w:style w:type="table" w:styleId="875" w:customStyle="1">
    <w:name w:val="Plain Table 3"/>
    <w:uiPriority w:val="99"/>
    <w:qFormat/>
    <w:rPr>
      <w:lang w:val="en-US" w:eastAsia="zh-CN" w:bidi="ar-SA"/>
    </w:rPr>
    <w:tblPr/>
  </w:style>
  <w:style w:type="table" w:styleId="876" w:customStyle="1">
    <w:name w:val="Plain Table 4"/>
    <w:uiPriority w:val="99"/>
    <w:qFormat/>
    <w:rPr>
      <w:lang w:val="en-US" w:eastAsia="zh-CN" w:bidi="ar-SA"/>
    </w:rPr>
    <w:tblPr/>
  </w:style>
  <w:style w:type="table" w:styleId="877" w:customStyle="1">
    <w:name w:val="Plain Table 5"/>
    <w:uiPriority w:val="99"/>
    <w:qFormat/>
    <w:rPr>
      <w:lang w:val="en-US" w:eastAsia="zh-CN" w:bidi="ar-SA"/>
    </w:rPr>
    <w:tblPr/>
  </w:style>
  <w:style w:type="table" w:styleId="878" w:customStyle="1">
    <w:name w:val="Grid Table 1 Light"/>
    <w:uiPriority w:val="99"/>
    <w:qFormat/>
    <w:rPr>
      <w:lang w:val="en-US" w:eastAsia="zh-CN" w:bidi="ar-SA"/>
    </w:rPr>
    <w:tblPr/>
  </w:style>
  <w:style w:type="table" w:styleId="879" w:customStyle="1">
    <w:name w:val="Grid Table 1 Light - Accent 1"/>
    <w:uiPriority w:val="99"/>
    <w:qFormat/>
    <w:rPr>
      <w:lang w:val="en-US" w:eastAsia="zh-CN" w:bidi="ar-SA"/>
    </w:rPr>
    <w:tblPr/>
  </w:style>
  <w:style w:type="table" w:styleId="880" w:customStyle="1">
    <w:name w:val="Grid Table 1 Light - Accent 2"/>
    <w:uiPriority w:val="99"/>
    <w:qFormat/>
    <w:rPr>
      <w:lang w:val="en-US" w:eastAsia="zh-CN" w:bidi="ar-SA"/>
    </w:rPr>
    <w:tblPr/>
  </w:style>
  <w:style w:type="table" w:styleId="881" w:customStyle="1">
    <w:name w:val="Grid Table 1 Light - Accent 3"/>
    <w:uiPriority w:val="99"/>
    <w:qFormat/>
    <w:rPr>
      <w:lang w:val="en-US" w:eastAsia="zh-CN" w:bidi="ar-SA"/>
    </w:rPr>
    <w:tblPr/>
  </w:style>
  <w:style w:type="table" w:styleId="882" w:customStyle="1">
    <w:name w:val="Grid Table 1 Light - Accent 4"/>
    <w:uiPriority w:val="99"/>
    <w:qFormat/>
    <w:rPr>
      <w:lang w:val="en-US" w:eastAsia="zh-CN" w:bidi="ar-SA"/>
    </w:rPr>
    <w:tblPr/>
  </w:style>
  <w:style w:type="table" w:styleId="883" w:customStyle="1">
    <w:name w:val="Grid Table 1 Light - Accent 5"/>
    <w:uiPriority w:val="99"/>
    <w:qFormat/>
    <w:rPr>
      <w:lang w:val="en-US" w:eastAsia="zh-CN" w:bidi="ar-SA"/>
    </w:rPr>
    <w:tblPr/>
  </w:style>
  <w:style w:type="table" w:styleId="884" w:customStyle="1">
    <w:name w:val="Grid Table 1 Light - Accent 6"/>
    <w:uiPriority w:val="99"/>
    <w:qFormat/>
    <w:rPr>
      <w:lang w:val="en-US" w:eastAsia="zh-CN" w:bidi="ar-SA"/>
    </w:rPr>
    <w:tblPr/>
  </w:style>
  <w:style w:type="table" w:styleId="885" w:customStyle="1">
    <w:name w:val="Grid Table 2"/>
    <w:uiPriority w:val="99"/>
    <w:qFormat/>
    <w:rPr>
      <w:lang w:val="en-US" w:eastAsia="zh-CN" w:bidi="ar-SA"/>
    </w:rPr>
    <w:tblPr/>
  </w:style>
  <w:style w:type="table" w:styleId="886" w:customStyle="1">
    <w:name w:val="Grid Table 2 - Accent 1"/>
    <w:uiPriority w:val="99"/>
    <w:qFormat/>
    <w:rPr>
      <w:lang w:val="en-US" w:eastAsia="zh-CN" w:bidi="ar-SA"/>
    </w:rPr>
    <w:tblPr/>
  </w:style>
  <w:style w:type="table" w:styleId="887" w:customStyle="1">
    <w:name w:val="Grid Table 2 - Accent 2"/>
    <w:uiPriority w:val="99"/>
    <w:qFormat/>
    <w:rPr>
      <w:lang w:val="en-US" w:eastAsia="zh-CN" w:bidi="ar-SA"/>
    </w:rPr>
    <w:tblPr/>
  </w:style>
  <w:style w:type="table" w:styleId="888" w:customStyle="1">
    <w:name w:val="Grid Table 2 - Accent 3"/>
    <w:uiPriority w:val="99"/>
    <w:qFormat/>
    <w:rPr>
      <w:lang w:val="en-US" w:eastAsia="zh-CN" w:bidi="ar-SA"/>
    </w:rPr>
    <w:tblPr/>
  </w:style>
  <w:style w:type="table" w:styleId="889" w:customStyle="1">
    <w:name w:val="Grid Table 2 - Accent 4"/>
    <w:uiPriority w:val="99"/>
    <w:qFormat/>
    <w:rPr>
      <w:lang w:val="en-US" w:eastAsia="zh-CN" w:bidi="ar-SA"/>
    </w:rPr>
    <w:tblPr/>
  </w:style>
  <w:style w:type="table" w:styleId="890" w:customStyle="1">
    <w:name w:val="Grid Table 2 - Accent 5"/>
    <w:uiPriority w:val="99"/>
    <w:qFormat/>
    <w:rPr>
      <w:lang w:val="en-US" w:eastAsia="zh-CN" w:bidi="ar-SA"/>
    </w:rPr>
    <w:tblPr/>
  </w:style>
  <w:style w:type="table" w:styleId="891" w:customStyle="1">
    <w:name w:val="Grid Table 2 - Accent 6"/>
    <w:uiPriority w:val="99"/>
    <w:qFormat/>
    <w:rPr>
      <w:lang w:val="en-US" w:eastAsia="zh-CN" w:bidi="ar-SA"/>
    </w:rPr>
    <w:tblPr/>
  </w:style>
  <w:style w:type="table" w:styleId="892" w:customStyle="1">
    <w:name w:val="Grid Table 3"/>
    <w:uiPriority w:val="99"/>
    <w:qFormat/>
    <w:rPr>
      <w:lang w:val="en-US" w:eastAsia="zh-CN" w:bidi="ar-SA"/>
    </w:rPr>
    <w:tblPr/>
  </w:style>
  <w:style w:type="table" w:styleId="893" w:customStyle="1">
    <w:name w:val="Grid Table 3 - Accent 1"/>
    <w:uiPriority w:val="99"/>
    <w:qFormat/>
    <w:rPr>
      <w:lang w:val="en-US" w:eastAsia="zh-CN" w:bidi="ar-SA"/>
    </w:rPr>
    <w:tblPr/>
  </w:style>
  <w:style w:type="table" w:styleId="894" w:customStyle="1">
    <w:name w:val="Grid Table 3 - Accent 2"/>
    <w:uiPriority w:val="99"/>
    <w:qFormat/>
    <w:rPr>
      <w:lang w:val="en-US" w:eastAsia="zh-CN" w:bidi="ar-SA"/>
    </w:rPr>
    <w:tblPr/>
  </w:style>
  <w:style w:type="table" w:styleId="895" w:customStyle="1">
    <w:name w:val="Grid Table 3 - Accent 3"/>
    <w:uiPriority w:val="99"/>
    <w:qFormat/>
    <w:rPr>
      <w:lang w:val="en-US" w:eastAsia="zh-CN" w:bidi="ar-SA"/>
    </w:rPr>
    <w:tblPr/>
  </w:style>
  <w:style w:type="table" w:styleId="896" w:customStyle="1">
    <w:name w:val="Grid Table 3 - Accent 4"/>
    <w:uiPriority w:val="99"/>
    <w:qFormat/>
    <w:rPr>
      <w:lang w:val="en-US" w:eastAsia="zh-CN" w:bidi="ar-SA"/>
    </w:rPr>
    <w:tblPr/>
  </w:style>
  <w:style w:type="table" w:styleId="897" w:customStyle="1">
    <w:name w:val="Grid Table 3 - Accent 5"/>
    <w:uiPriority w:val="99"/>
    <w:qFormat/>
    <w:rPr>
      <w:lang w:val="en-US" w:eastAsia="zh-CN" w:bidi="ar-SA"/>
    </w:rPr>
    <w:tblPr/>
  </w:style>
  <w:style w:type="table" w:styleId="898" w:customStyle="1">
    <w:name w:val="Grid Table 3 - Accent 6"/>
    <w:uiPriority w:val="99"/>
    <w:qFormat/>
    <w:rPr>
      <w:lang w:val="en-US" w:eastAsia="zh-CN" w:bidi="ar-SA"/>
    </w:rPr>
    <w:tblPr/>
  </w:style>
  <w:style w:type="table" w:styleId="899" w:customStyle="1">
    <w:name w:val="Grid Table 4"/>
    <w:uiPriority w:val="59"/>
    <w:qFormat/>
    <w:rPr>
      <w:lang w:val="en-US" w:eastAsia="zh-CN" w:bidi="ar-SA"/>
    </w:rPr>
    <w:tblPr/>
  </w:style>
  <w:style w:type="table" w:styleId="900" w:customStyle="1">
    <w:name w:val="Grid Table 4 - Accent 1"/>
    <w:uiPriority w:val="59"/>
    <w:qFormat/>
    <w:rPr>
      <w:lang w:val="en-US" w:eastAsia="zh-CN" w:bidi="ar-SA"/>
    </w:rPr>
    <w:tblPr/>
  </w:style>
  <w:style w:type="table" w:styleId="901" w:customStyle="1">
    <w:name w:val="Grid Table 4 - Accent 2"/>
    <w:uiPriority w:val="59"/>
    <w:qFormat/>
    <w:rPr>
      <w:lang w:val="en-US" w:eastAsia="zh-CN" w:bidi="ar-SA"/>
    </w:rPr>
    <w:tblPr/>
  </w:style>
  <w:style w:type="table" w:styleId="902" w:customStyle="1">
    <w:name w:val="Grid Table 4 - Accent 3"/>
    <w:uiPriority w:val="59"/>
    <w:qFormat/>
    <w:rPr>
      <w:lang w:val="en-US" w:eastAsia="zh-CN" w:bidi="ar-SA"/>
    </w:rPr>
    <w:tblPr/>
  </w:style>
  <w:style w:type="table" w:styleId="903" w:customStyle="1">
    <w:name w:val="Grid Table 4 - Accent 4"/>
    <w:uiPriority w:val="59"/>
    <w:qFormat/>
    <w:rPr>
      <w:lang w:val="en-US" w:eastAsia="zh-CN" w:bidi="ar-SA"/>
    </w:rPr>
    <w:tblPr/>
  </w:style>
  <w:style w:type="table" w:styleId="904" w:customStyle="1">
    <w:name w:val="Grid Table 4 - Accent 5"/>
    <w:uiPriority w:val="59"/>
    <w:qFormat/>
    <w:rPr>
      <w:lang w:val="en-US" w:eastAsia="zh-CN" w:bidi="ar-SA"/>
    </w:rPr>
    <w:tblPr/>
  </w:style>
  <w:style w:type="table" w:styleId="905" w:customStyle="1">
    <w:name w:val="Grid Table 4 - Accent 6"/>
    <w:uiPriority w:val="59"/>
    <w:qFormat/>
    <w:rPr>
      <w:lang w:val="en-US" w:eastAsia="zh-CN" w:bidi="ar-SA"/>
    </w:rPr>
    <w:tblPr/>
  </w:style>
  <w:style w:type="table" w:styleId="906" w:customStyle="1">
    <w:name w:val="Grid Table 5 Dark"/>
    <w:uiPriority w:val="99"/>
    <w:qFormat/>
    <w:rPr>
      <w:lang w:val="en-US" w:eastAsia="zh-CN" w:bidi="ar-SA"/>
    </w:rPr>
    <w:tblPr/>
  </w:style>
  <w:style w:type="table" w:styleId="907" w:customStyle="1">
    <w:name w:val="Grid Table 5 Dark- Accent 1"/>
    <w:uiPriority w:val="99"/>
    <w:qFormat/>
    <w:rPr>
      <w:lang w:val="en-US" w:eastAsia="zh-CN" w:bidi="ar-SA"/>
    </w:rPr>
    <w:tblPr/>
  </w:style>
  <w:style w:type="table" w:styleId="908" w:customStyle="1">
    <w:name w:val="Grid Table 5 Dark - Accent 2"/>
    <w:uiPriority w:val="99"/>
    <w:qFormat/>
    <w:rPr>
      <w:lang w:val="en-US" w:eastAsia="zh-CN" w:bidi="ar-SA"/>
    </w:rPr>
    <w:tblPr/>
  </w:style>
  <w:style w:type="table" w:styleId="909" w:customStyle="1">
    <w:name w:val="Grid Table 5 Dark - Accent 3"/>
    <w:uiPriority w:val="99"/>
    <w:qFormat/>
    <w:rPr>
      <w:lang w:val="en-US" w:eastAsia="zh-CN" w:bidi="ar-SA"/>
    </w:rPr>
    <w:tblPr/>
  </w:style>
  <w:style w:type="table" w:styleId="910" w:customStyle="1">
    <w:name w:val="Grid Table 5 Dark- Accent 4"/>
    <w:uiPriority w:val="99"/>
    <w:qFormat/>
    <w:rPr>
      <w:lang w:val="en-US" w:eastAsia="zh-CN" w:bidi="ar-SA"/>
    </w:rPr>
    <w:tblPr/>
  </w:style>
  <w:style w:type="table" w:styleId="911" w:customStyle="1">
    <w:name w:val="Grid Table 5 Dark - Accent 5"/>
    <w:uiPriority w:val="99"/>
    <w:qFormat/>
    <w:rPr>
      <w:lang w:val="en-US" w:eastAsia="zh-CN" w:bidi="ar-SA"/>
    </w:rPr>
    <w:tblPr/>
  </w:style>
  <w:style w:type="table" w:styleId="912" w:customStyle="1">
    <w:name w:val="Grid Table 5 Dark - Accent 6"/>
    <w:uiPriority w:val="99"/>
    <w:qFormat/>
    <w:rPr>
      <w:lang w:val="en-US" w:eastAsia="zh-CN" w:bidi="ar-SA"/>
    </w:rPr>
    <w:tblPr/>
  </w:style>
  <w:style w:type="table" w:styleId="913" w:customStyle="1">
    <w:name w:val="Grid Table 6 Colorful"/>
    <w:uiPriority w:val="99"/>
    <w:qFormat/>
    <w:rPr>
      <w:lang w:val="en-US" w:eastAsia="zh-CN" w:bidi="ar-SA"/>
    </w:rPr>
    <w:tblPr/>
  </w:style>
  <w:style w:type="table" w:styleId="914" w:customStyle="1">
    <w:name w:val="Grid Table 6 Colorful - Accent 1"/>
    <w:uiPriority w:val="99"/>
    <w:qFormat/>
    <w:rPr>
      <w:lang w:val="en-US" w:eastAsia="zh-CN" w:bidi="ar-SA"/>
    </w:rPr>
    <w:tblPr/>
  </w:style>
  <w:style w:type="table" w:styleId="915" w:customStyle="1">
    <w:name w:val="Grid Table 6 Colorful - Accent 2"/>
    <w:uiPriority w:val="99"/>
    <w:qFormat/>
    <w:rPr>
      <w:lang w:val="en-US" w:eastAsia="zh-CN" w:bidi="ar-SA"/>
    </w:rPr>
    <w:tblPr/>
  </w:style>
  <w:style w:type="table" w:styleId="916" w:customStyle="1">
    <w:name w:val="Grid Table 6 Colorful - Accent 3"/>
    <w:uiPriority w:val="99"/>
    <w:qFormat/>
    <w:rPr>
      <w:lang w:val="en-US" w:eastAsia="zh-CN" w:bidi="ar-SA"/>
    </w:rPr>
    <w:tblPr/>
  </w:style>
  <w:style w:type="table" w:styleId="917" w:customStyle="1">
    <w:name w:val="Grid Table 6 Colorful - Accent 4"/>
    <w:uiPriority w:val="99"/>
    <w:qFormat/>
    <w:rPr>
      <w:lang w:val="en-US" w:eastAsia="zh-CN" w:bidi="ar-SA"/>
    </w:rPr>
    <w:tblPr/>
  </w:style>
  <w:style w:type="table" w:styleId="918" w:customStyle="1">
    <w:name w:val="Grid Table 6 Colorful - Accent 5"/>
    <w:uiPriority w:val="99"/>
    <w:qFormat/>
    <w:rPr>
      <w:lang w:val="en-US" w:eastAsia="zh-CN" w:bidi="ar-SA"/>
    </w:rPr>
    <w:tblPr/>
  </w:style>
  <w:style w:type="table" w:styleId="919" w:customStyle="1">
    <w:name w:val="Grid Table 6 Colorful - Accent 6"/>
    <w:uiPriority w:val="99"/>
    <w:qFormat/>
    <w:rPr>
      <w:lang w:val="en-US" w:eastAsia="zh-CN" w:bidi="ar-SA"/>
    </w:rPr>
    <w:tblPr/>
  </w:style>
  <w:style w:type="table" w:styleId="920" w:customStyle="1">
    <w:name w:val="Grid Table 7 Colorful"/>
    <w:uiPriority w:val="99"/>
    <w:qFormat/>
    <w:rPr>
      <w:lang w:val="en-US" w:eastAsia="zh-CN" w:bidi="ar-SA"/>
    </w:rPr>
    <w:tblPr/>
  </w:style>
  <w:style w:type="table" w:styleId="921" w:customStyle="1">
    <w:name w:val="Grid Table 7 Colorful - Accent 1"/>
    <w:uiPriority w:val="99"/>
    <w:qFormat/>
    <w:rPr>
      <w:lang w:val="en-US" w:eastAsia="zh-CN" w:bidi="ar-SA"/>
    </w:rPr>
    <w:tblPr/>
  </w:style>
  <w:style w:type="table" w:styleId="922" w:customStyle="1">
    <w:name w:val="Grid Table 7 Colorful - Accent 2"/>
    <w:uiPriority w:val="99"/>
    <w:qFormat/>
    <w:rPr>
      <w:lang w:val="en-US" w:eastAsia="zh-CN" w:bidi="ar-SA"/>
    </w:rPr>
    <w:tblPr/>
  </w:style>
  <w:style w:type="table" w:styleId="923" w:customStyle="1">
    <w:name w:val="Grid Table 7 Colorful - Accent 3"/>
    <w:uiPriority w:val="99"/>
    <w:qFormat/>
    <w:rPr>
      <w:lang w:val="en-US" w:eastAsia="zh-CN" w:bidi="ar-SA"/>
    </w:rPr>
    <w:tblPr/>
  </w:style>
  <w:style w:type="table" w:styleId="924" w:customStyle="1">
    <w:name w:val="Grid Table 7 Colorful - Accent 4"/>
    <w:uiPriority w:val="99"/>
    <w:qFormat/>
    <w:rPr>
      <w:lang w:val="en-US" w:eastAsia="zh-CN" w:bidi="ar-SA"/>
    </w:rPr>
    <w:tblPr/>
  </w:style>
  <w:style w:type="table" w:styleId="925" w:customStyle="1">
    <w:name w:val="Grid Table 7 Colorful - Accent 5"/>
    <w:uiPriority w:val="99"/>
    <w:qFormat/>
    <w:rPr>
      <w:lang w:val="en-US" w:eastAsia="zh-CN" w:bidi="ar-SA"/>
    </w:rPr>
    <w:tblPr/>
  </w:style>
  <w:style w:type="table" w:styleId="926" w:customStyle="1">
    <w:name w:val="Grid Table 7 Colorful - Accent 6"/>
    <w:uiPriority w:val="99"/>
    <w:qFormat/>
    <w:rPr>
      <w:lang w:val="en-US" w:eastAsia="zh-CN" w:bidi="ar-SA"/>
    </w:rPr>
    <w:tblPr/>
  </w:style>
  <w:style w:type="table" w:styleId="927" w:customStyle="1">
    <w:name w:val="List Table 1 Light"/>
    <w:uiPriority w:val="99"/>
    <w:qFormat/>
    <w:rPr>
      <w:lang w:val="en-US" w:eastAsia="zh-CN" w:bidi="ar-SA"/>
    </w:rPr>
    <w:tblPr/>
  </w:style>
  <w:style w:type="table" w:styleId="928" w:customStyle="1">
    <w:name w:val="List Table 1 Light - Accent 1"/>
    <w:uiPriority w:val="99"/>
    <w:qFormat/>
    <w:rPr>
      <w:lang w:val="en-US" w:eastAsia="zh-CN" w:bidi="ar-SA"/>
    </w:rPr>
    <w:tblPr/>
  </w:style>
  <w:style w:type="table" w:styleId="929" w:customStyle="1">
    <w:name w:val="List Table 1 Light - Accent 2"/>
    <w:uiPriority w:val="99"/>
    <w:qFormat/>
    <w:rPr>
      <w:lang w:val="en-US" w:eastAsia="zh-CN" w:bidi="ar-SA"/>
    </w:rPr>
    <w:tblPr/>
  </w:style>
  <w:style w:type="table" w:styleId="930" w:customStyle="1">
    <w:name w:val="List Table 1 Light - Accent 3"/>
    <w:uiPriority w:val="99"/>
    <w:qFormat/>
    <w:rPr>
      <w:lang w:val="en-US" w:eastAsia="zh-CN" w:bidi="ar-SA"/>
    </w:rPr>
    <w:tblPr/>
  </w:style>
  <w:style w:type="table" w:styleId="931" w:customStyle="1">
    <w:name w:val="List Table 1 Light - Accent 4"/>
    <w:uiPriority w:val="99"/>
    <w:qFormat/>
    <w:rPr>
      <w:lang w:val="en-US" w:eastAsia="zh-CN" w:bidi="ar-SA"/>
    </w:rPr>
    <w:tblPr/>
  </w:style>
  <w:style w:type="table" w:styleId="932" w:customStyle="1">
    <w:name w:val="List Table 1 Light - Accent 5"/>
    <w:uiPriority w:val="99"/>
    <w:qFormat/>
    <w:rPr>
      <w:lang w:val="en-US" w:eastAsia="zh-CN" w:bidi="ar-SA"/>
    </w:rPr>
    <w:tblPr/>
  </w:style>
  <w:style w:type="table" w:styleId="933" w:customStyle="1">
    <w:name w:val="List Table 1 Light - Accent 6"/>
    <w:uiPriority w:val="99"/>
    <w:qFormat/>
    <w:rPr>
      <w:lang w:val="en-US" w:eastAsia="zh-CN" w:bidi="ar-SA"/>
    </w:rPr>
    <w:tblPr/>
  </w:style>
  <w:style w:type="table" w:styleId="934" w:customStyle="1">
    <w:name w:val="List Table 2"/>
    <w:uiPriority w:val="99"/>
    <w:qFormat/>
    <w:rPr>
      <w:lang w:val="en-US" w:eastAsia="zh-CN" w:bidi="ar-SA"/>
    </w:rPr>
    <w:tblPr/>
  </w:style>
  <w:style w:type="table" w:styleId="935" w:customStyle="1">
    <w:name w:val="List Table 2 - Accent 1"/>
    <w:uiPriority w:val="99"/>
    <w:qFormat/>
    <w:rPr>
      <w:lang w:val="en-US" w:eastAsia="zh-CN" w:bidi="ar-SA"/>
    </w:rPr>
    <w:tblPr/>
  </w:style>
  <w:style w:type="table" w:styleId="936" w:customStyle="1">
    <w:name w:val="List Table 2 - Accent 2"/>
    <w:uiPriority w:val="99"/>
    <w:qFormat/>
    <w:rPr>
      <w:lang w:val="en-US" w:eastAsia="zh-CN" w:bidi="ar-SA"/>
    </w:rPr>
    <w:tblPr/>
  </w:style>
  <w:style w:type="table" w:styleId="937" w:customStyle="1">
    <w:name w:val="List Table 2 - Accent 3"/>
    <w:uiPriority w:val="99"/>
    <w:qFormat/>
    <w:rPr>
      <w:lang w:val="en-US" w:eastAsia="zh-CN" w:bidi="ar-SA"/>
    </w:rPr>
    <w:tblPr/>
  </w:style>
  <w:style w:type="table" w:styleId="938" w:customStyle="1">
    <w:name w:val="List Table 2 - Accent 4"/>
    <w:uiPriority w:val="99"/>
    <w:qFormat/>
    <w:rPr>
      <w:lang w:val="en-US" w:eastAsia="zh-CN" w:bidi="ar-SA"/>
    </w:rPr>
    <w:tblPr/>
  </w:style>
  <w:style w:type="table" w:styleId="939" w:customStyle="1">
    <w:name w:val="List Table 2 - Accent 5"/>
    <w:uiPriority w:val="99"/>
    <w:qFormat/>
    <w:rPr>
      <w:lang w:val="en-US" w:eastAsia="zh-CN" w:bidi="ar-SA"/>
    </w:rPr>
    <w:tblPr/>
  </w:style>
  <w:style w:type="table" w:styleId="940" w:customStyle="1">
    <w:name w:val="List Table 2 - Accent 6"/>
    <w:uiPriority w:val="99"/>
    <w:qFormat/>
    <w:rPr>
      <w:lang w:val="en-US" w:eastAsia="zh-CN" w:bidi="ar-SA"/>
    </w:rPr>
    <w:tblPr/>
  </w:style>
  <w:style w:type="table" w:styleId="941" w:customStyle="1">
    <w:name w:val="List Table 3"/>
    <w:uiPriority w:val="99"/>
    <w:qFormat/>
    <w:rPr>
      <w:lang w:val="en-US" w:eastAsia="zh-CN" w:bidi="ar-SA"/>
    </w:rPr>
    <w:tblPr/>
  </w:style>
  <w:style w:type="table" w:styleId="942" w:customStyle="1">
    <w:name w:val="List Table 3 - Accent 1"/>
    <w:uiPriority w:val="99"/>
    <w:qFormat/>
    <w:rPr>
      <w:lang w:val="en-US" w:eastAsia="zh-CN" w:bidi="ar-SA"/>
    </w:rPr>
    <w:tblPr/>
  </w:style>
  <w:style w:type="table" w:styleId="943" w:customStyle="1">
    <w:name w:val="List Table 3 - Accent 2"/>
    <w:uiPriority w:val="99"/>
    <w:qFormat/>
    <w:rPr>
      <w:lang w:val="en-US" w:eastAsia="zh-CN" w:bidi="ar-SA"/>
    </w:rPr>
    <w:tblPr/>
  </w:style>
  <w:style w:type="table" w:styleId="944" w:customStyle="1">
    <w:name w:val="List Table 3 - Accent 3"/>
    <w:uiPriority w:val="99"/>
    <w:qFormat/>
    <w:rPr>
      <w:lang w:val="en-US" w:eastAsia="zh-CN" w:bidi="ar-SA"/>
    </w:rPr>
    <w:tblPr/>
  </w:style>
  <w:style w:type="table" w:styleId="945" w:customStyle="1">
    <w:name w:val="List Table 3 - Accent 4"/>
    <w:uiPriority w:val="99"/>
    <w:qFormat/>
    <w:rPr>
      <w:lang w:val="en-US" w:eastAsia="zh-CN" w:bidi="ar-SA"/>
    </w:rPr>
    <w:tblPr/>
  </w:style>
  <w:style w:type="table" w:styleId="946" w:customStyle="1">
    <w:name w:val="List Table 3 - Accent 5"/>
    <w:uiPriority w:val="99"/>
    <w:qFormat/>
    <w:rPr>
      <w:lang w:val="en-US" w:eastAsia="zh-CN" w:bidi="ar-SA"/>
    </w:rPr>
    <w:tblPr/>
  </w:style>
  <w:style w:type="table" w:styleId="947" w:customStyle="1">
    <w:name w:val="List Table 3 - Accent 6"/>
    <w:uiPriority w:val="99"/>
    <w:qFormat/>
    <w:rPr>
      <w:lang w:val="en-US" w:eastAsia="zh-CN" w:bidi="ar-SA"/>
    </w:rPr>
    <w:tblPr/>
  </w:style>
  <w:style w:type="table" w:styleId="948" w:customStyle="1">
    <w:name w:val="List Table 4"/>
    <w:uiPriority w:val="99"/>
    <w:qFormat/>
    <w:rPr>
      <w:lang w:val="en-US" w:eastAsia="zh-CN" w:bidi="ar-SA"/>
    </w:rPr>
    <w:tblPr/>
  </w:style>
  <w:style w:type="table" w:styleId="949" w:customStyle="1">
    <w:name w:val="List Table 4 - Accent 1"/>
    <w:uiPriority w:val="99"/>
    <w:qFormat/>
    <w:rPr>
      <w:lang w:val="en-US" w:eastAsia="zh-CN" w:bidi="ar-SA"/>
    </w:rPr>
    <w:tblPr/>
  </w:style>
  <w:style w:type="table" w:styleId="950" w:customStyle="1">
    <w:name w:val="List Table 4 - Accent 2"/>
    <w:uiPriority w:val="99"/>
    <w:qFormat/>
    <w:rPr>
      <w:lang w:val="en-US" w:eastAsia="zh-CN" w:bidi="ar-SA"/>
    </w:rPr>
    <w:tblPr/>
  </w:style>
  <w:style w:type="table" w:styleId="951" w:customStyle="1">
    <w:name w:val="List Table 4 - Accent 3"/>
    <w:uiPriority w:val="99"/>
    <w:qFormat/>
    <w:rPr>
      <w:lang w:val="en-US" w:eastAsia="zh-CN" w:bidi="ar-SA"/>
    </w:rPr>
    <w:tblPr/>
  </w:style>
  <w:style w:type="table" w:styleId="952" w:customStyle="1">
    <w:name w:val="List Table 4 - Accent 4"/>
    <w:uiPriority w:val="99"/>
    <w:qFormat/>
    <w:rPr>
      <w:lang w:val="en-US" w:eastAsia="zh-CN" w:bidi="ar-SA"/>
    </w:rPr>
    <w:tblPr/>
  </w:style>
  <w:style w:type="table" w:styleId="953" w:customStyle="1">
    <w:name w:val="List Table 4 - Accent 5"/>
    <w:uiPriority w:val="99"/>
    <w:qFormat/>
    <w:rPr>
      <w:lang w:val="en-US" w:eastAsia="zh-CN" w:bidi="ar-SA"/>
    </w:rPr>
    <w:tblPr/>
  </w:style>
  <w:style w:type="table" w:styleId="954" w:customStyle="1">
    <w:name w:val="List Table 4 - Accent 6"/>
    <w:uiPriority w:val="99"/>
    <w:qFormat/>
    <w:rPr>
      <w:lang w:val="en-US" w:eastAsia="zh-CN" w:bidi="ar-SA"/>
    </w:rPr>
    <w:tblPr/>
  </w:style>
  <w:style w:type="table" w:styleId="955" w:customStyle="1">
    <w:name w:val="List Table 5 Dark"/>
    <w:uiPriority w:val="99"/>
    <w:qFormat/>
    <w:rPr>
      <w:lang w:val="en-US" w:eastAsia="zh-CN" w:bidi="ar-SA"/>
    </w:rPr>
    <w:tblPr/>
  </w:style>
  <w:style w:type="table" w:styleId="956" w:customStyle="1">
    <w:name w:val="List Table 5 Dark - Accent 1"/>
    <w:uiPriority w:val="99"/>
    <w:qFormat/>
    <w:rPr>
      <w:lang w:val="en-US" w:eastAsia="zh-CN" w:bidi="ar-SA"/>
    </w:rPr>
    <w:tblPr/>
  </w:style>
  <w:style w:type="table" w:styleId="957" w:customStyle="1">
    <w:name w:val="List Table 5 Dark - Accent 2"/>
    <w:uiPriority w:val="99"/>
    <w:qFormat/>
    <w:rPr>
      <w:lang w:val="en-US" w:eastAsia="zh-CN" w:bidi="ar-SA"/>
    </w:rPr>
    <w:tblPr/>
  </w:style>
  <w:style w:type="table" w:styleId="958" w:customStyle="1">
    <w:name w:val="List Table 5 Dark - Accent 3"/>
    <w:uiPriority w:val="99"/>
    <w:qFormat/>
    <w:rPr>
      <w:lang w:val="en-US" w:eastAsia="zh-CN" w:bidi="ar-SA"/>
    </w:rPr>
    <w:tblPr/>
  </w:style>
  <w:style w:type="table" w:styleId="959" w:customStyle="1">
    <w:name w:val="List Table 5 Dark - Accent 4"/>
    <w:uiPriority w:val="99"/>
    <w:qFormat/>
    <w:rPr>
      <w:lang w:val="en-US" w:eastAsia="zh-CN" w:bidi="ar-SA"/>
    </w:rPr>
    <w:tblPr/>
  </w:style>
  <w:style w:type="table" w:styleId="960" w:customStyle="1">
    <w:name w:val="List Table 5 Dark - Accent 5"/>
    <w:uiPriority w:val="99"/>
    <w:qFormat/>
    <w:rPr>
      <w:lang w:val="en-US" w:eastAsia="zh-CN" w:bidi="ar-SA"/>
    </w:rPr>
    <w:tblPr/>
  </w:style>
  <w:style w:type="table" w:styleId="961" w:customStyle="1">
    <w:name w:val="List Table 5 Dark - Accent 6"/>
    <w:uiPriority w:val="99"/>
    <w:qFormat/>
    <w:rPr>
      <w:lang w:val="en-US" w:eastAsia="zh-CN" w:bidi="ar-SA"/>
    </w:rPr>
    <w:tblPr/>
  </w:style>
  <w:style w:type="table" w:styleId="962" w:customStyle="1">
    <w:name w:val="List Table 6 Colorful"/>
    <w:uiPriority w:val="99"/>
    <w:qFormat/>
    <w:rPr>
      <w:lang w:val="en-US" w:eastAsia="zh-CN" w:bidi="ar-SA"/>
    </w:rPr>
    <w:tblPr/>
  </w:style>
  <w:style w:type="table" w:styleId="963" w:customStyle="1">
    <w:name w:val="List Table 6 Colorful - Accent 1"/>
    <w:uiPriority w:val="99"/>
    <w:qFormat/>
    <w:rPr>
      <w:lang w:val="en-US" w:eastAsia="zh-CN" w:bidi="ar-SA"/>
    </w:rPr>
    <w:tblPr/>
  </w:style>
  <w:style w:type="table" w:styleId="964" w:customStyle="1">
    <w:name w:val="List Table 6 Colorful - Accent 2"/>
    <w:uiPriority w:val="99"/>
    <w:qFormat/>
    <w:rPr>
      <w:lang w:val="en-US" w:eastAsia="zh-CN" w:bidi="ar-SA"/>
    </w:rPr>
    <w:tblPr/>
  </w:style>
  <w:style w:type="table" w:styleId="965" w:customStyle="1">
    <w:name w:val="List Table 6 Colorful - Accent 3"/>
    <w:uiPriority w:val="99"/>
    <w:qFormat/>
    <w:rPr>
      <w:lang w:val="en-US" w:eastAsia="zh-CN" w:bidi="ar-SA"/>
    </w:rPr>
    <w:tblPr/>
  </w:style>
  <w:style w:type="table" w:styleId="966" w:customStyle="1">
    <w:name w:val="List Table 6 Colorful - Accent 4"/>
    <w:uiPriority w:val="99"/>
    <w:qFormat/>
    <w:rPr>
      <w:lang w:val="en-US" w:eastAsia="zh-CN" w:bidi="ar-SA"/>
    </w:rPr>
    <w:tblPr/>
  </w:style>
  <w:style w:type="table" w:styleId="967" w:customStyle="1">
    <w:name w:val="List Table 6 Colorful - Accent 5"/>
    <w:uiPriority w:val="99"/>
    <w:qFormat/>
    <w:rPr>
      <w:lang w:val="en-US" w:eastAsia="zh-CN" w:bidi="ar-SA"/>
    </w:rPr>
    <w:tblPr/>
  </w:style>
  <w:style w:type="table" w:styleId="968" w:customStyle="1">
    <w:name w:val="List Table 6 Colorful - Accent 6"/>
    <w:uiPriority w:val="99"/>
    <w:qFormat/>
    <w:rPr>
      <w:lang w:val="en-US" w:eastAsia="zh-CN" w:bidi="ar-SA"/>
    </w:rPr>
    <w:tblPr/>
  </w:style>
  <w:style w:type="table" w:styleId="969" w:customStyle="1">
    <w:name w:val="List Table 7 Colorful"/>
    <w:uiPriority w:val="99"/>
    <w:qFormat/>
    <w:rPr>
      <w:lang w:val="en-US" w:eastAsia="zh-CN" w:bidi="ar-SA"/>
    </w:rPr>
    <w:tblPr/>
  </w:style>
  <w:style w:type="table" w:styleId="970" w:customStyle="1">
    <w:name w:val="List Table 7 Colorful - Accent 1"/>
    <w:uiPriority w:val="99"/>
    <w:qFormat/>
    <w:rPr>
      <w:lang w:val="en-US" w:eastAsia="zh-CN" w:bidi="ar-SA"/>
    </w:rPr>
    <w:tblPr/>
  </w:style>
  <w:style w:type="table" w:styleId="971" w:customStyle="1">
    <w:name w:val="List Table 7 Colorful - Accent 2"/>
    <w:uiPriority w:val="99"/>
    <w:qFormat/>
    <w:rPr>
      <w:lang w:val="en-US" w:eastAsia="zh-CN" w:bidi="ar-SA"/>
    </w:rPr>
    <w:tblPr/>
  </w:style>
  <w:style w:type="table" w:styleId="972" w:customStyle="1">
    <w:name w:val="List Table 7 Colorful - Accent 3"/>
    <w:uiPriority w:val="99"/>
    <w:qFormat/>
    <w:rPr>
      <w:lang w:val="en-US" w:eastAsia="zh-CN" w:bidi="ar-SA"/>
    </w:rPr>
    <w:tblPr/>
  </w:style>
  <w:style w:type="table" w:styleId="973" w:customStyle="1">
    <w:name w:val="List Table 7 Colorful - Accent 4"/>
    <w:uiPriority w:val="99"/>
    <w:qFormat/>
    <w:rPr>
      <w:lang w:val="en-US" w:eastAsia="zh-CN" w:bidi="ar-SA"/>
    </w:rPr>
    <w:tblPr/>
  </w:style>
  <w:style w:type="table" w:styleId="974" w:customStyle="1">
    <w:name w:val="List Table 7 Colorful - Accent 5"/>
    <w:uiPriority w:val="99"/>
    <w:qFormat/>
    <w:rPr>
      <w:lang w:val="en-US" w:eastAsia="zh-CN" w:bidi="ar-SA"/>
    </w:rPr>
    <w:tblPr/>
  </w:style>
  <w:style w:type="table" w:styleId="975" w:customStyle="1">
    <w:name w:val="List Table 7 Colorful - Accent 6"/>
    <w:uiPriority w:val="99"/>
    <w:qFormat/>
    <w:rPr>
      <w:lang w:val="en-US" w:eastAsia="zh-CN" w:bidi="ar-SA"/>
    </w:rPr>
    <w:tblPr/>
  </w:style>
  <w:style w:type="table" w:styleId="976" w:customStyle="1">
    <w:name w:val="Lined - Accent"/>
    <w:uiPriority w:val="99"/>
    <w:qFormat/>
    <w:rPr>
      <w:color w:val="404040"/>
      <w:lang w:val="en-US" w:eastAsia="zh-CN" w:bidi="ar-SA"/>
    </w:rPr>
    <w:tblPr/>
  </w:style>
  <w:style w:type="table" w:styleId="977" w:customStyle="1">
    <w:name w:val="Lined - Accent 1"/>
    <w:uiPriority w:val="99"/>
    <w:qFormat/>
    <w:rPr>
      <w:color w:val="404040"/>
      <w:lang w:val="en-US" w:eastAsia="zh-CN" w:bidi="ar-SA"/>
    </w:rPr>
    <w:tblPr/>
  </w:style>
  <w:style w:type="table" w:styleId="978" w:customStyle="1">
    <w:name w:val="Lined - Accent 2"/>
    <w:uiPriority w:val="99"/>
    <w:qFormat/>
    <w:rPr>
      <w:color w:val="404040"/>
      <w:lang w:val="en-US" w:eastAsia="zh-CN" w:bidi="ar-SA"/>
    </w:rPr>
    <w:tblPr/>
  </w:style>
  <w:style w:type="table" w:styleId="979" w:customStyle="1">
    <w:name w:val="Lined - Accent 3"/>
    <w:uiPriority w:val="99"/>
    <w:qFormat/>
    <w:rPr>
      <w:color w:val="404040"/>
      <w:lang w:val="en-US" w:eastAsia="zh-CN" w:bidi="ar-SA"/>
    </w:rPr>
    <w:tblPr/>
  </w:style>
  <w:style w:type="table" w:styleId="980" w:customStyle="1">
    <w:name w:val="Lined - Accent 4"/>
    <w:uiPriority w:val="99"/>
    <w:qFormat/>
    <w:rPr>
      <w:color w:val="404040"/>
      <w:lang w:val="en-US" w:eastAsia="zh-CN" w:bidi="ar-SA"/>
    </w:rPr>
    <w:tblPr/>
  </w:style>
  <w:style w:type="table" w:styleId="981" w:customStyle="1">
    <w:name w:val="Lined - Accent 5"/>
    <w:uiPriority w:val="99"/>
    <w:qFormat/>
    <w:rPr>
      <w:color w:val="404040"/>
      <w:lang w:val="en-US" w:eastAsia="zh-CN" w:bidi="ar-SA"/>
    </w:rPr>
    <w:tblPr/>
  </w:style>
  <w:style w:type="table" w:styleId="982" w:customStyle="1">
    <w:name w:val="Lined - Accent 6"/>
    <w:uiPriority w:val="99"/>
    <w:qFormat/>
    <w:rPr>
      <w:color w:val="404040"/>
      <w:lang w:val="en-US" w:eastAsia="zh-CN" w:bidi="ar-SA"/>
    </w:rPr>
    <w:tblPr/>
  </w:style>
  <w:style w:type="table" w:styleId="983" w:customStyle="1">
    <w:name w:val="Bordered &amp; Lined - Accent"/>
    <w:uiPriority w:val="99"/>
    <w:qFormat/>
    <w:rPr>
      <w:color w:val="404040"/>
      <w:lang w:val="en-US" w:eastAsia="zh-CN" w:bidi="ar-SA"/>
    </w:rPr>
    <w:tblPr/>
  </w:style>
  <w:style w:type="table" w:styleId="984" w:customStyle="1">
    <w:name w:val="Bordered &amp; Lined - Accent 1"/>
    <w:uiPriority w:val="99"/>
    <w:qFormat/>
    <w:rPr>
      <w:color w:val="404040"/>
      <w:lang w:val="en-US" w:eastAsia="zh-CN" w:bidi="ar-SA"/>
    </w:rPr>
    <w:tblPr/>
  </w:style>
  <w:style w:type="table" w:styleId="985" w:customStyle="1">
    <w:name w:val="Bordered &amp; Lined - Accent 2"/>
    <w:uiPriority w:val="99"/>
    <w:qFormat/>
    <w:rPr>
      <w:color w:val="404040"/>
      <w:lang w:val="en-US" w:eastAsia="zh-CN" w:bidi="ar-SA"/>
    </w:rPr>
    <w:tblPr/>
  </w:style>
  <w:style w:type="table" w:styleId="986" w:customStyle="1">
    <w:name w:val="Bordered &amp; Lined - Accent 3"/>
    <w:uiPriority w:val="99"/>
    <w:qFormat/>
    <w:rPr>
      <w:color w:val="404040"/>
      <w:lang w:val="en-US" w:eastAsia="zh-CN" w:bidi="ar-SA"/>
    </w:rPr>
    <w:tblPr/>
  </w:style>
  <w:style w:type="table" w:styleId="987" w:customStyle="1">
    <w:name w:val="Bordered &amp; Lined - Accent 4"/>
    <w:uiPriority w:val="99"/>
    <w:qFormat/>
    <w:rPr>
      <w:color w:val="404040"/>
      <w:lang w:val="en-US" w:eastAsia="zh-CN" w:bidi="ar-SA"/>
    </w:rPr>
    <w:tblPr/>
  </w:style>
  <w:style w:type="table" w:styleId="988" w:customStyle="1">
    <w:name w:val="Bordered &amp; Lined - Accent 5"/>
    <w:uiPriority w:val="99"/>
    <w:qFormat/>
    <w:rPr>
      <w:color w:val="404040"/>
      <w:lang w:val="en-US" w:eastAsia="zh-CN" w:bidi="ar-SA"/>
    </w:rPr>
    <w:tblPr/>
  </w:style>
  <w:style w:type="table" w:styleId="989" w:customStyle="1">
    <w:name w:val="Bordered &amp; Lined - Accent 6"/>
    <w:uiPriority w:val="99"/>
    <w:qFormat/>
    <w:rPr>
      <w:color w:val="404040"/>
      <w:lang w:val="en-US" w:eastAsia="zh-CN" w:bidi="ar-SA"/>
    </w:rPr>
    <w:tblPr/>
  </w:style>
  <w:style w:type="table" w:styleId="990" w:customStyle="1">
    <w:name w:val="Bordered"/>
    <w:uiPriority w:val="99"/>
    <w:qFormat/>
    <w:rPr>
      <w:lang w:val="en-US" w:eastAsia="zh-CN" w:bidi="ar-SA"/>
    </w:rPr>
    <w:tblPr/>
  </w:style>
  <w:style w:type="table" w:styleId="991" w:customStyle="1">
    <w:name w:val="Bordered - Accent 1"/>
    <w:uiPriority w:val="99"/>
    <w:qFormat/>
    <w:rPr>
      <w:lang w:val="en-US" w:eastAsia="zh-CN" w:bidi="ar-SA"/>
    </w:rPr>
    <w:tblPr/>
  </w:style>
  <w:style w:type="table" w:styleId="992" w:customStyle="1">
    <w:name w:val="Bordered - Accent 2"/>
    <w:uiPriority w:val="99"/>
    <w:qFormat/>
    <w:rPr>
      <w:lang w:val="en-US" w:eastAsia="zh-CN" w:bidi="ar-SA"/>
    </w:rPr>
    <w:tblPr/>
  </w:style>
  <w:style w:type="table" w:styleId="993" w:customStyle="1">
    <w:name w:val="Bordered - Accent 3"/>
    <w:uiPriority w:val="99"/>
    <w:qFormat/>
    <w:rPr>
      <w:lang w:val="en-US" w:eastAsia="zh-CN" w:bidi="ar-SA"/>
    </w:rPr>
    <w:tblPr/>
  </w:style>
  <w:style w:type="table" w:styleId="994" w:customStyle="1">
    <w:name w:val="Bordered - Accent 4"/>
    <w:uiPriority w:val="99"/>
    <w:qFormat/>
    <w:rPr>
      <w:lang w:val="en-US" w:eastAsia="zh-CN" w:bidi="ar-SA"/>
    </w:rPr>
    <w:tblPr/>
  </w:style>
  <w:style w:type="table" w:styleId="995" w:customStyle="1">
    <w:name w:val="Bordered - Accent 5"/>
    <w:uiPriority w:val="99"/>
    <w:qFormat/>
    <w:rPr>
      <w:lang w:val="en-US" w:eastAsia="zh-CN" w:bidi="ar-SA"/>
    </w:rPr>
    <w:tblPr/>
  </w:style>
  <w:style w:type="table" w:styleId="996" w:customStyle="1">
    <w:name w:val="Bordered - Accent 6"/>
    <w:uiPriority w:val="99"/>
    <w:qFormat/>
    <w:rPr>
      <w:lang w:val="en-US" w:eastAsia="zh-CN" w:bidi="ar-SA"/>
    </w:rPr>
    <w:tblPr/>
  </w:style>
  <w:style w:type="paragraph" w:styleId="997" w:customStyle="1">
    <w:name w:val="TOC Heading"/>
    <w:uiPriority w:val="39"/>
    <w:unhideWhenUsed/>
    <w:qFormat/>
    <w:rPr>
      <w:rFonts w:hint="default" w:ascii="Times New Roman" w:hAnsi="Times New Roman" w:eastAsia="宋体" w:cs="Times New Roman"/>
      <w:lang w:val="en-US" w:eastAsia="zh-CN" w:bidi="ar-SA"/>
    </w:rPr>
  </w:style>
  <w:style w:type="paragraph" w:styleId="998" w:customStyle="1">
    <w:name w:val="标题 11"/>
    <w:basedOn w:val="741"/>
    <w:next w:val="741"/>
    <w:link w:val="999"/>
    <w:uiPriority w:val="0"/>
    <w:qFormat/>
    <w:pPr>
      <w:jc w:val="center"/>
      <w:keepNext/>
      <w:outlineLvl w:val="0"/>
    </w:pPr>
    <w:rPr>
      <w:rFonts w:ascii="楷体_GB2312" w:eastAsia="楷体_GB2312"/>
      <w:sz w:val="28"/>
      <w:szCs w:val="28"/>
    </w:rPr>
  </w:style>
  <w:style w:type="character" w:styleId="999" w:customStyle="1">
    <w:name w:val="标题 1 Char"/>
    <w:link w:val="998"/>
    <w:uiPriority w:val="0"/>
    <w:qFormat/>
    <w:rPr>
      <w:rFonts w:ascii="楷体_GB2312" w:hAnsi="Times New Roman" w:eastAsia="楷体_GB2312" w:cs="Times New Roman"/>
      <w:sz w:val="28"/>
      <w:szCs w:val="28"/>
    </w:rPr>
  </w:style>
  <w:style w:type="character" w:styleId="1000" w:customStyle="1">
    <w:name w:val="正文缩进 Char"/>
    <w:link w:val="783"/>
    <w:uiPriority w:val="0"/>
    <w:qFormat/>
    <w:rPr>
      <w:rFonts w:ascii="Times New Roman" w:hAnsi="Times New Roman" w:eastAsia="宋体" w:cs="Times New Roman"/>
      <w:szCs w:val="21"/>
    </w:rPr>
  </w:style>
  <w:style w:type="paragraph" w:styleId="1001" w:customStyle="1">
    <w:name w:val="标题 311"/>
    <w:basedOn w:val="741"/>
    <w:next w:val="783"/>
    <w:link w:val="1002"/>
    <w:uiPriority w:val="0"/>
    <w:qFormat/>
    <w:pPr>
      <w:keepLines/>
      <w:keepNext/>
      <w:spacing w:before="260" w:after="260" w:line="416" w:lineRule="auto"/>
      <w:outlineLvl w:val="2"/>
    </w:pPr>
    <w:rPr>
      <w:b/>
      <w:bCs/>
      <w:sz w:val="32"/>
      <w:szCs w:val="32"/>
    </w:rPr>
  </w:style>
  <w:style w:type="character" w:styleId="1002" w:customStyle="1">
    <w:name w:val="标题 3 Char"/>
    <w:link w:val="1001"/>
    <w:uiPriority w:val="0"/>
    <w:qFormat/>
    <w:rPr>
      <w:rFonts w:ascii="Times New Roman" w:hAnsi="Times New Roman" w:eastAsia="宋体" w:cs="Times New Roman"/>
      <w:b/>
      <w:bCs/>
      <w:sz w:val="32"/>
      <w:szCs w:val="32"/>
    </w:rPr>
  </w:style>
  <w:style w:type="paragraph" w:styleId="1003" w:customStyle="1">
    <w:name w:val="标题 41"/>
    <w:basedOn w:val="741"/>
    <w:next w:val="783"/>
    <w:link w:val="1004"/>
    <w:uiPriority w:val="0"/>
    <w:qFormat/>
    <w:pPr>
      <w:keepLines/>
      <w:keepNext/>
      <w:spacing w:before="280" w:after="290" w:line="376" w:lineRule="auto"/>
      <w:outlineLvl w:val="3"/>
    </w:pPr>
    <w:rPr>
      <w:rFonts w:ascii="Arial" w:hAnsi="Arial" w:eastAsia="黑体"/>
      <w:b/>
      <w:bCs/>
      <w:sz w:val="28"/>
      <w:szCs w:val="28"/>
    </w:rPr>
  </w:style>
  <w:style w:type="character" w:styleId="1004" w:customStyle="1">
    <w:name w:val="标题 4 Char"/>
    <w:link w:val="1003"/>
    <w:uiPriority w:val="0"/>
    <w:qFormat/>
    <w:rPr>
      <w:rFonts w:ascii="Arial" w:hAnsi="Arial" w:eastAsia="黑体" w:cs="Arial"/>
      <w:b/>
      <w:bCs/>
      <w:sz w:val="28"/>
      <w:szCs w:val="28"/>
    </w:rPr>
  </w:style>
  <w:style w:type="paragraph" w:styleId="1005" w:customStyle="1">
    <w:name w:val="标题 51"/>
    <w:basedOn w:val="741"/>
    <w:next w:val="783"/>
    <w:link w:val="1006"/>
    <w:uiPriority w:val="0"/>
    <w:qFormat/>
    <w:pPr>
      <w:keepNext/>
      <w:outlineLvl w:val="4"/>
    </w:pPr>
    <w:rPr>
      <w:rFonts w:ascii="宋体"/>
      <w:color w:val="000000"/>
      <w:sz w:val="28"/>
      <w:szCs w:val="28"/>
    </w:rPr>
  </w:style>
  <w:style w:type="character" w:styleId="1006" w:customStyle="1">
    <w:name w:val="标题 5 Char"/>
    <w:link w:val="1005"/>
    <w:uiPriority w:val="0"/>
    <w:qFormat/>
    <w:rPr>
      <w:rFonts w:ascii="宋体" w:hAnsi="Times New Roman" w:eastAsia="宋体" w:cs="Times New Roman"/>
      <w:color w:val="000000"/>
      <w:sz w:val="28"/>
      <w:szCs w:val="28"/>
    </w:rPr>
  </w:style>
  <w:style w:type="paragraph" w:styleId="1007" w:customStyle="1">
    <w:name w:val="标题 61"/>
    <w:basedOn w:val="741"/>
    <w:next w:val="741"/>
    <w:link w:val="1008"/>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08" w:customStyle="1">
    <w:name w:val="标题 6 Char"/>
    <w:link w:val="1007"/>
    <w:uiPriority w:val="0"/>
    <w:qFormat/>
    <w:rPr>
      <w:rFonts w:ascii="Arial" w:hAnsi="Arial" w:eastAsia="黑体" w:cs="Times New Roman"/>
      <w:b/>
      <w:bCs/>
      <w:sz w:val="24"/>
      <w:szCs w:val="24"/>
    </w:rPr>
  </w:style>
  <w:style w:type="paragraph" w:styleId="1009" w:customStyle="1">
    <w:name w:val="标题 71"/>
    <w:basedOn w:val="741"/>
    <w:next w:val="741"/>
    <w:link w:val="1010"/>
    <w:uiPriority w:val="0"/>
    <w:qFormat/>
    <w:pPr>
      <w:numPr>
        <w:ilvl w:val="6"/>
        <w:numId w:val="1"/>
      </w:numPr>
      <w:keepLines/>
      <w:keepNext/>
      <w:spacing w:before="240" w:after="64" w:line="320" w:lineRule="auto"/>
      <w:outlineLvl w:val="6"/>
    </w:pPr>
    <w:rPr>
      <w:b/>
      <w:bCs/>
      <w:sz w:val="24"/>
      <w:szCs w:val="24"/>
    </w:rPr>
  </w:style>
  <w:style w:type="character" w:styleId="1010" w:customStyle="1">
    <w:name w:val="标题 7 Char"/>
    <w:link w:val="1009"/>
    <w:uiPriority w:val="0"/>
    <w:qFormat/>
    <w:rPr>
      <w:rFonts w:ascii="Times New Roman" w:hAnsi="Times New Roman" w:eastAsia="宋体" w:cs="Times New Roman"/>
      <w:b/>
      <w:bCs/>
      <w:sz w:val="24"/>
      <w:szCs w:val="24"/>
    </w:rPr>
  </w:style>
  <w:style w:type="paragraph" w:styleId="1011" w:customStyle="1">
    <w:name w:val="标题 81"/>
    <w:basedOn w:val="741"/>
    <w:next w:val="741"/>
    <w:link w:val="1012"/>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12" w:customStyle="1">
    <w:name w:val="标题 8 Char"/>
    <w:link w:val="1011"/>
    <w:uiPriority w:val="0"/>
    <w:qFormat/>
    <w:rPr>
      <w:rFonts w:ascii="Arial" w:hAnsi="Arial" w:eastAsia="黑体" w:cs="Times New Roman"/>
      <w:sz w:val="24"/>
      <w:szCs w:val="24"/>
    </w:rPr>
  </w:style>
  <w:style w:type="paragraph" w:styleId="1013" w:customStyle="1">
    <w:name w:val="标题 91"/>
    <w:basedOn w:val="741"/>
    <w:next w:val="741"/>
    <w:link w:val="1014"/>
    <w:uiPriority w:val="0"/>
    <w:qFormat/>
    <w:pPr>
      <w:numPr>
        <w:ilvl w:val="8"/>
        <w:numId w:val="1"/>
      </w:numPr>
      <w:keepLines/>
      <w:keepNext/>
      <w:spacing w:before="240" w:after="64" w:line="320" w:lineRule="auto"/>
      <w:outlineLvl w:val="8"/>
    </w:pPr>
    <w:rPr>
      <w:rFonts w:ascii="Arial" w:hAnsi="Arial" w:eastAsia="黑体"/>
      <w:sz w:val="20"/>
    </w:rPr>
  </w:style>
  <w:style w:type="character" w:styleId="1014" w:customStyle="1">
    <w:name w:val="标题 9 Char"/>
    <w:link w:val="1013"/>
    <w:uiPriority w:val="0"/>
    <w:qFormat/>
    <w:rPr>
      <w:rFonts w:ascii="Arial" w:hAnsi="Arial" w:eastAsia="黑体" w:cs="Times New Roman"/>
      <w:szCs w:val="21"/>
    </w:rPr>
  </w:style>
  <w:style w:type="character" w:styleId="1015" w:customStyle="1">
    <w:name w:val="默认段落字体1"/>
    <w:link w:val="741"/>
    <w:uiPriority w:val="1"/>
    <w:unhideWhenUsed/>
    <w:qFormat/>
  </w:style>
  <w:style w:type="table" w:styleId="1016" w:customStyle="1">
    <w:name w:val="普通表格11"/>
    <w:uiPriority w:val="99"/>
    <w:unhideWhenUsed/>
    <w:qFormat/>
    <w:rPr>
      <w:lang w:val="en-US" w:eastAsia="zh-CN" w:bidi="ar-SA"/>
    </w:rPr>
    <w:tblPr/>
  </w:style>
  <w:style w:type="paragraph" w:styleId="1017" w:customStyle="1">
    <w:name w:val="列表 31"/>
    <w:basedOn w:val="741"/>
    <w:uiPriority w:val="0"/>
    <w:qFormat/>
    <w:pPr>
      <w:ind w:left="100" w:hanging="200"/>
    </w:pPr>
  </w:style>
  <w:style w:type="paragraph" w:styleId="1018" w:customStyle="1">
    <w:name w:val="目录 71"/>
    <w:basedOn w:val="741"/>
    <w:next w:val="741"/>
    <w:uiPriority w:val="0"/>
    <w:semiHidden/>
    <w:qFormat/>
    <w:pPr>
      <w:ind w:left="1260"/>
      <w:jc w:val="left"/>
    </w:pPr>
  </w:style>
  <w:style w:type="paragraph" w:styleId="1019" w:customStyle="1">
    <w:name w:val="文档结构图1"/>
    <w:basedOn w:val="741"/>
    <w:link w:val="1020"/>
    <w:uiPriority w:val="0"/>
    <w:semiHidden/>
    <w:qFormat/>
    <w:pPr>
      <w:shd w:val="clear" w:color="auto" w:fill="000080"/>
    </w:pPr>
    <w:rPr>
      <w:sz w:val="20"/>
    </w:rPr>
  </w:style>
  <w:style w:type="character" w:styleId="1020" w:customStyle="1">
    <w:name w:val="文档结构图 Char"/>
    <w:link w:val="1019"/>
    <w:uiPriority w:val="0"/>
    <w:semiHidden/>
    <w:qFormat/>
    <w:rPr>
      <w:rFonts w:ascii="Times New Roman" w:hAnsi="Times New Roman" w:eastAsia="宋体" w:cs="Times New Roman"/>
      <w:szCs w:val="21"/>
      <w:shd w:val="clear" w:color="auto" w:fill="000080"/>
    </w:rPr>
  </w:style>
  <w:style w:type="paragraph" w:styleId="1021" w:customStyle="1">
    <w:name w:val="批注文字1"/>
    <w:basedOn w:val="741"/>
    <w:link w:val="1022"/>
    <w:uiPriority w:val="0"/>
    <w:semiHidden/>
    <w:qFormat/>
    <w:pPr>
      <w:jc w:val="left"/>
    </w:pPr>
    <w:rPr>
      <w:sz w:val="20"/>
    </w:rPr>
  </w:style>
  <w:style w:type="character" w:styleId="1022" w:customStyle="1">
    <w:name w:val="批注文字 Char"/>
    <w:link w:val="1021"/>
    <w:uiPriority w:val="0"/>
    <w:semiHidden/>
    <w:qFormat/>
    <w:rPr>
      <w:rFonts w:ascii="Times New Roman" w:hAnsi="Times New Roman" w:eastAsia="宋体" w:cs="Times New Roman"/>
      <w:szCs w:val="21"/>
    </w:rPr>
  </w:style>
  <w:style w:type="paragraph" w:styleId="1023" w:customStyle="1">
    <w:name w:val="正文文本 31"/>
    <w:basedOn w:val="741"/>
    <w:link w:val="1024"/>
    <w:uiPriority w:val="0"/>
    <w:qFormat/>
    <w:rPr>
      <w:rFonts w:ascii="仿宋_GB2312" w:hAnsi="Arial" w:eastAsia="仿宋_GB2312"/>
      <w:sz w:val="32"/>
      <w:szCs w:val="32"/>
    </w:rPr>
  </w:style>
  <w:style w:type="character" w:styleId="1024" w:customStyle="1">
    <w:name w:val="正文文本 3 Char"/>
    <w:link w:val="1023"/>
    <w:uiPriority w:val="0"/>
    <w:qFormat/>
    <w:rPr>
      <w:rFonts w:ascii="仿宋_GB2312" w:hAnsi="Arial" w:eastAsia="仿宋_GB2312" w:cs="Times New Roman"/>
      <w:sz w:val="32"/>
      <w:szCs w:val="32"/>
    </w:rPr>
  </w:style>
  <w:style w:type="paragraph" w:styleId="1025" w:customStyle="1">
    <w:name w:val="正文文本11"/>
    <w:basedOn w:val="741"/>
    <w:link w:val="1026"/>
    <w:uiPriority w:val="0"/>
    <w:qFormat/>
    <w:rPr>
      <w:rFonts w:ascii="楷体_GB2312" w:hAnsi="Arial" w:eastAsia="楷体_GB2312"/>
      <w:sz w:val="28"/>
      <w:szCs w:val="28"/>
    </w:rPr>
  </w:style>
  <w:style w:type="character" w:styleId="1026" w:customStyle="1">
    <w:name w:val="正文文本 Char"/>
    <w:link w:val="1025"/>
    <w:uiPriority w:val="0"/>
    <w:qFormat/>
    <w:rPr>
      <w:rFonts w:ascii="楷体_GB2312" w:hAnsi="Arial" w:eastAsia="楷体_GB2312" w:cs="Times New Roman"/>
      <w:sz w:val="28"/>
      <w:szCs w:val="28"/>
    </w:rPr>
  </w:style>
  <w:style w:type="paragraph" w:styleId="1027" w:customStyle="1">
    <w:name w:val="正文文本缩进1"/>
    <w:basedOn w:val="741"/>
    <w:link w:val="1028"/>
    <w:uiPriority w:val="0"/>
    <w:qFormat/>
    <w:pPr>
      <w:ind w:firstLine="645"/>
    </w:pPr>
    <w:rPr>
      <w:rFonts w:ascii="楷体_GB2312" w:eastAsia="楷体_GB2312"/>
      <w:sz w:val="32"/>
      <w:szCs w:val="32"/>
    </w:rPr>
  </w:style>
  <w:style w:type="character" w:styleId="1028" w:customStyle="1">
    <w:name w:val="正文文本缩进 Char"/>
    <w:link w:val="1027"/>
    <w:uiPriority w:val="0"/>
    <w:qFormat/>
    <w:rPr>
      <w:rFonts w:ascii="楷体_GB2312" w:hAnsi="Times New Roman" w:eastAsia="楷体_GB2312" w:cs="Times New Roman"/>
      <w:sz w:val="32"/>
      <w:szCs w:val="32"/>
    </w:rPr>
  </w:style>
  <w:style w:type="paragraph" w:styleId="1029" w:customStyle="1">
    <w:name w:val="列表 21"/>
    <w:basedOn w:val="741"/>
    <w:uiPriority w:val="0"/>
    <w:qFormat/>
    <w:pPr>
      <w:ind w:left="100" w:hanging="200"/>
    </w:pPr>
  </w:style>
  <w:style w:type="paragraph" w:styleId="1030" w:customStyle="1">
    <w:name w:val="目录 51"/>
    <w:basedOn w:val="741"/>
    <w:next w:val="741"/>
    <w:uiPriority w:val="0"/>
    <w:semiHidden/>
    <w:qFormat/>
    <w:pPr>
      <w:ind w:left="840"/>
      <w:jc w:val="left"/>
    </w:pPr>
  </w:style>
  <w:style w:type="paragraph" w:styleId="1031" w:customStyle="1">
    <w:name w:val="目录 31"/>
    <w:basedOn w:val="741"/>
    <w:next w:val="741"/>
    <w:uiPriority w:val="0"/>
    <w:semiHidden/>
    <w:qFormat/>
    <w:pPr>
      <w:ind w:left="420"/>
      <w:jc w:val="left"/>
    </w:pPr>
    <w:rPr>
      <w:i/>
      <w:iCs/>
      <w:szCs w:val="24"/>
    </w:rPr>
  </w:style>
  <w:style w:type="paragraph" w:styleId="1032" w:customStyle="1">
    <w:name w:val="纯文本1"/>
    <w:basedOn w:val="741"/>
    <w:link w:val="1033"/>
    <w:uiPriority w:val="0"/>
    <w:qFormat/>
    <w:rPr>
      <w:rFonts w:ascii="宋体" w:hAnsi="Courier New"/>
      <w:sz w:val="20"/>
    </w:rPr>
  </w:style>
  <w:style w:type="character" w:styleId="1033" w:customStyle="1">
    <w:name w:val="纯文本 Char"/>
    <w:link w:val="1032"/>
    <w:uiPriority w:val="0"/>
    <w:qFormat/>
    <w:rPr>
      <w:rFonts w:ascii="宋体" w:hAnsi="Courier New" w:eastAsia="宋体" w:cs="Courier New"/>
      <w:szCs w:val="21"/>
    </w:rPr>
  </w:style>
  <w:style w:type="paragraph" w:styleId="1034" w:customStyle="1">
    <w:name w:val="目录 81"/>
    <w:basedOn w:val="741"/>
    <w:next w:val="741"/>
    <w:uiPriority w:val="0"/>
    <w:semiHidden/>
    <w:qFormat/>
    <w:pPr>
      <w:ind w:left="1470"/>
      <w:jc w:val="left"/>
    </w:pPr>
  </w:style>
  <w:style w:type="paragraph" w:styleId="1035" w:customStyle="1">
    <w:name w:val="日期1"/>
    <w:basedOn w:val="741"/>
    <w:next w:val="741"/>
    <w:link w:val="1036"/>
    <w:uiPriority w:val="0"/>
    <w:qFormat/>
    <w:rPr>
      <w:sz w:val="24"/>
      <w:szCs w:val="24"/>
    </w:rPr>
  </w:style>
  <w:style w:type="character" w:styleId="1036" w:customStyle="1">
    <w:name w:val="日期 Char"/>
    <w:link w:val="1035"/>
    <w:uiPriority w:val="0"/>
    <w:qFormat/>
    <w:rPr>
      <w:rFonts w:ascii="Times New Roman" w:hAnsi="Times New Roman" w:eastAsia="宋体" w:cs="Times New Roman"/>
      <w:sz w:val="24"/>
      <w:szCs w:val="24"/>
    </w:rPr>
  </w:style>
  <w:style w:type="paragraph" w:styleId="1037" w:customStyle="1">
    <w:name w:val="正文文本缩进 21"/>
    <w:basedOn w:val="741"/>
    <w:link w:val="1038"/>
    <w:uiPriority w:val="0"/>
    <w:qFormat/>
    <w:pPr>
      <w:ind w:left="630" w:firstLine="645"/>
    </w:pPr>
    <w:rPr>
      <w:rFonts w:ascii="Arial" w:hAnsi="Arial" w:eastAsia="仿宋_GB2312"/>
      <w:sz w:val="32"/>
      <w:szCs w:val="32"/>
    </w:rPr>
  </w:style>
  <w:style w:type="character" w:styleId="1038" w:customStyle="1">
    <w:name w:val="正文文本缩进 2 Char"/>
    <w:link w:val="1037"/>
    <w:uiPriority w:val="0"/>
    <w:qFormat/>
    <w:rPr>
      <w:rFonts w:ascii="Arial" w:hAnsi="Arial" w:eastAsia="仿宋_GB2312" w:cs="Arial"/>
      <w:sz w:val="32"/>
      <w:szCs w:val="32"/>
    </w:rPr>
  </w:style>
  <w:style w:type="paragraph" w:styleId="1039" w:customStyle="1">
    <w:name w:val="批注框文本1"/>
    <w:basedOn w:val="741"/>
    <w:link w:val="1040"/>
    <w:uiPriority w:val="0"/>
    <w:semiHidden/>
    <w:qFormat/>
    <w:rPr>
      <w:sz w:val="18"/>
      <w:szCs w:val="18"/>
    </w:rPr>
  </w:style>
  <w:style w:type="character" w:styleId="1040" w:customStyle="1">
    <w:name w:val="批注框文本 Char"/>
    <w:link w:val="1039"/>
    <w:uiPriority w:val="0"/>
    <w:semiHidden/>
    <w:qFormat/>
    <w:rPr>
      <w:rFonts w:ascii="Times New Roman" w:hAnsi="Times New Roman" w:eastAsia="宋体" w:cs="Times New Roman"/>
      <w:sz w:val="18"/>
      <w:szCs w:val="18"/>
    </w:rPr>
  </w:style>
  <w:style w:type="paragraph" w:styleId="1041" w:customStyle="1">
    <w:name w:val="页脚1"/>
    <w:basedOn w:val="741"/>
    <w:link w:val="1042"/>
    <w:uiPriority w:val="0"/>
    <w:qFormat/>
    <w:pPr>
      <w:jc w:val="left"/>
      <w:tabs>
        <w:tab w:val="center" w:pos="4153" w:leader="none"/>
        <w:tab w:val="right" w:pos="8306" w:leader="none"/>
      </w:tabs>
    </w:pPr>
    <w:rPr>
      <w:sz w:val="18"/>
      <w:szCs w:val="18"/>
    </w:rPr>
  </w:style>
  <w:style w:type="character" w:styleId="1042" w:customStyle="1">
    <w:name w:val="页脚 Char"/>
    <w:link w:val="1041"/>
    <w:uiPriority w:val="0"/>
    <w:qFormat/>
    <w:rPr>
      <w:rFonts w:ascii="Times New Roman" w:hAnsi="Times New Roman" w:eastAsia="宋体" w:cs="Times New Roman"/>
      <w:sz w:val="18"/>
      <w:szCs w:val="18"/>
    </w:rPr>
  </w:style>
  <w:style w:type="paragraph" w:styleId="1043" w:customStyle="1">
    <w:name w:val="页眉1"/>
    <w:basedOn w:val="741"/>
    <w:link w:val="1044"/>
    <w:uiPriority w:val="0"/>
    <w:qFormat/>
    <w:pPr>
      <w:jc w:val="center"/>
      <w:tabs>
        <w:tab w:val="center" w:pos="4153" w:leader="none"/>
        <w:tab w:val="right" w:pos="8306" w:leader="none"/>
      </w:tabs>
      <w:pBdr>
        <w:bottom w:val="single" w:color="000000" w:sz="6" w:space="1"/>
      </w:pBdr>
    </w:pPr>
    <w:rPr>
      <w:sz w:val="18"/>
      <w:szCs w:val="18"/>
    </w:rPr>
  </w:style>
  <w:style w:type="character" w:styleId="1044" w:customStyle="1">
    <w:name w:val="页眉 Char"/>
    <w:link w:val="1043"/>
    <w:uiPriority w:val="0"/>
    <w:qFormat/>
    <w:rPr>
      <w:rFonts w:ascii="Times New Roman" w:hAnsi="Times New Roman" w:eastAsia="宋体" w:cs="Times New Roman"/>
      <w:sz w:val="18"/>
      <w:szCs w:val="18"/>
    </w:rPr>
  </w:style>
  <w:style w:type="paragraph" w:styleId="1045" w:customStyle="1">
    <w:name w:val="目录 11"/>
    <w:basedOn w:val="741"/>
    <w:next w:val="741"/>
    <w:uiPriority w:val="0"/>
    <w:semiHidden/>
    <w:qFormat/>
    <w:pPr>
      <w:jc w:val="left"/>
      <w:spacing w:before="120" w:after="120" w:line="400" w:lineRule="exact"/>
      <w:tabs>
        <w:tab w:val="right" w:pos="8720" w:leader="dot"/>
      </w:tabs>
    </w:pPr>
    <w:rPr>
      <w:rFonts w:ascii="宋体" w:hAnsi="宋体"/>
      <w:caps/>
      <w:sz w:val="24"/>
      <w:szCs w:val="24"/>
    </w:rPr>
  </w:style>
  <w:style w:type="paragraph" w:styleId="1046" w:customStyle="1">
    <w:name w:val="目录 41"/>
    <w:basedOn w:val="741"/>
    <w:next w:val="741"/>
    <w:uiPriority w:val="0"/>
    <w:semiHidden/>
    <w:qFormat/>
    <w:pPr>
      <w:ind w:left="630"/>
      <w:jc w:val="left"/>
    </w:pPr>
  </w:style>
  <w:style w:type="paragraph" w:styleId="1047" w:customStyle="1">
    <w:name w:val="列表1"/>
    <w:basedOn w:val="741"/>
    <w:uiPriority w:val="0"/>
    <w:qFormat/>
    <w:pPr>
      <w:ind w:left="200" w:hanging="200"/>
    </w:pPr>
  </w:style>
  <w:style w:type="paragraph" w:styleId="1048" w:customStyle="1">
    <w:name w:val="目录 61"/>
    <w:basedOn w:val="741"/>
    <w:next w:val="741"/>
    <w:uiPriority w:val="0"/>
    <w:semiHidden/>
    <w:qFormat/>
    <w:pPr>
      <w:ind w:left="1050"/>
      <w:jc w:val="left"/>
    </w:pPr>
  </w:style>
  <w:style w:type="paragraph" w:styleId="1049" w:customStyle="1">
    <w:name w:val="正文文本缩进 31"/>
    <w:basedOn w:val="741"/>
    <w:link w:val="1050"/>
    <w:uiPriority w:val="0"/>
    <w:qFormat/>
    <w:pPr>
      <w:ind w:left="645" w:firstLine="645"/>
    </w:pPr>
    <w:rPr>
      <w:rFonts w:ascii="Arial" w:hAnsi="Arial" w:eastAsia="仿宋_GB2312"/>
      <w:color w:val="ffff00"/>
      <w:sz w:val="32"/>
      <w:szCs w:val="32"/>
    </w:rPr>
  </w:style>
  <w:style w:type="character" w:styleId="1050" w:customStyle="1">
    <w:name w:val="正文文本缩进 3 Char"/>
    <w:link w:val="1049"/>
    <w:uiPriority w:val="0"/>
    <w:qFormat/>
    <w:rPr>
      <w:rFonts w:ascii="Arial" w:hAnsi="Arial" w:eastAsia="仿宋_GB2312" w:cs="Arial"/>
      <w:color w:val="ffff00"/>
      <w:sz w:val="32"/>
      <w:szCs w:val="32"/>
    </w:rPr>
  </w:style>
  <w:style w:type="paragraph" w:styleId="1051" w:customStyle="1">
    <w:name w:val="图表目录1"/>
    <w:basedOn w:val="741"/>
    <w:next w:val="741"/>
    <w:uiPriority w:val="0"/>
    <w:semiHidden/>
    <w:qFormat/>
    <w:pPr>
      <w:ind w:left="840" w:hanging="420"/>
    </w:pPr>
  </w:style>
  <w:style w:type="paragraph" w:styleId="1052" w:customStyle="1">
    <w:name w:val="目录 21"/>
    <w:basedOn w:val="741"/>
    <w:next w:val="741"/>
    <w:uiPriority w:val="0"/>
    <w:semiHidden/>
    <w:qFormat/>
    <w:pPr>
      <w:ind w:left="210"/>
      <w:jc w:val="left"/>
    </w:pPr>
    <w:rPr>
      <w:smallCaps/>
      <w:szCs w:val="24"/>
    </w:rPr>
  </w:style>
  <w:style w:type="paragraph" w:styleId="1053" w:customStyle="1">
    <w:name w:val="目录 91"/>
    <w:basedOn w:val="741"/>
    <w:next w:val="741"/>
    <w:uiPriority w:val="0"/>
    <w:semiHidden/>
    <w:qFormat/>
    <w:pPr>
      <w:ind w:left="1680"/>
      <w:jc w:val="left"/>
    </w:pPr>
  </w:style>
  <w:style w:type="paragraph" w:styleId="1054" w:customStyle="1">
    <w:name w:val="正文文本 21"/>
    <w:basedOn w:val="741"/>
    <w:link w:val="1055"/>
    <w:uiPriority w:val="0"/>
    <w:qFormat/>
    <w:pPr>
      <w:jc w:val="center"/>
      <w:widowControl/>
    </w:pPr>
    <w:rPr>
      <w:rFonts w:ascii="楷体_GB2312" w:eastAsia="楷体_GB2312"/>
      <w:sz w:val="28"/>
      <w:szCs w:val="28"/>
    </w:rPr>
  </w:style>
  <w:style w:type="character" w:styleId="1055" w:customStyle="1">
    <w:name w:val="正文文本 2 Char"/>
    <w:link w:val="1054"/>
    <w:uiPriority w:val="0"/>
    <w:qFormat/>
    <w:rPr>
      <w:rFonts w:ascii="楷体_GB2312" w:hAnsi="Times New Roman" w:eastAsia="楷体_GB2312" w:cs="Times New Roman"/>
      <w:sz w:val="28"/>
      <w:szCs w:val="28"/>
    </w:rPr>
  </w:style>
  <w:style w:type="paragraph" w:styleId="1056" w:customStyle="1">
    <w:name w:val="普通(网站)1"/>
    <w:basedOn w:val="741"/>
    <w:uiPriority w:val="99"/>
    <w:qFormat/>
    <w:pPr>
      <w:jc w:val="left"/>
      <w:spacing w:before="100" w:beforeAutospacing="1" w:after="100" w:afterAutospacing="1"/>
      <w:widowControl/>
    </w:pPr>
    <w:rPr>
      <w:rFonts w:ascii="宋体" w:hAnsi="宋体" w:cs="宋体"/>
      <w:sz w:val="24"/>
      <w:szCs w:val="24"/>
    </w:rPr>
  </w:style>
  <w:style w:type="paragraph" w:styleId="1057" w:customStyle="1">
    <w:name w:val="索引 11"/>
    <w:basedOn w:val="741"/>
    <w:next w:val="741"/>
    <w:uiPriority w:val="0"/>
    <w:semiHidden/>
    <w:qFormat/>
    <w:pPr>
      <w:spacing w:line="240" w:lineRule="atLeast"/>
    </w:pPr>
    <w:rPr>
      <w:b/>
      <w:bCs/>
    </w:rPr>
  </w:style>
  <w:style w:type="paragraph" w:styleId="1058" w:customStyle="1">
    <w:name w:val="批注主题1"/>
    <w:basedOn w:val="1021"/>
    <w:next w:val="1021"/>
    <w:link w:val="1059"/>
    <w:uiPriority w:val="0"/>
    <w:semiHidden/>
    <w:qFormat/>
    <w:rPr>
      <w:b/>
      <w:bCs/>
    </w:rPr>
  </w:style>
  <w:style w:type="character" w:styleId="1059" w:customStyle="1">
    <w:name w:val="批注主题 Char"/>
    <w:link w:val="1058"/>
    <w:uiPriority w:val="0"/>
    <w:semiHidden/>
    <w:qFormat/>
    <w:rPr>
      <w:rFonts w:ascii="Times New Roman" w:hAnsi="Times New Roman" w:eastAsia="宋体" w:cs="Times New Roman"/>
      <w:b/>
      <w:bCs/>
      <w:szCs w:val="21"/>
    </w:rPr>
  </w:style>
  <w:style w:type="paragraph" w:styleId="1060" w:customStyle="1">
    <w:name w:val="正文首行缩进1"/>
    <w:basedOn w:val="741"/>
    <w:link w:val="1061"/>
    <w:uiPriority w:val="0"/>
    <w:qFormat/>
    <w:pPr>
      <w:ind w:firstLine="200"/>
      <w:spacing w:line="360" w:lineRule="auto"/>
    </w:pPr>
    <w:rPr>
      <w:rFonts w:ascii="仿宋_GB2312" w:eastAsia="仿宋_GB2312"/>
      <w:sz w:val="30"/>
      <w:szCs w:val="30"/>
    </w:rPr>
  </w:style>
  <w:style w:type="character" w:styleId="1061" w:customStyle="1">
    <w:name w:val="正文首行缩进 Char"/>
    <w:link w:val="1060"/>
    <w:uiPriority w:val="0"/>
    <w:qFormat/>
    <w:rPr>
      <w:rFonts w:ascii="仿宋_GB2312" w:hAnsi="Times New Roman" w:eastAsia="仿宋_GB2312" w:cs="Times New Roman"/>
      <w:sz w:val="30"/>
      <w:szCs w:val="30"/>
    </w:rPr>
  </w:style>
  <w:style w:type="paragraph" w:styleId="1062" w:customStyle="1">
    <w:name w:val="正文首行缩进 21"/>
    <w:basedOn w:val="1027"/>
    <w:link w:val="1063"/>
    <w:uiPriority w:val="0"/>
    <w:qFormat/>
    <w:pPr>
      <w:ind w:firstLine="420"/>
      <w:spacing w:line="360" w:lineRule="auto"/>
    </w:pPr>
    <w:rPr>
      <w:rFonts w:ascii="宋体" w:hAnsi="宋体" w:eastAsia="宋体"/>
      <w:szCs w:val="20"/>
    </w:rPr>
  </w:style>
  <w:style w:type="character" w:styleId="1063" w:customStyle="1">
    <w:name w:val="正文首行缩进 2 Char"/>
    <w:link w:val="1062"/>
    <w:uiPriority w:val="0"/>
    <w:qFormat/>
    <w:rPr>
      <w:rFonts w:ascii="宋体" w:hAnsi="宋体" w:eastAsia="宋体" w:cs="Times New Roman"/>
      <w:sz w:val="32"/>
      <w:szCs w:val="20"/>
    </w:rPr>
  </w:style>
  <w:style w:type="table" w:styleId="1064" w:customStyle="1">
    <w:name w:val="网格型11"/>
    <w:basedOn w:val="1016"/>
    <w:uiPriority w:val="0"/>
    <w:qFormat/>
    <w:pPr>
      <w:jc w:val="both"/>
      <w:widowControl w:val="off"/>
    </w:pPr>
    <w:rPr>
      <w:rFonts w:ascii="Times New Roman" w:hAnsi="Times New Roman" w:eastAsia="宋体" w:cs="Times New Roman"/>
      <w:sz w:val="20"/>
      <w:szCs w:val="20"/>
    </w:rPr>
    <w:tblPr/>
  </w:style>
  <w:style w:type="character" w:styleId="1065" w:customStyle="1">
    <w:name w:val="要点1"/>
    <w:link w:val="741"/>
    <w:uiPriority w:val="0"/>
    <w:qFormat/>
    <w:rPr>
      <w:b/>
      <w:bCs/>
    </w:rPr>
  </w:style>
  <w:style w:type="character" w:styleId="1066" w:customStyle="1">
    <w:name w:val="页码1"/>
    <w:link w:val="741"/>
    <w:uiPriority w:val="0"/>
    <w:qFormat/>
  </w:style>
  <w:style w:type="character" w:styleId="1067" w:customStyle="1">
    <w:name w:val="已访问的超链接1"/>
    <w:link w:val="741"/>
    <w:uiPriority w:val="0"/>
    <w:qFormat/>
    <w:rPr>
      <w:color w:val="800080"/>
      <w:u w:val="single"/>
    </w:rPr>
  </w:style>
  <w:style w:type="character" w:styleId="1068" w:customStyle="1">
    <w:name w:val="超链接1"/>
    <w:link w:val="741"/>
    <w:uiPriority w:val="0"/>
    <w:qFormat/>
    <w:rPr>
      <w:color w:val="0000ff"/>
      <w:u w:val="single"/>
    </w:rPr>
  </w:style>
  <w:style w:type="character" w:styleId="1069" w:customStyle="1">
    <w:name w:val="批注引用1"/>
    <w:link w:val="741"/>
    <w:uiPriority w:val="0"/>
    <w:semiHidden/>
    <w:qFormat/>
    <w:rPr>
      <w:sz w:val="21"/>
      <w:szCs w:val="21"/>
    </w:rPr>
  </w:style>
  <w:style w:type="paragraph" w:styleId="1070" w:customStyle="1">
    <w:name w:val="正文文本1"/>
    <w:basedOn w:val="741"/>
    <w:uiPriority w:val="0"/>
    <w:semiHidden/>
    <w:qFormat/>
    <w:rPr>
      <w:rFonts w:ascii="Arial" w:hAnsi="Arial" w:eastAsia="Arial" w:cs="Arial"/>
      <w:sz w:val="21"/>
      <w:szCs w:val="21"/>
      <w:lang w:val="en-US" w:eastAsia="en-US" w:bidi="ar-SA"/>
    </w:rPr>
  </w:style>
  <w:style w:type="paragraph" w:styleId="1071" w:customStyle="1">
    <w:name w:val="正文文本12"/>
    <w:basedOn w:val="741"/>
    <w:uiPriority w:val="1"/>
    <w:qFormat/>
    <w:pPr>
      <w:ind w:left="120"/>
    </w:pPr>
    <w:rPr>
      <w:rFonts w:ascii="宋体" w:hAnsi="宋体" w:eastAsia="宋体" w:cs="宋体"/>
      <w:sz w:val="21"/>
      <w:szCs w:val="21"/>
      <w:lang w:val="zh-CN" w:eastAsia="zh-CN" w:bidi="zh-CN"/>
    </w:rPr>
  </w:style>
  <w:style w:type="character" w:styleId="1072" w:customStyle="1">
    <w:name w:val="font5 Char"/>
    <w:link w:val="741"/>
    <w:uiPriority w:val="0"/>
    <w:qFormat/>
    <w:rPr>
      <w:rFonts w:ascii="宋体" w:hAnsi="宋体" w:eastAsia="宋体"/>
      <w:sz w:val="28"/>
      <w:szCs w:val="28"/>
      <w:lang w:val="en-US" w:eastAsia="zh-CN" w:bidi="ar-SA"/>
    </w:rPr>
  </w:style>
  <w:style w:type="character" w:styleId="1073" w:customStyle="1">
    <w:name w:val="二级目录 Char"/>
    <w:link w:val="1074"/>
    <w:uiPriority w:val="0"/>
    <w:qFormat/>
    <w:rPr>
      <w:b/>
      <w:sz w:val="30"/>
      <w:szCs w:val="28"/>
      <w:lang w:val="en-US" w:eastAsia="zh-CN" w:bidi="ar-SA"/>
    </w:rPr>
  </w:style>
  <w:style w:type="paragraph" w:styleId="1074" w:customStyle="1">
    <w:name w:val="二级目录"/>
    <w:next w:val="741"/>
    <w:link w:val="107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75" w:customStyle="1">
    <w:name w:val="列出段落 Char"/>
    <w:link w:val="1076"/>
    <w:uiPriority w:val="0"/>
    <w:qFormat/>
    <w:rPr>
      <w:rFonts w:ascii="Calibri" w:hAnsi="Calibri"/>
      <w:sz w:val="24"/>
      <w:szCs w:val="24"/>
      <w:lang w:eastAsia="en-US" w:bidi="en-US"/>
    </w:rPr>
  </w:style>
  <w:style w:type="paragraph" w:styleId="1076" w:customStyle="1">
    <w:name w:val="列出段落1"/>
    <w:basedOn w:val="741"/>
    <w:link w:val="1075"/>
    <w:uiPriority w:val="0"/>
    <w:qFormat/>
    <w:pPr>
      <w:contextualSpacing/>
      <w:ind w:left="720"/>
      <w:jc w:val="left"/>
      <w:widowControl/>
    </w:pPr>
    <w:rPr>
      <w:rFonts w:ascii="Calibri" w:hAnsi="Calibri"/>
      <w:sz w:val="24"/>
      <w:szCs w:val="24"/>
      <w:lang w:eastAsia="en-US" w:bidi="en-US"/>
    </w:rPr>
  </w:style>
  <w:style w:type="paragraph" w:styleId="1077" w:customStyle="1">
    <w:name w:val="Body Text(ch)"/>
    <w:basedOn w:val="741"/>
    <w:next w:val="1025"/>
    <w:uiPriority w:val="0"/>
    <w:qFormat/>
    <w:pPr>
      <w:spacing w:after="120"/>
    </w:pPr>
    <w:rPr>
      <w:rFonts w:ascii="宋体" w:hAnsi="Arial"/>
      <w:bCs/>
      <w:iCs/>
      <w:szCs w:val="24"/>
    </w:rPr>
  </w:style>
  <w:style w:type="paragraph" w:styleId="1078" w:customStyle="1">
    <w:name w:val="xl27"/>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9" w:customStyle="1">
    <w:name w:val="xl26"/>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0" w:customStyle="1">
    <w:name w:val="Char"/>
    <w:basedOn w:val="741"/>
    <w:uiPriority w:val="0"/>
    <w:qFormat/>
    <w:pPr>
      <w:ind w:firstLine="200"/>
      <w:tabs>
        <w:tab w:val="left" w:pos="360" w:leader="none"/>
      </w:tabs>
    </w:pPr>
    <w:rPr>
      <w:sz w:val="28"/>
      <w:szCs w:val="30"/>
    </w:rPr>
  </w:style>
  <w:style w:type="paragraph" w:styleId="1081" w:customStyle="1">
    <w:name w:val=" Char"/>
    <w:basedOn w:val="1019"/>
    <w:uiPriority w:val="0"/>
    <w:qFormat/>
    <w:rPr>
      <w:rFonts w:ascii="Tahoma" w:hAnsi="Tahoma"/>
      <w:sz w:val="24"/>
      <w:szCs w:val="24"/>
    </w:rPr>
  </w:style>
  <w:style w:type="paragraph" w:styleId="1082" w:customStyle="1">
    <w:name w:val="普通正文"/>
    <w:basedOn w:val="741"/>
    <w:uiPriority w:val="0"/>
    <w:qFormat/>
    <w:pPr>
      <w:ind w:firstLine="480"/>
      <w:jc w:val="left"/>
      <w:spacing w:before="120" w:after="120" w:line="360" w:lineRule="auto"/>
    </w:pPr>
    <w:rPr>
      <w:rFonts w:ascii="Arial" w:hAnsi="Arial"/>
      <w:sz w:val="24"/>
      <w:szCs w:val="24"/>
    </w:rPr>
  </w:style>
  <w:style w:type="paragraph" w:styleId="1083" w:customStyle="1">
    <w:name w:val="table_lines"/>
    <w:basedOn w:val="741"/>
    <w:uiPriority w:val="0"/>
    <w:qFormat/>
    <w:pPr>
      <w:jc w:val="left"/>
      <w:widowControl/>
    </w:pPr>
    <w:rPr>
      <w:sz w:val="20"/>
      <w:szCs w:val="20"/>
      <w:lang w:val="de-DE" w:eastAsia="de-DE"/>
    </w:rPr>
  </w:style>
  <w:style w:type="paragraph" w:styleId="108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85" w:customStyle="1">
    <w:name w:val="font7"/>
    <w:basedOn w:val="741"/>
    <w:uiPriority w:val="0"/>
    <w:qFormat/>
    <w:pPr>
      <w:jc w:val="left"/>
      <w:spacing w:before="100" w:beforeAutospacing="1" w:after="100" w:afterAutospacing="1"/>
      <w:widowControl/>
    </w:pPr>
    <w:rPr>
      <w:rFonts w:hint="eastAsia" w:ascii="宋体" w:hAnsi="宋体"/>
      <w:sz w:val="18"/>
      <w:szCs w:val="18"/>
    </w:rPr>
  </w:style>
  <w:style w:type="paragraph" w:styleId="1086" w:customStyle="1">
    <w:name w:val=" Char Char Char Char"/>
    <w:basedOn w:val="1019"/>
    <w:uiPriority w:val="0"/>
    <w:qFormat/>
    <w:pPr>
      <w:spacing w:line="360" w:lineRule="auto"/>
    </w:pPr>
    <w:rPr>
      <w:rFonts w:ascii="Tahoma" w:hAnsi="Tahoma"/>
      <w:sz w:val="24"/>
      <w:szCs w:val="24"/>
    </w:rPr>
  </w:style>
  <w:style w:type="paragraph" w:styleId="1087" w:customStyle="1">
    <w:name w:val="列出段落2"/>
    <w:basedOn w:val="741"/>
    <w:uiPriority w:val="0"/>
    <w:qFormat/>
    <w:pPr>
      <w:contextualSpacing/>
      <w:ind w:left="720"/>
      <w:jc w:val="left"/>
      <w:widowControl/>
    </w:pPr>
    <w:rPr>
      <w:rFonts w:ascii="Calibri" w:hAnsi="Calibri"/>
      <w:sz w:val="24"/>
      <w:szCs w:val="24"/>
      <w:lang w:eastAsia="en-US" w:bidi="en-US"/>
    </w:rPr>
  </w:style>
  <w:style w:type="paragraph" w:styleId="1088" w:customStyle="1">
    <w:name w:val="4"/>
    <w:basedOn w:val="741"/>
    <w:next w:val="1049"/>
    <w:uiPriority w:val="0"/>
    <w:qFormat/>
    <w:pPr>
      <w:ind w:firstLine="420"/>
      <w:spacing w:line="360" w:lineRule="auto"/>
    </w:pPr>
    <w:rPr>
      <w:color w:val="ff0000"/>
      <w:sz w:val="24"/>
      <w:szCs w:val="24"/>
    </w:rPr>
  </w:style>
  <w:style w:type="paragraph" w:styleId="1089" w:customStyle="1">
    <w:name w:val="普通 (Web)"/>
    <w:basedOn w:val="741"/>
    <w:uiPriority w:val="0"/>
    <w:qFormat/>
    <w:pPr>
      <w:jc w:val="left"/>
      <w:spacing w:before="100" w:beforeAutospacing="1" w:after="100" w:afterAutospacing="1"/>
      <w:widowControl/>
    </w:pPr>
    <w:rPr>
      <w:rFonts w:ascii="宋体" w:hAnsi="宋体"/>
      <w:sz w:val="24"/>
      <w:szCs w:val="24"/>
    </w:rPr>
  </w:style>
  <w:style w:type="paragraph" w:styleId="1090" w:customStyle="1">
    <w:name w:val=" Char Char Char Char Char Char Char Char Char Char"/>
    <w:basedOn w:val="741"/>
    <w:uiPriority w:val="0"/>
    <w:qFormat/>
    <w:pPr>
      <w:spacing w:line="360" w:lineRule="auto"/>
    </w:pPr>
    <w:rPr>
      <w:sz w:val="24"/>
      <w:szCs w:val="20"/>
    </w:rPr>
  </w:style>
  <w:style w:type="paragraph" w:styleId="1091" w:customStyle="1">
    <w:name w:val="样式1"/>
    <w:basedOn w:val="741"/>
    <w:uiPriority w:val="0"/>
    <w:qFormat/>
    <w:pPr>
      <w:numPr>
        <w:ilvl w:val="0"/>
        <w:numId w:val="3"/>
      </w:numPr>
    </w:pPr>
    <w:rPr>
      <w:rFonts w:ascii="宋体" w:hAnsi="宋体"/>
    </w:rPr>
  </w:style>
  <w:style w:type="paragraph" w:styleId="1092" w:customStyle="1">
    <w:name w:val="font6"/>
    <w:basedOn w:val="741"/>
    <w:uiPriority w:val="0"/>
    <w:qFormat/>
    <w:pPr>
      <w:jc w:val="left"/>
      <w:spacing w:before="100" w:beforeAutospacing="1" w:after="100" w:afterAutospacing="1"/>
      <w:widowControl/>
    </w:pPr>
    <w:rPr>
      <w:rFonts w:hint="eastAsia" w:ascii="宋体" w:hAnsi="宋体"/>
      <w:sz w:val="28"/>
      <w:szCs w:val="28"/>
      <w:u w:val="single"/>
    </w:rPr>
  </w:style>
  <w:style w:type="paragraph" w:styleId="1093" w:customStyle="1">
    <w:name w:val="xl25"/>
    <w:basedOn w:val="7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4" w:customStyle="1">
    <w:name w:val="图标"/>
    <w:basedOn w:val="741"/>
    <w:next w:val="7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5" w:customStyle="1">
    <w:name w:val="标题3"/>
    <w:basedOn w:val="741"/>
    <w:next w:val="741"/>
    <w:uiPriority w:val="0"/>
    <w:qFormat/>
    <w:pPr>
      <w:ind w:firstLine="624"/>
      <w:spacing w:line="590" w:lineRule="atLeast"/>
    </w:pPr>
    <w:rPr>
      <w:rFonts w:ascii="方正黑体_GBK" w:eastAsia="方正黑体_GBK"/>
      <w:sz w:val="32"/>
      <w:szCs w:val="32"/>
    </w:rPr>
  </w:style>
  <w:style w:type="paragraph" w:styleId="1096" w:customStyle="1">
    <w:name w:val="xl24"/>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7" w:customStyle="1">
    <w:name w:val="xl29"/>
    <w:basedOn w:val="74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8" w:customStyle="1">
    <w:name w:val="Char Char Char Char Char Char Char Char"/>
    <w:basedOn w:val="741"/>
    <w:uiPriority w:val="0"/>
    <w:qFormat/>
    <w:pPr>
      <w:jc w:val="left"/>
      <w:spacing w:after="160" w:line="240" w:lineRule="exact"/>
      <w:widowControl/>
    </w:pPr>
    <w:rPr>
      <w:rFonts w:ascii="Verdana" w:hAnsi="Verdana"/>
      <w:sz w:val="20"/>
      <w:szCs w:val="20"/>
      <w:lang w:eastAsia="en-US"/>
    </w:rPr>
  </w:style>
  <w:style w:type="paragraph" w:styleId="1099" w:customStyle="1">
    <w:name w:val="xl2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0" w:customStyle="1">
    <w:name w:val=" Char Char Char Char Char Char Char Char"/>
    <w:basedOn w:val="741"/>
    <w:uiPriority w:val="0"/>
    <w:qFormat/>
    <w:pPr>
      <w:jc w:val="left"/>
      <w:spacing w:after="160" w:line="240" w:lineRule="exact"/>
      <w:widowControl/>
    </w:pPr>
    <w:rPr>
      <w:rFonts w:ascii="Verdana" w:hAnsi="Verdana"/>
      <w:sz w:val="20"/>
      <w:szCs w:val="20"/>
      <w:lang w:eastAsia="en-US"/>
    </w:rPr>
  </w:style>
  <w:style w:type="paragraph" w:styleId="1101" w:customStyle="1">
    <w:name w:val="xl30"/>
    <w:basedOn w:val="741"/>
    <w:uiPriority w:val="0"/>
    <w:qFormat/>
    <w:pPr>
      <w:jc w:val="center"/>
      <w:spacing w:before="100" w:beforeAutospacing="1" w:after="100" w:afterAutospacing="1"/>
      <w:widowControl/>
    </w:pPr>
    <w:rPr>
      <w:rFonts w:ascii="宋体" w:hAnsi="宋体"/>
      <w:b/>
      <w:bCs/>
      <w:sz w:val="36"/>
      <w:szCs w:val="36"/>
    </w:rPr>
  </w:style>
  <w:style w:type="paragraph" w:styleId="1102" w:customStyle="1">
    <w:name w:val="Char Char Char Char"/>
    <w:basedOn w:val="1019"/>
    <w:uiPriority w:val="0"/>
    <w:qFormat/>
    <w:pPr>
      <w:spacing w:line="360" w:lineRule="auto"/>
    </w:pPr>
    <w:rPr>
      <w:rFonts w:ascii="Tahoma" w:hAnsi="Tahoma"/>
      <w:sz w:val="24"/>
      <w:szCs w:val="24"/>
    </w:rPr>
  </w:style>
  <w:style w:type="paragraph" w:styleId="1103" w:customStyle="1">
    <w:name w:val="table_1stline"/>
    <w:basedOn w:val="741"/>
    <w:uiPriority w:val="0"/>
    <w:qFormat/>
    <w:pPr>
      <w:jc w:val="left"/>
      <w:spacing w:before="120"/>
      <w:widowControl/>
    </w:pPr>
    <w:rPr>
      <w:bCs/>
      <w:sz w:val="20"/>
      <w:szCs w:val="20"/>
      <w:lang w:val="de-DE" w:eastAsia="de-DE"/>
    </w:rPr>
  </w:style>
  <w:style w:type="paragraph" w:styleId="1104" w:customStyle="1">
    <w:name w:val="font5"/>
    <w:basedOn w:val="741"/>
    <w:uiPriority w:val="0"/>
    <w:qFormat/>
    <w:pPr>
      <w:jc w:val="left"/>
      <w:spacing w:before="100" w:beforeAutospacing="1" w:after="100" w:afterAutospacing="1"/>
      <w:widowControl/>
    </w:pPr>
    <w:rPr>
      <w:rFonts w:hint="eastAsia" w:ascii="宋体" w:hAnsi="宋体"/>
      <w:sz w:val="28"/>
      <w:szCs w:val="28"/>
    </w:rPr>
  </w:style>
  <w:style w:type="paragraph" w:styleId="1105" w:customStyle="1">
    <w:name w:val="标题1"/>
    <w:basedOn w:val="741"/>
    <w:next w:val="7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0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08" w:customStyle="1">
    <w:name w:val="正文文本 211"/>
    <w:basedOn w:val="741"/>
    <w:uiPriority w:val="99"/>
    <w:qFormat/>
    <w:pPr>
      <w:jc w:val="center"/>
    </w:pPr>
    <w:rPr>
      <w:b/>
      <w:bCs/>
      <w:sz w:val="20"/>
      <w:szCs w:val="20"/>
    </w:rPr>
  </w:style>
  <w:style w:type="table" w:styleId="1109" w:customStyle="1">
    <w:name w:val="Table Normal_0"/>
    <w:uiPriority w:val="0"/>
    <w:qFormat/>
    <w:rPr>
      <w:lang w:val="en-US" w:eastAsia="zh-CN" w:bidi="ar-SA"/>
    </w:rPr>
    <w:tblPr/>
  </w:style>
  <w:style w:type="character" w:styleId="1110" w:customStyle="1">
    <w:name w:val="font71"/>
    <w:basedOn w:val="1015"/>
    <w:link w:val="741"/>
    <w:uiPriority w:val="0"/>
    <w:qFormat/>
    <w:rPr>
      <w:rFonts w:hint="eastAsia" w:ascii="仿宋" w:hAnsi="仿宋" w:eastAsia="仿宋" w:cs="仿宋"/>
      <w:color w:val="000000"/>
      <w:sz w:val="24"/>
      <w:szCs w:val="24"/>
      <w:u w:val="single"/>
    </w:rPr>
  </w:style>
  <w:style w:type="character" w:styleId="1111" w:customStyle="1">
    <w:name w:val="font41"/>
    <w:basedOn w:val="1015"/>
    <w:link w:val="741"/>
    <w:uiPriority w:val="0"/>
    <w:qFormat/>
    <w:rPr>
      <w:rFonts w:hint="eastAsia" w:ascii="仿宋" w:hAnsi="仿宋" w:eastAsia="仿宋" w:cs="仿宋"/>
      <w:color w:val="000000"/>
      <w:sz w:val="24"/>
      <w:szCs w:val="24"/>
      <w:u w:val="none"/>
    </w:rPr>
  </w:style>
  <w:style w:type="character" w:styleId="1112" w:customStyle="1">
    <w:name w:val="font81"/>
    <w:basedOn w:val="1015"/>
    <w:link w:val="741"/>
    <w:uiPriority w:val="0"/>
    <w:qFormat/>
    <w:rPr>
      <w:rFonts w:hint="eastAsia" w:ascii="宋体" w:hAnsi="宋体" w:eastAsia="宋体" w:cs="宋体"/>
      <w:color w:val="000000"/>
      <w:sz w:val="24"/>
      <w:szCs w:val="24"/>
      <w:u w:val="single"/>
    </w:rPr>
  </w:style>
  <w:style w:type="paragraph" w:styleId="1113" w:customStyle="1">
    <w:name w:val="Table Paragraph"/>
    <w:basedOn w:val="741"/>
    <w:uiPriority w:val="1"/>
    <w:qFormat/>
    <w:pPr>
      <w:jc w:val="left"/>
    </w:pPr>
    <w:rPr>
      <w:rFonts w:ascii="宋体" w:hAnsi="宋体" w:eastAsia="宋体" w:cs="宋体"/>
      <w:sz w:val="22"/>
      <w:szCs w:val="22"/>
      <w:lang w:val="zh-CN" w:bidi="zh-CN"/>
    </w:rPr>
  </w:style>
  <w:style w:type="table" w:styleId="1114" w:customStyle="1">
    <w:name w:val="网格型1"/>
    <w:basedOn w:val="1115"/>
    <w:uiPriority w:val="0"/>
    <w:qFormat/>
    <w:pPr>
      <w:jc w:val="both"/>
      <w:widowControl w:val="off"/>
    </w:pPr>
    <w:tblPr/>
  </w:style>
  <w:style w:type="table" w:styleId="1115" w:customStyle="1">
    <w:name w:val="普通表格1"/>
    <w:uiPriority w:val="0"/>
    <w:semiHidden/>
    <w:qFormat/>
    <w:rPr>
      <w:lang w:val="en-US" w:eastAsia="zh-CN" w:bidi="ar-SA"/>
    </w:rPr>
    <w:tblPr/>
  </w:style>
  <w:style w:type="paragraph" w:styleId="1116" w:customStyle="1">
    <w:name w:val="标题 31"/>
    <w:basedOn w:val="741"/>
    <w:next w:val="741"/>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117" w:customStyle="1">
    <w:name w:val="正文缩进1"/>
    <w:basedOn w:val="741"/>
    <w:uiPriority w:val="0"/>
    <w:qFormat/>
    <w:pPr>
      <w:ind w:firstLine="420"/>
      <w:spacing w:line="360" w:lineRule="auto"/>
    </w:pPr>
    <w:rPr>
      <w:sz w:val="24"/>
    </w:rPr>
  </w:style>
  <w:style w:type="table" w:styleId="1118" w:customStyle="1">
    <w:name w:val="Table Normal"/>
    <w:uiPriority w:val="0"/>
    <w:qFormat/>
    <w:rPr>
      <w:lang w:val="en-US" w:eastAsia="zh-CN" w:bidi="ar-SA"/>
    </w:rPr>
    <w:tblPr/>
  </w:style>
  <w:style w:type="paragraph" w:styleId="1119" w:customStyle="1">
    <w:name w:val="Table Text"/>
    <w:basedOn w:val="741"/>
    <w:uiPriority w:val="0"/>
    <w:semiHidden/>
    <w:qFormat/>
    <w:rPr>
      <w:rFonts w:ascii="宋体" w:hAnsi="宋体" w:cs="宋体"/>
      <w:szCs w:val="21"/>
      <w:lang w:eastAsia="en-US"/>
    </w:rPr>
  </w:style>
  <w:style w:type="paragraph" w:styleId="1120" w:customStyle="1">
    <w:name w:val="WPSOffice手动目录 1"/>
    <w:uiPriority w:val="0"/>
    <w:qFormat/>
    <w:rPr>
      <w:rFonts w:ascii="Times New Roman" w:hAnsi="Times New Roman" w:eastAsia="宋体" w:cs="Times New Roman"/>
      <w:sz w:val="20"/>
      <w:szCs w:val="20"/>
    </w:rPr>
  </w:style>
  <w:style w:type="character" w:styleId="1121" w:customStyle="1">
    <w:name w:val="font51"/>
    <w:basedOn w:val="751"/>
    <w:uiPriority w:val="0"/>
    <w:qFormat/>
    <w:rPr>
      <w:rFonts w:hint="default" w:ascii="仿宋_GB2312" w:eastAsia="仿宋_GB2312" w:cs="仿宋_GB2312"/>
      <w:color w:val="000000"/>
      <w:sz w:val="20"/>
      <w:szCs w:val="20"/>
      <w:u w:val="none"/>
    </w:rPr>
  </w:style>
  <w:style w:type="character" w:styleId="1122" w:customStyle="1">
    <w:name w:val="font61"/>
    <w:basedOn w:val="751"/>
    <w:uiPriority w:val="0"/>
    <w:qFormat/>
    <w:rPr>
      <w:rFonts w:hint="eastAsia" w:ascii="宋体" w:hAnsi="宋体" w:eastAsia="宋体" w:cs="宋体"/>
      <w:color w:val="000000"/>
      <w:sz w:val="20"/>
      <w:szCs w:val="20"/>
      <w:u w:val="none"/>
    </w:r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何仁杰</cp:lastModifiedBy>
  <cp:revision>9</cp:revision>
  <dcterms:created xsi:type="dcterms:W3CDTF">2024-07-11T10:24:00Z</dcterms:created>
  <dcterms:modified xsi:type="dcterms:W3CDTF">2026-06-11T08:54:37Z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E4199EF561924E888C6FF77A367B5371_13</vt:lpwstr>
  </property>
  <property fmtid="{D5CDD505-2E9C-101B-9397-08002B2CF9AE}" pid="4" name="KSOTemplateDocerSaveRecord">
    <vt:lpwstr>eyJoZGlkIjoiMjhhN2IyODM2MmExNTk1MWU2YWI5OTg1ZmY3YmFmMzAiLCJ1c2VySWQiOiIyMTQwMDE2MTMifQ==</vt:lpwstr>
  </property>
</Properties>
</file>