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60"/>
          <w:szCs w:val="60"/>
          <w:highlight w:val="none"/>
        </w:rPr>
      </w:pPr>
      <w:r/>
      <w:bookmarkStart w:id="0" w:name="OLE_LINK2"/>
      <w:r/>
      <w:bookmarkStart w:id="1" w:name="OLE_LINK1"/>
      <w:r>
        <w:rPr>
          <w:rFonts w:hint="eastAsia" w:ascii="宋体" w:hAnsi="宋体" w:cs="宋体"/>
          <w:color w:val="auto"/>
          <w:sz w:val="60"/>
          <w:szCs w:val="60"/>
          <w:highlight w:val="none"/>
        </w:rPr>
        <w:t xml:space="preserve">泰州市政府采购项目</w:t>
      </w:r>
      <w:bookmarkEnd w:id="0"/>
      <w:r/>
      <w:bookmarkEnd w:id="1"/>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6"/>
          <w:szCs w:val="36"/>
          <w:highlight w:val="none"/>
        </w:rPr>
      </w:pPr>
      <w:r/>
      <w:bookmarkStart w:id="2" w:name="_Toc28993"/>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 xml:space="preserve">竞争性磋商文件</w:t>
      </w:r>
      <w:bookmarkEnd w:id="2"/>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（全流程电子化不见面开标）</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62"/>
        <w:ind w:firstLine="0"/>
        <w:jc w:val="center"/>
        <w:widowControl w:val="off"/>
        <w:rPr>
          <w:rFonts w:hint="eastAsia" w:hAnsi="宋体" w:cs="宋体"/>
          <w:color w:val="auto"/>
          <w:sz w:val="32"/>
          <w:szCs w:val="32"/>
          <w:highlight w:val="none"/>
        </w:rPr>
      </w:pPr>
      <w:r>
        <w:rPr>
          <w:rFonts w:hint="eastAsia" w:hAnsi="宋体" w:cs="宋体"/>
          <w:color w:val="auto"/>
          <w:sz w:val="32"/>
          <w:szCs w:val="32"/>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采购项目编号：JSZC-321200-JTTZ-C2026-0009</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采购项目名称：泰州市人民医院三维后装机采购项目</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 购 单 位：泰州市人民医院</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采购代理机构：江苏建泰工程项目管理有限公司</w:t>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w:t>
      </w:r>
      <w:r>
        <w:rPr>
          <w:rFonts w:hint="eastAsia" w:ascii="宋体" w:hAnsi="宋体" w:cs="宋体"/>
          <w:color w:val="auto"/>
          <w:sz w:val="30"/>
          <w:szCs w:val="30"/>
          <w:highlight w:val="none"/>
          <w:lang w:val="en-US" w:eastAsia="zh-CN"/>
        </w:rPr>
        <w:t xml:space="preserve">6</w:t>
      </w:r>
      <w:r>
        <w:rPr>
          <w:rFonts w:hint="eastAsia" w:ascii="宋体" w:hAnsi="宋体" w:cs="宋体"/>
          <w:color w:val="auto"/>
          <w:sz w:val="30"/>
          <w:szCs w:val="30"/>
          <w:highlight w:val="none"/>
        </w:rPr>
        <w:t xml:space="preserve">月</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959"/>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第一章  竞争性磋商采购公告</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942"/>
        <w:keepNext w:val="0"/>
        <w:rPr>
          <w:rFonts w:hint="eastAsia" w:ascii="宋体" w:hAnsi="宋体" w:eastAsia="宋体" w:cs="宋体"/>
          <w:color w:val="auto"/>
          <w:sz w:val="32"/>
          <w:szCs w:val="32"/>
          <w:highlight w:val="none"/>
        </w:rPr>
        <w:sectPr>
          <w:footerReference w:type="default" r:id="rId8"/>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24405"/>
      <w:r/>
      <w:bookmarkStart w:id="4" w:name="_Toc32147"/>
      <w:r/>
      <w:r/>
    </w:p>
    <w:p>
      <w:pPr>
        <w:pStyle w:val="942"/>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5" w:name="二．报价方须知"/>
      <w:r/>
      <w:bookmarkEnd w:id="5"/>
      <w:r>
        <w:rPr>
          <w:rFonts w:hint="eastAsia" w:ascii="黑体" w:hAnsi="黑体" w:eastAsia="黑体" w:cs="黑体"/>
          <w:color w:val="auto"/>
          <w:sz w:val="32"/>
          <w:szCs w:val="32"/>
          <w:highlight w:val="none"/>
        </w:rPr>
        <w:t xml:space="preserve">采购公告</w:t>
      </w:r>
      <w:bookmarkEnd w:id="3"/>
      <w:r/>
      <w:bookmarkEnd w:id="4"/>
      <w:r/>
      <w:r/>
    </w:p>
    <w:p>
      <w:pPr>
        <w:spacing w:line="520" w:lineRule="exact"/>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bookmarkStart w:id="6" w:name="_Toc28359012"/>
      <w:r/>
      <w:bookmarkStart w:id="7" w:name="_Toc28359089"/>
      <w:r/>
      <w:bookmarkStart w:id="8" w:name="_Toc35393629"/>
      <w:r/>
      <w:bookmarkStart w:id="9" w:name="_Toc35393798"/>
      <w:r>
        <w:rPr>
          <w:rFonts w:hint="eastAsia" w:ascii="宋体" w:hAnsi="宋体" w:cs="宋体"/>
          <w:b/>
          <w:bCs/>
          <w:color w:val="auto"/>
          <w:szCs w:val="21"/>
          <w:highlight w:val="none"/>
        </w:rPr>
        <w:t xml:space="preserve">项目概况</w:t>
      </w:r>
      <w:r/>
    </w:p>
    <w:p>
      <w:pPr>
        <w:ind w:firstLine="420"/>
        <w:spacing w:line="520" w:lineRule="exact"/>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rPr>
        <w:t xml:space="preserve">泰州市人民医院三维后装机采购项目 </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江苏省政府采购“苏采云”系统</w:t>
      </w:r>
      <w:r>
        <w:rPr>
          <w:rFonts w:hint="eastAsia" w:ascii="宋体" w:hAnsi="宋体" w:cs="宋体"/>
          <w:color w:val="auto"/>
          <w:szCs w:val="21"/>
          <w:highlight w:val="none"/>
        </w:rPr>
        <w:t xml:space="preserve">自行免费下载磋商文件，并于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30</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00</w:t>
      </w:r>
      <w:r>
        <w:rPr>
          <w:rFonts w:hint="eastAsia"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spacing w:line="5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6"/>
      <w:r/>
      <w:bookmarkEnd w:id="7"/>
      <w:r/>
      <w:bookmarkEnd w:id="8"/>
      <w:r/>
      <w:bookmarkEnd w:id="9"/>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项目编号：JSZC-321200-JTTZ-C2026-0009</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项目名称：泰州市人民医院三维后装机采购项目</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120</w:t>
      </w:r>
      <w:r>
        <w:rPr>
          <w:rFonts w:hint="eastAsia" w:ascii="宋体" w:hAnsi="宋体" w:cs="宋体"/>
          <w:color w:val="auto"/>
          <w:szCs w:val="21"/>
          <w:highlight w:val="none"/>
        </w:rPr>
        <w:t xml:space="preserve">万元</w:t>
      </w:r>
      <w:r/>
    </w:p>
    <w:p>
      <w:pPr>
        <w:ind w:firstLine="420"/>
        <w:spacing w:line="52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120</w:t>
      </w:r>
      <w:r>
        <w:rPr>
          <w:rFonts w:hint="eastAsia" w:ascii="宋体" w:hAnsi="宋体" w:cs="宋体"/>
          <w:color w:val="auto"/>
          <w:szCs w:val="21"/>
          <w:highlight w:val="none"/>
        </w:rPr>
        <w:t xml:space="preserve">万元，响应报价不得超过采购项目最高限价金额，否则按无效响应处理</w:t>
      </w:r>
      <w:r>
        <w:rPr>
          <w:rFonts w:hint="eastAsia" w:ascii="宋体" w:hAnsi="宋体" w:cs="宋体"/>
          <w:color w:val="auto"/>
          <w:szCs w:val="21"/>
          <w:highlight w:val="none"/>
          <w:lang w:eastAsia="zh-CN"/>
        </w:rPr>
        <w:t xml:space="preserve">。</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三维后装机</w:t>
      </w:r>
      <w:r>
        <w:rPr>
          <w:rFonts w:hint="eastAsia" w:ascii="宋体" w:hAnsi="宋体" w:cs="宋体"/>
          <w:color w:val="auto"/>
          <w:szCs w:val="21"/>
          <w:highlight w:val="none"/>
          <w:lang w:val="en-US" w:eastAsia="zh-CN"/>
        </w:rPr>
        <w:t xml:space="preserve">1台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配置要求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主机及配套放疗计划系统、多类型施源器、剂量仪及患者转运装置等。具体要求详见第四章项目需求。</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合同履行期限：合同签署后，30日内完成供货和安装。</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本项目（是/否）接受联合体：否。</w:t>
      </w:r>
      <w:r/>
    </w:p>
    <w:p>
      <w:pPr>
        <w:ind w:firstLine="422"/>
        <w:spacing w:line="520" w:lineRule="exact"/>
        <w:rPr>
          <w:rFonts w:hint="eastAsia" w:ascii="宋体" w:hAnsi="宋体" w:cs="宋体"/>
          <w:b/>
          <w:color w:val="auto"/>
          <w:szCs w:val="21"/>
          <w:highlight w:val="none"/>
        </w:rPr>
      </w:pPr>
      <w:r/>
      <w:bookmarkStart w:id="10" w:name="_Toc28359013"/>
      <w:r/>
      <w:bookmarkStart w:id="11" w:name="_Toc35393799"/>
      <w:r/>
      <w:bookmarkStart w:id="12" w:name="_Toc35393630"/>
      <w:r/>
      <w:bookmarkStart w:id="13" w:name="_Toc28359090"/>
      <w:r>
        <w:rPr>
          <w:rFonts w:hint="eastAsia" w:ascii="宋体" w:hAnsi="宋体" w:cs="宋体"/>
          <w:b/>
          <w:color w:val="auto"/>
          <w:szCs w:val="21"/>
          <w:highlight w:val="none"/>
        </w:rPr>
        <w:t xml:space="preserve">二、申请人的资格要求</w:t>
      </w:r>
      <w:bookmarkEnd w:id="10"/>
      <w:r/>
      <w:bookmarkEnd w:id="11"/>
      <w:r/>
      <w:bookmarkEnd w:id="12"/>
      <w:r/>
      <w:bookmarkEnd w:id="13"/>
      <w:r/>
      <w:r/>
    </w:p>
    <w:p>
      <w:pPr>
        <w:ind w:firstLine="420"/>
        <w:spacing w:line="520" w:lineRule="exact"/>
        <w:rPr>
          <w:rFonts w:hint="eastAsia" w:ascii="宋体" w:hAnsi="宋体" w:cs="宋体"/>
          <w:color w:val="auto"/>
          <w:szCs w:val="21"/>
          <w:highlight w:val="none"/>
        </w:rPr>
      </w:pPr>
      <w:r/>
      <w:bookmarkStart w:id="14" w:name="_Toc28359091"/>
      <w:r/>
      <w:bookmarkStart w:id="15" w:name="_Toc35393800"/>
      <w:r/>
      <w:bookmarkStart w:id="16" w:name="_Toc35393631"/>
      <w:r/>
      <w:bookmarkStart w:id="17" w:name="_Toc28359014"/>
      <w:r>
        <w:rPr>
          <w:rFonts w:hint="eastAsia" w:ascii="宋体" w:hAnsi="宋体" w:cs="宋体"/>
          <w:color w:val="auto"/>
          <w:szCs w:val="21"/>
          <w:highlight w:val="none"/>
        </w:rPr>
        <w:t xml:space="preserve">（一）满足《中华人民共和国政府采购法》第二十二条规定：</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本项目不专门面向中小微企业、监狱企业、残疾人福利性单位，对符合条件的小型和微型企业、残疾人福利单位、监狱企业给予10%的扣除价格，用扣除后的价格参与评审。</w:t>
      </w:r>
      <w:r/>
    </w:p>
    <w:p>
      <w:pPr>
        <w:ind w:firstLine="420"/>
        <w:spacing w:line="5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rPr>
          <w:rFonts w:hint="eastAsia"/>
          <w:color w:val="auto"/>
          <w:highlight w:val="none"/>
        </w:rPr>
        <w:t xml:space="preserve">中华人民共和国实行安装安全认可</w:t>
      </w:r>
      <w:r>
        <w:rPr>
          <w:rFonts w:hint="eastAsia"/>
          <w:strike w:val="0"/>
          <w:color w:val="auto"/>
          <w:highlight w:val="none"/>
        </w:rPr>
        <w:t xml:space="preserve">证</w:t>
      </w:r>
      <w:r>
        <w:rPr>
          <w:rFonts w:hint="eastAsia"/>
          <w:color w:val="auto"/>
          <w:highlight w:val="none"/>
        </w:rPr>
        <w:t xml:space="preserve">，制造、经营许可，强制性认证、准入证制度的产品、行业，必要时提供中华人民共和国有关部门颁发的资质证明文件（如医疗器械经营许可证、产品注册证等）</w:t>
      </w:r>
      <w:r>
        <w:rPr>
          <w:rFonts w:hint="eastAsia" w:ascii="宋体" w:hAnsi="宋体" w:cs="宋体"/>
          <w:color w:val="auto"/>
          <w:szCs w:val="21"/>
          <w:highlight w:val="none"/>
        </w:rPr>
        <w:t xml:space="preserve">。</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（四）其他要求：</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1.供应商未被“信用中国”网站（www.creditchina.gov.cn）列入失信被执行人、重大税收违法失信主体、政府采购严重失信行为记录名单；</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2.供应商单位负责人为同一人或者存在直接控股、管理关系的不同供应商，不得参加同一合同项下的采购活动。</w:t>
      </w:r>
      <w:r/>
    </w:p>
    <w:p>
      <w:pPr>
        <w:ind w:firstLine="422"/>
        <w:spacing w:line="5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三、获取采购文件</w:t>
      </w:r>
      <w:bookmarkEnd w:id="14"/>
      <w:r/>
      <w:bookmarkEnd w:id="15"/>
      <w:r/>
      <w:bookmarkEnd w:id="16"/>
      <w:r/>
      <w:bookmarkEnd w:id="17"/>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时间：</w:t>
      </w:r>
      <w:bookmarkStart w:id="18" w:name="_Toc28359092"/>
      <w:r/>
      <w:bookmarkStart w:id="19" w:name="_Toc35393801"/>
      <w:r/>
      <w:bookmarkStart w:id="20" w:name="_Toc35393632"/>
      <w:r/>
      <w:bookmarkStart w:id="21" w:name="_Toc28359015"/>
      <w:r>
        <w:rPr>
          <w:rFonts w:hint="eastAsia" w:ascii="宋体" w:hAnsi="宋体" w:cs="宋体"/>
          <w:color w:val="auto"/>
          <w:szCs w:val="21"/>
          <w:highlight w:val="none"/>
          <w:lang w:val="en-US" w:eastAsia="zh-CN"/>
        </w:rPr>
        <w:t xml:space="preserve">2026年6月17日0:00至2026年6月25日0:00</w:t>
      </w:r>
      <w:r>
        <w:rPr>
          <w:rFonts w:hint="eastAsia" w:ascii="宋体" w:hAnsi="宋体" w:cs="宋体"/>
          <w:color w:val="auto"/>
          <w:szCs w:val="21"/>
          <w:highlight w:val="none"/>
        </w:rPr>
        <w:t xml:space="preserve">；</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方式：供应商完成注册并办理CA证书后登录“苏采云”政府采购一体化平台，选择本项目点击“我要参与”并下载本项目采购文件；</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spacing w:line="5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18"/>
      <w:r/>
      <w:bookmarkEnd w:id="19"/>
      <w:r/>
      <w:bookmarkEnd w:id="20"/>
      <w:r/>
      <w:bookmarkEnd w:id="21"/>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spacing w:line="52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w:t>
      </w:r>
      <w:bookmarkStart w:id="22" w:name="OLE_LINK38"/>
      <w:r/>
      <w:bookmarkStart w:id="23" w:name="OLE_LINK37"/>
      <w:r>
        <w:rPr>
          <w:rFonts w:hint="eastAsia" w:ascii="宋体" w:hAnsi="宋体" w:cs="宋体"/>
          <w:color w:val="auto"/>
          <w:szCs w:val="21"/>
          <w:highlight w:val="none"/>
        </w:rPr>
        <w:t xml:space="preserve">http://jszfcg.jsczt.cn/</w:t>
      </w:r>
      <w:bookmarkEnd w:id="22"/>
      <w:r/>
      <w:bookmarkEnd w:id="23"/>
      <w:r>
        <w:rPr>
          <w:rFonts w:hint="eastAsia" w:ascii="宋体" w:hAnsi="宋体" w:cs="宋体"/>
          <w:color w:val="auto"/>
          <w:szCs w:val="21"/>
          <w:highlight w:val="none"/>
        </w:rPr>
        <w:t xml:space="preserve">）。</w:t>
      </w:r>
      <w:r/>
    </w:p>
    <w:p>
      <w:pPr>
        <w:ind w:firstLine="422"/>
        <w:spacing w:line="520" w:lineRule="exact"/>
        <w:rPr>
          <w:rFonts w:hint="eastAsia" w:ascii="宋体" w:hAnsi="宋体" w:cs="宋体"/>
          <w:b/>
          <w:color w:val="auto"/>
          <w:szCs w:val="21"/>
          <w:highlight w:val="none"/>
        </w:rPr>
      </w:pPr>
      <w:r/>
      <w:bookmarkStart w:id="24" w:name="_Toc35393802"/>
      <w:r/>
      <w:bookmarkStart w:id="25" w:name="_Toc28359016"/>
      <w:r/>
      <w:bookmarkStart w:id="26" w:name="_Toc35393633"/>
      <w:r/>
      <w:bookmarkStart w:id="27" w:name="_Toc28359093"/>
      <w:r>
        <w:rPr>
          <w:rFonts w:hint="eastAsia" w:ascii="宋体" w:hAnsi="宋体" w:cs="宋体"/>
          <w:b/>
          <w:color w:val="auto"/>
          <w:szCs w:val="21"/>
          <w:highlight w:val="none"/>
        </w:rPr>
        <w:t xml:space="preserve">五、开启</w:t>
      </w:r>
      <w:bookmarkEnd w:id="24"/>
      <w:r/>
      <w:bookmarkEnd w:id="25"/>
      <w:r/>
      <w:bookmarkEnd w:id="26"/>
      <w:r/>
      <w:bookmarkEnd w:id="27"/>
      <w:r>
        <w:rPr>
          <w:rFonts w:hint="eastAsia" w:ascii="宋体" w:hAnsi="宋体" w:cs="宋体"/>
          <w:b/>
          <w:color w:val="auto"/>
          <w:szCs w:val="21"/>
          <w:highlight w:val="none"/>
        </w:rPr>
        <w:t xml:space="preserve">（开标时间）</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spacing w:line="52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地点：“苏采云”系统（网址：http://jszfcg.jsczt.cn/）“开标大厅”。</w:t>
      </w:r>
      <w:r/>
    </w:p>
    <w:p>
      <w:pPr>
        <w:ind w:firstLine="422"/>
        <w:spacing w:line="520" w:lineRule="exact"/>
        <w:rPr>
          <w:rFonts w:hint="eastAsia" w:ascii="宋体" w:hAnsi="宋体" w:cs="宋体"/>
          <w:b/>
          <w:color w:val="auto"/>
          <w:szCs w:val="21"/>
          <w:highlight w:val="none"/>
        </w:rPr>
      </w:pPr>
      <w:r/>
      <w:bookmarkStart w:id="28" w:name="_Toc35393634"/>
      <w:r/>
      <w:bookmarkStart w:id="29" w:name="_Toc28359017"/>
      <w:r/>
      <w:bookmarkStart w:id="30" w:name="_Toc28359094"/>
      <w:r/>
      <w:bookmarkStart w:id="31" w:name="_Toc35393803"/>
      <w:r>
        <w:rPr>
          <w:rFonts w:hint="eastAsia" w:ascii="宋体" w:hAnsi="宋体" w:cs="宋体"/>
          <w:b/>
          <w:color w:val="auto"/>
          <w:szCs w:val="21"/>
          <w:highlight w:val="none"/>
        </w:rPr>
        <w:t xml:space="preserve">六、公告期限</w:t>
      </w:r>
      <w:bookmarkEnd w:id="28"/>
      <w:r/>
      <w:bookmarkEnd w:id="29"/>
      <w:r/>
      <w:bookmarkEnd w:id="30"/>
      <w:r/>
      <w:bookmarkEnd w:id="31"/>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spacing w:line="520" w:lineRule="exact"/>
        <w:rPr>
          <w:rFonts w:hint="eastAsia" w:ascii="宋体" w:hAnsi="宋体" w:cs="宋体"/>
          <w:b/>
          <w:color w:val="auto"/>
          <w:szCs w:val="21"/>
          <w:highlight w:val="none"/>
        </w:rPr>
      </w:pPr>
      <w:r/>
      <w:bookmarkStart w:id="32" w:name="_Toc35393635"/>
      <w:r/>
      <w:bookmarkStart w:id="33" w:name="_Toc35393804"/>
      <w:r>
        <w:rPr>
          <w:rFonts w:hint="eastAsia" w:ascii="宋体" w:hAnsi="宋体" w:cs="宋体"/>
          <w:b/>
          <w:color w:val="auto"/>
          <w:szCs w:val="21"/>
          <w:highlight w:val="none"/>
        </w:rPr>
        <w:t xml:space="preserve">七、其他补充事宜</w:t>
      </w:r>
      <w:bookmarkEnd w:id="32"/>
      <w:r/>
      <w:bookmarkEnd w:id="33"/>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具体办理指南和操作手册见链接：http://www.ccgp-jiangsu.gov.cn/jiangsu/zlxz/ee/ee3a4bc5a3454aa2b0d9312230633ce9.html。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2.有关本次招标的事项若存在变动或修改，敬请及时关注“江苏政府采购网”发布的更正公告。</w:t>
      </w:r>
      <w:r/>
    </w:p>
    <w:p>
      <w:pPr>
        <w:ind w:firstLine="422"/>
        <w:spacing w:line="520" w:lineRule="exact"/>
        <w:rPr>
          <w:rFonts w:hint="eastAsia" w:ascii="宋体" w:hAnsi="宋体" w:cs="宋体"/>
          <w:b/>
          <w:color w:val="auto"/>
          <w:szCs w:val="21"/>
          <w:highlight w:val="none"/>
        </w:rPr>
      </w:pPr>
      <w:r/>
      <w:bookmarkStart w:id="34" w:name="_Toc35393636"/>
      <w:r/>
      <w:bookmarkStart w:id="35" w:name="_Toc35393805"/>
      <w:r/>
      <w:bookmarkStart w:id="36" w:name="_Toc28359018"/>
      <w:r/>
      <w:bookmarkStart w:id="37" w:name="_Toc28359095"/>
      <w:r>
        <w:rPr>
          <w:rFonts w:hint="eastAsia" w:ascii="宋体" w:hAnsi="宋体" w:cs="宋体"/>
          <w:b/>
          <w:color w:val="auto"/>
          <w:szCs w:val="21"/>
          <w:highlight w:val="none"/>
        </w:rPr>
        <w:t xml:space="preserve">八、凡对本次采购提出询问，请按以下方式联系</w:t>
      </w:r>
      <w:bookmarkEnd w:id="34"/>
      <w:r/>
      <w:bookmarkEnd w:id="35"/>
      <w:r/>
      <w:bookmarkEnd w:id="36"/>
      <w:r/>
      <w:bookmarkEnd w:id="37"/>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1.采购单位：泰州市人民医院</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地址：泰州市医药高新区太湖路366号</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联系人：孙先生  </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联系电话：0523-89890040</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2.代理机构：江苏建泰工程项目管理有限公司</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地址：泰州市海陵区华润万象城双子塔东塔52楼5203室</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联系人：周女士</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bookmarkStart w:id="38" w:name="_Toc28359098"/>
      <w:r/>
      <w:bookmarkStart w:id="39" w:name="_Toc28359021"/>
      <w:r/>
      <w:bookmarkStart w:id="40" w:name="_Toc35393639"/>
      <w:r/>
      <w:bookmarkStart w:id="41" w:name="_Toc35393808"/>
      <w:r>
        <w:rPr>
          <w:rFonts w:hint="eastAsia" w:ascii="宋体" w:hAnsi="宋体" w:cs="宋体"/>
          <w:color w:val="auto"/>
          <w:szCs w:val="21"/>
          <w:highlight w:val="none"/>
        </w:rPr>
        <w:t xml:space="preserve">0523-81908859</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38"/>
      <w:r/>
      <w:bookmarkEnd w:id="39"/>
      <w:r/>
      <w:bookmarkEnd w:id="40"/>
      <w:r/>
      <w:bookmarkEnd w:id="41"/>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项目联系人：周女士</w:t>
      </w:r>
      <w:r/>
    </w:p>
    <w:p>
      <w:pPr>
        <w:ind w:firstLine="420"/>
        <w:spacing w:line="520" w:lineRule="exact"/>
        <w:rPr>
          <w:rFonts w:hint="eastAsia" w:ascii="宋体" w:hAnsi="宋体" w:cs="宋体"/>
          <w:color w:val="auto"/>
          <w:highlight w:val="none"/>
        </w:rPr>
      </w:pPr>
      <w:r>
        <w:rPr>
          <w:rFonts w:hint="eastAsia" w:ascii="宋体" w:hAnsi="宋体" w:cs="宋体"/>
          <w:color w:val="auto"/>
          <w:szCs w:val="21"/>
          <w:highlight w:val="none"/>
        </w:rPr>
        <w:t xml:space="preserve">电话：0523-81908859</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r>
      <w:r/>
    </w:p>
    <w:p>
      <w:pPr>
        <w:pStyle w:val="942"/>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2" w:name="_Toc11632"/>
      <w:r/>
      <w:bookmarkStart w:id="43" w:name="_Toc13715"/>
      <w:r>
        <w:rPr>
          <w:rFonts w:hint="eastAsia" w:ascii="黑体" w:hAnsi="黑体" w:eastAsia="黑体" w:cs="黑体"/>
          <w:color w:val="auto"/>
          <w:sz w:val="32"/>
          <w:szCs w:val="32"/>
          <w:highlight w:val="none"/>
        </w:rPr>
        <w:t xml:space="preserve">第二章 参加磋商供应商须知</w:t>
      </w:r>
      <w:bookmarkEnd w:id="42"/>
      <w:r/>
      <w:bookmarkEnd w:id="43"/>
      <w:r/>
      <w:r/>
    </w:p>
    <w:p>
      <w:pPr>
        <w:jc w:val="center"/>
        <w:spacing w:line="400" w:lineRule="exact"/>
        <w:rPr>
          <w:rFonts w:hint="eastAsia" w:ascii="宋体" w:hAnsi="宋体" w:cs="宋体"/>
          <w:b/>
          <w:color w:val="auto"/>
          <w:highlight w:val="none"/>
        </w:rPr>
      </w:pPr>
      <w:r>
        <w:rPr>
          <w:rFonts w:hint="eastAsia" w:ascii="宋体" w:hAnsi="宋体" w:cs="宋体"/>
          <w:color w:val="auto"/>
          <w:highlight w:val="none"/>
        </w:rPr>
        <w:t xml:space="preserve">（参加竞争性磋商的供应商以下简称“磋商供应商”）</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一、总则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1.适用范围</w:t>
      </w:r>
      <w:r>
        <w:rPr>
          <w:rFonts w:hint="eastAsia" w:ascii="宋体" w:hAnsi="宋体" w:cs="宋体"/>
          <w:color w:val="auto"/>
          <w:highlight w:val="none"/>
        </w:rPr>
        <w:tab/>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本磋商文件仅适用于</w:t>
      </w:r>
      <w:r>
        <w:rPr>
          <w:rFonts w:hint="eastAsia" w:ascii="宋体" w:hAnsi="宋体" w:cs="宋体"/>
          <w:color w:val="auto"/>
          <w:szCs w:val="21"/>
          <w:highlight w:val="none"/>
        </w:rPr>
        <w:t xml:space="preserve">泰州市人民医院三维后装机采购项目</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2.项目采购方式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3.合格的磋商供应商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3.1满足本磋商文件“竞争性磋商采购公告”中申请人的资格要求的规定。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3.2满足本磋商文件实质性要求和条件的规定。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4.1本项目招标代理费按照《关于印发&lt;江苏省政府采购代理服务收费指导意见&gt;的通知》（苏政采协〔2024〕20号）文件规定的收费标准的10%计取，由采购人支付。</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4.2参加磋商供应商应自行承担所有与参加磋商有关的费用。不论最终的成交结果如何，江苏建泰工程项目管理有限公司（以下简称代理机构）在任何情况下均无义务和责任承担这些费用。</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5.磋商文件的约束力</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w:t>
      </w:r>
      <w:bookmarkStart w:id="44" w:name="_Toc462564070"/>
      <w:r/>
      <w:bookmarkStart w:id="45" w:name="_Toc16938527"/>
      <w:r/>
      <w:bookmarkStart w:id="46" w:name="_Toc513029211"/>
      <w:r/>
      <w:bookmarkStart w:id="47" w:name="_Toc20823283"/>
      <w:r>
        <w:rPr>
          <w:rFonts w:hint="eastAsia" w:ascii="宋体" w:hAnsi="宋体" w:cs="宋体"/>
          <w:color w:val="auto"/>
          <w:highlight w:val="none"/>
        </w:rPr>
        <w:t xml:space="preserve">.磋商文件的澄清</w:t>
      </w:r>
      <w:bookmarkEnd w:id="44"/>
      <w:r/>
      <w:bookmarkEnd w:id="45"/>
      <w:r/>
      <w:bookmarkEnd w:id="46"/>
      <w:r/>
      <w:bookmarkEnd w:id="47"/>
      <w:r>
        <w:rPr>
          <w:rFonts w:hint="eastAsia" w:ascii="宋体" w:hAnsi="宋体" w:cs="宋体"/>
          <w:color w:val="auto"/>
          <w:highlight w:val="none"/>
        </w:rPr>
        <w:t xml:space="preserve">及修改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6.2代理机构不组织供应商进行现场考察或召开磋商前答疑会。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7.合同形式：固定</w:t>
      </w:r>
      <w:r>
        <w:rPr>
          <w:rFonts w:hint="eastAsia" w:ascii="宋体" w:hAnsi="宋体" w:cs="宋体"/>
          <w:color w:val="auto"/>
          <w:highlight w:val="none"/>
          <w:lang w:val="en-US" w:eastAsia="zh-CN"/>
        </w:rPr>
        <w:t xml:space="preserve">总</w:t>
      </w:r>
      <w:r>
        <w:rPr>
          <w:rFonts w:hint="eastAsia" w:ascii="宋体" w:hAnsi="宋体" w:cs="宋体"/>
          <w:color w:val="auto"/>
          <w:highlight w:val="none"/>
        </w:rPr>
        <w:t xml:space="preserve">价合同</w:t>
      </w:r>
      <w:r/>
    </w:p>
    <w:p>
      <w:pPr>
        <w:ind w:firstLine="422"/>
        <w:keepLines w:val="0"/>
        <w:keepNext w:val="0"/>
        <w:pageBreakBefore w:val="0"/>
        <w:spacing w:line="520" w:lineRule="exact"/>
        <w:widowControl w:val="off"/>
        <w:rPr>
          <w:rFonts w:hint="eastAsia" w:ascii="宋体" w:hAnsi="宋体" w:cs="宋体"/>
          <w:b/>
          <w:bCs/>
          <w:color w:val="auto"/>
          <w:highlight w:val="none"/>
        </w:rPr>
      </w:pPr>
      <w:r/>
      <w:bookmarkStart w:id="48" w:name="_Toc61149553"/>
      <w:r/>
      <w:bookmarkStart w:id="49" w:name="_Toc462564072"/>
      <w:r/>
      <w:bookmarkStart w:id="50" w:name="_Toc14577351"/>
      <w:r/>
      <w:bookmarkStart w:id="51" w:name="_Toc513029213"/>
      <w:r>
        <w:rPr>
          <w:rFonts w:hint="eastAsia" w:ascii="宋体" w:hAnsi="宋体" w:cs="宋体"/>
          <w:b/>
          <w:bCs/>
          <w:color w:val="auto"/>
          <w:highlight w:val="none"/>
        </w:rPr>
        <w:t xml:space="preserve">二、磋商响应文件的编制</w:t>
      </w:r>
      <w:bookmarkEnd w:id="48"/>
      <w:r/>
      <w:bookmarkEnd w:id="49"/>
      <w:r/>
      <w:bookmarkEnd w:id="50"/>
      <w:r/>
      <w:bookmarkEnd w:id="51"/>
      <w:r>
        <w:rPr>
          <w:rFonts w:hint="eastAsia" w:ascii="宋体" w:hAnsi="宋体" w:cs="宋体"/>
          <w:b/>
          <w:bCs/>
          <w:color w:val="auto"/>
          <w:highlight w:val="none"/>
        </w:rPr>
        <w:t xml:space="preserve">及保证金收取</w:t>
      </w:r>
      <w:r/>
    </w:p>
    <w:p>
      <w:pPr>
        <w:ind w:firstLine="420"/>
        <w:keepLines w:val="0"/>
        <w:keepNext w:val="0"/>
        <w:pageBreakBefore w:val="0"/>
        <w:spacing w:line="520" w:lineRule="exact"/>
        <w:widowControl w:val="off"/>
        <w:rPr>
          <w:rFonts w:hint="eastAsia" w:ascii="宋体" w:hAnsi="宋体" w:cs="宋体"/>
          <w:color w:val="auto"/>
          <w:highlight w:val="none"/>
        </w:rPr>
      </w:pPr>
      <w:r/>
      <w:bookmarkStart w:id="52" w:name="_Hlt26954834"/>
      <w:r/>
      <w:bookmarkEnd w:id="52"/>
      <w:r/>
      <w:bookmarkStart w:id="53" w:name="_Toc14577353"/>
      <w:r/>
      <w:bookmarkStart w:id="54" w:name="_Toc462564074"/>
      <w:r/>
      <w:bookmarkStart w:id="55" w:name="_Toc61149555"/>
      <w:r/>
      <w:bookmarkStart w:id="56" w:name="_Toc513029215"/>
      <w:r/>
      <w:bookmarkStart w:id="57" w:name="_Toc462564073"/>
      <w:r/>
      <w:bookmarkStart w:id="58" w:name="_Toc61149554"/>
      <w:r/>
      <w:bookmarkStart w:id="59" w:name="_Toc513029214"/>
      <w:r/>
      <w:bookmarkStart w:id="60" w:name="_Toc14577352"/>
      <w:r>
        <w:rPr>
          <w:rFonts w:hint="eastAsia" w:ascii="宋体" w:hAnsi="宋体" w:cs="宋体"/>
          <w:color w:val="auto"/>
          <w:highlight w:val="none"/>
        </w:rPr>
        <w:t xml:space="preserve">1.响应文件</w:t>
      </w:r>
      <w:bookmarkEnd w:id="53"/>
      <w:r/>
      <w:bookmarkEnd w:id="54"/>
      <w:r/>
      <w:bookmarkEnd w:id="55"/>
      <w:r/>
      <w:bookmarkEnd w:id="56"/>
      <w:r>
        <w:rPr>
          <w:rFonts w:hint="eastAsia" w:ascii="宋体" w:hAnsi="宋体" w:cs="宋体"/>
          <w:color w:val="auto"/>
          <w:highlight w:val="none"/>
        </w:rPr>
        <w:t xml:space="preserve">编制要求</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1.1磋商供应商提交的响应文件以及其与代理机构及采购人就有关磋商的所有来往函电均应使用简体中文。磋商文件中既有中文也有外文的，以中文意义为准。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1.2除技术性能另有规定外，响应文件所使用的度量衡单位，均须采用国家法定计量单位。</w:t>
      </w:r>
      <w:bookmarkEnd w:id="57"/>
      <w:r/>
      <w:bookmarkEnd w:id="58"/>
      <w:r/>
      <w:bookmarkEnd w:id="59"/>
      <w:r/>
      <w:bookmarkEnd w:id="60"/>
      <w:r/>
      <w:r/>
    </w:p>
    <w:p>
      <w:pPr>
        <w:ind w:firstLine="420"/>
        <w:keepLines w:val="0"/>
        <w:keepNext w:val="0"/>
        <w:pageBreakBefore w:val="0"/>
        <w:spacing w:line="520" w:lineRule="exact"/>
        <w:widowControl w:val="off"/>
        <w:rPr>
          <w:rFonts w:hint="eastAsia" w:ascii="宋体" w:hAnsi="宋体" w:cs="宋体"/>
          <w:color w:val="auto"/>
          <w:highlight w:val="none"/>
        </w:rPr>
      </w:pPr>
      <w:r/>
      <w:bookmarkStart w:id="61" w:name="_Hlt26670357"/>
      <w:r/>
      <w:bookmarkEnd w:id="61"/>
      <w:r/>
      <w:bookmarkStart w:id="62" w:name="_Hlt26954836"/>
      <w:r/>
      <w:bookmarkEnd w:id="62"/>
      <w:r/>
      <w:bookmarkStart w:id="63" w:name="_Toc14577357"/>
      <w:r/>
      <w:bookmarkStart w:id="64" w:name="_Toc61149558"/>
      <w:r/>
      <w:bookmarkStart w:id="65" w:name="_Toc513029219"/>
      <w:r/>
      <w:bookmarkStart w:id="66" w:name="_Toc513029217"/>
      <w:r/>
      <w:bookmarkStart w:id="67" w:name="_Toc14577355"/>
      <w:r/>
      <w:bookmarkStart w:id="68" w:name="_Toc61149557"/>
      <w:r>
        <w:rPr>
          <w:rFonts w:hint="eastAsia" w:ascii="宋体" w:hAnsi="宋体" w:cs="宋体"/>
          <w:color w:val="auto"/>
          <w:highlight w:val="none"/>
        </w:rPr>
        <w:t xml:space="preserve">1.3响应文件构成</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加★项目若有缺失或无效，将导致该响应文件作无效响应文件评定，且不允许在磋商截止时间后补正。</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1.3.1 资格证明文件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（1）★具有独立承担民事责任能力的企事业法人营业执照；</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（2）★磋商供应商法定代表人资格证明书</w:t>
      </w:r>
      <w:bookmarkStart w:id="69" w:name="OLE_LINK57"/>
      <w:r/>
      <w:bookmarkStart w:id="70" w:name="OLE_LINK56"/>
      <w:r>
        <w:rPr>
          <w:rFonts w:hint="eastAsia" w:ascii="宋体" w:hAnsi="宋体" w:cs="宋体"/>
          <w:b/>
          <w:color w:val="auto"/>
          <w:highlight w:val="none"/>
        </w:rPr>
        <w:t xml:space="preserve">（格式见附件）</w:t>
      </w:r>
      <w:bookmarkEnd w:id="69"/>
      <w:r/>
      <w:bookmarkEnd w:id="70"/>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（3）★磋商供应商法定代表人授权委托书</w:t>
      </w:r>
      <w:r>
        <w:rPr>
          <w:rFonts w:hint="eastAsia" w:ascii="宋体" w:hAnsi="宋体" w:cs="宋体"/>
          <w:b/>
          <w:color w:val="auto"/>
          <w:highlight w:val="none"/>
        </w:rPr>
        <w:t xml:space="preserve">（格式见附件，法定代表人亲自参加磋商的除外）</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（4）★按照本文件第一章第二条之（三）中“本项目的特定资格要求”应当提供的证书或材料等（如有）；</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供应商近六个月中任意一个月份（不含磋商当月）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（6）★供应商近六个月中任意一个月份（不含磋商当月）的依法缴纳税收的相关材料（提供相关主管部门证明或银行代扣证明）复印件（依法免税的磋商供应商，应提供其依法免税的证明材料）；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（7）★供应商近六个月中任意一个月份（不含磋商当月）的依法缴纳社会保障资金的相关材料（提供相关主管部门证明或银行代扣证明）；</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（8）★参加政府采购活动前3年内在经营活动中没有重大违法记录的书面声明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（9）★具备履行合同所必需的设备和专业技术能力的书面声明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（10）★磋商供应商应提供《中小企业声明函》或《残疾人福利性单位声明函》或省级以上监狱管理局、戒毒管理局（含新疆生产建设兵团）出具的属于监狱企业的证明文件；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520" w:lineRule="exact"/>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★磋商供应商应提供《关于符合本国产品标准的声明函》</w:t>
      </w:r>
      <w:r>
        <w:rPr>
          <w:rFonts w:hint="eastAsia" w:ascii="宋体" w:hAnsi="宋体" w:cs="宋体"/>
          <w:color w:val="auto"/>
          <w:highlight w:val="none"/>
          <w:lang w:eastAsia="zh-CN"/>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如上述资格证明文件第（5）（6）（7）三项遇有国家相关政策规定可不具备的，必须提供相关政策规定或相关单位出具的有效证明。</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1.3.2商务技术文件（按照本文件第六章统一提供的规范表式填写）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（1）★磋商响应函</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（2）★磋商报价表（参考格式，以苏采云系统格式为准）；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（3）★首轮响应报价明细表</w:t>
      </w:r>
      <w:r>
        <w:rPr>
          <w:rFonts w:hint="eastAsia" w:ascii="宋体" w:hAnsi="宋体" w:cs="宋体"/>
          <w:b/>
          <w:color w:val="auto"/>
          <w:highlight w:val="none"/>
        </w:rPr>
        <w:t xml:space="preserve">（格式见附件）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）根据项目需求和评审方法以及评审标准，供应商为使自身处于有利评审地位，应当提交的其他文件和证明资料；</w:t>
      </w:r>
      <w:bookmarkEnd w:id="63"/>
      <w:r/>
      <w:bookmarkEnd w:id="64"/>
      <w:r/>
      <w:bookmarkEnd w:id="65"/>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1.3.3如标书制作工具中的格式和内容与“江苏政府采购网”发布的磋商文件不一致，请以“江苏政府采购网”发布的磋商文件为准。</w:t>
      </w:r>
      <w:r/>
    </w:p>
    <w:p>
      <w:pPr>
        <w:ind w:firstLine="420"/>
        <w:keepLines w:val="0"/>
        <w:keepNext w:val="0"/>
        <w:pageBreakBefore w:val="0"/>
        <w:spacing w:line="520" w:lineRule="exact"/>
        <w:widowControl w:val="off"/>
        <w:rPr>
          <w:rFonts w:hint="eastAsia" w:ascii="宋体" w:hAnsi="宋体" w:cs="宋体"/>
          <w:color w:val="auto"/>
          <w:highlight w:val="none"/>
        </w:rPr>
      </w:pPr>
      <w:r/>
      <w:bookmarkStart w:id="71" w:name="_Hlt26668999"/>
      <w:r/>
      <w:bookmarkEnd w:id="71"/>
      <w:r>
        <w:rPr>
          <w:rFonts w:hint="eastAsia" w:ascii="宋体" w:hAnsi="宋体" w:cs="宋体"/>
          <w:color w:val="auto"/>
          <w:highlight w:val="none"/>
        </w:rPr>
        <w:t xml:space="preserve">2.磋商响应报价</w:t>
      </w:r>
      <w:bookmarkEnd w:id="66"/>
      <w:r/>
      <w:bookmarkEnd w:id="67"/>
      <w:r/>
      <w:bookmarkStart w:id="72" w:name="_Hlt26670373"/>
      <w:r/>
      <w:bookmarkEnd w:id="72"/>
      <w:r>
        <w:rPr>
          <w:rFonts w:hint="eastAsia" w:ascii="宋体" w:hAnsi="宋体" w:cs="宋体"/>
          <w:color w:val="auto"/>
          <w:highlight w:val="none"/>
        </w:rPr>
        <w:t xml:space="preserve">表</w:t>
      </w:r>
      <w:bookmarkEnd w:id="68"/>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2.1磋商供应商应按照磋商文件规定格式填报磋商响应报价表。每项产品或服务只允许有一个报价，任何有选择的报价将不予接受，磋商文件中另有规定的按规定执行。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2.2标的物</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详见项目需求。</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2.3有关费用的处理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本次采购磋商供应商的总报价应包括为完成本项目发生的所有费用，本磋商文件中另有规定的除外。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磋商文件未列明，而磋商供应商认为必需的费用也须列入报价。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2.4 报价采用的货币及方式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响应文件中的单价和总价，无特殊规定的采用人民币报价，以元为单位标注。磋商文件中另有规定的按规定执行。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 磋商响应报价表上的价格应按磋商文件规定填写。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2.6最高限价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磋商供应商报价超过最高限价的，作为无效标处理。</w:t>
      </w:r>
      <w:r/>
    </w:p>
    <w:p>
      <w:pPr>
        <w:ind w:firstLine="420"/>
        <w:keepLines w:val="0"/>
        <w:keepNext w:val="0"/>
        <w:pageBreakBefore w:val="0"/>
        <w:spacing w:line="520" w:lineRule="exact"/>
        <w:widowControl w:val="off"/>
        <w:rPr>
          <w:rFonts w:hint="eastAsia" w:ascii="宋体" w:hAnsi="宋体" w:cs="宋体"/>
          <w:color w:val="auto"/>
          <w:highlight w:val="none"/>
        </w:rPr>
      </w:pPr>
      <w:r/>
      <w:bookmarkStart w:id="73" w:name="_Hlt26670425"/>
      <w:r/>
      <w:bookmarkEnd w:id="73"/>
      <w:r/>
      <w:bookmarkStart w:id="74" w:name="_Hlt26954842"/>
      <w:r/>
      <w:bookmarkEnd w:id="74"/>
      <w:r/>
      <w:bookmarkStart w:id="75" w:name="_Hlt26668983"/>
      <w:r/>
      <w:bookmarkEnd w:id="75"/>
      <w:r/>
      <w:bookmarkStart w:id="76" w:name="_Hlt26670486"/>
      <w:r/>
      <w:bookmarkEnd w:id="76"/>
      <w:r/>
      <w:bookmarkStart w:id="77" w:name="_Hlt26670403"/>
      <w:r/>
      <w:bookmarkEnd w:id="77"/>
      <w:r/>
      <w:bookmarkStart w:id="78" w:name="_Hlt26954848"/>
      <w:r/>
      <w:bookmarkEnd w:id="78"/>
      <w:r/>
      <w:bookmarkStart w:id="79" w:name="_Hlt26954852"/>
      <w:r/>
      <w:bookmarkEnd w:id="79"/>
      <w:r/>
      <w:bookmarkStart w:id="80" w:name="_Hlt26670493"/>
      <w:r/>
      <w:bookmarkEnd w:id="80"/>
      <w:r/>
      <w:bookmarkStart w:id="81" w:name="_Hlt26670489"/>
      <w:r/>
      <w:bookmarkEnd w:id="81"/>
      <w:r/>
      <w:bookmarkStart w:id="82" w:name="_Hlt26954846"/>
      <w:r/>
      <w:bookmarkEnd w:id="82"/>
      <w:r/>
      <w:bookmarkStart w:id="83" w:name="_Hlt26670482"/>
      <w:r/>
      <w:bookmarkEnd w:id="83"/>
      <w:r/>
      <w:bookmarkStart w:id="84" w:name="_Hlt26954850"/>
      <w:r/>
      <w:bookmarkEnd w:id="84"/>
      <w:r/>
      <w:bookmarkStart w:id="85" w:name="_Hlt26954749"/>
      <w:r/>
      <w:bookmarkEnd w:id="85"/>
      <w:r/>
      <w:bookmarkStart w:id="86" w:name="_Hlt26954844"/>
      <w:r/>
      <w:bookmarkEnd w:id="86"/>
      <w:r/>
      <w:bookmarkStart w:id="87" w:name="_Hlt26954734"/>
      <w:r/>
      <w:bookmarkEnd w:id="87"/>
      <w:r/>
      <w:bookmarkStart w:id="88" w:name="_Hlt26954854"/>
      <w:r/>
      <w:bookmarkEnd w:id="88"/>
      <w:r/>
      <w:bookmarkStart w:id="89" w:name="_Hlt26954739"/>
      <w:r/>
      <w:bookmarkEnd w:id="89"/>
      <w:r/>
      <w:bookmarkStart w:id="90" w:name="_Hlt26954731"/>
      <w:r/>
      <w:bookmarkEnd w:id="90"/>
      <w:r/>
      <w:bookmarkStart w:id="91" w:name="_Toc61149562"/>
      <w:r/>
      <w:bookmarkStart w:id="92" w:name="_Toc14577362"/>
      <w:r/>
      <w:bookmarkStart w:id="93" w:name="_Toc513029224"/>
      <w:r>
        <w:rPr>
          <w:rFonts w:hint="eastAsia" w:ascii="宋体" w:hAnsi="宋体" w:cs="宋体"/>
          <w:color w:val="auto"/>
          <w:highlight w:val="none"/>
        </w:rPr>
        <w:t xml:space="preserve">3.磋商保证金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依据《关于做好政府采购支持企业发展有关事项的通知》（苏财购〔2020〕52号）文件规定精神，本项目免收磋商保证金。磋商文件中有关磋商保证金的条款均取消。</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三、响应文件的递交</w:t>
      </w:r>
      <w:bookmarkEnd w:id="91"/>
      <w:r/>
      <w:bookmarkEnd w:id="92"/>
      <w:r/>
      <w:bookmarkEnd w:id="93"/>
      <w:r/>
      <w:r/>
    </w:p>
    <w:p>
      <w:pPr>
        <w:ind w:firstLine="420"/>
        <w:keepLines w:val="0"/>
        <w:keepNext w:val="0"/>
        <w:pageBreakBefore w:val="0"/>
        <w:spacing w:line="520" w:lineRule="exact"/>
        <w:widowControl w:val="off"/>
        <w:rPr>
          <w:rFonts w:hint="eastAsia" w:ascii="宋体" w:hAnsi="宋体" w:cs="宋体"/>
          <w:color w:val="auto"/>
          <w:highlight w:val="none"/>
        </w:rPr>
      </w:pPr>
      <w:r/>
      <w:bookmarkStart w:id="94" w:name="_Hlt26954856"/>
      <w:r/>
      <w:bookmarkEnd w:id="94"/>
      <w:r/>
      <w:bookmarkStart w:id="95" w:name="_Toc61149563"/>
      <w:r/>
      <w:bookmarkStart w:id="96" w:name="_Toc462564084"/>
      <w:r/>
      <w:bookmarkStart w:id="97" w:name="_Toc14577363"/>
      <w:r/>
      <w:bookmarkStart w:id="98" w:name="_Toc513029225"/>
      <w:r>
        <w:rPr>
          <w:rFonts w:hint="eastAsia" w:ascii="宋体" w:hAnsi="宋体" w:cs="宋体"/>
          <w:color w:val="auto"/>
          <w:highlight w:val="none"/>
        </w:rPr>
        <w:t xml:space="preserve">1.</w:t>
      </w:r>
      <w:bookmarkEnd w:id="95"/>
      <w:r/>
      <w:bookmarkEnd w:id="96"/>
      <w:r/>
      <w:bookmarkEnd w:id="97"/>
      <w:r/>
      <w:bookmarkEnd w:id="98"/>
      <w:r>
        <w:rPr>
          <w:rFonts w:hint="eastAsia" w:ascii="宋体" w:hAnsi="宋体" w:cs="宋体"/>
          <w:color w:val="auto"/>
          <w:highlight w:val="none"/>
        </w:rPr>
        <w:t xml:space="preserve">电子磋商响应文件的递交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1.1供应商应当按照《操作手册》规定，在提交响应文件截止时间前制作并上传电子响应文件。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2提交响应文件的截止时间</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2.1供应商上传电子响应文件的时间不得迟于磋商公告中规定的提交响应文件截止时间。</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供应商应充分考虑到网络环境、网络带宽等风险因素，如因供应商自身原因造成的电子响应文件上传不成功的按照本磋商文件第二章第5.3.2条规定作无效响应处理。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2.2采购人和采购代理机构可以按照规定，通过修改磋商文件酌情延长提交响应文件截止日期，在此情况下，供应商的所有权利和义务以及供应商受制的截止日期均应以延长后新的截止日期为准。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520" w:lineRule="exact"/>
        <w:widowControl w:val="off"/>
        <w:rPr>
          <w:rFonts w:hint="eastAsia" w:ascii="宋体" w:hAnsi="宋体" w:cs="宋体"/>
          <w:color w:val="auto"/>
          <w:highlight w:val="none"/>
        </w:rPr>
      </w:pPr>
      <w:r/>
      <w:bookmarkStart w:id="99" w:name="_Hlt26670496"/>
      <w:r/>
      <w:bookmarkEnd w:id="99"/>
      <w:r/>
      <w:bookmarkStart w:id="100" w:name="_Hlt26954752"/>
      <w:r/>
      <w:bookmarkEnd w:id="100"/>
      <w:r/>
      <w:bookmarkStart w:id="101" w:name="_Hlt26954858"/>
      <w:r/>
      <w:bookmarkEnd w:id="101"/>
      <w:r/>
      <w:bookmarkStart w:id="102" w:name="_Toc61149564"/>
      <w:r/>
      <w:bookmarkStart w:id="103" w:name="_Toc513029226"/>
      <w:r/>
      <w:bookmarkStart w:id="104" w:name="_Toc14577364"/>
      <w:r>
        <w:rPr>
          <w:rFonts w:hint="eastAsia" w:ascii="宋体" w:hAnsi="宋体" w:cs="宋体"/>
          <w:color w:val="auto"/>
          <w:highlight w:val="none"/>
        </w:rPr>
        <w:t xml:space="preserve">3.响应文件的拒收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3.1采购人拒绝接收在其规定的提交响应文件截止时间后上传的任何电子响应文件。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4.响应文件的撤回和修改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4.1响应文件的撤回</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4.1.1电子响应文件的撤回</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供应商可在提交响应文件截止时间前，撤回其电子响应文件，具体操作方法见《操作手册》。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4.1.2供应商撤回电子响应文件，则视为其不再参与本项目磋商活动。</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4.2响应文件的修改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供应商可在提交响应文件截止时间前，对其电子响应文件进行修改，具体操作方法见《操作手册》。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4.3在提交响应文件截止时间之后，供应商不得对其电子响应文件作任何修改。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4.4在提交响应文件截止时间至磋商文件中规定的磋商有效期满之间的这段时间内，供应商不得撤回其响应文件。</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四、响应文件的解密与评审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1.响应文件解密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1.1供应商应当按照《操作手册》规定，在苏采云系统规定的时间内对磋商响应文件进行解密。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2.磋商小组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2.1采购代理机构将组织磋商小组对响应文件进行评审。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2.2磋商小组独立工作，负责评审所有响应文件并确定成交候选人。</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3.评审过程的保密与公正</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3.2在评审过程中，供应商不得以任何行为影响磋商评审过程，否则其响应文件将被作为无效响应文件。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3.3在项目评审期间，采购代理机构将设专门人员与供应商联系。</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3.4采购人、代理机构和磋商小组不向未成交的供应商解释未成交原因，也不公布评审过程中的相关细节。</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4.评审过程中的澄清</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磋商小组并非对每个供应商都作澄清要求。</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4.3接到磋商小组澄清、说明和更正要求的供应商如未按规定作出澄清、说明和更正，其风险由供应商自行承担。</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5.对响应文件的审查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5.1响应文件审查分为资格审查和符合性审查。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5.1.1资格审查：由磋商小组依据法律法规和磋商文件的规定，对响应文件中的资格证明文件进行审查，以确定供应商是否具备参加磋商的资格。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5.3未实质性响应磋商文件的情形</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5.3.1供应商在苏采云系统规定的时间内未成功解密电子响应文件的；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5.3.2供应商未按照磋商文件要求上传电子响应文件的；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5.3.3同一供应商提交两个（含两个）以上不同的响应文件或者最后报价的；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5.3.4供应商不具备磋商文件中规定的资格要求的；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5.3.5供应商的最后报价超过了采购预算或最高限价的；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5.3.6不符合磋商文件中规定的实质性要求和条件的；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5.3.7供应商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5.3.8响应文件中含有采购人不能接受的附加条件的；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5.3.10响应文件未按照磋商文件要求加盖CA电子公章的；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5.3.11标注“★”号，不能满足采购文件要求的；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5.4未实质性响应磋商文件的响应文件按无效响应处理。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5.5如果响应文件实质上没有响应磋商文件的要求，磋商小组将予以拒绝，供应商不得通过修改或撤销不符合要求的偏离或保留而使其成为实质性响应的文件。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5.6供应商在项目评审全过程中应保持通讯畅通，并安排专人与采购代理机构及磋商小组联系。</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6.磋商程序及评审方法和评审标准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6.1.2磋商文件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6.2评审方法和评审标准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6.2.2评审标准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详见本磋商文件第五章规定。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6.3.1因情况变化，不再符合规定的竞争性磋商采购方式适用情形的。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6.3.2出现影响采购公正性的违法、违规行为的。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6.3.3除本磋商文件第二章第6.1.2条第三款规定的情形外，在采购过程中符合要求的供应商或者最后报价未超过采购预算的供应商不足3家的。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6.3.4在苏采云系统规定时间内成功解密电子响应文件的供应商不足3家的。</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五、成交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1.确定成交单位</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1.2采购人从评审报告提出的成交候选供应商中，按照排序由高到低的原则确定成交供应商。采购人确定成交供应商后，采购人将在“江苏政府采购网”发布成交结果公告，公告期限为1个工作日。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1.3若有充分证据证明，成交供应商出现下列情况之一的，一经查实，将被取消成交资格：</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1.3.1提供虚假材料牟取成交的。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1.3.2与评审专家、采购人、其他供应商或者采购代理机构工作人员恶意串通的。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1.3.3向评审专家、采购人或采购代理机构工作人员行贿或者提供其他不正当利益的。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1.3.5不满足本磋商文件规定的实质性要求，但在评审过程中又未被磋商小组发现的。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1.3.6成交后无正当理由拒不与采购人签订政府采购合同或者未按照磋商文件确定的事项签订政府采购合同的。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2.质疑处理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2.2.1对可以质疑的采购文件提出质疑的，为收到采购文件之日或者采购文件公告期限届满之日。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2.2.2对采购过程提出质疑的，为各采购程序环节结束之日。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2.2.3对成交结果提出质疑的，为成交结果公告期限届满之日。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2.3质疑函必须按照本磋商文件中《质疑函范本》要求的格式和内容进行填写。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采购人及采购代理机构只接收以纸质原件形式送达的质疑。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采购人质疑接收人及联系方式见本磋商文件第一章。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2.5以下情形的质疑不予受理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2.5.1内容不符合《政府采购质疑和投诉办法》第十二条规定的质疑。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2.5.2超出政府采购法定期限的质疑。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2.5.3以传真、电子邮件等方式递交的非原件形式的质疑。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2.5.4未参加磋商活动的供应商或在磋商活动中自身权益未受到损害的供应商所提出的质疑。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2.5.5供应商组成联合体参加磋商，联合体中任何一方或多方未按要求签字、盖章、加盖公章的质疑。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3.成交通知书</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102"/>
      <w:r/>
      <w:bookmarkEnd w:id="103"/>
      <w:r/>
      <w:bookmarkEnd w:id="104"/>
      <w:r/>
      <w:r/>
    </w:p>
    <w:p>
      <w:pPr>
        <w:ind w:firstLine="422"/>
        <w:keepLines w:val="0"/>
        <w:keepNext w:val="0"/>
        <w:pageBreakBefore w:val="0"/>
        <w:spacing w:line="520" w:lineRule="exact"/>
        <w:widowControl w:val="off"/>
        <w:rPr>
          <w:rFonts w:hint="eastAsia" w:ascii="宋体" w:hAnsi="宋体" w:cs="宋体"/>
          <w:b/>
          <w:bCs/>
          <w:color w:val="auto"/>
          <w:highlight w:val="none"/>
        </w:rPr>
      </w:pPr>
      <w:r/>
      <w:bookmarkStart w:id="105" w:name="_Toc513029237"/>
      <w:r/>
      <w:bookmarkStart w:id="106" w:name="_Toc20823309"/>
      <w:r/>
      <w:bookmarkStart w:id="107" w:name="_Toc16938553"/>
      <w:r>
        <w:rPr>
          <w:rFonts w:hint="eastAsia" w:ascii="宋体" w:hAnsi="宋体" w:cs="宋体"/>
          <w:b/>
          <w:bCs/>
          <w:color w:val="auto"/>
          <w:highlight w:val="none"/>
        </w:rPr>
        <w:t xml:space="preserve">六、签订、履行合同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1.履约保证金：</w:t>
      </w:r>
      <w:bookmarkStart w:id="108" w:name="OLE_LINK67"/>
      <w:r/>
      <w:bookmarkStart w:id="109" w:name="OLE_LINK69"/>
      <w:r/>
      <w:bookmarkStart w:id="110" w:name="OLE_LINK68"/>
      <w:r>
        <w:rPr>
          <w:rFonts w:hint="eastAsia" w:ascii="宋体" w:hAnsi="宋体" w:cs="宋体"/>
          <w:color w:val="auto"/>
          <w:highlight w:val="none"/>
        </w:rPr>
        <w:t xml:space="preserve">成交单位在合同签订前向采购人缴纳（成交价的10%）履约保证金，</w:t>
      </w:r>
      <w:bookmarkEnd w:id="108"/>
      <w:r/>
      <w:bookmarkEnd w:id="109"/>
      <w:r/>
      <w:bookmarkEnd w:id="110"/>
      <w:r>
        <w:rPr>
          <w:rFonts w:hint="eastAsia" w:ascii="宋体" w:hAnsi="宋体" w:cs="宋体"/>
          <w:color w:val="auto"/>
          <w:highlight w:val="none"/>
          <w:lang w:val="en-US" w:eastAsia="zh-CN"/>
        </w:rPr>
        <w:t xml:space="preserve">货物安装后1年且运行状态良好采购人无息退还合同总价4%的履约保证金，质保期满后采购人无息退还剩余履约保证金。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履约保证金提交形式：银行转账、支票、汇票、本票、金融机构出具的保函或者保证保险等非现金形式。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2.签订合同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2.l成交供应商应当在成交通知书发出之日起30日内，按照磋商文件确定的事项与采购人签订政府采购合同。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2.2磋商文件、成交供应商的响应文件及磋商过程中有关澄清、承诺文件均应作为合同附件。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3.标的物的追加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七、其他事项说明：（落实的相关政策）</w:t>
      </w:r>
      <w:bookmarkEnd w:id="105"/>
      <w:r/>
      <w:bookmarkEnd w:id="106"/>
      <w:r/>
      <w:bookmarkEnd w:id="107"/>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1.小微型企业价格扣除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（1）本项目对小型和微型企业产品给予10%的扣除价格，用扣除后的价格参与评审。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（2）供应商需按照采购文件的要求提供相应的《中小企业声明函》。</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（3）本次采购标的属于</w:t>
      </w:r>
      <w:r>
        <w:rPr>
          <w:rFonts w:hint="eastAsia" w:ascii="宋体" w:hAnsi="宋体" w:cs="宋体"/>
          <w:b/>
          <w:bCs/>
          <w:color w:val="auto"/>
          <w:highlight w:val="none"/>
          <w:u w:val="single"/>
        </w:rPr>
        <w:t xml:space="preserve"> 工业 </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（4）在货物采购项目中，供应商提供的货物既有中小企业制造货物，也有大型企业制造货物的，不享受本办法规定的中小企业扶持政策。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2.残疾人福利性单位价格扣除政策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（1）本项目对残疾人福利性单位视同小型、微型企业，给予10%的价格扣除，用扣除后的价格参与评审。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（2）残疾人福利性单位需按照采购文件的要求提供《残疾人福利性单位声明函》。</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（3）残疾人福利性单位标准参照《关于促进残疾人就业政府采购政策的通知》（财库〔2017〕141号）。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3.监狱和戒毒企业价格扣除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（1）本项目对监狱和戒毒企业（简称监狱企业）视同小型、微型企业，给予10%的价格扣除，用扣除后的价格参与评审。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（3）监狱企业标准参照《关于政府采购支持监狱企业发展有关问题的通知》（财库〔2014〕68号）。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4.残疾人福利性单位、监狱企业属于小型、微型企业的，不重复享受政策。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8.未按要求提供相关材料的，不享受相关政策。</w:t>
      </w:r>
      <w:r/>
    </w:p>
    <w:p>
      <w:pPr>
        <w:ind w:firstLine="422"/>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rPr>
        <w:t xml:space="preserve">采购本国产品的支持政策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 xml:space="preserve">20%</w:t>
      </w:r>
      <w:r>
        <w:rPr>
          <w:rFonts w:hint="eastAsia" w:ascii="宋体" w:hAnsi="宋体" w:cs="宋体"/>
          <w:color w:val="auto"/>
          <w:highlight w:val="none"/>
        </w:rPr>
        <w:t xml:space="preserve">的价格扣除，用扣除后的价格参与评审。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、关于异常低价的审查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根据财库〔2026〕2号文《财政部关于推动解决政府采购异常低价问题的通知》：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1.政府采购评审中出现下列情形之一的，评审委员会应当启动异常低价投标（响应）审查程序：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1.3投标（响应）报价低于采购项目最高限价45%的，即投标（响应）报价&lt;采购项目最高限价×45%；</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1.4评审委员会基于专业判断，认为供应商报价过低，有可能影响产品质量或者不能诚信履约的其他情形。</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2"/>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pStyle w:val="943"/>
        <w:rPr>
          <w:rFonts w:hint="eastAsia" w:ascii="宋体" w:hAnsi="宋体" w:eastAsia="宋体" w:cs="宋体"/>
          <w:b w:val="0"/>
          <w:bCs/>
          <w:color w:val="auto"/>
          <w:sz w:val="21"/>
          <w:szCs w:val="21"/>
          <w:highlight w:val="none"/>
        </w:rPr>
      </w:pPr>
      <w:r/>
      <w:bookmarkStart w:id="111" w:name="_Toc518041191"/>
      <w:r/>
      <w:bookmarkStart w:id="112" w:name="_Toc434410155"/>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111"/>
      <w:r/>
      <w:bookmarkEnd w:id="112"/>
      <w:r/>
      <w:r/>
    </w:p>
    <w:p>
      <w:pPr>
        <w:jc w:val="center"/>
        <w:keepLines w:val="0"/>
        <w:keepNext w:val="0"/>
        <w:pageBreakBefore w:val="0"/>
        <w:spacing w:line="360" w:lineRule="auto"/>
        <w:widowControl/>
        <w:rPr>
          <w:rFonts w:hint="eastAsia" w:cs="Arial"/>
          <w:b/>
          <w:color w:val="auto"/>
          <w:sz w:val="36"/>
          <w:szCs w:val="36"/>
          <w:highlight w:val="none"/>
          <w:vertAlign w:val="superscript"/>
        </w:rPr>
        <w:suppressLineNumbers w:val="0"/>
      </w:pPr>
      <w:r/>
      <w:bookmarkStart w:id="113" w:name="hetongStart"/>
      <w:r/>
      <w:bookmarkEnd w:id="113"/>
      <w:r>
        <w:rPr>
          <w:rFonts w:hint="eastAsia" w:ascii="黑体" w:hAnsi="Times New Roman" w:eastAsia="黑体" w:cs="Times New Roman"/>
          <w:b/>
          <w:color w:val="auto"/>
          <w:sz w:val="30"/>
          <w:szCs w:val="30"/>
          <w:highlight w:val="none"/>
          <w:lang w:val="en-US" w:eastAsia="zh-CN"/>
        </w:rPr>
        <w:t xml:space="preserve">XX</w:t>
      </w:r>
      <w:r>
        <w:rPr>
          <w:rFonts w:hint="eastAsia" w:ascii="黑体" w:hAnsi="Times New Roman" w:eastAsia="黑体" w:cs="Times New Roman"/>
          <w:b/>
          <w:color w:val="auto"/>
          <w:sz w:val="30"/>
          <w:szCs w:val="30"/>
          <w:highlight w:val="none"/>
        </w:rPr>
        <w:t xml:space="preserve">采购合</w:t>
      </w:r>
      <w:r>
        <w:rPr>
          <w:rFonts w:hint="eastAsia" w:ascii="黑体" w:eastAsia="黑体"/>
          <w:b/>
          <w:color w:val="auto"/>
          <w:sz w:val="30"/>
          <w:szCs w:val="30"/>
          <w:highlight w:val="none"/>
        </w:rPr>
        <w:t xml:space="preserve">同</w:t>
      </w:r>
      <w:r/>
    </w:p>
    <w:p>
      <w:pPr>
        <w:ind w:left="0"/>
        <w:jc w:val="both"/>
        <w:keepLines w:val="0"/>
        <w:keepNext w:val="0"/>
        <w:pageBreakBefore w:val="0"/>
        <w:spacing w:line="5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甲方：泰州市人民医院</w:t>
      </w:r>
      <w:r/>
    </w:p>
    <w:p>
      <w:pPr>
        <w:ind w:left="0"/>
        <w:jc w:val="both"/>
        <w:keepLines w:val="0"/>
        <w:keepNext w:val="0"/>
        <w:pageBreakBefore w:val="0"/>
        <w:spacing w:line="520" w:lineRule="exact"/>
        <w:widowControl/>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乙方：</w:t>
      </w:r>
      <w:r>
        <w:rPr>
          <w:rFonts w:hint="eastAsia"/>
          <w:b/>
          <w:color w:val="auto"/>
          <w:sz w:val="21"/>
          <w:highlight w:val="none"/>
          <w:lang w:val="en-US" w:eastAsia="zh-CN"/>
        </w:rPr>
        <w:t xml:space="preserve">XX有限公司</w:t>
      </w:r>
      <w:r/>
    </w:p>
    <w:p>
      <w:pPr>
        <w:ind w:left="0"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经甲、乙双方友好协商，就乙方销售给甲方设备，双方达成如下协议：</w:t>
      </w:r>
      <w:r/>
    </w:p>
    <w:p>
      <w:pPr>
        <w:numPr>
          <w:ilvl w:val="0"/>
          <w:numId w:val="0"/>
        </w:numPr>
        <w:ind w:left="0"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en-US" w:eastAsia="zh-CN"/>
        </w:rPr>
        <w:t xml:space="preserve">合同主要信息</w:t>
      </w:r>
      <w:r/>
    </w:p>
    <w:tbl>
      <w:tblPr>
        <w:tblStyle w:val="766"/>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lang w:val="en-US" w:eastAsia="zh-CN"/>
              </w:rPr>
              <w:t xml:space="preserve">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合同签订后付合同价的30%，</w:t>
            </w:r>
            <w:r>
              <w:rPr>
                <w:rFonts w:hint="eastAsia" w:ascii="宋体" w:hAnsi="宋体" w:eastAsia="宋体" w:cs="宋体"/>
                <w:color w:val="auto"/>
                <w:sz w:val="21"/>
                <w:szCs w:val="21"/>
                <w:highlight w:val="none"/>
              </w:rPr>
              <w:t xml:space="preserve">货到，安装，验收合格后凭甲方出具的验收报告按甲方财务流程</w:t>
            </w:r>
            <w:r>
              <w:rPr>
                <w:rFonts w:hint="eastAsia" w:ascii="宋体" w:hAnsi="宋体" w:cs="宋体"/>
                <w:color w:val="auto"/>
                <w:sz w:val="21"/>
                <w:szCs w:val="21"/>
                <w:highlight w:val="none"/>
                <w:lang w:val="en-US" w:eastAsia="zh-CN"/>
              </w:rPr>
              <w:t xml:space="preserve">支付尾款70%</w:t>
            </w:r>
            <w:r>
              <w:rPr>
                <w:rFonts w:hint="eastAsia" w:ascii="宋体" w:hAnsi="宋体" w:eastAsia="宋体" w:cs="宋体"/>
                <w:color w:val="auto"/>
                <w:sz w:val="21"/>
                <w:szCs w:val="21"/>
                <w:highlight w:val="none"/>
              </w:rPr>
              <w:t xml:space="preserve">。</w:t>
            </w:r>
            <w:r/>
          </w:p>
        </w:tc>
      </w:tr>
    </w:tbl>
    <w:p>
      <w:pPr>
        <w:pStyle w:val="993"/>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en-US" w:eastAsia="zh-CN"/>
        </w:rPr>
        <w:t xml:space="preserve">发票与付款前提</w:t>
      </w:r>
      <w:r>
        <w:rPr>
          <w:rFonts w:hint="eastAsia" w:ascii="宋体" w:hAnsi="宋体" w:eastAsia="宋体" w:cs="宋体"/>
          <w:color w:val="auto"/>
          <w:sz w:val="21"/>
          <w:szCs w:val="21"/>
          <w:highlight w:val="none"/>
        </w:rPr>
        <w:t xml:space="preserve">：乙方应在设备验收合格后</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、交货期及交货地点：合同</w:t>
      </w:r>
      <w:r>
        <w:rPr>
          <w:rFonts w:hint="eastAsia" w:ascii="宋体" w:hAnsi="宋体" w:eastAsia="宋体" w:cs="宋体"/>
          <w:color w:val="auto"/>
          <w:sz w:val="21"/>
          <w:szCs w:val="21"/>
          <w:highlight w:val="none"/>
          <w:lang w:eastAsia="zh-CN"/>
        </w:rPr>
        <w:t xml:space="preserve">签订之日起</w:t>
      </w:r>
      <w:r>
        <w:rPr>
          <w:rFonts w:hint="eastAsia" w:ascii="宋体" w:hAnsi="宋体" w:eastAsia="宋体" w:cs="宋体"/>
          <w:color w:val="auto"/>
          <w:sz w:val="21"/>
          <w:szCs w:val="21"/>
          <w:highlight w:val="none"/>
          <w:lang w:val="en-US" w:eastAsia="zh-CN"/>
        </w:rPr>
        <w:t xml:space="preserve">30天之</w:t>
      </w:r>
      <w:r>
        <w:rPr>
          <w:rFonts w:hint="eastAsia" w:ascii="宋体" w:hAnsi="宋体" w:eastAsia="宋体" w:cs="宋体"/>
          <w:color w:val="auto"/>
          <w:sz w:val="21"/>
          <w:szCs w:val="21"/>
          <w:highlight w:val="none"/>
        </w:rPr>
        <w:t xml:space="preserve">内货物运抵甲方指定</w:t>
      </w:r>
      <w:r>
        <w:rPr>
          <w:rFonts w:hint="eastAsia" w:ascii="宋体" w:hAnsi="宋体" w:cs="宋体"/>
          <w:color w:val="auto"/>
          <w:sz w:val="21"/>
          <w:szCs w:val="21"/>
          <w:highlight w:val="none"/>
          <w:lang w:val="en-US" w:eastAsia="zh-CN"/>
        </w:rPr>
        <w:t xml:space="preserve">的医院机房</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、乙方保证所供设备全新、型号最新、最近</w:t>
      </w:r>
      <w:r>
        <w:rPr>
          <w:rFonts w:hint="eastAsia"/>
          <w:b/>
          <w:bCs/>
          <w:color w:val="auto"/>
          <w:sz w:val="21"/>
          <w:highlight w:val="none"/>
          <w:u w:val="single"/>
          <w:lang w:val="en-US" w:eastAsia="zh-CN"/>
        </w:rPr>
        <w:t xml:space="preserve">陆个月</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生产、保持完好的原包装，系新机，不可为翻新机，符合国家</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、根据国家规定，对需要提供3C认证证书和标记的设备及有关配置，乙方应当及时提供。</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六</w:t>
      </w:r>
      <w:r>
        <w:rPr>
          <w:rFonts w:hint="eastAsia" w:ascii="宋体" w:hAnsi="宋体" w:eastAsia="宋体" w:cs="宋体"/>
          <w:color w:val="auto"/>
          <w:sz w:val="21"/>
          <w:szCs w:val="21"/>
          <w:highlight w:val="none"/>
        </w:rPr>
        <w:t xml:space="preserve">、乙方所供设备经验收不合格，根据甲方的要求，乙方必须无条件换货或退货，由此引起的一切损失由乙方承担。</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七</w:t>
      </w:r>
      <w:r>
        <w:rPr>
          <w:rFonts w:hint="eastAsia" w:ascii="宋体" w:hAnsi="宋体" w:eastAsia="宋体" w:cs="宋体"/>
          <w:color w:val="auto"/>
          <w:sz w:val="21"/>
          <w:szCs w:val="21"/>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八</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特别条款一：</w:t>
      </w:r>
      <w:r>
        <w:rPr>
          <w:rFonts w:hint="eastAsia" w:ascii="宋体" w:hAnsi="宋体" w:eastAsia="宋体" w:cs="宋体"/>
          <w:color w:val="auto"/>
          <w:sz w:val="21"/>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1"/>
          <w:szCs w:val="21"/>
          <w:highlight w:val="none"/>
          <w:lang w:eastAsia="zh-CN"/>
        </w:rPr>
        <w:t xml:space="preserve">提供合法票据（</w:t>
      </w:r>
      <w:r>
        <w:rPr>
          <w:rFonts w:hint="eastAsia" w:ascii="宋体" w:hAnsi="宋体" w:eastAsia="宋体" w:cs="宋体"/>
          <w:color w:val="auto"/>
          <w:sz w:val="21"/>
          <w:szCs w:val="21"/>
          <w:highlight w:val="none"/>
          <w:lang w:val="en-US" w:eastAsia="zh-CN"/>
        </w:rPr>
        <w:t xml:space="preserve">必须是国税部门认可的票据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1"/>
          <w:szCs w:val="21"/>
          <w:highlight w:val="none"/>
        </w:rPr>
        <w:t xml:space="preserve">e、其他未提及事项必须符合国家食品药品监督管理局的相关规定。以上条款乙方必须满足，否则，乙方将承担不利后果。</w:t>
      </w:r>
      <w:r>
        <w:rPr>
          <w:rFonts w:hint="eastAsia" w:ascii="宋体" w:hAnsi="宋体" w:eastAsia="宋体" w:cs="宋体"/>
          <w:color w:val="auto"/>
          <w:sz w:val="21"/>
          <w:szCs w:val="21"/>
          <w:highlight w:val="none"/>
          <w:lang w:val="en-US" w:eastAsia="zh-CN"/>
        </w:rPr>
        <w:t xml:space="preserve"> </w:t>
      </w:r>
      <w:r/>
    </w:p>
    <w:p>
      <w:pPr>
        <w:ind w:left="0" w:firstLine="422"/>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特别条款二：</w:t>
      </w:r>
      <w:r>
        <w:rPr>
          <w:rFonts w:hint="eastAsia" w:ascii="宋体" w:hAnsi="宋体" w:eastAsia="宋体" w:cs="宋体"/>
          <w:color w:val="auto"/>
          <w:sz w:val="21"/>
          <w:szCs w:val="21"/>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九、</w:t>
      </w:r>
      <w:r>
        <w:rPr>
          <w:rFonts w:hint="eastAsia" w:ascii="宋体" w:hAnsi="宋体" w:eastAsia="宋体" w:cs="宋体"/>
          <w:color w:val="auto"/>
          <w:sz w:val="21"/>
          <w:szCs w:val="21"/>
          <w:highlight w:val="none"/>
          <w:lang w:val="en-US" w:eastAsia="zh-CN"/>
        </w:rPr>
        <w:t xml:space="preserve">服务条款：</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rPr>
        <w:t xml:space="preserve">乙方</w:t>
      </w:r>
      <w:r>
        <w:rPr>
          <w:rFonts w:hint="eastAsia" w:ascii="宋体" w:hAnsi="宋体" w:eastAsia="宋体" w:cs="宋体"/>
          <w:b w:val="0"/>
          <w:bCs/>
          <w:color w:val="auto"/>
          <w:sz w:val="21"/>
          <w:szCs w:val="21"/>
          <w:highlight w:val="none"/>
        </w:rPr>
        <w:t xml:space="preserve">免费提前为甲方提供设备安装图纸，</w:t>
      </w:r>
      <w:r>
        <w:rPr>
          <w:rFonts w:hint="eastAsia" w:ascii="宋体" w:hAnsi="宋体" w:eastAsia="宋体" w:cs="宋体"/>
          <w:b w:val="0"/>
          <w:bCs/>
          <w:color w:val="auto"/>
          <w:sz w:val="21"/>
          <w:szCs w:val="21"/>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乙方如逾期交付货物，则按每逾期一天，乙方向甲方支付货款总额5‰的滞纳金；如乙方逾期交货达10天，甲方有权解除合同。</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设备安装、调试结束后，甲方对设备进行</w:t>
      </w:r>
      <w:r>
        <w:rPr>
          <w:rFonts w:hint="eastAsia" w:ascii="宋体" w:hAnsi="宋体" w:eastAsia="宋体" w:cs="宋体"/>
          <w:color w:val="auto"/>
          <w:sz w:val="21"/>
          <w:szCs w:val="21"/>
          <w:highlight w:val="none"/>
          <w:lang w:val="en-US" w:eastAsia="zh-CN"/>
        </w:rPr>
        <w:t xml:space="preserve">调试</w:t>
      </w:r>
      <w:r>
        <w:rPr>
          <w:rFonts w:hint="eastAsia" w:ascii="宋体" w:hAnsi="宋体" w:eastAsia="宋体" w:cs="宋体"/>
          <w:color w:val="auto"/>
          <w:sz w:val="21"/>
          <w:szCs w:val="21"/>
          <w:highlight w:val="none"/>
        </w:rPr>
        <w:t xml:space="preserve">验收（时间由甲、乙双方另行商定），乙方免费派工程师</w:t>
      </w:r>
      <w:r>
        <w:rPr>
          <w:rFonts w:hint="eastAsia" w:ascii="宋体" w:hAnsi="宋体" w:eastAsia="宋体" w:cs="宋体"/>
          <w:color w:val="auto"/>
          <w:sz w:val="21"/>
          <w:szCs w:val="21"/>
          <w:highlight w:val="none"/>
          <w:lang w:eastAsia="zh-CN"/>
        </w:rPr>
        <w:t xml:space="preserve">到</w:t>
      </w:r>
      <w:r>
        <w:rPr>
          <w:rFonts w:hint="eastAsia" w:ascii="宋体" w:hAnsi="宋体" w:eastAsia="宋体" w:cs="宋体"/>
          <w:color w:val="auto"/>
          <w:sz w:val="21"/>
          <w:szCs w:val="21"/>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自甲方验收合格之日起算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上述设备</w:t>
      </w:r>
      <w:r>
        <w:rPr>
          <w:rFonts w:hint="eastAsia" w:ascii="宋体" w:hAnsi="宋体" w:eastAsia="宋体" w:cs="宋体"/>
          <w:b/>
          <w:bCs/>
          <w:color w:val="auto"/>
          <w:sz w:val="21"/>
          <w:szCs w:val="21"/>
          <w:highlight w:val="none"/>
          <w:u w:val="single"/>
          <w:lang w:val="en-US" w:eastAsia="zh-CN"/>
        </w:rPr>
        <w:t xml:space="preserve">质保期</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原厂免费</w:t>
      </w:r>
      <w:r>
        <w:rPr>
          <w:rFonts w:hint="eastAsia" w:ascii="宋体" w:hAnsi="宋体" w:eastAsia="宋体" w:cs="宋体"/>
          <w:color w:val="auto"/>
          <w:sz w:val="21"/>
          <w:szCs w:val="21"/>
          <w:highlight w:val="none"/>
          <w:lang w:val="en-US" w:eastAsia="zh-CN"/>
        </w:rPr>
        <w:t xml:space="preserve">整</w:t>
      </w:r>
      <w:r>
        <w:rPr>
          <w:rFonts w:hint="eastAsia" w:ascii="宋体" w:hAnsi="宋体" w:eastAsia="宋体" w:cs="宋体"/>
          <w:color w:val="auto"/>
          <w:sz w:val="21"/>
          <w:szCs w:val="21"/>
          <w:highlight w:val="none"/>
        </w:rPr>
        <w:t xml:space="preserve">机</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w:t>
      </w:r>
      <w:r>
        <w:rPr>
          <w:rFonts w:hint="eastAsia" w:ascii="宋体" w:hAnsi="宋体" w:eastAsia="宋体" w:cs="宋体"/>
          <w:color w:val="auto"/>
          <w:sz w:val="21"/>
          <w:szCs w:val="21"/>
          <w:highlight w:val="none"/>
          <w:lang w:eastAsia="zh-CN"/>
        </w:rPr>
        <w:t xml:space="preserve">范围</w:t>
      </w:r>
      <w:r>
        <w:rPr>
          <w:rFonts w:hint="eastAsia" w:ascii="宋体" w:hAnsi="宋体" w:eastAsia="宋体" w:cs="宋体"/>
          <w:color w:val="auto"/>
          <w:sz w:val="21"/>
          <w:szCs w:val="21"/>
          <w:highlight w:val="none"/>
        </w:rPr>
        <w:t xml:space="preserve">为全保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含所需配件、人工费、维修人员差旅费，终身维护。每年免费对该设备进行预防性维护保养二次并出具厂家保养报告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以上材料乙方提供由原厂出具的售后服务承诺函</w:t>
      </w:r>
      <w:r>
        <w:rPr>
          <w:rFonts w:hint="eastAsia" w:ascii="宋体" w:hAnsi="宋体" w:eastAsia="宋体" w:cs="宋体"/>
          <w:color w:val="auto"/>
          <w:sz w:val="21"/>
          <w:szCs w:val="21"/>
          <w:highlight w:val="none"/>
        </w:rPr>
        <w:t xml:space="preserve">。保修期满后，乙方对本设备终身负责维修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但只收配件费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免收人工费。</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应当提供</w:t>
      </w:r>
      <w:r>
        <w:rPr>
          <w:rFonts w:hint="eastAsia" w:ascii="宋体" w:hAnsi="宋体" w:eastAsia="宋体" w:cs="宋体"/>
          <w:color w:val="auto"/>
          <w:sz w:val="21"/>
          <w:szCs w:val="21"/>
          <w:highlight w:val="none"/>
          <w:lang w:eastAsia="zh-CN"/>
        </w:rPr>
        <w:t xml:space="preserve">该设备的</w:t>
      </w:r>
      <w:r>
        <w:rPr>
          <w:rFonts w:hint="eastAsia" w:ascii="宋体" w:hAnsi="宋体" w:eastAsia="宋体" w:cs="宋体"/>
          <w:color w:val="auto"/>
          <w:sz w:val="21"/>
          <w:szCs w:val="21"/>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1"/>
          <w:szCs w:val="21"/>
          <w:highlight w:val="none"/>
          <w:shd w:val="clear" w:color="auto" w:fill="ffffff"/>
        </w:rPr>
        <w:t xml:space="preserve">。</w:t>
      </w:r>
      <w:r>
        <w:rPr>
          <w:rFonts w:hint="eastAsia" w:ascii="宋体" w:hAnsi="宋体" w:eastAsia="宋体" w:cs="宋体"/>
          <w:color w:val="auto"/>
          <w:sz w:val="21"/>
          <w:szCs w:val="21"/>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乙方免费提供全套技术资料（维修说明书包括详细电路图、操作说明书及光盘），如技术资料不全，甲方有权不支付货款。</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1"/>
          <w:szCs w:val="21"/>
          <w:highlight w:val="none"/>
        </w:rPr>
        <w:t xml:space="preserve">（塑胶封好，挂在设备上）</w:t>
      </w:r>
      <w:r>
        <w:rPr>
          <w:rFonts w:hint="eastAsia" w:ascii="宋体" w:hAnsi="宋体" w:eastAsia="宋体" w:cs="宋体"/>
          <w:color w:val="auto"/>
          <w:sz w:val="21"/>
          <w:szCs w:val="21"/>
          <w:highlight w:val="none"/>
        </w:rPr>
        <w:t xml:space="preserve">，解答甲方人员提出的问题。②正规培训班培训：详见乙方的</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文件及承诺书。</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rPr>
        <w:t xml:space="preserve">如乙方提供的设备设有维修软件密码，乙方保证无条件地为甲方永久免费打开。</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rPr>
        <w:t xml:space="preserve">乙方提供的设备</w:t>
      </w:r>
      <w:r>
        <w:rPr>
          <w:rFonts w:hint="eastAsia" w:ascii="宋体" w:hAnsi="宋体" w:eastAsia="宋体" w:cs="宋体"/>
          <w:color w:val="auto"/>
          <w:sz w:val="21"/>
          <w:szCs w:val="21"/>
          <w:highlight w:val="none"/>
          <w:lang w:eastAsia="zh-CN"/>
        </w:rPr>
        <w:t xml:space="preserve">系统工作站应可以接入医院</w:t>
      </w:r>
      <w:r>
        <w:rPr>
          <w:rFonts w:hint="eastAsia" w:ascii="宋体" w:hAnsi="宋体" w:eastAsia="宋体" w:cs="宋体"/>
          <w:color w:val="auto"/>
          <w:sz w:val="21"/>
          <w:szCs w:val="21"/>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十、</w:t>
      </w:r>
      <w:r>
        <w:rPr>
          <w:rFonts w:hint="eastAsia" w:ascii="宋体" w:hAnsi="宋体" w:eastAsia="宋体" w:cs="宋体"/>
          <w:color w:val="auto"/>
          <w:sz w:val="21"/>
          <w:szCs w:val="21"/>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十一、</w:t>
      </w:r>
      <w:r>
        <w:rPr>
          <w:rFonts w:hint="eastAsia" w:ascii="宋体" w:hAnsi="宋体" w:eastAsia="宋体" w:cs="宋体"/>
          <w:color w:val="auto"/>
          <w:sz w:val="21"/>
          <w:szCs w:val="21"/>
          <w:highlight w:val="none"/>
          <w:lang w:val="en-US" w:eastAsia="zh-CN"/>
        </w:rPr>
        <w:t xml:space="preserve">本合同除签字盖章部分，均为打印文本，凡添加手写内容一律无效，合同自双方签字并盖章后生效。</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十三、《</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协议》作为本合同的附件，具备同等的法律效力，双方需严格遵守《医疗设备采购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11"/>
        <w:keepLines w:val="0"/>
        <w:keepNext w:val="0"/>
        <w:pageBreakBefore w:val="0"/>
        <w:spacing w:line="520" w:lineRule="exact"/>
        <w:widowControl w:val="off"/>
        <w:rPr>
          <w:rFonts w:hint="eastAsia" w:hAnsi="宋体" w:cs="宋体"/>
          <w:b/>
          <w:color w:val="auto"/>
          <w:szCs w:val="21"/>
          <w:highlight w:val="none"/>
        </w:rPr>
        <w:outlineLvl w:val="9"/>
      </w:pPr>
      <w:r>
        <w:rPr>
          <w:rFonts w:hint="eastAsia"/>
          <w:b/>
          <w:bCs/>
          <w:color w:val="auto"/>
          <w:highlight w:val="none"/>
        </w:rPr>
        <w:t xml:space="preserve">甲方（盖章）：                        </w:t>
      </w:r>
      <w:r>
        <w:rPr>
          <w:rFonts w:hint="eastAsia"/>
          <w:b/>
          <w:bCs/>
          <w:color w:val="auto"/>
          <w:highlight w:val="none"/>
          <w:lang w:val="en-US" w:eastAsia="zh-CN"/>
        </w:rPr>
        <w:t xml:space="preserve"> </w:t>
      </w:r>
      <w:r>
        <w:rPr>
          <w:rFonts w:hint="eastAsia"/>
          <w:b/>
          <w:bCs/>
          <w:color w:val="auto"/>
          <w:highlight w:val="none"/>
        </w:rPr>
        <w:t xml:space="preserve">  </w:t>
      </w:r>
      <w:r>
        <w:rPr>
          <w:rFonts w:hint="eastAsia"/>
          <w:b/>
          <w:bCs/>
          <w:color w:val="auto"/>
          <w:highlight w:val="none"/>
          <w:lang w:val="en-US" w:eastAsia="zh-CN"/>
        </w:rPr>
        <w:t xml:space="preserve"> </w:t>
      </w:r>
      <w:r>
        <w:rPr>
          <w:rFonts w:hint="eastAsia"/>
          <w:b/>
          <w:bCs/>
          <w:color w:val="auto"/>
          <w:highlight w:val="none"/>
        </w:rPr>
        <w:t xml:space="preserve"> 乙方（盖章）：</w:t>
      </w:r>
      <w:r/>
    </w:p>
    <w:p>
      <w:pPr>
        <w:ind w:firstLine="210"/>
        <w:keepLines w:val="0"/>
        <w:keepNext w:val="0"/>
        <w:pageBreakBefore w:val="0"/>
        <w:spacing w:line="520" w:lineRule="exact"/>
        <w:widowControl w:val="off"/>
        <w:rPr>
          <w:rFonts w:hint="eastAsia"/>
          <w:color w:val="auto"/>
          <w:highlight w:val="none"/>
        </w:rPr>
        <w:outlineLvl w:val="9"/>
      </w:pP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                    </w:t>
      </w:r>
      <w:r>
        <w:rPr>
          <w:rFonts w:hint="eastAsia"/>
          <w:color w:val="auto"/>
          <w:highlight w:val="none"/>
          <w:lang w:val="en-US" w:eastAsia="zh-CN"/>
        </w:rPr>
        <w:t xml:space="preserve"> </w:t>
      </w: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w:t>
      </w:r>
      <w:r/>
    </w:p>
    <w:p>
      <w:pPr>
        <w:keepLines w:val="0"/>
        <w:keepNext w:val="0"/>
        <w:pageBreakBefore w:val="0"/>
        <w:spacing w:line="520" w:lineRule="exact"/>
        <w:widowControl w:val="off"/>
        <w:rPr>
          <w:rFonts w:hint="eastAsia"/>
          <w:color w:val="auto"/>
          <w:highlight w:val="none"/>
        </w:rPr>
        <w:outlineLvl w:val="9"/>
      </w:pPr>
      <w:r>
        <w:rPr>
          <w:rFonts w:hint="eastAsia"/>
          <w:color w:val="auto"/>
          <w:highlight w:val="none"/>
        </w:rPr>
        <w:t xml:space="preserve">  业务部门代表签字：                        </w:t>
      </w:r>
      <w:r>
        <w:rPr>
          <w:rFonts w:hint="eastAsia"/>
          <w:color w:val="auto"/>
          <w:highlight w:val="none"/>
          <w:lang w:val="en-US" w:eastAsia="zh-CN"/>
        </w:rPr>
        <w:t xml:space="preserve"> </w:t>
      </w:r>
      <w:r>
        <w:rPr>
          <w:rFonts w:hint="eastAsia"/>
          <w:color w:val="auto"/>
          <w:highlight w:val="none"/>
        </w:rPr>
        <w:t xml:space="preserve">业务代表签字：</w:t>
      </w:r>
      <w:r/>
    </w:p>
    <w:p>
      <w:pPr>
        <w:keepLines w:val="0"/>
        <w:keepNext w:val="0"/>
        <w:pageBreakBefore w:val="0"/>
        <w:spacing w:line="520" w:lineRule="exact"/>
        <w:widowControl w:val="off"/>
        <w:rPr>
          <w:rFonts w:hint="default" w:eastAsia="宋体"/>
          <w:color w:val="auto"/>
          <w:highlight w:val="none"/>
          <w:u w:val="single"/>
          <w:lang w:val="en-US" w:eastAsia="zh-CN"/>
        </w:rPr>
        <w:outlineLvl w:val="9"/>
      </w:pP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rPr>
        <w:t xml:space="preserve">  0523-</w:t>
      </w:r>
      <w:r>
        <w:rPr>
          <w:rFonts w:hint="eastAsia"/>
          <w:color w:val="auto"/>
          <w:highlight w:val="none"/>
          <w:u w:val="single"/>
          <w:lang w:val="en-US" w:eastAsia="zh-CN"/>
        </w:rPr>
        <w:t xml:space="preserve">89890057</w:t>
      </w:r>
      <w:r>
        <w:rPr>
          <w:rFonts w:hint="eastAsia"/>
          <w:color w:val="auto"/>
          <w:highlight w:val="none"/>
          <w:u w:val="single"/>
        </w:rPr>
        <w:t xml:space="preserve">  </w:t>
      </w: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lang w:val="en-US" w:eastAsia="zh-CN"/>
        </w:rPr>
        <w:t xml:space="preserve">                  </w:t>
      </w:r>
      <w:r/>
    </w:p>
    <w:p>
      <w:pPr>
        <w:keepLines w:val="0"/>
        <w:keepNext w:val="0"/>
        <w:pageBreakBefore w:val="0"/>
        <w:spacing w:line="520" w:lineRule="exact"/>
        <w:widowControl w:val="off"/>
        <w:rPr>
          <w:rFonts w:hint="eastAsia"/>
          <w:b/>
          <w:bCs/>
          <w:color w:val="auto"/>
          <w:sz w:val="30"/>
          <w:szCs w:val="30"/>
          <w:highlight w:val="none"/>
          <w:lang w:eastAsia="zh-CN"/>
        </w:rPr>
        <w:outlineLvl w:val="9"/>
      </w:pPr>
      <w:r>
        <w:rPr>
          <w:rFonts w:hint="eastAsia"/>
          <w:color w:val="auto"/>
          <w:highlight w:val="none"/>
        </w:rPr>
        <w:t xml:space="preserve"> </w:t>
      </w: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 xml:space="preserve">年 </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color w:val="auto"/>
          <w:sz w:val="21"/>
          <w:szCs w:val="21"/>
          <w:highlight w:val="none"/>
          <w:lang w:val="en-US" w:eastAsia="zh-CN"/>
        </w:rPr>
      </w:pPr>
      <w:r>
        <w:rPr>
          <w:rFonts w:hint="eastAsia"/>
          <w:b/>
          <w:bCs/>
          <w:color w:val="auto"/>
          <w:sz w:val="21"/>
          <w:szCs w:val="21"/>
          <w:highlight w:val="none"/>
          <w:lang w:eastAsia="zh-CN"/>
        </w:rPr>
        <w:t xml:space="preserve">附件：</w:t>
      </w:r>
      <w:r/>
    </w:p>
    <w:p>
      <w:pPr>
        <w:ind w:firstLine="281"/>
        <w:jc w:val="center"/>
        <w:rPr>
          <w:rFonts w:hint="eastAsia"/>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color w:val="auto"/>
          <w:sz w:val="21"/>
          <w:szCs w:val="21"/>
          <w:highlight w:val="none"/>
          <w:lang w:val="en-US" w:eastAsia="zh-CN"/>
        </w:rPr>
        <w:t xml:space="preserve">  </w:t>
      </w:r>
      <w:r/>
    </w:p>
    <w:tbl>
      <w:tblPr>
        <w:tblStyle w:val="98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为进一步加强医疗卫生行风建设，规范医疗卫生机构</w:t>
      </w:r>
      <w:r>
        <w:rPr>
          <w:rFonts w:hint="eastAsia" w:ascii="宋体" w:hAnsi="宋体" w:eastAsia="宋体" w:cs="宋体"/>
          <w:color w:val="auto"/>
          <w:sz w:val="21"/>
          <w:szCs w:val="21"/>
          <w:highlight w:val="none"/>
          <w:lang w:eastAsia="zh-CN"/>
        </w:rPr>
        <w:t xml:space="preserve">医疗设备</w:t>
      </w:r>
      <w:r>
        <w:rPr>
          <w:rFonts w:hint="eastAsia" w:ascii="宋体" w:hAnsi="宋体" w:eastAsia="宋体" w:cs="宋体"/>
          <w:color w:val="auto"/>
          <w:sz w:val="21"/>
          <w:szCs w:val="21"/>
          <w:highlight w:val="none"/>
        </w:rPr>
        <w:t xml:space="preserve">购销行为，有效防范商业贿赂行为，营造公平交易、诚实守信的购销环境，经甲、乙双方协商，共同遵守</w:t>
      </w:r>
      <w:r>
        <w:rPr>
          <w:rFonts w:hint="eastAsia" w:ascii="宋体" w:hAnsi="宋体" w:eastAsia="宋体" w:cs="宋体"/>
          <w:color w:val="auto"/>
          <w:sz w:val="21"/>
          <w:szCs w:val="21"/>
          <w:highlight w:val="none"/>
          <w:lang w:eastAsia="zh-CN"/>
        </w:rPr>
        <w:t xml:space="preserve">以下协议</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甲乙双方按照</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及医药产品购销合同约定购销药品、医用设备、医用耗材等医药产品。</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甲方应当严格执行医药产品购销合同验收、入库制度，对采购医药产品及发票进行查验，不得违反有关规定合同外采购、违价采购或从非规定渠道采购。</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严禁甲方工作人员利用任何途径和方式，为乙方统计医师个人及临床科室有关医药产品用量信息，或为乙方统计提供便利。</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乙方不得以回扣、宴请等方式影响甲方工作人员采购或使用医药产品的选择权，不得在学术活动中提供旅游、超标准支付食宿费用。</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乙方指定</w:t>
      </w:r>
      <w:r>
        <w:rPr>
          <w:rFonts w:hint="eastAsia" w:ascii="宋体" w:hAnsi="宋体" w:eastAsia="宋体" w:cs="宋体"/>
          <w:color w:val="auto"/>
          <w:sz w:val="21"/>
          <w:szCs w:val="21"/>
          <w:highlight w:val="none"/>
          <w:lang w:eastAsia="zh-CN"/>
        </w:rPr>
        <w:t xml:space="preserve">业务代表</w:t>
      </w:r>
      <w:r>
        <w:rPr>
          <w:rFonts w:hint="eastAsia" w:ascii="宋体" w:hAnsi="宋体" w:eastAsia="宋体" w:cs="宋体"/>
          <w:color w:val="auto"/>
          <w:sz w:val="21"/>
          <w:szCs w:val="21"/>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乙方如违反本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，一经发现，甲方有权终止</w:t>
      </w:r>
      <w:r>
        <w:rPr>
          <w:rFonts w:hint="eastAsia" w:ascii="宋体" w:hAnsi="宋体" w:cs="宋体"/>
          <w:color w:val="auto"/>
          <w:sz w:val="21"/>
          <w:szCs w:val="21"/>
          <w:highlight w:val="none"/>
          <w:lang w:val="en-US" w:eastAsia="zh-CN"/>
        </w:rPr>
        <w:t xml:space="preserve">购销</w:t>
      </w:r>
      <w:r>
        <w:rPr>
          <w:rFonts w:hint="eastAsia" w:ascii="宋体" w:hAnsi="宋体" w:eastAsia="宋体" w:cs="宋体"/>
          <w:color w:val="auto"/>
          <w:sz w:val="21"/>
          <w:szCs w:val="21"/>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作为</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合同的重要组成部分，与</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合同一并执行，具有同等的法律效力。</w:t>
      </w:r>
      <w:r/>
    </w:p>
    <w:p>
      <w:pPr>
        <w:ind w:firstLine="42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9.甲乙双方均需严格遵守以上协议</w:t>
      </w:r>
      <w:r>
        <w:rPr>
          <w:rFonts w:hint="eastAsia" w:ascii="宋体" w:hAnsi="宋体" w:eastAsia="宋体" w:cs="宋体"/>
          <w:color w:val="auto"/>
          <w:sz w:val="21"/>
          <w:szCs w:val="21"/>
          <w:highlight w:val="none"/>
        </w:rPr>
        <w:t xml:space="preserve">并从签订之日起生效。</w:t>
      </w:r>
      <w:r/>
    </w:p>
    <w:p>
      <w:pPr>
        <w:pStyle w:val="942"/>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4" w:name="_Toc22763"/>
      <w:r>
        <w:rPr>
          <w:rFonts w:hint="eastAsia" w:ascii="黑体" w:hAnsi="黑体" w:eastAsia="黑体" w:cs="黑体"/>
          <w:color w:val="auto"/>
          <w:sz w:val="32"/>
          <w:szCs w:val="32"/>
          <w:highlight w:val="none"/>
        </w:rPr>
        <w:t xml:space="preserve">第四章  项目需求</w:t>
      </w:r>
      <w:bookmarkEnd w:id="114"/>
      <w:r/>
      <w:r/>
    </w:p>
    <w:p>
      <w:pPr>
        <w:pStyle w:val="973"/>
        <w:ind w:firstLine="420"/>
        <w:spacing w:line="520" w:lineRule="exact"/>
        <w:rPr>
          <w:rFonts w:hint="eastAsia" w:ascii="宋体" w:hAnsi="宋体" w:cs="宋体"/>
          <w:b/>
          <w:bCs/>
          <w:color w:val="auto"/>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b/>
          <w:bCs/>
          <w:color w:val="auto"/>
          <w:highlight w:val="none"/>
        </w:rPr>
        <w:t xml:space="preserve">一、配置需求</w:t>
      </w:r>
      <w:r/>
    </w:p>
    <w:tbl>
      <w:tblPr>
        <w:tblStyle w:val="766"/>
        <w:tblW w:w="9148" w:type="dxa"/>
        <w:jc w:val="center"/>
        <w:tblLayout w:type="autofit"/>
        <w:tblCellMar>
          <w:left w:w="108" w:type="dxa"/>
          <w:top w:w="0" w:type="dxa"/>
          <w:right w:w="108" w:type="dxa"/>
          <w:bottom w:w="0" w:type="dxa"/>
        </w:tblCellMar>
        <w:tblLook w:val="04A0" w:firstRow="1" w:lastRow="0" w:firstColumn="1" w:lastColumn="0" w:noHBand="0" w:noVBand="1"/>
      </w:tblPr>
      <w:tblGrid>
        <w:gridCol w:w="1154"/>
        <w:gridCol w:w="5974"/>
        <w:gridCol w:w="2020"/>
      </w:tblGrid>
      <w:tr>
        <w:trPr>
          <w:jc w:val="center"/>
          <w:trHeight w:val="386"/>
        </w:trPr>
        <w:tc>
          <w:tcPr>
            <w:tcBorders>
              <w:top w:val="singl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配置名称</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数量</w:t>
            </w:r>
            <w:r/>
          </w:p>
        </w:tc>
      </w:tr>
      <w:tr>
        <w:trPr>
          <w:jc w:val="center"/>
          <w:trHeight w:val="386"/>
        </w:trPr>
        <w:tc>
          <w:tcPr>
            <w:gridSpan w:val="3"/>
            <w:tcBorders>
              <w:top w:val="none" w:color="000000" w:sz="4" w:space="0"/>
              <w:left w:val="single" w:color="000000" w:sz="4" w:space="0"/>
              <w:bottom w:val="single" w:color="000000" w:sz="4" w:space="0"/>
              <w:right w:val="single" w:color="000000" w:sz="4" w:space="0"/>
            </w:tcBorders>
            <w:tcMar>
              <w:left w:w="105" w:type="dxa"/>
              <w:right w:w="105" w:type="dxa"/>
            </w:tcMar>
            <w:tcW w:w="9148"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主机部分</w:t>
            </w:r>
            <w:r/>
          </w:p>
        </w:tc>
      </w:tr>
      <w:tr>
        <w:trPr>
          <w:jc w:val="center"/>
          <w:trHeight w:val="371"/>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后装治疗机主机</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台</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放射源</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换源工具</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源驻留位置检测尺</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把</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电视监视系统和对讲机</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放射源验证系统</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71"/>
        </w:trPr>
        <w:tc>
          <w:tcPr>
            <w:gridSpan w:val="3"/>
            <w:tcBorders>
              <w:top w:val="none" w:color="000000" w:sz="4" w:space="0"/>
              <w:left w:val="single" w:color="000000" w:sz="4" w:space="0"/>
              <w:bottom w:val="single" w:color="000000" w:sz="4" w:space="0"/>
              <w:right w:val="single" w:color="000000" w:sz="4" w:space="0"/>
            </w:tcBorders>
            <w:tcMar>
              <w:left w:w="105" w:type="dxa"/>
              <w:right w:w="105" w:type="dxa"/>
            </w:tcMar>
            <w:tcW w:w="9148"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施源器部分</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金属妇科施源器套件</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阴道、直肠施源器套件</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金属插植针</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柔性插植管</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20套</w:t>
            </w:r>
            <w:r/>
          </w:p>
        </w:tc>
      </w:tr>
      <w:tr>
        <w:trPr>
          <w:jc w:val="center"/>
          <w:trHeight w:val="386"/>
        </w:trPr>
        <w:tc>
          <w:tcPr>
            <w:gridSpan w:val="3"/>
            <w:tcBorders>
              <w:top w:val="none" w:color="000000" w:sz="4" w:space="0"/>
              <w:left w:val="single" w:color="000000" w:sz="4" w:space="0"/>
              <w:bottom w:val="single" w:color="000000" w:sz="4" w:space="0"/>
              <w:right w:val="single" w:color="000000" w:sz="4" w:space="0"/>
            </w:tcBorders>
            <w:tcMar>
              <w:left w:w="105" w:type="dxa"/>
              <w:right w:w="105" w:type="dxa"/>
            </w:tcMar>
            <w:tcW w:w="9148"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治疗计划系统</w:t>
            </w:r>
            <w:r/>
          </w:p>
        </w:tc>
      </w:tr>
      <w:tr>
        <w:trPr>
          <w:jc w:val="center"/>
          <w:trHeight w:val="90"/>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近距离治疗计划系统硬件</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近距离治疗计划软件</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gridSpan w:val="3"/>
            <w:tcBorders>
              <w:top w:val="none" w:color="000000" w:sz="4" w:space="0"/>
              <w:left w:val="single" w:color="000000" w:sz="4" w:space="0"/>
              <w:bottom w:val="single" w:color="000000" w:sz="4" w:space="0"/>
              <w:right w:val="single" w:color="000000" w:sz="4" w:space="0"/>
            </w:tcBorders>
            <w:tcMar>
              <w:left w:w="105" w:type="dxa"/>
              <w:right w:w="105" w:type="dxa"/>
            </w:tcMar>
            <w:tcW w:w="9148"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第三方设备</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转运床</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张</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控制工作台及工作椅</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bl>
    <w:p>
      <w:pPr>
        <w:pStyle w:val="973"/>
        <w:ind w:firstLine="422"/>
        <w:spacing w:line="520" w:lineRule="exact"/>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二、技术参数（包含硬件及配套软件技术参数）</w:t>
      </w:r>
      <w:r/>
    </w:p>
    <w:tbl>
      <w:tblPr>
        <w:tblStyle w:val="766"/>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806"/>
        <w:gridCol w:w="6802"/>
      </w:tblGrid>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参数性质</w:t>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序号</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具体技术（参数）要求</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一、采购数量：</w:t>
            </w: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eastAsia="zh-CN"/>
              </w:rPr>
              <w:t xml:space="preserve">台。</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二、技术参数：</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eastAsia="zh-CN"/>
              </w:rPr>
              <w:t xml:space="preserve">总体要求</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w:t>
            </w:r>
            <w:r>
              <w:rPr>
                <w:rFonts w:hint="eastAsia" w:ascii="宋体" w:hAnsi="宋体" w:eastAsia="宋体" w:cs="宋体"/>
                <w:color w:val="auto"/>
                <w:sz w:val="21"/>
                <w:szCs w:val="21"/>
                <w:highlight w:val="none"/>
                <w:lang w:eastAsia="zh-CN"/>
              </w:rPr>
              <w:t xml:space="preserve">系统能完成近距离治疗的二维和三维治疗计划的设计和实施。</w:t>
            </w:r>
            <w:r/>
          </w:p>
        </w:tc>
      </w:tr>
      <w:tr>
        <w:trPr>
          <w:jc w:val="center"/>
          <w:trHeight w:val="52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w:t>
            </w:r>
            <w:r>
              <w:rPr>
                <w:rFonts w:hint="eastAsia" w:ascii="宋体" w:hAnsi="宋体" w:eastAsia="宋体" w:cs="宋体"/>
                <w:color w:val="auto"/>
                <w:sz w:val="21"/>
                <w:szCs w:val="21"/>
                <w:highlight w:val="none"/>
                <w:lang w:eastAsia="zh-CN"/>
              </w:rPr>
              <w:t xml:space="preserve">近距离治疗计划系统能精确重建所用施源器，并精确计算病人体内吸收剂量，将剂量分布结果以二维和三维方式显示。</w:t>
            </w:r>
            <w:r/>
          </w:p>
        </w:tc>
      </w:tr>
      <w:tr>
        <w:trPr>
          <w:jc w:val="center"/>
          <w:trHeight w:val="52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设备符合国家卫生健康、生态环境及辐射安全相关法律法规与标准，辐射防护性能与安全指标全面达标。供应商投标时须提供承诺。</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eastAsia="zh-CN"/>
              </w:rPr>
              <w:t xml:space="preserve">后装治疗主机</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w:t>
            </w:r>
            <w:r>
              <w:rPr>
                <w:rFonts w:hint="eastAsia" w:ascii="宋体" w:hAnsi="宋体" w:eastAsia="宋体" w:cs="宋体"/>
                <w:color w:val="auto"/>
                <w:sz w:val="21"/>
                <w:szCs w:val="21"/>
                <w:highlight w:val="none"/>
                <w:lang w:eastAsia="zh-CN"/>
              </w:rPr>
              <w:t xml:space="preserve">基本要求</w:t>
            </w:r>
            <w:r/>
          </w:p>
        </w:tc>
      </w:tr>
      <w:tr>
        <w:trPr>
          <w:jc w:val="center"/>
          <w:trHeight w:val="30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w:t>
            </w:r>
            <w:r>
              <w:rPr>
                <w:rFonts w:hint="eastAsia" w:ascii="宋体" w:hAnsi="宋体" w:eastAsia="宋体" w:cs="宋体"/>
                <w:color w:val="auto"/>
                <w:sz w:val="21"/>
                <w:szCs w:val="21"/>
                <w:highlight w:val="none"/>
                <w:lang w:eastAsia="zh-CN"/>
              </w:rPr>
              <w:t xml:space="preserve">治疗通道：后装机应具备≥18个治疗通道。</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w:t>
            </w:r>
            <w:r>
              <w:rPr>
                <w:rFonts w:hint="eastAsia" w:ascii="宋体" w:hAnsi="宋体" w:eastAsia="宋体" w:cs="宋体"/>
                <w:color w:val="auto"/>
                <w:sz w:val="21"/>
                <w:szCs w:val="21"/>
                <w:highlight w:val="none"/>
                <w:lang w:eastAsia="zh-CN"/>
              </w:rPr>
              <w:t xml:space="preserve">放射源驻留点数目：每个通道驻留点数应≥</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0个。</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w:t>
            </w:r>
            <w:r>
              <w:rPr>
                <w:rFonts w:hint="eastAsia" w:ascii="宋体" w:hAnsi="宋体" w:eastAsia="宋体" w:cs="宋体"/>
                <w:color w:val="auto"/>
                <w:sz w:val="21"/>
                <w:szCs w:val="21"/>
                <w:highlight w:val="none"/>
                <w:lang w:eastAsia="zh-CN"/>
              </w:rPr>
              <w:t xml:space="preserve">治疗长度：最小步长2.5</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时，治疗长度应可≥29</w:t>
            </w:r>
            <w:r>
              <w:rPr>
                <w:rFonts w:hint="eastAsia" w:ascii="宋体" w:hAnsi="宋体" w:eastAsia="宋体" w:cs="宋体"/>
                <w:color w:val="auto"/>
                <w:sz w:val="21"/>
                <w:szCs w:val="21"/>
                <w:highlight w:val="none"/>
              </w:rPr>
              <w:t xml:space="preserve">0mm</w:t>
            </w:r>
            <w:r>
              <w:rPr>
                <w:rFonts w:hint="eastAsia" w:ascii="宋体" w:hAnsi="宋体" w:eastAsia="宋体" w:cs="宋体"/>
                <w:color w:val="auto"/>
                <w:sz w:val="21"/>
                <w:szCs w:val="21"/>
                <w:highlight w:val="none"/>
                <w:lang w:eastAsia="zh-CN"/>
              </w:rPr>
              <w:t xml:space="preserve">。</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w:t>
            </w:r>
            <w:r>
              <w:rPr>
                <w:rFonts w:hint="eastAsia" w:ascii="宋体" w:hAnsi="宋体" w:eastAsia="宋体" w:cs="宋体"/>
                <w:color w:val="auto"/>
                <w:sz w:val="21"/>
                <w:szCs w:val="21"/>
                <w:highlight w:val="none"/>
                <w:lang w:eastAsia="zh-CN"/>
              </w:rPr>
              <w:t xml:space="preserve">治疗导管长度：所有传输导管都为相同标准长度，可避免传输管长度混淆。</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13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 </w:t>
            </w:r>
            <w:r>
              <w:rPr>
                <w:rFonts w:hint="eastAsia" w:ascii="宋体" w:hAnsi="宋体" w:eastAsia="宋体" w:cs="宋体"/>
                <w:color w:val="auto"/>
                <w:sz w:val="21"/>
                <w:szCs w:val="21"/>
                <w:highlight w:val="none"/>
                <w:lang w:eastAsia="zh-CN"/>
              </w:rPr>
              <w:t xml:space="preserve">主机重量：主机重量≤</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0kg</w:t>
            </w:r>
            <w:r>
              <w:rPr>
                <w:rFonts w:hint="eastAsia" w:ascii="宋体" w:hAnsi="宋体" w:eastAsia="宋体" w:cs="宋体"/>
                <w:color w:val="auto"/>
                <w:sz w:val="21"/>
                <w:szCs w:val="21"/>
                <w:highlight w:val="none"/>
                <w:lang w:eastAsia="zh-CN"/>
              </w:rPr>
              <w:t xml:space="preserve">，便于移动。</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2.1.6 放射源驱动结构：管道滑动式送丝结构</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w:t>
            </w:r>
            <w:r>
              <w:rPr>
                <w:rFonts w:hint="eastAsia" w:ascii="宋体" w:hAnsi="宋体" w:eastAsia="宋体" w:cs="宋体"/>
                <w:color w:val="auto"/>
                <w:sz w:val="21"/>
                <w:szCs w:val="21"/>
                <w:highlight w:val="none"/>
                <w:lang w:eastAsia="zh-CN"/>
              </w:rPr>
              <w:t xml:space="preserve">放射源</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w:t>
            </w:r>
            <w:r>
              <w:rPr>
                <w:rFonts w:hint="eastAsia" w:ascii="宋体" w:hAnsi="宋体" w:eastAsia="宋体" w:cs="宋体"/>
                <w:color w:val="auto"/>
                <w:sz w:val="21"/>
                <w:szCs w:val="21"/>
                <w:highlight w:val="none"/>
                <w:lang w:eastAsia="zh-CN"/>
              </w:rPr>
              <w:t xml:space="preserve">放射源类型：使用铱</w:t>
            </w:r>
            <w:r>
              <w:rPr>
                <w:rFonts w:hint="eastAsia" w:ascii="宋体" w:hAnsi="宋体" w:eastAsia="宋体" w:cs="宋体"/>
                <w:color w:val="auto"/>
                <w:sz w:val="21"/>
                <w:szCs w:val="21"/>
                <w:highlight w:val="none"/>
              </w:rPr>
              <w:t xml:space="preserve">192</w:t>
            </w:r>
            <w:r>
              <w:rPr>
                <w:rFonts w:hint="eastAsia" w:ascii="宋体" w:hAnsi="宋体" w:eastAsia="宋体" w:cs="宋体"/>
                <w:color w:val="auto"/>
                <w:sz w:val="21"/>
                <w:szCs w:val="21"/>
                <w:highlight w:val="none"/>
                <w:lang w:eastAsia="zh-CN"/>
              </w:rPr>
              <w:t xml:space="preserve">放射源。</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w:t>
            </w:r>
            <w:r>
              <w:rPr>
                <w:rFonts w:hint="eastAsia" w:ascii="宋体" w:hAnsi="宋体" w:eastAsia="宋体" w:cs="宋体"/>
                <w:color w:val="auto"/>
                <w:sz w:val="21"/>
                <w:szCs w:val="21"/>
                <w:highlight w:val="none"/>
                <w:lang w:eastAsia="zh-CN"/>
              </w:rPr>
              <w:t xml:space="preserve">放射源活度：新放射源的活度应为</w:t>
            </w:r>
            <w:r>
              <w:rPr>
                <w:rFonts w:hint="eastAsia" w:ascii="宋体" w:hAnsi="宋体" w:eastAsia="宋体" w:cs="宋体"/>
                <w:color w:val="auto"/>
                <w:sz w:val="21"/>
                <w:szCs w:val="21"/>
                <w:highlight w:val="none"/>
              </w:rPr>
              <w:t xml:space="preserve">10Ci</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eastAsia="zh-CN"/>
              </w:rPr>
              <w:t xml:space="preserve">。</w:t>
            </w:r>
            <w:r/>
          </w:p>
        </w:tc>
      </w:tr>
      <w:tr>
        <w:trPr>
          <w:jc w:val="center"/>
          <w:trHeight w:val="359"/>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 </w:t>
            </w:r>
            <w:r>
              <w:rPr>
                <w:rFonts w:hint="eastAsia" w:ascii="宋体" w:hAnsi="宋体" w:eastAsia="宋体" w:cs="宋体"/>
                <w:color w:val="auto"/>
                <w:sz w:val="21"/>
                <w:szCs w:val="21"/>
                <w:highlight w:val="none"/>
                <w:lang w:eastAsia="zh-CN"/>
              </w:rPr>
              <w:t xml:space="preserve">放射源尺寸：放射源包壳尺寸：直径≤1.1</w:t>
            </w:r>
            <w:r>
              <w:rPr>
                <w:rFonts w:hint="eastAsia" w:ascii="宋体" w:hAnsi="宋体" w:eastAsia="宋体" w:cs="宋体"/>
                <w:color w:val="auto"/>
                <w:sz w:val="21"/>
                <w:szCs w:val="21"/>
                <w:highlight w:val="none"/>
              </w:rPr>
              <w:t xml:space="preserve"> mm</w:t>
            </w:r>
            <w:r>
              <w:rPr>
                <w:rFonts w:hint="eastAsia" w:ascii="宋体" w:hAnsi="宋体" w:eastAsia="宋体" w:cs="宋体"/>
                <w:color w:val="auto"/>
                <w:sz w:val="21"/>
                <w:szCs w:val="21"/>
                <w:highlight w:val="none"/>
                <w:lang w:eastAsia="zh-CN"/>
              </w:rPr>
              <w:t xml:space="preserve">，长度≤6.</w:t>
            </w:r>
            <w:r>
              <w:rPr>
                <w:rFonts w:hint="eastAsia" w:ascii="宋体" w:hAnsi="宋体" w:eastAsia="宋体" w:cs="宋体"/>
                <w:color w:val="auto"/>
                <w:sz w:val="21"/>
                <w:szCs w:val="21"/>
                <w:highlight w:val="none"/>
              </w:rPr>
              <w:t xml:space="preserve">5mm</w:t>
            </w:r>
            <w:r>
              <w:rPr>
                <w:rFonts w:hint="eastAsia" w:ascii="宋体" w:hAnsi="宋体" w:eastAsia="宋体" w:cs="宋体"/>
                <w:color w:val="auto"/>
                <w:sz w:val="21"/>
                <w:szCs w:val="21"/>
                <w:highlight w:val="none"/>
                <w:lang w:eastAsia="zh-CN"/>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 </w:t>
            </w:r>
            <w:r>
              <w:rPr>
                <w:rFonts w:hint="eastAsia" w:ascii="宋体" w:hAnsi="宋体" w:eastAsia="宋体" w:cs="宋体"/>
                <w:color w:val="auto"/>
                <w:sz w:val="21"/>
                <w:szCs w:val="21"/>
                <w:highlight w:val="none"/>
                <w:lang w:eastAsia="zh-CN"/>
              </w:rPr>
              <w:t xml:space="preserve">源线直径尺寸：源线直径≤1.1mm</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20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 </w:t>
            </w:r>
            <w:r>
              <w:rPr>
                <w:rFonts w:hint="eastAsia" w:ascii="宋体" w:hAnsi="宋体" w:eastAsia="宋体" w:cs="宋体"/>
                <w:color w:val="auto"/>
                <w:sz w:val="21"/>
                <w:szCs w:val="21"/>
                <w:highlight w:val="none"/>
                <w:lang w:eastAsia="zh-CN"/>
              </w:rPr>
              <w:t xml:space="preserve">放射源传输：放射源传输30</w:t>
            </w:r>
            <w:r>
              <w:rPr>
                <w:rFonts w:hint="eastAsia" w:ascii="宋体" w:hAnsi="宋体" w:eastAsia="宋体" w:cs="宋体"/>
                <w:color w:val="auto"/>
                <w:sz w:val="21"/>
                <w:szCs w:val="21"/>
                <w:highlight w:val="none"/>
              </w:rPr>
              <w:t xml:space="preserve">,000</w:t>
            </w:r>
            <w:r>
              <w:rPr>
                <w:rFonts w:hint="eastAsia" w:ascii="宋体" w:hAnsi="宋体" w:eastAsia="宋体" w:cs="宋体"/>
                <w:color w:val="auto"/>
                <w:sz w:val="21"/>
                <w:szCs w:val="21"/>
                <w:highlight w:val="none"/>
                <w:lang w:eastAsia="zh-CN"/>
              </w:rPr>
              <w:t xml:space="preserve">次内不卡源</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w:t>
            </w:r>
            <w:r>
              <w:rPr>
                <w:rFonts w:hint="eastAsia" w:ascii="宋体" w:hAnsi="宋体" w:eastAsia="宋体" w:cs="宋体"/>
                <w:color w:val="auto"/>
                <w:sz w:val="21"/>
                <w:szCs w:val="21"/>
                <w:highlight w:val="none"/>
                <w:lang w:eastAsia="zh-CN"/>
              </w:rPr>
              <w:t xml:space="preserve">放射源驱动系统</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w:t>
            </w:r>
            <w:r>
              <w:rPr>
                <w:rFonts w:hint="eastAsia" w:ascii="宋体" w:hAnsi="宋体" w:eastAsia="宋体" w:cs="宋体"/>
                <w:color w:val="auto"/>
                <w:sz w:val="21"/>
                <w:szCs w:val="21"/>
                <w:highlight w:val="none"/>
                <w:lang w:eastAsia="zh-CN"/>
              </w:rPr>
              <w:t xml:space="preserve">放射源到位精度：放射源到位精度应≤</w:t>
            </w:r>
            <w:r>
              <w:rPr>
                <w:rFonts w:hint="eastAsia" w:ascii="宋体" w:hAnsi="宋体" w:eastAsia="宋体" w:cs="宋体"/>
                <w:color w:val="auto"/>
                <w:sz w:val="21"/>
                <w:szCs w:val="21"/>
                <w:highlight w:val="none"/>
              </w:rPr>
              <w:t xml:space="preserve">0.5mm</w:t>
            </w:r>
            <w:r>
              <w:rPr>
                <w:rFonts w:hint="eastAsia" w:ascii="宋体" w:hAnsi="宋体" w:eastAsia="宋体" w:cs="宋体"/>
                <w:color w:val="auto"/>
                <w:sz w:val="21"/>
                <w:szCs w:val="21"/>
                <w:highlight w:val="none"/>
                <w:lang w:eastAsia="zh-CN"/>
              </w:rPr>
              <w:t xml:space="preserve">。</w:t>
            </w:r>
            <w:r/>
          </w:p>
        </w:tc>
      </w:tr>
      <w:tr>
        <w:trPr>
          <w:jc w:val="center"/>
          <w:trHeight w:val="293"/>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 </w:t>
            </w:r>
            <w:r>
              <w:rPr>
                <w:rFonts w:hint="eastAsia" w:ascii="宋体" w:hAnsi="宋体" w:eastAsia="宋体" w:cs="宋体"/>
                <w:color w:val="auto"/>
                <w:sz w:val="21"/>
                <w:szCs w:val="21"/>
                <w:highlight w:val="none"/>
                <w:lang w:eastAsia="zh-CN"/>
              </w:rPr>
              <w:t xml:space="preserve">放射源最小步进长度：放射源最小步进长度≤2.5</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p>
        </w:tc>
      </w:tr>
      <w:tr>
        <w:trPr>
          <w:jc w:val="center"/>
          <w:trHeight w:val="31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 </w:t>
            </w:r>
            <w:r>
              <w:rPr>
                <w:rFonts w:hint="eastAsia" w:ascii="宋体" w:hAnsi="宋体" w:eastAsia="宋体" w:cs="宋体"/>
                <w:color w:val="auto"/>
                <w:sz w:val="21"/>
                <w:szCs w:val="21"/>
                <w:highlight w:val="none"/>
                <w:lang w:eastAsia="zh-CN"/>
              </w:rPr>
              <w:t xml:space="preserve">放射源最小治疗半径：源所能通过最小治疗通道半径≤30mm。</w:t>
            </w:r>
            <w:r/>
          </w:p>
        </w:tc>
      </w:tr>
      <w:tr>
        <w:trPr>
          <w:jc w:val="center"/>
          <w:trHeight w:val="31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25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2.3.4驱动电机及驱动器：真假源，双源独立驱动</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w:t>
            </w:r>
            <w:r>
              <w:rPr>
                <w:rFonts w:hint="eastAsia" w:ascii="宋体" w:hAnsi="宋体" w:eastAsia="宋体" w:cs="宋体"/>
                <w:color w:val="auto"/>
                <w:sz w:val="21"/>
                <w:szCs w:val="21"/>
                <w:highlight w:val="none"/>
                <w:lang w:eastAsia="zh-CN"/>
              </w:rPr>
              <w:t xml:space="preserve">辐射漏射</w:t>
            </w:r>
            <w:r/>
          </w:p>
        </w:tc>
      </w:tr>
      <w:tr>
        <w:trPr>
          <w:jc w:val="center"/>
          <w:trHeight w:val="3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w:t>
            </w:r>
            <w:r>
              <w:rPr>
                <w:rFonts w:hint="eastAsia" w:ascii="宋体" w:hAnsi="宋体" w:eastAsia="宋体" w:cs="宋体"/>
                <w:color w:val="auto"/>
                <w:sz w:val="21"/>
                <w:szCs w:val="21"/>
                <w:highlight w:val="none"/>
                <w:lang w:eastAsia="zh-CN"/>
              </w:rPr>
              <w:t xml:space="preserve">装载</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eastAsia="zh-CN"/>
              </w:rPr>
              <w:t xml:space="preserve">居里放射源时，距离机器表面</w:t>
            </w:r>
            <w:r>
              <w:rPr>
                <w:rFonts w:hint="eastAsia" w:ascii="宋体" w:hAnsi="宋体" w:eastAsia="宋体" w:cs="宋体"/>
                <w:color w:val="auto"/>
                <w:sz w:val="21"/>
                <w:szCs w:val="21"/>
                <w:highlight w:val="none"/>
              </w:rPr>
              <w:t xml:space="preserve">5cm</w:t>
            </w:r>
            <w:r>
              <w:rPr>
                <w:rFonts w:hint="eastAsia" w:ascii="宋体" w:hAnsi="宋体" w:eastAsia="宋体" w:cs="宋体"/>
                <w:color w:val="auto"/>
                <w:sz w:val="21"/>
                <w:szCs w:val="21"/>
                <w:highlight w:val="none"/>
                <w:lang w:eastAsia="zh-CN"/>
              </w:rPr>
              <w:t xml:space="preserve">处的剂量当量率≤</w:t>
            </w:r>
            <w:r>
              <w:rPr>
                <w:rFonts w:hint="eastAsia" w:ascii="宋体" w:hAnsi="宋体" w:eastAsia="宋体" w:cs="宋体"/>
                <w:color w:val="auto"/>
                <w:sz w:val="21"/>
                <w:szCs w:val="21"/>
                <w:highlight w:val="none"/>
              </w:rPr>
              <w:t xml:space="preserve">0.01mSv/h</w:t>
            </w:r>
            <w:r>
              <w:rPr>
                <w:rFonts w:hint="eastAsia" w:ascii="宋体" w:hAnsi="宋体" w:eastAsia="宋体" w:cs="宋体"/>
                <w:color w:val="auto"/>
                <w:sz w:val="21"/>
                <w:szCs w:val="21"/>
                <w:highlight w:val="none"/>
                <w:lang w:eastAsia="zh-CN"/>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w:t>
            </w:r>
            <w:r>
              <w:rPr>
                <w:rFonts w:hint="eastAsia" w:ascii="宋体" w:hAnsi="宋体" w:eastAsia="宋体" w:cs="宋体"/>
                <w:color w:val="auto"/>
                <w:sz w:val="21"/>
                <w:szCs w:val="21"/>
                <w:highlight w:val="none"/>
                <w:lang w:eastAsia="zh-CN"/>
              </w:rPr>
              <w:t xml:space="preserve">安全性和质量保证要求</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 </w:t>
            </w:r>
            <w:r>
              <w:rPr>
                <w:rFonts w:hint="eastAsia" w:ascii="宋体" w:hAnsi="宋体" w:eastAsia="宋体" w:cs="宋体"/>
                <w:color w:val="auto"/>
                <w:sz w:val="21"/>
                <w:szCs w:val="21"/>
                <w:highlight w:val="none"/>
                <w:lang w:eastAsia="zh-CN"/>
              </w:rPr>
              <w:t xml:space="preserve">假源线：假源线检测传输导管和施源器连接的通道通畅性。</w:t>
            </w:r>
            <w:r/>
          </w:p>
        </w:tc>
      </w:tr>
      <w:tr>
        <w:trPr>
          <w:jc w:val="center"/>
          <w:trHeight w:val="326"/>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放射源到位精度调整：可在控制系统中对放射源到位精度进行调整。</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31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w:t>
            </w:r>
            <w:r>
              <w:rPr>
                <w:rFonts w:hint="eastAsia" w:ascii="宋体" w:hAnsi="宋体" w:eastAsia="宋体" w:cs="宋体"/>
                <w:color w:val="auto"/>
                <w:sz w:val="21"/>
                <w:szCs w:val="21"/>
                <w:highlight w:val="none"/>
                <w:lang w:eastAsia="zh-CN"/>
              </w:rPr>
              <w:t xml:space="preserve">治疗控制系统</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 </w:t>
            </w:r>
            <w:r>
              <w:rPr>
                <w:rFonts w:hint="eastAsia" w:ascii="宋体" w:hAnsi="宋体" w:eastAsia="宋体" w:cs="宋体"/>
                <w:color w:val="auto"/>
                <w:sz w:val="21"/>
                <w:szCs w:val="21"/>
                <w:highlight w:val="none"/>
                <w:lang w:eastAsia="zh-CN"/>
              </w:rPr>
              <w:t xml:space="preserve">基本组成：含控制记录用工作站一台和治疗控制面板一套。</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 </w:t>
            </w:r>
            <w:r>
              <w:rPr>
                <w:rFonts w:hint="eastAsia" w:ascii="宋体" w:hAnsi="宋体" w:eastAsia="宋体" w:cs="宋体"/>
                <w:color w:val="auto"/>
                <w:sz w:val="21"/>
                <w:szCs w:val="21"/>
                <w:highlight w:val="none"/>
                <w:lang w:eastAsia="zh-CN"/>
              </w:rPr>
              <w:t xml:space="preserve">控制系统屏幕尺寸≥</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eastAsia="zh-CN"/>
              </w:rPr>
              <w:t xml:space="preserve">英寸，操作系统性能相当于</w:t>
            </w:r>
            <w:r>
              <w:rPr>
                <w:rFonts w:hint="eastAsia" w:ascii="宋体" w:hAnsi="宋体" w:eastAsia="宋体" w:cs="宋体"/>
                <w:color w:val="auto"/>
                <w:sz w:val="21"/>
                <w:szCs w:val="21"/>
                <w:highlight w:val="none"/>
              </w:rPr>
              <w:t xml:space="preserve">Windows 7</w:t>
            </w:r>
            <w:r>
              <w:rPr>
                <w:rFonts w:hint="eastAsia" w:ascii="宋体" w:hAnsi="宋体" w:eastAsia="宋体" w:cs="宋体"/>
                <w:color w:val="auto"/>
                <w:sz w:val="21"/>
                <w:szCs w:val="21"/>
                <w:highlight w:val="none"/>
                <w:lang w:eastAsia="zh-CN"/>
              </w:rPr>
              <w:t xml:space="preserve">或以上系统。</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w:t>
            </w:r>
            <w:r>
              <w:rPr>
                <w:rFonts w:hint="eastAsia" w:ascii="宋体" w:hAnsi="宋体" w:eastAsia="宋体" w:cs="宋体"/>
                <w:color w:val="auto"/>
                <w:sz w:val="21"/>
                <w:szCs w:val="21"/>
                <w:highlight w:val="none"/>
                <w:lang w:eastAsia="zh-CN"/>
              </w:rPr>
              <w:t xml:space="preserve">控制系统模块：治疗控制系统包括治疗、计划管理、维护、报告模块和专门的</w:t>
            </w:r>
            <w:r>
              <w:rPr>
                <w:rFonts w:hint="eastAsia" w:ascii="宋体" w:hAnsi="宋体" w:eastAsia="宋体" w:cs="宋体"/>
                <w:color w:val="auto"/>
                <w:sz w:val="21"/>
                <w:szCs w:val="21"/>
                <w:highlight w:val="none"/>
              </w:rPr>
              <w:t xml:space="preserve">QA</w:t>
            </w:r>
            <w:r>
              <w:rPr>
                <w:rFonts w:hint="eastAsia" w:ascii="宋体" w:hAnsi="宋体" w:eastAsia="宋体" w:cs="宋体"/>
                <w:color w:val="auto"/>
                <w:sz w:val="21"/>
                <w:szCs w:val="21"/>
                <w:highlight w:val="none"/>
                <w:lang w:eastAsia="zh-CN"/>
              </w:rPr>
              <w:t xml:space="preserve">模块。</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 </w:t>
            </w:r>
            <w:r>
              <w:rPr>
                <w:rFonts w:hint="eastAsia" w:ascii="宋体" w:hAnsi="宋体" w:eastAsia="宋体" w:cs="宋体"/>
                <w:color w:val="auto"/>
                <w:sz w:val="21"/>
                <w:szCs w:val="21"/>
                <w:highlight w:val="none"/>
                <w:lang w:eastAsia="zh-CN"/>
              </w:rPr>
              <w:t xml:space="preserve">用户界面信息。</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 </w:t>
            </w:r>
            <w:r>
              <w:rPr>
                <w:rFonts w:hint="eastAsia" w:ascii="宋体" w:hAnsi="宋体" w:eastAsia="宋体" w:cs="宋体"/>
                <w:color w:val="auto"/>
                <w:sz w:val="21"/>
                <w:szCs w:val="21"/>
                <w:highlight w:val="none"/>
                <w:lang w:eastAsia="zh-CN"/>
              </w:rPr>
              <w:t xml:space="preserve">用户界面可显示患者和系统的信息。</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2.6.4.2 </w:t>
            </w:r>
            <w:r>
              <w:rPr>
                <w:rFonts w:hint="eastAsia" w:ascii="宋体" w:hAnsi="宋体" w:eastAsia="宋体" w:cs="宋体"/>
                <w:color w:val="auto"/>
                <w:sz w:val="21"/>
                <w:szCs w:val="21"/>
                <w:highlight w:val="none"/>
                <w:lang w:eastAsia="zh-CN"/>
              </w:rPr>
              <w:t xml:space="preserve">具备信息显示栏，显示系统状态和提示下一步需要进行的操作。</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2.6.4.3 </w:t>
            </w:r>
            <w:r>
              <w:rPr>
                <w:rFonts w:hint="eastAsia" w:ascii="宋体" w:hAnsi="宋体" w:eastAsia="宋体" w:cs="宋体"/>
                <w:color w:val="auto"/>
                <w:sz w:val="21"/>
                <w:szCs w:val="21"/>
                <w:highlight w:val="none"/>
                <w:lang w:eastAsia="zh-CN"/>
              </w:rPr>
              <w:t xml:space="preserve">具备检查列表，实时显示系统状态和安全连锁信息。</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 </w:t>
            </w:r>
            <w:r>
              <w:rPr>
                <w:rFonts w:hint="eastAsia" w:ascii="宋体" w:hAnsi="宋体" w:eastAsia="宋体" w:cs="宋体"/>
                <w:color w:val="auto"/>
                <w:sz w:val="21"/>
                <w:szCs w:val="21"/>
                <w:highlight w:val="none"/>
                <w:lang w:eastAsia="zh-CN"/>
              </w:rPr>
              <w:t xml:space="preserve">治疗时，彩色动画显示治疗通道、放射源驻留位置和系统状态。</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 </w:t>
            </w:r>
            <w:r>
              <w:rPr>
                <w:rFonts w:hint="eastAsia" w:ascii="宋体" w:hAnsi="宋体" w:eastAsia="宋体" w:cs="宋体"/>
                <w:color w:val="auto"/>
                <w:sz w:val="21"/>
                <w:szCs w:val="21"/>
                <w:highlight w:val="none"/>
                <w:lang w:eastAsia="zh-CN"/>
              </w:rPr>
              <w:t xml:space="preserve">治疗计划修改和编辑：可方便的修改和编辑计划。</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2.6.6 治疗报告：生成治疗前和治疗后报告。</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2.6.7 数据导入：支持通过DICOM自动导入并解析数据。</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 </w:t>
            </w:r>
            <w:r>
              <w:rPr>
                <w:rFonts w:hint="eastAsia" w:ascii="宋体" w:hAnsi="宋体" w:eastAsia="宋体" w:cs="宋体"/>
                <w:color w:val="auto"/>
                <w:sz w:val="21"/>
                <w:szCs w:val="21"/>
                <w:highlight w:val="none"/>
                <w:lang w:eastAsia="zh-CN"/>
              </w:rPr>
              <w:t xml:space="preserve">用户权限管理：可对每个用户单独设置用户权限和密码保护。</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44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 </w:t>
            </w:r>
            <w:r>
              <w:rPr>
                <w:rFonts w:hint="eastAsia" w:ascii="宋体" w:hAnsi="宋体" w:eastAsia="宋体" w:cs="宋体"/>
                <w:color w:val="auto"/>
                <w:sz w:val="21"/>
                <w:szCs w:val="21"/>
                <w:highlight w:val="none"/>
                <w:lang w:eastAsia="zh-CN"/>
              </w:rPr>
              <w:t xml:space="preserve">治疗控制面板</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 </w:t>
            </w:r>
            <w:r>
              <w:rPr>
                <w:rFonts w:hint="eastAsia" w:ascii="宋体" w:hAnsi="宋体" w:eastAsia="宋体" w:cs="宋体"/>
                <w:color w:val="auto"/>
                <w:sz w:val="21"/>
                <w:szCs w:val="21"/>
                <w:highlight w:val="none"/>
                <w:lang w:eastAsia="zh-CN"/>
              </w:rPr>
              <w:t xml:space="preserve">操控方式：治疗控制面板可动态显示各种控制信息。</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2.6.9.2 </w:t>
            </w:r>
            <w:r>
              <w:rPr>
                <w:rFonts w:hint="eastAsia" w:ascii="宋体" w:hAnsi="宋体" w:eastAsia="宋体" w:cs="宋体"/>
                <w:color w:val="auto"/>
                <w:sz w:val="21"/>
                <w:szCs w:val="21"/>
                <w:highlight w:val="none"/>
                <w:lang w:eastAsia="zh-CN"/>
              </w:rPr>
              <w:t xml:space="preserve">报警</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2.6.9.2.1 </w:t>
            </w:r>
            <w:r>
              <w:rPr>
                <w:rFonts w:hint="eastAsia" w:ascii="宋体" w:hAnsi="宋体" w:eastAsia="宋体" w:cs="宋体"/>
                <w:color w:val="auto"/>
                <w:sz w:val="21"/>
                <w:szCs w:val="21"/>
                <w:highlight w:val="none"/>
                <w:lang w:eastAsia="zh-CN"/>
              </w:rPr>
              <w:t xml:space="preserve">出现报警状况时显示警报和警报信息。</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2.6.9.2.2 </w:t>
            </w:r>
            <w:r>
              <w:rPr>
                <w:rFonts w:hint="eastAsia" w:ascii="宋体" w:hAnsi="宋体" w:eastAsia="宋体" w:cs="宋体"/>
                <w:color w:val="auto"/>
                <w:sz w:val="21"/>
                <w:szCs w:val="21"/>
                <w:highlight w:val="none"/>
                <w:lang w:eastAsia="zh-CN"/>
              </w:rPr>
              <w:t xml:space="preserve">出现报警状态时具有声音报警。</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2.6.9.2.3 </w:t>
            </w:r>
            <w:r>
              <w:rPr>
                <w:rFonts w:hint="eastAsia" w:ascii="宋体" w:hAnsi="宋体" w:eastAsia="宋体" w:cs="宋体"/>
                <w:color w:val="auto"/>
                <w:sz w:val="21"/>
                <w:szCs w:val="21"/>
                <w:highlight w:val="none"/>
                <w:lang w:eastAsia="zh-CN"/>
              </w:rPr>
              <w:t xml:space="preserve">治疗状态显示：治疗过程中，动态显示剩余治疗时间和照射状态。</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2.6.9.2.4出源长度自动校准模式</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51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2.6.9.2.5出源长度精确测量</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52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w:t>
            </w:r>
            <w:r>
              <w:rPr>
                <w:rFonts w:hint="eastAsia" w:ascii="宋体" w:hAnsi="宋体" w:eastAsia="宋体" w:cs="宋体"/>
                <w:color w:val="auto"/>
                <w:sz w:val="21"/>
                <w:szCs w:val="21"/>
                <w:highlight w:val="none"/>
                <w:lang w:eastAsia="zh-CN"/>
              </w:rPr>
              <w:t xml:space="preserve">配套工具和设备</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2.7.1 具备应急钳子和剪刀，用于紧急情况下处理放射源。</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 </w:t>
            </w:r>
            <w:r>
              <w:rPr>
                <w:rFonts w:hint="eastAsia" w:ascii="宋体" w:hAnsi="宋体" w:eastAsia="宋体" w:cs="宋体"/>
                <w:color w:val="auto"/>
                <w:sz w:val="21"/>
                <w:szCs w:val="21"/>
                <w:highlight w:val="none"/>
                <w:lang w:eastAsia="zh-CN"/>
              </w:rPr>
              <w:t xml:space="preserve">具备放射源位置检查尺，精确验证放射源到位精度。</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 </w:t>
            </w:r>
            <w:r>
              <w:rPr>
                <w:rFonts w:hint="eastAsia" w:ascii="宋体" w:hAnsi="宋体" w:eastAsia="宋体" w:cs="宋体"/>
                <w:color w:val="auto"/>
                <w:sz w:val="21"/>
                <w:szCs w:val="21"/>
                <w:highlight w:val="none"/>
                <w:lang w:eastAsia="zh-CN"/>
              </w:rPr>
              <w:t xml:space="preserve">具备放射源位置模拟尺，用于确定治疗位置以及测量施源器的长度。</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 </w:t>
            </w:r>
            <w:r>
              <w:rPr>
                <w:rFonts w:hint="eastAsia" w:ascii="宋体" w:hAnsi="宋体" w:eastAsia="宋体" w:cs="宋体"/>
                <w:color w:val="auto"/>
                <w:sz w:val="21"/>
                <w:szCs w:val="21"/>
                <w:highlight w:val="none"/>
                <w:lang w:eastAsia="zh-CN"/>
              </w:rPr>
              <w:t xml:space="preserve">具备独立室内辐射监测系统。</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 </w:t>
            </w:r>
            <w:r>
              <w:rPr>
                <w:rFonts w:hint="eastAsia" w:ascii="宋体" w:hAnsi="宋体" w:eastAsia="宋体" w:cs="宋体"/>
                <w:color w:val="auto"/>
                <w:sz w:val="21"/>
                <w:szCs w:val="21"/>
                <w:highlight w:val="none"/>
                <w:lang w:eastAsia="zh-CN"/>
              </w:rPr>
              <w:t xml:space="preserve">包括彩色闭路监视系统和对讲系统</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 </w:t>
            </w:r>
            <w:r>
              <w:rPr>
                <w:rFonts w:hint="eastAsia" w:ascii="宋体" w:hAnsi="宋体" w:eastAsia="宋体" w:cs="宋体"/>
                <w:color w:val="auto"/>
                <w:sz w:val="21"/>
                <w:szCs w:val="21"/>
                <w:highlight w:val="none"/>
                <w:lang w:eastAsia="zh-CN"/>
              </w:rPr>
              <w:t xml:space="preserve">提供放射源验证系统，包括井型电离室、静电计、放射源适配器支架、线缆及放射源校准证书。</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eastAsia="zh-CN"/>
              </w:rPr>
              <w:t xml:space="preserve">近距离治疗计划系统</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3.1 </w:t>
            </w:r>
            <w:r>
              <w:rPr>
                <w:rFonts w:hint="eastAsia" w:ascii="宋体" w:hAnsi="宋体" w:eastAsia="宋体" w:cs="宋体"/>
                <w:color w:val="auto"/>
                <w:sz w:val="21"/>
                <w:szCs w:val="21"/>
                <w:highlight w:val="none"/>
                <w:lang w:eastAsia="zh-CN"/>
              </w:rPr>
              <w:t xml:space="preserve">配套工作站：含一台近距离治疗计划工作站及配套外设设备。配置要求不低于如下标准：</w:t>
            </w:r>
            <w:r>
              <w:rPr>
                <w:rFonts w:hint="eastAsia" w:ascii="宋体" w:hAnsi="宋体" w:eastAsia="宋体" w:cs="宋体"/>
                <w:color w:val="auto"/>
                <w:sz w:val="21"/>
                <w:szCs w:val="21"/>
                <w:highlight w:val="none"/>
              </w:rPr>
              <w:t xml:space="preserve">CPU</w:t>
            </w:r>
            <w:r>
              <w:rPr>
                <w:rFonts w:hint="eastAsia" w:ascii="宋体" w:hAnsi="宋体" w:eastAsia="宋体" w:cs="宋体"/>
                <w:color w:val="auto"/>
                <w:sz w:val="21"/>
                <w:szCs w:val="21"/>
                <w:highlight w:val="none"/>
                <w:lang w:eastAsia="zh-CN"/>
              </w:rPr>
              <w:t xml:space="preserve">主频≥</w:t>
            </w:r>
            <w:r>
              <w:rPr>
                <w:rFonts w:hint="eastAsia" w:ascii="宋体" w:hAnsi="宋体" w:eastAsia="宋体" w:cs="宋体"/>
                <w:color w:val="auto"/>
                <w:sz w:val="21"/>
                <w:szCs w:val="21"/>
                <w:highlight w:val="none"/>
              </w:rPr>
              <w:t xml:space="preserve">3.0GHz</w:t>
            </w:r>
            <w:r>
              <w:rPr>
                <w:rFonts w:hint="eastAsia" w:ascii="宋体" w:hAnsi="宋体" w:eastAsia="宋体" w:cs="宋体"/>
                <w:color w:val="auto"/>
                <w:sz w:val="21"/>
                <w:szCs w:val="21"/>
                <w:highlight w:val="none"/>
                <w:lang w:eastAsia="zh-CN"/>
              </w:rPr>
              <w:t xml:space="preserve">；硬盘</w:t>
            </w:r>
            <w:r>
              <w:rPr>
                <w:rFonts w:hint="eastAsia" w:ascii="宋体" w:hAnsi="宋体" w:eastAsia="宋体" w:cs="宋体"/>
                <w:color w:val="auto"/>
                <w:sz w:val="21"/>
                <w:szCs w:val="21"/>
                <w:highlight w:val="none"/>
              </w:rPr>
              <w:t xml:space="preserve">500GB</w:t>
            </w:r>
            <w:r>
              <w:rPr>
                <w:rFonts w:hint="eastAsia" w:ascii="宋体" w:hAnsi="宋体" w:eastAsia="宋体" w:cs="宋体"/>
                <w:color w:val="auto"/>
                <w:sz w:val="21"/>
                <w:szCs w:val="21"/>
                <w:highlight w:val="none"/>
                <w:lang w:eastAsia="zh-CN"/>
              </w:rPr>
              <w:t xml:space="preserve">以上；彩色图形加速卡，显存≥6</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eastAsia="zh-CN"/>
              </w:rPr>
              <w:t xml:space="preserve">；工作站内存≥32</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eastAsia="zh-CN"/>
              </w:rPr>
              <w:t xml:space="preserve">；彩色图像输出显示装置≥</w:t>
            </w:r>
            <w:r>
              <w:rPr>
                <w:rFonts w:hint="eastAsia" w:ascii="宋体" w:hAnsi="宋体" w:eastAsia="宋体" w:cs="宋体"/>
                <w:color w:val="auto"/>
                <w:sz w:val="21"/>
                <w:szCs w:val="21"/>
                <w:highlight w:val="none"/>
              </w:rPr>
              <w:t xml:space="preserve">24</w:t>
            </w:r>
            <w:r>
              <w:rPr>
                <w:rFonts w:hint="eastAsia" w:ascii="宋体" w:hAnsi="宋体" w:eastAsia="宋体" w:cs="宋体"/>
                <w:color w:val="auto"/>
                <w:sz w:val="21"/>
                <w:szCs w:val="21"/>
                <w:highlight w:val="none"/>
                <w:lang w:eastAsia="zh-CN"/>
              </w:rPr>
              <w:t xml:space="preserve">英寸；彩色激光图文输出装置；不间断电源。</w:t>
            </w:r>
            <w:r/>
          </w:p>
        </w:tc>
      </w:tr>
      <w:tr>
        <w:trPr>
          <w:jc w:val="center"/>
          <w:trHeight w:val="35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 </w:t>
            </w:r>
            <w:r>
              <w:rPr>
                <w:rFonts w:hint="eastAsia" w:ascii="宋体" w:hAnsi="宋体" w:eastAsia="宋体" w:cs="宋体"/>
                <w:color w:val="auto"/>
                <w:sz w:val="21"/>
                <w:szCs w:val="21"/>
                <w:highlight w:val="none"/>
                <w:lang w:eastAsia="zh-CN"/>
              </w:rPr>
              <w:t xml:space="preserve">具备后装机用近距离治疗计划系统软件。</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lang w:eastAsia="zh-CN"/>
              </w:rPr>
              <w:t xml:space="preserve">具备 AI全身器官轮廓自动勾画、轮廓线勾画和图像融合功能，可三维重建任意层面，并支持在冠状面、矢状面、横断面及其他任意切面上都可以进行靶区和正常组织勾画。</w:t>
            </w:r>
            <w:r/>
          </w:p>
        </w:tc>
      </w:tr>
      <w:tr>
        <w:trPr>
          <w:jc w:val="center"/>
          <w:trHeight w:val="52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3.2.1.1 通过内置模板创建新ROI；基于已有的ROI外扩和内缩创建新的ROI；基于已有的ROI布尔运算（交集、补集、并集）创建新的ROI</w:t>
            </w:r>
            <w:r/>
          </w:p>
        </w:tc>
      </w:tr>
      <w:tr>
        <w:trPr>
          <w:jc w:val="center"/>
          <w:trHeight w:val="309"/>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3.2.1.2 铅笔、钢笔、刷子勾画；矩形、圆形、椭圆等特殊形状勾画。</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3.2.1.3 轮廓二维、三维区域生长修改。</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3.2.1.4 轮廓光滑；碎片清理。</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3.2.1.5 批量删除轮廓线；自动提取体表外轮廓。</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3.2.1.6 支持 PTV、GTV、HRCTV、IRCTV 勾画。</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3.2.1.7可外部导入RT STRUCTURE文件。</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3.2.1.8 在CT图像横切面、冠状面、矢状面上勾画施源器。</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3.2.1.9 变换CT图像至施源器平面坐标系快速勾画施源器。</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3.2.1.10 在重建的DRR图像上以正交、变角等方式快速勾画施源器。</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3.2.2 </w:t>
            </w:r>
            <w:r>
              <w:rPr>
                <w:rFonts w:hint="eastAsia" w:ascii="宋体" w:hAnsi="宋体" w:eastAsia="宋体" w:cs="宋体"/>
                <w:color w:val="auto"/>
                <w:sz w:val="21"/>
                <w:szCs w:val="21"/>
                <w:highlight w:val="none"/>
                <w:lang w:eastAsia="zh-CN"/>
              </w:rPr>
              <w:t xml:space="preserve">支持多种基于投影图像的二维重建方式：</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 xml:space="preserve">正交投影重建；</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eastAsia="zh-CN"/>
              </w:rPr>
              <w:t xml:space="preserve">半正交投影重建；</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eastAsia="zh-CN"/>
              </w:rPr>
              <w:t xml:space="preserve">变角投影重建；</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eastAsia="zh-CN"/>
              </w:rPr>
              <w:t xml:space="preserve">等中心重建。</w:t>
            </w:r>
            <w:r/>
          </w:p>
        </w:tc>
      </w:tr>
      <w:tr>
        <w:trPr>
          <w:jc w:val="center"/>
          <w:trHeight w:val="373"/>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计划模板功能：具备计划模板功能。</w:t>
            </w:r>
            <w:r/>
          </w:p>
        </w:tc>
      </w:tr>
      <w:tr>
        <w:trPr>
          <w:jc w:val="center"/>
          <w:trHeight w:val="945"/>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.4计划评估工具：提供剂量体积直方图</w:t>
            </w:r>
            <w:r>
              <w:rPr>
                <w:rFonts w:hint="eastAsia" w:ascii="宋体" w:hAnsi="宋体" w:eastAsia="宋体" w:cs="宋体"/>
                <w:color w:val="auto"/>
                <w:sz w:val="21"/>
                <w:szCs w:val="21"/>
                <w:highlight w:val="none"/>
              </w:rPr>
              <w:t xml:space="preserve">(DVH)</w:t>
            </w:r>
            <w:r>
              <w:rPr>
                <w:rFonts w:hint="eastAsia" w:ascii="宋体" w:hAnsi="宋体" w:eastAsia="宋体" w:cs="宋体"/>
                <w:color w:val="auto"/>
                <w:sz w:val="21"/>
                <w:szCs w:val="21"/>
                <w:highlight w:val="none"/>
                <w:lang w:eastAsia="zh-CN"/>
              </w:rPr>
              <w:t xml:space="preserve">；任意层面上显示剂量冷点和热点；</w:t>
            </w:r>
            <w:r>
              <w:rPr>
                <w:rFonts w:hint="eastAsia" w:ascii="宋体" w:hAnsi="宋体" w:eastAsia="宋体" w:cs="宋体"/>
                <w:color w:val="auto"/>
                <w:sz w:val="21"/>
                <w:szCs w:val="21"/>
                <w:highlight w:val="none"/>
              </w:rPr>
              <w:t xml:space="preserve">3D</w:t>
            </w:r>
            <w:r>
              <w:rPr>
                <w:rFonts w:hint="eastAsia" w:ascii="宋体" w:hAnsi="宋体" w:eastAsia="宋体" w:cs="宋体"/>
                <w:color w:val="auto"/>
                <w:sz w:val="21"/>
                <w:szCs w:val="21"/>
                <w:highlight w:val="none"/>
                <w:lang w:eastAsia="zh-CN"/>
              </w:rPr>
              <w:t xml:space="preserve">图像的冷点和热点显示；任意平面和</w:t>
            </w:r>
            <w:r>
              <w:rPr>
                <w:rFonts w:hint="eastAsia" w:ascii="宋体" w:hAnsi="宋体" w:eastAsia="宋体" w:cs="宋体"/>
                <w:color w:val="auto"/>
                <w:sz w:val="21"/>
                <w:szCs w:val="21"/>
                <w:highlight w:val="none"/>
              </w:rPr>
              <w:t xml:space="preserve">3D</w:t>
            </w:r>
            <w:r>
              <w:rPr>
                <w:rFonts w:hint="eastAsia" w:ascii="宋体" w:hAnsi="宋体" w:eastAsia="宋体" w:cs="宋体"/>
                <w:color w:val="auto"/>
                <w:sz w:val="21"/>
                <w:szCs w:val="21"/>
                <w:highlight w:val="none"/>
                <w:lang w:eastAsia="zh-CN"/>
              </w:rPr>
              <w:t xml:space="preserve">的实时剂量线和剂量云显示工具；支持多个计划的评估和比较；支持多个计划同步进行比较。</w:t>
            </w:r>
            <w:r/>
          </w:p>
        </w:tc>
      </w:tr>
      <w:tr>
        <w:trPr>
          <w:jc w:val="center"/>
          <w:trHeight w:val="63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具备打印输出功能：支持剂量分布打印输出；用户可自定义打印图形比例；可显示放射源衰减表；显示界面可截图打印。</w:t>
            </w:r>
            <w:r/>
          </w:p>
        </w:tc>
      </w:tr>
      <w:tr>
        <w:trPr>
          <w:jc w:val="center"/>
          <w:trHeight w:val="52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 DICOM</w:t>
            </w:r>
            <w:r>
              <w:rPr>
                <w:rFonts w:hint="eastAsia" w:ascii="宋体" w:hAnsi="宋体" w:eastAsia="宋体" w:cs="宋体"/>
                <w:color w:val="auto"/>
                <w:sz w:val="21"/>
                <w:szCs w:val="21"/>
                <w:highlight w:val="none"/>
                <w:lang w:eastAsia="zh-CN"/>
              </w:rPr>
              <w:t xml:space="preserve">输入和输出接口，支持：</w:t>
            </w:r>
            <w:r>
              <w:rPr>
                <w:rFonts w:hint="eastAsia" w:ascii="宋体" w:hAnsi="宋体" w:eastAsia="宋体" w:cs="宋体"/>
                <w:color w:val="auto"/>
                <w:sz w:val="21"/>
                <w:szCs w:val="21"/>
                <w:highlight w:val="none"/>
              </w:rPr>
              <w:t xml:space="preserve">1) DICOM RT images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DICOM RT structure sets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 DICOM RT plans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 DICOM RT doses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 DICOM query and retrieve</w:t>
            </w:r>
            <w:r>
              <w:rPr>
                <w:rFonts w:hint="eastAsia" w:ascii="宋体" w:hAnsi="宋体" w:eastAsia="宋体" w:cs="宋体"/>
                <w:color w:val="auto"/>
                <w:sz w:val="21"/>
                <w:szCs w:val="21"/>
                <w:highlight w:val="none"/>
                <w:lang w:eastAsia="zh-CN"/>
              </w:rPr>
              <w:t xml:space="preserve">。</w:t>
            </w:r>
            <w:r/>
          </w:p>
        </w:tc>
      </w:tr>
      <w:tr>
        <w:trPr>
          <w:jc w:val="center"/>
          <w:trHeight w:val="52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剂量优化：具有正向和逆向优化功能，能根据临床要求自动设计治疗计划。逆向计划具备锁定指定通道剂量功能、支持剂量线手动优化以及剂量曲线拖动。</w:t>
            </w:r>
            <w:r/>
          </w:p>
        </w:tc>
      </w:tr>
      <w:tr>
        <w:trPr>
          <w:jc w:val="center"/>
          <w:trHeight w:val="363"/>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8剂量叠加：具备内照射不同计划之间的叠加融合，同时也支持内照射与外照射计划的剂量叠加。</w:t>
            </w:r>
            <w:r/>
          </w:p>
        </w:tc>
      </w:tr>
      <w:tr>
        <w:trPr>
          <w:jc w:val="center"/>
          <w:trHeight w:val="36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9形变叠加：支持将已经执行的剂量形变到新的影像的计划上，进行计划的叠加。</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10计划比较：支持将多个计划进行比较的功能。</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3.2.11等剂量线模板：支持等剂量曲线模板功能。</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83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3.2.12自适应计划：支持自适应计划的制作。</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3.2.13 计划系统免费升级</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eastAsia="zh-CN"/>
              </w:rPr>
              <w:t xml:space="preserve">施源器</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4.1 提供钛合金三通道妇科施源器4套，至少配置15度宫腔管4根、30度宫腔管4根、45度宫腔管4根，以及各类形状的卵形帽对≥4对。</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4.2 提供阴道施源器1套，直径≤20mm、≤25mm、≤30mm和≤35mm的圆柱各1套。</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4.3 提供直径≤1.9mm、长度≥200mm的金属插植针至少60根，并提供配套数量的插植针芯至少60根。</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MRI 专用施源器 一支。</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90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4.4 提供上述施源器所必需配套传输管及标记线。</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91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5. 放射源</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5.1 质保期内，</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及设备生产厂家负责落实放射源新源购入和旧源处置所有手续的办理及运输、安装、调校，保障采购人能够安全、顺利使用。</w:t>
            </w:r>
            <w:r/>
          </w:p>
        </w:tc>
      </w:tr>
    </w:tbl>
    <w:p>
      <w:pPr>
        <w:pStyle w:val="973"/>
        <w:ind w:firstLine="422"/>
        <w:spacing w:line="52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、供货要求</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要求提供生产日期6个月以内的产品，采购人有权对成交供应商所供货物进行验收，成交供应商需按采购人要求根据采购文件及成交供应商响应文件准备好相关产品，验收合格后方可进行安装，如验收不合格，不合格产品作退场处理，因此造成的一切责任及损失由成交供应商自行负责。</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需保证所供设备全新、型号最新、保持完好的原包装，系新机，不可为翻新机，符合国家法律法规的规定，其质量技术满足中国国家标准或国际相关行业标准。</w:t>
      </w:r>
      <w:r/>
    </w:p>
    <w:p>
      <w:pPr>
        <w:pStyle w:val="973"/>
        <w:ind w:firstLine="422"/>
        <w:spacing w:line="52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、质保要求</w:t>
      </w:r>
      <w:r/>
    </w:p>
    <w:p>
      <w:pPr>
        <w:pStyle w:val="973"/>
        <w:ind w:firstLine="422"/>
        <w:spacing w:line="520" w:lineRule="exact"/>
        <w:rPr>
          <w:rFonts w:hint="eastAsia" w:ascii="宋体" w:hAnsi="宋体" w:cs="宋体"/>
          <w:b w:val="0"/>
          <w:bCs w:val="0"/>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免费质保期≥5年</w:t>
      </w:r>
      <w:r>
        <w:rPr>
          <w:rFonts w:hint="eastAsia" w:ascii="宋体" w:hAnsi="宋体" w:cs="宋体"/>
          <w:b/>
          <w:bCs/>
          <w:color w:val="auto"/>
          <w:szCs w:val="21"/>
          <w:highlight w:val="none"/>
          <w:lang w:eastAsia="zh-CN"/>
        </w:rPr>
        <w:t xml:space="preserve">。</w:t>
      </w:r>
      <w:r>
        <w:rPr>
          <w:rFonts w:hint="eastAsia" w:ascii="宋体" w:hAnsi="宋体" w:cs="宋体"/>
          <w:b w:val="0"/>
          <w:bCs w:val="0"/>
          <w:color w:val="auto"/>
          <w:szCs w:val="21"/>
          <w:highlight w:val="none"/>
        </w:rPr>
        <w:t xml:space="preserve"> </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保修范围为全保，含所需配件、所有损耗品、人工费、维修人员差旅费，终身维护，每年免费对该设备进行预防性维护保养二次并出具厂家保养报告，以上材料成交供应商提供由原厂出具的售后服务承诺函。因设备配置或制造质量问题而引起的故障，乙方应在24小时内立即予以免费维修或更换，由此引起的一切费用由乙方承担。</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质保期内出现产品质量问题，在收到采购人通知后12小时内响应，24小时内到达问题现场，与甲方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rPr>
        <w:t xml:space="preserve">.质保期外出现产品质量问题，在收到采购人通知后，应派员到问题现场，与采购人协商并及时解决，并酌情收取材料成本费和适当的维修费，采购人可提供协助工作。</w:t>
      </w:r>
      <w:r/>
    </w:p>
    <w:p>
      <w:pPr>
        <w:pStyle w:val="973"/>
        <w:ind w:firstLine="422"/>
        <w:spacing w:line="52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、验收标准</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1.成交供应商按照本文件的有关规定提供合格产品，负责安装和调试，同时必须满足文件中所列出的全部规格、型号、具体配置、技术条件、材料工艺以及供应商承诺的其他指标；</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3.交货过程中如发现不符合本文件所规定产品，供应商无条件退换。</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973"/>
        <w:ind w:firstLine="422"/>
        <w:spacing w:line="52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商务要求</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1.本次招标采用项目总承包方式，磋商报价包括为实施委托项目约定范围内所需的全部费用。供应商要认真阅读磋商文件及各类规范政策，慎重报价，采购人不再支付其他任何费用，如有漏项采购人视同优惠。</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2.合同履行期限：合同签署后，30日内完成供货和安装。</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3.本次投标设最高限价为</w:t>
      </w:r>
      <w:r>
        <w:rPr>
          <w:rFonts w:hint="eastAsia" w:ascii="宋体" w:hAnsi="宋体" w:cs="宋体"/>
          <w:b/>
          <w:bCs/>
          <w:color w:val="auto"/>
          <w:szCs w:val="21"/>
          <w:highlight w:val="none"/>
          <w:u w:val="single"/>
          <w:lang w:val="en-US" w:eastAsia="zh-CN"/>
        </w:rPr>
        <w:t xml:space="preserve">12</w:t>
      </w:r>
      <w:r>
        <w:rPr>
          <w:rFonts w:hint="eastAsia" w:ascii="宋体" w:hAnsi="宋体" w:cs="宋体"/>
          <w:b/>
          <w:bCs/>
          <w:color w:val="auto"/>
          <w:szCs w:val="21"/>
          <w:highlight w:val="none"/>
          <w:u w:val="single"/>
        </w:rPr>
        <w:t xml:space="preserve">0</w:t>
      </w:r>
      <w:r>
        <w:rPr>
          <w:rFonts w:hint="eastAsia" w:ascii="宋体" w:hAnsi="宋体" w:cs="宋体"/>
          <w:color w:val="auto"/>
          <w:szCs w:val="21"/>
          <w:highlight w:val="none"/>
        </w:rPr>
        <w:t xml:space="preserve">万元，各供应商的投标报价不得高于上述限价，否则视为无效响应文件处理。</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4.合同形式：固定</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价合同。</w:t>
      </w:r>
      <w:r/>
    </w:p>
    <w:p>
      <w:pPr>
        <w:pStyle w:val="973"/>
        <w:ind w:firstLine="420"/>
        <w:spacing w:line="520" w:lineRule="exact"/>
        <w:rPr>
          <w:rFonts w:hint="default" w:ascii="宋体" w:hAnsi="宋体" w:eastAsia="宋体" w:cs="宋体"/>
          <w:color w:val="auto"/>
          <w:spacing w:val="15"/>
          <w:szCs w:val="21"/>
          <w:highlight w:val="none"/>
          <w:lang w:val="en-US" w:eastAsia="zh-CN"/>
        </w:rPr>
      </w:pPr>
      <w:r>
        <w:rPr>
          <w:rFonts w:hint="eastAsia" w:ascii="宋体" w:hAnsi="宋体" w:cs="宋体"/>
          <w:color w:val="auto"/>
          <w:szCs w:val="21"/>
          <w:highlight w:val="none"/>
        </w:rPr>
        <w:t xml:space="preserve">5.付款方式：</w:t>
      </w:r>
      <w:r>
        <w:rPr>
          <w:rFonts w:hint="eastAsia" w:ascii="宋体" w:hAnsi="宋体" w:cs="宋体"/>
          <w:color w:val="auto"/>
          <w:sz w:val="21"/>
          <w:szCs w:val="21"/>
          <w:highlight w:val="none"/>
          <w:lang w:val="en-US" w:eastAsia="zh-CN"/>
        </w:rPr>
        <w:t xml:space="preserve">合同签订后付合同价的30%，</w:t>
      </w:r>
      <w:r>
        <w:rPr>
          <w:rFonts w:hint="eastAsia" w:ascii="宋体" w:hAnsi="宋体" w:eastAsia="宋体" w:cs="宋体"/>
          <w:color w:val="auto"/>
          <w:sz w:val="21"/>
          <w:szCs w:val="21"/>
          <w:highlight w:val="none"/>
        </w:rPr>
        <w:t xml:space="preserve">货到，安装，验收合格后凭甲方出具的验收报告按甲方财务流程</w:t>
      </w:r>
      <w:r>
        <w:rPr>
          <w:rFonts w:hint="eastAsia" w:ascii="宋体" w:hAnsi="宋体" w:cs="宋体"/>
          <w:color w:val="auto"/>
          <w:sz w:val="21"/>
          <w:szCs w:val="21"/>
          <w:highlight w:val="none"/>
          <w:lang w:val="en-US" w:eastAsia="zh-CN"/>
        </w:rPr>
        <w:t xml:space="preserve">支付尾款70%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6.履约保证金：本项目履约保证金为成交价的10%（供应商自主选择以电汇、转账、支票、汇票、本票</w:t>
      </w:r>
      <w:bookmarkStart w:id="151" w:name="_GoBack"/>
      <w:r/>
      <w:bookmarkEnd w:id="151"/>
      <w:r>
        <w:rPr>
          <w:rFonts w:hint="eastAsia" w:ascii="宋体" w:hAnsi="宋体" w:cs="宋体"/>
          <w:color w:val="auto"/>
          <w:szCs w:val="21"/>
          <w:highlight w:val="none"/>
        </w:rPr>
        <w:t xml:space="preserve">、保函、保证保险等非现金形式缴纳或提交），履约保证金在合同签订前缴纳至采购人指定账号，</w:t>
      </w:r>
      <w:r>
        <w:rPr>
          <w:rFonts w:hint="eastAsia" w:ascii="宋体" w:hAnsi="宋体" w:cs="宋体"/>
          <w:color w:val="auto"/>
          <w:highlight w:val="none"/>
          <w:lang w:val="en-US" w:eastAsia="zh-CN"/>
        </w:rPr>
        <w:t xml:space="preserve">货物安装后1年且运行状态良好采购人无息退还合同总价4%的履约保证金，质保期满后采购人无息退还剩余履约保证金。</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2"/>
        <w:jc w:val="center"/>
        <w:keepNext w:val="0"/>
        <w:spacing w:line="520" w:lineRule="exact"/>
        <w:rPr>
          <w:rFonts w:hint="eastAsia" w:ascii="宋体" w:hAnsi="宋体" w:eastAsia="宋体" w:cs="宋体"/>
          <w:color w:val="auto"/>
          <w:sz w:val="32"/>
          <w:szCs w:val="32"/>
          <w:highlight w:val="none"/>
        </w:rPr>
        <w:outlineLvl w:val="9"/>
      </w:pPr>
      <w:r>
        <w:rPr>
          <w:rFonts w:hint="eastAsia" w:ascii="黑体" w:hAnsi="黑体" w:eastAsia="黑体" w:cs="黑体"/>
          <w:color w:val="auto"/>
          <w:sz w:val="32"/>
          <w:szCs w:val="32"/>
          <w:highlight w:val="none"/>
        </w:rPr>
        <w:t xml:space="preserve">第五章  评审方法和评审标准</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本次采购采用百分制综合评分法，即磋商供应商在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从高到低顺序排列，评审得分相同的，按照最后报价由低到高的顺序推荐；</w:t>
      </w:r>
      <w:r>
        <w:rPr>
          <w:rFonts w:hint="eastAsia" w:ascii="宋体" w:hAnsi="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cs="宋体"/>
          <w:color w:val="auto"/>
          <w:highlight w:val="none"/>
        </w:rPr>
        <w:t xml:space="preserve">因磋商供应商自身原因，在磋商期间，不能及时、完整、有效提供相关原件以供磋商小组查询，由此导致不利于响应文件的磋商后果由磋商供应商承担。</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评分细则详见下表：</w:t>
      </w:r>
      <w:r/>
    </w:p>
    <w:tbl>
      <w:tblPr>
        <w:tblStyle w:val="766"/>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20"/>
        <w:gridCol w:w="795"/>
        <w:gridCol w:w="6241"/>
      </w:tblGrid>
      <w:tr>
        <w:trPr>
          <w:jc w:val="center"/>
          <w:trHeight w:val="702"/>
        </w:trPr>
        <w:tc>
          <w:tcPr>
            <w:tcW w:w="728" w:type="dxa"/>
            <w:vAlign w:val="center"/>
            <w:textDirection w:val="lrTb"/>
            <w:noWrap w:val="false"/>
          </w:tcPr>
          <w:p>
            <w:pPr>
              <w:jc w:val="center"/>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020" w:type="dxa"/>
            <w:vAlign w:val="center"/>
            <w:textDirection w:val="lrTb"/>
            <w:noWrap w:val="false"/>
          </w:tcPr>
          <w:p>
            <w:pPr>
              <w:jc w:val="center"/>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w:t>
            </w:r>
            <w:r/>
          </w:p>
          <w:p>
            <w:pPr>
              <w:jc w:val="center"/>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因素</w:t>
            </w:r>
            <w:r/>
          </w:p>
        </w:tc>
        <w:tc>
          <w:tcPr>
            <w:tcW w:w="795" w:type="dxa"/>
            <w:vAlign w:val="center"/>
            <w:textDirection w:val="lrTb"/>
            <w:noWrap w:val="false"/>
          </w:tcPr>
          <w:p>
            <w:pPr>
              <w:jc w:val="center"/>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tcW w:w="6241" w:type="dxa"/>
            <w:vAlign w:val="center"/>
            <w:textDirection w:val="lrTb"/>
            <w:noWrap w:val="false"/>
          </w:tcPr>
          <w:p>
            <w:pPr>
              <w:ind w:firstLine="480"/>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评分内容</w:t>
            </w:r>
            <w:r/>
          </w:p>
        </w:tc>
      </w:tr>
      <w:tr>
        <w:trPr>
          <w:jc w:val="center"/>
          <w:trHeight w:val="454"/>
        </w:trPr>
        <w:tc>
          <w:tcPr>
            <w:gridSpan w:val="4"/>
            <w:tcW w:w="8784" w:type="dxa"/>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一、报价评审（30分）</w:t>
            </w:r>
            <w:r/>
          </w:p>
        </w:tc>
      </w:tr>
      <w:tr>
        <w:trPr>
          <w:jc w:val="center"/>
          <w:trHeight w:val="1010"/>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c>
          <w:tcPr>
            <w:tcW w:w="795"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满足磋商文件要求且最后报价最低的供应商的价格为磋商基准价，其价格分为满分30分。其他供应商的价格分统一按照下列公式计算：磋商报价得分＝（磋商基准价/最后磋商报价）×30分（保留两位小数，四舍五入）。</w:t>
            </w:r>
            <w:r/>
          </w:p>
        </w:tc>
      </w:tr>
      <w:tr>
        <w:trPr>
          <w:jc w:val="center"/>
          <w:trHeight w:val="477"/>
        </w:trPr>
        <w:tc>
          <w:tcPr>
            <w:gridSpan w:val="4"/>
            <w:tcW w:w="8784"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二、商务评审（</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jc w:val="center"/>
          <w:trHeight w:val="477"/>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020"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业绩</w:t>
            </w:r>
            <w:r/>
          </w:p>
        </w:tc>
        <w:tc>
          <w:tcPr>
            <w:tcW w:w="795"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所投产品（同品牌同类型）自2022年1月1日至响应截止时间（以合同签订日期为准）有销售业绩。每提供1份业绩合同得0.5分，本项最多得6分。</w:t>
            </w:r>
            <w:r/>
          </w:p>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提供合同</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未提供或未按要求提供不得分。</w:t>
            </w:r>
            <w:r/>
          </w:p>
        </w:tc>
      </w:tr>
      <w:tr>
        <w:trPr>
          <w:jc w:val="center"/>
          <w:trHeight w:val="477"/>
        </w:trPr>
        <w:tc>
          <w:tcPr>
            <w:tcW w:w="728" w:type="dxa"/>
            <w:vAlign w:val="center"/>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tc>
        <w:tc>
          <w:tcPr>
            <w:tcW w:w="795"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6分</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在采购文件要求的免费质保期（5年）的基础上，供应商承诺每增加1年免费质保期得2分，本项最高得6分。提供承诺书加盖公章，格式自拟。</w:t>
            </w:r>
            <w:r/>
          </w:p>
        </w:tc>
      </w:tr>
      <w:tr>
        <w:trPr>
          <w:jc w:val="center"/>
          <w:trHeight w:val="454"/>
        </w:trPr>
        <w:tc>
          <w:tcPr>
            <w:gridSpan w:val="4"/>
            <w:tcW w:w="8784"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三、技术评审（</w:t>
            </w:r>
            <w:r>
              <w:rPr>
                <w:rFonts w:hint="eastAsia" w:ascii="宋体" w:hAnsi="宋体" w:cs="宋体"/>
                <w:color w:val="auto"/>
                <w:szCs w:val="21"/>
                <w:highlight w:val="none"/>
                <w:lang w:val="en-US" w:eastAsia="zh-CN"/>
              </w:rPr>
              <w:t xml:space="preserve">58</w:t>
            </w:r>
            <w:r>
              <w:rPr>
                <w:rFonts w:hint="eastAsia" w:ascii="宋体" w:hAnsi="宋体" w:cs="宋体"/>
                <w:color w:val="auto"/>
                <w:szCs w:val="21"/>
                <w:highlight w:val="none"/>
              </w:rPr>
              <w:t xml:space="preserve">分）</w:t>
            </w:r>
            <w:r/>
          </w:p>
        </w:tc>
      </w:tr>
      <w:tr>
        <w:trPr>
          <w:jc w:val="center"/>
          <w:trHeight w:val="744"/>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020" w:type="dxa"/>
            <w:vAlign w:val="center"/>
            <w:textDirection w:val="lrTb"/>
            <w:noWrap w:val="false"/>
          </w:tcPr>
          <w:p>
            <w:pPr>
              <w:jc w:val="center"/>
              <w:spacing w:line="240" w:lineRule="auto"/>
              <w:rPr>
                <w:rFonts w:hint="eastAsia" w:ascii="宋体" w:hAnsi="宋体" w:cs="宋体"/>
                <w:color w:val="auto"/>
                <w:szCs w:val="21"/>
                <w:highlight w:val="none"/>
              </w:rPr>
              <w:outlineLvl w:val="0"/>
            </w:pPr>
            <w:r>
              <w:rPr>
                <w:rFonts w:hint="eastAsia" w:ascii="宋体" w:hAnsi="宋体"/>
                <w:color w:val="auto"/>
                <w:szCs w:val="21"/>
                <w:highlight w:val="none"/>
              </w:rPr>
              <w:t xml:space="preserve">技术参数响应</w:t>
            </w:r>
            <w:r/>
          </w:p>
        </w:tc>
        <w:tc>
          <w:tcPr>
            <w:tcW w:w="795" w:type="dxa"/>
            <w:vAlign w:val="center"/>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 xml:space="preserve">40</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需求</w:t>
            </w:r>
            <w:r>
              <w:rPr>
                <w:rFonts w:hint="eastAsia" w:ascii="宋体" w:hAnsi="宋体" w:cs="宋体"/>
                <w:color w:val="auto"/>
                <w:szCs w:val="21"/>
                <w:highlight w:val="none"/>
              </w:rPr>
              <w:t xml:space="preserve">中，加★项为核心条款，存在负偏离的视为无效响应文件；加▲项的参数负偏离的扣6分；未加★和▲项的参数，有一项负偏离的扣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最多扣40</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上述技术参数响应须提供《</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color w:val="auto"/>
                <w:szCs w:val="21"/>
                <w:highlight w:val="none"/>
              </w:rPr>
              <w:t xml:space="preserve">》及相应证明材料（包括制造商盖章的技术白皮书、Data Sheet、国家承认的第三方机构出具的检测报告、厂家公开发行的宣传彩页、音视频截图等）。供应商提供的证明材料不能证明符合技术参数要求的视为负偏离。</w:t>
            </w:r>
            <w:r/>
          </w:p>
        </w:tc>
      </w:tr>
      <w:tr>
        <w:trPr>
          <w:jc w:val="center"/>
          <w:trHeight w:val="416"/>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项目供货建设方案</w:t>
            </w:r>
            <w:r/>
          </w:p>
        </w:tc>
        <w:tc>
          <w:tcPr>
            <w:tcW w:w="795"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4</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根据供应商提供的供货方案、保护措施、供货周期、安装调试等各项内容的科学性、合理性、可行性进行综合评审。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90"/>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质量保证措施</w:t>
            </w:r>
            <w:r/>
          </w:p>
        </w:tc>
        <w:tc>
          <w:tcPr>
            <w:tcW w:w="795"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4</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根据供应商提供的产品质量保证措施的科学性、合理性、可行性进行综合评审，酌情评定。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spacing w:line="400" w:lineRule="exact"/>
              <w:rPr>
                <w:rFonts w:hint="eastAsia" w:ascii="宋体" w:hAnsi="宋体" w:cs="宋体"/>
                <w:bCs/>
                <w:color w:val="auto"/>
                <w:szCs w:val="21"/>
                <w:highlight w:val="none"/>
                <w:lang w:val="zh-CN"/>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售后服务方案</w:t>
            </w:r>
            <w:r/>
          </w:p>
        </w:tc>
        <w:tc>
          <w:tcPr>
            <w:tcW w:w="795"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6</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根据供应商提供的售后服务方案（售后服务方案包括售后服务网点、易损配件储备及易损配件价格、技术支持等内容）的完整性，可实施性进行综合评审，酌情评定。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（1）完整性，可实施性强的，得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（2）完整性，可实施性一般的，得4分；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（3）完整性，可实施性差的，得1分；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3.5</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培训方案</w:t>
            </w:r>
            <w:r/>
          </w:p>
        </w:tc>
        <w:tc>
          <w:tcPr>
            <w:tcW w:w="795"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4</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（1）完整性、清晰性、合理性强的，得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（2）完整性、清晰性、合理性一般的，得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（3）完整性、清晰性、合理性差的，得1分；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bl>
    <w:p>
      <w:pPr>
        <w:spacing w:line="400" w:lineRule="exact"/>
        <w:rPr>
          <w:rFonts w:hint="eastAsia" w:ascii="宋体" w:hAnsi="宋体" w:cs="宋体"/>
          <w:b/>
          <w:color w:val="auto"/>
          <w:highlight w:val="none"/>
        </w:rPr>
      </w:pPr>
      <w:r>
        <w:rPr>
          <w:rFonts w:hint="eastAsia" w:ascii="宋体" w:hAnsi="宋体" w:cs="宋体"/>
          <w:b/>
          <w:color w:val="auto"/>
          <w:highlight w:val="none"/>
        </w:rPr>
        <w:t xml:space="preserve">注：</w:t>
      </w:r>
      <w:r/>
    </w:p>
    <w:p>
      <w:pPr>
        <w:ind w:firstLine="420"/>
        <w:spacing w:line="520" w:lineRule="exact"/>
        <w:rPr>
          <w:rFonts w:hint="eastAsia" w:ascii="宋体" w:hAnsi="宋体" w:cs="宋体"/>
          <w:b/>
          <w:color w:val="auto"/>
          <w:highlight w:val="none"/>
        </w:rPr>
      </w:pPr>
      <w:r>
        <w:rPr>
          <w:rFonts w:hint="eastAsia" w:ascii="宋体" w:hAnsi="宋体" w:cs="宋体"/>
          <w:color w:val="auto"/>
          <w:highlight w:val="none"/>
        </w:rPr>
        <w:t xml:space="preserve">1.以上评分标准中每一条，各供应商均应提供相关的资料并作出相应的对比供评分评判。</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2.响应文件中如出现前后不一致时，磋商小组有权请磋商供应商澄清说明，澄清说明事项涉及评分时，该项不得分。</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3.磋商供应商承诺所提供的商务、技术、业绩资料全部真实，如有伪造，视作磋商供应商自动放弃投标及成交资格，并视作磋商供应商自愿接受相关处罚。</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4.磋商报价超过最高限价的，不得进入评标程序。</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5.磋商小组认为磋商供应商的报价明显低于其他通过符合性检查磋商供应商的报价，有可能无法诚信履约的，磋商小组有权要求供应商提供书面证明材料。该供应商不能合理说明原因并提供证明材料，磋商小组有权将该供应商的响应文件作无效标处理。</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6.供应商应根据国家政策调整规律进行报价，充分考虑服务期内的市场因素和成本变化状况的风险。</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7.响应供应商应认真进行现场勘察工作，场地现状及限制性因素由响应供应商向采购人查询并自行勘察核实，供应商的响应行为视为已充分调查、了解、核实场地现状，并同意接受准备履约合同。</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8.本办法未尽事宜，由磋商小组依据有关法规研究解决。</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42"/>
        <w:jc w:val="center"/>
        <w:keepNext w:val="0"/>
        <w:rPr>
          <w:rFonts w:hint="eastAsia" w:ascii="黑体" w:hAnsi="黑体" w:eastAsia="黑体" w:cs="黑体"/>
          <w:color w:val="auto"/>
          <w:sz w:val="32"/>
          <w:szCs w:val="32"/>
          <w:highlight w:val="none"/>
        </w:rPr>
      </w:pPr>
      <w:r/>
      <w:bookmarkStart w:id="115" w:name="_Toc29253"/>
      <w:r>
        <w:rPr>
          <w:rFonts w:hint="eastAsia" w:ascii="黑体" w:hAnsi="黑体" w:eastAsia="黑体" w:cs="黑体"/>
          <w:color w:val="auto"/>
          <w:sz w:val="32"/>
          <w:szCs w:val="32"/>
          <w:highlight w:val="none"/>
        </w:rPr>
        <w:t xml:space="preserve">第六章 响应文件的组成和格式</w:t>
      </w:r>
      <w:bookmarkEnd w:id="115"/>
      <w:r/>
      <w:r/>
    </w:p>
    <w:p>
      <w:pPr>
        <w:rPr>
          <w:rFonts w:hint="eastAsia" w:ascii="宋体" w:hAnsi="宋体" w:cs="宋体"/>
          <w:color w:val="auto"/>
          <w:highlight w:val="none"/>
        </w:rPr>
      </w:pPr>
      <w:r>
        <w:rPr>
          <w:rFonts w:hint="eastAsia" w:ascii="宋体" w:hAnsi="宋体" w:cs="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响 应 文 件</w:t>
      </w:r>
      <w:r/>
    </w:p>
    <w:p>
      <w:pPr>
        <w:pStyle w:val="96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t xml:space="preserve">项目名称：</w:t>
      </w:r>
      <w:r/>
    </w:p>
    <w:p>
      <w:pPr>
        <w:pStyle w:val="966"/>
        <w:rPr>
          <w:rFonts w:hint="eastAsia" w:ascii="宋体" w:hAnsi="宋体" w:cs="宋体"/>
          <w:color w:val="auto"/>
          <w:highlight w:val="none"/>
        </w:rPr>
      </w:pPr>
      <w:r>
        <w:rPr>
          <w:rFonts w:hint="eastAsia" w:ascii="宋体" w:hAnsi="宋体" w:cs="宋体"/>
          <w:color w:val="auto"/>
          <w:highlight w:val="none"/>
        </w:rPr>
        <w:t xml:space="preserve">项目编号： </w:t>
      </w:r>
      <w:r/>
    </w:p>
    <w:p>
      <w:pPr>
        <w:pStyle w:val="966"/>
        <w:rPr>
          <w:rFonts w:hint="eastAsia" w:ascii="宋体" w:hAnsi="宋体" w:cs="宋体"/>
          <w:color w:val="auto"/>
          <w:highlight w:val="none"/>
        </w:rPr>
      </w:pPr>
      <w:r>
        <w:rPr>
          <w:rFonts w:hint="eastAsia" w:ascii="宋体" w:hAnsi="宋体" w:cs="宋体"/>
          <w:color w:val="auto"/>
          <w:highlight w:val="none"/>
        </w:rPr>
        <w:t xml:space="preserve">供应商名称 ：（加盖CA电子公章）</w:t>
      </w:r>
      <w:r/>
    </w:p>
    <w:p>
      <w:pPr>
        <w:pStyle w:val="966"/>
        <w:rPr>
          <w:rFonts w:hint="eastAsia" w:ascii="宋体" w:hAnsi="宋体" w:cs="宋体"/>
          <w:color w:val="auto"/>
          <w:sz w:val="21"/>
          <w:highlight w:val="none"/>
        </w:rPr>
      </w:pPr>
      <w:r>
        <w:rPr>
          <w:rFonts w:hint="eastAsia" w:ascii="宋体" w:hAnsi="宋体" w:cs="宋体"/>
          <w:color w:val="auto"/>
          <w:highlight w:val="none"/>
        </w:rPr>
        <w:t xml:space="preserve">日期 ：</w:t>
      </w:r>
      <w:r/>
    </w:p>
    <w:p>
      <w:pPr>
        <w:pStyle w:val="966"/>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highlight w:val="none"/>
        </w:rPr>
        <w:br w:type="page" w:clear="all"/>
      </w:r>
      <w:r>
        <w:rPr>
          <w:rFonts w:hint="eastAsia" w:ascii="宋体" w:hAnsi="宋体" w:cs="宋体"/>
          <w:color w:val="auto"/>
          <w:sz w:val="32"/>
          <w:szCs w:val="32"/>
          <w:highlight w:val="none"/>
        </w:rPr>
        <w:t xml:space="preserve">磋商报价表</w:t>
      </w:r>
      <w:r/>
    </w:p>
    <w:p>
      <w:pPr>
        <w:pStyle w:val="975"/>
        <w:ind w:firstLine="48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本次为首次报价                          货币单位：人民币元</w:t>
      </w:r>
      <w:r/>
    </w:p>
    <w:p>
      <w:pPr>
        <w:pStyle w:val="975"/>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76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233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1012"/>
        </w:trPr>
        <w:tc>
          <w:tcPr>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33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285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35"/>
        </w:trPr>
        <w:tc>
          <w:tcPr>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总价（大写）：</w:t>
            </w:r>
            <w:r/>
          </w:p>
        </w:tc>
        <w:tc>
          <w:tcPr>
            <w:gridSpan w:val="2"/>
            <w:tcBorders>
              <w:right w:val="single" w:color="000000" w:sz="2" w:space="0"/>
            </w:tcBorders>
            <w:tcW w:w="5196"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420"/>
        <w:spacing w:line="360" w:lineRule="auto"/>
        <w:widowControl w:val="off"/>
        <w:rPr>
          <w:rFonts w:hint="eastAsia" w:ascii="宋体" w:hAnsi="宋体" w:eastAsia="宋体" w:cs="宋体"/>
          <w:color w:val="auto"/>
          <w:highlight w:val="none"/>
        </w:rPr>
      </w:pPr>
      <w:r/>
      <w:bookmarkStart w:id="116" w:name="OLE_LINK18"/>
      <w:r/>
      <w:r/>
    </w:p>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bookmarkEnd w:id="116"/>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首轮响应报价明细表</w:t>
      </w:r>
      <w:r/>
    </w:p>
    <w:p>
      <w:pPr>
        <w:pStyle w:val="975"/>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                  </w:t>
      </w:r>
      <w:r/>
    </w:p>
    <w:p>
      <w:pPr>
        <w:pStyle w:val="975"/>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highlight w:val="none"/>
        </w:rPr>
        <w:t xml:space="preserve">               </w:t>
      </w:r>
      <w:r/>
    </w:p>
    <w:tbl>
      <w:tblPr>
        <w:tblStyle w:val="766"/>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hAnsi="宋体" w:cs="宋体"/>
                <w:bCs/>
                <w:color w:val="auto"/>
                <w:sz w:val="21"/>
                <w:szCs w:val="21"/>
                <w:highlight w:val="none"/>
                <w:lang w:eastAsia="zh-CN"/>
              </w:rPr>
              <w:t xml:space="preserve">泰州市人民医院三维后装机采购项目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宋体"/>
                <w:b w:val="0"/>
                <w:bCs w:val="0"/>
                <w:color w:val="auto"/>
                <w:sz w:val="21"/>
                <w:szCs w:val="21"/>
                <w:highlight w:val="none"/>
              </w:rPr>
            </w:pPr>
            <w:r>
              <w:rPr>
                <w:rFonts w:hint="eastAsia" w:ascii="宋体" w:hAnsi="宋体" w:cs="Arial"/>
                <w:b w:val="0"/>
                <w:bCs w:val="0"/>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合计</w:t>
            </w:r>
            <w:r/>
          </w:p>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cs="Arial"/>
                <w:b w:val="0"/>
                <w:bCs w:val="0"/>
                <w:color w:val="auto"/>
                <w:sz w:val="21"/>
                <w:szCs w:val="21"/>
                <w:highlight w:val="none"/>
              </w:rPr>
            </w:pPr>
            <w:r>
              <w:rPr>
                <w:rFonts w:ascii="宋体" w:hAnsi="宋体" w:cs="Arial"/>
                <w:b w:val="0"/>
                <w:bCs w:val="0"/>
                <w:color w:val="auto"/>
                <w:sz w:val="21"/>
                <w:szCs w:val="21"/>
                <w:highlight w:val="none"/>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三维后装机</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cs="Arial"/>
                <w:b w:val="0"/>
                <w:bCs w:val="0"/>
                <w:color w:val="auto"/>
                <w:sz w:val="21"/>
                <w:szCs w:val="21"/>
                <w:highlight w:val="none"/>
              </w:rPr>
            </w:pPr>
            <w:r>
              <w:rPr>
                <w:rFonts w:ascii="宋体" w:hAnsi="宋体" w:cs="Arial"/>
                <w:b w:val="0"/>
                <w:bCs w:val="0"/>
                <w:color w:val="auto"/>
                <w:sz w:val="21"/>
                <w:szCs w:val="21"/>
                <w:highlight w:val="none"/>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总价：</w:t>
            </w:r>
            <w:r>
              <w:rPr>
                <w:rFonts w:hint="eastAsia" w:ascii="宋体" w:hAnsi="宋体" w:cs="宋体"/>
                <w:b/>
                <w:bCs/>
                <w:color w:val="auto"/>
                <w:sz w:val="21"/>
                <w:szCs w:val="21"/>
                <w:highlight w:val="none"/>
                <w:u w:val="single"/>
                <w:lang w:bidi="ar"/>
              </w:rPr>
              <w:t xml:space="preserve">          </w:t>
            </w:r>
            <w:r>
              <w:rPr>
                <w:rFonts w:hint="eastAsia" w:ascii="宋体" w:hAnsi="宋体" w:cs="宋体"/>
                <w:b/>
                <w:bCs/>
                <w:color w:val="auto"/>
                <w:sz w:val="21"/>
                <w:szCs w:val="21"/>
                <w:highlight w:val="none"/>
                <w:lang w:bidi="ar"/>
              </w:rPr>
              <w:t xml:space="preserve">元</w:t>
            </w:r>
            <w:r>
              <w:rPr>
                <w:rFonts w:hint="eastAsia"/>
                <w:color w:val="auto"/>
                <w:sz w:val="21"/>
                <w:szCs w:val="21"/>
                <w:highlight w:val="none"/>
                <w:lang w:bidi="ar"/>
              </w:rPr>
              <w:t xml:space="preserve"> </w:t>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供应商（电子签章）：</w:t>
      </w:r>
      <w:r/>
    </w:p>
    <w:p>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附件1 ：</w:t>
      </w:r>
      <w:r/>
    </w:p>
    <w:p>
      <w:pPr>
        <w:jc w:val="center"/>
        <w:rPr>
          <w:rFonts w:hint="eastAsia" w:ascii="宋体" w:hAnsi="宋体" w:cs="宋体"/>
          <w:color w:val="auto"/>
          <w:sz w:val="32"/>
          <w:szCs w:val="32"/>
          <w:highlight w:val="none"/>
        </w:rPr>
      </w:pPr>
      <w:r/>
      <w:bookmarkStart w:id="117" w:name="_Toc541"/>
      <w:r>
        <w:rPr>
          <w:rFonts w:hint="eastAsia" w:ascii="宋体" w:hAnsi="宋体" w:cs="宋体"/>
          <w:color w:val="auto"/>
          <w:sz w:val="32"/>
          <w:szCs w:val="32"/>
          <w:highlight w:val="none"/>
        </w:rPr>
        <w:t xml:space="preserve">法定代表人资格证明书</w:t>
      </w:r>
      <w:bookmarkEnd w:id="117"/>
      <w:r/>
      <w:r/>
    </w:p>
    <w:p>
      <w:pPr>
        <w:pStyle w:val="964"/>
        <w:rPr>
          <w:rFonts w:hint="eastAsia" w:ascii="宋体" w:hAnsi="宋体" w:eastAsia="宋体"/>
          <w:color w:val="auto"/>
          <w:highlight w:val="none"/>
        </w:rPr>
      </w:pPr>
      <w:r>
        <w:rPr>
          <w:rFonts w:hint="eastAsia" w:ascii="宋体" w:hAnsi="宋体" w:eastAsia="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（法定代表人姓名）在（供应商名称）处任（职务名称）职务，是（供应商名称）的法定代表人。</w:t>
      </w:r>
      <w:r/>
    </w:p>
    <w:p>
      <w:pPr>
        <w:pStyle w:val="964"/>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特此证明。</w:t>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rPr>
          <w:rFonts w:hint="eastAsia" w:ascii="宋体" w:hAnsi="宋体" w:cs="宋体"/>
          <w:color w:val="auto"/>
          <w:highlight w:val="none"/>
        </w:rPr>
      </w:pPr>
      <w:r>
        <w:rPr>
          <w:rFonts w:hint="eastAsia" w:ascii="宋体" w:hAnsi="宋体" w:cs="宋体"/>
          <w:color w:val="auto"/>
          <w:highlight w:val="none"/>
        </w:rPr>
        <w:t xml:space="preserve">日  期：</w:t>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法定代表人身份证复印件（正反两面均需复印，加盖公章）：</w:t>
      </w:r>
      <w:r/>
    </w:p>
    <w:p>
      <w:pPr>
        <w:pStyle w:val="944"/>
        <w:rPr>
          <w:rFonts w:hint="eastAsia" w:ascii="宋体" w:hAnsi="宋体" w:cs="宋体"/>
          <w:color w:val="auto"/>
          <w:highlight w:val="none"/>
        </w:rPr>
      </w:pPr>
      <w:r>
        <w:rPr>
          <w:rFonts w:hint="eastAsia" w:ascii="宋体" w:hAnsi="宋体" w:cs="宋体"/>
          <w:color w:val="auto"/>
          <w:highlight w:val="none"/>
        </w:rPr>
      </w:r>
      <w:r/>
    </w:p>
    <w:tbl>
      <w:tblPr>
        <w:tblStyle w:val="766"/>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法定代表人身份证正面复印件</w:t>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加</w:t>
            </w:r>
            <w:r/>
          </w:p>
          <w:p>
            <w:pPr>
              <w:rPr>
                <w:rFonts w:hint="eastAsia" w:ascii="宋体" w:hAnsi="宋体" w:cs="宋体"/>
                <w:color w:val="auto"/>
                <w:highlight w:val="none"/>
              </w:rPr>
            </w:pPr>
            <w:r>
              <w:rPr>
                <w:rFonts w:hint="eastAsia" w:ascii="宋体" w:hAnsi="宋体" w:cs="宋体"/>
                <w:color w:val="auto"/>
                <w:highlight w:val="none"/>
              </w:rPr>
              <w:t xml:space="preserve">盖</w:t>
            </w:r>
            <w:r/>
          </w:p>
          <w:p>
            <w:pPr>
              <w:rPr>
                <w:rFonts w:hint="eastAsia" w:ascii="宋体" w:hAnsi="宋体" w:cs="宋体"/>
                <w:color w:val="auto"/>
                <w:highlight w:val="none"/>
              </w:rPr>
            </w:pPr>
            <w:r>
              <w:rPr>
                <w:rFonts w:hint="eastAsia" w:ascii="宋体" w:hAnsi="宋体" w:cs="宋体"/>
                <w:color w:val="auto"/>
                <w:highlight w:val="none"/>
              </w:rPr>
              <w:t xml:space="preserve">CA</w:t>
            </w:r>
            <w:r/>
          </w:p>
          <w:p>
            <w:pPr>
              <w:rPr>
                <w:rFonts w:hint="eastAsia" w:ascii="宋体" w:hAnsi="宋体" w:cs="宋体"/>
                <w:color w:val="auto"/>
                <w:highlight w:val="none"/>
              </w:rPr>
            </w:pPr>
            <w:r>
              <w:rPr>
                <w:rFonts w:hint="eastAsia" w:ascii="宋体" w:hAnsi="宋体" w:cs="宋体"/>
                <w:color w:val="auto"/>
                <w:highlight w:val="none"/>
              </w:rPr>
              <w:t xml:space="preserve">电</w:t>
            </w:r>
            <w:r/>
          </w:p>
          <w:p>
            <w:pPr>
              <w:rPr>
                <w:rFonts w:hint="eastAsia" w:ascii="宋体" w:hAnsi="宋体" w:cs="宋体"/>
                <w:color w:val="auto"/>
                <w:highlight w:val="none"/>
              </w:rPr>
            </w:pPr>
            <w:r>
              <w:rPr>
                <w:rFonts w:hint="eastAsia" w:ascii="宋体" w:hAnsi="宋体" w:cs="宋体"/>
                <w:color w:val="auto"/>
                <w:highlight w:val="none"/>
              </w:rPr>
              <w:t xml:space="preserve">子</w:t>
            </w:r>
            <w:r/>
          </w:p>
          <w:p>
            <w:pPr>
              <w:rPr>
                <w:rFonts w:hint="eastAsia" w:ascii="宋体" w:hAnsi="宋体" w:cs="宋体"/>
                <w:color w:val="auto"/>
                <w:highlight w:val="none"/>
              </w:rPr>
            </w:pPr>
            <w:r>
              <w:rPr>
                <w:rFonts w:hint="eastAsia" w:ascii="宋体" w:hAnsi="宋体" w:cs="宋体"/>
                <w:color w:val="auto"/>
                <w:highlight w:val="none"/>
              </w:rPr>
              <w:t xml:space="preserve">章</w:t>
            </w:r>
            <w:r/>
          </w:p>
          <w:p>
            <w:pPr>
              <w:pStyle w:val="944"/>
              <w:rPr>
                <w:rFonts w:hint="eastAsia" w:ascii="宋体" w:hAnsi="宋体" w:cs="宋体"/>
                <w:color w:val="auto"/>
                <w:highlight w:val="none"/>
              </w:rPr>
            </w:pPr>
            <w:r>
              <w:rPr>
                <w:rFonts w:hint="eastAsia" w:ascii="宋体" w:hAnsi="宋体" w:cs="宋体"/>
                <w:color w:val="auto"/>
                <w:highlight w:val="none"/>
              </w:rPr>
            </w:r>
            <w:r/>
          </w:p>
        </w:tc>
        <w:tc>
          <w:tcPr>
            <w:tcW w:w="4207"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法定代表人身份证反面复印件</w:t>
            </w:r>
            <w:r/>
          </w:p>
          <w:p>
            <w:pPr>
              <w:pStyle w:val="944"/>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18" w:name="_Toc7422"/>
      <w:r/>
      <w:bookmarkStart w:id="119" w:name="_Toc10173"/>
      <w:r/>
      <w:bookmarkStart w:id="120" w:name="_Toc3508"/>
      <w:r/>
      <w:bookmarkStart w:id="121" w:name="_Toc27742"/>
      <w:r>
        <w:rPr>
          <w:rFonts w:hint="eastAsia" w:ascii="宋体" w:hAnsi="宋体" w:cs="宋体"/>
          <w:color w:val="auto"/>
          <w:sz w:val="24"/>
          <w:highlight w:val="none"/>
        </w:rPr>
        <w:t xml:space="preserve">附件2：</w:t>
      </w:r>
      <w:bookmarkEnd w:id="118"/>
      <w:r/>
      <w:bookmarkEnd w:id="119"/>
      <w:r/>
      <w:bookmarkEnd w:id="120"/>
      <w:r/>
      <w:bookmarkEnd w:id="121"/>
      <w:r>
        <w:rPr>
          <w:rFonts w:hint="eastAsia" w:ascii="宋体" w:hAnsi="宋体" w:cs="宋体"/>
          <w:color w:val="auto"/>
          <w:sz w:val="24"/>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bookmarkStart w:id="122" w:name="_Toc30840"/>
      <w:r/>
      <w:bookmarkStart w:id="123" w:name="_Toc32139"/>
      <w:r/>
      <w:bookmarkStart w:id="124" w:name="_Toc17493"/>
      <w:r/>
      <w:bookmarkStart w:id="125" w:name="_Toc24313"/>
      <w:r>
        <w:rPr>
          <w:rFonts w:hint="eastAsia" w:ascii="宋体" w:hAnsi="宋体" w:cs="宋体"/>
          <w:color w:val="auto"/>
          <w:sz w:val="32"/>
          <w:szCs w:val="32"/>
          <w:highlight w:val="none"/>
        </w:rPr>
        <w:t xml:space="preserve">法定代表人授权委托书</w:t>
      </w:r>
      <w:bookmarkEnd w:id="122"/>
      <w:r/>
      <w:bookmarkEnd w:id="123"/>
      <w:r/>
      <w:bookmarkEnd w:id="124"/>
      <w:r/>
      <w:bookmarkEnd w:id="125"/>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江苏建泰工程项目管理有限公司：</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我公司（单位）对被授权代表的签名负全部责任。</w:t>
      </w:r>
      <w:r/>
    </w:p>
    <w:p>
      <w:pPr>
        <w:ind w:firstLine="420"/>
        <w:rPr>
          <w:rFonts w:hint="eastAsia" w:ascii="宋体" w:hAnsi="宋体" w:cs="宋体"/>
          <w:color w:val="auto"/>
          <w:highlight w:val="none"/>
        </w:rPr>
      </w:pPr>
      <w:r>
        <w:rPr>
          <w:rFonts w:hint="eastAsia" w:ascii="宋体" w:hAnsi="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rPr>
          <w:rFonts w:hint="eastAsia" w:ascii="宋体" w:hAnsi="宋体" w:cs="宋体"/>
          <w:color w:val="auto"/>
          <w:highlight w:val="none"/>
        </w:rPr>
      </w:pPr>
      <w:r>
        <w:rPr>
          <w:rFonts w:hint="eastAsia" w:ascii="宋体" w:hAnsi="宋体" w:cs="宋体"/>
          <w:color w:val="auto"/>
          <w:highlight w:val="none"/>
        </w:rPr>
        <w:t xml:space="preserve">被授权代表情况：</w:t>
      </w:r>
      <w:r/>
    </w:p>
    <w:p>
      <w:pPr>
        <w:rPr>
          <w:rFonts w:hint="eastAsia" w:ascii="宋体" w:hAnsi="宋体" w:cs="宋体"/>
          <w:color w:val="auto"/>
          <w:highlight w:val="none"/>
        </w:rPr>
      </w:pPr>
      <w:r>
        <w:rPr>
          <w:rFonts w:hint="eastAsia" w:ascii="宋体" w:hAnsi="宋体" w:cs="宋体"/>
          <w:color w:val="auto"/>
          <w:highlight w:val="none"/>
        </w:rPr>
        <w:t xml:space="preserve">姓名：                       性别：                    电话：               </w:t>
      </w:r>
      <w:r/>
    </w:p>
    <w:p>
      <w:pPr>
        <w:rPr>
          <w:rFonts w:hint="eastAsia" w:ascii="宋体" w:hAnsi="宋体" w:cs="宋体"/>
          <w:color w:val="auto"/>
          <w:highlight w:val="none"/>
        </w:rPr>
      </w:pPr>
      <w:r>
        <w:rPr>
          <w:rFonts w:hint="eastAsia" w:ascii="宋体" w:hAnsi="宋体" w:cs="宋体"/>
          <w:color w:val="auto"/>
          <w:highlight w:val="none"/>
        </w:rPr>
        <w:t xml:space="preserve">授权代表身份证复印件（正反两面均需复印）（骑缝处加盖公章）：</w:t>
      </w:r>
      <w:r/>
    </w:p>
    <w:p>
      <w:pPr>
        <w:pStyle w:val="944"/>
        <w:rPr>
          <w:rFonts w:hint="eastAsia" w:ascii="宋体" w:hAnsi="宋体" w:cs="宋体"/>
          <w:color w:val="auto"/>
          <w:highlight w:val="none"/>
        </w:rPr>
      </w:pPr>
      <w:r>
        <w:rPr>
          <w:rFonts w:hint="eastAsia" w:ascii="宋体" w:hAnsi="宋体" w:cs="宋体"/>
          <w:color w:val="auto"/>
          <w:highlight w:val="none"/>
        </w:rPr>
      </w:r>
      <w:r/>
    </w:p>
    <w:tbl>
      <w:tblPr>
        <w:tblStyle w:val="766"/>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授权代表身份证正面复印件</w:t>
            </w:r>
            <w:r/>
          </w:p>
          <w:p>
            <w:pPr>
              <w:pStyle w:val="944"/>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09" w:type="dxa"/>
            <w:textDirection w:val="lrTb"/>
            <w:noWrap w:val="false"/>
          </w:tcPr>
          <w:p>
            <w:pPr>
              <w:pStyle w:val="944"/>
              <w:spacing w:line="360" w:lineRule="exact"/>
              <w:rPr>
                <w:rFonts w:hint="eastAsia" w:ascii="宋体" w:hAnsi="宋体" w:cs="宋体"/>
                <w:color w:val="auto"/>
                <w:highlight w:val="none"/>
              </w:rPr>
            </w:pPr>
            <w:r>
              <w:rPr>
                <w:rFonts w:hint="eastAsia" w:ascii="宋体" w:hAnsi="宋体" w:cs="宋体"/>
                <w:color w:val="auto"/>
                <w:highlight w:val="none"/>
              </w:rPr>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加</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盖</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CA</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电</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子</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章</w:t>
            </w:r>
            <w:r/>
          </w:p>
          <w:p>
            <w:pPr>
              <w:pStyle w:val="944"/>
              <w:spacing w:line="360" w:lineRule="exact"/>
              <w:rPr>
                <w:rFonts w:hint="eastAsia" w:ascii="宋体" w:hAnsi="宋体" w:cs="宋体"/>
                <w:color w:val="auto"/>
                <w:highlight w:val="none"/>
              </w:rPr>
            </w:pPr>
            <w:r>
              <w:rPr>
                <w:rFonts w:hint="eastAsia" w:ascii="宋体" w:hAnsi="宋体" w:cs="宋体"/>
                <w:color w:val="auto"/>
                <w:highlight w:val="none"/>
              </w:rPr>
            </w:r>
            <w:r/>
          </w:p>
        </w:tc>
        <w:tc>
          <w:tcPr>
            <w:tcW w:w="3827"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授权代表身份证反面复印件</w:t>
            </w:r>
            <w:r/>
          </w:p>
          <w:p>
            <w:pPr>
              <w:pStyle w:val="944"/>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说明：上述证明文件在响应文件中附有授权代表身份证复印件（身份证两面均应复印，身份证复印件加盖公章）时才能生效。</w:t>
      </w:r>
      <w:r/>
    </w:p>
    <w:p>
      <w:pPr>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26" w:name="_Toc22640"/>
      <w:r>
        <w:rPr>
          <w:rFonts w:hint="eastAsia" w:ascii="宋体" w:hAnsi="宋体" w:cs="宋体"/>
          <w:color w:val="auto"/>
          <w:highlight w:val="none"/>
        </w:rPr>
        <w:t xml:space="preserve">附件3 ：</w:t>
      </w:r>
      <w:bookmarkEnd w:id="126"/>
      <w:r/>
      <w:r/>
    </w:p>
    <w:p>
      <w:pPr>
        <w:pStyle w:val="977"/>
        <w:rPr>
          <w:rFonts w:hint="eastAsia" w:ascii="宋体" w:hAnsi="宋体" w:cs="宋体"/>
          <w:color w:val="auto"/>
          <w:highlight w:val="none"/>
        </w:rPr>
      </w:pPr>
      <w:r>
        <w:rPr>
          <w:rFonts w:hint="eastAsia" w:ascii="宋体" w:hAnsi="宋体" w:cs="宋体"/>
          <w:color w:val="auto"/>
          <w:highlight w:val="none"/>
        </w:rPr>
      </w:r>
      <w:r/>
    </w:p>
    <w:p>
      <w:pPr>
        <w:pStyle w:val="977"/>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参加政府采购活动前 3 年内在经营活动中没有重大违法</w:t>
      </w:r>
      <w:r/>
    </w:p>
    <w:p>
      <w:pPr>
        <w:pStyle w:val="977"/>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记录的书面声明</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27" w:name="_Toc20864"/>
      <w:r/>
      <w:bookmarkStart w:id="128" w:name="_Toc14753"/>
      <w:r/>
      <w:bookmarkStart w:id="129" w:name="_Toc3595"/>
      <w:r/>
      <w:bookmarkStart w:id="130" w:name="_Toc28534"/>
      <w:r>
        <w:rPr>
          <w:rFonts w:hint="eastAsia" w:ascii="宋体" w:hAnsi="宋体" w:cs="宋体"/>
          <w:color w:val="auto"/>
          <w:highlight w:val="none"/>
        </w:rPr>
        <w:t xml:space="preserve">附件4：</w:t>
      </w:r>
      <w:bookmarkEnd w:id="127"/>
      <w:r/>
      <w:bookmarkEnd w:id="128"/>
      <w:r/>
      <w:bookmarkEnd w:id="129"/>
      <w:r/>
      <w:bookmarkEnd w:id="130"/>
      <w:r>
        <w:rPr>
          <w:rFonts w:hint="eastAsia" w:ascii="宋体" w:hAnsi="宋体" w:cs="宋体"/>
          <w:color w:val="auto"/>
          <w:highlight w:val="none"/>
        </w:rPr>
        <w:t xml:space="preserve"> </w:t>
      </w:r>
      <w:r/>
    </w:p>
    <w:p>
      <w:pPr>
        <w:pStyle w:val="957"/>
        <w:jc w:val="center"/>
        <w:widowControl w:val="off"/>
        <w:rPr>
          <w:rFonts w:hint="eastAsia"/>
          <w:color w:val="auto"/>
          <w:sz w:val="32"/>
          <w:szCs w:val="32"/>
          <w:highlight w:val="none"/>
        </w:rPr>
      </w:pPr>
      <w:r>
        <w:rPr>
          <w:rFonts w:hint="eastAsia"/>
          <w:color w:val="auto"/>
          <w:sz w:val="32"/>
          <w:szCs w:val="32"/>
          <w:highlight w:val="none"/>
        </w:rPr>
        <w:t xml:space="preserve">中小企业声明函 </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本公司郑重声明，根据《政府采购促进中小企业发展管理办法》（财库﹝2020﹞46号）的规定，本公司参加</w:t>
      </w:r>
      <w:r>
        <w:rPr>
          <w:rFonts w:hint="eastAsia" w:ascii="宋体" w:hAnsi="宋体" w:eastAsia="宋体" w:cs="宋体"/>
          <w:bCs/>
          <w:color w:val="auto"/>
          <w:sz w:val="21"/>
          <w:szCs w:val="21"/>
          <w:highlight w:val="none"/>
          <w:lang w:val="en-US" w:eastAsia="zh-CN"/>
        </w:rPr>
        <w:t xml:space="preserve">泰州市人民医院</w:t>
      </w:r>
      <w:r>
        <w:rPr>
          <w:rFonts w:hint="eastAsia" w:ascii="宋体" w:hAnsi="宋体" w:eastAsia="宋体" w:cs="宋体"/>
          <w:bCs/>
          <w:color w:val="auto"/>
          <w:sz w:val="21"/>
          <w:szCs w:val="21"/>
          <w:highlight w:val="none"/>
        </w:rPr>
        <w:t xml:space="preserve">的</w:t>
      </w:r>
      <w:r>
        <w:rPr>
          <w:rFonts w:hint="eastAsia" w:ascii="宋体" w:hAnsi="宋体" w:eastAsia="宋体" w:cs="宋体"/>
          <w:bCs/>
          <w:color w:val="auto"/>
          <w:sz w:val="21"/>
          <w:szCs w:val="21"/>
          <w:highlight w:val="none"/>
          <w:u w:val="single"/>
        </w:rPr>
        <w:t xml:space="preserve">（项目名称）</w:t>
      </w:r>
      <w:r>
        <w:rPr>
          <w:rFonts w:hint="eastAsia" w:ascii="宋体" w:hAnsi="宋体" w:eastAsia="宋体" w:cs="宋体"/>
          <w:bCs/>
          <w:color w:val="auto"/>
          <w:sz w:val="21"/>
          <w:szCs w:val="21"/>
          <w:highlight w:val="none"/>
        </w:rPr>
        <w:t xml:space="preserve">采购活动，</w:t>
      </w:r>
      <w:r>
        <w:rPr>
          <w:rFonts w:hint="eastAsia" w:ascii="宋体" w:hAnsi="宋体" w:eastAsia="宋体" w:cs="宋体"/>
          <w:bCs/>
          <w:color w:val="auto"/>
          <w:sz w:val="21"/>
          <w:szCs w:val="21"/>
          <w:highlight w:val="none"/>
          <w:lang w:val="en-US" w:eastAsia="zh-CN"/>
        </w:rPr>
        <w:t xml:space="preserve">提供的货物</w:t>
      </w:r>
      <w:r>
        <w:rPr>
          <w:rFonts w:hint="eastAsia" w:ascii="宋体" w:hAnsi="宋体" w:eastAsia="宋体" w:cs="宋体"/>
          <w:bCs/>
          <w:color w:val="auto"/>
          <w:sz w:val="21"/>
          <w:szCs w:val="21"/>
          <w:highlight w:val="none"/>
        </w:rPr>
        <w:t xml:space="preserve">全部由符合政策要求的中小企业</w:t>
      </w:r>
      <w:r>
        <w:rPr>
          <w:rFonts w:hint="eastAsia" w:ascii="宋体" w:hAnsi="宋体" w:eastAsia="宋体" w:cs="宋体"/>
          <w:bCs/>
          <w:color w:val="auto"/>
          <w:sz w:val="21"/>
          <w:szCs w:val="21"/>
          <w:highlight w:val="none"/>
          <w:lang w:val="en-US" w:eastAsia="zh-CN"/>
        </w:rPr>
        <w:t xml:space="preserve">制造</w:t>
      </w:r>
      <w:r>
        <w:rPr>
          <w:rFonts w:hint="eastAsia" w:ascii="宋体" w:hAnsi="宋体" w:eastAsia="宋体" w:cs="宋体"/>
          <w:bCs/>
          <w:color w:val="auto"/>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u w:val="single"/>
          <w:lang w:val="en-US" w:eastAsia="zh-CN"/>
        </w:rPr>
        <w:t xml:space="preserve">工业行业</w:t>
      </w:r>
      <w:r>
        <w:rPr>
          <w:rFonts w:hint="eastAsia" w:ascii="宋体" w:hAnsi="宋体" w:eastAsia="宋体" w:cs="宋体"/>
          <w:bCs/>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文件中明确的所属行业）</w:t>
      </w:r>
      <w:r>
        <w:rPr>
          <w:rFonts w:hint="eastAsia" w:ascii="宋体" w:hAnsi="宋体" w:eastAsia="宋体" w:cs="宋体"/>
          <w:bCs/>
          <w:color w:val="auto"/>
          <w:sz w:val="21"/>
          <w:szCs w:val="21"/>
          <w:highlight w:val="none"/>
          <w:u w:val="single"/>
          <w:lang w:val="en-US" w:eastAsia="zh-CN"/>
        </w:rPr>
        <w:t xml:space="preserve">行业</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本企业对上述声明</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rPr>
        <w:t xml:space="preserve">的真实性负责。如有虚假，将依法承担相应责任。</w:t>
      </w:r>
      <w:r/>
    </w:p>
    <w:p>
      <w:pPr>
        <w:ind w:right="480" w:firstLine="480"/>
        <w:spacing w:line="360" w:lineRule="auto"/>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exact"/>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spacing w:line="360" w:lineRule="exact"/>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420"/>
        <w:jc w:val="left"/>
        <w:rPr>
          <w:rFonts w:hint="eastAsia" w:ascii="宋体" w:hAnsi="宋体" w:cs="宋体"/>
          <w:color w:val="auto"/>
          <w:szCs w:val="21"/>
          <w:highlight w:val="none"/>
        </w:rPr>
      </w:pPr>
      <w:r>
        <w:rPr>
          <w:rFonts w:hint="eastAsia" w:ascii="宋体" w:hAnsi="宋体" w:cs="宋体"/>
          <w:color w:val="auto"/>
          <w:highlight w:val="none"/>
        </w:rPr>
        <w:t xml:space="preserve">2.中小微企业划型标准请对照《关于印发中小企业划型标准规定的通知》（工信部联企业〔2011〕300号），文件网址如下：https://www.miit.gov.cn/jgsj/qyj/wjfb/art/2011/art_235af1ade45c4865957adeed23f9d949.html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 xml:space="preserve">。</w:t>
      </w:r>
      <w:r/>
    </w:p>
    <w:p>
      <w:pPr>
        <w:rPr>
          <w:rFonts w:hint="eastAsia" w:ascii="宋体" w:hAnsi="宋体" w:cs="宋体"/>
          <w:color w:val="auto"/>
          <w:highlight w:val="none"/>
        </w:rPr>
      </w:pPr>
      <w:r>
        <w:rPr>
          <w:rFonts w:hint="eastAsia" w:ascii="宋体" w:hAnsi="宋体" w:cs="宋体"/>
          <w:color w:val="auto"/>
          <w:highlight w:val="none"/>
        </w:rPr>
        <w:t xml:space="preserve">本项目采购标的所属行业为</w:t>
      </w:r>
      <w:r>
        <w:rPr>
          <w:rFonts w:hint="eastAsia" w:ascii="宋体" w:hAnsi="宋体" w:cs="宋体"/>
          <w:color w:val="auto"/>
          <w:highlight w:val="none"/>
          <w:u w:val="single"/>
          <w:lang w:val="en-US" w:eastAsia="zh-CN"/>
        </w:rPr>
        <w:t xml:space="preserve">工</w:t>
      </w:r>
      <w:r>
        <w:rPr>
          <w:rFonts w:hint="eastAsia" w:ascii="宋体" w:hAnsi="宋体" w:cs="宋体"/>
          <w:color w:val="auto"/>
          <w:highlight w:val="none"/>
          <w:u w:val="single"/>
        </w:rPr>
        <w:t xml:space="preserve">业 </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57"/>
        <w:widowControl w:val="off"/>
        <w:rPr>
          <w:rFonts w:hint="eastAsia"/>
          <w:color w:val="auto"/>
          <w:highlight w:val="none"/>
        </w:rPr>
      </w:pPr>
      <w:r>
        <w:rPr>
          <w:rFonts w:hint="eastAsia"/>
          <w:color w:val="auto"/>
          <w:highlight w:val="none"/>
          <w:u w:val="single"/>
        </w:rPr>
        <w:br w:type="page" w:clear="all"/>
      </w:r>
      <w:r>
        <w:rPr>
          <w:rFonts w:hint="eastAsia"/>
          <w:color w:val="auto"/>
          <w:highlight w:val="none"/>
        </w:rPr>
        <w:t xml:space="preserve">附件5：</w:t>
      </w:r>
      <w:r/>
    </w:p>
    <w:p>
      <w:pPr>
        <w:pStyle w:val="957"/>
        <w:jc w:val="center"/>
        <w:widowControl w:val="off"/>
        <w:rPr>
          <w:rFonts w:hint="eastAsia"/>
          <w:color w:val="auto"/>
          <w:sz w:val="32"/>
          <w:szCs w:val="32"/>
          <w:highlight w:val="none"/>
        </w:rPr>
      </w:pPr>
      <w:r>
        <w:rPr>
          <w:rFonts w:hint="eastAsia"/>
          <w:color w:val="auto"/>
          <w:sz w:val="32"/>
          <w:szCs w:val="32"/>
          <w:highlight w:val="none"/>
        </w:rPr>
        <w:t xml:space="preserve">残疾人福利性单位声明函</w:t>
      </w:r>
      <w:r/>
    </w:p>
    <w:p>
      <w:pPr>
        <w:pStyle w:val="951"/>
        <w:ind w:firstLine="420"/>
        <w:rPr>
          <w:rFonts w:hint="eastAsia" w:hAnsi="宋体" w:cs="宋体"/>
          <w:color w:val="auto"/>
          <w:highlight w:val="none"/>
        </w:rPr>
      </w:pPr>
      <w:r>
        <w:rPr>
          <w:rFonts w:hint="eastAsia"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 xml:space="preserve">单位的</w:t>
      </w:r>
      <w:r>
        <w:rPr>
          <w:rFonts w:hint="eastAsia" w:hAnsi="宋体" w:cs="宋体"/>
          <w:color w:val="auto"/>
          <w:highlight w:val="none"/>
          <w:u w:val="single"/>
        </w:rPr>
        <w:t xml:space="preserve">            </w:t>
      </w:r>
      <w:r>
        <w:rPr>
          <w:rFonts w:hint="eastAsia" w:hAnsi="宋体" w:cs="宋体"/>
          <w:color w:val="auto"/>
          <w:highlight w:val="none"/>
        </w:rPr>
        <w:t xml:space="preserve">项目采购活动提供服务。</w:t>
      </w:r>
      <w:r/>
    </w:p>
    <w:p>
      <w:pPr>
        <w:pStyle w:val="951"/>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1.非残疾人福利性单位不需提供此声明函。</w:t>
      </w:r>
      <w:r/>
    </w:p>
    <w:p>
      <w:pPr>
        <w:pStyle w:val="951"/>
        <w:rPr>
          <w:rFonts w:hint="eastAsia" w:hAnsi="宋体" w:cs="宋体"/>
          <w:color w:val="auto"/>
          <w:highlight w:val="none"/>
        </w:rPr>
      </w:pPr>
      <w:r>
        <w:rPr>
          <w:rFonts w:hint="eastAsia" w:hAnsi="宋体" w:cs="宋体"/>
          <w:color w:val="auto"/>
          <w:highlight w:val="none"/>
        </w:rPr>
      </w:r>
      <w:r/>
    </w:p>
    <w:p>
      <w:pPr>
        <w:pStyle w:val="951"/>
        <w:rPr>
          <w:rFonts w:hint="eastAsia" w:hAnsi="宋体" w:cs="宋体"/>
          <w:color w:val="auto"/>
          <w:highlight w:val="none"/>
        </w:rPr>
      </w:pPr>
      <w:r>
        <w:rPr>
          <w:rFonts w:hint="eastAsia" w:hAnsi="宋体" w:cs="宋体"/>
          <w:color w:val="auto"/>
          <w:highlight w:val="none"/>
        </w:rPr>
      </w:r>
      <w:r/>
    </w:p>
    <w:p>
      <w:pPr>
        <w:pStyle w:val="957"/>
        <w:widowControl w:val="off"/>
        <w:rPr>
          <w:rFonts w:hint="eastAsia"/>
          <w:color w:val="auto"/>
          <w:highlight w:val="none"/>
        </w:rPr>
      </w:pPr>
      <w:r>
        <w:rPr>
          <w:rFonts w:hint="eastAsia"/>
          <w:color w:val="auto"/>
          <w:highlight w:val="none"/>
        </w:rPr>
        <w:br w:type="page" w:clear="all"/>
      </w:r>
      <w:r>
        <w:rPr>
          <w:rFonts w:hint="eastAsia"/>
          <w:color w:val="auto"/>
          <w:highlight w:val="none"/>
        </w:rPr>
        <w:t xml:space="preserve">附件6：</w:t>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t xml:space="preserve">监狱企业声明函</w:t>
      </w:r>
      <w:r/>
    </w:p>
    <w:p>
      <w:pPr>
        <w:pStyle w:val="951"/>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本单位郑重声明，根据《关于政府采购支持监狱企业发展有关问题的通知》（财库〔2014〕68号）的规定，本单位为监狱企业。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951"/>
        <w:ind w:firstLine="420"/>
        <w:rPr>
          <w:rFonts w:hint="eastAsia" w:hAnsi="宋体" w:cs="宋体"/>
          <w:color w:val="auto"/>
          <w:highlight w:val="none"/>
        </w:rPr>
      </w:pPr>
      <w:r>
        <w:rPr>
          <w:rFonts w:hint="eastAsia" w:hAnsi="宋体" w:cs="宋体"/>
          <w:color w:val="auto"/>
          <w:highlight w:val="none"/>
        </w:rPr>
        <w:t xml:space="preserve">本单位参加</w:t>
      </w:r>
      <w:r>
        <w:rPr>
          <w:rFonts w:hint="eastAsia" w:hAnsi="宋体" w:cs="宋体"/>
          <w:color w:val="auto"/>
          <w:highlight w:val="none"/>
          <w:u w:val="single"/>
        </w:rPr>
        <w:t xml:space="preserve">（采购人名称）       </w:t>
      </w:r>
      <w:r>
        <w:rPr>
          <w:rFonts w:hint="eastAsia" w:hAnsi="宋体" w:cs="宋体"/>
          <w:color w:val="auto"/>
          <w:highlight w:val="none"/>
        </w:rPr>
        <w:t xml:space="preserve">单位的</w:t>
      </w:r>
      <w:r>
        <w:rPr>
          <w:rFonts w:hint="eastAsia" w:hAnsi="宋体" w:cs="宋体"/>
          <w:color w:val="auto"/>
          <w:highlight w:val="none"/>
          <w:u w:val="single"/>
        </w:rPr>
        <w:t xml:space="preserve">（项目名称）         </w:t>
      </w:r>
      <w:r>
        <w:rPr>
          <w:rFonts w:hint="eastAsia" w:hAnsi="宋体" w:cs="宋体"/>
          <w:color w:val="auto"/>
          <w:highlight w:val="none"/>
        </w:rPr>
        <w:t xml:space="preserve">项目的采购活动，并由本单位为本项目提供服务。</w:t>
      </w:r>
      <w:r/>
    </w:p>
    <w:p>
      <w:pPr>
        <w:pStyle w:val="951"/>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pStyle w:val="951"/>
        <w:rPr>
          <w:rFonts w:hint="eastAsia" w:hAnsi="宋体" w:cs="宋体"/>
          <w:color w:val="auto"/>
          <w:highlight w:val="none"/>
        </w:rPr>
      </w:pPr>
      <w:r>
        <w:rPr>
          <w:rFonts w:hint="eastAsia" w:hAnsi="宋体" w:cs="宋体"/>
          <w:color w:val="auto"/>
          <w:highlight w:val="none"/>
        </w:rPr>
      </w:r>
      <w:r/>
    </w:p>
    <w:p>
      <w:pPr>
        <w:pStyle w:val="951"/>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pStyle w:val="951"/>
        <w:rPr>
          <w:rFonts w:hint="eastAsia" w:hAnsi="宋体" w:cs="宋体"/>
          <w:color w:val="auto"/>
          <w:highlight w:val="none"/>
        </w:rPr>
      </w:pPr>
      <w:r>
        <w:rPr>
          <w:rFonts w:hint="eastAsia" w:hAnsi="宋体" w:cs="宋体"/>
          <w:color w:val="auto"/>
          <w:highlight w:val="none"/>
        </w:rPr>
      </w:r>
      <w:r/>
    </w:p>
    <w:p>
      <w:pPr>
        <w:pStyle w:val="951"/>
        <w:ind w:firstLine="420"/>
        <w:rPr>
          <w:rFonts w:hint="eastAsia" w:hAnsi="宋体" w:cs="宋体"/>
          <w:color w:val="auto"/>
          <w:highlight w:val="none"/>
        </w:rPr>
      </w:pPr>
      <w:r>
        <w:rPr>
          <w:rFonts w:hint="eastAsia"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3.非监狱企业不需提供此声明函。</w:t>
      </w:r>
      <w:r/>
    </w:p>
    <w:p>
      <w:pPr>
        <w:rPr>
          <w:rFonts w:hint="eastAsia" w:ascii="宋体" w:hAnsi="宋体" w:cs="宋体"/>
          <w:color w:val="auto"/>
          <w:highlight w:val="none"/>
        </w:rPr>
      </w:pPr>
      <w:r>
        <w:rPr>
          <w:rFonts w:hint="eastAsia" w:ascii="宋体" w:hAnsi="宋体" w:cs="宋体"/>
          <w:color w:val="auto"/>
          <w:highlight w:val="none"/>
        </w:rPr>
      </w:r>
      <w:r/>
    </w:p>
    <w:p>
      <w:pPr>
        <w:pStyle w:val="957"/>
        <w:widowControl w:val="off"/>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31" w:name="_Toc56409114"/>
      <w:r/>
      <w:bookmarkStart w:id="132" w:name="_Toc440442375"/>
      <w:r/>
      <w:bookmarkStart w:id="133" w:name="_Toc56141898"/>
      <w:r/>
      <w:bookmarkStart w:id="134" w:name="_Toc55639393"/>
      <w:r/>
      <w:bookmarkStart w:id="135" w:name="_Toc439777159"/>
      <w:r/>
      <w:bookmarkStart w:id="136" w:name="_Toc59900983"/>
      <w:r/>
      <w:bookmarkStart w:id="137" w:name="_Toc59896715"/>
      <w:r/>
      <w:bookmarkStart w:id="138" w:name="_Toc55707673"/>
      <w:r/>
      <w:bookmarkStart w:id="139" w:name="_Toc54372071"/>
      <w:r/>
      <w:bookmarkStart w:id="140" w:name="_Toc55654540"/>
      <w:r/>
      <w:bookmarkStart w:id="141" w:name="_Toc55705168"/>
      <w:r/>
      <w:bookmarkStart w:id="142" w:name="_Toc439777351"/>
      <w:r/>
      <w:bookmarkStart w:id="143" w:name="_Toc56139088"/>
      <w:r/>
      <w:bookmarkStart w:id="144" w:name="_Toc56153862"/>
      <w:r/>
      <w:bookmarkStart w:id="145" w:name="_Toc434481560"/>
      <w:r/>
      <w:bookmarkStart w:id="146" w:name="_Toc54372237"/>
      <w:r/>
      <w:bookmarkStart w:id="147" w:name="_Toc54372655"/>
      <w:r>
        <w:rPr>
          <w:rFonts w:hint="eastAsia"/>
          <w:color w:val="auto"/>
          <w:highlight w:val="none"/>
        </w:rPr>
        <w:t xml:space="preserve">附件7：</w:t>
      </w:r>
      <w:r/>
    </w:p>
    <w:p>
      <w:pPr>
        <w:pStyle w:val="957"/>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95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7"/>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949"/>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erReference w:type="default" r:id="rId9"/>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1"/>
          <w:szCs w:val="21"/>
          <w:highlight w:val="none"/>
          <w:lang w:val="en-US" w:eastAsia="zh-CN" w:bidi="ar"/>
        </w:rPr>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t xml:space="preserve">具备履行合同所必需的设备和专业技术能力的书面声明</w:t>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r>
      <w:r/>
    </w:p>
    <w:p>
      <w:pPr>
        <w:pStyle w:val="977"/>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在此承诺：</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附件8：</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磋商响应函</w:t>
      </w:r>
      <w:r/>
    </w:p>
    <w:p>
      <w:pPr>
        <w:pStyle w:val="966"/>
        <w:ind w:firstLine="0"/>
        <w:spacing w:line="360" w:lineRule="exact"/>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（采购人）</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（姓名和职务）代表我方______________（供应商的名称），全权处理本项目磋商采购的有关事宜。</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1.按磋商文件规定的各项要求，向采购人提供所需服务。</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6.一旦我方成交，我方将根据磋商文件的规定，严格履行合同的责任和义务，并保证在磋商文件规定的时间内完成项目，交付采购人验收、使用。</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7.遵守磋商文件中要求的收费项目和标准。</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8.与本次磋商采购有关的正式通讯地址为：</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                         邮编：</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                         传真：</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r/>
    </w:p>
    <w:p>
      <w:pPr>
        <w:pStyle w:val="977"/>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联系电话：</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（加盖CA电子章）：</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exact"/>
        <w:rPr>
          <w:rFonts w:hint="eastAsia" w:ascii="宋体" w:hAnsi="宋体" w:cs="宋体"/>
          <w:color w:val="auto"/>
          <w:highlight w:val="none"/>
        </w:rPr>
      </w:pPr>
      <w:r>
        <w:rPr>
          <w:rFonts w:hint="eastAsia" w:ascii="宋体" w:hAnsi="宋体" w:cs="宋体"/>
          <w:color w:val="auto"/>
          <w:highlight w:val="none"/>
        </w:rPr>
        <w:br w:type="page" w:clear="all"/>
      </w:r>
      <w:r/>
    </w:p>
    <w:p>
      <w:pPr>
        <w:rPr>
          <w:rFonts w:hint="eastAsia" w:ascii="宋体" w:hAnsi="宋体" w:cs="宋体"/>
          <w:color w:val="auto"/>
          <w:highlight w:val="none"/>
        </w:rPr>
      </w:pPr>
      <w:r/>
      <w:bookmarkStart w:id="148" w:name="_Toc12269"/>
      <w:r/>
      <w:bookmarkStart w:id="149" w:name="_Toc26371"/>
      <w:r/>
      <w:bookmarkStart w:id="150" w:name="_Toc7712"/>
      <w:r>
        <w:rPr>
          <w:rFonts w:hint="eastAsia" w:ascii="宋体" w:hAnsi="宋体" w:cs="宋体"/>
          <w:color w:val="auto"/>
          <w:highlight w:val="none"/>
        </w:rPr>
        <w:t xml:space="preserve">附件9：</w:t>
      </w:r>
      <w:bookmarkEnd w:id="148"/>
      <w:r/>
      <w:bookmarkEnd w:id="149"/>
      <w:r/>
      <w:bookmarkEnd w:id="150"/>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 xml:space="preserve">技术</w:t>
      </w:r>
      <w:r>
        <w:rPr>
          <w:rFonts w:hint="eastAsia" w:ascii="宋体" w:hAnsi="宋体" w:cs="宋体"/>
          <w:color w:val="auto"/>
          <w:sz w:val="32"/>
          <w:szCs w:val="32"/>
          <w:highlight w:val="none"/>
          <w:lang w:val="zh-CN"/>
        </w:rPr>
        <w:t xml:space="preserve">及商务响应偏离表</w:t>
      </w:r>
      <w:r/>
    </w:p>
    <w:tbl>
      <w:tblPr>
        <w:tblStyle w:val="766"/>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265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项目需求</w:t>
            </w:r>
            <w:r/>
          </w:p>
        </w:tc>
        <w:tc>
          <w:tcPr>
            <w:tcW w:w="2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响应情况</w:t>
            </w:r>
            <w:r/>
          </w:p>
        </w:tc>
        <w:tc>
          <w:tcPr>
            <w:tcW w:w="206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偏离说明</w:t>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w:t>
      </w:r>
      <w:r/>
    </w:p>
    <w:p>
      <w:pPr>
        <w:ind w:firstLine="420"/>
        <w:rPr>
          <w:rFonts w:hint="eastAsia" w:ascii="宋体" w:hAnsi="宋体" w:cs="宋体"/>
          <w:color w:val="auto"/>
          <w:highlight w:val="none"/>
        </w:rPr>
      </w:pPr>
      <w:r>
        <w:rPr>
          <w:rFonts w:hint="eastAsia" w:ascii="宋体" w:hAnsi="宋体" w:cs="宋体"/>
          <w:color w:val="auto"/>
          <w:highlight w:val="none"/>
        </w:rPr>
        <w:t xml:space="preserve">1.本表即为对本磋商文件中提出的</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及商务需求进行比较和响应；其中</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需求主要包含</w:t>
      </w:r>
      <w:r>
        <w:rPr>
          <w:rFonts w:hint="eastAsia" w:ascii="宋体" w:hAnsi="宋体" w:cs="宋体"/>
          <w:color w:val="auto"/>
          <w:highlight w:val="none"/>
          <w:lang w:val="en-US" w:eastAsia="zh-CN"/>
        </w:rPr>
        <w:t xml:space="preserve">配置及技术参数</w:t>
      </w:r>
      <w:r>
        <w:rPr>
          <w:rFonts w:hint="eastAsia" w:ascii="宋体" w:hAnsi="宋体" w:cs="宋体"/>
          <w:color w:val="auto"/>
          <w:highlight w:val="none"/>
        </w:rPr>
        <w:t xml:space="preserve">，商务需求主要包括供应商资格、合同期限、合同报价、支付方式及评审办法中所提出的评审要求等。</w:t>
      </w:r>
      <w:r/>
    </w:p>
    <w:p>
      <w:pPr>
        <w:ind w:firstLine="315"/>
        <w:rPr>
          <w:rFonts w:hint="eastAsia" w:ascii="宋体" w:hAnsi="宋体" w:cs="宋体"/>
          <w:color w:val="auto"/>
          <w:highlight w:val="none"/>
        </w:rPr>
      </w:pPr>
      <w:r>
        <w:rPr>
          <w:rFonts w:hint="eastAsia" w:ascii="宋体" w:hAnsi="宋体" w:cs="宋体"/>
          <w:color w:val="auto"/>
          <w:highlight w:val="none"/>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color w:val="auto"/>
          <w:highlight w:val="none"/>
        </w:rPr>
      </w:pPr>
      <w:r>
        <w:rPr>
          <w:rFonts w:hint="eastAsia" w:ascii="宋体" w:hAnsi="宋体" w:cs="宋体"/>
          <w:color w:val="auto"/>
          <w:highlight w:val="none"/>
        </w:rPr>
        <w:t xml:space="preserve">3.该表可扩展，并逐页签字或盖章。</w:t>
      </w:r>
      <w:r/>
    </w:p>
    <w:p>
      <w:pPr>
        <w:ind w:firstLine="315"/>
        <w:rPr>
          <w:rFonts w:hint="eastAsia" w:ascii="宋体" w:hAnsi="宋体" w:cs="宋体"/>
          <w:color w:val="auto"/>
          <w:highlight w:val="none"/>
        </w:rPr>
      </w:pPr>
      <w:r>
        <w:rPr>
          <w:rFonts w:hint="eastAsia" w:ascii="宋体" w:hAnsi="宋体" w:cs="宋体"/>
          <w:color w:val="auto"/>
          <w:highlight w:val="none"/>
        </w:rPr>
        <w:t xml:space="preserve">4.可附相关技术支撑材料。（格式自定）</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sectPr>
      <w:footerReference w:type="default" r:id="rId10"/>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仿宋">
    <w:panose1 w:val="02010609060101010101"/>
  </w:font>
  <w:font w:name="方正黑体_GBK">
    <w:panose1 w:val="020B0503020202020204"/>
  </w:font>
  <w:font w:name="Adobe 仿宋 Std R">
    <w:panose1 w:val="020B0503020202020204"/>
  </w:font>
  <w:font w:name="Cambria">
    <w:panose1 w:val="02040503050406030204"/>
  </w:font>
  <w:font w:name="楷体_GB2312">
    <w:panose1 w:val="02010609060101010101"/>
  </w:font>
  <w:font w:name="Verdana">
    <w:panose1 w:val="020B0604030504040204"/>
  </w:font>
  <w:font w:name="黑体">
    <w:panose1 w:val="02010609060101010101"/>
  </w:font>
  <w:font w:name="幼圆">
    <w:panose1 w:val="020105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49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954"/>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954"/>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5"/>
    <w:link w:val="756"/>
    <w:uiPriority w:val="9"/>
    <w:rPr>
      <w:rFonts w:ascii="Arial" w:hAnsi="Arial" w:eastAsia="Arial" w:cs="Arial"/>
      <w:sz w:val="40"/>
      <w:szCs w:val="40"/>
    </w:rPr>
  </w:style>
  <w:style w:type="character" w:styleId="719">
    <w:name w:val="Heading 2 Char"/>
    <w:basedOn w:val="765"/>
    <w:link w:val="757"/>
    <w:uiPriority w:val="9"/>
    <w:rPr>
      <w:rFonts w:ascii="Arial" w:hAnsi="Arial" w:eastAsia="Arial" w:cs="Arial"/>
      <w:sz w:val="34"/>
    </w:rPr>
  </w:style>
  <w:style w:type="character" w:styleId="720">
    <w:name w:val="Heading 3 Char"/>
    <w:basedOn w:val="765"/>
    <w:link w:val="758"/>
    <w:uiPriority w:val="9"/>
    <w:rPr>
      <w:rFonts w:ascii="Arial" w:hAnsi="Arial" w:eastAsia="Arial" w:cs="Arial"/>
      <w:sz w:val="30"/>
      <w:szCs w:val="30"/>
    </w:rPr>
  </w:style>
  <w:style w:type="character" w:styleId="721">
    <w:name w:val="Heading 4 Char"/>
    <w:basedOn w:val="765"/>
    <w:link w:val="759"/>
    <w:uiPriority w:val="9"/>
    <w:rPr>
      <w:rFonts w:ascii="Arial" w:hAnsi="Arial" w:eastAsia="Arial" w:cs="Arial"/>
      <w:b/>
      <w:bCs/>
      <w:sz w:val="26"/>
      <w:szCs w:val="26"/>
    </w:rPr>
  </w:style>
  <w:style w:type="character" w:styleId="722">
    <w:name w:val="Heading 5 Char"/>
    <w:basedOn w:val="765"/>
    <w:link w:val="760"/>
    <w:uiPriority w:val="9"/>
    <w:rPr>
      <w:rFonts w:ascii="Arial" w:hAnsi="Arial" w:eastAsia="Arial" w:cs="Arial"/>
      <w:b/>
      <w:bCs/>
      <w:sz w:val="24"/>
      <w:szCs w:val="24"/>
    </w:rPr>
  </w:style>
  <w:style w:type="character" w:styleId="723">
    <w:name w:val="Heading 6 Char"/>
    <w:basedOn w:val="765"/>
    <w:link w:val="761"/>
    <w:uiPriority w:val="9"/>
    <w:rPr>
      <w:rFonts w:ascii="Arial" w:hAnsi="Arial" w:eastAsia="Arial" w:cs="Arial"/>
      <w:b/>
      <w:bCs/>
      <w:sz w:val="22"/>
      <w:szCs w:val="22"/>
    </w:rPr>
  </w:style>
  <w:style w:type="character" w:styleId="724">
    <w:name w:val="Heading 7 Char"/>
    <w:basedOn w:val="765"/>
    <w:link w:val="762"/>
    <w:uiPriority w:val="9"/>
    <w:rPr>
      <w:rFonts w:ascii="Arial" w:hAnsi="Arial" w:eastAsia="Arial" w:cs="Arial"/>
      <w:b/>
      <w:bCs/>
      <w:i/>
      <w:iCs/>
      <w:sz w:val="22"/>
      <w:szCs w:val="22"/>
    </w:rPr>
  </w:style>
  <w:style w:type="character" w:styleId="725">
    <w:name w:val="Heading 8 Char"/>
    <w:basedOn w:val="765"/>
    <w:link w:val="763"/>
    <w:uiPriority w:val="9"/>
    <w:rPr>
      <w:rFonts w:ascii="Arial" w:hAnsi="Arial" w:eastAsia="Arial" w:cs="Arial"/>
      <w:i/>
      <w:iCs/>
      <w:sz w:val="22"/>
      <w:szCs w:val="22"/>
    </w:rPr>
  </w:style>
  <w:style w:type="character" w:styleId="726">
    <w:name w:val="Heading 9 Char"/>
    <w:basedOn w:val="765"/>
    <w:link w:val="764"/>
    <w:uiPriority w:val="9"/>
    <w:rPr>
      <w:rFonts w:ascii="Arial" w:hAnsi="Arial" w:eastAsia="Arial" w:cs="Arial"/>
      <w:i/>
      <w:iCs/>
      <w:sz w:val="21"/>
      <w:szCs w:val="21"/>
    </w:rPr>
  </w:style>
  <w:style w:type="character" w:styleId="727">
    <w:name w:val="Title Char"/>
    <w:basedOn w:val="765"/>
    <w:link w:val="788"/>
    <w:uiPriority w:val="10"/>
    <w:rPr>
      <w:sz w:val="48"/>
      <w:szCs w:val="48"/>
    </w:rPr>
  </w:style>
  <w:style w:type="character" w:styleId="728">
    <w:name w:val="Subtitle Char"/>
    <w:basedOn w:val="765"/>
    <w:link w:val="781"/>
    <w:uiPriority w:val="11"/>
    <w:rPr>
      <w:sz w:val="24"/>
      <w:szCs w:val="24"/>
    </w:rPr>
  </w:style>
  <w:style w:type="character" w:styleId="729">
    <w:name w:val="Quote Char"/>
    <w:link w:val="807"/>
    <w:uiPriority w:val="29"/>
    <w:rPr>
      <w:i/>
    </w:rPr>
  </w:style>
  <w:style w:type="character" w:styleId="730">
    <w:name w:val="Intense Quote Char"/>
    <w:link w:val="809"/>
    <w:uiPriority w:val="30"/>
    <w:rPr>
      <w:i/>
    </w:rPr>
  </w:style>
  <w:style w:type="character" w:styleId="731">
    <w:name w:val="Header Char"/>
    <w:basedOn w:val="765"/>
    <w:link w:val="778"/>
    <w:uiPriority w:val="99"/>
  </w:style>
  <w:style w:type="character" w:styleId="732">
    <w:name w:val="Caption Char"/>
    <w:basedOn w:val="769"/>
    <w:link w:val="777"/>
    <w:uiPriority w:val="99"/>
  </w:style>
  <w:style w:type="table" w:styleId="733">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1">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2">
    <w:name w:val="Footnote Text Char"/>
    <w:link w:val="782"/>
    <w:uiPriority w:val="99"/>
    <w:rPr>
      <w:sz w:val="18"/>
    </w:rPr>
  </w:style>
  <w:style w:type="character" w:styleId="753">
    <w:name w:val="Endnote Text Char"/>
    <w:link w:val="776"/>
    <w:uiPriority w:val="99"/>
    <w:rPr>
      <w:sz w:val="20"/>
    </w:rPr>
  </w:style>
  <w:style w:type="paragraph" w:styleId="754">
    <w:name w:val="TOC Heading"/>
    <w:uiPriority w:val="39"/>
    <w:unhideWhenUsed/>
  </w:style>
  <w:style w:type="paragraph" w:styleId="755" w:default="1">
    <w:name w:val="Normal"/>
    <w:link w:val="996"/>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756">
    <w:name w:val="Heading 1"/>
    <w:basedOn w:val="755"/>
    <w:next w:val="755"/>
    <w:link w:val="794"/>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5"/>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6"/>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7"/>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8"/>
    <w:uiPriority w:val="9"/>
    <w:unhideWhenUsed/>
    <w:qFormat/>
    <w:pPr>
      <w:keepLines/>
      <w:keepNext/>
      <w:spacing w:before="320" w:after="200"/>
      <w:outlineLvl w:val="4"/>
    </w:pPr>
    <w:rPr>
      <w:rFonts w:ascii="Arial" w:hAnsi="Arial" w:eastAsia="Arial" w:cs="Arial"/>
      <w:b/>
      <w:bCs/>
      <w:sz w:val="24"/>
    </w:rPr>
  </w:style>
  <w:style w:type="paragraph" w:styleId="761">
    <w:name w:val="Heading 6"/>
    <w:basedOn w:val="755"/>
    <w:next w:val="755"/>
    <w:link w:val="799"/>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01"/>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02"/>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spacing w:after="57"/>
    </w:pPr>
  </w:style>
  <w:style w:type="paragraph" w:styleId="768">
    <w:name w:val="Normal Indent"/>
    <w:basedOn w:val="755"/>
    <w:next w:val="755"/>
    <w:link w:val="991"/>
    <w:uiPriority w:val="0"/>
    <w:qFormat/>
    <w:pPr>
      <w:ind w:firstLine="420"/>
      <w:spacing w:line="240" w:lineRule="auto"/>
    </w:pPr>
    <w:rPr>
      <w:szCs w:val="20"/>
    </w:rPr>
  </w:style>
  <w:style w:type="paragraph" w:styleId="769">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annotation text"/>
    <w:basedOn w:val="755"/>
    <w:uiPriority w:val="0"/>
    <w:qFormat/>
    <w:pPr>
      <w:jc w:val="left"/>
    </w:pPr>
  </w:style>
  <w:style w:type="paragraph" w:styleId="771">
    <w:name w:val="Body Text"/>
    <w:basedOn w:val="755"/>
    <w:next w:val="772"/>
    <w:uiPriority w:val="0"/>
    <w:qFormat/>
    <w:pPr>
      <w:spacing w:after="120"/>
    </w:pPr>
  </w:style>
  <w:style w:type="paragraph" w:styleId="772">
    <w:name w:val="toc 2"/>
    <w:basedOn w:val="755"/>
    <w:next w:val="755"/>
    <w:uiPriority w:val="39"/>
    <w:unhideWhenUsed/>
    <w:qFormat/>
    <w:pPr>
      <w:ind w:left="283"/>
      <w:spacing w:after="57"/>
    </w:pPr>
  </w:style>
  <w:style w:type="paragraph" w:styleId="773">
    <w:name w:val="toc 5"/>
    <w:basedOn w:val="755"/>
    <w:next w:val="755"/>
    <w:uiPriority w:val="39"/>
    <w:unhideWhenUsed/>
    <w:qFormat/>
    <w:pPr>
      <w:ind w:left="1134"/>
      <w:spacing w:after="57"/>
    </w:pPr>
  </w:style>
  <w:style w:type="paragraph" w:styleId="774">
    <w:name w:val="toc 3"/>
    <w:basedOn w:val="755"/>
    <w:next w:val="755"/>
    <w:uiPriority w:val="39"/>
    <w:unhideWhenUsed/>
    <w:qFormat/>
    <w:pPr>
      <w:ind w:left="567"/>
      <w:spacing w:after="57"/>
    </w:pPr>
  </w:style>
  <w:style w:type="paragraph" w:styleId="775">
    <w:name w:val="toc 8"/>
    <w:basedOn w:val="755"/>
    <w:next w:val="755"/>
    <w:uiPriority w:val="39"/>
    <w:unhideWhenUsed/>
    <w:qFormat/>
    <w:pPr>
      <w:ind w:left="1984"/>
      <w:spacing w:after="57"/>
    </w:pPr>
  </w:style>
  <w:style w:type="paragraph" w:styleId="776">
    <w:name w:val="endnote text"/>
    <w:basedOn w:val="755"/>
    <w:link w:val="940"/>
    <w:uiPriority w:val="99"/>
    <w:semiHidden/>
    <w:unhideWhenUsed/>
    <w:qFormat/>
    <w:pPr>
      <w:spacing w:line="240" w:lineRule="auto"/>
    </w:pPr>
    <w:rPr>
      <w:sz w:val="20"/>
    </w:rPr>
  </w:style>
  <w:style w:type="paragraph" w:styleId="777">
    <w:name w:val="Footer"/>
    <w:basedOn w:val="755"/>
    <w:link w:val="813"/>
    <w:uiPriority w:val="99"/>
    <w:unhideWhenUsed/>
    <w:qFormat/>
    <w:pPr>
      <w:spacing w:line="240" w:lineRule="auto"/>
      <w:tabs>
        <w:tab w:val="center" w:pos="7143" w:leader="none"/>
        <w:tab w:val="right" w:pos="14287" w:leader="none"/>
      </w:tabs>
    </w:pPr>
  </w:style>
  <w:style w:type="paragraph" w:styleId="778">
    <w:name w:val="Header"/>
    <w:basedOn w:val="755"/>
    <w:link w:val="811"/>
    <w:uiPriority w:val="99"/>
    <w:unhideWhenUsed/>
    <w:qFormat/>
    <w:pPr>
      <w:spacing w:line="240" w:lineRule="auto"/>
      <w:tabs>
        <w:tab w:val="center" w:pos="7143" w:leader="none"/>
        <w:tab w:val="right" w:pos="14287" w:leader="none"/>
      </w:tabs>
    </w:pPr>
  </w:style>
  <w:style w:type="paragraph" w:styleId="779">
    <w:name w:val="toc 1"/>
    <w:basedOn w:val="755"/>
    <w:next w:val="755"/>
    <w:uiPriority w:val="39"/>
    <w:unhideWhenUsed/>
    <w:qFormat/>
    <w:pPr>
      <w:spacing w:after="57"/>
    </w:pPr>
  </w:style>
  <w:style w:type="paragraph" w:styleId="780">
    <w:name w:val="toc 4"/>
    <w:basedOn w:val="755"/>
    <w:next w:val="755"/>
    <w:uiPriority w:val="39"/>
    <w:unhideWhenUsed/>
    <w:qFormat/>
    <w:pPr>
      <w:ind w:left="850"/>
      <w:spacing w:after="57"/>
    </w:pPr>
  </w:style>
  <w:style w:type="paragraph" w:styleId="781">
    <w:name w:val="Subtitle"/>
    <w:basedOn w:val="755"/>
    <w:next w:val="755"/>
    <w:link w:val="806"/>
    <w:uiPriority w:val="11"/>
    <w:qFormat/>
    <w:pPr>
      <w:spacing w:before="200" w:after="200"/>
    </w:pPr>
    <w:rPr>
      <w:sz w:val="24"/>
    </w:rPr>
  </w:style>
  <w:style w:type="paragraph" w:styleId="782">
    <w:name w:val="footnote text"/>
    <w:basedOn w:val="755"/>
    <w:link w:val="939"/>
    <w:uiPriority w:val="99"/>
    <w:semiHidden/>
    <w:unhideWhenUsed/>
    <w:qFormat/>
    <w:pPr>
      <w:spacing w:after="40" w:line="240" w:lineRule="auto"/>
    </w:pPr>
    <w:rPr>
      <w:sz w:val="18"/>
    </w:rPr>
  </w:style>
  <w:style w:type="paragraph" w:styleId="783">
    <w:name w:val="toc 6"/>
    <w:basedOn w:val="755"/>
    <w:next w:val="755"/>
    <w:uiPriority w:val="39"/>
    <w:unhideWhenUsed/>
    <w:qFormat/>
    <w:pPr>
      <w:ind w:left="1417"/>
      <w:spacing w:after="57"/>
    </w:pPr>
  </w:style>
  <w:style w:type="paragraph" w:styleId="784">
    <w:name w:val="table of figures"/>
    <w:basedOn w:val="755"/>
    <w:next w:val="755"/>
    <w:uiPriority w:val="99"/>
    <w:unhideWhenUsed/>
    <w:qFormat/>
  </w:style>
  <w:style w:type="paragraph" w:styleId="785">
    <w:name w:val="toc 9"/>
    <w:basedOn w:val="755"/>
    <w:next w:val="755"/>
    <w:uiPriority w:val="39"/>
    <w:unhideWhenUsed/>
    <w:qFormat/>
    <w:pPr>
      <w:ind w:left="2268"/>
      <w:spacing w:after="57"/>
    </w:pPr>
  </w:style>
  <w:style w:type="paragraph" w:styleId="786">
    <w:name w:val="Body Text 2"/>
    <w:uiPriority w:val="0"/>
    <w:qFormat/>
    <w:pPr>
      <w:spacing w:after="120" w:line="480" w:lineRule="auto"/>
    </w:pPr>
    <w:rPr>
      <w:rFonts w:ascii="Arial" w:hAnsi="Arial" w:eastAsia="Arial" w:cs="Arial"/>
      <w:color w:val="000000"/>
      <w:sz w:val="21"/>
      <w:szCs w:val="21"/>
      <w:lang w:val="en-US" w:eastAsia="en-US" w:bidi="ar-SA"/>
    </w:rPr>
  </w:style>
  <w:style w:type="paragraph" w:styleId="787">
    <w:name w:val="HTML Preformatted"/>
    <w:basedOn w:val="755"/>
    <w:link w:val="992"/>
    <w:uiPriority w:val="99"/>
    <w:semiHidden/>
    <w:unhideWhenUsed/>
    <w:qFormat/>
    <w:rPr>
      <w:rFonts w:ascii="Courier New" w:hAnsi="Courier New" w:cs="Courier New"/>
      <w:sz w:val="20"/>
      <w:szCs w:val="20"/>
    </w:rPr>
  </w:style>
  <w:style w:type="paragraph" w:styleId="788">
    <w:name w:val="Title"/>
    <w:basedOn w:val="755"/>
    <w:next w:val="755"/>
    <w:link w:val="805"/>
    <w:uiPriority w:val="10"/>
    <w:qFormat/>
    <w:pPr>
      <w:contextualSpacing/>
      <w:spacing w:before="300" w:after="200"/>
    </w:pPr>
    <w:rPr>
      <w:sz w:val="48"/>
      <w:szCs w:val="48"/>
    </w:rPr>
  </w:style>
  <w:style w:type="paragraph" w:styleId="789">
    <w:name w:val="Body Text First Indent"/>
    <w:basedOn w:val="771"/>
    <w:uiPriority w:val="99"/>
    <w:unhideWhenUsed/>
    <w:qFormat/>
    <w:pPr>
      <w:ind w:firstLine="200"/>
      <w:spacing w:line="360" w:lineRule="auto"/>
    </w:pPr>
    <w:rPr>
      <w:rFonts w:ascii="仿宋_GB2312" w:hAnsi="Times New Roman" w:eastAsia="仿宋_GB2312"/>
      <w:sz w:val="30"/>
      <w:szCs w:val="30"/>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character" w:styleId="794" w:customStyle="1">
    <w:name w:val="标题 1 字符"/>
    <w:link w:val="756"/>
    <w:uiPriority w:val="9"/>
    <w:qFormat/>
    <w:rPr>
      <w:rFonts w:ascii="Arial" w:hAnsi="Arial" w:eastAsia="Arial" w:cs="Arial"/>
      <w:sz w:val="40"/>
      <w:szCs w:val="40"/>
    </w:rPr>
  </w:style>
  <w:style w:type="character" w:styleId="795" w:customStyle="1">
    <w:name w:val="标题 2 字符"/>
    <w:link w:val="757"/>
    <w:uiPriority w:val="9"/>
    <w:qFormat/>
    <w:rPr>
      <w:rFonts w:ascii="Arial" w:hAnsi="Arial" w:eastAsia="Arial" w:cs="Arial"/>
      <w:sz w:val="34"/>
    </w:rPr>
  </w:style>
  <w:style w:type="character" w:styleId="796" w:customStyle="1">
    <w:name w:val="标题 3 字符"/>
    <w:link w:val="758"/>
    <w:uiPriority w:val="9"/>
    <w:qFormat/>
    <w:rPr>
      <w:rFonts w:ascii="Arial" w:hAnsi="Arial" w:eastAsia="Arial" w:cs="Arial"/>
      <w:sz w:val="30"/>
      <w:szCs w:val="30"/>
    </w:rPr>
  </w:style>
  <w:style w:type="character" w:styleId="797" w:customStyle="1">
    <w:name w:val="标题 4 字符"/>
    <w:link w:val="759"/>
    <w:uiPriority w:val="9"/>
    <w:qFormat/>
    <w:rPr>
      <w:rFonts w:ascii="Arial" w:hAnsi="Arial" w:eastAsia="Arial" w:cs="Arial"/>
      <w:b/>
      <w:bCs/>
      <w:sz w:val="26"/>
      <w:szCs w:val="26"/>
    </w:rPr>
  </w:style>
  <w:style w:type="character" w:styleId="798" w:customStyle="1">
    <w:name w:val="标题 5 字符"/>
    <w:link w:val="760"/>
    <w:uiPriority w:val="9"/>
    <w:qFormat/>
    <w:rPr>
      <w:rFonts w:ascii="Arial" w:hAnsi="Arial" w:eastAsia="Arial" w:cs="Arial"/>
      <w:b/>
      <w:bCs/>
      <w:sz w:val="24"/>
      <w:szCs w:val="24"/>
    </w:rPr>
  </w:style>
  <w:style w:type="character" w:styleId="799" w:customStyle="1">
    <w:name w:val="标题 6 字符"/>
    <w:link w:val="761"/>
    <w:uiPriority w:val="9"/>
    <w:qFormat/>
    <w:rPr>
      <w:rFonts w:ascii="Arial" w:hAnsi="Arial" w:eastAsia="Arial" w:cs="Arial"/>
      <w:b/>
      <w:bCs/>
      <w:sz w:val="22"/>
      <w:szCs w:val="22"/>
    </w:rPr>
  </w:style>
  <w:style w:type="character" w:styleId="800" w:customStyle="1">
    <w:name w:val="标题 7 字符"/>
    <w:link w:val="762"/>
    <w:uiPriority w:val="9"/>
    <w:qFormat/>
    <w:rPr>
      <w:rFonts w:ascii="Arial" w:hAnsi="Arial" w:eastAsia="Arial" w:cs="Arial"/>
      <w:b/>
      <w:bCs/>
      <w:i/>
      <w:iCs/>
      <w:sz w:val="22"/>
      <w:szCs w:val="22"/>
    </w:rPr>
  </w:style>
  <w:style w:type="character" w:styleId="801" w:customStyle="1">
    <w:name w:val="标题 8 字符"/>
    <w:link w:val="763"/>
    <w:uiPriority w:val="9"/>
    <w:qFormat/>
    <w:rPr>
      <w:rFonts w:ascii="Arial" w:hAnsi="Arial" w:eastAsia="Arial" w:cs="Arial"/>
      <w:i/>
      <w:iCs/>
      <w:sz w:val="22"/>
      <w:szCs w:val="22"/>
    </w:rPr>
  </w:style>
  <w:style w:type="character" w:styleId="802" w:customStyle="1">
    <w:name w:val="标题 9 字符"/>
    <w:link w:val="764"/>
    <w:uiPriority w:val="9"/>
    <w:qFormat/>
    <w:rPr>
      <w:rFonts w:ascii="Arial" w:hAnsi="Arial" w:eastAsia="Arial" w:cs="Arial"/>
      <w:i/>
      <w:iCs/>
      <w:sz w:val="21"/>
      <w:szCs w:val="21"/>
    </w:rPr>
  </w:style>
  <w:style w:type="paragraph" w:styleId="803">
    <w:name w:val="List Paragraph"/>
    <w:basedOn w:val="755"/>
    <w:uiPriority w:val="34"/>
    <w:qFormat/>
    <w:pPr>
      <w:contextualSpacing/>
      <w:ind w:left="720"/>
    </w:pPr>
  </w:style>
  <w:style w:type="paragraph" w:styleId="804">
    <w:name w:val="No Spacing"/>
    <w:uiPriority w:val="1"/>
    <w:qFormat/>
    <w:rPr>
      <w:rFonts w:ascii="Times New Roman" w:hAnsi="Times New Roman" w:eastAsia="宋体" w:cs="Times New Roman"/>
      <w:lang w:val="en-US" w:eastAsia="zh-CN" w:bidi="ar-SA"/>
    </w:rPr>
  </w:style>
  <w:style w:type="character" w:styleId="805" w:customStyle="1">
    <w:name w:val="标题 字符"/>
    <w:link w:val="788"/>
    <w:uiPriority w:val="10"/>
    <w:qFormat/>
    <w:rPr>
      <w:sz w:val="48"/>
      <w:szCs w:val="48"/>
    </w:rPr>
  </w:style>
  <w:style w:type="character" w:styleId="806" w:customStyle="1">
    <w:name w:val="副标题 字符"/>
    <w:link w:val="781"/>
    <w:uiPriority w:val="11"/>
    <w:qFormat/>
    <w:rPr>
      <w:sz w:val="24"/>
      <w:szCs w:val="24"/>
    </w:rPr>
  </w:style>
  <w:style w:type="paragraph" w:styleId="807">
    <w:name w:val="Quote"/>
    <w:basedOn w:val="755"/>
    <w:next w:val="755"/>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55"/>
    <w:next w:val="755"/>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页眉 字符"/>
    <w:link w:val="778"/>
    <w:uiPriority w:val="99"/>
    <w:qFormat/>
  </w:style>
  <w:style w:type="character" w:styleId="812" w:customStyle="1">
    <w:name w:val="Footer Char"/>
    <w:uiPriority w:val="99"/>
    <w:qFormat/>
  </w:style>
  <w:style w:type="character" w:styleId="813" w:customStyle="1">
    <w:name w:val="页脚 字符"/>
    <w:link w:val="777"/>
    <w:uiPriority w:val="99"/>
    <w:qFormat/>
  </w:style>
  <w:style w:type="table" w:styleId="8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字符"/>
    <w:link w:val="782"/>
    <w:uiPriority w:val="99"/>
    <w:qFormat/>
    <w:rPr>
      <w:sz w:val="18"/>
    </w:rPr>
  </w:style>
  <w:style w:type="character" w:styleId="940" w:customStyle="1">
    <w:name w:val="尾注文本 字符"/>
    <w:link w:val="776"/>
    <w:uiPriority w:val="99"/>
    <w:qFormat/>
    <w:rPr>
      <w:sz w:val="20"/>
    </w:rPr>
  </w:style>
  <w:style w:type="paragraph" w:styleId="941" w:customStyle="1">
    <w:name w:val="TOC 标题1"/>
    <w:uiPriority w:val="39"/>
    <w:unhideWhenUsed/>
    <w:qFormat/>
    <w:rPr>
      <w:rFonts w:ascii="Times New Roman" w:hAnsi="Times New Roman" w:eastAsia="宋体" w:cs="Times New Roman"/>
      <w:lang w:val="en-US" w:eastAsia="zh-CN" w:bidi="ar-SA"/>
    </w:rPr>
  </w:style>
  <w:style w:type="paragraph" w:styleId="942" w:customStyle="1">
    <w:name w:val="标题 11"/>
    <w:basedOn w:val="755"/>
    <w:next w:val="755"/>
    <w:uiPriority w:val="0"/>
    <w:qFormat/>
    <w:pPr>
      <w:keepNext/>
      <w:outlineLvl w:val="0"/>
    </w:pPr>
    <w:rPr>
      <w:rFonts w:ascii="楷体_GB2312" w:eastAsia="楷体_GB2312"/>
      <w:sz w:val="28"/>
      <w:szCs w:val="20"/>
    </w:rPr>
  </w:style>
  <w:style w:type="paragraph" w:styleId="943" w:customStyle="1">
    <w:name w:val="标题 21"/>
    <w:basedOn w:val="755"/>
    <w:next w:val="755"/>
    <w:uiPriority w:val="0"/>
    <w:qFormat/>
    <w:pPr>
      <w:jc w:val="center"/>
      <w:keepLines/>
      <w:keepNext/>
      <w:spacing w:before="260" w:after="260" w:line="416" w:lineRule="auto"/>
      <w:outlineLvl w:val="1"/>
    </w:pPr>
    <w:rPr>
      <w:rFonts w:ascii="Arial" w:hAnsi="Arial" w:eastAsia="幼圆"/>
      <w:b/>
      <w:sz w:val="44"/>
      <w:szCs w:val="20"/>
    </w:rPr>
  </w:style>
  <w:style w:type="paragraph" w:styleId="944" w:customStyle="1">
    <w:name w:val="正文缩进1"/>
    <w:basedOn w:val="755"/>
    <w:next w:val="755"/>
    <w:uiPriority w:val="0"/>
    <w:qFormat/>
    <w:pPr>
      <w:ind w:firstLine="420"/>
    </w:pPr>
    <w:rPr>
      <w:szCs w:val="21"/>
    </w:rPr>
  </w:style>
  <w:style w:type="paragraph" w:styleId="945" w:customStyle="1">
    <w:name w:val="标题 41"/>
    <w:basedOn w:val="755"/>
    <w:next w:val="755"/>
    <w:uiPriority w:val="0"/>
    <w:qFormat/>
    <w:pPr>
      <w:keepLines/>
      <w:keepNext/>
      <w:spacing w:before="120" w:after="120"/>
      <w:outlineLvl w:val="3"/>
    </w:pPr>
    <w:rPr>
      <w:rFonts w:ascii="Arial" w:hAnsi="Arial" w:eastAsia="黑体"/>
      <w:b/>
      <w:sz w:val="28"/>
    </w:rPr>
  </w:style>
  <w:style w:type="character" w:styleId="946" w:customStyle="1">
    <w:name w:val="默认段落字体1"/>
    <w:uiPriority w:val="0"/>
    <w:semiHidden/>
    <w:qFormat/>
  </w:style>
  <w:style w:type="table" w:styleId="947" w:customStyle="1">
    <w:name w:val="普通表格1"/>
    <w:uiPriority w:val="0"/>
    <w:semiHidden/>
    <w:qFormat/>
    <w:tblPr>
      <w:tblCellMar>
        <w:left w:w="0" w:type="dxa"/>
        <w:top w:w="0" w:type="dxa"/>
        <w:right w:w="0" w:type="dxa"/>
        <w:bottom w:w="0" w:type="dxa"/>
      </w:tblCellMar>
    </w:tblPr>
  </w:style>
  <w:style w:type="paragraph" w:styleId="948" w:customStyle="1">
    <w:name w:val="批注文字1"/>
    <w:basedOn w:val="755"/>
    <w:uiPriority w:val="0"/>
    <w:qFormat/>
    <w:pPr>
      <w:jc w:val="left"/>
    </w:pPr>
  </w:style>
  <w:style w:type="paragraph" w:styleId="949" w:customStyle="1">
    <w:name w:val="正文文本1"/>
    <w:basedOn w:val="755"/>
    <w:uiPriority w:val="0"/>
    <w:qFormat/>
    <w:rPr>
      <w:rFonts w:ascii="楷体_GB2312" w:hAnsi="Arial" w:eastAsia="楷体_GB2312"/>
      <w:sz w:val="28"/>
      <w:szCs w:val="20"/>
    </w:rPr>
  </w:style>
  <w:style w:type="paragraph" w:styleId="950" w:customStyle="1">
    <w:name w:val="正文文本缩进1"/>
    <w:basedOn w:val="755"/>
    <w:uiPriority w:val="0"/>
    <w:qFormat/>
    <w:pPr>
      <w:ind w:firstLine="645"/>
    </w:pPr>
    <w:rPr>
      <w:rFonts w:ascii="楷体_GB2312" w:eastAsia="楷体_GB2312"/>
      <w:sz w:val="32"/>
      <w:szCs w:val="20"/>
    </w:rPr>
  </w:style>
  <w:style w:type="paragraph" w:styleId="951" w:customStyle="1">
    <w:name w:val="纯文本11"/>
    <w:basedOn w:val="755"/>
    <w:uiPriority w:val="0"/>
    <w:qFormat/>
    <w:rPr>
      <w:rFonts w:ascii="宋体" w:hAnsi="Courier New"/>
      <w:szCs w:val="21"/>
      <w:lang w:val="zh-CN"/>
    </w:rPr>
  </w:style>
  <w:style w:type="paragraph" w:styleId="952" w:customStyle="1">
    <w:name w:val="批注框文本1"/>
    <w:basedOn w:val="755"/>
    <w:link w:val="953"/>
    <w:uiPriority w:val="0"/>
    <w:qFormat/>
    <w:pPr>
      <w:spacing w:line="240" w:lineRule="auto"/>
    </w:pPr>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755"/>
    <w:uiPriority w:val="0"/>
    <w:qFormat/>
    <w:pPr>
      <w:jc w:val="left"/>
      <w:tabs>
        <w:tab w:val="center" w:pos="4153" w:leader="none"/>
        <w:tab w:val="right" w:pos="8306" w:leader="none"/>
      </w:tabs>
    </w:pPr>
    <w:rPr>
      <w:sz w:val="18"/>
      <w:szCs w:val="20"/>
    </w:rPr>
  </w:style>
  <w:style w:type="paragraph" w:styleId="955" w:customStyle="1">
    <w:name w:val="页眉1"/>
    <w:basedOn w:val="755"/>
    <w:uiPriority w:val="0"/>
    <w:qFormat/>
    <w:pPr>
      <w:jc w:val="center"/>
      <w:tabs>
        <w:tab w:val="center" w:pos="4153" w:leader="none"/>
        <w:tab w:val="right" w:pos="8306" w:leader="none"/>
      </w:tabs>
      <w:pBdr>
        <w:bottom w:val="single" w:color="000000" w:sz="6" w:space="1"/>
      </w:pBdr>
    </w:pPr>
    <w:rPr>
      <w:sz w:val="18"/>
      <w:szCs w:val="18"/>
    </w:rPr>
  </w:style>
  <w:style w:type="paragraph" w:styleId="956" w:customStyle="1">
    <w:name w:val="副标题1"/>
    <w:basedOn w:val="755"/>
    <w:next w:val="755"/>
    <w:uiPriority w:val="0"/>
    <w:qFormat/>
    <w:pPr>
      <w:jc w:val="center"/>
      <w:spacing w:before="240" w:after="60" w:line="312" w:lineRule="auto"/>
      <w:outlineLvl w:val="1"/>
    </w:pPr>
    <w:rPr>
      <w:rFonts w:ascii="Cambria" w:hAnsi="Cambria"/>
      <w:b/>
      <w:sz w:val="32"/>
    </w:rPr>
  </w:style>
  <w:style w:type="paragraph" w:styleId="957" w:customStyle="1">
    <w:name w:val="普通(网站)1"/>
    <w:basedOn w:val="755"/>
    <w:uiPriority w:val="0"/>
    <w:qFormat/>
    <w:pPr>
      <w:jc w:val="left"/>
      <w:spacing w:before="100" w:beforeAutospacing="1" w:after="100" w:afterAutospacing="1"/>
      <w:widowControl/>
    </w:pPr>
    <w:rPr>
      <w:rFonts w:ascii="宋体" w:hAnsi="宋体" w:cs="宋体"/>
      <w:sz w:val="24"/>
    </w:rPr>
  </w:style>
  <w:style w:type="paragraph" w:styleId="958" w:customStyle="1">
    <w:name w:val="正文首行缩进1"/>
    <w:basedOn w:val="949"/>
    <w:uiPriority w:val="0"/>
    <w:qFormat/>
    <w:pPr>
      <w:ind w:firstLine="420"/>
      <w:spacing w:after="120"/>
    </w:pPr>
    <w:rPr>
      <w:szCs w:val="24"/>
    </w:rPr>
  </w:style>
  <w:style w:type="paragraph" w:styleId="959" w:customStyle="1">
    <w:name w:val="正文首行缩进 21"/>
    <w:basedOn w:val="950"/>
    <w:uiPriority w:val="0"/>
    <w:semiHidden/>
    <w:qFormat/>
    <w:pPr>
      <w:ind w:firstLine="420"/>
    </w:pPr>
  </w:style>
  <w:style w:type="table" w:styleId="960" w:customStyle="1">
    <w:name w:val="网格型1"/>
    <w:basedOn w:val="947"/>
    <w:uiPriority w:val="0"/>
    <w:qFormat/>
    <w:pPr>
      <w:jc w:val="both"/>
      <w:widowControl w:val="off"/>
    </w:pPr>
    <w:tblPr/>
  </w:style>
  <w:style w:type="character" w:styleId="961" w:customStyle="1">
    <w:name w:val="页码1"/>
    <w:uiPriority w:val="0"/>
    <w:qFormat/>
    <w:rPr>
      <w:rFonts w:ascii="Times New Roman" w:hAnsi="Times New Roman" w:eastAsia="宋体"/>
    </w:rPr>
  </w:style>
  <w:style w:type="paragraph" w:styleId="962" w:customStyle="1">
    <w:name w:val="段"/>
    <w:next w:val="963"/>
    <w:uiPriority w:val="0"/>
    <w:qFormat/>
    <w:pPr>
      <w:ind w:firstLine="200"/>
      <w:jc w:val="both"/>
    </w:pPr>
    <w:rPr>
      <w:rFonts w:ascii="宋体" w:hAnsi="Times New Roman" w:eastAsia="宋体" w:cs="Times New Roman"/>
      <w:sz w:val="21"/>
      <w:lang w:val="en-US" w:eastAsia="zh-CN" w:bidi="ar-SA"/>
    </w:rPr>
  </w:style>
  <w:style w:type="paragraph" w:styleId="963" w:customStyle="1">
    <w:name w:val="正文11"/>
    <w:next w:val="962"/>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Default"/>
    <w:basedOn w:val="755"/>
    <w:uiPriority w:val="0"/>
    <w:qFormat/>
    <w:pPr>
      <w:jc w:val="left"/>
    </w:pPr>
    <w:rPr>
      <w:rFonts w:ascii="仿宋" w:hAnsi="仿宋" w:eastAsia="仿宋" w:cs="宋体"/>
      <w:color w:val="000000"/>
      <w:sz w:val="24"/>
    </w:rPr>
  </w:style>
  <w:style w:type="paragraph" w:styleId="965" w:customStyle="1">
    <w:name w:val="TOC 71"/>
    <w:basedOn w:val="755"/>
    <w:next w:val="755"/>
    <w:uiPriority w:val="0"/>
    <w:qFormat/>
    <w:pPr>
      <w:ind w:left="2550"/>
      <w:spacing w:before="100" w:beforeAutospacing="1" w:after="100" w:afterAutospacing="1"/>
      <w:widowControl/>
    </w:pPr>
    <w:rPr>
      <w:szCs w:val="21"/>
    </w:rPr>
  </w:style>
  <w:style w:type="paragraph" w:styleId="966" w:customStyle="1">
    <w:name w:val="普通正文"/>
    <w:basedOn w:val="755"/>
    <w:uiPriority w:val="0"/>
    <w:qFormat/>
    <w:pPr>
      <w:ind w:firstLine="480"/>
      <w:jc w:val="left"/>
      <w:spacing w:before="120" w:after="120"/>
    </w:pPr>
    <w:rPr>
      <w:rFonts w:ascii="Arial" w:hAnsi="Arial"/>
      <w:sz w:val="24"/>
    </w:rPr>
  </w:style>
  <w:style w:type="paragraph" w:styleId="967" w:customStyle="1">
    <w:name w:val="WPSOffice手动目录 1"/>
    <w:uiPriority w:val="0"/>
    <w:qFormat/>
    <w:rPr>
      <w:rFonts w:ascii="Times New Roman" w:hAnsi="Times New Roman" w:eastAsia="宋体" w:cs="Times New Roman"/>
      <w:lang w:val="en-US" w:eastAsia="zh-CN" w:bidi="ar-SA"/>
    </w:rPr>
  </w:style>
  <w:style w:type="paragraph" w:styleId="968" w:customStyle="1">
    <w:name w:val="List Paragraph1"/>
    <w:basedOn w:val="755"/>
    <w:uiPriority w:val="0"/>
    <w:qFormat/>
    <w:pPr>
      <w:ind w:firstLine="420"/>
    </w:pPr>
    <w:rPr>
      <w:szCs w:val="22"/>
    </w:rPr>
  </w:style>
  <w:style w:type="paragraph" w:styleId="969" w:customStyle="1">
    <w:name w:val="_Style 21"/>
    <w:basedOn w:val="755"/>
    <w:next w:val="968"/>
    <w:uiPriority w:val="0"/>
    <w:qFormat/>
    <w:pPr>
      <w:ind w:left="890" w:firstLine="420"/>
      <w:jc w:val="left"/>
    </w:pPr>
    <w:rPr>
      <w:rFonts w:ascii="Calibri" w:hAnsi="Calibri"/>
      <w:szCs w:val="22"/>
    </w:rPr>
  </w:style>
  <w:style w:type="paragraph" w:styleId="970" w:customStyle="1">
    <w:name w:val="列出段落1"/>
    <w:basedOn w:val="755"/>
    <w:uiPriority w:val="0"/>
    <w:qFormat/>
    <w:pPr>
      <w:ind w:firstLine="420"/>
    </w:pPr>
    <w:rPr>
      <w:rFonts w:ascii="Calibri" w:hAnsi="Calibri"/>
      <w:szCs w:val="22"/>
    </w:rPr>
  </w:style>
  <w:style w:type="paragraph" w:styleId="971" w:customStyle="1">
    <w:name w:val="正文空2格  1."/>
    <w:basedOn w:val="755"/>
    <w:uiPriority w:val="0"/>
    <w:qFormat/>
    <w:pPr>
      <w:ind w:firstLine="480"/>
    </w:pPr>
    <w:rPr>
      <w:rFonts w:cs="宋体"/>
      <w:sz w:val="28"/>
      <w:szCs w:val="20"/>
    </w:rPr>
  </w:style>
  <w:style w:type="paragraph" w:styleId="972" w:customStyle="1">
    <w:name w:val="_Style 1"/>
    <w:uiPriority w:val="0"/>
    <w:qFormat/>
    <w:rPr>
      <w:rFonts w:ascii="Tahoma" w:hAnsi="Tahoma" w:eastAsia="宋体" w:cs="Times New Roman"/>
      <w:sz w:val="22"/>
      <w:szCs w:val="22"/>
      <w:lang w:val="en-US" w:eastAsia="zh-CN" w:bidi="ar-SA"/>
    </w:rPr>
  </w:style>
  <w:style w:type="paragraph" w:styleId="973" w:customStyle="1">
    <w:name w:val="注释标题1"/>
    <w:basedOn w:val="755"/>
    <w:next w:val="755"/>
    <w:uiPriority w:val="0"/>
    <w:qFormat/>
    <w:rPr>
      <w:rFonts w:ascii="Verdana" w:hAnsi="Verdana"/>
      <w:szCs w:val="20"/>
    </w:rPr>
  </w:style>
  <w:style w:type="paragraph" w:styleId="974" w:customStyle="1">
    <w:name w:val="纯文本1"/>
    <w:basedOn w:val="755"/>
    <w:uiPriority w:val="0"/>
    <w:qFormat/>
    <w:rPr>
      <w:rFonts w:ascii="宋体" w:hAnsi="Courier New" w:eastAsia="楷体_GB2312" w:cs="宋体"/>
      <w:sz w:val="28"/>
      <w:szCs w:val="21"/>
    </w:rPr>
  </w:style>
  <w:style w:type="paragraph" w:styleId="975"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76" w:customStyle="1">
    <w:name w:val="目录 11"/>
    <w:basedOn w:val="963"/>
    <w:next w:val="963"/>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77" w:customStyle="1">
    <w:name w:val="Char"/>
    <w:basedOn w:val="755"/>
    <w:uiPriority w:val="0"/>
    <w:qFormat/>
    <w:pPr>
      <w:tabs>
        <w:tab w:val="left" w:pos="360" w:leader="none"/>
      </w:tabs>
    </w:pPr>
    <w:rPr>
      <w:sz w:val="24"/>
    </w:rPr>
  </w:style>
  <w:style w:type="character" w:styleId="978" w:customStyle="1">
    <w:name w:val="font21"/>
    <w:uiPriority w:val="0"/>
    <w:qFormat/>
    <w:rPr>
      <w:rFonts w:hint="eastAsia" w:ascii="宋体" w:hAnsi="宋体" w:eastAsia="宋体" w:cs="宋体"/>
      <w:color w:val="ff0000"/>
      <w:sz w:val="22"/>
      <w:szCs w:val="22"/>
      <w:u w:val="none"/>
    </w:rPr>
  </w:style>
  <w:style w:type="paragraph" w:styleId="979" w:customStyle="1">
    <w:name w:val="列出段落"/>
    <w:basedOn w:val="755"/>
    <w:uiPriority w:val="34"/>
    <w:qFormat/>
    <w:pPr>
      <w:ind w:firstLine="420"/>
    </w:pPr>
  </w:style>
  <w:style w:type="table" w:styleId="980" w:customStyle="1">
    <w:name w:val="Table Normal"/>
    <w:uiPriority w:val="0"/>
    <w:unhideWhenUsed/>
    <w:qFormat/>
    <w:tblPr>
      <w:tblCellMar>
        <w:left w:w="0" w:type="dxa"/>
        <w:top w:w="0" w:type="dxa"/>
        <w:right w:w="0" w:type="dxa"/>
        <w:bottom w:w="0" w:type="dxa"/>
      </w:tblCellMar>
    </w:tblPr>
  </w:style>
  <w:style w:type="paragraph" w:styleId="981" w:customStyle="1">
    <w:name w:val="Table Text"/>
    <w:basedOn w:val="755"/>
    <w:uiPriority w:val="0"/>
    <w:semiHidden/>
    <w:qFormat/>
    <w:rPr>
      <w:rFonts w:ascii="Arial" w:hAnsi="Arial" w:eastAsia="Arial" w:cs="Arial"/>
      <w:szCs w:val="21"/>
      <w:lang w:eastAsia="en-US"/>
    </w:rPr>
  </w:style>
  <w:style w:type="paragraph" w:styleId="982" w:customStyle="1">
    <w:name w:val="DAS正文"/>
    <w:basedOn w:val="755"/>
    <w:uiPriority w:val="0"/>
    <w:qFormat/>
    <w:pPr>
      <w:ind w:right="181" w:firstLine="480"/>
    </w:pPr>
    <w:rPr>
      <w:rFonts w:ascii="Verdana" w:hAnsi="Verdana"/>
    </w:rPr>
  </w:style>
  <w:style w:type="character" w:styleId="983" w:customStyle="1">
    <w:name w:val="apple-style-span"/>
    <w:basedOn w:val="765"/>
    <w:uiPriority w:val="0"/>
    <w:qFormat/>
  </w:style>
  <w:style w:type="character" w:styleId="984" w:customStyle="1">
    <w:name w:val="font41"/>
    <w:basedOn w:val="765"/>
    <w:uiPriority w:val="0"/>
    <w:qFormat/>
    <w:rPr>
      <w:rFonts w:hint="default" w:ascii="方正黑体_GBK" w:hAnsi="方正黑体_GBK" w:eastAsia="方正黑体_GBK" w:cs="方正黑体_GBK"/>
      <w:color w:val="000000"/>
      <w:sz w:val="24"/>
      <w:szCs w:val="24"/>
      <w:u w:val="none"/>
    </w:rPr>
  </w:style>
  <w:style w:type="character" w:styleId="985" w:customStyle="1">
    <w:name w:val="font71"/>
    <w:basedOn w:val="765"/>
    <w:uiPriority w:val="0"/>
    <w:qFormat/>
    <w:rPr>
      <w:rFonts w:hint="default" w:ascii="方正黑体_GBK" w:hAnsi="方正黑体_GBK" w:eastAsia="方正黑体_GBK" w:cs="方正黑体_GBK"/>
      <w:color w:val="000000"/>
      <w:sz w:val="22"/>
      <w:szCs w:val="22"/>
      <w:u w:val="none"/>
    </w:rPr>
  </w:style>
  <w:style w:type="character" w:styleId="986" w:customStyle="1">
    <w:name w:val="font51"/>
    <w:basedOn w:val="765"/>
    <w:uiPriority w:val="0"/>
    <w:qFormat/>
    <w:rPr>
      <w:rFonts w:hint="eastAsia" w:ascii="宋体" w:hAnsi="宋体" w:eastAsia="宋体" w:cs="宋体"/>
      <w:color w:val="000000"/>
      <w:sz w:val="24"/>
      <w:szCs w:val="24"/>
      <w:u w:val="none"/>
    </w:rPr>
  </w:style>
  <w:style w:type="character" w:styleId="987" w:customStyle="1">
    <w:name w:val="font81"/>
    <w:basedOn w:val="765"/>
    <w:uiPriority w:val="0"/>
    <w:qFormat/>
    <w:rPr>
      <w:rFonts w:hint="eastAsia" w:ascii="宋体" w:hAnsi="宋体" w:eastAsia="宋体" w:cs="宋体"/>
      <w:color w:val="000000"/>
      <w:sz w:val="20"/>
      <w:szCs w:val="20"/>
      <w:u w:val="none"/>
    </w:rPr>
  </w:style>
  <w:style w:type="character" w:styleId="988" w:customStyle="1">
    <w:name w:val="font61"/>
    <w:basedOn w:val="765"/>
    <w:uiPriority w:val="0"/>
    <w:qFormat/>
    <w:rPr>
      <w:rFonts w:hint="eastAsia" w:ascii="宋体" w:hAnsi="宋体" w:eastAsia="宋体" w:cs="宋体"/>
      <w:color w:val="000000"/>
      <w:sz w:val="20"/>
      <w:szCs w:val="20"/>
      <w:u w:val="none"/>
    </w:rPr>
  </w:style>
  <w:style w:type="character" w:styleId="989" w:customStyle="1">
    <w:name w:val="font01"/>
    <w:basedOn w:val="765"/>
    <w:uiPriority w:val="0"/>
    <w:qFormat/>
    <w:rPr>
      <w:rFonts w:hint="eastAsia" w:ascii="宋体" w:hAnsi="宋体" w:eastAsia="宋体" w:cs="宋体"/>
      <w:color w:val="000000"/>
      <w:sz w:val="22"/>
      <w:szCs w:val="22"/>
      <w:u w:val="none"/>
    </w:rPr>
  </w:style>
  <w:style w:type="paragraph" w:styleId="990" w:customStyle="1">
    <w:name w:val="文档结构图1"/>
    <w:basedOn w:val="755"/>
    <w:uiPriority w:val="0"/>
    <w:qFormat/>
    <w:pPr>
      <w:shd w:val="clear" w:color="auto" w:fill="000080"/>
    </w:pPr>
  </w:style>
  <w:style w:type="character" w:styleId="991" w:customStyle="1">
    <w:name w:val="正文缩进 字符"/>
    <w:link w:val="768"/>
    <w:uiPriority w:val="0"/>
    <w:qFormat/>
    <w:rPr>
      <w:sz w:val="21"/>
    </w:rPr>
  </w:style>
  <w:style w:type="character" w:styleId="992" w:customStyle="1">
    <w:name w:val="HTML 预设格式 字符"/>
    <w:basedOn w:val="765"/>
    <w:link w:val="787"/>
    <w:uiPriority w:val="99"/>
    <w:semiHidden/>
    <w:qFormat/>
    <w:rPr>
      <w:rFonts w:ascii="Courier New" w:hAnsi="Courier New" w:cs="Courier New"/>
    </w:rPr>
  </w:style>
  <w:style w:type="paragraph" w:styleId="993" w:customStyle="1">
    <w:name w:val="p16"/>
    <w:basedOn w:val="755"/>
    <w:uiPriority w:val="0"/>
    <w:qFormat/>
    <w:pPr>
      <w:jc w:val="left"/>
      <w:widowControl/>
    </w:pPr>
    <w:rPr>
      <w:sz w:val="24"/>
      <w:szCs w:val="24"/>
    </w:rPr>
  </w:style>
  <w:style w:type="paragraph" w:styleId="994" w:customStyle="1">
    <w:name w:val="null3"/>
    <w:uiPriority w:val="0"/>
    <w:qFormat/>
    <w:rPr>
      <w:rFonts w:asciiTheme="minorHAnsi" w:hAnsiTheme="minorHAnsi" w:eastAsiaTheme="minorEastAsia" w:cstheme="minorBidi"/>
      <w:lang w:val="en-US" w:eastAsia="zh-Hans" w:bidi="ar-SA"/>
    </w:rPr>
  </w:style>
  <w:style w:type="character" w:styleId="995" w:customStyle="1">
    <w:name w:val="强调1"/>
    <w:basedOn w:val="996"/>
    <w:link w:val="755"/>
    <w:uiPriority w:val="20"/>
    <w:qFormat/>
    <w:rPr>
      <w:rFonts w:ascii="Times New Roman" w:hAnsi="Times New Roman" w:eastAsia="宋体" w:cs="Times New Roman"/>
      <w:sz w:val="21"/>
      <w:szCs w:val="24"/>
      <w:lang w:val="en-US" w:eastAsia="zh-CN" w:bidi="ar-SA"/>
    </w:rPr>
  </w:style>
  <w:style w:type="character" w:styleId="996" w:customStyle="1">
    <w:name w:val="默认段落字体11"/>
    <w:link w:val="755"/>
    <w:uiPriority w:val="0"/>
    <w:semiHidden/>
    <w:qFormat/>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f84b095b-59c3-4edf-b466-69a16c5d5e35</errorID>
      <errorWord>[2025]34号</errorWord>
      <group>L1_Knowledge</group>
      <groupName>知识性问题</groupName>
      <ability>L2_Knowledge</ability>
      <abilityName>其他知识</abilityName>
      <candidateList>
        <item>〔2025〕34号</item>
      </candidateList>
      <explain>发文字号格式错误。</explain>
      <paraID>72C6C7A2</paraID>
      <start>40</start>
      <end>49</end>
      <status>unmodified</status>
      <modifiedWord/>
      <trackRevisions>false</trackRevisions>
    </reviewItem>
    <reviewItem>
      <errorID>175c5975-ec6f-4528-acbd-6551ede2e451</errorID>
      <errorWord>《</errorWord>
      <group>L1_Punc</group>
      <groupName>标点问题</groupName>
      <ability>L2_Punc</ability>
      <abilityName>标点符号检查</abilityName>
      <candidateList/>
      <explain>同一形式括号套用。</explain>
      <paraID>72C6C7A2</paraID>
      <start>58</start>
      <end>59</end>
      <status>unmodified</status>
      <modifiedWord/>
      <trackRevisions>false</trackRevisions>
    </reviewItem>
    <reviewItem>
      <errorID>625fd477-2b17-45fe-93be-524dbedc483b</errorID>
      <errorWord>》</errorWord>
      <group>L1_Punc</group>
      <groupName>标点问题</groupName>
      <ability>L2_Punc</ability>
      <abilityName>标点符号检查</abilityName>
      <candidateList/>
      <explain>同一形式括号套用。</explain>
      <paraID>72C6C7A2</paraID>
      <start>89</start>
      <end>90</end>
      <status>unmodified</status>
      <modifiedWord/>
      <trackRevisions>false</trackRevisions>
    </reviewItem>
    <reviewItem>
      <errorID>dfbbad62-bdb7-4030-8163-e28db9675c08</errorID>
      <errorWord>[2025]30号</errorWord>
      <group>L1_Knowledge</group>
      <groupName>知识性问题</groupName>
      <ability>L2_Knowledge</ability>
      <abilityName>其他知识</abilityName>
      <candidateList>
        <item>〔2025〕30号</item>
      </candidateList>
      <explain>发文字号格式错误。</explain>
      <paraID>72C6C7A2</paraID>
      <start>97</start>
      <end>106</end>
      <status>unmodified</status>
      <modifiedWord/>
      <trackRevisions>false</trackRevisions>
    </reviewItem>
    <reviewItem>
      <errorID>a7d46325-65a4-4589-9a0a-c4e52eb6eeb9</errorID>
      <errorWord>（</errorWord>
      <group>L1_Punc</group>
      <groupName>标点问题</groupName>
      <ability>L2_Punc</ability>
      <abilityName>标点符号检查</abilityName>
      <candidateList/>
      <explain>同一形式括号套用。</explain>
      <paraID>3E0F1CA4</paraID>
      <start>128</start>
      <end>129</end>
      <status>unmodified</status>
      <modifiedWord/>
      <trackRevisions>false</trackRevisions>
    </reviewItem>
    <reviewItem>
      <errorID>db1f8328-8f75-4664-83ed-d6439ad7e586</errorID>
      <errorWord>）</errorWord>
      <group>L1_Punc</group>
      <groupName>标点问题</groupName>
      <ability>L2_Punc</ability>
      <abilityName>标点符号检查</abilityName>
      <candidateList/>
      <explain>同一形式括号套用。</explain>
      <paraID>3E0F1CA4</paraID>
      <start>147</start>
      <end>148</end>
      <status>unmodified</status>
      <modifiedWord/>
      <trackRevisions>false</trackRevisions>
    </reviewItem>
    <reviewItem>
      <errorID>5c132883-fc76-4390-acb0-ffc4e95a7331</errorID>
      <errorWord>（</errorWord>
      <group>L1_Punc</group>
      <groupName>标点问题</groupName>
      <ability>L2_Punc</ability>
      <abilityName>标点符号检查</abilityName>
      <candidateList/>
      <explain>同一形式括号套用。</explain>
      <paraID>3E0F1CA4</paraID>
      <start>188</start>
      <end>189</end>
      <status>unmodified</status>
      <modifiedWord/>
      <trackRevisions>false</trackRevisions>
    </reviewItem>
    <reviewItem>
      <errorID>313c595a-5dd9-40b9-b192-61a3fd0638c8</errorID>
      <errorWord>）</errorWord>
      <group>L1_Punc</group>
      <groupName>标点问题</groupName>
      <ability>L2_Punc</ability>
      <abilityName>标点符号检查</abilityName>
      <candidateList/>
      <explain>同一形式括号套用。</explain>
      <paraID>3E0F1CA4</paraID>
      <start>199</start>
      <end>200</end>
      <status>unmodified</status>
      <modifiedWord/>
      <trackRevisions>false</trackRevisions>
    </reviewItem>
    <reviewItem>
      <errorID>bf436662-45aa-4129-b378-c2eb25c3b987</errorID>
      <errorWord>&lt;</errorWord>
      <group>L1_Format</group>
      <groupName>格式问题</groupName>
      <ability>L2_HalfPunc</ability>
      <abilityName>全半角检查</abilityName>
      <candidateList>
        <item>〈</item>
      </candidateList>
      <explain>文本全半角错误。</explain>
      <paraID>28987A50</paraID>
      <start>18</start>
      <end>19</end>
      <status>unmodified</status>
      <modifiedWord/>
      <trackRevisions>false</trackRevisions>
    </reviewItem>
    <reviewItem>
      <errorID>c4eaff94-9c33-4e96-a039-77e672b168b2</errorID>
      <errorWord>&gt;的通知》</errorWord>
      <group>L1_Punc</group>
      <groupName>标点问题</groupName>
      <ability>L2_Punc</ability>
      <abilityName>标点符号检查</abilityName>
      <candidateList>
        <item>〉的通知》</item>
      </candidateList>
      <explain/>
      <paraID>28987A50</paraID>
      <start>36</start>
      <end>41</end>
      <status>unmodified</status>
      <modifiedWord/>
      <trackRevisions>false</trackRevisions>
    </reviewItem>
    <reviewItem>
      <errorID>09d1ac67-8378-4ca3-904a-b4c8709655b8</errorID>
      <errorWord>作</errorWord>
      <group>L1_Word</group>
      <groupName>字词问题</groupName>
      <ability>L2_Typo</ability>
      <abilityName>字词错误</abilityName>
      <candidateList>
        <item>做</item>
      </candidateList>
      <explain>存在发音相同字词的误用。</explain>
      <paraID>58D1326F</paraID>
      <start>67</start>
      <end>68</end>
      <status>unmodified</status>
      <modifiedWord/>
      <trackRevisions>false</trackRevisions>
    </reviewItem>
    <reviewItem>
      <errorID>370b34c3-2234-4ce9-b466-161e8adb2148</errorID>
      <errorWord>保持通讯畅通</errorWord>
      <group>L1_Word</group>
      <groupName>字词问题</groupName>
      <ability>L2_Typo</ability>
      <abilityName>字词错误</abilityName>
      <candidateList>
        <item>保持通信畅通</item>
      </candidateList>
      <explain/>
      <paraID>67967CBD</paraID>
      <start>16</start>
      <end>22</end>
      <status>unmodified</status>
      <modifiedWord/>
      <trackRevisions>false</trackRevisions>
    </reviewItem>
    <reviewItem>
      <errorID>ee252ebd-cdf5-42c4-a34b-4cff26ff84c1</errorID>
      <errorWord>人确定成交供应商</errorWord>
      <group>L1_Word</group>
      <groupName>字词问题</groupName>
      <ability>L2_Typo</ability>
      <abilityName>字词错误</abilityName>
      <candidateList>
        <item>人在确定成交供应商</item>
      </candidateList>
      <explain/>
      <paraID>1A128956</paraID>
      <start>44</start>
      <end>52</end>
      <status>unmodified</status>
      <modifiedWord/>
      <trackRevisions>false</trackRevisions>
    </reviewItem>
    <reviewItem>
      <errorID>e75e8a82-5e4d-4cf8-88e3-20cd5636bd00</errorID>
      <errorWord>&lt;</errorWord>
      <group>L1_Format</group>
      <groupName>格式问题</groupName>
      <ability>L2_HalfPunc</ability>
      <abilityName>全半角检查</abilityName>
      <candidateList>
        <item>〈</item>
      </candidateList>
      <explain>文本全半角错误。</explain>
      <paraID>7AB94E28</paraID>
      <start>50</start>
      <end>51</end>
      <status>unmodified</status>
      <modifiedWord/>
      <trackRevisions>false</trackRevisions>
    </reviewItem>
    <reviewItem>
      <errorID>b4358a92-cf62-49fe-990d-ce22d5ae0aff</errorID>
      <errorWord>&lt;</errorWord>
      <group>L1_Format</group>
      <groupName>格式问题</groupName>
      <ability>L2_HalfPunc</ability>
      <abilityName>全半角检查</abilityName>
      <candidateList>
        <item>〈</item>
      </candidateList>
      <explain>文本全半角错误。</explain>
      <paraID>1791AEDB</paraID>
      <start>50</start>
      <end>51</end>
      <status>unmodified</status>
      <modifiedWord/>
      <trackRevisions>false</trackRevisions>
    </reviewItem>
    <reviewItem>
      <errorID>7cf8fe6e-693a-4953-ac02-2c1231ebd0c7</errorID>
      <errorWord>&lt;</errorWord>
      <group>L1_Format</group>
      <groupName>格式问题</groupName>
      <ability>L2_HalfPunc</ability>
      <abilityName>全半角检查</abilityName>
      <candidateList>
        <item>〈</item>
      </candidateList>
      <explain>文本全半角错误。</explain>
      <paraID>737D8184</paraID>
      <start>35</start>
      <end>36</end>
      <status>unmodified</status>
      <modifiedWord/>
      <trackRevisions>false</trackRevisions>
    </reviewItem>
    <reviewItem>
      <errorID>d9799ec2-8bb1-4d3f-83bc-47b3bbd873cc</errorID>
      <errorWord>陆个月</errorWord>
      <group>L1_Word</group>
      <groupName>字词问题</groupName>
      <ability>L2_Typo</ability>
      <abilityName>字词错误</abilityName>
      <candidateList>
        <item>六个月</item>
      </candidateList>
      <explain>存在发音相近字词的误用。</explain>
      <paraID>70646FA0</paraID>
      <start>20</start>
      <end>23</end>
      <status>unmodified</status>
      <modifiedWord/>
      <trackRevisions>false</trackRevisions>
    </reviewItem>
    <reviewItem>
      <errorID>96f1ee8f-8f39-403b-a346-f58d4aa9d56e</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69BBD360</paraID>
      <start>181</start>
      <end>190</end>
      <status>unmodified</status>
      <modifiedWord/>
      <trackRevisions>false</trackRevisions>
    </reviewItem>
    <reviewItem>
      <errorID>8dbd6ea9-91d1-41fc-96c9-78d39e199b50</errorID>
      <errorWord>连锁</errorWord>
      <group>L1_Word</group>
      <groupName>字词问题</groupName>
      <ability>L2_Typo</ability>
      <abilityName>字词错误</abilityName>
      <candidateList>
        <item>联锁</item>
      </candidateList>
      <explain>存在发音相同字词的误用。</explain>
      <paraID>58CBB500</paraID>
      <start>26</start>
      <end>28</end>
      <status>unmodified</status>
      <modifiedWord/>
      <trackRevisions>false</trackRevisions>
    </reviewItem>
    <reviewItem>
      <errorID>9a2437bf-68e2-4ffe-add5-ccb532e71fdc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574A19E6</paraID>
      <start>19</start>
      <end>20</end>
      <status>unmodified</status>
      <modifiedWord/>
      <trackRevisions>false</trackRevisions>
    </reviewItem>
    <reviewItem>
      <errorID>206dba8f-5e50-46e9-a021-3c03ed79a753</errorID>
      <errorWord>(</errorWord>
      <group>L1_Format</group>
      <groupName>格式问题</groupName>
      <ability>L2_HalfPunc</ability>
      <abilityName>全半角检查</abilityName>
      <candidateList>
        <item>（</item>
      </candidateList>
      <explain>文本全半角错误。</explain>
      <paraID>185C39B5</paraID>
      <start>21</start>
      <end>22</end>
      <status>unmodified</status>
      <modifiedWord/>
      <trackRevisions>false</trackRevisions>
    </reviewItem>
    <reviewItem>
      <errorID>2089f635-4054-4c9a-8ca5-2a578b767dc2</errorID>
      <errorWord>)</errorWord>
      <group>L1_Format</group>
      <groupName>格式问题</groupName>
      <ability>L2_HalfPunc</ability>
      <abilityName>全半角检查</abilityName>
      <candidateList>
        <item>）</item>
      </candidateList>
      <explain>文本全半角错误。</explain>
      <paraID>185C39B5</paraID>
      <start>25</start>
      <end>26</end>
      <status>unmodified</status>
      <modifiedWord/>
      <trackRevisions>false</trackRevisions>
    </reviewItem>
    <reviewItem>
      <errorID>62a2a59f-abfc-42c3-81b6-478f0595da74</errorID>
      <errorWord>（</errorWord>
      <group>L1_Punc</group>
      <groupName>标点问题</groupName>
      <ability>L2_Punc</ability>
      <abilityName>标点符号检查</abilityName>
      <candidateList/>
      <explain>同一形式括号套用。</explain>
      <paraID>38275928</paraID>
      <start>47</start>
      <end>48</end>
      <status>unmodified</status>
      <modifiedWord/>
      <trackRevisions>false</trackRevisions>
    </reviewItem>
    <reviewItem>
      <errorID>635d9f3b-4b12-402d-b09f-8d706959fb8d</errorID>
      <errorWord>）</errorWord>
      <group>L1_Punc</group>
      <groupName>标点问题</groupName>
      <ability>L2_Punc</ability>
      <abilityName>标点符号检查</abilityName>
      <candidateList/>
      <explain>同一形式括号套用。</explain>
      <paraID>38275928</paraID>
      <start>53</start>
      <end>54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2E59AF-9108-4279-85D5-244766D865C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周纯</cp:lastModifiedBy>
  <cp:revision>4</cp:revision>
  <dcterms:created xsi:type="dcterms:W3CDTF">2026-05-18T09:31:00Z</dcterms:created>
  <dcterms:modified xsi:type="dcterms:W3CDTF">2026-06-16T08:12:40Z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156B107FB25548C2909C63989B738B61_13</vt:lpwstr>
  </property>
  <property fmtid="{D5CDD505-2E9C-101B-9397-08002B2CF9AE}" pid="4" name="KSOTemplateDocerSaveRecord">
    <vt:lpwstr>eyJoZGlkIjoiY2I1ZWQyMDIzMmI2OGYyYzI2YTM3OTg4YjAxOTQ1MWIiLCJ1c2VySWQiOiIzMTU1ODEyOTcifQ==</vt:lpwstr>
  </property>
</Properties>
</file>