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lang w:eastAsia="zh-CN"/>
        </w:rPr>
        <w:t xml:space="preserve">门诊治疗室分诊管理软件采购项目</w:t>
      </w:r>
      <w:r/>
    </w:p>
    <w:p>
      <w:pPr>
        <w:ind w:left="1279" w:hanging="321"/>
        <w:spacing w:line="360" w:lineRule="auto"/>
        <w:rPr>
          <w:rFonts w:hint="eastAsia" w:ascii="宋体" w:hAnsi="宋体" w:eastAsia="宋体" w:cs="Times New Roman"/>
          <w:bCs/>
          <w:sz w:val="32"/>
          <w:szCs w:val="24"/>
          <w:lang w:eastAsia="zh-CN"/>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hint="eastAsia" w:ascii="宋体" w:hAnsi="宋体" w:eastAsia="宋体" w:cs="宋体"/>
          <w:bCs/>
          <w:sz w:val="32"/>
          <w:szCs w:val="32"/>
          <w:lang w:eastAsia="zh-CN"/>
        </w:rPr>
        <w:t xml:space="preserve">JSZC-320281-JZCG-G2026-0025</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w:t>
      </w:r>
      <w:r>
        <w:rPr>
          <w:rFonts w:hint="eastAsia" w:ascii="宋体" w:hAnsi="宋体" w:eastAsia="宋体" w:cs="Times New Roman"/>
          <w:bCs/>
          <w:sz w:val="48"/>
          <w:szCs w:val="24"/>
          <w:lang w:val="en-US" w:eastAsia="zh-CN"/>
        </w:rPr>
        <w:t xml:space="preserve">五</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4"/>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887"/>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87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887"/>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87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w:instrText>
      </w:r>
      <w:r>
        <w:fldChar w:fldCharType="separate"/>
      </w:r>
      <w:r>
        <w:rPr>
          <w:rStyle w:val="887"/>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fldChar w:fldCharType="separate"/>
      </w:r>
      <w:r>
        <w:rPr>
          <w:rFonts w:eastAsia="宋体"/>
          <w:sz w:val="30"/>
          <w:szCs w:val="30"/>
        </w:rPr>
        <w:t xml:space="preserve">- 17 -</w:t>
      </w:r>
      <w:r>
        <w:rPr>
          <w:rFonts w:eastAsia="宋体"/>
          <w:sz w:val="30"/>
          <w:szCs w:val="30"/>
        </w:rPr>
        <w:fldChar w:fldCharType="end"/>
      </w:r>
      <w:r>
        <w:rPr>
          <w:rFonts w:eastAsia="宋体"/>
          <w:sz w:val="30"/>
          <w:szCs w:val="30"/>
        </w:rPr>
        <w:fldChar w:fldCharType="end"/>
      </w:r>
      <w:r/>
    </w:p>
    <w:p>
      <w:pPr>
        <w:pStyle w:val="87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887"/>
          <w:rFonts w:hint="eastAsia" w:ascii="宋体" w:hAnsi="宋体" w:eastAsia="宋体"/>
          <w:color w:val="auto"/>
          <w:sz w:val="30"/>
          <w:szCs w:val="30"/>
        </w:rPr>
        <w:t xml:space="preserve">第四章</w:t>
      </w:r>
      <w:r>
        <w:rPr>
          <w:rStyle w:val="887"/>
          <w:rFonts w:ascii="宋体" w:hAnsi="宋体" w:eastAsia="宋体"/>
          <w:color w:val="auto"/>
          <w:sz w:val="30"/>
          <w:szCs w:val="30"/>
        </w:rPr>
        <w:t xml:space="preserve">  </w:t>
      </w:r>
      <w:r>
        <w:rPr>
          <w:rStyle w:val="887"/>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- 21 -</w:t>
      </w:r>
      <w:r>
        <w:rPr>
          <w:rFonts w:eastAsia="宋体"/>
          <w:sz w:val="30"/>
          <w:szCs w:val="30"/>
        </w:rPr>
        <w:fldChar w:fldCharType="end"/>
      </w:r>
      <w:r>
        <w:rPr>
          <w:rFonts w:eastAsia="宋体"/>
          <w:sz w:val="30"/>
          <w:szCs w:val="30"/>
        </w:rPr>
        <w:fldChar w:fldCharType="end"/>
      </w:r>
      <w:r/>
    </w:p>
    <w:p>
      <w:pPr>
        <w:pStyle w:val="874"/>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887"/>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- 25 -</w:t>
      </w:r>
      <w:r>
        <w:rPr>
          <w:rFonts w:eastAsia="宋体"/>
          <w:sz w:val="30"/>
          <w:szCs w:val="30"/>
        </w:rPr>
        <w:fldChar w:fldCharType="end"/>
      </w:r>
      <w:r>
        <w:rPr>
          <w:rFonts w:eastAsia="宋体"/>
          <w:sz w:val="30"/>
          <w:szCs w:val="30"/>
        </w:rPr>
        <w:fldChar w:fldCharType="end"/>
      </w:r>
      <w:r/>
    </w:p>
    <w:p>
      <w:pPr>
        <w:pStyle w:val="874"/>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887"/>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- 28 -</w:t>
      </w:r>
      <w:r>
        <w:rPr>
          <w:rFonts w:eastAsia="宋体"/>
          <w:sz w:val="30"/>
          <w:szCs w:val="30"/>
        </w:rPr>
        <w:fldChar w:fldCharType="end"/>
      </w:r>
      <w:r>
        <w:rPr>
          <w:rFonts w:eastAsia="宋体"/>
          <w:sz w:val="30"/>
          <w:szCs w:val="30"/>
        </w:rPr>
        <w:fldChar w:fldCharType="end"/>
      </w:r>
      <w:r/>
    </w:p>
    <w:p>
      <w:pPr>
        <w:pStyle w:val="880"/>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357"/>
      <w:r/>
      <w:bookmarkStart w:id="5" w:name="_Toc166593155"/>
      <w:r/>
      <w:r/>
    </w:p>
    <w:p>
      <w:pPr>
        <w:pStyle w:val="880"/>
      </w:pPr>
      <w:r/>
      <w:r/>
    </w:p>
    <w:p>
      <w:pPr>
        <w:pStyle w:val="880"/>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lang w:eastAsia="zh-CN"/>
        </w:rPr>
        <w:t xml:space="preserve">门诊治疗室分诊管理软件采购项目</w:t>
      </w:r>
      <w:r>
        <w:rPr>
          <w:rFonts w:hint="eastAsia" w:ascii="宋体" w:hAnsi="宋体" w:eastAsia="宋体" w:cs="Times New Roman"/>
          <w:bCs/>
          <w:sz w:val="24"/>
          <w:szCs w:val="24"/>
          <w:lang w:eastAsia="zh-CN"/>
        </w:rPr>
        <w:t xml:space="preserve">JSZC-320281-JZCG-G2026-0025</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06-18</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358"/>
      <w:r/>
      <w:bookmarkStart w:id="8" w:name="_Toc166593156"/>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项目编号：</w:t>
      </w:r>
      <w:r>
        <w:rPr>
          <w:rFonts w:hint="eastAsia" w:ascii="宋体" w:hAnsi="宋体" w:eastAsia="宋体" w:cs="Times New Roman"/>
          <w:bCs/>
          <w:sz w:val="24"/>
          <w:szCs w:val="24"/>
          <w:lang w:eastAsia="zh-CN"/>
        </w:rPr>
        <w:t xml:space="preserve">JSZC-320281-JZCG-G2026-0025</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项目名称：</w:t>
      </w:r>
      <w:r>
        <w:rPr>
          <w:rFonts w:hint="eastAsia" w:ascii="宋体" w:hAnsi="宋体" w:eastAsia="宋体" w:cs="Times New Roman"/>
          <w:sz w:val="24"/>
          <w:szCs w:val="24"/>
          <w:lang w:eastAsia="zh-CN"/>
        </w:rPr>
        <w:t xml:space="preserve">门诊治疗室分诊管理软件采购项目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lang w:val="en-US" w:eastAsia="zh-CN"/>
        </w:rPr>
        <w:t xml:space="preserve">15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lang w:val="en-US" w:eastAsia="zh-CN"/>
        </w:rPr>
        <w:t xml:space="preserve">15</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lang w:eastAsia="zh-CN"/>
        </w:rPr>
        <w:t xml:space="preserve">门诊治疗室分诊管理软件采购项目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rPr>
        <w:t xml:space="preserve">（二）</w:t>
      </w:r>
      <w:r>
        <w:rPr>
          <w:rFonts w:ascii="宋体" w:hAnsi="宋体" w:eastAsia="宋体" w:cs="Times New Roman"/>
          <w:sz w:val="24"/>
          <w:szCs w:val="24"/>
          <w:highlight w:val="none"/>
        </w:rPr>
        <w:t xml:space="preserve">落实政府采购政策需满足的资格要求： </w:t>
      </w:r>
      <w:r/>
    </w:p>
    <w:p>
      <w:pPr>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Times New Roman"/>
          <w:sz w:val="24"/>
          <w:szCs w:val="24"/>
          <w:lang w:eastAsia="zh-CN"/>
        </w:rPr>
        <w:t xml:space="preserve">。</w:t>
      </w:r>
      <w:bookmarkStart w:id="21" w:name="_GoBack"/>
      <w:r/>
      <w:bookmarkEnd w:id="21"/>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ascii="宋体" w:hAnsi="宋体" w:eastAsia="宋体" w:cs="Times New Roman"/>
          <w:sz w:val="24"/>
          <w:szCs w:val="24"/>
        </w:rPr>
        <w:t xml:space="preserve">06-18</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1.采购人信息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江阴市人民医院</w:t>
      </w:r>
      <w:r/>
    </w:p>
    <w:p>
      <w:pPr>
        <w:ind w:firstLine="480"/>
        <w:jc w:val="left"/>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地址：江阴市寿山路163号</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项目联系人：朱先生</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联系电话：0510-86879038</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2.采购代理机构信息</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单位名称：</w:t>
      </w:r>
      <w:r>
        <w:rPr>
          <w:rFonts w:hint="eastAsia" w:ascii="宋体" w:hAnsi="宋体" w:eastAsia="宋体" w:cs="Times New Roman"/>
          <w:sz w:val="24"/>
          <w:szCs w:val="24"/>
          <w:highlight w:val="none"/>
        </w:rPr>
        <w:t xml:space="preserve">江阴市政府采购中心</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单位地址：</w:t>
      </w:r>
      <w:r>
        <w:rPr>
          <w:rFonts w:hint="eastAsia" w:ascii="宋体" w:hAnsi="宋体" w:eastAsia="宋体" w:cs="Times New Roman"/>
          <w:sz w:val="24"/>
          <w:szCs w:val="24"/>
          <w:highlight w:val="none"/>
        </w:rPr>
        <w:t xml:space="preserve">江阴市长江路188号6楼</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联系人：</w:t>
      </w:r>
      <w:r>
        <w:rPr>
          <w:rFonts w:hint="eastAsia" w:ascii="宋体" w:hAnsi="宋体" w:eastAsia="宋体" w:cs="Times New Roman"/>
          <w:sz w:val="24"/>
          <w:szCs w:val="24"/>
          <w:highlight w:val="none"/>
        </w:rPr>
        <w:t xml:space="preserve">周先生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联系电话：0510-880276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3.项目联系方式 </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项目联系人：</w:t>
      </w:r>
      <w:r>
        <w:rPr>
          <w:rFonts w:hint="eastAsia" w:ascii="宋体" w:hAnsi="宋体" w:eastAsia="宋体" w:cs="Times New Roman"/>
          <w:sz w:val="24"/>
          <w:szCs w:val="24"/>
          <w:highlight w:val="none"/>
        </w:rPr>
        <w:t xml:space="preserve">周先生</w:t>
      </w:r>
      <w:r/>
    </w:p>
    <w:p>
      <w:pPr>
        <w:ind w:firstLine="480"/>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电话：0510-880276</w:t>
      </w:r>
      <w:r>
        <w:rPr>
          <w:rFonts w:hint="eastAsia" w:ascii="宋体" w:hAnsi="宋体" w:eastAsia="宋体" w:cs="Times New Roman"/>
          <w:sz w:val="24"/>
          <w:szCs w:val="24"/>
          <w:highlight w:val="none"/>
        </w:rPr>
        <w:t xml:space="preserve">20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80"/>
      </w:pPr>
      <w:r/>
      <w:r/>
    </w:p>
    <w:p>
      <w:pPr>
        <w:pStyle w:val="880"/>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5</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sz w:val="24"/>
          <w:szCs w:val="24"/>
          <w:highlight w:val="none"/>
        </w:rPr>
        <w:t xml:space="preserve">*</w:t>
      </w:r>
      <w:r>
        <w:rPr>
          <w:rFonts w:hint="eastAsia" w:ascii="宋体" w:hAnsi="宋体" w:eastAsia="宋体" w:cs="Times New Roman"/>
          <w:bCs/>
          <w:sz w:val="24"/>
          <w:szCs w:val="24"/>
          <w:highlight w:val="none"/>
        </w:rPr>
        <w:t xml:space="preserve">第三章实质性要求中须提供的证书/承诺函等证明材料；</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hint="eastAsia"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文件3：</w:t>
      </w:r>
      <w:r>
        <w:rPr>
          <w:rFonts w:hint="eastAsia" w:ascii="宋体" w:hAnsi="宋体" w:eastAsia="宋体" w:cs="Times New Roman"/>
          <w:b w:val="0"/>
          <w:bCs w:val="0"/>
          <w:sz w:val="24"/>
          <w:szCs w:val="24"/>
          <w:lang w:val="en-US" w:eastAsia="zh-CN"/>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lang w:val="en-US" w:eastAsia="zh-CN"/>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采购人收件人：朱先生  收件地址：江阴市寿山路163号  收件电话：0510-86879038</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lang w:val="en-US" w:eastAsia="zh-CN"/>
        </w:rPr>
        <w:t xml:space="preserve">1</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（3）提供本国产品进行</w:t>
      </w:r>
      <w:r>
        <w:rPr>
          <w:rFonts w:hint="eastAsia" w:ascii="宋体" w:hAnsi="宋体" w:eastAsia="宋体" w:cs="Times New Roman"/>
          <w:sz w:val="24"/>
          <w:szCs w:val="24"/>
        </w:rPr>
        <w:t xml:space="preserve">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80"/>
        <w:sectPr>
          <w:footnotePr/>
          <w:endnotePr/>
          <w:type w:val="nextPage"/>
          <w:pgSz w:w="11906" w:h="16838" w:orient="portrait"/>
          <w:pgMar w:top="1247" w:right="1247" w:bottom="1247" w:left="1247" w:header="680" w:footer="992" w:gutter="0"/>
          <w:cols w:num="1" w:sep="0" w:space="720" w:equalWidth="1"/>
          <w:docGrid w:linePitch="360"/>
        </w:sectPr>
      </w:pPr>
      <w:r/>
      <w:r/>
    </w:p>
    <w:p>
      <w:pPr>
        <w:pStyle w:val="880"/>
      </w:pPr>
      <w:r/>
      <w:r/>
    </w:p>
    <w:p>
      <w:pPr>
        <w:pStyle w:val="880"/>
        <w:numPr>
          <w:ilvl w:val="0"/>
          <w:numId w:val="1"/>
        </w:numPr>
        <w:rPr>
          <w:rFonts w:hint="eastAsia"/>
        </w:rPr>
      </w:pPr>
      <w:r/>
      <w:bookmarkStart w:id="10" w:name="_Toc213847315"/>
      <w:r>
        <w:rPr>
          <w:rFonts w:hint="eastAsia"/>
        </w:rPr>
        <w:t xml:space="preserve">项目要求和有关说明</w:t>
      </w:r>
      <w:bookmarkEnd w:id="10"/>
      <w:r/>
      <w:bookmarkStart w:id="11" w:name="_Toc251268361"/>
      <w:r/>
      <w:r/>
    </w:p>
    <w:p>
      <w:pPr>
        <w:ind w:firstLine="482"/>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（以下除“二、技术参数要求”外，其余均为实质性要求）</w:t>
      </w:r>
      <w:r/>
    </w:p>
    <w:p>
      <w:pPr>
        <w:ind w:firstLine="482"/>
        <w:jc w:val="center"/>
        <w:spacing w:line="400" w:lineRule="exact"/>
        <w:widowControl/>
        <w:rPr>
          <w:rFonts w:ascii="宋体" w:hAnsi="宋体" w:eastAsia="宋体" w:cs="宋体"/>
          <w:b/>
          <w:sz w:val="24"/>
        </w:rPr>
      </w:pPr>
      <w:r>
        <w:rPr>
          <w:rFonts w:ascii="宋体" w:hAnsi="宋体" w:eastAsia="宋体" w:cs="宋体"/>
          <w:b/>
          <w:sz w:val="24"/>
        </w:rPr>
      </w:r>
      <w:r/>
    </w:p>
    <w:p>
      <w:pPr>
        <w:jc w:val="left"/>
        <w:keepLines w:val="0"/>
        <w:keepNext w:val="0"/>
        <w:pageBreakBefore w:val="0"/>
        <w:spacing w:line="400" w:lineRule="exact"/>
        <w:widowControl/>
        <w:rPr>
          <w:rFonts w:ascii="黑体" w:hAnsi="黑体" w:eastAsia="黑体" w:cs="宋体"/>
          <w:sz w:val="28"/>
          <w:szCs w:val="28"/>
        </w:rPr>
        <w:outlineLvl w:val="1"/>
      </w:pPr>
      <w:r>
        <w:rPr>
          <w:rFonts w:hint="eastAsia" w:ascii="黑体" w:hAnsi="黑体" w:eastAsia="黑体" w:cs="宋体"/>
          <w:sz w:val="28"/>
          <w:szCs w:val="28"/>
        </w:rPr>
        <w:t xml:space="preserve">一、项目概述：</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该项目旨在实现江阴市人民医院全院内镜中心、超声科、换药室、耳鼻咽喉科内镜室、心电图室分诊导医功能，提升患者就诊效率与就医体验。</w:t>
      </w:r>
      <w:r/>
    </w:p>
    <w:p>
      <w:pPr>
        <w:ind w:firstLine="482"/>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
          <w:bCs w:val="0"/>
          <w:sz w:val="24"/>
          <w:szCs w:val="24"/>
        </w:rPr>
        <w:t xml:space="preserve">本项目最高限价</w:t>
      </w:r>
      <w:r>
        <w:rPr>
          <w:rFonts w:hint="eastAsia" w:ascii="宋体" w:hAnsi="宋体" w:eastAsia="宋体" w:cs="宋体"/>
          <w:bCs/>
          <w:sz w:val="24"/>
          <w:szCs w:val="24"/>
        </w:rPr>
        <w:t xml:space="preserve">：15万元</w:t>
      </w:r>
      <w:r/>
    </w:p>
    <w:p>
      <w:pPr>
        <w:ind w:firstLine="482"/>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
          <w:bCs w:val="0"/>
          <w:sz w:val="24"/>
          <w:szCs w:val="24"/>
        </w:rPr>
        <w:t xml:space="preserve">本项目标的所属行业：</w:t>
      </w:r>
      <w:r>
        <w:rPr>
          <w:rFonts w:hint="eastAsia" w:ascii="宋体" w:hAnsi="宋体" w:eastAsia="宋体" w:cs="宋体"/>
          <w:bCs/>
          <w:sz w:val="24"/>
          <w:szCs w:val="24"/>
        </w:rPr>
        <w:t xml:space="preserve">软件和信息技术服务业。</w:t>
      </w:r>
      <w:r/>
    </w:p>
    <w:p>
      <w:pPr>
        <w:ind w:firstLine="480"/>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rPr>
      </w:r>
      <w:r/>
    </w:p>
    <w:p>
      <w:pPr>
        <w:jc w:val="left"/>
        <w:keepLines w:val="0"/>
        <w:keepNext w:val="0"/>
        <w:pageBreakBefore w:val="0"/>
        <w:spacing w:line="400" w:lineRule="exact"/>
        <w:widowControl/>
        <w:rPr>
          <w:rFonts w:hint="eastAsia" w:ascii="宋体" w:hAnsi="宋体" w:eastAsia="宋体" w:cs="宋体"/>
          <w:sz w:val="24"/>
        </w:rPr>
        <w:outlineLvl w:val="1"/>
      </w:pPr>
      <w:r>
        <w:rPr>
          <w:rFonts w:hint="eastAsia" w:ascii="黑体" w:hAnsi="黑体" w:eastAsia="黑体" w:cs="宋体"/>
          <w:sz w:val="28"/>
          <w:szCs w:val="28"/>
        </w:rPr>
        <w:t xml:space="preserve">二、技术参数要求（打“★”项为重要技术参数）：</w:t>
      </w:r>
      <w:r/>
    </w:p>
    <w:p>
      <w:pPr>
        <w:keepLines w:val="0"/>
        <w:keepNext w:val="0"/>
        <w:pageBreakBefore w:val="0"/>
        <w:spacing w:line="400" w:lineRule="exact"/>
        <w:rPr>
          <w:rFonts w:hint="eastAsia" w:ascii="宋体" w:hAnsi="宋体" w:eastAsia="宋体" w:cs="宋体"/>
          <w:sz w:val="24"/>
          <w:lang w:val="en-US" w:eastAsia="zh-CN"/>
        </w:rPr>
      </w:pPr>
      <w:r>
        <w:rPr>
          <w:rFonts w:hint="eastAsia" w:ascii="宋体" w:hAnsi="宋体"/>
          <w:sz w:val="24"/>
          <w:lang w:val="en-US" w:eastAsia="zh-CN"/>
        </w:rPr>
        <w:t xml:space="preserve">1</w:t>
      </w:r>
      <w:r>
        <w:rPr>
          <w:rFonts w:hint="eastAsia" w:ascii="宋体" w:hAnsi="宋体" w:eastAsia="宋体" w:cs="宋体"/>
          <w:sz w:val="24"/>
          <w:lang w:val="en-US" w:eastAsia="zh-CN"/>
        </w:rPr>
        <w:t xml:space="preserve">、医技分诊管理软件</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1</w:t>
      </w:r>
      <w:r>
        <w:rPr>
          <w:rFonts w:hint="eastAsia" w:ascii="宋体" w:hAnsi="宋体" w:eastAsia="宋体" w:cs="宋体"/>
          <w:sz w:val="24"/>
          <w:lang w:val="en-US" w:eastAsia="zh-CN"/>
        </w:rPr>
        <w:t xml:space="preserve">）支持对预约登记、就诊叫号、过号等患者进行签到就诊。</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）支持在医生在检查室叫号，虚拟呼叫器包括顺呼、重呼、选呼、过号等操作。</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3</w:t>
      </w:r>
      <w:r>
        <w:rPr>
          <w:rFonts w:hint="eastAsia" w:ascii="宋体" w:hAnsi="宋体" w:eastAsia="宋体" w:cs="宋体"/>
          <w:sz w:val="24"/>
          <w:lang w:val="en-US" w:eastAsia="zh-CN"/>
        </w:rPr>
        <w:t xml:space="preserve">）支持与检查工作站集成或单独使用。</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4</w:t>
      </w:r>
      <w:r>
        <w:rPr>
          <w:rFonts w:hint="eastAsia" w:ascii="宋体" w:hAnsi="宋体" w:eastAsia="宋体" w:cs="宋体"/>
          <w:sz w:val="24"/>
          <w:lang w:val="en-US" w:eastAsia="zh-CN"/>
        </w:rPr>
        <w:t xml:space="preserve">）支持候诊屏显示检查室患者等候信息及叫号信息，患者签到时显示检查项目对应的检查须知和注意事项。</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5</w:t>
      </w:r>
      <w:r>
        <w:rPr>
          <w:rFonts w:hint="eastAsia" w:ascii="宋体" w:hAnsi="宋体" w:eastAsia="宋体" w:cs="宋体"/>
          <w:sz w:val="24"/>
          <w:lang w:val="en-US" w:eastAsia="zh-CN"/>
        </w:rPr>
        <w:t xml:space="preserve">）支持按照预约检查项目合并签到。</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6</w:t>
      </w:r>
      <w:r>
        <w:rPr>
          <w:rFonts w:hint="eastAsia" w:ascii="宋体" w:hAnsi="宋体" w:eastAsia="宋体" w:cs="宋体"/>
          <w:sz w:val="24"/>
          <w:lang w:val="en-US" w:eastAsia="zh-CN"/>
        </w:rPr>
        <w:t xml:space="preserve">）支持业务场景的深度定制化，如预约序列、签到序列等。</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7</w:t>
      </w:r>
      <w:r>
        <w:rPr>
          <w:rFonts w:hint="eastAsia" w:ascii="宋体" w:hAnsi="宋体" w:eastAsia="宋体" w:cs="宋体"/>
          <w:sz w:val="24"/>
          <w:lang w:val="en-US" w:eastAsia="zh-CN"/>
        </w:rPr>
        <w:t xml:space="preserve">）★支持去中心化的管理模式，通过系统的管理权限灵活配置管理角色，如管理员、医生、护士等角色。对于不同的角色可配置不同的功能，比如护士端可操作队列、医生端自动或手动叫号、管理端做系统配置、权限管理、队列管理、设备管理、机构管理、信息发布。</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需提供第三方权威机构出具的检测报告扫描件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8</w:t>
      </w:r>
      <w:r>
        <w:rPr>
          <w:rFonts w:hint="eastAsia" w:ascii="宋体" w:hAnsi="宋体" w:eastAsia="宋体" w:cs="宋体"/>
          <w:sz w:val="24"/>
          <w:lang w:val="en-US" w:eastAsia="zh-CN"/>
        </w:rPr>
        <w:t xml:space="preserve">）★支持多维度数据分析统计功能，科室统计展示科室绩效相关指标：挂号数、签到数、叫号数、平均等待时长，预约平均等候时长、签到率；医生统计展示医生工作量信息：挂号数、签到数、叫号数、平均等待时长，预约平均等候时长、签到率；患者统计按门诊类别、医生名称、挂号时间、签到时间、叫号时间、平均等候时长分别展示，同时具备可视化图表展示，如：柱状图、饼图、折线图等。</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需提供第三方权威机构出具的检测报告扫描件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w:t>
      </w:r>
      <w:r>
        <w:rPr>
          <w:rFonts w:hint="eastAsia" w:ascii="宋体" w:hAnsi="宋体" w:cs="宋体"/>
          <w:sz w:val="24"/>
          <w:lang w:val="en-US" w:eastAsia="zh-CN"/>
        </w:rPr>
        <w:t xml:space="preserve">9</w:t>
      </w:r>
      <w:r>
        <w:rPr>
          <w:rFonts w:hint="eastAsia" w:ascii="宋体" w:hAnsi="宋体" w:eastAsia="宋体" w:cs="宋体"/>
          <w:sz w:val="24"/>
          <w:lang w:val="en-US" w:eastAsia="zh-CN"/>
        </w:rPr>
        <w:t xml:space="preserve">）★支持设备统一授权、集中管控功能。可自动发现未添加的设备，应体现护士终端、医生终端、终端应用、未知设备，并分菜单显示。</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需提供第三方权威机构出具的检测报告扫描件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rPr>
          <w:rFonts w:hint="eastAsia" w:ascii="宋体" w:hAnsi="宋体" w:cs="宋体"/>
          <w:sz w:val="24"/>
          <w:lang w:val="en-US" w:eastAsia="zh-CN"/>
        </w:rPr>
        <w:t xml:space="preserve">0</w:t>
      </w:r>
      <w:r>
        <w:rPr>
          <w:rFonts w:hint="eastAsia" w:ascii="宋体" w:hAnsi="宋体" w:eastAsia="宋体" w:cs="宋体"/>
          <w:sz w:val="24"/>
          <w:lang w:val="en-US" w:eastAsia="zh-CN"/>
        </w:rPr>
        <w:t xml:space="preserve">）★支持已授权的设备在线实时控制功能，包括静音、取消静音、增大音量、减小音量、关机、重启、强制重启、设置状态栏、安装本地apk、安装远程apk、远程桌面、截图、背光控制、定时开关机时间、设置系统时间、选择横屏竖屏模式，设备状态监控支持颜色区分。提供信息发布功能，包含语音播报、滚动字幕。</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需提供第三方权威机构出具的检测报告扫描件</w:t>
      </w:r>
      <w:r>
        <w:rPr>
          <w:rFonts w:hint="eastAsia" w:ascii="宋体" w:hAnsi="宋体" w:eastAsia="宋体" w:cs="宋体"/>
          <w:color w:val="auto"/>
          <w:sz w:val="24"/>
          <w:highlight w:val="none"/>
          <w:lang w:eastAsia="zh-CN"/>
        </w:rPr>
        <w:t xml:space="preserve">）</w:t>
      </w:r>
      <w:r/>
    </w:p>
    <w:p>
      <w:pPr>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2、护士分诊工作站</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（1）护士分诊工作站提供B/S的访问模式。</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（2）支持队列管理配置功能，可在线查看队列管理、出诊安排。</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（3）支持叫号队列规则的配置</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（4）支持患者优先规则可配置</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（5）支持一键调整患者叫号状态，如已到、未到、过号、就诊完毕、复诊、暂离等。</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（6）支持患者顺序手动按序号排序、给患者指定医生。</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（7）支持指定医生，将患者安排在指定的医生队列当中。</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（8）支持对于特殊患者手工录入至叫号系统，进行排队。</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（9）支持维护医生基本信息，如简介、照片等。</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（10）支持同一诊区下转诊功能，可将患者从一个队列转到另一个队列排队。</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（11）支持过号患者签到再次进入队列功能。</w:t>
      </w:r>
      <w:r/>
    </w:p>
    <w:p>
      <w:pPr>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3、医生分诊工作站</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医生分诊工作站可独立使用和集成在HIS或电子病历系统中，医生采用虚拟分诊叫号终端完成分诊叫号，应满足以下功能：</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（1）★医生分诊工作站可同时支持C/S、B/S和接口调用三种访问模式，满足不同业务科室分诊的应用场景。</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highlight w:val="none"/>
        </w:rPr>
        <w:t xml:space="preserve">需提供第三方权威机构出具的检测报告扫描件</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（2）提供医生工作站虚拟叫号功能，包括顺呼、重呼、过号功能，为医生展示等候患者、已叫患者、过号患者队列，并可提供悬浮框模式或大屏模式。</w:t>
      </w:r>
      <w:r/>
    </w:p>
    <w:p>
      <w:pPr>
        <w:ind w:firstLine="480"/>
        <w:keepLines w:val="0"/>
        <w:keepNext w:val="0"/>
        <w:pageBreakBefore w:val="0"/>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（3）支持个性化偏好设置，展示等候患者、已叫患者、过号患者队列、数据分析等。</w:t>
      </w:r>
      <w:r/>
    </w:p>
    <w:p>
      <w:pPr>
        <w:ind w:firstLine="482"/>
        <w:keepLines w:val="0"/>
        <w:keepNext w:val="0"/>
        <w:pageBreakBefore w:val="0"/>
        <w:spacing w:line="400" w:lineRule="exact"/>
        <w:widowControl w:val="off"/>
        <w:rPr>
          <w:rFonts w:hint="eastAsia" w:ascii="宋体" w:hAnsi="宋体" w:eastAsia="宋体" w:cs="宋体"/>
          <w:b/>
          <w:bCs w:val="0"/>
          <w:sz w:val="24"/>
          <w:lang w:val="en-US" w:eastAsia="zh-CN"/>
        </w:rPr>
      </w:pPr>
      <w:r>
        <w:rPr>
          <w:rFonts w:hint="eastAsia" w:ascii="宋体" w:hAnsi="宋体" w:eastAsia="宋体" w:cs="宋体"/>
          <w:b/>
          <w:bCs w:val="0"/>
          <w:sz w:val="24"/>
          <w:lang w:val="en-US" w:eastAsia="zh-CN"/>
        </w:rPr>
      </w:r>
      <w:r/>
    </w:p>
    <w:p>
      <w:pPr>
        <w:keepLines w:val="0"/>
        <w:keepNext w:val="0"/>
        <w:pageBreakBefore w:val="0"/>
        <w:spacing w:line="400" w:lineRule="exact"/>
        <w:rPr>
          <w:rFonts w:hint="eastAsia" w:ascii="宋体" w:hAnsi="宋体" w:eastAsia="宋体" w:cs="宋体"/>
          <w:sz w:val="24"/>
          <w:szCs w:val="32"/>
          <w:lang w:val="en-US" w:eastAsia="zh-CN"/>
        </w:rPr>
        <w:outlineLvl w:val="1"/>
      </w:pPr>
      <w:r>
        <w:rPr>
          <w:rFonts w:hint="eastAsia"/>
          <w:b/>
          <w:sz w:val="28"/>
          <w:szCs w:val="28"/>
          <w:lang w:val="en-US" w:eastAsia="zh-CN"/>
        </w:rPr>
        <w:t xml:space="preserve">三、系统对接要求：</w:t>
      </w:r>
      <w:r/>
    </w:p>
    <w:p>
      <w:pPr>
        <w:numPr>
          <w:ilvl w:val="0"/>
          <w:numId w:val="0"/>
        </w:numPr>
        <w:ind w:firstLine="420"/>
        <w:jc w:val="both"/>
        <w:keepLines w:val="0"/>
        <w:keepNext w:val="0"/>
        <w:pageBreakBefore w:val="0"/>
        <w:spacing w:line="400" w:lineRule="exact"/>
        <w:widowControl w:val="off"/>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（1）</w:t>
      </w:r>
      <w:r>
        <w:rPr>
          <w:rFonts w:hint="eastAsia" w:ascii="宋体" w:hAnsi="宋体" w:eastAsia="宋体" w:cs="宋体"/>
          <w:sz w:val="24"/>
          <w:lang w:val="en-US" w:eastAsia="zh-CN"/>
        </w:rPr>
        <w:t xml:space="preserve">医技分诊管理软件</w:t>
      </w:r>
      <w:r/>
    </w:p>
    <w:p>
      <w:pPr>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支持与医院HIS、医技预约平台以及各检查系统对接，同步患者预约挂号信息、预约申请单项目信息等。</w:t>
      </w:r>
      <w:r/>
    </w:p>
    <w:p>
      <w:pPr>
        <w:numPr>
          <w:ilvl w:val="0"/>
          <w:numId w:val="0"/>
        </w:numPr>
        <w:ind w:firstLine="480"/>
        <w:jc w:val="both"/>
        <w:keepLines w:val="0"/>
        <w:keepNext w:val="0"/>
        <w:pageBreakBefore w:val="0"/>
        <w:spacing w:line="400" w:lineRule="exact"/>
        <w:widowControl w:val="off"/>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支持与我院现有门诊叫号软件统一管理、硬件接入统一监控</w:t>
      </w:r>
      <w:r>
        <w:rPr>
          <w:rFonts w:hint="eastAsia" w:ascii="宋体" w:hAnsi="宋体" w:cs="宋体"/>
          <w:sz w:val="24"/>
          <w:szCs w:val="32"/>
          <w:lang w:val="en-US" w:eastAsia="zh-CN"/>
        </w:rPr>
        <w:t xml:space="preserve">。</w:t>
      </w:r>
      <w:r/>
    </w:p>
    <w:p>
      <w:pPr>
        <w:numPr>
          <w:ilvl w:val="0"/>
          <w:numId w:val="2"/>
        </w:numPr>
        <w:ind w:firstLine="480"/>
        <w:jc w:val="both"/>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医生分诊工作站</w:t>
      </w:r>
      <w:r/>
    </w:p>
    <w:p>
      <w:pPr>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为保障医生快速适用，支持与我院现有门诊医生分诊工作站功能、操作保持一致</w:t>
      </w:r>
      <w:r>
        <w:rPr>
          <w:rFonts w:hint="default" w:ascii="宋体" w:hAnsi="宋体"/>
          <w:sz w:val="24"/>
          <w:lang w:val="en-US"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 xml:space="preserve">（3）接口对接</w:t>
      </w:r>
      <w:r/>
    </w:p>
    <w:p>
      <w:pPr>
        <w:ind w:firstLine="480"/>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系统全面支持与HIS、门急诊电子病历、LIS、PACS、医院集成平台、互联网应用、医保系统等业务系统的数据交互与对接，可根据院内实际需求开展接口定制开发。</w:t>
      </w:r>
      <w:r/>
    </w:p>
    <w:p>
      <w:pPr>
        <w:ind w:firstLine="480"/>
        <w:keepLines w:val="0"/>
        <w:keepNext w:val="0"/>
        <w:pageBreakBefore w:val="0"/>
        <w:spacing w:line="400" w:lineRule="exact"/>
        <w:widowControl w:val="off"/>
        <w:rPr>
          <w:rFonts w:hint="eastAsia" w:ascii="宋体" w:hAnsi="宋体" w:eastAsia="宋体" w:cs="宋体"/>
          <w:b/>
          <w:bCs w:val="0"/>
          <w:sz w:val="24"/>
          <w:lang w:eastAsia="zh-CN"/>
        </w:rPr>
      </w:pPr>
      <w:r>
        <w:rPr>
          <w:rFonts w:hint="eastAsia" w:ascii="宋体" w:hAnsi="宋体" w:eastAsia="宋体" w:cs="宋体"/>
          <w:sz w:val="24"/>
          <w:lang w:val="en-US" w:eastAsia="zh-CN"/>
        </w:rPr>
        <w:t xml:space="preserve">本项目所有接口开发、对接调试工作均包含在投标报价内，不额外收取任何费用。</w:t>
      </w:r>
      <w:r>
        <w:rPr>
          <w:rFonts w:hint="eastAsia" w:ascii="宋体" w:hAnsi="宋体" w:eastAsia="宋体" w:cs="宋体"/>
          <w:b/>
          <w:bCs w:val="0"/>
          <w:sz w:val="24"/>
        </w:rPr>
        <w:t xml:space="preserve">投标时需提供</w:t>
      </w:r>
      <w:r>
        <w:rPr>
          <w:rFonts w:hint="eastAsia" w:ascii="宋体" w:hAnsi="宋体" w:eastAsia="宋体" w:cs="宋体"/>
          <w:b/>
          <w:bCs w:val="0"/>
          <w:sz w:val="24"/>
          <w:lang w:val="en-US" w:eastAsia="zh-CN"/>
        </w:rPr>
        <w:t xml:space="preserve">系统免费</w:t>
      </w:r>
      <w:r>
        <w:rPr>
          <w:rFonts w:hint="eastAsia" w:ascii="宋体" w:hAnsi="宋体" w:eastAsia="宋体" w:cs="宋体"/>
          <w:b/>
          <w:bCs w:val="0"/>
          <w:sz w:val="24"/>
        </w:rPr>
        <w:t xml:space="preserve">对接承诺书（格式自拟）</w:t>
      </w:r>
      <w:r>
        <w:rPr>
          <w:rFonts w:hint="eastAsia" w:ascii="宋体" w:hAnsi="宋体" w:eastAsia="宋体" w:cs="宋体"/>
          <w:b/>
          <w:bCs w:val="0"/>
          <w:sz w:val="24"/>
          <w:lang w:eastAsia="zh-CN"/>
        </w:rPr>
        <w:t xml:space="preserve">，</w:t>
      </w:r>
      <w:r>
        <w:rPr>
          <w:rFonts w:hint="eastAsia" w:ascii="宋体" w:hAnsi="宋体" w:eastAsia="宋体" w:cs="宋体"/>
          <w:b/>
          <w:bCs w:val="0"/>
          <w:sz w:val="24"/>
        </w:rPr>
        <w:t xml:space="preserve">未提供将作为无效投标</w:t>
      </w:r>
      <w:r>
        <w:rPr>
          <w:rFonts w:hint="eastAsia" w:ascii="宋体" w:hAnsi="宋体" w:eastAsia="宋体" w:cs="宋体"/>
          <w:b/>
          <w:bCs w:val="0"/>
          <w:sz w:val="24"/>
          <w:lang w:eastAsia="zh-CN"/>
        </w:rPr>
        <w:t xml:space="preserve">。</w:t>
      </w:r>
      <w:r/>
    </w:p>
    <w:p>
      <w:pPr>
        <w:keepLines w:val="0"/>
        <w:keepNext w:val="0"/>
        <w:pageBreakBefore w:val="0"/>
        <w:spacing w:line="400" w:lineRule="exact"/>
        <w:rPr>
          <w:rFonts w:hint="eastAsia"/>
          <w:b/>
          <w:sz w:val="28"/>
          <w:szCs w:val="28"/>
        </w:rPr>
        <w:outlineLvl w:val="1"/>
      </w:pPr>
      <w:r>
        <w:rPr>
          <w:rFonts w:hint="eastAsia"/>
          <w:b/>
          <w:sz w:val="28"/>
          <w:szCs w:val="28"/>
        </w:rPr>
      </w:r>
      <w:r/>
    </w:p>
    <w:p>
      <w:pPr>
        <w:keepLines w:val="0"/>
        <w:keepNext w:val="0"/>
        <w:pageBreakBefore w:val="0"/>
        <w:spacing w:line="400" w:lineRule="exact"/>
        <w:rPr>
          <w:rFonts w:hint="eastAsia" w:eastAsiaTheme="minorEastAsia"/>
          <w:b/>
          <w:sz w:val="28"/>
          <w:szCs w:val="28"/>
          <w:lang w:eastAsia="zh-CN"/>
        </w:rPr>
        <w:outlineLvl w:val="1"/>
      </w:pPr>
      <w:r>
        <w:rPr>
          <w:rFonts w:hint="eastAsia"/>
          <w:b/>
          <w:sz w:val="28"/>
          <w:szCs w:val="28"/>
          <w:lang w:val="en-US" w:eastAsia="zh-CN"/>
        </w:rPr>
        <w:t xml:space="preserve">四</w:t>
      </w:r>
      <w:r>
        <w:rPr>
          <w:rFonts w:hint="eastAsia"/>
          <w:b/>
          <w:sz w:val="28"/>
          <w:szCs w:val="28"/>
        </w:rPr>
        <w:t xml:space="preserve">、项目实施要求</w:t>
      </w:r>
      <w:r>
        <w:rPr>
          <w:rFonts w:hint="eastAsia"/>
          <w:b/>
          <w:sz w:val="28"/>
          <w:szCs w:val="28"/>
          <w:lang w:eastAsia="zh-CN"/>
        </w:rPr>
        <w:t xml:space="preserve">：</w:t>
      </w:r>
      <w:r/>
    </w:p>
    <w:p>
      <w:pPr>
        <w:ind w:firstLine="482"/>
        <w:keepLines w:val="0"/>
        <w:keepNext w:val="0"/>
        <w:pageBreakBefore w:val="0"/>
        <w:spacing w:line="400" w:lineRule="exact"/>
        <w:rPr>
          <w:rFonts w:ascii="宋体" w:hAnsi="宋体"/>
          <w:b/>
          <w:bCs/>
          <w:sz w:val="24"/>
        </w:rPr>
        <w:outlineLvl w:val="2"/>
      </w:pPr>
      <w:r>
        <w:rPr>
          <w:rFonts w:hint="eastAsia" w:ascii="宋体" w:hAnsi="宋体" w:cs="宋体"/>
          <w:b/>
          <w:sz w:val="24"/>
        </w:rPr>
        <w:t xml:space="preserve">（一）</w:t>
      </w:r>
      <w:r>
        <w:rPr>
          <w:rFonts w:hint="eastAsia" w:ascii="宋体" w:hAnsi="宋体"/>
          <w:b/>
          <w:bCs/>
          <w:sz w:val="24"/>
        </w:rPr>
        <w:t xml:space="preserve">项</w:t>
      </w:r>
      <w:r>
        <w:rPr>
          <w:rFonts w:hint="eastAsia" w:ascii="宋体" w:hAnsi="宋体"/>
          <w:b/>
          <w:bCs/>
          <w:color w:val="auto"/>
          <w:sz w:val="24"/>
        </w:rPr>
        <w:t xml:space="preserve">目安装要求</w:t>
      </w:r>
      <w:r/>
    </w:p>
    <w:p>
      <w:pPr>
        <w:ind w:firstLine="480"/>
        <w:keepLines w:val="0"/>
        <w:keepNext w:val="0"/>
        <w:pageBreakBefore w:val="0"/>
        <w:spacing w:line="400" w:lineRule="exact"/>
        <w:rPr>
          <w:rFonts w:ascii="宋体" w:hAnsi="宋体"/>
          <w:sz w:val="24"/>
        </w:rPr>
      </w:pPr>
      <w:r>
        <w:rPr>
          <w:rFonts w:hint="eastAsia" w:ascii="宋体" w:hAnsi="宋体"/>
          <w:sz w:val="24"/>
        </w:rPr>
        <w:t xml:space="preserve">1.安装地点：</w:t>
      </w:r>
      <w:r>
        <w:rPr>
          <w:rFonts w:hint="eastAsia" w:ascii="宋体" w:hAnsi="宋体"/>
          <w:sz w:val="24"/>
          <w:lang w:eastAsia="zh-CN"/>
        </w:rPr>
        <w:t xml:space="preserve">江阴市人民医院城中院区、敔山湾院区</w:t>
      </w:r>
      <w:r>
        <w:rPr>
          <w:rFonts w:hint="eastAsia" w:ascii="宋体" w:hAnsi="宋体"/>
          <w:sz w:val="24"/>
        </w:rPr>
        <w:t xml:space="preserve">。</w:t>
      </w:r>
      <w:r/>
    </w:p>
    <w:p>
      <w:pPr>
        <w:ind w:firstLine="480"/>
        <w:keepLines w:val="0"/>
        <w:keepNext w:val="0"/>
        <w:pageBreakBefore w:val="0"/>
        <w:spacing w:line="400" w:lineRule="exact"/>
        <w:rPr>
          <w:rFonts w:hint="eastAsia" w:ascii="宋体" w:hAnsi="宋体"/>
          <w:sz w:val="24"/>
        </w:rPr>
      </w:pPr>
      <w:r>
        <w:rPr>
          <w:rFonts w:hint="eastAsia" w:ascii="宋体" w:hAnsi="宋体"/>
          <w:sz w:val="24"/>
        </w:rPr>
        <w:t xml:space="preserve">2.实施周期：自合同签订后90个工作日内，软件系统到货、安装完成。如在规定的时间内由于供应商的原因不能完成安装和调试，供应商应承担由此给用户造成的损失。</w:t>
      </w:r>
      <w:r/>
    </w:p>
    <w:p>
      <w:pPr>
        <w:ind w:firstLine="480"/>
        <w:keepLines w:val="0"/>
        <w:keepNext w:val="0"/>
        <w:pageBreakBefore w:val="0"/>
        <w:spacing w:line="400" w:lineRule="exact"/>
        <w:rPr>
          <w:rFonts w:hint="default" w:ascii="宋体" w:hAnsi="宋体" w:eastAsiaTheme="minorEastAsia"/>
          <w:sz w:val="24"/>
          <w:lang w:val="en-US" w:eastAsia="zh-CN"/>
        </w:rPr>
      </w:pPr>
      <w:r>
        <w:rPr>
          <w:rFonts w:hint="eastAsia" w:ascii="宋体" w:hAnsi="宋体"/>
          <w:sz w:val="24"/>
          <w:lang w:val="en-US" w:eastAsia="zh-CN"/>
        </w:rPr>
        <w:t xml:space="preserve">3.</w:t>
      </w:r>
      <w:r>
        <w:rPr>
          <w:rFonts w:hint="eastAsia" w:ascii="宋体" w:hAnsi="宋体"/>
          <w:sz w:val="24"/>
        </w:rPr>
        <w:t xml:space="preserve">团队要求：供应商应本着认真负责态度，应配备至少</w:t>
      </w:r>
      <w:r>
        <w:rPr>
          <w:rFonts w:hint="eastAsia" w:ascii="宋体" w:hAnsi="宋体"/>
          <w:sz w:val="24"/>
          <w:lang w:val="en-US" w:eastAsia="zh-CN"/>
        </w:rPr>
        <w:t xml:space="preserve">3</w:t>
      </w:r>
      <w:r>
        <w:rPr>
          <w:rFonts w:hint="eastAsia" w:ascii="宋体" w:hAnsi="宋体"/>
          <w:sz w:val="24"/>
        </w:rPr>
        <w:t xml:space="preserve">人的项目团队，主要人员包含项目负责人1名，测试人员1名，其他开发人员不少于</w:t>
      </w:r>
      <w:r>
        <w:rPr>
          <w:rFonts w:hint="eastAsia" w:ascii="宋体" w:hAnsi="宋体"/>
          <w:sz w:val="24"/>
          <w:lang w:val="en-US" w:eastAsia="zh-CN"/>
        </w:rPr>
        <w:t xml:space="preserve">1</w:t>
      </w:r>
      <w:r>
        <w:rPr>
          <w:rFonts w:hint="eastAsia" w:ascii="宋体" w:hAnsi="宋体"/>
          <w:sz w:val="24"/>
        </w:rPr>
        <w:t xml:space="preserve">名。为确保项目顺利实施及系统与业务环境的深度融合，供应商需安排项目团队在招标人指定场所进行驻场开发。驻场期限覆盖项目主要开发、部署、联调及试运行阶段。</w:t>
      </w:r>
      <w:r>
        <w:rPr>
          <w:rFonts w:hint="eastAsia" w:ascii="宋体" w:hAnsi="宋体"/>
          <w:b/>
          <w:bCs/>
          <w:sz w:val="24"/>
        </w:rPr>
        <w:t xml:space="preserve">（签订合同时须提供详细人员名单）</w:t>
      </w:r>
      <w:r/>
    </w:p>
    <w:p>
      <w:pPr>
        <w:ind w:firstLine="480"/>
        <w:keepLines w:val="0"/>
        <w:keepNext w:val="0"/>
        <w:pageBreakBefore w:val="0"/>
        <w:spacing w:line="400" w:lineRule="exact"/>
        <w:rPr>
          <w:rFonts w:ascii="宋体" w:hAnsi="宋体"/>
          <w:sz w:val="24"/>
        </w:rPr>
      </w:pPr>
      <w:r>
        <w:rPr>
          <w:rFonts w:hint="eastAsia" w:ascii="宋体" w:hAnsi="宋体"/>
          <w:sz w:val="24"/>
          <w:lang w:val="en-US" w:eastAsia="zh-CN"/>
        </w:rPr>
        <w:t xml:space="preserve">4</w:t>
      </w:r>
      <w:r>
        <w:rPr>
          <w:rFonts w:hint="eastAsia" w:ascii="宋体" w:hAnsi="宋体"/>
          <w:sz w:val="24"/>
        </w:rPr>
        <w:t xml:space="preserve">.安装标准：符合我国国家有关技术规范要求和技术标准。</w:t>
      </w:r>
      <w:r/>
    </w:p>
    <w:p>
      <w:pPr>
        <w:ind w:firstLine="480"/>
        <w:keepLines w:val="0"/>
        <w:keepNext w:val="0"/>
        <w:pageBreakBefore w:val="0"/>
        <w:spacing w:line="400" w:lineRule="exact"/>
        <w:rPr>
          <w:rFonts w:ascii="宋体" w:hAnsi="宋体"/>
          <w:sz w:val="24"/>
        </w:rPr>
      </w:pPr>
      <w:r>
        <w:rPr>
          <w:rFonts w:hint="eastAsia" w:ascii="宋体" w:hAnsi="宋体"/>
          <w:sz w:val="24"/>
          <w:lang w:val="en-US" w:eastAsia="zh-CN"/>
        </w:rPr>
        <w:t xml:space="preserve">5</w:t>
      </w:r>
      <w:r>
        <w:rPr>
          <w:rFonts w:hint="eastAsia" w:ascii="宋体" w:hAnsi="宋体"/>
          <w:sz w:val="24"/>
        </w:rPr>
        <w:t xml:space="preserve">.在项目实施过程中，向医院提供齐全的电子版和书面的操作说明等文档。</w:t>
      </w:r>
      <w:r/>
    </w:p>
    <w:p>
      <w:pPr>
        <w:pStyle w:val="861"/>
        <w:ind w:left="0" w:firstLine="420"/>
        <w:keepLines w:val="0"/>
        <w:keepNext w:val="0"/>
        <w:pageBreakBefore w:val="0"/>
        <w:spacing w:line="400" w:lineRule="exact"/>
        <w:rPr>
          <w:rFonts w:hint="eastAsia" w:ascii="宋体" w:hAnsi="宋体" w:eastAsia="宋体" w:cs="Times New Roman"/>
          <w:b/>
          <w:bCs/>
          <w:color w:val="auto"/>
          <w:sz w:val="24"/>
          <w:szCs w:val="24"/>
          <w:lang w:val="en-US" w:eastAsia="zh-CN" w:bidi="ar-SA"/>
        </w:rPr>
      </w:pPr>
      <w:r>
        <w:rPr>
          <w:rFonts w:hint="eastAsia" w:ascii="宋体" w:hAnsi="宋体" w:eastAsia="宋体" w:cs="Times New Roman"/>
          <w:b/>
          <w:bCs/>
          <w:color w:val="auto"/>
          <w:sz w:val="24"/>
          <w:szCs w:val="24"/>
          <w:lang w:val="en-US" w:eastAsia="zh-CN" w:bidi="ar-SA"/>
        </w:rPr>
        <w:t xml:space="preserve">（二）项目培训要求</w:t>
      </w:r>
      <w:r/>
    </w:p>
    <w:p>
      <w:pPr>
        <w:ind w:firstLine="480"/>
        <w:keepLines w:val="0"/>
        <w:keepNext w:val="0"/>
        <w:pageBreakBefore w:val="0"/>
        <w:spacing w:line="400" w:lineRule="exact"/>
        <w:tabs>
          <w:tab w:val="left" w:pos="420" w:leader="none"/>
        </w:tabs>
        <w:rPr>
          <w:rFonts w:ascii="宋体" w:hAnsi="宋体"/>
          <w:sz w:val="24"/>
        </w:rPr>
      </w:pPr>
      <w:r>
        <w:rPr>
          <w:rFonts w:hint="eastAsia" w:ascii="宋体" w:hAnsi="宋体"/>
          <w:sz w:val="24"/>
        </w:rPr>
        <w:t xml:space="preserve">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w:t>
      </w:r>
      <w:r>
        <w:rPr>
          <w:rFonts w:hint="eastAsia" w:ascii="宋体" w:hAnsi="宋体"/>
          <w:sz w:val="24"/>
          <w:lang w:eastAsia="zh-CN"/>
        </w:rPr>
        <w:t xml:space="preserve">以便</w:t>
      </w:r>
      <w:r>
        <w:rPr>
          <w:rFonts w:hint="eastAsia" w:ascii="宋体" w:hAnsi="宋体"/>
          <w:sz w:val="24"/>
        </w:rPr>
        <w:t xml:space="preserve">所提供的软件产品能够正常、安全运行。</w:t>
      </w:r>
      <w:r/>
    </w:p>
    <w:p>
      <w:pPr>
        <w:jc w:val="left"/>
        <w:keepLines w:val="0"/>
        <w:keepNext w:val="0"/>
        <w:pageBreakBefore w:val="0"/>
        <w:spacing w:line="400" w:lineRule="exact"/>
        <w:rPr>
          <w:rFonts w:ascii="宋体" w:hAnsi="宋体" w:cs="宋体"/>
          <w:sz w:val="24"/>
        </w:rPr>
      </w:pPr>
      <w:r>
        <w:rPr>
          <w:rFonts w:ascii="宋体" w:hAnsi="宋体" w:cs="宋体"/>
          <w:sz w:val="24"/>
        </w:rPr>
      </w:r>
      <w:r/>
    </w:p>
    <w:p>
      <w:pPr>
        <w:keepLines w:val="0"/>
        <w:keepNext w:val="0"/>
        <w:pageBreakBefore w:val="0"/>
        <w:spacing w:line="400" w:lineRule="exact"/>
        <w:rPr>
          <w:b/>
          <w:sz w:val="28"/>
          <w:szCs w:val="28"/>
        </w:rPr>
        <w:outlineLvl w:val="1"/>
      </w:pPr>
      <w:r>
        <w:rPr>
          <w:rFonts w:hint="eastAsia"/>
          <w:b/>
          <w:sz w:val="28"/>
          <w:szCs w:val="28"/>
          <w:lang w:val="en-US" w:eastAsia="zh-CN"/>
        </w:rPr>
        <w:t xml:space="preserve">五</w:t>
      </w:r>
      <w:r>
        <w:rPr>
          <w:rFonts w:hint="eastAsia"/>
          <w:b/>
          <w:sz w:val="28"/>
          <w:szCs w:val="28"/>
        </w:rPr>
        <w:t xml:space="preserve">、项目</w:t>
      </w:r>
      <w:r>
        <w:rPr>
          <w:rFonts w:hint="eastAsia"/>
          <w:b/>
          <w:sz w:val="28"/>
          <w:szCs w:val="28"/>
          <w:lang w:val="en-US" w:eastAsia="zh-CN"/>
        </w:rPr>
        <w:t xml:space="preserve">验收</w:t>
      </w:r>
      <w:r>
        <w:rPr>
          <w:rFonts w:hint="eastAsia"/>
          <w:b/>
          <w:sz w:val="28"/>
          <w:szCs w:val="28"/>
        </w:rPr>
        <w:t xml:space="preserve">要求</w:t>
      </w:r>
      <w:r/>
    </w:p>
    <w:p>
      <w:pPr>
        <w:ind w:firstLine="480"/>
        <w:keepLines w:val="0"/>
        <w:keepNext w:val="0"/>
        <w:pageBreakBefore w:val="0"/>
        <w:spacing w:line="400" w:lineRule="exact"/>
        <w:rPr>
          <w:rFonts w:ascii="宋体" w:hAnsi="宋体"/>
          <w:sz w:val="24"/>
        </w:rPr>
      </w:pPr>
      <w:r>
        <w:rPr>
          <w:rFonts w:hint="eastAsia" w:ascii="宋体" w:hAnsi="宋体"/>
          <w:sz w:val="24"/>
        </w:rPr>
        <w:t xml:space="preserve">1.供应商应提供项目相关软件的有效验收文件，经用户认可后，作为验收标准。用户对项目验收合格后，双方共同签署验收合格证书并加盖公章。验收中发现软件达不到验收标准或合同规定的性能指标，卖方必须修改相应内容，以满足用户需求。</w:t>
      </w:r>
      <w:r/>
    </w:p>
    <w:p>
      <w:pPr>
        <w:ind w:firstLine="480"/>
        <w:keepLines w:val="0"/>
        <w:keepNext w:val="0"/>
        <w:pageBreakBefore w:val="0"/>
        <w:spacing w:line="400" w:lineRule="exact"/>
        <w:rPr>
          <w:rFonts w:ascii="宋体" w:hAnsi="宋体"/>
          <w:sz w:val="24"/>
        </w:rPr>
      </w:pPr>
      <w:r>
        <w:rPr>
          <w:rFonts w:hint="eastAsia" w:ascii="宋体" w:hAnsi="宋体"/>
          <w:sz w:val="24"/>
        </w:rPr>
        <w:t xml:space="preserve">2.自合同签订后</w:t>
      </w:r>
      <w:r>
        <w:rPr>
          <w:rFonts w:hint="eastAsia" w:ascii="宋体" w:hAnsi="宋体"/>
          <w:sz w:val="24"/>
          <w:lang w:val="en-US" w:eastAsia="zh-CN"/>
        </w:rPr>
        <w:t xml:space="preserve">90</w:t>
      </w:r>
      <w:r>
        <w:rPr>
          <w:rFonts w:hint="eastAsia" w:ascii="宋体" w:hAnsi="宋体"/>
          <w:sz w:val="24"/>
        </w:rPr>
        <w:t xml:space="preserve">个工作日内完成系统的初试，试运行正常一个月后，组织项目终验。</w:t>
      </w:r>
      <w:r/>
    </w:p>
    <w:p>
      <w:pPr>
        <w:jc w:val="left"/>
        <w:keepLines w:val="0"/>
        <w:keepNext w:val="0"/>
        <w:pageBreakBefore w:val="0"/>
        <w:spacing w:line="400" w:lineRule="exact"/>
        <w:rPr>
          <w:rFonts w:ascii="宋体" w:hAnsi="宋体" w:cs="宋体"/>
          <w:sz w:val="24"/>
        </w:rPr>
      </w:pPr>
      <w:r>
        <w:rPr>
          <w:rFonts w:ascii="宋体" w:hAnsi="宋体" w:cs="宋体"/>
          <w:sz w:val="24"/>
        </w:rPr>
      </w:r>
      <w:r/>
    </w:p>
    <w:p>
      <w:pPr>
        <w:keepLines w:val="0"/>
        <w:keepNext w:val="0"/>
        <w:pageBreakBefore w:val="0"/>
        <w:spacing w:line="400" w:lineRule="exact"/>
        <w:tabs>
          <w:tab w:val="left" w:pos="709" w:leader="none"/>
        </w:tabs>
        <w:rPr>
          <w:rFonts w:ascii="黑体" w:hAnsi="黑体" w:eastAsia="黑体" w:cs="宋体"/>
          <w:sz w:val="28"/>
          <w:szCs w:val="28"/>
        </w:rPr>
        <w:outlineLvl w:val="1"/>
      </w:pPr>
      <w:r>
        <w:rPr>
          <w:rFonts w:hint="eastAsia" w:ascii="黑体" w:hAnsi="黑体" w:eastAsia="黑体" w:cs="宋体"/>
          <w:sz w:val="28"/>
          <w:szCs w:val="28"/>
          <w:lang w:val="en-US" w:eastAsia="zh-CN"/>
        </w:rPr>
        <w:t xml:space="preserve">六</w:t>
      </w:r>
      <w:r>
        <w:rPr>
          <w:rFonts w:hint="eastAsia" w:ascii="黑体" w:hAnsi="黑体" w:eastAsia="黑体" w:cs="宋体"/>
          <w:sz w:val="28"/>
          <w:szCs w:val="28"/>
        </w:rPr>
        <w:t xml:space="preserve">、售后服务要求：</w:t>
      </w:r>
      <w:r/>
    </w:p>
    <w:p>
      <w:pPr>
        <w:ind w:firstLine="480"/>
        <w:keepLines w:val="0"/>
        <w:keepNext w:val="0"/>
        <w:pageBreakBefore w:val="0"/>
        <w:spacing w:line="400" w:lineRule="exact"/>
        <w:tabs>
          <w:tab w:val="left" w:pos="420" w:leader="none"/>
        </w:tabs>
        <w:rPr>
          <w:rFonts w:ascii="宋体" w:hAnsi="宋体"/>
          <w:sz w:val="24"/>
        </w:rPr>
      </w:pPr>
      <w:r>
        <w:rPr>
          <w:rFonts w:hint="eastAsia" w:ascii="宋体" w:hAnsi="宋体"/>
          <w:sz w:val="24"/>
        </w:rPr>
        <w:t xml:space="preserve">1.整体系统验收合格后免费维保3年。</w:t>
      </w:r>
      <w:r/>
    </w:p>
    <w:p>
      <w:pPr>
        <w:ind w:firstLine="480"/>
        <w:keepLines w:val="0"/>
        <w:keepNext w:val="0"/>
        <w:pageBreakBefore w:val="0"/>
        <w:spacing w:line="400" w:lineRule="exact"/>
        <w:tabs>
          <w:tab w:val="left" w:pos="420" w:leader="none"/>
        </w:tabs>
        <w:rPr>
          <w:rFonts w:ascii="宋体" w:hAnsi="宋体"/>
          <w:sz w:val="24"/>
        </w:rPr>
      </w:pPr>
      <w:r>
        <w:rPr>
          <w:rFonts w:hint="eastAsia" w:ascii="宋体" w:hAnsi="宋体"/>
          <w:sz w:val="24"/>
        </w:rPr>
        <w:t xml:space="preserve">2.供应商所承诺的服务内容应包括：供应商的服务响应及维保等承诺，详细说明服务能力、服务时间、人员配备、系统故障响应、诊断、应急处理、巡检计划等；供应商的技术支持和相应软件的升级承诺等。</w:t>
      </w:r>
      <w:r/>
    </w:p>
    <w:p>
      <w:pPr>
        <w:ind w:firstLine="480"/>
        <w:keepLines w:val="0"/>
        <w:keepNext w:val="0"/>
        <w:pageBreakBefore w:val="0"/>
        <w:spacing w:line="400" w:lineRule="exact"/>
        <w:tabs>
          <w:tab w:val="left" w:pos="420" w:leader="none"/>
        </w:tabs>
        <w:rPr>
          <w:rFonts w:ascii="宋体" w:hAnsi="宋体"/>
          <w:sz w:val="24"/>
        </w:rPr>
      </w:pPr>
      <w:r>
        <w:rPr>
          <w:rFonts w:hint="eastAsia" w:ascii="宋体" w:hAnsi="宋体"/>
          <w:sz w:val="24"/>
        </w:rPr>
        <w:t xml:space="preserve">3.在系统的服务期内，供应商应确保系统的正常使用。提供7×24小时的免费上门保修服务，接到用户服务需求后半小时内响应，4小时内到达现场，24小时内解决故障。</w:t>
      </w:r>
      <w:r/>
    </w:p>
    <w:p>
      <w:pPr>
        <w:ind w:firstLine="480"/>
        <w:keepLines w:val="0"/>
        <w:keepNext w:val="0"/>
        <w:pageBreakBefore w:val="0"/>
        <w:spacing w:line="400" w:lineRule="exact"/>
        <w:tabs>
          <w:tab w:val="left" w:pos="420" w:leader="none"/>
        </w:tabs>
        <w:rPr>
          <w:rFonts w:ascii="宋体" w:hAnsi="宋体"/>
          <w:sz w:val="24"/>
        </w:rPr>
      </w:pPr>
      <w:r>
        <w:rPr>
          <w:rFonts w:hint="eastAsia" w:ascii="宋体" w:hAnsi="宋体"/>
          <w:sz w:val="24"/>
        </w:rPr>
        <w:t xml:space="preserve">4.热线电话服务提供技术咨询、故障诊断、故障排除、以及现场支持等具体的技术支持工作，并对客户投诉做出相应处理。</w:t>
      </w:r>
      <w:r/>
    </w:p>
    <w:p>
      <w:pPr>
        <w:ind w:firstLine="480"/>
        <w:keepLines w:val="0"/>
        <w:keepNext w:val="0"/>
        <w:pageBreakBefore w:val="0"/>
        <w:spacing w:line="400" w:lineRule="exact"/>
        <w:tabs>
          <w:tab w:val="left" w:pos="420" w:leader="none"/>
        </w:tabs>
        <w:rPr>
          <w:rFonts w:ascii="宋体" w:hAnsi="宋体"/>
          <w:sz w:val="24"/>
        </w:rPr>
      </w:pPr>
      <w:r>
        <w:rPr>
          <w:rFonts w:hint="eastAsia" w:ascii="宋体" w:hAnsi="宋体"/>
          <w:sz w:val="24"/>
        </w:rPr>
        <w:t xml:space="preserve">5.每半年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ind w:firstLine="480"/>
        <w:keepLines w:val="0"/>
        <w:keepNext w:val="0"/>
        <w:pageBreakBefore w:val="0"/>
        <w:spacing w:line="400" w:lineRule="exact"/>
        <w:tabs>
          <w:tab w:val="left" w:pos="709" w:leader="none"/>
        </w:tabs>
        <w:rPr>
          <w:rFonts w:ascii="黑体" w:hAnsi="黑体" w:eastAsia="黑体" w:cs="宋体"/>
          <w:sz w:val="24"/>
          <w:szCs w:val="24"/>
        </w:rPr>
        <w:outlineLvl w:val="9"/>
      </w:pPr>
      <w:r>
        <w:rPr>
          <w:rFonts w:ascii="黑体" w:hAnsi="黑体" w:eastAsia="黑体" w:cs="宋体"/>
          <w:sz w:val="24"/>
          <w:szCs w:val="24"/>
        </w:rPr>
      </w:r>
      <w:r/>
    </w:p>
    <w:p>
      <w:pPr>
        <w:keepLines w:val="0"/>
        <w:keepNext w:val="0"/>
        <w:pageBreakBefore w:val="0"/>
        <w:spacing w:line="400" w:lineRule="exact"/>
        <w:tabs>
          <w:tab w:val="left" w:pos="709" w:leader="none"/>
        </w:tabs>
        <w:rPr>
          <w:rFonts w:ascii="黑体" w:hAnsi="黑体" w:eastAsia="黑体" w:cs="宋体"/>
          <w:sz w:val="28"/>
          <w:szCs w:val="28"/>
          <w:highlight w:val="none"/>
        </w:rPr>
        <w:outlineLvl w:val="1"/>
      </w:pPr>
      <w:r>
        <w:rPr>
          <w:rFonts w:hint="eastAsia" w:ascii="黑体" w:hAnsi="黑体" w:eastAsia="黑体" w:cs="宋体"/>
          <w:sz w:val="28"/>
          <w:szCs w:val="28"/>
          <w:lang w:val="en-US" w:eastAsia="zh-CN"/>
        </w:rPr>
        <w:t xml:space="preserve">七</w:t>
      </w:r>
      <w:r>
        <w:rPr>
          <w:rFonts w:hint="eastAsia" w:ascii="黑体" w:hAnsi="黑体" w:eastAsia="黑体" w:cs="宋体"/>
          <w:sz w:val="28"/>
          <w:szCs w:val="28"/>
          <w:highlight w:val="none"/>
        </w:rPr>
        <w:t xml:space="preserve">、付款方式：</w:t>
      </w:r>
      <w:r/>
    </w:p>
    <w:p>
      <w:pPr>
        <w:ind w:firstLine="480"/>
        <w:keepLines w:val="0"/>
        <w:keepNext w:val="0"/>
        <w:pageBreakBefore w:val="0"/>
        <w:spacing w:line="400" w:lineRule="exact"/>
        <w:rPr>
          <w:rFonts w:hint="eastAsia" w:eastAsiaTheme="minorEastAsia"/>
          <w:lang w:val="en-US" w:eastAsia="zh-CN"/>
        </w:rPr>
      </w:pPr>
      <w:r>
        <w:rPr>
          <w:rFonts w:hint="eastAsia" w:ascii="宋体" w:hAnsi="宋体"/>
          <w:sz w:val="24"/>
        </w:rPr>
        <w:t xml:space="preserve">合同签订后支付合同</w:t>
      </w:r>
      <w:r>
        <w:rPr>
          <w:rFonts w:hint="eastAsia" w:ascii="宋体" w:hAnsi="宋体"/>
          <w:sz w:val="24"/>
        </w:rPr>
        <w:t xml:space="preserve">金额</w:t>
      </w:r>
      <w:r>
        <w:rPr>
          <w:rFonts w:hint="eastAsia" w:ascii="宋体" w:hAnsi="宋体"/>
          <w:sz w:val="24"/>
        </w:rPr>
        <w:t xml:space="preserve">的30%，验收合格后支付合同金额的</w:t>
      </w:r>
      <w:r>
        <w:rPr>
          <w:rFonts w:hint="eastAsia" w:ascii="宋体" w:hAnsi="宋体"/>
          <w:sz w:val="24"/>
        </w:rPr>
        <w:t xml:space="preserve">70%</w:t>
      </w:r>
      <w:r>
        <w:rPr>
          <w:rFonts w:hint="eastAsia" w:ascii="宋体" w:hAnsi="宋体"/>
          <w:sz w:val="24"/>
          <w:lang w:eastAsia="zh-CN"/>
        </w:rPr>
        <w:t xml:space="preserve">。</w:t>
      </w:r>
      <w:r/>
    </w:p>
    <w:p>
      <w:pPr>
        <w:keepLines w:val="0"/>
        <w:keepNext w:val="0"/>
        <w:pageBreakBefore w:val="0"/>
        <w:spacing w:line="400" w:lineRule="exact"/>
      </w:pPr>
      <w:r/>
      <w:r/>
    </w:p>
    <w:p>
      <w:pPr>
        <w:jc w:val="left"/>
        <w:keepLines w:val="0"/>
        <w:keepNext w:val="0"/>
        <w:pageBreakBefore w:val="0"/>
        <w:spacing w:line="400" w:lineRule="exact"/>
        <w:widowControl/>
        <w:rPr>
          <w:rFonts w:ascii="黑体" w:hAnsi="黑体" w:eastAsia="黑体" w:cs="宋体"/>
          <w:sz w:val="28"/>
          <w:szCs w:val="28"/>
        </w:rPr>
        <w:outlineLvl w:val="1"/>
      </w:pPr>
      <w:r>
        <w:rPr>
          <w:rFonts w:hint="eastAsia" w:ascii="黑体" w:hAnsi="黑体" w:eastAsia="黑体" w:cs="宋体"/>
          <w:sz w:val="28"/>
          <w:szCs w:val="28"/>
          <w:lang w:val="en-US" w:eastAsia="zh-CN"/>
        </w:rPr>
        <w:t xml:space="preserve">八</w:t>
      </w:r>
      <w:r>
        <w:rPr>
          <w:rFonts w:hint="eastAsia" w:ascii="黑体" w:hAnsi="黑体" w:eastAsia="黑体" w:cs="宋体"/>
          <w:sz w:val="28"/>
          <w:szCs w:val="28"/>
        </w:rPr>
        <w:t xml:space="preserve">、有关说明：</w:t>
      </w:r>
      <w:r/>
    </w:p>
    <w:p>
      <w:pPr>
        <w:ind w:firstLine="480"/>
        <w:keepLines w:val="0"/>
        <w:keepNext w:val="0"/>
        <w:pageBreakBefore w:val="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1、本项目为一个包，投标人报价内容必须报全，不得漏项。</w:t>
      </w:r>
      <w:r/>
    </w:p>
    <w:p>
      <w:pPr>
        <w:ind w:firstLine="480"/>
        <w:keepLines w:val="0"/>
        <w:keepNext w:val="0"/>
        <w:pageBreakBefore w:val="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2、本项目为固定总价合同，项目报价（合同总价）应包括完成本项目可能发生的所有费用，包括各种工作经费（软件开发费、外业调查费、内业处理费等）</w:t>
      </w:r>
      <w:r>
        <w:rPr>
          <w:rFonts w:hint="eastAsia" w:ascii="宋体" w:hAnsi="宋体" w:cs="微软雅黑"/>
          <w:bCs/>
          <w:sz w:val="24"/>
          <w:szCs w:val="24"/>
          <w:lang w:eastAsia="zh-CN"/>
        </w:rPr>
        <w:t xml:space="preserve">、</w:t>
      </w:r>
      <w:r>
        <w:rPr>
          <w:rFonts w:hint="eastAsia" w:ascii="宋体" w:hAnsi="宋体" w:eastAsia="宋体" w:cs="微软雅黑"/>
          <w:bCs/>
          <w:sz w:val="24"/>
          <w:szCs w:val="24"/>
        </w:rPr>
        <w:t xml:space="preserve">所有接口费用、系统培训费用、安装调试</w:t>
      </w:r>
      <w:r>
        <w:rPr>
          <w:rFonts w:hint="eastAsia" w:ascii="宋体" w:hAnsi="宋体" w:eastAsia="宋体" w:cs="微软雅黑"/>
          <w:bCs/>
          <w:sz w:val="24"/>
          <w:szCs w:val="24"/>
          <w:lang w:val="en-US" w:eastAsia="zh-CN"/>
        </w:rPr>
        <w:t xml:space="preserve">费、</w:t>
      </w:r>
      <w:r>
        <w:rPr>
          <w:rFonts w:hint="eastAsia" w:ascii="宋体" w:hAnsi="宋体" w:eastAsia="宋体" w:cs="微软雅黑"/>
          <w:bCs/>
          <w:sz w:val="24"/>
          <w:szCs w:val="24"/>
        </w:rPr>
        <w:t xml:space="preserve">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keepLines w:val="0"/>
        <w:keepNext w:val="0"/>
        <w:pageBreakBefore w:val="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3、招标人向投标人提供的有关现场的数据和资料，是招标人现有的能被投标人利用的资料，招标人对投标人做出的任何推论、理解和结论均不负责任。</w:t>
      </w:r>
      <w:r/>
    </w:p>
    <w:p>
      <w:pPr>
        <w:ind w:firstLine="480"/>
        <w:keepLines w:val="0"/>
        <w:keepNext w:val="0"/>
        <w:pageBreakBefore w:val="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4、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keepLines w:val="0"/>
        <w:keepNext w:val="0"/>
        <w:pageBreakBefore w:val="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5、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为完成项目给采购人定向开发的软件，其知识产权归采购人所有。</w:t>
      </w:r>
      <w:r/>
    </w:p>
    <w:p>
      <w:pPr>
        <w:ind w:firstLine="480"/>
        <w:keepLines w:val="0"/>
        <w:keepNext w:val="0"/>
        <w:pageBreakBefore w:val="0"/>
        <w:spacing w:line="400" w:lineRule="exact"/>
        <w:rPr>
          <w:rFonts w:ascii="宋体" w:hAnsi="宋体" w:eastAsia="宋体" w:cs="微软雅黑"/>
          <w:bCs/>
          <w:sz w:val="24"/>
          <w:szCs w:val="24"/>
        </w:rPr>
      </w:pPr>
      <w:r>
        <w:rPr>
          <w:rFonts w:hint="eastAsia" w:ascii="宋体" w:hAnsi="宋体" w:eastAsia="宋体" w:cs="微软雅黑"/>
          <w:bCs/>
          <w:sz w:val="24"/>
          <w:szCs w:val="24"/>
        </w:rPr>
        <w:t xml:space="preserve">6、凡涉及招标文件的补充说明或修正，均以江阴市政府采购中心书面依据为准。 </w:t>
      </w:r>
      <w:r/>
    </w:p>
    <w:p>
      <w:pPr>
        <w:ind w:firstLine="480"/>
        <w:keepLines w:val="0"/>
        <w:keepNext w:val="0"/>
        <w:pageBreakBefore w:val="0"/>
        <w:spacing w:line="400" w:lineRule="exact"/>
        <w:rPr>
          <w:rFonts w:hint="eastAsia" w:ascii="宋体" w:hAnsi="宋体" w:eastAsia="宋体" w:cs="宋体"/>
          <w:sz w:val="24"/>
        </w:rPr>
      </w:pPr>
      <w:r>
        <w:rPr>
          <w:rFonts w:hint="eastAsia" w:ascii="宋体" w:hAnsi="宋体" w:eastAsia="宋体" w:cs="微软雅黑"/>
          <w:bCs/>
          <w:sz w:val="24"/>
          <w:szCs w:val="24"/>
        </w:rPr>
        <w:t xml:space="preserve">7、江阴市政府采购中心对本次招标结果不作任何解释。</w:t>
      </w:r>
      <w:r/>
    </w:p>
    <w:p>
      <w:pPr>
        <w:numPr>
          <w:ilvl w:val="0"/>
          <w:numId w:val="0"/>
        </w:numPr>
        <w:jc w:val="both"/>
        <w:widowControl w:val="off"/>
        <w:rPr>
          <w:rFonts w:hint="eastAsia" w:ascii="宋体" w:hAnsi="宋体" w:eastAsia="宋体" w:cs="宋体"/>
          <w:sz w:val="24"/>
        </w:rPr>
      </w:pPr>
      <w:r>
        <w:rPr>
          <w:rFonts w:hint="eastAsia" w:ascii="宋体" w:hAnsi="宋体" w:eastAsia="宋体" w:cs="宋体"/>
          <w:sz w:val="24"/>
        </w:rPr>
      </w:r>
      <w:r/>
    </w:p>
    <w:p>
      <w:pPr>
        <w:numPr>
          <w:ilvl w:val="0"/>
          <w:numId w:val="0"/>
        </w:numPr>
        <w:jc w:val="both"/>
        <w:widowControl w:val="off"/>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80"/>
      </w:pPr>
      <w:r/>
      <w:bookmarkStart w:id="12" w:name="_Toc213847316"/>
      <w:r>
        <w:rPr>
          <w:rFonts w:hint="eastAsia"/>
        </w:rPr>
        <w:t xml:space="preserve">第四章  评标方法和评标标准</w:t>
      </w:r>
      <w:bookmarkEnd w:id="12"/>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Style w:val="858"/>
        <w:tblW w:w="4639"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9"/>
        <w:gridCol w:w="782"/>
        <w:gridCol w:w="1208"/>
        <w:gridCol w:w="4951"/>
        <w:gridCol w:w="883"/>
      </w:tblGrid>
      <w:tr>
        <w:trPr>
          <w:jc w:val="center"/>
          <w:trHeight w:val="20"/>
        </w:trPr>
        <w:tc>
          <w:tcPr>
            <w:tcBorders>
              <w:top w:val="single" w:color="auto" w:sz="8" w:space="0"/>
              <w:left w:val="single" w:color="auto" w:sz="8"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51" w:type="dxa"/>
            <w:vAlign w:val="center"/>
            <w:textDirection w:val="lrTb"/>
            <w:noWrap w:val="false"/>
          </w:tcPr>
          <w:p>
            <w:pPr>
              <w:jc w:val="cente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109"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一、价格部分</w:t>
            </w:r>
            <w:r/>
          </w:p>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（20分）</w:t>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满足招标文件要求且投标报价最低的投标报价为评标基准价，其价格为满分。其他投标人的价格分按照下列公式计算：</w:t>
            </w:r>
            <w:r/>
          </w:p>
          <w:p>
            <w:pP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w:t>
            </w:r>
            <w:r/>
          </w:p>
        </w:tc>
      </w:tr>
      <w:tr>
        <w:trPr>
          <w:jc w:val="center"/>
          <w:trHeight w:val="1215"/>
        </w:trPr>
        <w:tc>
          <w:tcPr>
            <w:tcBorders>
              <w:left w:val="single" w:color="auto" w:sz="8" w:space="0"/>
              <w:right w:val="single" w:color="auto" w:sz="6" w:space="0"/>
            </w:tcBorders>
            <w:tcW w:w="1109" w:type="dxa"/>
            <w:vAlign w:val="center"/>
            <w:vMerge w:val="restart"/>
            <w:textDirection w:val="lrTb"/>
            <w:noWrap w:val="false"/>
          </w:tcPr>
          <w:p>
            <w:pPr>
              <w:jc w:val="left"/>
              <w:widowControl/>
              <w:rPr>
                <w:rFonts w:hint="eastAsia" w:ascii="宋体" w:hAnsi="宋体" w:eastAsia="宋体" w:cs="Times New Roman"/>
                <w:sz w:val="24"/>
                <w:szCs w:val="24"/>
                <w:highlight w:val="none"/>
                <w:lang w:eastAsia="zh-CN"/>
              </w:rPr>
            </w:pPr>
            <w:r>
              <w:rPr>
                <w:rFonts w:hint="eastAsia" w:ascii="宋体" w:hAnsi="宋体" w:cs="Times New Roman"/>
                <w:sz w:val="24"/>
                <w:szCs w:val="24"/>
                <w:highlight w:val="none"/>
                <w:lang w:eastAsia="zh-CN"/>
              </w:rPr>
              <w:t xml:space="preserve">二、技术部分（</w:t>
            </w:r>
            <w:r>
              <w:rPr>
                <w:rFonts w:hint="eastAsia" w:ascii="宋体" w:hAnsi="宋体" w:cs="Times New Roman"/>
                <w:sz w:val="24"/>
                <w:szCs w:val="24"/>
                <w:highlight w:val="none"/>
                <w:lang w:val="en-US" w:eastAsia="zh-CN"/>
              </w:rPr>
              <w:t xml:space="preserve">60分</w:t>
            </w:r>
            <w:r>
              <w:rPr>
                <w:rFonts w:hint="eastAsia" w:ascii="宋体" w:hAnsi="宋体" w:cs="Times New Roman"/>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2.1</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sz w:val="24"/>
                <w:highlight w:val="none"/>
              </w:rPr>
              <w:t xml:space="preserve">产品技术</w:t>
            </w:r>
            <w:r>
              <w:rPr>
                <w:rFonts w:hint="eastAsia" w:ascii="宋体" w:hAnsi="宋体"/>
                <w:sz w:val="24"/>
                <w:highlight w:val="none"/>
                <w:lang w:val="en-US" w:eastAsia="zh-CN"/>
              </w:rPr>
              <w:t xml:space="preserve">参数</w:t>
            </w:r>
            <w:r/>
          </w:p>
        </w:tc>
        <w:tc>
          <w:tcPr>
            <w:tcBorders>
              <w:top w:val="single" w:color="auto" w:sz="6" w:space="0"/>
              <w:left w:val="single" w:color="auto" w:sz="6" w:space="0"/>
              <w:bottom w:val="single" w:color="auto" w:sz="6" w:space="0"/>
              <w:right w:val="single" w:color="auto" w:sz="6" w:space="0"/>
            </w:tcBorders>
            <w:tcW w:w="4951" w:type="dxa"/>
            <w:vAlign w:val="top"/>
            <w:textDirection w:val="lrTb"/>
            <w:noWrap w:val="false"/>
          </w:tcPr>
          <w:p>
            <w:pPr>
              <w:spacing w:line="400" w:lineRule="exact"/>
              <w:rPr>
                <w:rFonts w:ascii="宋体" w:eastAsia="宋体"/>
                <w:sz w:val="24"/>
                <w:highlight w:val="none"/>
              </w:rPr>
            </w:pPr>
            <w:r>
              <w:rPr>
                <w:rFonts w:hint="eastAsia" w:ascii="宋体" w:eastAsia="宋体"/>
                <w:sz w:val="24"/>
                <w:highlight w:val="none"/>
              </w:rPr>
              <w:t xml:space="preserve">根据《</w:t>
            </w:r>
            <w:r>
              <w:rPr>
                <w:rFonts w:hint="eastAsia" w:ascii="宋体" w:hAnsi="宋体" w:eastAsia="宋体" w:cs="Times New Roman"/>
                <w:sz w:val="24"/>
                <w:szCs w:val="24"/>
                <w:highlight w:val="none"/>
              </w:rPr>
              <w:t xml:space="preserve">分项报价表</w:t>
            </w:r>
            <w:r>
              <w:rPr>
                <w:rFonts w:hint="eastAsia" w:ascii="宋体" w:eastAsia="宋体"/>
                <w:sz w:val="24"/>
                <w:highlight w:val="none"/>
              </w:rPr>
              <w:t xml:space="preserve">》《</w:t>
            </w:r>
            <w:r>
              <w:rPr>
                <w:rFonts w:hint="eastAsia" w:ascii="宋体" w:hAnsi="宋体" w:eastAsia="宋体" w:cs="Times New Roman"/>
                <w:sz w:val="24"/>
                <w:szCs w:val="24"/>
                <w:highlight w:val="none"/>
              </w:rPr>
              <w:t xml:space="preserve">商务、技术要求响应及偏离表</w:t>
            </w:r>
            <w:r>
              <w:rPr>
                <w:rFonts w:hint="eastAsia" w:ascii="宋体" w:eastAsia="宋体"/>
                <w:sz w:val="24"/>
                <w:highlight w:val="none"/>
              </w:rPr>
              <w:t xml:space="preserve">》等对</w:t>
            </w:r>
            <w:r>
              <w:rPr>
                <w:rFonts w:hint="eastAsia" w:ascii="宋体" w:eastAsia="宋体"/>
                <w:b/>
                <w:bCs/>
                <w:sz w:val="24"/>
                <w:highlight w:val="none"/>
              </w:rPr>
              <w:t xml:space="preserve">“</w:t>
            </w:r>
            <w:r>
              <w:rPr>
                <w:rFonts w:hint="eastAsia" w:ascii="宋体" w:hAnsi="宋体" w:eastAsia="宋体" w:cs="宋体"/>
                <w:b/>
                <w:bCs/>
                <w:sz w:val="24"/>
                <w:szCs w:val="24"/>
                <w:highlight w:val="none"/>
              </w:rPr>
              <w:t xml:space="preserve">技术参数要求</w:t>
            </w:r>
            <w:r>
              <w:rPr>
                <w:rFonts w:hint="eastAsia" w:ascii="宋体" w:eastAsia="宋体"/>
                <w:b/>
                <w:bCs/>
                <w:sz w:val="24"/>
                <w:highlight w:val="none"/>
              </w:rPr>
              <w:t xml:space="preserve">”</w:t>
            </w:r>
            <w:r>
              <w:rPr>
                <w:rFonts w:hint="eastAsia" w:ascii="宋体" w:eastAsia="宋体"/>
                <w:sz w:val="24"/>
                <w:highlight w:val="none"/>
              </w:rPr>
              <w:t xml:space="preserve">部分的性能、技术参数的响应情况进行评审打分：全部符合招标文件要求，无负偏离得</w:t>
            </w:r>
            <w:r>
              <w:rPr>
                <w:rFonts w:hint="eastAsia" w:ascii="宋体"/>
                <w:sz w:val="24"/>
                <w:highlight w:val="none"/>
                <w:lang w:val="en-US" w:eastAsia="zh-CN"/>
              </w:rPr>
              <w:t xml:space="preserve">33</w:t>
            </w:r>
            <w:r>
              <w:rPr>
                <w:rFonts w:hint="eastAsia" w:ascii="宋体" w:eastAsia="宋体"/>
                <w:sz w:val="24"/>
                <w:highlight w:val="none"/>
              </w:rPr>
              <w:t xml:space="preserve">分，打“</w:t>
            </w:r>
            <w:r>
              <w:rPr>
                <w:rFonts w:hint="eastAsia" w:ascii="宋体" w:eastAsia="宋体" w:cs="宋体"/>
                <w:b/>
                <w:bCs/>
                <w:sz w:val="24"/>
                <w:highlight w:val="none"/>
              </w:rPr>
              <w:t xml:space="preserve">★</w:t>
            </w:r>
            <w:r>
              <w:rPr>
                <w:rFonts w:hint="eastAsia" w:ascii="宋体" w:eastAsia="宋体"/>
                <w:sz w:val="24"/>
                <w:highlight w:val="none"/>
              </w:rPr>
              <w:t xml:space="preserve">”项有一项负偏离扣</w:t>
            </w:r>
            <w:r>
              <w:rPr>
                <w:rFonts w:hint="eastAsia" w:ascii="宋体"/>
                <w:sz w:val="24"/>
                <w:highlight w:val="none"/>
                <w:lang w:val="en-US" w:eastAsia="zh-CN"/>
              </w:rPr>
              <w:t xml:space="preserve">2</w:t>
            </w:r>
            <w:r>
              <w:rPr>
                <w:rFonts w:hint="eastAsia" w:ascii="宋体" w:eastAsia="宋体"/>
                <w:sz w:val="24"/>
                <w:highlight w:val="none"/>
              </w:rPr>
              <w:t xml:space="preserve">分，其余项有一项负偏离扣</w:t>
            </w:r>
            <w:r>
              <w:rPr>
                <w:rFonts w:hint="eastAsia" w:ascii="宋体" w:eastAsia="宋体"/>
                <w:sz w:val="24"/>
                <w:highlight w:val="none"/>
                <w:lang w:val="en-US" w:eastAsia="zh-CN"/>
              </w:rPr>
              <w:t xml:space="preserve">1</w:t>
            </w:r>
            <w:r>
              <w:rPr>
                <w:rFonts w:hint="eastAsia" w:ascii="宋体" w:eastAsia="宋体"/>
                <w:sz w:val="24"/>
                <w:highlight w:val="none"/>
              </w:rPr>
              <w:t xml:space="preserve">分，扣完为止。</w:t>
            </w:r>
            <w:r/>
          </w:p>
          <w:p>
            <w:pPr>
              <w:jc w:val="left"/>
              <w:spacing w:line="400" w:lineRule="exact"/>
              <w:widowControl/>
              <w:rPr>
                <w:rFonts w:hint="eastAsia" w:ascii="宋体" w:hAnsi="宋体" w:eastAsia="宋体" w:cs="宋体"/>
                <w:sz w:val="24"/>
                <w:szCs w:val="24"/>
                <w:highlight w:val="none"/>
                <w:lang w:val="en-US" w:eastAsia="zh-CN" w:bidi="ar"/>
              </w:rPr>
            </w:pPr>
            <w:r>
              <w:rPr>
                <w:rFonts w:hint="eastAsia" w:ascii="宋体" w:eastAsia="宋体"/>
                <w:b/>
                <w:bCs/>
                <w:sz w:val="24"/>
                <w:highlight w:val="none"/>
              </w:rPr>
              <w:t xml:space="preserve">(未按要求提供证明材料的视为负偏离)</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hint="default" w:ascii="宋体" w:hAnsi="宋体" w:eastAsia="宋体" w:cs="Times New Roman"/>
                <w:color w:val="000000"/>
                <w:sz w:val="24"/>
                <w:szCs w:val="24"/>
                <w:highlight w:val="none"/>
                <w:lang w:val="en-US" w:eastAsia="zh-CN" w:bidi="ar-SA"/>
              </w:rPr>
            </w:pPr>
            <w:r>
              <w:rPr>
                <w:rFonts w:hint="eastAsia" w:ascii="宋体" w:hAnsi="宋体"/>
                <w:color w:val="000000"/>
                <w:sz w:val="24"/>
                <w:highlight w:val="none"/>
                <w:lang w:val="en-US" w:eastAsia="zh-CN"/>
              </w:rPr>
              <w:t xml:space="preserve">33</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宋体"/>
                <w:sz w:val="24"/>
                <w:szCs w:val="24"/>
                <w:highlight w:val="none"/>
              </w:rPr>
            </w:pPr>
            <w:r>
              <w:rPr>
                <w:rFonts w:hint="eastAsia" w:ascii="宋体" w:hAnsi="宋体" w:eastAsia="宋体" w:cs="Times New Roman"/>
                <w:sz w:val="24"/>
                <w:szCs w:val="24"/>
                <w:highlight w:val="none"/>
              </w:rPr>
              <w:t xml:space="preserve">项目需求理解</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highlight w:val="none"/>
              </w:rPr>
            </w:pPr>
            <w:r>
              <w:rPr>
                <w:rFonts w:hint="eastAsia" w:ascii="宋体" w:hAnsi="宋体" w:eastAsia="宋体"/>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6</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系统设计方案</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contextualSpacing/>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投标人针对本项目提供系统设计方案，包括①总体架构设计方案、②关键功能模块设计方案，方案内容描述全面合理符合采购需求的得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分，每有一项内容缺失的扣</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分；每有一项内容存在缺陷或不满足要求的扣</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分，扣完为止。</w:t>
            </w:r>
            <w:r/>
          </w:p>
          <w:p>
            <w:pPr>
              <w:contextualSpacing/>
              <w:jc w:val="left"/>
              <w:spacing w:line="400" w:lineRule="exact"/>
              <w:rPr>
                <w:rFonts w:hint="eastAsia" w:ascii="宋体" w:hAnsi="宋体" w:eastAsia="宋体"/>
                <w:sz w:val="24"/>
                <w:szCs w:val="24"/>
                <w:highlight w:val="none"/>
              </w:rPr>
            </w:pPr>
            <w:r>
              <w:rPr>
                <w:rFonts w:hint="eastAsia" w:ascii="宋体" w:hAnsi="宋体" w:cs="宋体"/>
                <w:sz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6</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实施方案</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contextualSpacing/>
              <w:jc w:val="left"/>
              <w:spacing w:line="400" w:lineRule="exact"/>
              <w:rPr>
                <w:rFonts w:ascii="宋体" w:hAnsi="宋体" w:eastAsia="宋体" w:cs="宋体"/>
                <w:sz w:val="24"/>
                <w:szCs w:val="24"/>
                <w:highlight w:val="none"/>
              </w:rPr>
            </w:pPr>
            <w:r>
              <w:rPr>
                <w:rFonts w:hint="eastAsia" w:ascii="宋体" w:hAnsi="宋体" w:eastAsia="宋体"/>
                <w:sz w:val="24"/>
                <w:szCs w:val="24"/>
                <w:highlight w:val="none"/>
              </w:rPr>
              <w:t xml:space="preserve">投标人针对本项目提供实施方案，包括</w:t>
            </w:r>
            <w:r>
              <w:rPr>
                <w:rFonts w:hint="eastAsia" w:ascii="宋体" w:hAnsi="宋体" w:eastAsia="宋体" w:cs="Times New Roman"/>
                <w:sz w:val="24"/>
                <w:szCs w:val="24"/>
                <w:highlight w:val="none"/>
              </w:rPr>
              <w:t xml:space="preserve">①实施团队人员组织构成、②实施进度计划、③实施部署方案、④质量管理方案</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方案内容描述全面合理符合采购需求的得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分，每有一项内容缺失的扣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分；每有一项内容存在缺陷或不满足要求的扣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分，扣完为止。</w:t>
            </w:r>
            <w:r/>
          </w:p>
          <w:p>
            <w:pPr>
              <w:jc w:val="left"/>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hint="default"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8</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培训方案</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投标人针对本项目提供</w:t>
            </w:r>
            <w:r>
              <w:rPr>
                <w:rFonts w:hint="eastAsia" w:ascii="宋体" w:hAnsi="宋体" w:eastAsia="宋体" w:cs="Times New Roman"/>
                <w:sz w:val="24"/>
                <w:szCs w:val="24"/>
                <w:highlight w:val="none"/>
              </w:rPr>
              <w:t xml:space="preserve">培训方案</w:t>
            </w:r>
            <w:r>
              <w:rPr>
                <w:rFonts w:hint="eastAsia" w:ascii="宋体" w:hAnsi="宋体" w:eastAsia="宋体" w:cs="宋体"/>
                <w:sz w:val="24"/>
                <w:szCs w:val="24"/>
                <w:highlight w:val="none"/>
              </w:rPr>
              <w:t xml:space="preserve">，包括①培训计划、②培训方式、③培训人员配置</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highlight w:val="none"/>
              </w:rPr>
            </w:pPr>
            <w:r>
              <w:rPr>
                <w:rFonts w:hint="eastAsia" w:ascii="宋体" w:hAnsi="宋体" w:eastAsia="宋体"/>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left"/>
              <w:widowControl/>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售后服务方案</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投标人针对本项目提供</w:t>
            </w:r>
            <w:r>
              <w:rPr>
                <w:rFonts w:ascii="宋体" w:hAnsi="宋体" w:eastAsia="宋体" w:cs="Times New Roman"/>
                <w:sz w:val="24"/>
                <w:szCs w:val="24"/>
                <w:highlight w:val="none"/>
              </w:rPr>
              <w:t xml:space="preserve">售后服务方案</w:t>
            </w:r>
            <w:r>
              <w:rPr>
                <w:rFonts w:hint="eastAsia" w:ascii="宋体" w:hAnsi="宋体" w:eastAsia="宋体" w:cs="宋体"/>
                <w:sz w:val="24"/>
                <w:szCs w:val="24"/>
                <w:highlight w:val="none"/>
              </w:rPr>
              <w:t xml:space="preserve">，包括①售后服务内容、②故障应急响应时间、③应急处置预案及措施、④维护服务人员保障体系</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r>
      <w:tr>
        <w:trPr>
          <w:jc w:val="center"/>
          <w:trHeight w:val="20"/>
        </w:trPr>
        <w:tc>
          <w:tcPr>
            <w:tcBorders>
              <w:top w:val="single" w:color="auto" w:sz="6" w:space="0"/>
              <w:left w:val="single" w:color="auto" w:sz="8" w:space="0"/>
              <w:right w:val="single" w:color="auto" w:sz="6" w:space="0"/>
            </w:tcBorders>
            <w:tcW w:w="1109" w:type="dxa"/>
            <w:vAlign w:val="center"/>
            <w:vMerge w:val="restart"/>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三、商务部分</w:t>
            </w:r>
            <w:r/>
          </w:p>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（20分）</w:t>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3.1</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综合实力</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ascii="宋体" w:hAnsi="宋体" w:eastAsia="宋体" w:cs="宋体"/>
                <w:sz w:val="24"/>
                <w:szCs w:val="24"/>
                <w:highlight w:val="none"/>
              </w:rPr>
              <w:t xml:space="preserve">投标人具有</w:t>
            </w:r>
            <w:r>
              <w:rPr>
                <w:rFonts w:hint="eastAsia" w:ascii="宋体" w:hAnsi="宋体" w:eastAsia="宋体" w:cs="宋体"/>
                <w:sz w:val="24"/>
                <w:szCs w:val="24"/>
                <w:highlight w:val="none"/>
              </w:rPr>
              <w:t xml:space="preserve">①</w:t>
            </w:r>
            <w:r>
              <w:rPr>
                <w:rFonts w:hint="eastAsia" w:ascii="宋体" w:hAnsi="宋体" w:cs="宋体"/>
                <w:sz w:val="24"/>
                <w:highlight w:val="none"/>
              </w:rPr>
              <w:t xml:space="preserve">ISO9001质量管理体系认证证书</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②</w:t>
            </w:r>
            <w:r>
              <w:rPr>
                <w:rFonts w:hint="eastAsia" w:ascii="宋体" w:hAnsi="宋体" w:cs="宋体"/>
                <w:sz w:val="24"/>
                <w:highlight w:val="none"/>
                <w:lang w:eastAsia="zh-CN"/>
              </w:rPr>
              <w:t xml:space="preserve">知识产权管理体系</w:t>
            </w:r>
            <w:r>
              <w:rPr>
                <w:rFonts w:hint="eastAsia" w:ascii="宋体" w:hAnsi="宋体" w:cs="宋体"/>
                <w:sz w:val="24"/>
                <w:highlight w:val="none"/>
              </w:rPr>
              <w:t xml:space="preserve">认证证书</w:t>
            </w:r>
            <w:r>
              <w:rPr>
                <w:rFonts w:hint="eastAsia" w:ascii="宋体" w:hAnsi="宋体" w:eastAsia="宋体" w:cs="宋体"/>
                <w:sz w:val="24"/>
                <w:szCs w:val="24"/>
                <w:highlight w:val="none"/>
              </w:rPr>
              <w:t xml:space="preserve">、③ISO20000信息技术服务管理体系认证证书、④ISO27001信息安全管理体系认证证书的，有一项得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p>
            <w:pPr>
              <w:jc w:val="left"/>
              <w:spacing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hint="eastAsia" w:ascii="宋体" w:hAnsi="宋体" w:eastAsia="宋体" w:cs="Times New Roman"/>
                <w:sz w:val="24"/>
                <w:highlight w:val="none"/>
                <w:lang w:val="en-US" w:eastAsia="zh-CN"/>
              </w:rPr>
            </w:pPr>
            <w:r>
              <w:rPr>
                <w:rFonts w:hint="eastAsia" w:ascii="宋体" w:hAnsi="宋体" w:cs="Times New Roman"/>
                <w:sz w:val="24"/>
                <w:highlight w:val="none"/>
                <w:lang w:val="en-US" w:eastAsia="zh-CN"/>
              </w:rPr>
              <w:t xml:space="preserve">4</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center"/>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default"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3.2</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国产化适配能力</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投标人提供</w:t>
            </w:r>
            <w:r>
              <w:rPr>
                <w:rFonts w:hint="eastAsia" w:ascii="宋体" w:hAnsi="宋体" w:eastAsia="宋体" w:cs="宋体"/>
                <w:sz w:val="24"/>
                <w:szCs w:val="24"/>
                <w:highlight w:val="none"/>
                <w:lang w:val="en-US" w:eastAsia="zh-CN"/>
              </w:rPr>
              <w:t xml:space="preserve">具备</w:t>
            </w:r>
            <w:r>
              <w:rPr>
                <w:rFonts w:hint="eastAsia" w:ascii="宋体" w:hAnsi="宋体" w:eastAsia="宋体" w:cs="宋体"/>
                <w:sz w:val="24"/>
                <w:szCs w:val="24"/>
                <w:highlight w:val="none"/>
              </w:rPr>
              <w:t xml:space="preserve">本项目同类软件国产化适配能力：</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（1）提供国产化CPU处理器、操作系统、数据库、中间件的互认认证证书或兼容性承诺函(承诺函根据不同兼容厂商分别提供)的，每提供一个得1分，最</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注:若同类型重复</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不累计分数。须提供证书或兼容性承诺函扫描件，未提供不得分</w:t>
            </w:r>
            <w:r>
              <w:rPr>
                <w:rFonts w:hint="eastAsia" w:ascii="宋体" w:hAnsi="宋体" w:eastAsia="宋体" w:cs="宋体"/>
                <w:b/>
                <w:bCs/>
                <w:sz w:val="24"/>
                <w:szCs w:val="24"/>
                <w:highlight w:val="none"/>
                <w:lang w:eastAsia="zh-CN"/>
              </w:rPr>
              <w:t xml:space="preserve">）</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（2）提供国内三级及以上医院同类项目的国产化适配能力</w:t>
            </w:r>
            <w:r>
              <w:rPr>
                <w:rFonts w:hint="eastAsia" w:ascii="宋体" w:hAnsi="宋体" w:eastAsia="宋体" w:cs="宋体"/>
                <w:b/>
                <w:bCs/>
                <w:sz w:val="24"/>
                <w:szCs w:val="24"/>
                <w:highlight w:val="none"/>
              </w:rPr>
              <w:t xml:space="preserve">（须提供合同首页、合同内容页、签章页及验收报告</w:t>
            </w:r>
            <w:r>
              <w:rPr>
                <w:rFonts w:hint="eastAsia" w:ascii="宋体" w:hAnsi="宋体" w:eastAsia="宋体" w:cs="宋体"/>
                <w:b/>
                <w:bCs/>
                <w:sz w:val="24"/>
                <w:szCs w:val="24"/>
                <w:highlight w:val="none"/>
                <w:lang w:val="en-US" w:eastAsia="zh-CN"/>
              </w:rPr>
              <w:t xml:space="preserve">扫描件</w:t>
            </w:r>
            <w:r>
              <w:rPr>
                <w:rFonts w:hint="eastAsia" w:ascii="宋体" w:hAnsi="宋体" w:eastAsia="宋体" w:cs="宋体"/>
                <w:b/>
                <w:bCs/>
                <w:sz w:val="24"/>
                <w:szCs w:val="24"/>
                <w:highlight w:val="none"/>
              </w:rPr>
              <w:t xml:space="preserve">，需体现实施采用的操作系统、数据库为国产品牌）</w:t>
            </w:r>
            <w:r>
              <w:rPr>
                <w:rFonts w:hint="eastAsia" w:ascii="宋体" w:hAnsi="宋体" w:eastAsia="宋体" w:cs="宋体"/>
                <w:sz w:val="24"/>
                <w:szCs w:val="24"/>
                <w:highlight w:val="none"/>
              </w:rPr>
              <w:t xml:space="preserve">，每提供一个得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分，最</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得2分。</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hint="default" w:ascii="宋体" w:hAnsi="宋体" w:cs="Times New Roman"/>
                <w:sz w:val="24"/>
                <w:highlight w:val="none"/>
                <w:lang w:val="en-US" w:eastAsia="zh-CN"/>
              </w:rPr>
            </w:pPr>
            <w:r>
              <w:rPr>
                <w:rFonts w:hint="eastAsia" w:ascii="宋体" w:hAnsi="宋体" w:cs="Times New Roman"/>
                <w:sz w:val="24"/>
                <w:highlight w:val="none"/>
                <w:lang w:val="en-US" w:eastAsia="zh-CN"/>
              </w:rPr>
              <w:t xml:space="preserve">4</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知识产权</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仿宋"/>
                <w:sz w:val="24"/>
                <w:szCs w:val="24"/>
                <w:highlight w:val="none"/>
              </w:rPr>
            </w:pPr>
            <w:r>
              <w:rPr>
                <w:rFonts w:hint="eastAsia" w:ascii="宋体" w:hAnsi="宋体" w:eastAsia="宋体" w:cs="仿宋"/>
                <w:sz w:val="24"/>
                <w:szCs w:val="24"/>
                <w:highlight w:val="none"/>
              </w:rPr>
              <w:t xml:space="preserve">投标人具有</w:t>
            </w:r>
            <w:r>
              <w:rPr>
                <w:rFonts w:hint="eastAsia" w:ascii="宋体" w:hAnsi="宋体" w:cs="仿宋"/>
                <w:sz w:val="24"/>
                <w:szCs w:val="24"/>
                <w:highlight w:val="none"/>
                <w:lang w:val="en-US" w:eastAsia="zh-CN"/>
              </w:rPr>
              <w:t xml:space="preserve">门诊分诊</w:t>
            </w:r>
            <w:r>
              <w:rPr>
                <w:rFonts w:hint="eastAsia" w:ascii="宋体" w:hAnsi="宋体" w:eastAsia="宋体" w:cs="仿宋"/>
                <w:sz w:val="24"/>
                <w:szCs w:val="24"/>
                <w:highlight w:val="none"/>
              </w:rPr>
              <w:t xml:space="preserve">系统相关的计算机软件著作权登记证书的，得2分。</w:t>
            </w:r>
            <w:r>
              <w:rPr>
                <w:rFonts w:hint="eastAsia" w:ascii="宋体" w:hAnsi="宋体" w:eastAsia="宋体" w:cs="仿宋"/>
                <w:b/>
                <w:bCs/>
                <w:sz w:val="24"/>
                <w:szCs w:val="24"/>
                <w:highlight w:val="none"/>
              </w:rPr>
              <w:t xml:space="preserve">（须提供证书扫描件）</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2</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业绩</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2023年1月1日以来（以合同签订时间为准），投标人具有类似项目业绩的，有一个得2分，最高得4分。</w:t>
            </w:r>
            <w:r>
              <w:rPr>
                <w:rFonts w:hint="eastAsia" w:ascii="宋体" w:hAnsi="宋体" w:eastAsia="宋体" w:cs="宋体"/>
                <w:b/>
                <w:bCs/>
                <w:sz w:val="24"/>
                <w:szCs w:val="24"/>
                <w:highlight w:val="none"/>
              </w:rPr>
              <w:t xml:space="preserve">（须提供合同扫描件)</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4</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项目负责人</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投标人为本项目配备的项目负责人具有①高级计算机技术与软件专业技术资格证书、②PMP证书的，有一项得1.5分，最高得3分。</w:t>
            </w:r>
            <w:r/>
          </w:p>
          <w:p>
            <w:pPr>
              <w:jc w:val="left"/>
              <w:spacing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cs="Times New Roman"/>
                <w:sz w:val="24"/>
                <w:highlight w:val="none"/>
              </w:rPr>
            </w:pPr>
            <w:r>
              <w:rPr>
                <w:rFonts w:hint="eastAsia" w:ascii="宋体" w:hAnsi="宋体" w:eastAsia="宋体" w:cs="Times New Roman"/>
                <w:sz w:val="24"/>
                <w:highlight w:val="none"/>
              </w:rPr>
              <w:t xml:space="preserve">3</w:t>
            </w:r>
            <w:r/>
          </w:p>
        </w:tc>
      </w:tr>
      <w:tr>
        <w:trPr>
          <w:jc w:val="center"/>
          <w:trHeight w:val="20"/>
        </w:trPr>
        <w:tc>
          <w:tcPr>
            <w:tcBorders>
              <w:left w:val="single" w:color="auto" w:sz="8" w:space="0"/>
              <w:right w:val="single" w:color="auto" w:sz="6" w:space="0"/>
            </w:tcBorders>
            <w:tcW w:w="1109" w:type="dxa"/>
            <w:vAlign w:val="center"/>
            <w:vMerge w:val="continue"/>
            <w:textDirection w:val="lrTb"/>
            <w:noWrap w:val="false"/>
          </w:tcPr>
          <w:p>
            <w:pPr>
              <w:jc w:val="center"/>
              <w:spacing w:line="4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Borders>
              <w:top w:val="single" w:color="auto" w:sz="6" w:space="0"/>
              <w:left w:val="single" w:color="auto" w:sz="6" w:space="0"/>
              <w:bottom w:val="single" w:color="auto" w:sz="6" w:space="0"/>
              <w:right w:val="single" w:color="auto" w:sz="6" w:space="0"/>
            </w:tcBorders>
            <w:tcW w:w="782" w:type="dxa"/>
            <w:vAlign w:val="center"/>
            <w:textDirection w:val="lrTb"/>
            <w:noWrap w:val="false"/>
          </w:tcPr>
          <w:p>
            <w:pPr>
              <w:jc w:val="center"/>
              <w:spacing w:line="4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208" w:type="dxa"/>
            <w:vAlign w:val="center"/>
            <w:textDirection w:val="lrTb"/>
            <w:noWrap w:val="false"/>
          </w:tcPr>
          <w:p>
            <w:pPr>
              <w:jc w:val="center"/>
              <w:spacing w:line="400" w:lineRule="exact"/>
              <w:rPr>
                <w:rFonts w:ascii="宋体" w:hAnsi="宋体" w:eastAsia="宋体"/>
                <w:bCs/>
                <w:sz w:val="24"/>
                <w:szCs w:val="24"/>
                <w:highlight w:val="none"/>
              </w:rPr>
            </w:pPr>
            <w:r>
              <w:rPr>
                <w:rFonts w:hint="eastAsia" w:ascii="宋体" w:hAnsi="宋体" w:eastAsia="宋体"/>
                <w:bCs/>
                <w:sz w:val="24"/>
                <w:szCs w:val="24"/>
                <w:highlight w:val="none"/>
              </w:rPr>
              <w:t xml:space="preserve">项目组其他成员</w:t>
            </w:r>
            <w:r/>
          </w:p>
        </w:tc>
        <w:tc>
          <w:tcPr>
            <w:tcBorders>
              <w:top w:val="single" w:color="auto" w:sz="6" w:space="0"/>
              <w:left w:val="single" w:color="auto" w:sz="6" w:space="0"/>
              <w:bottom w:val="single" w:color="auto" w:sz="6" w:space="0"/>
              <w:right w:val="single" w:color="auto" w:sz="6" w:space="0"/>
            </w:tcBorders>
            <w:tcW w:w="4951" w:type="dxa"/>
            <w:vAlign w:val="center"/>
            <w:textDirection w:val="lrTb"/>
            <w:noWrap w:val="false"/>
          </w:tcPr>
          <w:p>
            <w:pPr>
              <w:jc w:val="left"/>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投标人为本项目配备的</w:t>
            </w:r>
            <w:r>
              <w:rPr>
                <w:rFonts w:hint="eastAsia" w:ascii="宋体" w:hAnsi="宋体" w:eastAsia="宋体"/>
                <w:bCs/>
                <w:sz w:val="24"/>
                <w:szCs w:val="24"/>
                <w:highlight w:val="none"/>
              </w:rPr>
              <w:t xml:space="preserve">项目组其他成员（项目负责人除外）</w:t>
            </w:r>
            <w:r>
              <w:rPr>
                <w:rFonts w:hint="eastAsia" w:ascii="宋体" w:hAnsi="宋体" w:eastAsia="宋体" w:cs="宋体"/>
                <w:sz w:val="24"/>
                <w:szCs w:val="24"/>
                <w:highlight w:val="none"/>
              </w:rPr>
              <w:t xml:space="preserve">中，具有</w:t>
            </w:r>
            <w:r>
              <w:rPr>
                <w:rFonts w:hint="eastAsia" w:ascii="宋体" w:hAnsi="宋体" w:eastAsia="宋体" w:cs="宋体"/>
                <w:sz w:val="24"/>
                <w:szCs w:val="24"/>
                <w:highlight w:val="none"/>
                <w:lang w:val="en-US" w:eastAsia="zh-CN"/>
              </w:rPr>
              <w:t xml:space="preserve">中级及以上</w:t>
            </w:r>
            <w:r>
              <w:rPr>
                <w:rFonts w:hint="eastAsia" w:ascii="宋体" w:hAnsi="宋体" w:eastAsia="宋体" w:cs="宋体"/>
                <w:sz w:val="24"/>
                <w:szCs w:val="24"/>
                <w:highlight w:val="none"/>
              </w:rPr>
              <w:t xml:space="preserve">计算机技术与软件专业技术资格证书的，有一人得1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分，最高得3分。</w:t>
            </w:r>
            <w:r/>
          </w:p>
          <w:p>
            <w:pPr>
              <w:jc w:val="left"/>
              <w:spacing w:line="400" w:lineRule="exact"/>
              <w:rPr>
                <w:rFonts w:ascii="宋体" w:hAnsi="宋体" w:eastAsia="宋体" w:cs="宋体"/>
                <w:sz w:val="24"/>
                <w:szCs w:val="24"/>
                <w:highlight w:val="none"/>
              </w:rPr>
            </w:pPr>
            <w:r>
              <w:rPr>
                <w:rFonts w:hint="eastAsia" w:ascii="宋体" w:hAnsi="宋体" w:eastAsia="宋体" w:cs="宋体"/>
                <w:b/>
                <w:bCs/>
                <w:sz w:val="24"/>
                <w:szCs w:val="24"/>
                <w:highlight w:val="none"/>
              </w:rPr>
              <w:t xml:space="preserve">【同一人员多张证书不重复得分。</w:t>
            </w:r>
            <w:r>
              <w:rPr>
                <w:rFonts w:hint="eastAsia" w:ascii="宋体" w:hAnsi="宋体" w:eastAsia="宋体" w:cs="宋体"/>
                <w:b/>
                <w:bCs/>
                <w:color w:val="000000"/>
                <w:sz w:val="24"/>
                <w:highlight w:val="none"/>
                <w:lang w:bidi="ar"/>
              </w:rPr>
              <w:t xml:space="preserve">须提供人员名单、证书扫描件</w:t>
            </w:r>
            <w:r>
              <w:rPr>
                <w:rFonts w:hint="eastAsia" w:ascii="宋体" w:hAnsi="宋体" w:eastAsia="宋体" w:cs="宋体"/>
                <w:b/>
                <w:bCs/>
                <w:sz w:val="24"/>
                <w:szCs w:val="24"/>
                <w:highlight w:val="none"/>
              </w:rPr>
              <w:t xml:space="preserve">，且须提供本单位近3个月（含投标当月）中任意1个月份为其缴纳社保的证明扫描件】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883" w:type="dxa"/>
            <w:vAlign w:val="center"/>
            <w:textDirection w:val="lrTb"/>
            <w:noWrap w:val="false"/>
          </w:tcPr>
          <w:p>
            <w:pPr>
              <w:jc w:val="center"/>
              <w:spacing w:line="400" w:lineRule="exact"/>
              <w:rPr>
                <w:rFonts w:ascii="宋体" w:hAnsi="宋体" w:eastAsia="宋体"/>
                <w:sz w:val="24"/>
                <w:szCs w:val="24"/>
                <w:highlight w:val="none"/>
              </w:rPr>
            </w:pPr>
            <w:r>
              <w:rPr>
                <w:rFonts w:hint="eastAsia" w:ascii="宋体" w:hAnsi="宋体" w:eastAsia="宋体"/>
                <w:sz w:val="24"/>
                <w:szCs w:val="24"/>
                <w:highlight w:val="none"/>
              </w:rPr>
              <w:t xml:space="preserve">3</w:t>
            </w:r>
            <w:bookmarkEnd w:id="11"/>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3" w:name="_Toc213847317"/>
      <w:r/>
      <w:r/>
    </w:p>
    <w:p>
      <w:r/>
      <w:r/>
    </w:p>
    <w:p>
      <w:pPr>
        <w:pStyle w:val="880"/>
      </w:pPr>
      <w:r>
        <w:rPr>
          <w:rFonts w:hint="eastAsia"/>
        </w:rPr>
        <w:t xml:space="preserve">第五章　合同书（格式）</w:t>
      </w:r>
      <w:bookmarkEnd w:id="13"/>
      <w:r/>
      <w:r/>
    </w:p>
    <w:p>
      <w:pPr>
        <w:spacing w:line="400" w:lineRule="exact"/>
        <w:rPr>
          <w:rFonts w:ascii="宋体" w:hAnsi="宋体" w:eastAsia="宋体" w:cs="Times New Roman"/>
          <w:bCs/>
          <w:sz w:val="24"/>
          <w:szCs w:val="24"/>
        </w:rPr>
      </w:pPr>
      <w:r/>
      <w:bookmarkStart w:id="14"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2、服务内容：</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3、服务范围：</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4、服务期限：</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5、其他：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本合同服务期限内合同总价款不变。（有另行规定的除外。）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质量保证和售后服务</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1、乙方应按招标文件规定的服务要求、技术要求、质量标准向甲方提供服务。</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2、质量保证：</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3、售后服务：</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验收</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bCs/>
          <w:sz w:val="24"/>
          <w:szCs w:val="24"/>
          <w:lang w:val="zh-CN"/>
        </w:rPr>
        <w:t xml:space="preserve">验收标准：</w:t>
      </w:r>
      <w:r>
        <w:rPr>
          <w:rFonts w:hint="eastAsia" w:ascii="宋体" w:hAnsi="宋体" w:eastAsia="宋体" w:cs="Times New Roman"/>
          <w:sz w:val="24"/>
          <w:szCs w:val="24"/>
          <w:lang w:val="zh-CN"/>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承担。</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第八条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第十一条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第十二条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第十三条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第十四条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58"/>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4"/>
            <w:r/>
            <w:r/>
          </w:p>
        </w:tc>
      </w:tr>
    </w:tbl>
    <w:p>
      <w:pPr>
        <w:pStyle w:val="880"/>
        <w:sectPr>
          <w:footnotePr/>
          <w:endnotePr/>
          <w:type w:val="nextPage"/>
          <w:pgSz w:w="11906" w:h="16838" w:orient="portrait"/>
          <w:pgMar w:top="1247" w:right="1247" w:bottom="1247" w:left="1247" w:header="680" w:footer="992" w:gutter="0"/>
          <w:cols w:num="1" w:sep="0" w:space="720" w:equalWidth="1"/>
          <w:docGrid w:linePitch="360"/>
        </w:sectPr>
      </w:pPr>
      <w:r/>
      <w:r/>
    </w:p>
    <w:p>
      <w:pPr>
        <w:pStyle w:val="880"/>
      </w:pPr>
      <w:r/>
      <w:r/>
    </w:p>
    <w:p>
      <w:pPr>
        <w:pStyle w:val="880"/>
      </w:pPr>
      <w:r/>
      <w:bookmarkStart w:id="15" w:name="_Toc213847318"/>
      <w:r>
        <w:rPr>
          <w:rFonts w:hint="eastAsia"/>
        </w:rPr>
        <w:t xml:space="preserve">第六章　投标文件的组成和格式</w:t>
      </w:r>
      <w:bookmarkEnd w:id="15"/>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6" w:name="_Toc222799676"/>
      <w:r/>
      <w:bookmarkStart w:id="17" w:name="_Toc194739809"/>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5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JSZC-320281-JZCG-G2026-0025</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门诊治疗室分诊管理软件采购项目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8" w:name="_Toc145474400"/>
      <w:r/>
      <w:bookmarkStart w:id="19" w:name="_Toc158691780"/>
      <w:r/>
      <w:bookmarkStart w:id="20" w:name="_Toc194386107"/>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8"/>
      <w:r/>
      <w:bookmarkEnd w:id="19"/>
      <w:r/>
      <w:bookmarkEnd w:id="20"/>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6"/>
      <w:r/>
      <w:bookmarkEnd w:id="17"/>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Style w:val="858"/>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73"/>
        <w:gridCol w:w="5147"/>
        <w:gridCol w:w="809"/>
        <w:gridCol w:w="761"/>
        <w:gridCol w:w="1119"/>
        <w:gridCol w:w="1119"/>
      </w:tblGrid>
      <w:tr>
        <w:trPr>
          <w:jc w:val="center"/>
        </w:trPr>
        <w:tc>
          <w:tcPr>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服务内容</w:t>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Pr>
        <w:tc>
          <w:tcPr>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673"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420"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395" w:type="pct"/>
            <w:vAlign w:val="center"/>
            <w:textDirection w:val="lrTb"/>
            <w:noWrap w:val="false"/>
          </w:tcPr>
          <w:p>
            <w:pPr>
              <w:jc w:val="center"/>
              <w:spacing w:line="400" w:lineRule="exact"/>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c>
          <w:tcPr>
            <w:tcW w:w="0" w:type="auto"/>
            <w:vAlign w:val="center"/>
            <w:textDirection w:val="lrTb"/>
            <w:noWrap w:val="false"/>
          </w:tcPr>
          <w:p>
            <w:pPr>
              <w:jc w:val="center"/>
              <w:spacing w:line="400" w:lineRule="exact"/>
              <w:widowControl/>
              <w:rPr>
                <w:rFonts w:ascii="宋体" w:hAnsi="宋体" w:eastAsia="宋体" w:cs="Times New Roman"/>
                <w:b/>
                <w:bCs/>
                <w:szCs w:val="21"/>
              </w:rPr>
            </w:pPr>
            <w:r>
              <w:rPr>
                <w:rFonts w:ascii="宋体" w:hAnsi="宋体" w:eastAsia="宋体" w:cs="Times New Roman"/>
                <w:b/>
                <w:bCs/>
                <w:szCs w:val="21"/>
              </w:rPr>
            </w:r>
            <w:r/>
          </w:p>
        </w:tc>
      </w:tr>
      <w:tr>
        <w:trPr>
          <w:jc w:val="center"/>
          <w:trHeight w:val="758"/>
        </w:trPr>
        <w:tc>
          <w:tcPr>
            <w:gridSpan w:val="6"/>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5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5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5、表格不够可另接。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58"/>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5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微软雅黑">
    <w:panose1 w:val="020B0503020204020204"/>
  </w:font>
  <w:font w:name="Batang">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autotext"/>
      </w:docPartObj>
      <w:rPr/>
    </w:sdtPr>
    <w:sdtContent>
      <w:p>
        <w:pPr>
          <w:pStyle w:val="872"/>
          <w:jc w:val="center"/>
        </w:pPr>
        <w:r>
          <w:fldChar w:fldCharType="begin"/>
        </w:r>
        <w:r>
          <w:instrText xml:space="preserve">PAGE   \* MERGEFORMAT</w:instrText>
        </w:r>
        <w:r>
          <w:fldChar w:fldCharType="separate"/>
        </w:r>
        <w:r>
          <w:rPr>
            <w:lang w:val="zh-CN"/>
          </w:rPr>
          <w:t xml:space="preserve">-</w:t>
        </w:r>
        <w:r>
          <w:t xml:space="preserve"> 31 -</w:t>
        </w:r>
        <w:r>
          <w:fldChar w:fldCharType="end"/>
        </w:r>
        <w:r/>
      </w:p>
    </w:sdtContent>
  </w:sdt>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p>
  <w:p>
    <w:pPr>
      <w:pStyle w:val="87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lang w:eastAsia="zh-CN"/>
      </w:rPr>
      <w:t xml:space="preserve">JSZC-320281-JZCG-G2026-0025</w:t>
    </w:r>
    <w:r>
      <w:rPr>
        <w:rFonts w:hint="eastAsia" w:ascii="黑体" w:hAnsi="黑体" w:eastAsia="黑体" w:cs="Times New Roman"/>
        <w:bCs/>
        <w:sz w:val="16"/>
        <w:szCs w:val="18"/>
      </w:rPr>
      <w:t xml:space="preserve"> </w:t>
    </w:r>
    <w:r>
      <w:rPr>
        <w:rFonts w:hint="eastAsia" w:ascii="黑体" w:hAnsi="黑体" w:eastAsia="黑体" w:cs="Times New Roman"/>
        <w:bCs/>
        <w:sz w:val="16"/>
        <w:szCs w:val="18"/>
        <w:lang w:eastAsia="zh-CN"/>
      </w:rPr>
      <w:t xml:space="preserve">门诊治疗室分诊管理软件采购项目</w:t>
    </w:r>
    <w:r>
      <w:rPr>
        <w:rFonts w:hint="eastAsia" w:ascii="黑体" w:hAnsi="黑体" w:eastAsia="黑体" w:cs="Times New Roman"/>
        <w:bCs/>
        <w:sz w:val="16"/>
        <w:szCs w:val="18"/>
      </w:rPr>
      <w:t xml:space="preserve">                                        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57"/>
    <w:link w:val="852"/>
    <w:uiPriority w:val="9"/>
    <w:rPr>
      <w:rFonts w:ascii="Arial" w:hAnsi="Arial" w:eastAsia="Arial" w:cs="Arial"/>
      <w:sz w:val="40"/>
      <w:szCs w:val="40"/>
    </w:rPr>
  </w:style>
  <w:style w:type="character" w:styleId="696">
    <w:name w:val="Heading 2 Char"/>
    <w:basedOn w:val="857"/>
    <w:link w:val="853"/>
    <w:uiPriority w:val="9"/>
    <w:rPr>
      <w:rFonts w:ascii="Arial" w:hAnsi="Arial" w:eastAsia="Arial" w:cs="Arial"/>
      <w:sz w:val="34"/>
    </w:rPr>
  </w:style>
  <w:style w:type="character" w:styleId="697">
    <w:name w:val="Heading 3 Char"/>
    <w:basedOn w:val="857"/>
    <w:link w:val="854"/>
    <w:uiPriority w:val="9"/>
    <w:rPr>
      <w:rFonts w:ascii="Arial" w:hAnsi="Arial" w:eastAsia="Arial" w:cs="Arial"/>
      <w:sz w:val="30"/>
      <w:szCs w:val="30"/>
    </w:rPr>
  </w:style>
  <w:style w:type="character" w:styleId="698">
    <w:name w:val="Heading 4 Char"/>
    <w:basedOn w:val="857"/>
    <w:link w:val="855"/>
    <w:uiPriority w:val="9"/>
    <w:rPr>
      <w:rFonts w:ascii="Arial" w:hAnsi="Arial" w:eastAsia="Arial" w:cs="Arial"/>
      <w:b/>
      <w:bCs/>
      <w:sz w:val="26"/>
      <w:szCs w:val="26"/>
    </w:rPr>
  </w:style>
  <w:style w:type="character" w:styleId="699">
    <w:name w:val="Heading 5 Char"/>
    <w:basedOn w:val="857"/>
    <w:link w:val="856"/>
    <w:uiPriority w:val="9"/>
    <w:rPr>
      <w:rFonts w:ascii="Arial" w:hAnsi="Arial" w:eastAsia="Arial" w:cs="Arial"/>
      <w:b/>
      <w:bCs/>
      <w:sz w:val="24"/>
      <w:szCs w:val="24"/>
    </w:rPr>
  </w:style>
  <w:style w:type="paragraph" w:styleId="700">
    <w:name w:val="Heading 6"/>
    <w:basedOn w:val="851"/>
    <w:next w:val="851"/>
    <w:link w:val="701"/>
    <w:uiPriority w:val="9"/>
    <w:unhideWhenUsed/>
    <w:qFormat/>
    <w:pPr>
      <w:keepLines/>
      <w:keepNext/>
      <w:spacing w:before="320" w:after="200"/>
      <w:outlineLvl w:val="5"/>
    </w:pPr>
    <w:rPr>
      <w:rFonts w:ascii="Arial" w:hAnsi="Arial" w:eastAsia="Arial" w:cs="Arial"/>
      <w:b/>
      <w:bCs/>
      <w:sz w:val="22"/>
      <w:szCs w:val="22"/>
    </w:rPr>
  </w:style>
  <w:style w:type="character" w:styleId="701">
    <w:name w:val="Heading 6 Char"/>
    <w:basedOn w:val="857"/>
    <w:link w:val="700"/>
    <w:uiPriority w:val="9"/>
    <w:rPr>
      <w:rFonts w:ascii="Arial" w:hAnsi="Arial" w:eastAsia="Arial" w:cs="Arial"/>
      <w:b/>
      <w:bCs/>
      <w:sz w:val="22"/>
      <w:szCs w:val="22"/>
    </w:rPr>
  </w:style>
  <w:style w:type="paragraph" w:styleId="702">
    <w:name w:val="Heading 7"/>
    <w:basedOn w:val="851"/>
    <w:next w:val="851"/>
    <w:link w:val="703"/>
    <w:uiPriority w:val="9"/>
    <w:unhideWhenUsed/>
    <w:qFormat/>
    <w:pPr>
      <w:keepLines/>
      <w:keepNext/>
      <w:spacing w:before="320" w:after="200"/>
      <w:outlineLvl w:val="6"/>
    </w:pPr>
    <w:rPr>
      <w:rFonts w:ascii="Arial" w:hAnsi="Arial" w:eastAsia="Arial" w:cs="Arial"/>
      <w:b/>
      <w:bCs/>
      <w:i/>
      <w:iCs/>
      <w:sz w:val="22"/>
      <w:szCs w:val="22"/>
    </w:rPr>
  </w:style>
  <w:style w:type="character" w:styleId="703">
    <w:name w:val="Heading 7 Char"/>
    <w:basedOn w:val="857"/>
    <w:link w:val="702"/>
    <w:uiPriority w:val="9"/>
    <w:rPr>
      <w:rFonts w:ascii="Arial" w:hAnsi="Arial" w:eastAsia="Arial" w:cs="Arial"/>
      <w:b/>
      <w:bCs/>
      <w:i/>
      <w:iCs/>
      <w:sz w:val="22"/>
      <w:szCs w:val="22"/>
    </w:rPr>
  </w:style>
  <w:style w:type="paragraph" w:styleId="704">
    <w:name w:val="Heading 8"/>
    <w:basedOn w:val="851"/>
    <w:next w:val="851"/>
    <w:link w:val="705"/>
    <w:uiPriority w:val="9"/>
    <w:unhideWhenUsed/>
    <w:qFormat/>
    <w:pPr>
      <w:keepLines/>
      <w:keepNext/>
      <w:spacing w:before="320" w:after="200"/>
      <w:outlineLvl w:val="7"/>
    </w:pPr>
    <w:rPr>
      <w:rFonts w:ascii="Arial" w:hAnsi="Arial" w:eastAsia="Arial" w:cs="Arial"/>
      <w:i/>
      <w:iCs/>
      <w:sz w:val="22"/>
      <w:szCs w:val="22"/>
    </w:rPr>
  </w:style>
  <w:style w:type="character" w:styleId="705">
    <w:name w:val="Heading 8 Char"/>
    <w:basedOn w:val="857"/>
    <w:link w:val="704"/>
    <w:uiPriority w:val="9"/>
    <w:rPr>
      <w:rFonts w:ascii="Arial" w:hAnsi="Arial" w:eastAsia="Arial" w:cs="Arial"/>
      <w:i/>
      <w:iCs/>
      <w:sz w:val="22"/>
      <w:szCs w:val="22"/>
    </w:rPr>
  </w:style>
  <w:style w:type="paragraph" w:styleId="706">
    <w:name w:val="Heading 9"/>
    <w:basedOn w:val="851"/>
    <w:next w:val="851"/>
    <w:link w:val="707"/>
    <w:uiPriority w:val="9"/>
    <w:unhideWhenUsed/>
    <w:qFormat/>
    <w:pPr>
      <w:keepLines/>
      <w:keepNext/>
      <w:spacing w:before="320" w:after="200"/>
      <w:outlineLvl w:val="8"/>
    </w:pPr>
    <w:rPr>
      <w:rFonts w:ascii="Arial" w:hAnsi="Arial" w:eastAsia="Arial" w:cs="Arial"/>
      <w:i/>
      <w:iCs/>
      <w:sz w:val="21"/>
      <w:szCs w:val="21"/>
    </w:rPr>
  </w:style>
  <w:style w:type="character" w:styleId="707">
    <w:name w:val="Heading 9 Char"/>
    <w:basedOn w:val="857"/>
    <w:link w:val="706"/>
    <w:uiPriority w:val="9"/>
    <w:rPr>
      <w:rFonts w:ascii="Arial" w:hAnsi="Arial" w:eastAsia="Arial" w:cs="Arial"/>
      <w:i/>
      <w:iCs/>
      <w:sz w:val="21"/>
      <w:szCs w:val="21"/>
    </w:rPr>
  </w:style>
  <w:style w:type="character" w:styleId="708">
    <w:name w:val="Title Char"/>
    <w:basedOn w:val="857"/>
    <w:link w:val="880"/>
    <w:uiPriority w:val="10"/>
    <w:rPr>
      <w:sz w:val="48"/>
      <w:szCs w:val="48"/>
    </w:rPr>
  </w:style>
  <w:style w:type="paragraph" w:styleId="709">
    <w:name w:val="Subtitle"/>
    <w:basedOn w:val="851"/>
    <w:next w:val="851"/>
    <w:link w:val="710"/>
    <w:uiPriority w:val="11"/>
    <w:qFormat/>
    <w:pPr>
      <w:spacing w:before="200" w:after="200"/>
    </w:pPr>
    <w:rPr>
      <w:sz w:val="24"/>
      <w:szCs w:val="24"/>
    </w:rPr>
  </w:style>
  <w:style w:type="character" w:styleId="710">
    <w:name w:val="Subtitle Char"/>
    <w:basedOn w:val="857"/>
    <w:link w:val="709"/>
    <w:uiPriority w:val="11"/>
    <w:rPr>
      <w:sz w:val="24"/>
      <w:szCs w:val="24"/>
    </w:rPr>
  </w:style>
  <w:style w:type="paragraph" w:styleId="711">
    <w:name w:val="Quote"/>
    <w:basedOn w:val="851"/>
    <w:next w:val="851"/>
    <w:link w:val="712"/>
    <w:uiPriority w:val="29"/>
    <w:qFormat/>
    <w:pPr>
      <w:ind w:left="720" w:right="720"/>
    </w:pPr>
    <w:rPr>
      <w:i/>
    </w:rPr>
  </w:style>
  <w:style w:type="character" w:styleId="712">
    <w:name w:val="Quote Char"/>
    <w:link w:val="711"/>
    <w:uiPriority w:val="29"/>
    <w:rPr>
      <w:i/>
    </w:rPr>
  </w:style>
  <w:style w:type="paragraph" w:styleId="713">
    <w:name w:val="Intense Quote"/>
    <w:basedOn w:val="851"/>
    <w:next w:val="851"/>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57"/>
    <w:link w:val="873"/>
    <w:uiPriority w:val="99"/>
  </w:style>
  <w:style w:type="character" w:styleId="716">
    <w:name w:val="Footer Char"/>
    <w:basedOn w:val="857"/>
    <w:link w:val="872"/>
    <w:uiPriority w:val="99"/>
  </w:style>
  <w:style w:type="paragraph" w:styleId="717">
    <w:name w:val="Caption"/>
    <w:basedOn w:val="851"/>
    <w:next w:val="851"/>
    <w:uiPriority w:val="35"/>
    <w:semiHidden/>
    <w:unhideWhenUsed/>
    <w:qFormat/>
    <w:pPr>
      <w:spacing w:line="276" w:lineRule="auto"/>
    </w:pPr>
    <w:rPr>
      <w:b/>
      <w:bCs/>
      <w:color w:val="4f81bd" w:themeColor="accent1"/>
      <w:sz w:val="18"/>
      <w:szCs w:val="18"/>
    </w:rPr>
  </w:style>
  <w:style w:type="character" w:styleId="718">
    <w:name w:val="Caption Char"/>
    <w:basedOn w:val="717"/>
    <w:link w:val="872"/>
    <w:uiPriority w:val="99"/>
  </w:style>
  <w:style w:type="table" w:styleId="719">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4">
    <w:name w:val="footnote text"/>
    <w:basedOn w:val="851"/>
    <w:link w:val="845"/>
    <w:uiPriority w:val="99"/>
    <w:semiHidden/>
    <w:unhideWhenUsed/>
    <w:pPr>
      <w:spacing w:after="40" w:line="240" w:lineRule="auto"/>
    </w:pPr>
    <w:rPr>
      <w:sz w:val="18"/>
    </w:rPr>
  </w:style>
  <w:style w:type="character" w:styleId="845">
    <w:name w:val="Footnote Text Char"/>
    <w:link w:val="844"/>
    <w:uiPriority w:val="99"/>
    <w:rPr>
      <w:sz w:val="18"/>
    </w:rPr>
  </w:style>
  <w:style w:type="character" w:styleId="846">
    <w:name w:val="footnote reference"/>
    <w:basedOn w:val="857"/>
    <w:uiPriority w:val="99"/>
    <w:unhideWhenUsed/>
    <w:rPr>
      <w:vertAlign w:val="superscript"/>
    </w:rPr>
  </w:style>
  <w:style w:type="paragraph" w:styleId="847">
    <w:name w:val="endnote text"/>
    <w:basedOn w:val="851"/>
    <w:link w:val="848"/>
    <w:uiPriority w:val="99"/>
    <w:semiHidden/>
    <w:unhideWhenUsed/>
    <w:pPr>
      <w:spacing w:after="0" w:line="240" w:lineRule="auto"/>
    </w:pPr>
    <w:rPr>
      <w:sz w:val="20"/>
    </w:rPr>
  </w:style>
  <w:style w:type="character" w:styleId="848">
    <w:name w:val="Endnote Text Char"/>
    <w:link w:val="847"/>
    <w:uiPriority w:val="99"/>
    <w:rPr>
      <w:sz w:val="20"/>
    </w:rPr>
  </w:style>
  <w:style w:type="character" w:styleId="849">
    <w:name w:val="endnote reference"/>
    <w:basedOn w:val="857"/>
    <w:uiPriority w:val="99"/>
    <w:semiHidden/>
    <w:unhideWhenUsed/>
    <w:rPr>
      <w:vertAlign w:val="superscript"/>
    </w:rPr>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2">
    <w:name w:val="Heading 1"/>
    <w:basedOn w:val="851"/>
    <w:next w:val="851"/>
    <w:link w:val="908"/>
    <w:uiPriority w:val="9"/>
    <w:qFormat/>
    <w:pPr>
      <w:keepLines/>
      <w:keepNext/>
      <w:spacing w:before="340" w:after="330" w:line="578" w:lineRule="auto"/>
      <w:outlineLvl w:val="0"/>
    </w:pPr>
    <w:rPr>
      <w:b/>
      <w:bCs/>
      <w:sz w:val="44"/>
      <w:szCs w:val="44"/>
    </w:rPr>
  </w:style>
  <w:style w:type="paragraph" w:styleId="853">
    <w:name w:val="Heading 2"/>
    <w:basedOn w:val="851"/>
    <w:next w:val="851"/>
    <w:link w:val="91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4">
    <w:name w:val="Heading 3"/>
    <w:basedOn w:val="851"/>
    <w:next w:val="851"/>
    <w:link w:val="914"/>
    <w:uiPriority w:val="9"/>
    <w:semiHidden/>
    <w:unhideWhenUsed/>
    <w:qFormat/>
    <w:pPr>
      <w:keepLines/>
      <w:keepNext/>
      <w:spacing w:before="260" w:after="260" w:line="416" w:lineRule="auto"/>
      <w:outlineLvl w:val="2"/>
    </w:pPr>
    <w:rPr>
      <w:b/>
      <w:bCs/>
      <w:sz w:val="32"/>
      <w:szCs w:val="32"/>
    </w:rPr>
  </w:style>
  <w:style w:type="paragraph" w:styleId="855">
    <w:name w:val="Heading 4"/>
    <w:basedOn w:val="851"/>
    <w:next w:val="851"/>
    <w:link w:val="91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56">
    <w:name w:val="Heading 5"/>
    <w:basedOn w:val="851"/>
    <w:next w:val="851"/>
    <w:link w:val="916"/>
    <w:uiPriority w:val="9"/>
    <w:semiHidden/>
    <w:unhideWhenUsed/>
    <w:qFormat/>
    <w:pPr>
      <w:keepLines/>
      <w:keepNext/>
      <w:spacing w:before="280" w:after="290" w:line="376" w:lineRule="auto"/>
      <w:outlineLvl w:val="4"/>
    </w:pPr>
    <w:rPr>
      <w:b/>
      <w:bCs/>
      <w:sz w:val="28"/>
      <w:szCs w:val="28"/>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51"/>
    <w:next w:val="851"/>
    <w:uiPriority w:val="39"/>
    <w:unhideWhenUsed/>
    <w:qFormat/>
    <w:pPr>
      <w:ind w:left="1260"/>
      <w:jc w:val="left"/>
    </w:pPr>
    <w:rPr>
      <w:sz w:val="18"/>
      <w:szCs w:val="18"/>
    </w:rPr>
  </w:style>
  <w:style w:type="paragraph" w:styleId="860">
    <w:name w:val="Note Heading"/>
    <w:basedOn w:val="851"/>
    <w:next w:val="851"/>
    <w:link w:val="917"/>
    <w:uiPriority w:val="0"/>
    <w:qFormat/>
    <w:pPr>
      <w:jc w:val="center"/>
    </w:pPr>
    <w:rPr>
      <w:rFonts w:ascii="金梅簡體中黑字形" w:hAnsi="Arial" w:eastAsia="金梅簡體中黑字形" w:cs="Times New Roman"/>
      <w:sz w:val="24"/>
      <w:szCs w:val="24"/>
    </w:rPr>
  </w:style>
  <w:style w:type="paragraph" w:styleId="861">
    <w:name w:val="Normal Indent"/>
    <w:basedOn w:val="851"/>
    <w:uiPriority w:val="99"/>
    <w:semiHidden/>
    <w:unhideWhenUsed/>
    <w:qFormat/>
    <w:pPr>
      <w:ind w:left="720"/>
    </w:pPr>
  </w:style>
  <w:style w:type="paragraph" w:styleId="862">
    <w:name w:val="Document Map"/>
    <w:basedOn w:val="851"/>
    <w:link w:val="918"/>
    <w:uiPriority w:val="99"/>
    <w:qFormat/>
    <w:rPr>
      <w:rFonts w:ascii="宋体"/>
      <w:sz w:val="18"/>
      <w:szCs w:val="18"/>
    </w:rPr>
  </w:style>
  <w:style w:type="paragraph" w:styleId="863">
    <w:name w:val="annotation text"/>
    <w:basedOn w:val="851"/>
    <w:link w:val="895"/>
    <w:uiPriority w:val="99"/>
    <w:unhideWhenUsed/>
    <w:qFormat/>
    <w:pPr>
      <w:jc w:val="left"/>
    </w:pPr>
  </w:style>
  <w:style w:type="paragraph" w:styleId="864">
    <w:name w:val="Body Text 3"/>
    <w:basedOn w:val="851"/>
    <w:link w:val="919"/>
    <w:uiPriority w:val="0"/>
    <w:qFormat/>
    <w:rPr>
      <w:rFonts w:ascii="仿宋_GB2312" w:eastAsia="仿宋_GB2312"/>
      <w:sz w:val="24"/>
    </w:rPr>
  </w:style>
  <w:style w:type="paragraph" w:styleId="865">
    <w:name w:val="Body Text"/>
    <w:basedOn w:val="851"/>
    <w:link w:val="898"/>
    <w:uiPriority w:val="0"/>
    <w:qFormat/>
    <w:pPr>
      <w:spacing w:line="360" w:lineRule="auto"/>
    </w:pPr>
    <w:rPr>
      <w:rFonts w:ascii="楷体_GB2312" w:hAnsi="Times New Roman" w:eastAsia="楷体_GB2312" w:cs="Times New Roman"/>
      <w:bCs/>
      <w:sz w:val="28"/>
      <w:szCs w:val="24"/>
    </w:rPr>
  </w:style>
  <w:style w:type="paragraph" w:styleId="866">
    <w:name w:val="Body Text Indent"/>
    <w:basedOn w:val="851"/>
    <w:link w:val="902"/>
    <w:uiPriority w:val="0"/>
    <w:unhideWhenUsed/>
    <w:qFormat/>
    <w:pPr>
      <w:ind w:left="420"/>
      <w:spacing w:after="120"/>
    </w:pPr>
  </w:style>
  <w:style w:type="paragraph" w:styleId="867">
    <w:name w:val="toc 5"/>
    <w:basedOn w:val="851"/>
    <w:next w:val="851"/>
    <w:uiPriority w:val="39"/>
    <w:unhideWhenUsed/>
    <w:qFormat/>
    <w:pPr>
      <w:ind w:left="840"/>
      <w:jc w:val="left"/>
    </w:pPr>
    <w:rPr>
      <w:sz w:val="18"/>
      <w:szCs w:val="18"/>
    </w:rPr>
  </w:style>
  <w:style w:type="paragraph" w:styleId="868">
    <w:name w:val="toc 3"/>
    <w:basedOn w:val="851"/>
    <w:next w:val="851"/>
    <w:uiPriority w:val="39"/>
    <w:unhideWhenUsed/>
    <w:qFormat/>
    <w:pPr>
      <w:ind w:left="420"/>
      <w:jc w:val="left"/>
    </w:pPr>
    <w:rPr>
      <w:i/>
      <w:iCs/>
      <w:sz w:val="20"/>
      <w:szCs w:val="20"/>
    </w:rPr>
  </w:style>
  <w:style w:type="paragraph" w:styleId="869">
    <w:name w:val="Plain Text"/>
    <w:basedOn w:val="851"/>
    <w:link w:val="920"/>
    <w:uiPriority w:val="0"/>
    <w:qFormat/>
    <w:rPr>
      <w:rFonts w:hAnsi="Courier New" w:cs="Courier New" w:asciiTheme="minorEastAsia"/>
    </w:rPr>
  </w:style>
  <w:style w:type="paragraph" w:styleId="870">
    <w:name w:val="toc 8"/>
    <w:basedOn w:val="851"/>
    <w:next w:val="851"/>
    <w:uiPriority w:val="39"/>
    <w:unhideWhenUsed/>
    <w:qFormat/>
    <w:pPr>
      <w:ind w:left="1470"/>
      <w:jc w:val="left"/>
    </w:pPr>
    <w:rPr>
      <w:sz w:val="18"/>
      <w:szCs w:val="18"/>
    </w:rPr>
  </w:style>
  <w:style w:type="paragraph" w:styleId="871">
    <w:name w:val="Balloon Text"/>
    <w:basedOn w:val="851"/>
    <w:link w:val="893"/>
    <w:uiPriority w:val="99"/>
    <w:semiHidden/>
    <w:unhideWhenUsed/>
    <w:qFormat/>
    <w:rPr>
      <w:sz w:val="18"/>
      <w:szCs w:val="18"/>
    </w:rPr>
  </w:style>
  <w:style w:type="paragraph" w:styleId="872">
    <w:name w:val="Footer"/>
    <w:basedOn w:val="851"/>
    <w:link w:val="891"/>
    <w:uiPriority w:val="99"/>
    <w:unhideWhenUsed/>
    <w:qFormat/>
    <w:pPr>
      <w:jc w:val="left"/>
      <w:tabs>
        <w:tab w:val="center" w:pos="4153" w:leader="none"/>
        <w:tab w:val="right" w:pos="8306" w:leader="none"/>
      </w:tabs>
    </w:pPr>
    <w:rPr>
      <w:sz w:val="18"/>
      <w:szCs w:val="18"/>
    </w:rPr>
  </w:style>
  <w:style w:type="paragraph" w:styleId="873">
    <w:name w:val="Header"/>
    <w:basedOn w:val="851"/>
    <w:link w:val="89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4">
    <w:name w:val="toc 1"/>
    <w:basedOn w:val="851"/>
    <w:next w:val="851"/>
    <w:uiPriority w:val="39"/>
    <w:unhideWhenUsed/>
    <w:qFormat/>
    <w:pPr>
      <w:jc w:val="left"/>
      <w:spacing w:before="120" w:after="120"/>
    </w:pPr>
    <w:rPr>
      <w:b/>
      <w:bCs/>
      <w:caps/>
      <w:sz w:val="20"/>
      <w:szCs w:val="20"/>
    </w:rPr>
  </w:style>
  <w:style w:type="paragraph" w:styleId="875">
    <w:name w:val="toc 4"/>
    <w:basedOn w:val="851"/>
    <w:next w:val="851"/>
    <w:uiPriority w:val="39"/>
    <w:unhideWhenUsed/>
    <w:qFormat/>
    <w:pPr>
      <w:ind w:left="630"/>
      <w:jc w:val="left"/>
    </w:pPr>
    <w:rPr>
      <w:sz w:val="18"/>
      <w:szCs w:val="18"/>
    </w:rPr>
  </w:style>
  <w:style w:type="paragraph" w:styleId="876">
    <w:name w:val="toc 6"/>
    <w:basedOn w:val="851"/>
    <w:next w:val="851"/>
    <w:uiPriority w:val="39"/>
    <w:unhideWhenUsed/>
    <w:qFormat/>
    <w:pPr>
      <w:ind w:left="1050"/>
      <w:jc w:val="left"/>
    </w:pPr>
    <w:rPr>
      <w:sz w:val="18"/>
      <w:szCs w:val="18"/>
    </w:rPr>
  </w:style>
  <w:style w:type="paragraph" w:styleId="877">
    <w:name w:val="toc 2"/>
    <w:basedOn w:val="851"/>
    <w:next w:val="851"/>
    <w:uiPriority w:val="39"/>
    <w:unhideWhenUsed/>
    <w:qFormat/>
    <w:pPr>
      <w:ind w:left="210"/>
      <w:jc w:val="left"/>
    </w:pPr>
    <w:rPr>
      <w:smallCaps/>
      <w:sz w:val="20"/>
      <w:szCs w:val="20"/>
    </w:rPr>
  </w:style>
  <w:style w:type="paragraph" w:styleId="878">
    <w:name w:val="toc 9"/>
    <w:basedOn w:val="851"/>
    <w:next w:val="851"/>
    <w:uiPriority w:val="39"/>
    <w:unhideWhenUsed/>
    <w:qFormat/>
    <w:pPr>
      <w:ind w:left="1680"/>
      <w:jc w:val="left"/>
    </w:pPr>
    <w:rPr>
      <w:sz w:val="18"/>
      <w:szCs w:val="18"/>
    </w:rPr>
  </w:style>
  <w:style w:type="paragraph" w:styleId="879">
    <w:name w:val="Normal (Web)"/>
    <w:basedOn w:val="851"/>
    <w:uiPriority w:val="0"/>
    <w:qFormat/>
    <w:pPr>
      <w:jc w:val="left"/>
      <w:spacing w:before="100" w:beforeAutospacing="1" w:after="100" w:afterAutospacing="1"/>
      <w:widowControl/>
    </w:pPr>
    <w:rPr>
      <w:rFonts w:ascii="宋体" w:hAnsi="宋体" w:cs="宋体"/>
      <w:sz w:val="24"/>
      <w:szCs w:val="24"/>
    </w:rPr>
  </w:style>
  <w:style w:type="paragraph" w:styleId="880">
    <w:name w:val="Title"/>
    <w:basedOn w:val="851"/>
    <w:next w:val="851"/>
    <w:link w:val="889"/>
    <w:uiPriority w:val="10"/>
    <w:qFormat/>
    <w:pPr>
      <w:jc w:val="center"/>
      <w:spacing w:line="400" w:lineRule="exact"/>
      <w:outlineLvl w:val="0"/>
    </w:pPr>
    <w:rPr>
      <w:rFonts w:eastAsia="黑体" w:asciiTheme="majorHAnsi" w:hAnsiTheme="majorHAnsi" w:cstheme="majorBidi"/>
      <w:bCs/>
      <w:sz w:val="30"/>
      <w:szCs w:val="32"/>
    </w:rPr>
  </w:style>
  <w:style w:type="paragraph" w:styleId="881">
    <w:name w:val="annotation subject"/>
    <w:basedOn w:val="863"/>
    <w:next w:val="863"/>
    <w:link w:val="896"/>
    <w:uiPriority w:val="99"/>
    <w:semiHidden/>
    <w:unhideWhenUsed/>
    <w:qFormat/>
    <w:rPr>
      <w:b/>
      <w:bCs/>
    </w:rPr>
  </w:style>
  <w:style w:type="paragraph" w:styleId="882">
    <w:name w:val="Body Text First Indent"/>
    <w:basedOn w:val="865"/>
    <w:link w:val="921"/>
    <w:uiPriority w:val="0"/>
    <w:qFormat/>
    <w:pPr>
      <w:ind w:firstLine="420"/>
      <w:spacing w:after="120" w:line="240" w:lineRule="auto"/>
    </w:pPr>
    <w:rPr>
      <w:rFonts w:ascii="宋体" w:hAnsi="宋体" w:eastAsia="宋体" w:cstheme="minorBidi"/>
      <w:sz w:val="24"/>
      <w:szCs w:val="22"/>
    </w:rPr>
  </w:style>
  <w:style w:type="paragraph" w:styleId="883">
    <w:name w:val="Body Text First Indent 2"/>
    <w:basedOn w:val="866"/>
    <w:link w:val="912"/>
    <w:uiPriority w:val="0"/>
    <w:unhideWhenUsed/>
    <w:qFormat/>
    <w:pPr>
      <w:ind w:firstLine="420"/>
    </w:pPr>
  </w:style>
  <w:style w:type="table" w:styleId="884">
    <w:name w:val="Table Grid"/>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Strong"/>
    <w:basedOn w:val="857"/>
    <w:uiPriority w:val="22"/>
    <w:qFormat/>
    <w:rPr>
      <w:b/>
      <w:bCs/>
    </w:rPr>
  </w:style>
  <w:style w:type="character" w:styleId="886">
    <w:name w:val="page number"/>
    <w:uiPriority w:val="0"/>
    <w:qFormat/>
  </w:style>
  <w:style w:type="character" w:styleId="887">
    <w:name w:val="Hyperlink"/>
    <w:basedOn w:val="857"/>
    <w:uiPriority w:val="99"/>
    <w:unhideWhenUsed/>
    <w:qFormat/>
    <w:rPr>
      <w:color w:val="0000ff" w:themeColor="hyperlink"/>
      <w:u w:val="single"/>
      <w14:textFill>
        <w14:solidFill>
          <w14:schemeClr w14:val="hlink"/>
        </w14:solidFill>
      </w14:textFill>
    </w:rPr>
  </w:style>
  <w:style w:type="character" w:styleId="888">
    <w:name w:val="annotation reference"/>
    <w:basedOn w:val="857"/>
    <w:uiPriority w:val="99"/>
    <w:semiHidden/>
    <w:unhideWhenUsed/>
    <w:qFormat/>
    <w:rPr>
      <w:sz w:val="21"/>
      <w:szCs w:val="21"/>
    </w:rPr>
  </w:style>
  <w:style w:type="character" w:styleId="889" w:customStyle="1">
    <w:name w:val="标题 Char"/>
    <w:basedOn w:val="857"/>
    <w:link w:val="880"/>
    <w:uiPriority w:val="10"/>
    <w:qFormat/>
    <w:rPr>
      <w:rFonts w:eastAsia="黑体" w:asciiTheme="majorHAnsi" w:hAnsiTheme="majorHAnsi" w:cstheme="majorBidi"/>
      <w:bCs/>
      <w:sz w:val="30"/>
      <w:szCs w:val="32"/>
    </w:rPr>
  </w:style>
  <w:style w:type="character" w:styleId="890" w:customStyle="1">
    <w:name w:val="页眉 Char"/>
    <w:basedOn w:val="857"/>
    <w:link w:val="873"/>
    <w:uiPriority w:val="0"/>
    <w:qFormat/>
    <w:rPr>
      <w:sz w:val="18"/>
      <w:szCs w:val="18"/>
    </w:rPr>
  </w:style>
  <w:style w:type="character" w:styleId="891" w:customStyle="1">
    <w:name w:val="页脚 Char"/>
    <w:basedOn w:val="857"/>
    <w:link w:val="872"/>
    <w:uiPriority w:val="99"/>
    <w:qFormat/>
    <w:rPr>
      <w:sz w:val="18"/>
      <w:szCs w:val="18"/>
    </w:rPr>
  </w:style>
  <w:style w:type="character" w:styleId="892" w:customStyle="1">
    <w:name w:val="font2800"/>
    <w:basedOn w:val="857"/>
    <w:uiPriority w:val="0"/>
    <w:qFormat/>
  </w:style>
  <w:style w:type="character" w:styleId="893" w:customStyle="1">
    <w:name w:val="批注框文本 Char"/>
    <w:basedOn w:val="857"/>
    <w:link w:val="871"/>
    <w:uiPriority w:val="99"/>
    <w:semiHidden/>
    <w:qFormat/>
    <w:rPr>
      <w:sz w:val="18"/>
      <w:szCs w:val="18"/>
    </w:rPr>
  </w:style>
  <w:style w:type="table" w:styleId="894" w:customStyle="1">
    <w:name w:val="网格型1"/>
    <w:basedOn w:val="85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customStyle="1">
    <w:name w:val="批注文字 Char"/>
    <w:basedOn w:val="857"/>
    <w:link w:val="863"/>
    <w:uiPriority w:val="99"/>
    <w:qFormat/>
  </w:style>
  <w:style w:type="character" w:styleId="896" w:customStyle="1">
    <w:name w:val="批注主题 Char"/>
    <w:basedOn w:val="895"/>
    <w:link w:val="881"/>
    <w:uiPriority w:val="99"/>
    <w:semiHidden/>
    <w:qFormat/>
    <w:rPr>
      <w:b/>
      <w:bCs/>
    </w:rPr>
  </w:style>
  <w:style w:type="character" w:styleId="897" w:customStyle="1">
    <w:name w:val="正文文本 Char"/>
    <w:basedOn w:val="857"/>
    <w:uiPriority w:val="0"/>
    <w:qFormat/>
  </w:style>
  <w:style w:type="character" w:styleId="898" w:customStyle="1">
    <w:name w:val="正文文本 Char1"/>
    <w:link w:val="865"/>
    <w:uiPriority w:val="0"/>
    <w:qFormat/>
    <w:rPr>
      <w:rFonts w:ascii="楷体_GB2312" w:hAnsi="Times New Roman" w:eastAsia="楷体_GB2312" w:cs="Times New Roman"/>
      <w:bCs/>
      <w:sz w:val="28"/>
      <w:szCs w:val="24"/>
    </w:rPr>
  </w:style>
  <w:style w:type="paragraph" w:styleId="899" w:customStyle="1">
    <w:name w:val="Table Paragraph"/>
    <w:basedOn w:val="851"/>
    <w:uiPriority w:val="1"/>
    <w:qFormat/>
    <w:pPr>
      <w:ind w:firstLine="260"/>
      <w:jc w:val="left"/>
      <w:spacing w:line="360" w:lineRule="auto"/>
    </w:pPr>
    <w:rPr>
      <w:rFonts w:ascii="Calibri" w:hAnsi="Calibri" w:eastAsia="仿宋" w:cs="Times New Roman"/>
      <w:sz w:val="28"/>
      <w:lang w:eastAsia="en-US"/>
    </w:rPr>
  </w:style>
  <w:style w:type="paragraph" w:styleId="900">
    <w:name w:val="No Spacing"/>
    <w:link w:val="901"/>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01" w:customStyle="1">
    <w:name w:val="无间隔 Char"/>
    <w:link w:val="900"/>
    <w:uiPriority w:val="1"/>
    <w:qFormat/>
    <w:rPr>
      <w:rFonts w:ascii="宋体" w:hAnsi="宋体"/>
      <w:sz w:val="24"/>
    </w:rPr>
  </w:style>
  <w:style w:type="character" w:styleId="902" w:customStyle="1">
    <w:name w:val="正文文本缩进 Char"/>
    <w:basedOn w:val="857"/>
    <w:link w:val="866"/>
    <w:uiPriority w:val="0"/>
    <w:qFormat/>
  </w:style>
  <w:style w:type="table" w:styleId="903" w:customStyle="1">
    <w:name w:val="网格型2"/>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04" w:customStyle="1">
    <w:name w:val="Revision"/>
    <w:hidden/>
    <w:uiPriority w:val="99"/>
    <w:unhideWhenUsed/>
    <w:qFormat/>
    <w:rPr>
      <w:rFonts w:asciiTheme="minorHAnsi" w:hAnsiTheme="minorHAnsi" w:eastAsiaTheme="minorEastAsia" w:cstheme="minorBidi"/>
      <w:sz w:val="21"/>
      <w:szCs w:val="22"/>
      <w:lang w:val="en-US" w:eastAsia="zh-CN" w:bidi="ar-SA"/>
    </w:rPr>
  </w:style>
  <w:style w:type="table" w:styleId="905" w:customStyle="1">
    <w:name w:val="网格型3"/>
    <w:basedOn w:val="85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6" w:customStyle="1">
    <w:name w:val="网格型4"/>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customStyle="1">
    <w:name w:val="Table Normal"/>
    <w:uiPriority w:val="0"/>
    <w:semiHidden/>
    <w:unhideWhenUsed/>
    <w:qFormat/>
    <w:rPr>
      <w:sz w:val="20"/>
      <w:szCs w:val="20"/>
    </w:rPr>
    <w:tblPr>
      <w:tblCellMar>
        <w:left w:w="0" w:type="dxa"/>
        <w:top w:w="0" w:type="dxa"/>
        <w:right w:w="0" w:type="dxa"/>
        <w:bottom w:w="0" w:type="dxa"/>
      </w:tblCellMar>
    </w:tblPr>
  </w:style>
  <w:style w:type="character" w:styleId="908" w:customStyle="1">
    <w:name w:val="标题 1 Char"/>
    <w:basedOn w:val="857"/>
    <w:link w:val="852"/>
    <w:uiPriority w:val="9"/>
    <w:qFormat/>
    <w:rPr>
      <w:b/>
      <w:bCs/>
      <w:sz w:val="44"/>
      <w:szCs w:val="44"/>
    </w:rPr>
  </w:style>
  <w:style w:type="paragraph" w:styleId="909" w:customStyle="1">
    <w:name w:val="TOC Heading"/>
    <w:basedOn w:val="852"/>
    <w:next w:val="851"/>
    <w:uiPriority w:val="39"/>
    <w:semiHidden/>
    <w:unhideWhenUsed/>
    <w:qFormat/>
    <w:pPr>
      <w:outlineLvl w:val="9"/>
    </w:pPr>
  </w:style>
  <w:style w:type="character" w:styleId="910" w:customStyle="1">
    <w:name w:val="font21"/>
    <w:basedOn w:val="857"/>
    <w:uiPriority w:val="0"/>
    <w:qFormat/>
    <w:rPr>
      <w:rFonts w:ascii="Calibri" w:hAnsi="Calibri" w:cs="Calibri"/>
      <w:color w:val="000000"/>
      <w:sz w:val="21"/>
      <w:szCs w:val="21"/>
      <w:u w:val="none"/>
    </w:rPr>
  </w:style>
  <w:style w:type="character" w:styleId="911" w:customStyle="1">
    <w:name w:val="font11"/>
    <w:basedOn w:val="857"/>
    <w:uiPriority w:val="0"/>
    <w:qFormat/>
    <w:rPr>
      <w:rFonts w:hint="eastAsia" w:ascii="宋体" w:hAnsi="宋体" w:eastAsia="宋体" w:cs="宋体"/>
      <w:color w:val="000000"/>
      <w:sz w:val="21"/>
      <w:szCs w:val="21"/>
      <w:u w:val="none"/>
    </w:rPr>
  </w:style>
  <w:style w:type="character" w:styleId="912" w:customStyle="1">
    <w:name w:val="正文首行缩进 2 Char"/>
    <w:basedOn w:val="902"/>
    <w:link w:val="883"/>
    <w:uiPriority w:val="0"/>
    <w:qFormat/>
  </w:style>
  <w:style w:type="character" w:styleId="913" w:customStyle="1">
    <w:name w:val="标题 2 Char"/>
    <w:basedOn w:val="857"/>
    <w:link w:val="853"/>
    <w:uiPriority w:val="9"/>
    <w:semiHidden/>
    <w:qFormat/>
    <w:rPr>
      <w:rFonts w:asciiTheme="majorHAnsi" w:hAnsiTheme="majorHAnsi" w:eastAsiaTheme="majorEastAsia" w:cstheme="majorBidi"/>
      <w:b/>
      <w:bCs/>
      <w:sz w:val="32"/>
      <w:szCs w:val="32"/>
    </w:rPr>
  </w:style>
  <w:style w:type="character" w:styleId="914" w:customStyle="1">
    <w:name w:val="标题 3 Char"/>
    <w:basedOn w:val="857"/>
    <w:link w:val="854"/>
    <w:uiPriority w:val="9"/>
    <w:semiHidden/>
    <w:qFormat/>
    <w:rPr>
      <w:b/>
      <w:bCs/>
      <w:sz w:val="32"/>
      <w:szCs w:val="32"/>
    </w:rPr>
  </w:style>
  <w:style w:type="character" w:styleId="915" w:customStyle="1">
    <w:name w:val="标题 4 Char"/>
    <w:basedOn w:val="857"/>
    <w:link w:val="855"/>
    <w:uiPriority w:val="9"/>
    <w:semiHidden/>
    <w:qFormat/>
    <w:rPr>
      <w:rFonts w:asciiTheme="majorHAnsi" w:hAnsiTheme="majorHAnsi" w:eastAsiaTheme="majorEastAsia" w:cstheme="majorBidi"/>
      <w:b/>
      <w:bCs/>
      <w:sz w:val="28"/>
      <w:szCs w:val="28"/>
    </w:rPr>
  </w:style>
  <w:style w:type="character" w:styleId="916" w:customStyle="1">
    <w:name w:val="标题 5 Char"/>
    <w:basedOn w:val="857"/>
    <w:link w:val="856"/>
    <w:uiPriority w:val="9"/>
    <w:semiHidden/>
    <w:qFormat/>
    <w:rPr>
      <w:b/>
      <w:bCs/>
      <w:sz w:val="28"/>
      <w:szCs w:val="28"/>
    </w:rPr>
  </w:style>
  <w:style w:type="character" w:styleId="917" w:customStyle="1">
    <w:name w:val="注释标题 Char"/>
    <w:basedOn w:val="857"/>
    <w:link w:val="860"/>
    <w:uiPriority w:val="0"/>
    <w:qFormat/>
    <w:rPr>
      <w:rFonts w:ascii="金梅簡體中黑字形" w:hAnsi="Arial" w:eastAsia="金梅簡體中黑字形" w:cs="Times New Roman"/>
      <w:sz w:val="24"/>
      <w:szCs w:val="24"/>
    </w:rPr>
  </w:style>
  <w:style w:type="character" w:styleId="918" w:customStyle="1">
    <w:name w:val="文档结构图 Char"/>
    <w:basedOn w:val="857"/>
    <w:link w:val="862"/>
    <w:uiPriority w:val="99"/>
    <w:qFormat/>
    <w:rPr>
      <w:rFonts w:ascii="宋体"/>
      <w:sz w:val="18"/>
      <w:szCs w:val="18"/>
    </w:rPr>
  </w:style>
  <w:style w:type="character" w:styleId="919" w:customStyle="1">
    <w:name w:val="正文文本 3 Char"/>
    <w:basedOn w:val="857"/>
    <w:link w:val="864"/>
    <w:uiPriority w:val="0"/>
    <w:qFormat/>
    <w:rPr>
      <w:rFonts w:ascii="仿宋_GB2312" w:eastAsia="仿宋_GB2312"/>
      <w:sz w:val="24"/>
    </w:rPr>
  </w:style>
  <w:style w:type="character" w:styleId="920" w:customStyle="1">
    <w:name w:val="纯文本 Char"/>
    <w:basedOn w:val="857"/>
    <w:link w:val="869"/>
    <w:uiPriority w:val="0"/>
    <w:qFormat/>
    <w:rPr>
      <w:rFonts w:hAnsi="Courier New" w:cs="Courier New" w:asciiTheme="minorEastAsia"/>
    </w:rPr>
  </w:style>
  <w:style w:type="character" w:styleId="921" w:customStyle="1">
    <w:name w:val="正文首行缩进 Char"/>
    <w:basedOn w:val="898"/>
    <w:link w:val="882"/>
    <w:uiPriority w:val="0"/>
    <w:qFormat/>
    <w:rPr>
      <w:rFonts w:ascii="宋体" w:hAnsi="宋体" w:eastAsia="宋体" w:cs="Times New Roman"/>
      <w:sz w:val="24"/>
      <w:szCs w:val="24"/>
    </w:rPr>
  </w:style>
  <w:style w:type="table" w:styleId="922" w:customStyle="1">
    <w:name w:val="网格型5"/>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3" w:customStyle="1">
    <w:name w:val="正文首行缩进 21"/>
    <w:basedOn w:val="866"/>
    <w:next w:val="865"/>
    <w:uiPriority w:val="0"/>
    <w:qFormat/>
    <w:pPr>
      <w:ind w:firstLine="210"/>
    </w:pPr>
    <w:rPr>
      <w:szCs w:val="21"/>
    </w:rPr>
  </w:style>
  <w:style w:type="paragraph" w:styleId="924" w:customStyle="1">
    <w:name w:val="标题 21"/>
    <w:basedOn w:val="851"/>
    <w:next w:val="851"/>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25" w:customStyle="1">
    <w:name w:val="网格型11"/>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6" w:customStyle="1">
    <w:name w:val="BodyText1I2"/>
    <w:basedOn w:val="851"/>
    <w:next w:val="851"/>
    <w:uiPriority w:val="99"/>
    <w:qFormat/>
    <w:pPr>
      <w:ind w:left="420" w:firstLine="420"/>
      <w:spacing w:after="120"/>
    </w:pPr>
    <w:rPr>
      <w:rFonts w:ascii="楷体_GB2312" w:hAnsi="Times New Roman" w:eastAsia="楷体_GB2312" w:cs="Times New Roman"/>
      <w:szCs w:val="24"/>
    </w:rPr>
  </w:style>
  <w:style w:type="paragraph" w:styleId="927">
    <w:name w:val="List Paragraph"/>
    <w:basedOn w:val="851"/>
    <w:uiPriority w:val="34"/>
    <w:qFormat/>
    <w:pPr>
      <w:ind w:firstLine="420"/>
    </w:pPr>
  </w:style>
  <w:style w:type="paragraph" w:styleId="928" w:customStyle="1">
    <w:name w:val="正文无缩进"/>
    <w:basedOn w:val="851"/>
    <w:uiPriority w:val="0"/>
    <w:qFormat/>
    <w:pPr>
      <w:jc w:val="left"/>
      <w:spacing w:line="300" w:lineRule="auto"/>
      <w:widowControl/>
    </w:pPr>
    <w:rPr>
      <w:rFonts w:eastAsia="楷体_GB2312"/>
      <w:sz w:val="24"/>
    </w:rPr>
  </w:style>
  <w:style w:type="character" w:styleId="929" w:customStyle="1">
    <w:name w:val="NormalCharacter"/>
    <w:uiPriority w:val="0"/>
    <w:qFormat/>
    <w:rPr>
      <w:rFonts w:ascii="Times New Roman" w:hAnsi="Times New Roman" w:eastAsia="宋体"/>
    </w:rPr>
  </w:style>
  <w:style w:type="table" w:styleId="930" w:customStyle="1">
    <w:name w:val="网格型21"/>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1"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32" w:customStyle="1">
    <w:name w:val="正文文本首行缩进1"/>
    <w:basedOn w:val="865"/>
    <w:next w:val="933"/>
    <w:uiPriority w:val="0"/>
    <w:qFormat/>
    <w:pPr>
      <w:ind w:firstLine="420"/>
      <w:spacing w:after="120"/>
    </w:pPr>
    <w:rPr>
      <w:rFonts w:eastAsia="宋体"/>
    </w:rPr>
  </w:style>
  <w:style w:type="paragraph" w:styleId="933" w:customStyle="1">
    <w:name w:val="正文文本首行缩进 21"/>
    <w:basedOn w:val="866"/>
    <w:uiPriority w:val="0"/>
    <w:qFormat/>
    <w:pPr>
      <w:ind w:firstLine="420"/>
      <w:widowControl/>
    </w:pPr>
    <w:rPr>
      <w:rFonts w:ascii="仿宋_GB2312" w:eastAsia="仿宋_GB2312"/>
      <w:color w:val="ff6600"/>
    </w:rPr>
  </w:style>
  <w:style w:type="character" w:styleId="934" w:customStyle="1">
    <w:name w:val="font41"/>
    <w:basedOn w:val="857"/>
    <w:uiPriority w:val="0"/>
    <w:qFormat/>
    <w:rPr>
      <w:rFonts w:hint="eastAsia" w:ascii="宋体" w:hAnsi="宋体" w:eastAsia="宋体" w:cs="宋体"/>
      <w:color w:val="000000"/>
      <w:sz w:val="24"/>
      <w:szCs w:val="24"/>
      <w:u w:val="none"/>
    </w:rPr>
  </w:style>
  <w:style w:type="character" w:styleId="935" w:customStyle="1">
    <w:name w:val="font31"/>
    <w:uiPriority w:val="0"/>
    <w:qFormat/>
    <w:rPr>
      <w:rFonts w:hint="default" w:ascii="Times New Roman" w:hAnsi="Times New Roman" w:cs="Times New Roman"/>
      <w:color w:val="000000"/>
      <w:sz w:val="24"/>
      <w:szCs w:val="24"/>
      <w:u w:val="none"/>
    </w:rPr>
  </w:style>
  <w:style w:type="paragraph" w:styleId="936" w:customStyle="1">
    <w:name w:val="msolistparagraph"/>
    <w:basedOn w:val="851"/>
    <w:uiPriority w:val="0"/>
    <w:qFormat/>
    <w:pPr>
      <w:ind w:firstLine="420"/>
    </w:pPr>
    <w:rPr>
      <w:rFonts w:ascii="Calibri" w:hAnsi="Calibri" w:eastAsia="宋体" w:cs="Times New Roman"/>
    </w:rPr>
  </w:style>
  <w:style w:type="paragraph" w:styleId="937"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38" w:customStyle="1">
    <w:name w:val="表格文字"/>
    <w:basedOn w:val="939"/>
    <w:next w:val="865"/>
    <w:uiPriority w:val="0"/>
    <w:qFormat/>
  </w:style>
  <w:style w:type="paragraph" w:styleId="939" w:customStyle="1">
    <w:name w:val="表格文字（两侧对齐）"/>
    <w:basedOn w:val="851"/>
    <w:uiPriority w:val="0"/>
    <w:qFormat/>
    <w:rPr>
      <w:rFonts w:ascii="Calibri" w:hAnsi="Calibri"/>
      <w:sz w:val="20"/>
    </w:rPr>
  </w:style>
  <w:style w:type="paragraph" w:styleId="940" w:customStyle="1">
    <w:name w:val="样式 样式 小四 行距: 1.5 倍行距 + 首行缩进:  3 字符"/>
    <w:basedOn w:val="851"/>
    <w:uiPriority w:val="0"/>
    <w:qFormat/>
    <w:pPr>
      <w:ind w:firstLine="420"/>
    </w:pPr>
    <w:rPr>
      <w:rFonts w:ascii="宋体" w:hAnsi="宋体" w:eastAsia="宋体" w:cs="宋体"/>
      <w:szCs w:val="21"/>
    </w:rPr>
  </w:style>
  <w:style w:type="paragraph" w:styleId="941" w:customStyle="1">
    <w:name w:val="列出段落1"/>
    <w:basedOn w:val="851"/>
    <w:uiPriority w:val="34"/>
    <w:qFormat/>
    <w:pPr>
      <w:ind w:firstLine="420"/>
      <w:spacing w:line="360" w:lineRule="auto"/>
    </w:pPr>
    <w:rPr>
      <w:rFonts w:ascii="Times New Roman" w:hAnsi="Times New Roman" w:eastAsia="宋体" w:cs="Times New Roman"/>
      <w:sz w:val="24"/>
      <w:szCs w:val="24"/>
    </w:rPr>
  </w:style>
  <w:style w:type="paragraph" w:styleId="942" w:customStyle="1">
    <w:name w:val="投标正文"/>
    <w:basedOn w:val="851"/>
    <w:uiPriority w:val="0"/>
    <w:qFormat/>
    <w:pPr>
      <w:ind w:left="567"/>
      <w:spacing w:line="360" w:lineRule="auto"/>
    </w:pPr>
    <w:rPr>
      <w:rFonts w:ascii="Times New Roman" w:hAnsi="Times New Roman"/>
      <w:sz w:val="24"/>
    </w:rPr>
  </w:style>
  <w:style w:type="table" w:styleId="943" w:customStyle="1">
    <w:name w:val="网格型6"/>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4" w:customStyle="1">
    <w:name w:val="网格型22"/>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5" w:customStyle="1">
    <w:name w:val="网格型7"/>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6"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47" w:customStyle="1">
    <w:name w:val="TOC 标题1"/>
    <w:basedOn w:val="852"/>
    <w:next w:val="851"/>
    <w:uiPriority w:val="39"/>
    <w:semiHidden/>
    <w:unhideWhenUsed/>
    <w:qFormat/>
    <w:pPr>
      <w:outlineLvl w:val="9"/>
    </w:pPr>
  </w:style>
  <w:style w:type="table" w:styleId="948" w:customStyle="1">
    <w:name w:val="网格型8"/>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9" w:customStyle="1">
    <w:name w:val="网格型9"/>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0" w:customStyle="1">
    <w:name w:val="网格型12"/>
    <w:basedOn w:val="85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1" w:customStyle="1">
    <w:name w:val="网格型23"/>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2" w:customStyle="1">
    <w:name w:val="网格型31"/>
    <w:basedOn w:val="858"/>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3" w:customStyle="1">
    <w:name w:val="网格型41"/>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customStyle="1">
    <w:name w:val="Table Normal1"/>
    <w:uiPriority w:val="0"/>
    <w:semiHidden/>
    <w:unhideWhenUsed/>
    <w:qFormat/>
    <w:tblPr>
      <w:tblCellMar>
        <w:left w:w="0" w:type="dxa"/>
        <w:top w:w="0" w:type="dxa"/>
        <w:right w:w="0" w:type="dxa"/>
        <w:bottom w:w="0" w:type="dxa"/>
      </w:tblCellMar>
    </w:tblPr>
  </w:style>
  <w:style w:type="table" w:styleId="955" w:customStyle="1">
    <w:name w:val="网格型51"/>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6" w:customStyle="1">
    <w:name w:val="网格型111"/>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7" w:customStyle="1">
    <w:name w:val="网格型211"/>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8" w:customStyle="1">
    <w:name w:val="网格型61"/>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9" w:customStyle="1">
    <w:name w:val="网格型221"/>
    <w:basedOn w:val="8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0" w:customStyle="1">
    <w:name w:val="网格型71"/>
    <w:basedOn w:val="85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1" w:customStyle="1">
    <w:name w:val="网格型10"/>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2" w:customStyle="1">
    <w:name w:val="网格型13"/>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3" w:customStyle="1">
    <w:name w:val="网格型121"/>
    <w:basedOn w:val="85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4" w:customStyle="1">
    <w:name w:val="网格型231"/>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customStyle="1">
    <w:name w:val="网格型311"/>
    <w:basedOn w:val="858"/>
    <w:uiPriority w:val="59"/>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customStyle="1">
    <w:name w:val="网格型411"/>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7" w:customStyle="1">
    <w:name w:val="Table Normal11"/>
    <w:uiPriority w:val="0"/>
    <w:semiHidden/>
    <w:unhideWhenUsed/>
    <w:qFormat/>
    <w:rPr>
      <w:sz w:val="20"/>
      <w:szCs w:val="20"/>
    </w:rPr>
    <w:tblPr>
      <w:tblCellMar>
        <w:left w:w="0" w:type="dxa"/>
        <w:top w:w="0" w:type="dxa"/>
        <w:right w:w="0" w:type="dxa"/>
        <w:bottom w:w="0" w:type="dxa"/>
      </w:tblCellMar>
    </w:tblPr>
  </w:style>
  <w:style w:type="table" w:styleId="968" w:customStyle="1">
    <w:name w:val="网格型511"/>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9" w:customStyle="1">
    <w:name w:val="网格型1111"/>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0" w:customStyle="1">
    <w:name w:val="网格型2111"/>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1" w:customStyle="1">
    <w:name w:val="网格型611"/>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2" w:customStyle="1">
    <w:name w:val="网格型2211"/>
    <w:basedOn w:val="858"/>
    <w:uiPriority w:val="0"/>
    <w:qFormat/>
    <w:pPr>
      <w:jc w:val="both"/>
      <w:widowControl w:val="off"/>
    </w:pPr>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3" w:customStyle="1">
    <w:name w:val="网格型711"/>
    <w:basedOn w:val="858"/>
    <w:uiPriority w:val="5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7A64F96-AA5E-40F9-883F-4CCB87DD1A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周兆逸</cp:lastModifiedBy>
  <cp:revision>470</cp:revision>
  <dcterms:created xsi:type="dcterms:W3CDTF">2025-10-17T05:39:00Z</dcterms:created>
  <dcterms:modified xsi:type="dcterms:W3CDTF">2026-05-26T06:33:40Z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eyJoZGlkIjoiYWQzNmU2OGUyZTJkNTJmNjAwOWVmYmU0MWIzZGRjMDQiLCJ1c2VySWQiOiI0ODQxMTQzODcifQ==</vt:lpwstr>
  </property>
  <property fmtid="{D5CDD505-2E9C-101B-9397-08002B2CF9AE}" pid="3" name="KSOProductBuildVer">
    <vt:lpwstr>2052-12.1.0.25865</vt:lpwstr>
  </property>
  <property fmtid="{D5CDD505-2E9C-101B-9397-08002B2CF9AE}" pid="4" name="ICV">
    <vt:lpwstr>BE3DBA18E1604954847A22ACE04FBB78_13</vt:lpwstr>
  </property>
</Properties>
</file>