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37150">
      <w:pPr>
        <w:rPr>
          <w:rFonts w:hint="eastAsia"/>
          <w:color w:val="auto"/>
          <w:highlight w:val="none"/>
        </w:rPr>
      </w:pPr>
      <w:bookmarkStart w:id="0" w:name="EBecaa0fa8a3034511a17880192c07d5d6"/>
      <w:r>
        <w:rPr>
          <w:rFonts w:hint="eastAsia"/>
          <w:color w:val="auto"/>
          <w:sz w:val="20"/>
          <w:highlight w:val="none"/>
        </w:rPr>
        <w:t xml:space="preserve"> </w:t>
      </w:r>
      <w:bookmarkEnd w:id="0"/>
      <w:bookmarkStart w:id="1" w:name="EB9794f1daad274a9b85f307e8b60057cd"/>
      <w:r>
        <w:rPr>
          <w:rFonts w:hint="eastAsia"/>
          <w:color w:val="auto"/>
          <w:sz w:val="20"/>
          <w:highlight w:val="none"/>
        </w:rPr>
        <w:t xml:space="preserve"> </w:t>
      </w:r>
      <w:bookmarkEnd w:id="1"/>
    </w:p>
    <w:p w14:paraId="1175C11C">
      <w:pPr>
        <w:spacing w:line="360" w:lineRule="auto"/>
        <w:jc w:val="left"/>
        <w:rPr>
          <w:rFonts w:hint="eastAsia" w:ascii="宋体" w:hAnsi="宋体"/>
          <w:b/>
          <w:color w:val="auto"/>
          <w:sz w:val="84"/>
          <w:highlight w:val="none"/>
        </w:rPr>
      </w:pPr>
    </w:p>
    <w:p w14:paraId="7D26429B">
      <w:pPr>
        <w:spacing w:line="360" w:lineRule="auto"/>
        <w:jc w:val="center"/>
        <w:rPr>
          <w:rFonts w:hint="eastAsia" w:ascii="宋体" w:hAnsi="宋体"/>
          <w:b/>
          <w:color w:val="auto"/>
          <w:sz w:val="36"/>
          <w:szCs w:val="10"/>
          <w:highlight w:val="none"/>
        </w:rPr>
      </w:pPr>
    </w:p>
    <w:p w14:paraId="100F5C10">
      <w:pPr>
        <w:spacing w:line="360" w:lineRule="auto"/>
        <w:jc w:val="center"/>
        <w:rPr>
          <w:rFonts w:ascii="宋体" w:hAnsi="宋体"/>
          <w:b/>
          <w:color w:val="auto"/>
          <w:sz w:val="84"/>
          <w:highlight w:val="none"/>
        </w:rPr>
      </w:pPr>
      <w:r>
        <w:rPr>
          <w:rFonts w:hint="eastAsia" w:ascii="宋体" w:hAnsi="宋体"/>
          <w:b/>
          <w:color w:val="auto"/>
          <w:sz w:val="84"/>
          <w:highlight w:val="none"/>
        </w:rPr>
        <w:t>磋  商  文  件</w:t>
      </w:r>
    </w:p>
    <w:p w14:paraId="1A286C41">
      <w:pPr>
        <w:spacing w:line="360" w:lineRule="auto"/>
        <w:jc w:val="center"/>
        <w:rPr>
          <w:rFonts w:ascii="宋体" w:hAnsi="宋体"/>
          <w:color w:val="auto"/>
          <w:sz w:val="32"/>
          <w:highlight w:val="none"/>
        </w:rPr>
      </w:pPr>
    </w:p>
    <w:p w14:paraId="7913136F">
      <w:pPr>
        <w:spacing w:line="360" w:lineRule="auto"/>
        <w:jc w:val="center"/>
        <w:rPr>
          <w:rFonts w:hint="eastAsia" w:ascii="宋体" w:hAnsi="宋体"/>
          <w:b/>
          <w:color w:val="auto"/>
          <w:sz w:val="36"/>
          <w:highlight w:val="none"/>
        </w:rPr>
      </w:pPr>
    </w:p>
    <w:p w14:paraId="58874879">
      <w:pPr>
        <w:keepNext w:val="0"/>
        <w:keepLines w:val="0"/>
        <w:pageBreakBefore w:val="0"/>
        <w:widowControl w:val="0"/>
        <w:spacing w:before="313" w:after="313" w:line="360" w:lineRule="auto"/>
        <w:ind w:firstLine="1084"/>
        <w:jc w:val="both"/>
        <w:rPr>
          <w:rFonts w:hint="eastAsia" w:ascii="宋体" w:hAnsi="宋体"/>
          <w:b/>
          <w:color w:val="auto"/>
          <w:sz w:val="36"/>
          <w:highlight w:val="none"/>
        </w:rPr>
      </w:pPr>
    </w:p>
    <w:p w14:paraId="11B1861B">
      <w:pPr>
        <w:keepNext w:val="0"/>
        <w:keepLines w:val="0"/>
        <w:pageBreakBefore w:val="0"/>
        <w:widowControl w:val="0"/>
        <w:spacing w:before="313" w:after="313" w:line="360" w:lineRule="auto"/>
        <w:ind w:firstLine="850"/>
        <w:jc w:val="both"/>
        <w:rPr>
          <w:rFonts w:hint="eastAsia" w:ascii="宋体" w:hAnsi="宋体"/>
          <w:b/>
          <w:color w:val="auto"/>
          <w:sz w:val="36"/>
          <w:highlight w:val="none"/>
          <w:lang w:eastAsia="zh-CN"/>
        </w:rPr>
      </w:pPr>
      <w:r>
        <w:rPr>
          <w:rFonts w:hint="eastAsia" w:ascii="宋体" w:hAnsi="宋体"/>
          <w:b/>
          <w:color w:val="auto"/>
          <w:sz w:val="36"/>
          <w:highlight w:val="none"/>
        </w:rPr>
        <w:t>项目编号：</w:t>
      </w:r>
      <w:r>
        <w:rPr>
          <w:rFonts w:hint="eastAsia" w:ascii="宋体" w:hAnsi="宋体"/>
          <w:b/>
          <w:color w:val="auto"/>
          <w:sz w:val="36"/>
          <w:highlight w:val="none"/>
          <w:lang w:eastAsia="zh-CN"/>
        </w:rPr>
        <w:t>JSZC-321181-DYWX-C2026-0010</w:t>
      </w:r>
    </w:p>
    <w:p w14:paraId="20E6B93E">
      <w:pPr>
        <w:keepNext w:val="0"/>
        <w:keepLines w:val="0"/>
        <w:pageBreakBefore w:val="0"/>
        <w:widowControl w:val="0"/>
        <w:spacing w:before="313" w:after="313" w:line="360" w:lineRule="auto"/>
        <w:ind w:firstLine="850"/>
        <w:jc w:val="both"/>
        <w:rPr>
          <w:rFonts w:hint="eastAsia" w:ascii="宋体" w:hAnsi="宋体" w:eastAsia="宋体"/>
          <w:b/>
          <w:color w:val="auto"/>
          <w:sz w:val="36"/>
          <w:highlight w:val="none"/>
        </w:rPr>
      </w:pPr>
      <w:r>
        <w:rPr>
          <w:rFonts w:hint="eastAsia" w:ascii="宋体" w:hAnsi="宋体"/>
          <w:b/>
          <w:color w:val="auto"/>
          <w:sz w:val="36"/>
          <w:highlight w:val="none"/>
        </w:rPr>
        <w:t>项目名称：</w:t>
      </w:r>
      <w:r>
        <w:rPr>
          <w:rFonts w:hint="eastAsia" w:ascii="宋体" w:hAnsi="宋体"/>
          <w:b/>
          <w:color w:val="auto"/>
          <w:spacing w:val="-20"/>
          <w:sz w:val="36"/>
          <w:highlight w:val="none"/>
          <w:lang w:eastAsia="zh-CN"/>
        </w:rPr>
        <w:t>江苏省丹阳高级中学老校区体育馆屋顶修缮项目</w:t>
      </w:r>
    </w:p>
    <w:p w14:paraId="5764E6C1">
      <w:pPr>
        <w:spacing w:line="360" w:lineRule="auto"/>
        <w:ind w:left="630" w:right="630"/>
        <w:jc w:val="center"/>
        <w:rPr>
          <w:rFonts w:hint="eastAsia" w:ascii="宋体" w:hAnsi="宋体"/>
          <w:b/>
          <w:color w:val="auto"/>
          <w:sz w:val="36"/>
          <w:szCs w:val="36"/>
          <w:highlight w:val="none"/>
        </w:rPr>
      </w:pPr>
    </w:p>
    <w:p w14:paraId="01D23174">
      <w:pPr>
        <w:spacing w:line="360" w:lineRule="auto"/>
        <w:ind w:right="630"/>
        <w:jc w:val="both"/>
        <w:rPr>
          <w:rFonts w:ascii="宋体" w:hAnsi="宋体"/>
          <w:b/>
          <w:color w:val="auto"/>
          <w:sz w:val="36"/>
          <w:szCs w:val="36"/>
          <w:highlight w:val="none"/>
        </w:rPr>
      </w:pPr>
    </w:p>
    <w:p w14:paraId="327D4768">
      <w:pPr>
        <w:spacing w:line="360" w:lineRule="auto"/>
        <w:jc w:val="center"/>
        <w:rPr>
          <w:rFonts w:ascii="宋体" w:hAnsi="宋体"/>
          <w:b/>
          <w:color w:val="auto"/>
          <w:sz w:val="32"/>
          <w:szCs w:val="21"/>
          <w:highlight w:val="none"/>
        </w:rPr>
      </w:pPr>
    </w:p>
    <w:p w14:paraId="27B997B0">
      <w:pPr>
        <w:spacing w:line="360" w:lineRule="auto"/>
        <w:jc w:val="center"/>
        <w:rPr>
          <w:rFonts w:hint="eastAsia" w:ascii="宋体" w:hAnsi="宋体"/>
          <w:b/>
          <w:color w:val="auto"/>
          <w:sz w:val="36"/>
          <w:highlight w:val="none"/>
        </w:rPr>
      </w:pPr>
    </w:p>
    <w:p w14:paraId="56CEEDCB">
      <w:pPr>
        <w:keepNext w:val="0"/>
        <w:keepLines w:val="0"/>
        <w:pageBreakBefore w:val="0"/>
        <w:widowControl w:val="0"/>
        <w:spacing w:after="361" w:line="360" w:lineRule="auto"/>
        <w:jc w:val="center"/>
        <w:rPr>
          <w:rFonts w:hint="eastAsia" w:ascii="宋体" w:hAnsi="宋体" w:eastAsia="宋体"/>
          <w:b/>
          <w:color w:val="auto"/>
          <w:sz w:val="36"/>
          <w:highlight w:val="none"/>
        </w:rPr>
      </w:pPr>
      <w:r>
        <w:rPr>
          <w:rFonts w:hint="eastAsia" w:ascii="宋体" w:hAnsi="宋体"/>
          <w:b/>
          <w:color w:val="auto"/>
          <w:sz w:val="36"/>
          <w:highlight w:val="none"/>
          <w:lang w:eastAsia="zh-CN"/>
        </w:rPr>
        <w:t>江苏万信项目管理有限公司</w:t>
      </w:r>
    </w:p>
    <w:p w14:paraId="4841871D">
      <w:pPr>
        <w:spacing w:line="360" w:lineRule="auto"/>
        <w:jc w:val="center"/>
        <w:rPr>
          <w:rFonts w:hint="default" w:ascii="宋体" w:hAnsi="宋体" w:eastAsia="宋体"/>
          <w:b/>
          <w:bCs/>
          <w:color w:val="auto"/>
          <w:sz w:val="36"/>
          <w:szCs w:val="36"/>
          <w:highlight w:val="none"/>
          <w:lang w:val="en-US" w:eastAsia="zh-CN"/>
        </w:rPr>
        <w:sectPr>
          <w:headerReference r:id="rId4" w:type="first"/>
          <w:headerReference r:id="rId3" w:type="default"/>
          <w:pgSz w:w="11906" w:h="16838"/>
          <w:pgMar w:top="1418" w:right="1555" w:bottom="1418" w:left="1531" w:header="851" w:footer="992" w:gutter="0"/>
          <w:pgNumType w:start="1"/>
          <w:cols w:space="720" w:num="1"/>
          <w:titlePg/>
          <w:docGrid w:linePitch="360" w:charSpace="0"/>
        </w:sectPr>
      </w:pPr>
      <w:r>
        <w:rPr>
          <w:rFonts w:hint="eastAsia" w:ascii="宋体" w:hAnsi="宋体"/>
          <w:b/>
          <w:color w:val="auto"/>
          <w:sz w:val="36"/>
          <w:szCs w:val="36"/>
          <w:highlight w:val="none"/>
          <w:lang w:eastAsia="zh-CN"/>
        </w:rPr>
        <w:t>202</w:t>
      </w:r>
      <w:r>
        <w:rPr>
          <w:rFonts w:hint="eastAsia" w:ascii="宋体" w:hAnsi="宋体"/>
          <w:b/>
          <w:color w:val="auto"/>
          <w:sz w:val="36"/>
          <w:szCs w:val="36"/>
          <w:highlight w:val="none"/>
          <w:lang w:val="en-US" w:eastAsia="zh-CN"/>
        </w:rPr>
        <w:t>6</w:t>
      </w:r>
      <w:r>
        <w:rPr>
          <w:rFonts w:hint="eastAsia" w:ascii="宋体" w:hAnsi="宋体"/>
          <w:b/>
          <w:color w:val="auto"/>
          <w:sz w:val="36"/>
          <w:szCs w:val="36"/>
          <w:highlight w:val="none"/>
        </w:rPr>
        <w:t>-</w:t>
      </w:r>
      <w:r>
        <w:rPr>
          <w:rFonts w:hint="eastAsia" w:ascii="宋体" w:hAnsi="宋体"/>
          <w:b/>
          <w:color w:val="auto"/>
          <w:sz w:val="36"/>
          <w:szCs w:val="36"/>
          <w:highlight w:val="none"/>
          <w:lang w:val="en-US" w:eastAsia="zh-CN"/>
        </w:rPr>
        <w:t>06</w:t>
      </w:r>
      <w:r>
        <w:rPr>
          <w:rFonts w:hint="eastAsia" w:ascii="宋体" w:hAnsi="宋体"/>
          <w:b/>
          <w:color w:val="auto"/>
          <w:sz w:val="36"/>
          <w:szCs w:val="36"/>
          <w:highlight w:val="none"/>
        </w:rPr>
        <w:t>-</w:t>
      </w:r>
      <w:r>
        <w:rPr>
          <w:rFonts w:hint="eastAsia" w:ascii="宋体" w:hAnsi="宋体"/>
          <w:b/>
          <w:color w:val="auto"/>
          <w:sz w:val="36"/>
          <w:szCs w:val="36"/>
          <w:highlight w:val="none"/>
          <w:lang w:val="en-US" w:eastAsia="zh-CN"/>
        </w:rPr>
        <w:t>05</w:t>
      </w:r>
      <w:r>
        <w:rPr>
          <w:rFonts w:hint="eastAsia" w:ascii="宋体" w:hAnsi="宋体"/>
          <w:b/>
          <w:bCs/>
          <w:color w:val="auto"/>
          <w:sz w:val="36"/>
          <w:szCs w:val="36"/>
          <w:highlight w:val="none"/>
          <w:lang w:val="en-US" w:eastAsia="zh-CN"/>
        </w:rPr>
        <w:t xml:space="preserve"> </w:t>
      </w:r>
    </w:p>
    <w:p w14:paraId="22267EF8">
      <w:pPr>
        <w:pageBreakBefore/>
        <w:spacing w:line="360" w:lineRule="auto"/>
        <w:jc w:val="center"/>
        <w:rPr>
          <w:rFonts w:ascii="宋体" w:hAnsi="宋体"/>
          <w:b/>
          <w:bCs/>
          <w:color w:val="auto"/>
          <w:sz w:val="36"/>
          <w:szCs w:val="36"/>
          <w:highlight w:val="none"/>
        </w:rPr>
      </w:pPr>
      <w:r>
        <w:rPr>
          <w:rFonts w:hint="eastAsia" w:ascii="宋体" w:hAnsi="宋体"/>
          <w:b/>
          <w:bCs/>
          <w:color w:val="auto"/>
          <w:sz w:val="36"/>
          <w:szCs w:val="36"/>
          <w:highlight w:val="none"/>
        </w:rPr>
        <w:t>磋商文件目录</w:t>
      </w:r>
    </w:p>
    <w:p w14:paraId="10E78F03">
      <w:pPr>
        <w:pStyle w:val="22"/>
        <w:tabs>
          <w:tab w:val="right" w:leader="dot" w:pos="8820"/>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_Toc15385 </w:instrText>
      </w:r>
      <w:r>
        <w:rPr>
          <w:color w:val="auto"/>
          <w:highlight w:val="none"/>
        </w:rPr>
        <w:fldChar w:fldCharType="separate"/>
      </w:r>
      <w:r>
        <w:rPr>
          <w:rFonts w:hint="eastAsia" w:ascii="宋体" w:hAnsi="宋体"/>
          <w:color w:val="auto"/>
          <w:highlight w:val="none"/>
        </w:rPr>
        <w:t>第一部分  磋商邀请</w:t>
      </w:r>
      <w:r>
        <w:rPr>
          <w:color w:val="auto"/>
          <w:highlight w:val="none"/>
        </w:rPr>
        <w:tab/>
      </w:r>
      <w:r>
        <w:rPr>
          <w:color w:val="auto"/>
          <w:highlight w:val="none"/>
        </w:rPr>
        <w:fldChar w:fldCharType="begin"/>
      </w:r>
      <w:r>
        <w:rPr>
          <w:color w:val="auto"/>
          <w:highlight w:val="none"/>
        </w:rPr>
        <w:instrText xml:space="preserve"> PAGEREF _Toc15385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BB97C70">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_Toc8340 </w:instrText>
      </w:r>
      <w:r>
        <w:rPr>
          <w:color w:val="auto"/>
          <w:highlight w:val="none"/>
        </w:rPr>
        <w:fldChar w:fldCharType="separate"/>
      </w:r>
      <w:r>
        <w:rPr>
          <w:rFonts w:hint="eastAsia" w:ascii="宋体" w:hAnsi="宋体" w:eastAsia="宋体"/>
          <w:bCs/>
          <w:color w:val="auto"/>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_Toc8340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268AA94">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_Toc3214 </w:instrText>
      </w:r>
      <w:r>
        <w:rPr>
          <w:color w:val="auto"/>
          <w:highlight w:val="none"/>
        </w:rPr>
        <w:fldChar w:fldCharType="separate"/>
      </w:r>
      <w:r>
        <w:rPr>
          <w:rFonts w:hint="eastAsia" w:ascii="宋体" w:hAnsi="宋体" w:eastAsia="宋体" w:cs="Times New Roman"/>
          <w:bCs/>
          <w:color w:val="auto"/>
          <w:highlight w:val="none"/>
        </w:rPr>
        <w:t>二、申请人的资格要求</w:t>
      </w:r>
      <w:r>
        <w:rPr>
          <w:color w:val="auto"/>
          <w:highlight w:val="none"/>
        </w:rPr>
        <w:tab/>
      </w:r>
      <w:r>
        <w:rPr>
          <w:color w:val="auto"/>
          <w:highlight w:val="none"/>
        </w:rPr>
        <w:fldChar w:fldCharType="begin"/>
      </w:r>
      <w:r>
        <w:rPr>
          <w:color w:val="auto"/>
          <w:highlight w:val="none"/>
        </w:rPr>
        <w:instrText xml:space="preserve"> PAGEREF _Toc3214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1F72D80E">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_Toc12042 </w:instrText>
      </w:r>
      <w:r>
        <w:rPr>
          <w:color w:val="auto"/>
          <w:highlight w:val="none"/>
        </w:rPr>
        <w:fldChar w:fldCharType="separate"/>
      </w:r>
      <w:r>
        <w:rPr>
          <w:rFonts w:hint="eastAsia" w:ascii="宋体" w:hAnsi="宋体" w:eastAsia="宋体" w:cs="Times New Roman"/>
          <w:bCs/>
          <w:color w:val="auto"/>
          <w:highlight w:val="none"/>
        </w:rPr>
        <w:t>三、获取磋商文件</w:t>
      </w:r>
      <w:r>
        <w:rPr>
          <w:color w:val="auto"/>
          <w:highlight w:val="none"/>
        </w:rPr>
        <w:tab/>
      </w:r>
      <w:r>
        <w:rPr>
          <w:color w:val="auto"/>
          <w:highlight w:val="none"/>
        </w:rPr>
        <w:fldChar w:fldCharType="begin"/>
      </w:r>
      <w:r>
        <w:rPr>
          <w:color w:val="auto"/>
          <w:highlight w:val="none"/>
        </w:rPr>
        <w:instrText xml:space="preserve"> PAGEREF _Toc12042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4B278072">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_Toc15434 </w:instrText>
      </w:r>
      <w:r>
        <w:rPr>
          <w:color w:val="auto"/>
          <w:highlight w:val="none"/>
        </w:rPr>
        <w:fldChar w:fldCharType="separate"/>
      </w:r>
      <w:r>
        <w:rPr>
          <w:rFonts w:hint="eastAsia" w:ascii="宋体" w:hAnsi="宋体" w:eastAsia="宋体" w:cs="Times New Roman"/>
          <w:bCs/>
          <w:color w:val="auto"/>
          <w:highlight w:val="none"/>
        </w:rPr>
        <w:t>四、响应文件提交</w:t>
      </w:r>
      <w:r>
        <w:rPr>
          <w:color w:val="auto"/>
          <w:highlight w:val="none"/>
        </w:rPr>
        <w:tab/>
      </w:r>
      <w:r>
        <w:rPr>
          <w:color w:val="auto"/>
          <w:highlight w:val="none"/>
        </w:rPr>
        <w:fldChar w:fldCharType="begin"/>
      </w:r>
      <w:r>
        <w:rPr>
          <w:color w:val="auto"/>
          <w:highlight w:val="none"/>
        </w:rPr>
        <w:instrText xml:space="preserve"> PAGEREF _Toc15434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68B1F8B3">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_Toc32414 </w:instrText>
      </w:r>
      <w:r>
        <w:rPr>
          <w:color w:val="auto"/>
          <w:highlight w:val="none"/>
        </w:rPr>
        <w:fldChar w:fldCharType="separate"/>
      </w:r>
      <w:r>
        <w:rPr>
          <w:rFonts w:hint="eastAsia" w:ascii="宋体" w:hAnsi="宋体" w:eastAsia="宋体" w:cs="Times New Roman"/>
          <w:bCs/>
          <w:color w:val="auto"/>
          <w:highlight w:val="none"/>
        </w:rPr>
        <w:t>五、开启</w:t>
      </w:r>
      <w:r>
        <w:rPr>
          <w:color w:val="auto"/>
          <w:highlight w:val="none"/>
        </w:rPr>
        <w:tab/>
      </w:r>
      <w:r>
        <w:rPr>
          <w:color w:val="auto"/>
          <w:highlight w:val="none"/>
        </w:rPr>
        <w:fldChar w:fldCharType="begin"/>
      </w:r>
      <w:r>
        <w:rPr>
          <w:color w:val="auto"/>
          <w:highlight w:val="none"/>
        </w:rPr>
        <w:instrText xml:space="preserve"> PAGEREF _Toc32414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25BCB6E1">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_Toc24794 </w:instrText>
      </w:r>
      <w:r>
        <w:rPr>
          <w:color w:val="auto"/>
          <w:highlight w:val="none"/>
        </w:rPr>
        <w:fldChar w:fldCharType="separate"/>
      </w:r>
      <w:r>
        <w:rPr>
          <w:rFonts w:hint="eastAsia" w:ascii="宋体" w:hAnsi="宋体" w:eastAsia="宋体" w:cs="Times New Roman"/>
          <w:bCs/>
          <w:color w:val="auto"/>
          <w:highlight w:val="none"/>
        </w:rPr>
        <w:t>六、公告期限</w:t>
      </w:r>
      <w:r>
        <w:rPr>
          <w:color w:val="auto"/>
          <w:highlight w:val="none"/>
        </w:rPr>
        <w:tab/>
      </w:r>
      <w:r>
        <w:rPr>
          <w:color w:val="auto"/>
          <w:highlight w:val="none"/>
        </w:rPr>
        <w:fldChar w:fldCharType="begin"/>
      </w:r>
      <w:r>
        <w:rPr>
          <w:color w:val="auto"/>
          <w:highlight w:val="none"/>
        </w:rPr>
        <w:instrText xml:space="preserve"> PAGEREF _Toc24794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4E48FD5">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_Toc18482 </w:instrText>
      </w:r>
      <w:r>
        <w:rPr>
          <w:color w:val="auto"/>
          <w:highlight w:val="none"/>
        </w:rPr>
        <w:fldChar w:fldCharType="separate"/>
      </w:r>
      <w:r>
        <w:rPr>
          <w:rFonts w:hint="eastAsia" w:ascii="宋体" w:hAnsi="宋体" w:eastAsia="宋体" w:cs="Times New Roman"/>
          <w:bCs/>
          <w:color w:val="auto"/>
          <w:highlight w:val="none"/>
          <w:lang w:eastAsia="zh-CN"/>
        </w:rPr>
        <w:t>七</w:t>
      </w:r>
      <w:r>
        <w:rPr>
          <w:rFonts w:hint="eastAsia" w:ascii="宋体" w:hAnsi="宋体" w:eastAsia="宋体" w:cs="Times New Roman"/>
          <w:bCs/>
          <w:color w:val="auto"/>
          <w:highlight w:val="none"/>
        </w:rPr>
        <w:t>、其他补充事宜</w:t>
      </w:r>
      <w:r>
        <w:rPr>
          <w:color w:val="auto"/>
          <w:highlight w:val="none"/>
        </w:rPr>
        <w:tab/>
      </w:r>
      <w:r>
        <w:rPr>
          <w:color w:val="auto"/>
          <w:highlight w:val="none"/>
        </w:rPr>
        <w:fldChar w:fldCharType="begin"/>
      </w:r>
      <w:r>
        <w:rPr>
          <w:color w:val="auto"/>
          <w:highlight w:val="none"/>
        </w:rPr>
        <w:instrText xml:space="preserve"> PAGEREF _Toc18482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C0C2035">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宋体" w:hAnsi="宋体" w:eastAsia="宋体" w:cs="Times New Roman"/>
          <w:bCs/>
          <w:color w:val="auto"/>
          <w:highlight w:val="none"/>
          <w:lang w:eastAsia="zh-CN"/>
        </w:rPr>
        <w:t>八</w:t>
      </w:r>
      <w:r>
        <w:rPr>
          <w:rFonts w:hint="eastAsia" w:ascii="宋体" w:hAnsi="宋体" w:eastAsia="宋体" w:cs="Times New Roman"/>
          <w:bCs/>
          <w:color w:val="auto"/>
          <w:highlight w:val="none"/>
        </w:rPr>
        <w:t>、对本次</w:t>
      </w:r>
      <w:r>
        <w:rPr>
          <w:rFonts w:hint="eastAsia" w:ascii="宋体" w:hAnsi="宋体" w:eastAsia="宋体" w:cs="Times New Roman"/>
          <w:bCs/>
          <w:color w:val="auto"/>
          <w:highlight w:val="none"/>
          <w:lang w:eastAsia="zh-CN"/>
        </w:rPr>
        <w:t>采购</w:t>
      </w:r>
      <w:r>
        <w:rPr>
          <w:rFonts w:hint="eastAsia" w:ascii="宋体" w:hAnsi="宋体" w:eastAsia="宋体" w:cs="Times New Roman"/>
          <w:bCs/>
          <w:color w:val="auto"/>
          <w:highlight w:val="none"/>
        </w:rPr>
        <w:t>提出询问，请按以下方式联系。</w:t>
      </w:r>
      <w:r>
        <w:rPr>
          <w:color w:val="auto"/>
          <w:highlight w:val="none"/>
        </w:rPr>
        <w:tab/>
      </w:r>
      <w:r>
        <w:rPr>
          <w:color w:val="auto"/>
          <w:highlight w:val="none"/>
        </w:rPr>
        <w:fldChar w:fldCharType="begin"/>
      </w:r>
      <w:r>
        <w:rPr>
          <w:color w:val="auto"/>
          <w:highlight w:val="none"/>
        </w:rPr>
        <w:instrText xml:space="preserve"> PAGEREF _Toc2804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0193FD99">
      <w:pPr>
        <w:pStyle w:val="22"/>
        <w:tabs>
          <w:tab w:val="right" w:leader="dot" w:pos="8820"/>
        </w:tabs>
        <w:rPr>
          <w:color w:val="auto"/>
          <w:highlight w:val="none"/>
        </w:rPr>
      </w:pPr>
      <w:r>
        <w:rPr>
          <w:color w:val="auto"/>
          <w:highlight w:val="none"/>
        </w:rPr>
        <w:fldChar w:fldCharType="begin"/>
      </w:r>
      <w:r>
        <w:rPr>
          <w:color w:val="auto"/>
          <w:highlight w:val="none"/>
        </w:rPr>
        <w:instrText xml:space="preserve"> HYPERLINK \l _Toc12155 </w:instrText>
      </w:r>
      <w:r>
        <w:rPr>
          <w:color w:val="auto"/>
          <w:highlight w:val="none"/>
        </w:rPr>
        <w:fldChar w:fldCharType="separate"/>
      </w:r>
      <w:r>
        <w:rPr>
          <w:rFonts w:hint="eastAsia" w:ascii="宋体" w:hAnsi="宋体"/>
          <w:color w:val="auto"/>
          <w:highlight w:val="none"/>
        </w:rPr>
        <w:t>第二部分  供应商须知</w:t>
      </w:r>
      <w:r>
        <w:rPr>
          <w:color w:val="auto"/>
          <w:highlight w:val="none"/>
        </w:rPr>
        <w:tab/>
      </w:r>
      <w:r>
        <w:rPr>
          <w:color w:val="auto"/>
          <w:highlight w:val="none"/>
        </w:rPr>
        <w:fldChar w:fldCharType="begin"/>
      </w:r>
      <w:r>
        <w:rPr>
          <w:color w:val="auto"/>
          <w:highlight w:val="none"/>
        </w:rPr>
        <w:instrText xml:space="preserve"> PAGEREF _Toc12155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7C7C079E">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_Toc13811 </w:instrText>
      </w:r>
      <w:r>
        <w:rPr>
          <w:color w:val="auto"/>
          <w:highlight w:val="none"/>
        </w:rPr>
        <w:fldChar w:fldCharType="separate"/>
      </w:r>
      <w:r>
        <w:rPr>
          <w:rFonts w:hint="eastAsia" w:ascii="宋体" w:hAnsi="宋体" w:eastAsia="宋体"/>
          <w:color w:val="auto"/>
          <w:highlight w:val="none"/>
        </w:rPr>
        <w:t>一、总  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726E615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_Toc22294 </w:instrText>
      </w:r>
      <w:r>
        <w:rPr>
          <w:color w:val="auto"/>
          <w:highlight w:val="none"/>
        </w:rPr>
        <w:fldChar w:fldCharType="separate"/>
      </w:r>
      <w:r>
        <w:rPr>
          <w:rFonts w:hint="eastAsia" w:ascii="宋体" w:hAnsi="宋体"/>
          <w:color w:val="auto"/>
          <w:highlight w:val="none"/>
        </w:rPr>
        <w:t>1．适用范围</w:t>
      </w:r>
      <w:r>
        <w:rPr>
          <w:color w:val="auto"/>
          <w:highlight w:val="none"/>
        </w:rPr>
        <w:tab/>
      </w:r>
      <w:r>
        <w:rPr>
          <w:color w:val="auto"/>
          <w:highlight w:val="none"/>
        </w:rPr>
        <w:fldChar w:fldCharType="begin"/>
      </w:r>
      <w:r>
        <w:rPr>
          <w:color w:val="auto"/>
          <w:highlight w:val="none"/>
        </w:rPr>
        <w:instrText xml:space="preserve"> PAGEREF _Toc22294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0941B439">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_Toc25596 </w:instrText>
      </w:r>
      <w:r>
        <w:rPr>
          <w:color w:val="auto"/>
          <w:highlight w:val="none"/>
        </w:rPr>
        <w:fldChar w:fldCharType="separate"/>
      </w:r>
      <w:r>
        <w:rPr>
          <w:rFonts w:hint="eastAsia" w:ascii="宋体" w:hAnsi="宋体"/>
          <w:color w:val="auto"/>
          <w:highlight w:val="none"/>
        </w:rPr>
        <w:t>2．定义</w:t>
      </w:r>
      <w:r>
        <w:rPr>
          <w:color w:val="auto"/>
          <w:highlight w:val="none"/>
        </w:rPr>
        <w:tab/>
      </w:r>
      <w:r>
        <w:rPr>
          <w:color w:val="auto"/>
          <w:highlight w:val="none"/>
        </w:rPr>
        <w:fldChar w:fldCharType="begin"/>
      </w:r>
      <w:r>
        <w:rPr>
          <w:color w:val="auto"/>
          <w:highlight w:val="none"/>
        </w:rPr>
        <w:instrText xml:space="preserve"> PAGEREF _Toc25596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2F1E092A">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_Toc651 </w:instrText>
      </w:r>
      <w:r>
        <w:rPr>
          <w:color w:val="auto"/>
          <w:highlight w:val="none"/>
        </w:rPr>
        <w:fldChar w:fldCharType="separate"/>
      </w:r>
      <w:r>
        <w:rPr>
          <w:rFonts w:hint="eastAsia" w:ascii="宋体" w:hAnsi="宋体"/>
          <w:color w:val="auto"/>
          <w:highlight w:val="none"/>
        </w:rPr>
        <w:t>3．本次采购方式</w:t>
      </w:r>
      <w:r>
        <w:rPr>
          <w:color w:val="auto"/>
          <w:highlight w:val="none"/>
        </w:rPr>
        <w:tab/>
      </w:r>
      <w:r>
        <w:rPr>
          <w:color w:val="auto"/>
          <w:highlight w:val="none"/>
        </w:rPr>
        <w:fldChar w:fldCharType="begin"/>
      </w:r>
      <w:r>
        <w:rPr>
          <w:color w:val="auto"/>
          <w:highlight w:val="none"/>
        </w:rPr>
        <w:instrText xml:space="preserve"> PAGEREF _Toc651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066EDBC7">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_Toc21643 </w:instrText>
      </w:r>
      <w:r>
        <w:rPr>
          <w:color w:val="auto"/>
          <w:highlight w:val="none"/>
        </w:rPr>
        <w:fldChar w:fldCharType="separate"/>
      </w:r>
      <w:r>
        <w:rPr>
          <w:rFonts w:hint="eastAsia" w:ascii="宋体" w:hAnsi="宋体"/>
          <w:color w:val="auto"/>
          <w:highlight w:val="none"/>
        </w:rPr>
        <w:t>4．磋商费用</w:t>
      </w:r>
      <w:r>
        <w:rPr>
          <w:color w:val="auto"/>
          <w:highlight w:val="none"/>
        </w:rPr>
        <w:tab/>
      </w:r>
      <w:r>
        <w:rPr>
          <w:color w:val="auto"/>
          <w:highlight w:val="none"/>
        </w:rPr>
        <w:fldChar w:fldCharType="begin"/>
      </w:r>
      <w:r>
        <w:rPr>
          <w:color w:val="auto"/>
          <w:highlight w:val="none"/>
        </w:rPr>
        <w:instrText xml:space="preserve"> PAGEREF _Toc21643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339CCB6F">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_Toc7472 </w:instrText>
      </w:r>
      <w:r>
        <w:rPr>
          <w:color w:val="auto"/>
          <w:highlight w:val="none"/>
        </w:rPr>
        <w:fldChar w:fldCharType="separate"/>
      </w:r>
      <w:r>
        <w:rPr>
          <w:rFonts w:hint="eastAsia" w:ascii="宋体" w:hAnsi="宋体"/>
          <w:color w:val="auto"/>
          <w:highlight w:val="none"/>
        </w:rPr>
        <w:t>5．政策功能</w:t>
      </w:r>
      <w:r>
        <w:rPr>
          <w:color w:val="auto"/>
          <w:highlight w:val="none"/>
        </w:rPr>
        <w:tab/>
      </w:r>
      <w:r>
        <w:rPr>
          <w:color w:val="auto"/>
          <w:highlight w:val="none"/>
        </w:rPr>
        <w:fldChar w:fldCharType="begin"/>
      </w:r>
      <w:r>
        <w:rPr>
          <w:color w:val="auto"/>
          <w:highlight w:val="none"/>
        </w:rPr>
        <w:instrText xml:space="preserve"> PAGEREF _Toc7472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7B8A8EE1">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_Toc28736 </w:instrText>
      </w:r>
      <w:r>
        <w:rPr>
          <w:color w:val="auto"/>
          <w:highlight w:val="none"/>
        </w:rPr>
        <w:fldChar w:fldCharType="separate"/>
      </w:r>
      <w:r>
        <w:rPr>
          <w:rFonts w:hint="eastAsia" w:ascii="宋体" w:hAnsi="宋体" w:eastAsia="宋体"/>
          <w:color w:val="auto"/>
          <w:highlight w:val="none"/>
        </w:rPr>
        <w:t>二、磋商文件</w:t>
      </w:r>
      <w:r>
        <w:rPr>
          <w:color w:val="auto"/>
          <w:highlight w:val="none"/>
        </w:rPr>
        <w:tab/>
      </w:r>
      <w:r>
        <w:rPr>
          <w:color w:val="auto"/>
          <w:highlight w:val="none"/>
        </w:rPr>
        <w:fldChar w:fldCharType="begin"/>
      </w:r>
      <w:r>
        <w:rPr>
          <w:color w:val="auto"/>
          <w:highlight w:val="none"/>
        </w:rPr>
        <w:instrText xml:space="preserve"> PAGEREF _Toc28736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3AF3132C">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_Toc30018 </w:instrText>
      </w:r>
      <w:r>
        <w:rPr>
          <w:color w:val="auto"/>
          <w:highlight w:val="none"/>
        </w:rPr>
        <w:fldChar w:fldCharType="separate"/>
      </w:r>
      <w:r>
        <w:rPr>
          <w:rFonts w:hint="eastAsia" w:ascii="宋体" w:hAnsi="宋体"/>
          <w:color w:val="auto"/>
          <w:highlight w:val="none"/>
        </w:rPr>
        <w:t>6．磋商文件组成</w:t>
      </w:r>
      <w:r>
        <w:rPr>
          <w:color w:val="auto"/>
          <w:highlight w:val="none"/>
        </w:rPr>
        <w:tab/>
      </w:r>
      <w:r>
        <w:rPr>
          <w:color w:val="auto"/>
          <w:highlight w:val="none"/>
        </w:rPr>
        <w:fldChar w:fldCharType="begin"/>
      </w:r>
      <w:r>
        <w:rPr>
          <w:color w:val="auto"/>
          <w:highlight w:val="none"/>
        </w:rPr>
        <w:instrText xml:space="preserve"> PAGEREF _Toc30018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78E81B22">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_Toc7192 </w:instrText>
      </w:r>
      <w:r>
        <w:rPr>
          <w:color w:val="auto"/>
          <w:highlight w:val="none"/>
        </w:rPr>
        <w:fldChar w:fldCharType="separate"/>
      </w:r>
      <w:r>
        <w:rPr>
          <w:rFonts w:hint="eastAsia" w:ascii="宋体" w:hAnsi="宋体"/>
          <w:color w:val="auto"/>
          <w:highlight w:val="none"/>
        </w:rPr>
        <w:t>7．磋商文件的澄清和修改</w:t>
      </w:r>
      <w:r>
        <w:rPr>
          <w:color w:val="auto"/>
          <w:highlight w:val="none"/>
        </w:rPr>
        <w:tab/>
      </w:r>
      <w:r>
        <w:rPr>
          <w:color w:val="auto"/>
          <w:highlight w:val="none"/>
        </w:rPr>
        <w:fldChar w:fldCharType="begin"/>
      </w:r>
      <w:r>
        <w:rPr>
          <w:color w:val="auto"/>
          <w:highlight w:val="none"/>
        </w:rPr>
        <w:instrText xml:space="preserve"> PAGEREF _Toc7192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49332D1D">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_Toc13491 </w:instrText>
      </w:r>
      <w:r>
        <w:rPr>
          <w:color w:val="auto"/>
          <w:highlight w:val="none"/>
        </w:rPr>
        <w:fldChar w:fldCharType="separate"/>
      </w:r>
      <w:r>
        <w:rPr>
          <w:rFonts w:hint="eastAsia" w:ascii="宋体" w:hAnsi="宋体" w:eastAsia="宋体"/>
          <w:color w:val="auto"/>
          <w:highlight w:val="none"/>
        </w:rPr>
        <w:t>三、磋商响应文件</w:t>
      </w:r>
      <w:r>
        <w:rPr>
          <w:color w:val="auto"/>
          <w:highlight w:val="none"/>
        </w:rPr>
        <w:tab/>
      </w:r>
      <w:r>
        <w:rPr>
          <w:color w:val="auto"/>
          <w:highlight w:val="none"/>
        </w:rPr>
        <w:fldChar w:fldCharType="begin"/>
      </w:r>
      <w:r>
        <w:rPr>
          <w:color w:val="auto"/>
          <w:highlight w:val="none"/>
        </w:rPr>
        <w:instrText xml:space="preserve"> PAGEREF _Toc13491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7F9C1338">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_Toc30589 </w:instrText>
      </w:r>
      <w:r>
        <w:rPr>
          <w:color w:val="auto"/>
          <w:highlight w:val="none"/>
        </w:rPr>
        <w:fldChar w:fldCharType="separate"/>
      </w:r>
      <w:r>
        <w:rPr>
          <w:rFonts w:hint="eastAsia" w:ascii="宋体" w:hAnsi="宋体"/>
          <w:color w:val="auto"/>
          <w:highlight w:val="none"/>
        </w:rPr>
        <w:t>8．编制响应文件的工具</w:t>
      </w:r>
      <w:r>
        <w:rPr>
          <w:color w:val="auto"/>
          <w:highlight w:val="none"/>
        </w:rPr>
        <w:tab/>
      </w:r>
      <w:r>
        <w:rPr>
          <w:color w:val="auto"/>
          <w:highlight w:val="none"/>
        </w:rPr>
        <w:fldChar w:fldCharType="begin"/>
      </w:r>
      <w:r>
        <w:rPr>
          <w:color w:val="auto"/>
          <w:highlight w:val="none"/>
        </w:rPr>
        <w:instrText xml:space="preserve"> PAGEREF _Toc30589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02AFA9EF">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_Toc11644 </w:instrText>
      </w:r>
      <w:r>
        <w:rPr>
          <w:color w:val="auto"/>
          <w:highlight w:val="none"/>
        </w:rPr>
        <w:fldChar w:fldCharType="separate"/>
      </w:r>
      <w:r>
        <w:rPr>
          <w:rFonts w:hint="eastAsia" w:ascii="宋体" w:hAnsi="宋体"/>
          <w:color w:val="auto"/>
          <w:highlight w:val="none"/>
        </w:rPr>
        <w:t>9．响应文件语言及度量衡单位</w:t>
      </w:r>
      <w:r>
        <w:rPr>
          <w:color w:val="auto"/>
          <w:highlight w:val="none"/>
        </w:rPr>
        <w:tab/>
      </w:r>
      <w:r>
        <w:rPr>
          <w:color w:val="auto"/>
          <w:highlight w:val="none"/>
        </w:rPr>
        <w:fldChar w:fldCharType="begin"/>
      </w:r>
      <w:r>
        <w:rPr>
          <w:color w:val="auto"/>
          <w:highlight w:val="none"/>
        </w:rPr>
        <w:instrText xml:space="preserve"> PAGEREF _Toc11644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7EA51AE5">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_Toc25557 </w:instrText>
      </w:r>
      <w:r>
        <w:rPr>
          <w:color w:val="auto"/>
          <w:highlight w:val="none"/>
        </w:rPr>
        <w:fldChar w:fldCharType="separate"/>
      </w:r>
      <w:r>
        <w:rPr>
          <w:rFonts w:hint="eastAsia" w:ascii="宋体" w:hAnsi="宋体"/>
          <w:color w:val="auto"/>
          <w:highlight w:val="none"/>
        </w:rPr>
        <w:t>10．响应文件的构成</w:t>
      </w:r>
      <w:r>
        <w:rPr>
          <w:color w:val="auto"/>
          <w:highlight w:val="none"/>
        </w:rPr>
        <w:tab/>
      </w:r>
      <w:r>
        <w:rPr>
          <w:color w:val="auto"/>
          <w:highlight w:val="none"/>
        </w:rPr>
        <w:fldChar w:fldCharType="begin"/>
      </w:r>
      <w:r>
        <w:rPr>
          <w:color w:val="auto"/>
          <w:highlight w:val="none"/>
        </w:rPr>
        <w:instrText xml:space="preserve"> PAGEREF _Toc25557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422F004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_Toc32121 </w:instrText>
      </w:r>
      <w:r>
        <w:rPr>
          <w:color w:val="auto"/>
          <w:highlight w:val="none"/>
        </w:rPr>
        <w:fldChar w:fldCharType="separate"/>
      </w:r>
      <w:r>
        <w:rPr>
          <w:rFonts w:hint="eastAsia" w:ascii="宋体" w:hAnsi="宋体"/>
          <w:color w:val="auto"/>
          <w:highlight w:val="none"/>
        </w:rPr>
        <w:t>11．响应文件的编写</w:t>
      </w:r>
      <w:r>
        <w:rPr>
          <w:color w:val="auto"/>
          <w:highlight w:val="none"/>
        </w:rPr>
        <w:tab/>
      </w:r>
      <w:r>
        <w:rPr>
          <w:color w:val="auto"/>
          <w:highlight w:val="none"/>
        </w:rPr>
        <w:fldChar w:fldCharType="begin"/>
      </w:r>
      <w:r>
        <w:rPr>
          <w:color w:val="auto"/>
          <w:highlight w:val="none"/>
        </w:rPr>
        <w:instrText xml:space="preserve"> PAGEREF _Toc32121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69E9593">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_Toc26993 </w:instrText>
      </w:r>
      <w:r>
        <w:rPr>
          <w:color w:val="auto"/>
          <w:highlight w:val="none"/>
        </w:rPr>
        <w:fldChar w:fldCharType="separate"/>
      </w:r>
      <w:r>
        <w:rPr>
          <w:rFonts w:hint="eastAsia" w:ascii="宋体" w:hAnsi="宋体"/>
          <w:color w:val="auto"/>
          <w:highlight w:val="none"/>
        </w:rPr>
        <w:t>12．响应报价</w:t>
      </w:r>
      <w:r>
        <w:rPr>
          <w:color w:val="auto"/>
          <w:highlight w:val="none"/>
        </w:rPr>
        <w:tab/>
      </w:r>
      <w:r>
        <w:rPr>
          <w:color w:val="auto"/>
          <w:highlight w:val="none"/>
        </w:rPr>
        <w:fldChar w:fldCharType="begin"/>
      </w:r>
      <w:r>
        <w:rPr>
          <w:color w:val="auto"/>
          <w:highlight w:val="none"/>
        </w:rPr>
        <w:instrText xml:space="preserve"> PAGEREF _Toc26993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7BF8398">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_Toc28177 </w:instrText>
      </w:r>
      <w:r>
        <w:rPr>
          <w:color w:val="auto"/>
          <w:highlight w:val="none"/>
        </w:rPr>
        <w:fldChar w:fldCharType="separate"/>
      </w:r>
      <w:r>
        <w:rPr>
          <w:rFonts w:hint="eastAsia" w:ascii="宋体" w:hAnsi="宋体"/>
          <w:color w:val="auto"/>
          <w:highlight w:val="none"/>
        </w:rPr>
        <w:t>13．磋商保证金</w:t>
      </w:r>
      <w:r>
        <w:rPr>
          <w:color w:val="auto"/>
          <w:highlight w:val="none"/>
        </w:rPr>
        <w:tab/>
      </w:r>
      <w:r>
        <w:rPr>
          <w:color w:val="auto"/>
          <w:highlight w:val="none"/>
        </w:rPr>
        <w:fldChar w:fldCharType="begin"/>
      </w:r>
      <w:r>
        <w:rPr>
          <w:color w:val="auto"/>
          <w:highlight w:val="none"/>
        </w:rPr>
        <w:instrText xml:space="preserve"> PAGEREF _Toc28177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358D021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_Toc27914 </w:instrText>
      </w:r>
      <w:r>
        <w:rPr>
          <w:color w:val="auto"/>
          <w:highlight w:val="none"/>
        </w:rPr>
        <w:fldChar w:fldCharType="separate"/>
      </w:r>
      <w:r>
        <w:rPr>
          <w:rFonts w:hint="eastAsia" w:ascii="宋体" w:hAnsi="宋体"/>
          <w:color w:val="auto"/>
          <w:highlight w:val="none"/>
        </w:rPr>
        <w:t>14．磋商响应有效期</w:t>
      </w:r>
      <w:r>
        <w:rPr>
          <w:color w:val="auto"/>
          <w:highlight w:val="none"/>
        </w:rPr>
        <w:tab/>
      </w:r>
      <w:r>
        <w:rPr>
          <w:color w:val="auto"/>
          <w:highlight w:val="none"/>
        </w:rPr>
        <w:fldChar w:fldCharType="begin"/>
      </w:r>
      <w:r>
        <w:rPr>
          <w:color w:val="auto"/>
          <w:highlight w:val="none"/>
        </w:rPr>
        <w:instrText xml:space="preserve"> PAGEREF _Toc27914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06451101">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_Toc22077 </w:instrText>
      </w:r>
      <w:r>
        <w:rPr>
          <w:color w:val="auto"/>
          <w:highlight w:val="none"/>
        </w:rPr>
        <w:fldChar w:fldCharType="separate"/>
      </w:r>
      <w:r>
        <w:rPr>
          <w:rFonts w:hint="eastAsia" w:ascii="宋体" w:hAnsi="宋体"/>
          <w:color w:val="auto"/>
          <w:highlight w:val="none"/>
        </w:rPr>
        <w:t>15. 响应文件的式样和签署</w:t>
      </w:r>
      <w:r>
        <w:rPr>
          <w:color w:val="auto"/>
          <w:highlight w:val="none"/>
        </w:rPr>
        <w:tab/>
      </w:r>
      <w:r>
        <w:rPr>
          <w:color w:val="auto"/>
          <w:highlight w:val="none"/>
        </w:rPr>
        <w:fldChar w:fldCharType="begin"/>
      </w:r>
      <w:r>
        <w:rPr>
          <w:color w:val="auto"/>
          <w:highlight w:val="none"/>
        </w:rPr>
        <w:instrText xml:space="preserve"> PAGEREF _Toc22077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46749C0B">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_Toc572 </w:instrText>
      </w:r>
      <w:r>
        <w:rPr>
          <w:color w:val="auto"/>
          <w:highlight w:val="none"/>
        </w:rPr>
        <w:fldChar w:fldCharType="separate"/>
      </w:r>
      <w:r>
        <w:rPr>
          <w:rFonts w:hint="eastAsia" w:ascii="宋体" w:hAnsi="宋体"/>
          <w:color w:val="auto"/>
          <w:highlight w:val="none"/>
        </w:rPr>
        <w:t>16．响应文件的提交</w:t>
      </w:r>
      <w:r>
        <w:rPr>
          <w:color w:val="auto"/>
          <w:highlight w:val="none"/>
        </w:rPr>
        <w:tab/>
      </w:r>
      <w:r>
        <w:rPr>
          <w:color w:val="auto"/>
          <w:highlight w:val="none"/>
        </w:rPr>
        <w:fldChar w:fldCharType="begin"/>
      </w:r>
      <w:r>
        <w:rPr>
          <w:color w:val="auto"/>
          <w:highlight w:val="none"/>
        </w:rPr>
        <w:instrText xml:space="preserve"> PAGEREF _Toc572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43945B0C">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_Toc14762 </w:instrText>
      </w:r>
      <w:r>
        <w:rPr>
          <w:color w:val="auto"/>
          <w:highlight w:val="none"/>
        </w:rPr>
        <w:fldChar w:fldCharType="separate"/>
      </w:r>
      <w:r>
        <w:rPr>
          <w:rFonts w:hint="eastAsia" w:ascii="宋体" w:hAnsi="宋体"/>
          <w:color w:val="auto"/>
          <w:highlight w:val="none"/>
        </w:rPr>
        <w:t>17．响应文件的补充、修改或者撤回</w:t>
      </w:r>
      <w:r>
        <w:rPr>
          <w:color w:val="auto"/>
          <w:highlight w:val="none"/>
        </w:rPr>
        <w:tab/>
      </w:r>
      <w:r>
        <w:rPr>
          <w:color w:val="auto"/>
          <w:highlight w:val="none"/>
        </w:rPr>
        <w:fldChar w:fldCharType="begin"/>
      </w:r>
      <w:r>
        <w:rPr>
          <w:color w:val="auto"/>
          <w:highlight w:val="none"/>
        </w:rPr>
        <w:instrText xml:space="preserve"> PAGEREF _Toc14762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58851D64">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_Toc19086 </w:instrText>
      </w:r>
      <w:r>
        <w:rPr>
          <w:color w:val="auto"/>
          <w:highlight w:val="none"/>
        </w:rPr>
        <w:fldChar w:fldCharType="separate"/>
      </w:r>
      <w:r>
        <w:rPr>
          <w:rFonts w:hint="eastAsia" w:ascii="宋体" w:hAnsi="宋体" w:eastAsia="宋体"/>
          <w:color w:val="auto"/>
          <w:highlight w:val="none"/>
        </w:rPr>
        <w:t>四、磋商与评审</w:t>
      </w:r>
      <w:r>
        <w:rPr>
          <w:color w:val="auto"/>
          <w:highlight w:val="none"/>
        </w:rPr>
        <w:tab/>
      </w:r>
      <w:r>
        <w:rPr>
          <w:color w:val="auto"/>
          <w:highlight w:val="none"/>
        </w:rPr>
        <w:fldChar w:fldCharType="begin"/>
      </w:r>
      <w:r>
        <w:rPr>
          <w:color w:val="auto"/>
          <w:highlight w:val="none"/>
        </w:rPr>
        <w:instrText xml:space="preserve"> PAGEREF _Toc19086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67AB6535">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_Toc30218 </w:instrText>
      </w:r>
      <w:r>
        <w:rPr>
          <w:color w:val="auto"/>
          <w:highlight w:val="none"/>
        </w:rPr>
        <w:fldChar w:fldCharType="separate"/>
      </w:r>
      <w:r>
        <w:rPr>
          <w:rFonts w:hint="eastAsia" w:ascii="宋体" w:hAnsi="宋体"/>
          <w:color w:val="auto"/>
          <w:highlight w:val="none"/>
        </w:rPr>
        <w:t>18．磋商</w:t>
      </w:r>
      <w:r>
        <w:rPr>
          <w:color w:val="auto"/>
          <w:highlight w:val="none"/>
        </w:rPr>
        <w:tab/>
      </w:r>
      <w:r>
        <w:rPr>
          <w:color w:val="auto"/>
          <w:highlight w:val="none"/>
        </w:rPr>
        <w:fldChar w:fldCharType="begin"/>
      </w:r>
      <w:r>
        <w:rPr>
          <w:color w:val="auto"/>
          <w:highlight w:val="none"/>
        </w:rPr>
        <w:instrText xml:space="preserve"> PAGEREF _Toc30218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74F52B27">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_Toc3596 </w:instrText>
      </w:r>
      <w:r>
        <w:rPr>
          <w:color w:val="auto"/>
          <w:highlight w:val="none"/>
        </w:rPr>
        <w:fldChar w:fldCharType="separate"/>
      </w:r>
      <w:r>
        <w:rPr>
          <w:rFonts w:hint="eastAsia" w:ascii="宋体" w:hAnsi="宋体"/>
          <w:color w:val="auto"/>
          <w:highlight w:val="none"/>
        </w:rPr>
        <w:t>19．磋商小组组成</w:t>
      </w:r>
      <w:r>
        <w:rPr>
          <w:color w:val="auto"/>
          <w:highlight w:val="none"/>
        </w:rPr>
        <w:tab/>
      </w:r>
      <w:r>
        <w:rPr>
          <w:color w:val="auto"/>
          <w:highlight w:val="none"/>
        </w:rPr>
        <w:fldChar w:fldCharType="begin"/>
      </w:r>
      <w:r>
        <w:rPr>
          <w:color w:val="auto"/>
          <w:highlight w:val="none"/>
        </w:rPr>
        <w:instrText xml:space="preserve"> PAGEREF _Toc3596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24A2342F">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_Toc6099 </w:instrText>
      </w:r>
      <w:r>
        <w:rPr>
          <w:color w:val="auto"/>
          <w:highlight w:val="none"/>
        </w:rPr>
        <w:fldChar w:fldCharType="separate"/>
      </w:r>
      <w:r>
        <w:rPr>
          <w:rFonts w:hint="eastAsia" w:ascii="宋体" w:hAnsi="宋体"/>
          <w:color w:val="auto"/>
          <w:highlight w:val="none"/>
        </w:rPr>
        <w:t>20．无效磋商的情形</w:t>
      </w:r>
      <w:r>
        <w:rPr>
          <w:color w:val="auto"/>
          <w:highlight w:val="none"/>
        </w:rPr>
        <w:tab/>
      </w:r>
      <w:r>
        <w:rPr>
          <w:color w:val="auto"/>
          <w:highlight w:val="none"/>
        </w:rPr>
        <w:fldChar w:fldCharType="begin"/>
      </w:r>
      <w:r>
        <w:rPr>
          <w:color w:val="auto"/>
          <w:highlight w:val="none"/>
        </w:rPr>
        <w:instrText xml:space="preserve"> PAGEREF _Toc6099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26103539">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_Toc24970 </w:instrText>
      </w:r>
      <w:r>
        <w:rPr>
          <w:color w:val="auto"/>
          <w:highlight w:val="none"/>
        </w:rPr>
        <w:fldChar w:fldCharType="separate"/>
      </w:r>
      <w:r>
        <w:rPr>
          <w:rFonts w:hint="eastAsia" w:ascii="宋体" w:hAnsi="宋体"/>
          <w:color w:val="auto"/>
          <w:highlight w:val="none"/>
        </w:rPr>
        <w:t>21．串通磋商的情形</w:t>
      </w:r>
      <w:r>
        <w:rPr>
          <w:color w:val="auto"/>
          <w:highlight w:val="none"/>
        </w:rPr>
        <w:tab/>
      </w:r>
      <w:r>
        <w:rPr>
          <w:color w:val="auto"/>
          <w:highlight w:val="none"/>
        </w:rPr>
        <w:fldChar w:fldCharType="begin"/>
      </w:r>
      <w:r>
        <w:rPr>
          <w:color w:val="auto"/>
          <w:highlight w:val="none"/>
        </w:rPr>
        <w:instrText xml:space="preserve"> PAGEREF _Toc24970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4E5EA033">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_Toc31219 </w:instrText>
      </w:r>
      <w:r>
        <w:rPr>
          <w:color w:val="auto"/>
          <w:highlight w:val="none"/>
        </w:rPr>
        <w:fldChar w:fldCharType="separate"/>
      </w:r>
      <w:r>
        <w:rPr>
          <w:rFonts w:hint="eastAsia" w:ascii="宋体" w:hAnsi="宋体"/>
          <w:color w:val="auto"/>
          <w:highlight w:val="none"/>
        </w:rPr>
        <w:t>22．响应文件的澄清</w:t>
      </w:r>
      <w:r>
        <w:rPr>
          <w:color w:val="auto"/>
          <w:highlight w:val="none"/>
        </w:rPr>
        <w:tab/>
      </w:r>
      <w:r>
        <w:rPr>
          <w:color w:val="auto"/>
          <w:highlight w:val="none"/>
        </w:rPr>
        <w:fldChar w:fldCharType="begin"/>
      </w:r>
      <w:r>
        <w:rPr>
          <w:color w:val="auto"/>
          <w:highlight w:val="none"/>
        </w:rPr>
        <w:instrText xml:space="preserve"> PAGEREF _Toc31219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52E7FE40">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_Toc4089 </w:instrText>
      </w:r>
      <w:r>
        <w:rPr>
          <w:color w:val="auto"/>
          <w:highlight w:val="none"/>
        </w:rPr>
        <w:fldChar w:fldCharType="separate"/>
      </w:r>
      <w:r>
        <w:rPr>
          <w:rFonts w:hint="eastAsia" w:ascii="宋体" w:hAnsi="宋体"/>
          <w:color w:val="auto"/>
          <w:highlight w:val="none"/>
        </w:rPr>
        <w:t>23．磋商</w:t>
      </w:r>
      <w:r>
        <w:rPr>
          <w:rFonts w:hint="eastAsia" w:ascii="宋体" w:hAnsi="宋体"/>
          <w:color w:val="auto"/>
          <w:highlight w:val="none"/>
          <w:lang w:eastAsia="zh-CN"/>
        </w:rPr>
        <w:t>程序</w:t>
      </w:r>
      <w:r>
        <w:rPr>
          <w:color w:val="auto"/>
          <w:highlight w:val="none"/>
        </w:rPr>
        <w:tab/>
      </w:r>
      <w:r>
        <w:rPr>
          <w:color w:val="auto"/>
          <w:highlight w:val="none"/>
        </w:rPr>
        <w:fldChar w:fldCharType="begin"/>
      </w:r>
      <w:r>
        <w:rPr>
          <w:color w:val="auto"/>
          <w:highlight w:val="none"/>
        </w:rPr>
        <w:instrText xml:space="preserve"> PAGEREF _Toc4089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5400CF9F">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_Toc12369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4</w:t>
      </w:r>
      <w:r>
        <w:rPr>
          <w:rFonts w:hint="eastAsia" w:ascii="宋体" w:hAnsi="宋体"/>
          <w:color w:val="auto"/>
          <w:highlight w:val="none"/>
        </w:rPr>
        <w:t>．</w:t>
      </w:r>
      <w:r>
        <w:rPr>
          <w:rFonts w:ascii="宋体" w:hAnsi="宋体"/>
          <w:color w:val="auto"/>
          <w:highlight w:val="none"/>
        </w:rPr>
        <w:t>竞争性磋商</w:t>
      </w:r>
      <w:r>
        <w:rPr>
          <w:rFonts w:hint="eastAsia" w:ascii="宋体" w:hAnsi="宋体"/>
          <w:color w:val="auto"/>
          <w:highlight w:val="none"/>
        </w:rPr>
        <w:t>特殊情况处理</w:t>
      </w:r>
      <w:r>
        <w:rPr>
          <w:color w:val="auto"/>
          <w:highlight w:val="none"/>
        </w:rPr>
        <w:tab/>
      </w:r>
      <w:r>
        <w:rPr>
          <w:color w:val="auto"/>
          <w:highlight w:val="none"/>
        </w:rPr>
        <w:fldChar w:fldCharType="begin"/>
      </w:r>
      <w:r>
        <w:rPr>
          <w:color w:val="auto"/>
          <w:highlight w:val="none"/>
        </w:rPr>
        <w:instrText xml:space="preserve"> PAGEREF _Toc12369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4912B8F8">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_Toc26495 </w:instrText>
      </w:r>
      <w:r>
        <w:rPr>
          <w:color w:val="auto"/>
          <w:highlight w:val="none"/>
        </w:rPr>
        <w:fldChar w:fldCharType="separate"/>
      </w:r>
      <w:r>
        <w:rPr>
          <w:rFonts w:hint="eastAsia" w:ascii="宋体" w:hAnsi="宋体" w:eastAsia="宋体"/>
          <w:color w:val="auto"/>
          <w:highlight w:val="none"/>
        </w:rPr>
        <w:t>五、确定成交结果</w:t>
      </w:r>
      <w:r>
        <w:rPr>
          <w:color w:val="auto"/>
          <w:highlight w:val="none"/>
        </w:rPr>
        <w:tab/>
      </w:r>
      <w:r>
        <w:rPr>
          <w:color w:val="auto"/>
          <w:highlight w:val="none"/>
        </w:rPr>
        <w:fldChar w:fldCharType="begin"/>
      </w:r>
      <w:r>
        <w:rPr>
          <w:color w:val="auto"/>
          <w:highlight w:val="none"/>
        </w:rPr>
        <w:instrText xml:space="preserve"> PAGEREF _Toc26495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69B5FE99">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_Toc31493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5</w:t>
      </w:r>
      <w:r>
        <w:rPr>
          <w:rFonts w:hint="eastAsia" w:ascii="宋体" w:hAnsi="宋体"/>
          <w:color w:val="auto"/>
          <w:highlight w:val="none"/>
        </w:rPr>
        <w:t>．确定成交供应商</w:t>
      </w:r>
      <w:r>
        <w:rPr>
          <w:color w:val="auto"/>
          <w:highlight w:val="none"/>
        </w:rPr>
        <w:tab/>
      </w:r>
      <w:r>
        <w:rPr>
          <w:color w:val="auto"/>
          <w:highlight w:val="none"/>
        </w:rPr>
        <w:fldChar w:fldCharType="begin"/>
      </w:r>
      <w:r>
        <w:rPr>
          <w:color w:val="auto"/>
          <w:highlight w:val="none"/>
        </w:rPr>
        <w:instrText xml:space="preserve"> PAGEREF _Toc31493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00854319">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_Toc20526 </w:instrText>
      </w:r>
      <w:r>
        <w:rPr>
          <w:color w:val="auto"/>
          <w:highlight w:val="none"/>
        </w:rPr>
        <w:fldChar w:fldCharType="separate"/>
      </w:r>
      <w:r>
        <w:rPr>
          <w:rFonts w:hint="eastAsia" w:ascii="宋体" w:hAnsi="宋体" w:eastAsia="宋体"/>
          <w:color w:val="auto"/>
          <w:highlight w:val="none"/>
        </w:rPr>
        <w:t>六、授予合同</w:t>
      </w:r>
      <w:r>
        <w:rPr>
          <w:color w:val="auto"/>
          <w:highlight w:val="none"/>
        </w:rPr>
        <w:tab/>
      </w:r>
      <w:r>
        <w:rPr>
          <w:color w:val="auto"/>
          <w:highlight w:val="none"/>
        </w:rPr>
        <w:fldChar w:fldCharType="begin"/>
      </w:r>
      <w:r>
        <w:rPr>
          <w:color w:val="auto"/>
          <w:highlight w:val="none"/>
        </w:rPr>
        <w:instrText xml:space="preserve"> PAGEREF _Toc20526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5D4F4DE7">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_Toc12469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6</w:t>
      </w:r>
      <w:r>
        <w:rPr>
          <w:rFonts w:hint="eastAsia" w:ascii="宋体" w:hAnsi="宋体"/>
          <w:color w:val="auto"/>
          <w:highlight w:val="none"/>
        </w:rPr>
        <w:t>．磋商组织方接受和拒绝任何或所有响应的权利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_Toc12469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5C6128A9">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_Toc395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7</w:t>
      </w:r>
      <w:r>
        <w:rPr>
          <w:rFonts w:hint="eastAsia" w:ascii="宋体" w:hAnsi="宋体"/>
          <w:color w:val="auto"/>
          <w:highlight w:val="none"/>
        </w:rPr>
        <w:t>．成交通知书</w:t>
      </w:r>
      <w:r>
        <w:rPr>
          <w:color w:val="auto"/>
          <w:highlight w:val="none"/>
        </w:rPr>
        <w:tab/>
      </w:r>
      <w:r>
        <w:rPr>
          <w:color w:val="auto"/>
          <w:highlight w:val="none"/>
        </w:rPr>
        <w:fldChar w:fldCharType="begin"/>
      </w:r>
      <w:r>
        <w:rPr>
          <w:color w:val="auto"/>
          <w:highlight w:val="none"/>
        </w:rPr>
        <w:instrText xml:space="preserve"> PAGEREF _Toc395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04805931">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_Toc16506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8</w:t>
      </w:r>
      <w:r>
        <w:rPr>
          <w:rFonts w:hint="eastAsia" w:ascii="宋体" w:hAnsi="宋体"/>
          <w:color w:val="auto"/>
          <w:highlight w:val="none"/>
        </w:rPr>
        <w:t>．签订合同</w:t>
      </w:r>
      <w:r>
        <w:rPr>
          <w:color w:val="auto"/>
          <w:highlight w:val="none"/>
        </w:rPr>
        <w:tab/>
      </w:r>
      <w:r>
        <w:rPr>
          <w:color w:val="auto"/>
          <w:highlight w:val="none"/>
        </w:rPr>
        <w:fldChar w:fldCharType="begin"/>
      </w:r>
      <w:r>
        <w:rPr>
          <w:color w:val="auto"/>
          <w:highlight w:val="none"/>
        </w:rPr>
        <w:instrText xml:space="preserve"> PAGEREF _Toc16506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6F02E7DE">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_Toc5450 </w:instrText>
      </w:r>
      <w:r>
        <w:rPr>
          <w:color w:val="auto"/>
          <w:highlight w:val="none"/>
        </w:rPr>
        <w:fldChar w:fldCharType="separate"/>
      </w:r>
      <w:r>
        <w:rPr>
          <w:rFonts w:hint="eastAsia" w:ascii="宋体" w:hAnsi="宋体"/>
          <w:color w:val="auto"/>
          <w:highlight w:val="none"/>
          <w:lang w:val="en-US" w:eastAsia="zh-CN"/>
        </w:rPr>
        <w:t>29</w:t>
      </w:r>
      <w:r>
        <w:rPr>
          <w:rFonts w:hint="eastAsia" w:ascii="宋体" w:hAnsi="宋体"/>
          <w:color w:val="auto"/>
          <w:highlight w:val="none"/>
        </w:rPr>
        <w:t>．履约保证金</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2C9AEAB7">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_Toc12337 </w:instrText>
      </w:r>
      <w:r>
        <w:rPr>
          <w:color w:val="auto"/>
          <w:highlight w:val="none"/>
        </w:rPr>
        <w:fldChar w:fldCharType="separate"/>
      </w:r>
      <w:r>
        <w:rPr>
          <w:rFonts w:hint="eastAsia" w:ascii="宋体" w:hAnsi="宋体" w:eastAsia="宋体"/>
          <w:color w:val="auto"/>
          <w:highlight w:val="none"/>
        </w:rPr>
        <w:t>七、询问、质疑、投诉</w:t>
      </w:r>
      <w:r>
        <w:rPr>
          <w:color w:val="auto"/>
          <w:highlight w:val="none"/>
        </w:rPr>
        <w:tab/>
      </w:r>
      <w:r>
        <w:rPr>
          <w:color w:val="auto"/>
          <w:highlight w:val="none"/>
        </w:rPr>
        <w:fldChar w:fldCharType="begin"/>
      </w:r>
      <w:r>
        <w:rPr>
          <w:color w:val="auto"/>
          <w:highlight w:val="none"/>
        </w:rPr>
        <w:instrText xml:space="preserve"> PAGEREF _Toc12337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42E0F6EA">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_Toc26856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0</w:t>
      </w:r>
      <w:r>
        <w:rPr>
          <w:rFonts w:hint="eastAsia" w:ascii="宋体" w:hAnsi="宋体"/>
          <w:color w:val="auto"/>
          <w:highlight w:val="none"/>
        </w:rPr>
        <w:t>．询问</w:t>
      </w:r>
      <w:r>
        <w:rPr>
          <w:color w:val="auto"/>
          <w:highlight w:val="none"/>
        </w:rPr>
        <w:tab/>
      </w:r>
      <w:r>
        <w:rPr>
          <w:color w:val="auto"/>
          <w:highlight w:val="none"/>
        </w:rPr>
        <w:fldChar w:fldCharType="begin"/>
      </w:r>
      <w:r>
        <w:rPr>
          <w:color w:val="auto"/>
          <w:highlight w:val="none"/>
        </w:rPr>
        <w:instrText xml:space="preserve"> PAGEREF _Toc26856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35F6FC20">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_Toc25135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1</w:t>
      </w:r>
      <w:r>
        <w:rPr>
          <w:rFonts w:hint="eastAsia" w:ascii="宋体" w:hAnsi="宋体"/>
          <w:color w:val="auto"/>
          <w:highlight w:val="none"/>
        </w:rPr>
        <w:t>．质疑</w:t>
      </w:r>
      <w:r>
        <w:rPr>
          <w:color w:val="auto"/>
          <w:highlight w:val="none"/>
        </w:rPr>
        <w:tab/>
      </w:r>
      <w:r>
        <w:rPr>
          <w:color w:val="auto"/>
          <w:highlight w:val="none"/>
        </w:rPr>
        <w:fldChar w:fldCharType="begin"/>
      </w:r>
      <w:r>
        <w:rPr>
          <w:color w:val="auto"/>
          <w:highlight w:val="none"/>
        </w:rPr>
        <w:instrText xml:space="preserve"> PAGEREF _Toc25135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32B8AC48">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_Toc3334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2</w:t>
      </w:r>
      <w:r>
        <w:rPr>
          <w:rFonts w:hint="eastAsia" w:ascii="宋体" w:hAnsi="宋体"/>
          <w:color w:val="auto"/>
          <w:highlight w:val="none"/>
        </w:rPr>
        <w:t>．投诉</w:t>
      </w:r>
      <w:r>
        <w:rPr>
          <w:color w:val="auto"/>
          <w:highlight w:val="none"/>
        </w:rPr>
        <w:tab/>
      </w:r>
      <w:r>
        <w:rPr>
          <w:color w:val="auto"/>
          <w:highlight w:val="none"/>
        </w:rPr>
        <w:fldChar w:fldCharType="begin"/>
      </w:r>
      <w:r>
        <w:rPr>
          <w:color w:val="auto"/>
          <w:highlight w:val="none"/>
        </w:rPr>
        <w:instrText xml:space="preserve"> PAGEREF _Toc3334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57AF6747">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_Toc1451 </w:instrText>
      </w:r>
      <w:r>
        <w:rPr>
          <w:color w:val="auto"/>
          <w:highlight w:val="none"/>
        </w:rPr>
        <w:fldChar w:fldCharType="separate"/>
      </w:r>
      <w:r>
        <w:rPr>
          <w:rFonts w:hint="eastAsia" w:ascii="宋体" w:hAnsi="宋体" w:eastAsia="宋体"/>
          <w:color w:val="auto"/>
          <w:highlight w:val="none"/>
        </w:rPr>
        <w:t>八、诚实信用和解释权</w:t>
      </w:r>
      <w:r>
        <w:rPr>
          <w:color w:val="auto"/>
          <w:highlight w:val="none"/>
        </w:rPr>
        <w:tab/>
      </w:r>
      <w:r>
        <w:rPr>
          <w:color w:val="auto"/>
          <w:highlight w:val="none"/>
        </w:rPr>
        <w:fldChar w:fldCharType="begin"/>
      </w:r>
      <w:r>
        <w:rPr>
          <w:color w:val="auto"/>
          <w:highlight w:val="none"/>
        </w:rPr>
        <w:instrText xml:space="preserve"> PAGEREF _Toc1451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72BF0EF7">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_Toc14517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3</w:t>
      </w:r>
      <w:r>
        <w:rPr>
          <w:rFonts w:hint="eastAsia" w:ascii="宋体" w:hAnsi="宋体"/>
          <w:color w:val="auto"/>
          <w:highlight w:val="none"/>
        </w:rPr>
        <w:t>．诚实信用</w:t>
      </w:r>
      <w:r>
        <w:rPr>
          <w:color w:val="auto"/>
          <w:highlight w:val="none"/>
        </w:rPr>
        <w:tab/>
      </w:r>
      <w:r>
        <w:rPr>
          <w:color w:val="auto"/>
          <w:highlight w:val="none"/>
        </w:rPr>
        <w:fldChar w:fldCharType="begin"/>
      </w:r>
      <w:r>
        <w:rPr>
          <w:color w:val="auto"/>
          <w:highlight w:val="none"/>
        </w:rPr>
        <w:instrText xml:space="preserve"> PAGEREF _Toc14517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5D6E236B">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_Toc28505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4</w:t>
      </w:r>
      <w:r>
        <w:rPr>
          <w:rFonts w:hint="eastAsia" w:ascii="宋体" w:hAnsi="宋体"/>
          <w:color w:val="auto"/>
          <w:highlight w:val="none"/>
        </w:rPr>
        <w:t>．解释权</w:t>
      </w:r>
      <w:r>
        <w:rPr>
          <w:color w:val="auto"/>
          <w:highlight w:val="none"/>
        </w:rPr>
        <w:tab/>
      </w:r>
      <w:r>
        <w:rPr>
          <w:color w:val="auto"/>
          <w:highlight w:val="none"/>
        </w:rPr>
        <w:fldChar w:fldCharType="begin"/>
      </w:r>
      <w:r>
        <w:rPr>
          <w:color w:val="auto"/>
          <w:highlight w:val="none"/>
        </w:rPr>
        <w:instrText xml:space="preserve"> PAGEREF _Toc28505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15AAB0F1">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_Toc10263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5</w:t>
      </w:r>
      <w:r>
        <w:rPr>
          <w:rFonts w:hint="eastAsia" w:ascii="宋体" w:hAnsi="宋体"/>
          <w:color w:val="auto"/>
          <w:highlight w:val="none"/>
        </w:rPr>
        <w:t>．适用法律及约束力</w:t>
      </w:r>
      <w:r>
        <w:rPr>
          <w:color w:val="auto"/>
          <w:highlight w:val="none"/>
        </w:rPr>
        <w:tab/>
      </w:r>
      <w:r>
        <w:rPr>
          <w:color w:val="auto"/>
          <w:highlight w:val="none"/>
        </w:rPr>
        <w:fldChar w:fldCharType="begin"/>
      </w:r>
      <w:r>
        <w:rPr>
          <w:color w:val="auto"/>
          <w:highlight w:val="none"/>
        </w:rPr>
        <w:instrText xml:space="preserve"> PAGEREF _Toc10263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24889A40">
      <w:pPr>
        <w:pStyle w:val="22"/>
        <w:tabs>
          <w:tab w:val="right" w:leader="dot" w:pos="8820"/>
        </w:tabs>
        <w:rPr>
          <w:color w:val="auto"/>
          <w:highlight w:val="none"/>
        </w:rPr>
      </w:pPr>
      <w:r>
        <w:rPr>
          <w:color w:val="auto"/>
          <w:highlight w:val="none"/>
        </w:rPr>
        <w:fldChar w:fldCharType="begin"/>
      </w:r>
      <w:r>
        <w:rPr>
          <w:color w:val="auto"/>
          <w:highlight w:val="none"/>
        </w:rPr>
        <w:instrText xml:space="preserve"> HYPERLINK \l _Toc17424 </w:instrText>
      </w:r>
      <w:r>
        <w:rPr>
          <w:color w:val="auto"/>
          <w:highlight w:val="none"/>
        </w:rPr>
        <w:fldChar w:fldCharType="separate"/>
      </w:r>
      <w:r>
        <w:rPr>
          <w:rFonts w:hint="eastAsia" w:ascii="宋体" w:hAnsi="宋体"/>
          <w:color w:val="auto"/>
          <w:highlight w:val="none"/>
        </w:rPr>
        <w:t>第三部分  合同</w:t>
      </w:r>
      <w:r>
        <w:rPr>
          <w:color w:val="auto"/>
          <w:highlight w:val="none"/>
        </w:rPr>
        <w:tab/>
      </w:r>
      <w:r>
        <w:rPr>
          <w:color w:val="auto"/>
          <w:highlight w:val="none"/>
        </w:rPr>
        <w:fldChar w:fldCharType="begin"/>
      </w:r>
      <w:r>
        <w:rPr>
          <w:color w:val="auto"/>
          <w:highlight w:val="none"/>
        </w:rPr>
        <w:instrText xml:space="preserve"> PAGEREF _Toc17424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209BAB7D">
      <w:pPr>
        <w:pStyle w:val="22"/>
        <w:tabs>
          <w:tab w:val="right" w:leader="dot" w:pos="8820"/>
        </w:tabs>
        <w:rPr>
          <w:color w:val="auto"/>
          <w:highlight w:val="none"/>
        </w:rPr>
      </w:pPr>
      <w:r>
        <w:rPr>
          <w:color w:val="auto"/>
          <w:highlight w:val="none"/>
        </w:rPr>
        <w:fldChar w:fldCharType="begin"/>
      </w:r>
      <w:r>
        <w:rPr>
          <w:color w:val="auto"/>
          <w:highlight w:val="none"/>
        </w:rPr>
        <w:instrText xml:space="preserve"> HYPERLINK \l _Toc18681 </w:instrText>
      </w:r>
      <w:r>
        <w:rPr>
          <w:color w:val="auto"/>
          <w:highlight w:val="none"/>
        </w:rPr>
        <w:fldChar w:fldCharType="separate"/>
      </w:r>
      <w:r>
        <w:rPr>
          <w:rFonts w:ascii="宋体" w:hAnsi="宋体"/>
          <w:color w:val="auto"/>
          <w:highlight w:val="none"/>
        </w:rPr>
        <w:t>第四部分</w:t>
      </w:r>
      <w:r>
        <w:rPr>
          <w:rFonts w:hint="eastAsia" w:ascii="宋体" w:hAnsi="宋体"/>
          <w:color w:val="auto"/>
          <w:highlight w:val="none"/>
        </w:rPr>
        <w:t xml:space="preserve">  采购需求</w:t>
      </w:r>
      <w:r>
        <w:rPr>
          <w:color w:val="auto"/>
          <w:highlight w:val="none"/>
        </w:rPr>
        <w:tab/>
      </w:r>
      <w:r>
        <w:rPr>
          <w:color w:val="auto"/>
          <w:highlight w:val="none"/>
        </w:rPr>
        <w:fldChar w:fldCharType="begin"/>
      </w:r>
      <w:r>
        <w:rPr>
          <w:color w:val="auto"/>
          <w:highlight w:val="none"/>
        </w:rPr>
        <w:instrText xml:space="preserve"> PAGEREF _Toc18681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77FC335E">
      <w:pPr>
        <w:pStyle w:val="22"/>
        <w:tabs>
          <w:tab w:val="right" w:leader="dot" w:pos="8820"/>
        </w:tabs>
        <w:rPr>
          <w:color w:val="auto"/>
          <w:highlight w:val="none"/>
        </w:rPr>
      </w:pPr>
      <w:r>
        <w:rPr>
          <w:color w:val="auto"/>
          <w:highlight w:val="none"/>
        </w:rPr>
        <w:fldChar w:fldCharType="begin"/>
      </w:r>
      <w:r>
        <w:rPr>
          <w:color w:val="auto"/>
          <w:highlight w:val="none"/>
        </w:rPr>
        <w:instrText xml:space="preserve"> HYPERLINK \l _Toc28019 </w:instrText>
      </w:r>
      <w:r>
        <w:rPr>
          <w:color w:val="auto"/>
          <w:highlight w:val="none"/>
        </w:rPr>
        <w:fldChar w:fldCharType="separate"/>
      </w:r>
      <w:r>
        <w:rPr>
          <w:rFonts w:hint="eastAsia" w:ascii="宋体" w:hAnsi="宋体"/>
          <w:color w:val="auto"/>
          <w:highlight w:val="none"/>
        </w:rPr>
        <w:t>第五部分  磋商及评审</w:t>
      </w:r>
      <w:r>
        <w:rPr>
          <w:color w:val="auto"/>
          <w:highlight w:val="none"/>
        </w:rPr>
        <w:tab/>
      </w:r>
      <w:r>
        <w:rPr>
          <w:color w:val="auto"/>
          <w:highlight w:val="none"/>
        </w:rPr>
        <w:fldChar w:fldCharType="begin"/>
      </w:r>
      <w:r>
        <w:rPr>
          <w:color w:val="auto"/>
          <w:highlight w:val="none"/>
        </w:rPr>
        <w:instrText xml:space="preserve"> PAGEREF _Toc28019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20F48F0E">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_Toc27990 </w:instrText>
      </w:r>
      <w:r>
        <w:rPr>
          <w:color w:val="auto"/>
          <w:highlight w:val="none"/>
        </w:rPr>
        <w:fldChar w:fldCharType="separate"/>
      </w:r>
      <w:r>
        <w:rPr>
          <w:rFonts w:hint="eastAsia" w:ascii="宋体" w:hAnsi="宋体" w:eastAsia="宋体"/>
          <w:color w:val="auto"/>
          <w:highlight w:val="none"/>
        </w:rPr>
        <w:t>1．</w:t>
      </w:r>
      <w:r>
        <w:rPr>
          <w:rFonts w:ascii="宋体" w:hAnsi="宋体" w:eastAsia="宋体"/>
          <w:color w:val="auto"/>
          <w:highlight w:val="none"/>
        </w:rPr>
        <w:t>磋商小组职责</w:t>
      </w:r>
      <w:r>
        <w:rPr>
          <w:color w:val="auto"/>
          <w:highlight w:val="none"/>
        </w:rPr>
        <w:tab/>
      </w:r>
      <w:r>
        <w:rPr>
          <w:color w:val="auto"/>
          <w:highlight w:val="none"/>
        </w:rPr>
        <w:fldChar w:fldCharType="begin"/>
      </w:r>
      <w:r>
        <w:rPr>
          <w:color w:val="auto"/>
          <w:highlight w:val="none"/>
        </w:rPr>
        <w:instrText xml:space="preserve"> PAGEREF _Toc27990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73CF695E">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_Toc20715 </w:instrText>
      </w:r>
      <w:r>
        <w:rPr>
          <w:color w:val="auto"/>
          <w:highlight w:val="none"/>
        </w:rPr>
        <w:fldChar w:fldCharType="separate"/>
      </w:r>
      <w:r>
        <w:rPr>
          <w:rFonts w:hint="eastAsia" w:ascii="宋体" w:hAnsi="宋体" w:eastAsia="宋体"/>
          <w:color w:val="auto"/>
          <w:highlight w:val="none"/>
        </w:rPr>
        <w:t>2．磋商及评审程序</w:t>
      </w:r>
      <w:r>
        <w:rPr>
          <w:color w:val="auto"/>
          <w:highlight w:val="none"/>
        </w:rPr>
        <w:tab/>
      </w:r>
      <w:r>
        <w:rPr>
          <w:color w:val="auto"/>
          <w:highlight w:val="none"/>
        </w:rPr>
        <w:fldChar w:fldCharType="begin"/>
      </w:r>
      <w:r>
        <w:rPr>
          <w:color w:val="auto"/>
          <w:highlight w:val="none"/>
        </w:rPr>
        <w:instrText xml:space="preserve"> PAGEREF _Toc20715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1DF8B131">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宋体" w:hAnsi="宋体" w:eastAsia="宋体"/>
          <w:color w:val="auto"/>
          <w:highlight w:val="none"/>
        </w:rPr>
        <w:t>3．供应商资格审查</w:t>
      </w:r>
      <w:r>
        <w:rPr>
          <w:color w:val="auto"/>
          <w:highlight w:val="none"/>
        </w:rPr>
        <w:tab/>
      </w:r>
      <w:r>
        <w:rPr>
          <w:color w:val="auto"/>
          <w:highlight w:val="none"/>
        </w:rPr>
        <w:fldChar w:fldCharType="begin"/>
      </w:r>
      <w:r>
        <w:rPr>
          <w:color w:val="auto"/>
          <w:highlight w:val="none"/>
        </w:rPr>
        <w:instrText xml:space="preserve"> PAGEREF _Toc17275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4C9C09B2">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_Toc2078 </w:instrText>
      </w:r>
      <w:r>
        <w:rPr>
          <w:color w:val="auto"/>
          <w:highlight w:val="none"/>
        </w:rPr>
        <w:fldChar w:fldCharType="separate"/>
      </w:r>
      <w:r>
        <w:rPr>
          <w:rFonts w:hint="eastAsia" w:ascii="宋体" w:hAnsi="宋体" w:eastAsia="宋体"/>
          <w:color w:val="auto"/>
          <w:highlight w:val="none"/>
        </w:rPr>
        <w:t>4．磋商响应文件的有效性、完整性和响应程度审查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_Toc2078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14:paraId="0CC03596">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_Toc18742 </w:instrText>
      </w:r>
      <w:r>
        <w:rPr>
          <w:color w:val="auto"/>
          <w:highlight w:val="none"/>
        </w:rPr>
        <w:fldChar w:fldCharType="separate"/>
      </w:r>
      <w:r>
        <w:rPr>
          <w:rFonts w:hint="eastAsia" w:ascii="宋体" w:hAnsi="宋体" w:eastAsia="宋体"/>
          <w:color w:val="auto"/>
          <w:highlight w:val="none"/>
        </w:rPr>
        <w:t>5．磋商记录</w:t>
      </w:r>
      <w:r>
        <w:rPr>
          <w:color w:val="auto"/>
          <w:highlight w:val="none"/>
        </w:rPr>
        <w:tab/>
      </w:r>
      <w:r>
        <w:rPr>
          <w:color w:val="auto"/>
          <w:highlight w:val="none"/>
        </w:rPr>
        <w:fldChar w:fldCharType="begin"/>
      </w:r>
      <w:r>
        <w:rPr>
          <w:color w:val="auto"/>
          <w:highlight w:val="none"/>
        </w:rPr>
        <w:instrText xml:space="preserve"> PAGEREF _Toc18742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1D37AC5D">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_Toc6745 </w:instrText>
      </w:r>
      <w:r>
        <w:rPr>
          <w:color w:val="auto"/>
          <w:highlight w:val="none"/>
        </w:rPr>
        <w:fldChar w:fldCharType="separate"/>
      </w:r>
      <w:r>
        <w:rPr>
          <w:rFonts w:hint="eastAsia" w:ascii="宋体" w:hAnsi="宋体" w:eastAsia="宋体"/>
          <w:color w:val="auto"/>
          <w:highlight w:val="none"/>
        </w:rPr>
        <w:t>6．综合评分</w:t>
      </w:r>
      <w:r>
        <w:rPr>
          <w:color w:val="auto"/>
          <w:highlight w:val="none"/>
        </w:rPr>
        <w:tab/>
      </w:r>
      <w:r>
        <w:rPr>
          <w:color w:val="auto"/>
          <w:highlight w:val="none"/>
        </w:rPr>
        <w:fldChar w:fldCharType="begin"/>
      </w:r>
      <w:r>
        <w:rPr>
          <w:color w:val="auto"/>
          <w:highlight w:val="none"/>
        </w:rPr>
        <w:instrText xml:space="preserve"> PAGEREF _Toc6745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42E47F00">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_Toc25949 </w:instrText>
      </w:r>
      <w:r>
        <w:rPr>
          <w:color w:val="auto"/>
          <w:highlight w:val="none"/>
        </w:rPr>
        <w:fldChar w:fldCharType="separate"/>
      </w:r>
      <w:r>
        <w:rPr>
          <w:rFonts w:hint="eastAsia" w:ascii="宋体" w:hAnsi="宋体" w:eastAsia="宋体"/>
          <w:color w:val="auto"/>
          <w:highlight w:val="none"/>
        </w:rPr>
        <w:t>7．推荐成交供应商</w:t>
      </w:r>
      <w:r>
        <w:rPr>
          <w:color w:val="auto"/>
          <w:highlight w:val="none"/>
        </w:rPr>
        <w:tab/>
      </w:r>
      <w:r>
        <w:rPr>
          <w:color w:val="auto"/>
          <w:highlight w:val="none"/>
        </w:rPr>
        <w:fldChar w:fldCharType="begin"/>
      </w:r>
      <w:r>
        <w:rPr>
          <w:color w:val="auto"/>
          <w:highlight w:val="none"/>
        </w:rPr>
        <w:instrText xml:space="preserve"> PAGEREF _Toc25949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61E76B56">
      <w:pPr>
        <w:pStyle w:val="17"/>
        <w:tabs>
          <w:tab w:val="right" w:leader="dot" w:pos="8820"/>
        </w:tabs>
        <w:ind w:left="0" w:firstLine="0"/>
        <w:rPr>
          <w:color w:val="auto"/>
          <w:highlight w:val="none"/>
        </w:rPr>
      </w:pPr>
      <w:r>
        <w:rPr>
          <w:color w:val="auto"/>
          <w:highlight w:val="none"/>
        </w:rPr>
        <w:fldChar w:fldCharType="begin"/>
      </w:r>
      <w:r>
        <w:rPr>
          <w:color w:val="auto"/>
          <w:highlight w:val="none"/>
        </w:rPr>
        <w:instrText xml:space="preserve"> HYPERLINK \l _Toc5621 </w:instrText>
      </w:r>
      <w:r>
        <w:rPr>
          <w:color w:val="auto"/>
          <w:highlight w:val="none"/>
        </w:rPr>
        <w:fldChar w:fldCharType="separate"/>
      </w:r>
      <w:r>
        <w:rPr>
          <w:rFonts w:hint="eastAsia" w:ascii="宋体" w:hAnsi="宋体"/>
          <w:color w:val="auto"/>
          <w:highlight w:val="none"/>
        </w:rPr>
        <w:t>第六部分  磋商响应文件（格式）</w:t>
      </w:r>
      <w:r>
        <w:rPr>
          <w:color w:val="auto"/>
          <w:highlight w:val="none"/>
        </w:rPr>
        <w:tab/>
      </w:r>
      <w:r>
        <w:rPr>
          <w:color w:val="auto"/>
          <w:highlight w:val="none"/>
        </w:rPr>
        <w:fldChar w:fldCharType="begin"/>
      </w:r>
      <w:r>
        <w:rPr>
          <w:color w:val="auto"/>
          <w:highlight w:val="none"/>
        </w:rPr>
        <w:instrText xml:space="preserve"> PAGEREF _Toc5621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15B0AE1F">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_Toc10351 </w:instrText>
      </w:r>
      <w:r>
        <w:rPr>
          <w:color w:val="auto"/>
          <w:highlight w:val="none"/>
        </w:rPr>
        <w:fldChar w:fldCharType="separate"/>
      </w:r>
      <w:r>
        <w:rPr>
          <w:rFonts w:ascii="宋体" w:hAnsi="宋体" w:eastAsia="宋体" w:cs="宋体"/>
          <w:bCs/>
          <w:color w:val="auto"/>
          <w:highlight w:val="none"/>
        </w:rPr>
        <w:t>一、资格部分</w:t>
      </w:r>
      <w:r>
        <w:rPr>
          <w:color w:val="auto"/>
          <w:highlight w:val="none"/>
        </w:rPr>
        <w:tab/>
      </w:r>
      <w:r>
        <w:rPr>
          <w:color w:val="auto"/>
          <w:highlight w:val="none"/>
        </w:rPr>
        <w:fldChar w:fldCharType="begin"/>
      </w:r>
      <w:r>
        <w:rPr>
          <w:color w:val="auto"/>
          <w:highlight w:val="none"/>
        </w:rPr>
        <w:instrText xml:space="preserve"> PAGEREF _Toc10351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102E8F1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_Toc14506 </w:instrText>
      </w:r>
      <w:r>
        <w:rPr>
          <w:color w:val="auto"/>
          <w:highlight w:val="none"/>
        </w:rPr>
        <w:fldChar w:fldCharType="separate"/>
      </w:r>
      <w:r>
        <w:rPr>
          <w:rFonts w:ascii="宋体" w:hAnsi="宋体" w:eastAsia="宋体" w:cs="宋体"/>
          <w:color w:val="auto"/>
          <w:highlight w:val="none"/>
        </w:rPr>
        <w:t>(一)磋商承诺函</w:t>
      </w:r>
      <w:r>
        <w:rPr>
          <w:color w:val="auto"/>
          <w:highlight w:val="none"/>
        </w:rPr>
        <w:tab/>
      </w:r>
      <w:r>
        <w:rPr>
          <w:color w:val="auto"/>
          <w:highlight w:val="none"/>
        </w:rPr>
        <w:fldChar w:fldCharType="begin"/>
      </w:r>
      <w:r>
        <w:rPr>
          <w:color w:val="auto"/>
          <w:highlight w:val="none"/>
        </w:rPr>
        <w:instrText xml:space="preserve"> PAGEREF _Toc14506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481188B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ascii="宋体" w:hAnsi="宋体" w:eastAsia="宋体" w:cs="宋体"/>
          <w:bCs/>
          <w:color w:val="auto"/>
          <w:szCs w:val="24"/>
          <w:highlight w:val="none"/>
        </w:rPr>
        <w:t>(二)独立承担民事责任的能力</w:t>
      </w:r>
      <w:r>
        <w:rPr>
          <w:color w:val="auto"/>
          <w:highlight w:val="none"/>
        </w:rPr>
        <w:tab/>
      </w:r>
      <w:r>
        <w:rPr>
          <w:color w:val="auto"/>
          <w:highlight w:val="none"/>
        </w:rPr>
        <w:fldChar w:fldCharType="begin"/>
      </w:r>
      <w:r>
        <w:rPr>
          <w:color w:val="auto"/>
          <w:highlight w:val="none"/>
        </w:rPr>
        <w:instrText xml:space="preserve"> PAGEREF _Toc21424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6034CB63">
      <w:pPr>
        <w:pStyle w:val="17"/>
        <w:tabs>
          <w:tab w:val="right" w:leader="dot" w:pos="882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_Toc30575 </w:instrText>
      </w:r>
      <w:r>
        <w:rPr>
          <w:color w:val="auto"/>
          <w:highlight w:val="none"/>
        </w:rPr>
        <w:fldChar w:fldCharType="separate"/>
      </w:r>
      <w:r>
        <w:rPr>
          <w:rFonts w:ascii="宋体" w:hAnsi="宋体" w:eastAsia="宋体" w:cs="宋体"/>
          <w:bCs/>
          <w:color w:val="auto"/>
          <w:szCs w:val="24"/>
          <w:highlight w:val="none"/>
        </w:rPr>
        <w:t>(三)良好的商业信誉和健全的财务会计制度</w:t>
      </w:r>
      <w:r>
        <w:rPr>
          <w:color w:val="auto"/>
          <w:highlight w:val="none"/>
        </w:rPr>
        <w:tab/>
      </w:r>
      <w:r>
        <w:rPr>
          <w:color w:val="auto"/>
          <w:highlight w:val="none"/>
        </w:rPr>
        <w:fldChar w:fldCharType="end"/>
      </w:r>
      <w:r>
        <w:rPr>
          <w:rFonts w:hint="eastAsia"/>
          <w:color w:val="auto"/>
          <w:highlight w:val="none"/>
          <w:lang w:val="en-US" w:eastAsia="zh-CN"/>
        </w:rPr>
        <w:t>63</w:t>
      </w:r>
    </w:p>
    <w:p w14:paraId="2621523C">
      <w:pPr>
        <w:pStyle w:val="17"/>
        <w:tabs>
          <w:tab w:val="right" w:leader="dot" w:pos="882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ascii="宋体" w:hAnsi="宋体" w:eastAsia="宋体" w:cs="宋体"/>
          <w:bCs/>
          <w:color w:val="auto"/>
          <w:szCs w:val="24"/>
          <w:highlight w:val="none"/>
        </w:rPr>
        <w:t>(四)履行合同所必需的设备和专业技术能力</w:t>
      </w:r>
      <w:r>
        <w:rPr>
          <w:color w:val="auto"/>
          <w:highlight w:val="none"/>
        </w:rPr>
        <w:tab/>
      </w:r>
      <w:r>
        <w:rPr>
          <w:color w:val="auto"/>
          <w:highlight w:val="none"/>
        </w:rPr>
        <w:fldChar w:fldCharType="end"/>
      </w:r>
      <w:r>
        <w:rPr>
          <w:rFonts w:hint="eastAsia"/>
          <w:color w:val="auto"/>
          <w:highlight w:val="none"/>
          <w:lang w:val="en-US" w:eastAsia="zh-CN"/>
        </w:rPr>
        <w:t>64</w:t>
      </w:r>
    </w:p>
    <w:p w14:paraId="02C2216C">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_Toc17312 </w:instrText>
      </w:r>
      <w:r>
        <w:rPr>
          <w:color w:val="auto"/>
          <w:highlight w:val="none"/>
        </w:rPr>
        <w:fldChar w:fldCharType="separate"/>
      </w:r>
      <w:r>
        <w:rPr>
          <w:rFonts w:ascii="宋体" w:hAnsi="宋体" w:eastAsia="宋体" w:cs="宋体"/>
          <w:bCs/>
          <w:color w:val="auto"/>
          <w:szCs w:val="24"/>
          <w:highlight w:val="none"/>
        </w:rPr>
        <w:t>(五)依法缴纳税收和社会保障资金的良好记录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_Toc17312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1B32C44D">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_Toc10320 </w:instrText>
      </w:r>
      <w:r>
        <w:rPr>
          <w:color w:val="auto"/>
          <w:highlight w:val="none"/>
        </w:rPr>
        <w:fldChar w:fldCharType="separate"/>
      </w:r>
      <w:r>
        <w:rPr>
          <w:rFonts w:ascii="宋体" w:hAnsi="宋体" w:eastAsia="宋体" w:cs="宋体"/>
          <w:bCs/>
          <w:color w:val="auto"/>
          <w:highlight w:val="none"/>
        </w:rPr>
        <w:t>(六)落实政府采购政策需满足的资格要求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_Toc10320 \h </w:instrText>
      </w:r>
      <w:r>
        <w:rPr>
          <w:color w:val="auto"/>
          <w:highlight w:val="none"/>
        </w:rPr>
        <w:fldChar w:fldCharType="separate"/>
      </w:r>
      <w:r>
        <w:rPr>
          <w:color w:val="auto"/>
          <w:highlight w:val="none"/>
        </w:rPr>
        <w:t>6</w:t>
      </w:r>
      <w:r>
        <w:rPr>
          <w:rFonts w:hint="eastAsia"/>
          <w:color w:val="auto"/>
          <w:highlight w:val="none"/>
          <w:lang w:val="en-US" w:eastAsia="zh-CN"/>
        </w:rPr>
        <w:t>7</w:t>
      </w:r>
      <w:r>
        <w:rPr>
          <w:color w:val="auto"/>
          <w:highlight w:val="none"/>
        </w:rPr>
        <w:fldChar w:fldCharType="end"/>
      </w:r>
      <w:r>
        <w:rPr>
          <w:color w:val="auto"/>
          <w:highlight w:val="none"/>
        </w:rPr>
        <w:fldChar w:fldCharType="end"/>
      </w:r>
    </w:p>
    <w:p w14:paraId="3B0CBBC1">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_Toc20707 </w:instrText>
      </w:r>
      <w:r>
        <w:rPr>
          <w:color w:val="auto"/>
          <w:highlight w:val="none"/>
        </w:rPr>
        <w:fldChar w:fldCharType="separate"/>
      </w:r>
      <w:r>
        <w:rPr>
          <w:rFonts w:ascii="宋体" w:hAnsi="宋体" w:eastAsia="宋体" w:cs="宋体"/>
          <w:bCs/>
          <w:color w:val="auto"/>
          <w:highlight w:val="none"/>
        </w:rPr>
        <w:t>(</w:t>
      </w:r>
      <w:r>
        <w:rPr>
          <w:rFonts w:hint="eastAsia" w:ascii="宋体" w:hAnsi="宋体" w:eastAsia="宋体" w:cs="宋体"/>
          <w:bCs/>
          <w:color w:val="auto"/>
          <w:highlight w:val="none"/>
          <w:lang w:eastAsia="zh-CN"/>
        </w:rPr>
        <w:t>七</w:t>
      </w:r>
      <w:r>
        <w:rPr>
          <w:rFonts w:ascii="宋体" w:hAnsi="宋体" w:eastAsia="宋体" w:cs="宋体"/>
          <w:bCs/>
          <w:color w:val="auto"/>
          <w:highlight w:val="none"/>
        </w:rPr>
        <w:t>)本项目的特定资格要求</w:t>
      </w:r>
      <w:r>
        <w:rPr>
          <w:color w:val="auto"/>
          <w:highlight w:val="none"/>
        </w:rPr>
        <w:tab/>
      </w:r>
      <w:r>
        <w:rPr>
          <w:color w:val="auto"/>
          <w:highlight w:val="none"/>
        </w:rPr>
        <w:fldChar w:fldCharType="begin"/>
      </w:r>
      <w:r>
        <w:rPr>
          <w:color w:val="auto"/>
          <w:highlight w:val="none"/>
        </w:rPr>
        <w:instrText xml:space="preserve"> PAGEREF _Toc20707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34863450">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_Toc4837 </w:instrText>
      </w:r>
      <w:r>
        <w:rPr>
          <w:color w:val="auto"/>
          <w:highlight w:val="none"/>
        </w:rPr>
        <w:fldChar w:fldCharType="separate"/>
      </w:r>
      <w:r>
        <w:rPr>
          <w:rFonts w:ascii="宋体" w:hAnsi="宋体" w:eastAsia="宋体" w:cs="宋体"/>
          <w:bCs/>
          <w:color w:val="auto"/>
          <w:highlight w:val="none"/>
        </w:rPr>
        <w:t>(</w:t>
      </w:r>
      <w:r>
        <w:rPr>
          <w:rFonts w:hint="eastAsia" w:ascii="宋体" w:hAnsi="宋体" w:eastAsia="宋体" w:cs="宋体"/>
          <w:bCs/>
          <w:color w:val="auto"/>
          <w:highlight w:val="none"/>
          <w:lang w:eastAsia="zh-CN"/>
        </w:rPr>
        <w:t>八</w:t>
      </w:r>
      <w:r>
        <w:rPr>
          <w:rFonts w:ascii="宋体" w:hAnsi="宋体" w:eastAsia="宋体" w:cs="宋体"/>
          <w:bCs/>
          <w:color w:val="auto"/>
          <w:highlight w:val="none"/>
        </w:rPr>
        <w:t>)法定代表人（负责人）身份证明书</w:t>
      </w:r>
      <w:r>
        <w:rPr>
          <w:color w:val="auto"/>
          <w:highlight w:val="none"/>
        </w:rPr>
        <w:tab/>
      </w:r>
      <w:r>
        <w:rPr>
          <w:color w:val="auto"/>
          <w:highlight w:val="none"/>
        </w:rPr>
        <w:fldChar w:fldCharType="begin"/>
      </w:r>
      <w:r>
        <w:rPr>
          <w:color w:val="auto"/>
          <w:highlight w:val="none"/>
        </w:rPr>
        <w:instrText xml:space="preserve"> PAGEREF _Toc4837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1232FDAC">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_Toc9734 </w:instrText>
      </w:r>
      <w:r>
        <w:rPr>
          <w:color w:val="auto"/>
          <w:highlight w:val="none"/>
        </w:rPr>
        <w:fldChar w:fldCharType="separate"/>
      </w:r>
      <w:r>
        <w:rPr>
          <w:rFonts w:ascii="宋体" w:hAnsi="宋体" w:eastAsia="宋体" w:cs="宋体"/>
          <w:bCs/>
          <w:color w:val="auto"/>
          <w:highlight w:val="none"/>
        </w:rPr>
        <w:t>(九)法定代表人（负责人）授权委托书</w:t>
      </w:r>
      <w:r>
        <w:rPr>
          <w:color w:val="auto"/>
          <w:highlight w:val="none"/>
        </w:rPr>
        <w:tab/>
      </w:r>
      <w:r>
        <w:rPr>
          <w:color w:val="auto"/>
          <w:highlight w:val="none"/>
        </w:rPr>
        <w:fldChar w:fldCharType="begin"/>
      </w:r>
      <w:r>
        <w:rPr>
          <w:color w:val="auto"/>
          <w:highlight w:val="none"/>
        </w:rPr>
        <w:instrText xml:space="preserve"> PAGEREF _Toc9734 \h </w:instrText>
      </w:r>
      <w:r>
        <w:rPr>
          <w:color w:val="auto"/>
          <w:highlight w:val="none"/>
        </w:rPr>
        <w:fldChar w:fldCharType="separate"/>
      </w:r>
      <w:r>
        <w:rPr>
          <w:color w:val="auto"/>
          <w:highlight w:val="none"/>
        </w:rPr>
        <w:t>71</w:t>
      </w:r>
      <w:r>
        <w:rPr>
          <w:color w:val="auto"/>
          <w:highlight w:val="none"/>
        </w:rPr>
        <w:fldChar w:fldCharType="end"/>
      </w:r>
      <w:r>
        <w:rPr>
          <w:color w:val="auto"/>
          <w:highlight w:val="none"/>
        </w:rPr>
        <w:fldChar w:fldCharType="end"/>
      </w:r>
    </w:p>
    <w:p w14:paraId="2C53285D">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_Toc17338 </w:instrText>
      </w:r>
      <w:r>
        <w:rPr>
          <w:color w:val="auto"/>
          <w:highlight w:val="none"/>
        </w:rPr>
        <w:fldChar w:fldCharType="separate"/>
      </w:r>
      <w:r>
        <w:rPr>
          <w:rFonts w:ascii="宋体" w:hAnsi="宋体" w:eastAsia="宋体" w:cs="宋体"/>
          <w:bCs/>
          <w:color w:val="auto"/>
          <w:highlight w:val="none"/>
        </w:rPr>
        <w:t>(十)资格承诺函</w:t>
      </w:r>
      <w:r>
        <w:rPr>
          <w:color w:val="auto"/>
          <w:highlight w:val="none"/>
        </w:rPr>
        <w:tab/>
      </w:r>
      <w:r>
        <w:rPr>
          <w:color w:val="auto"/>
          <w:highlight w:val="none"/>
        </w:rPr>
        <w:fldChar w:fldCharType="begin"/>
      </w:r>
      <w:r>
        <w:rPr>
          <w:color w:val="auto"/>
          <w:highlight w:val="none"/>
        </w:rPr>
        <w:instrText xml:space="preserve"> PAGEREF _Toc17338 \h </w:instrText>
      </w:r>
      <w:r>
        <w:rPr>
          <w:color w:val="auto"/>
          <w:highlight w:val="none"/>
        </w:rPr>
        <w:fldChar w:fldCharType="separate"/>
      </w:r>
      <w:r>
        <w:rPr>
          <w:color w:val="auto"/>
          <w:highlight w:val="none"/>
        </w:rPr>
        <w:t>72</w:t>
      </w:r>
      <w:r>
        <w:rPr>
          <w:color w:val="auto"/>
          <w:highlight w:val="none"/>
        </w:rPr>
        <w:fldChar w:fldCharType="end"/>
      </w:r>
      <w:r>
        <w:rPr>
          <w:color w:val="auto"/>
          <w:highlight w:val="none"/>
        </w:rPr>
        <w:fldChar w:fldCharType="end"/>
      </w:r>
    </w:p>
    <w:p w14:paraId="333A5AEF">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_Toc1029 </w:instrText>
      </w:r>
      <w:r>
        <w:rPr>
          <w:color w:val="auto"/>
          <w:highlight w:val="none"/>
        </w:rPr>
        <w:fldChar w:fldCharType="separate"/>
      </w:r>
      <w:r>
        <w:rPr>
          <w:rFonts w:ascii="宋体" w:hAnsi="宋体" w:eastAsia="宋体" w:cs="宋体"/>
          <w:bCs/>
          <w:color w:val="auto"/>
          <w:highlight w:val="none"/>
        </w:rPr>
        <w:t>二、技术部分</w:t>
      </w:r>
      <w:r>
        <w:rPr>
          <w:color w:val="auto"/>
          <w:highlight w:val="none"/>
        </w:rPr>
        <w:tab/>
      </w:r>
      <w:r>
        <w:rPr>
          <w:color w:val="auto"/>
          <w:highlight w:val="none"/>
        </w:rPr>
        <w:fldChar w:fldCharType="begin"/>
      </w:r>
      <w:r>
        <w:rPr>
          <w:color w:val="auto"/>
          <w:highlight w:val="none"/>
        </w:rPr>
        <w:instrText xml:space="preserve"> PAGEREF _Toc1029 \h </w:instrText>
      </w:r>
      <w:r>
        <w:rPr>
          <w:color w:val="auto"/>
          <w:highlight w:val="none"/>
        </w:rPr>
        <w:fldChar w:fldCharType="separate"/>
      </w:r>
      <w:r>
        <w:rPr>
          <w:color w:val="auto"/>
          <w:highlight w:val="none"/>
        </w:rPr>
        <w:t>73</w:t>
      </w:r>
      <w:r>
        <w:rPr>
          <w:color w:val="auto"/>
          <w:highlight w:val="none"/>
        </w:rPr>
        <w:fldChar w:fldCharType="end"/>
      </w:r>
      <w:r>
        <w:rPr>
          <w:color w:val="auto"/>
          <w:highlight w:val="none"/>
        </w:rPr>
        <w:fldChar w:fldCharType="end"/>
      </w:r>
    </w:p>
    <w:p w14:paraId="11418542">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_Toc23259 </w:instrText>
      </w:r>
      <w:r>
        <w:rPr>
          <w:color w:val="auto"/>
          <w:highlight w:val="none"/>
        </w:rPr>
        <w:fldChar w:fldCharType="separate"/>
      </w:r>
      <w:r>
        <w:rPr>
          <w:rFonts w:ascii="宋体" w:hAnsi="宋体" w:eastAsia="宋体" w:cs="宋体"/>
          <w:color w:val="auto"/>
          <w:highlight w:val="none"/>
        </w:rPr>
        <w:t>(一)</w:t>
      </w:r>
      <w:r>
        <w:rPr>
          <w:rFonts w:hint="eastAsia" w:ascii="宋体" w:hAnsi="宋体" w:eastAsia="宋体" w:cs="宋体"/>
          <w:color w:val="auto"/>
          <w:highlight w:val="none"/>
          <w:lang w:eastAsia="zh-CN"/>
        </w:rPr>
        <w:t>施工</w:t>
      </w:r>
      <w:r>
        <w:rPr>
          <w:rFonts w:ascii="宋体" w:hAnsi="宋体" w:eastAsia="宋体" w:cs="宋体"/>
          <w:color w:val="auto"/>
          <w:highlight w:val="none"/>
        </w:rPr>
        <w:t>方案</w:t>
      </w:r>
      <w:r>
        <w:rPr>
          <w:color w:val="auto"/>
          <w:highlight w:val="none"/>
        </w:rPr>
        <w:tab/>
      </w:r>
      <w:r>
        <w:rPr>
          <w:color w:val="auto"/>
          <w:highlight w:val="none"/>
        </w:rPr>
        <w:fldChar w:fldCharType="begin"/>
      </w:r>
      <w:r>
        <w:rPr>
          <w:color w:val="auto"/>
          <w:highlight w:val="none"/>
        </w:rPr>
        <w:instrText xml:space="preserve"> PAGEREF _Toc23259 \h </w:instrText>
      </w:r>
      <w:r>
        <w:rPr>
          <w:color w:val="auto"/>
          <w:highlight w:val="none"/>
        </w:rPr>
        <w:fldChar w:fldCharType="separate"/>
      </w:r>
      <w:r>
        <w:rPr>
          <w:color w:val="auto"/>
          <w:highlight w:val="none"/>
        </w:rPr>
        <w:t>73</w:t>
      </w:r>
      <w:r>
        <w:rPr>
          <w:color w:val="auto"/>
          <w:highlight w:val="none"/>
        </w:rPr>
        <w:fldChar w:fldCharType="end"/>
      </w:r>
      <w:r>
        <w:rPr>
          <w:color w:val="auto"/>
          <w:highlight w:val="none"/>
        </w:rPr>
        <w:fldChar w:fldCharType="end"/>
      </w:r>
    </w:p>
    <w:p w14:paraId="17C3796A">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_Toc9059 </w:instrText>
      </w:r>
      <w:r>
        <w:rPr>
          <w:color w:val="auto"/>
          <w:highlight w:val="none"/>
        </w:rPr>
        <w:fldChar w:fldCharType="separate"/>
      </w:r>
      <w:r>
        <w:rPr>
          <w:rFonts w:ascii="宋体" w:hAnsi="宋体" w:eastAsia="宋体" w:cs="宋体"/>
          <w:color w:val="auto"/>
          <w:highlight w:val="none"/>
        </w:rPr>
        <w:t>(</w:t>
      </w:r>
      <w:r>
        <w:rPr>
          <w:rFonts w:hint="eastAsia" w:ascii="宋体" w:hAnsi="宋体" w:eastAsia="宋体" w:cs="宋体"/>
          <w:color w:val="auto"/>
          <w:highlight w:val="none"/>
          <w:lang w:eastAsia="zh-CN"/>
        </w:rPr>
        <w:t>二</w:t>
      </w:r>
      <w:r>
        <w:rPr>
          <w:rFonts w:ascii="宋体" w:hAnsi="宋体" w:eastAsia="宋体" w:cs="宋体"/>
          <w:color w:val="auto"/>
          <w:highlight w:val="none"/>
        </w:rPr>
        <w:t>)</w:t>
      </w:r>
      <w:r>
        <w:rPr>
          <w:rFonts w:hint="eastAsia" w:ascii="宋体" w:hAnsi="宋体" w:eastAsia="宋体" w:cs="宋体"/>
          <w:color w:val="auto"/>
          <w:highlight w:val="none"/>
          <w:lang w:eastAsia="zh-CN"/>
        </w:rPr>
        <w:t>技术（服务）及商务</w:t>
      </w:r>
      <w:r>
        <w:rPr>
          <w:rFonts w:ascii="宋体" w:hAnsi="宋体" w:eastAsia="宋体" w:cs="宋体"/>
          <w:color w:val="auto"/>
          <w:highlight w:val="none"/>
        </w:rPr>
        <w:t>内容</w:t>
      </w:r>
      <w:r>
        <w:rPr>
          <w:rFonts w:hint="eastAsia" w:ascii="宋体" w:hAnsi="宋体" w:eastAsia="宋体" w:cs="宋体"/>
          <w:color w:val="auto"/>
          <w:highlight w:val="none"/>
          <w:lang w:eastAsia="zh-CN"/>
        </w:rPr>
        <w:t>响应承诺</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74</w:t>
      </w:r>
      <w:r>
        <w:rPr>
          <w:color w:val="auto"/>
          <w:highlight w:val="none"/>
        </w:rPr>
        <w:fldChar w:fldCharType="end"/>
      </w:r>
      <w:r>
        <w:rPr>
          <w:color w:val="auto"/>
          <w:highlight w:val="none"/>
        </w:rPr>
        <w:fldChar w:fldCharType="end"/>
      </w:r>
    </w:p>
    <w:p w14:paraId="2AE8EDC3">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_Toc32425 </w:instrText>
      </w:r>
      <w:r>
        <w:rPr>
          <w:color w:val="auto"/>
          <w:highlight w:val="none"/>
        </w:rPr>
        <w:fldChar w:fldCharType="separate"/>
      </w:r>
      <w:r>
        <w:rPr>
          <w:rFonts w:ascii="宋体" w:hAnsi="宋体" w:eastAsia="宋体" w:cs="宋体"/>
          <w:bCs/>
          <w:color w:val="auto"/>
          <w:highlight w:val="none"/>
        </w:rPr>
        <w:t>三、商务部分</w:t>
      </w:r>
      <w:r>
        <w:rPr>
          <w:color w:val="auto"/>
          <w:highlight w:val="none"/>
        </w:rPr>
        <w:tab/>
      </w:r>
      <w:r>
        <w:rPr>
          <w:color w:val="auto"/>
          <w:highlight w:val="none"/>
        </w:rPr>
        <w:fldChar w:fldCharType="begin"/>
      </w:r>
      <w:r>
        <w:rPr>
          <w:color w:val="auto"/>
          <w:highlight w:val="none"/>
        </w:rPr>
        <w:instrText xml:space="preserve"> PAGEREF _Toc32425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5594A93B">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_Toc12742 </w:instrText>
      </w:r>
      <w:r>
        <w:rPr>
          <w:color w:val="auto"/>
          <w:highlight w:val="none"/>
        </w:rPr>
        <w:fldChar w:fldCharType="separate"/>
      </w:r>
      <w:r>
        <w:rPr>
          <w:rFonts w:ascii="宋体" w:hAnsi="宋体" w:eastAsia="宋体" w:cs="宋体"/>
          <w:color w:val="auto"/>
          <w:highlight w:val="none"/>
        </w:rPr>
        <w:t>(一)供应商能力</w:t>
      </w:r>
      <w:r>
        <w:rPr>
          <w:color w:val="auto"/>
          <w:highlight w:val="none"/>
        </w:rPr>
        <w:tab/>
      </w:r>
      <w:r>
        <w:rPr>
          <w:color w:val="auto"/>
          <w:highlight w:val="none"/>
        </w:rPr>
        <w:fldChar w:fldCharType="begin"/>
      </w:r>
      <w:r>
        <w:rPr>
          <w:color w:val="auto"/>
          <w:highlight w:val="none"/>
        </w:rPr>
        <w:instrText xml:space="preserve"> PAGEREF _Toc12742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28A92027">
      <w:pPr>
        <w:pStyle w:val="17"/>
        <w:tabs>
          <w:tab w:val="right" w:leader="dot" w:pos="882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_Toc1377 </w:instrText>
      </w:r>
      <w:r>
        <w:rPr>
          <w:color w:val="auto"/>
          <w:highlight w:val="none"/>
        </w:rPr>
        <w:fldChar w:fldCharType="separate"/>
      </w:r>
      <w:r>
        <w:rPr>
          <w:rFonts w:ascii="宋体" w:hAnsi="宋体" w:eastAsia="宋体" w:cs="宋体"/>
          <w:bCs/>
          <w:color w:val="auto"/>
          <w:szCs w:val="24"/>
          <w:highlight w:val="none"/>
        </w:rPr>
        <w:t>(二)</w:t>
      </w:r>
      <w:r>
        <w:rPr>
          <w:rFonts w:hint="eastAsia" w:ascii="宋体" w:hAnsi="宋体" w:eastAsia="宋体" w:cs="宋体"/>
          <w:bCs/>
          <w:color w:val="auto"/>
          <w:szCs w:val="24"/>
          <w:highlight w:val="none"/>
          <w:lang w:eastAsia="zh-CN"/>
        </w:rPr>
        <w:t>类似业绩</w:t>
      </w:r>
      <w:r>
        <w:rPr>
          <w:color w:val="auto"/>
          <w:highlight w:val="none"/>
        </w:rPr>
        <w:tab/>
      </w:r>
      <w:r>
        <w:rPr>
          <w:color w:val="auto"/>
          <w:highlight w:val="none"/>
        </w:rPr>
        <w:fldChar w:fldCharType="end"/>
      </w:r>
      <w:r>
        <w:rPr>
          <w:rFonts w:hint="eastAsia"/>
          <w:color w:val="auto"/>
          <w:highlight w:val="none"/>
          <w:lang w:val="en-US" w:eastAsia="zh-CN"/>
        </w:rPr>
        <w:t>76</w:t>
      </w:r>
    </w:p>
    <w:p w14:paraId="23D6A8E6">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_Toc23081 </w:instrText>
      </w:r>
      <w:r>
        <w:rPr>
          <w:color w:val="auto"/>
          <w:highlight w:val="none"/>
        </w:rPr>
        <w:fldChar w:fldCharType="separate"/>
      </w:r>
      <w:r>
        <w:rPr>
          <w:rFonts w:ascii="宋体" w:hAnsi="宋体" w:eastAsia="宋体" w:cs="宋体"/>
          <w:bCs/>
          <w:color w:val="auto"/>
          <w:highlight w:val="none"/>
        </w:rPr>
        <w:t>(三)项目实施成员能力</w:t>
      </w:r>
      <w:r>
        <w:rPr>
          <w:color w:val="auto"/>
          <w:highlight w:val="none"/>
        </w:rPr>
        <w:tab/>
      </w:r>
      <w:r>
        <w:rPr>
          <w:color w:val="auto"/>
          <w:highlight w:val="none"/>
        </w:rPr>
        <w:fldChar w:fldCharType="begin"/>
      </w:r>
      <w:r>
        <w:rPr>
          <w:color w:val="auto"/>
          <w:highlight w:val="none"/>
        </w:rPr>
        <w:instrText xml:space="preserve"> PAGEREF _Toc23081 \h </w:instrText>
      </w:r>
      <w:r>
        <w:rPr>
          <w:color w:val="auto"/>
          <w:highlight w:val="none"/>
        </w:rPr>
        <w:fldChar w:fldCharType="separate"/>
      </w:r>
      <w:r>
        <w:rPr>
          <w:color w:val="auto"/>
          <w:highlight w:val="none"/>
        </w:rPr>
        <w:t>77</w:t>
      </w:r>
      <w:r>
        <w:rPr>
          <w:color w:val="auto"/>
          <w:highlight w:val="none"/>
        </w:rPr>
        <w:fldChar w:fldCharType="end"/>
      </w:r>
      <w:r>
        <w:rPr>
          <w:color w:val="auto"/>
          <w:highlight w:val="none"/>
        </w:rPr>
        <w:fldChar w:fldCharType="end"/>
      </w:r>
    </w:p>
    <w:p w14:paraId="6A44D442">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_Toc23356 </w:instrText>
      </w:r>
      <w:r>
        <w:rPr>
          <w:color w:val="auto"/>
          <w:highlight w:val="none"/>
        </w:rPr>
        <w:fldChar w:fldCharType="separate"/>
      </w:r>
      <w:r>
        <w:rPr>
          <w:rFonts w:ascii="宋体" w:hAnsi="宋体" w:eastAsia="宋体" w:cs="宋体"/>
          <w:bCs/>
          <w:color w:val="auto"/>
          <w:highlight w:val="none"/>
        </w:rPr>
        <w:t>(</w:t>
      </w:r>
      <w:r>
        <w:rPr>
          <w:rFonts w:hint="eastAsia" w:ascii="宋体" w:hAnsi="宋体" w:eastAsia="宋体" w:cs="宋体"/>
          <w:bCs/>
          <w:color w:val="auto"/>
          <w:highlight w:val="none"/>
          <w:lang w:eastAsia="zh-CN"/>
        </w:rPr>
        <w:t>四</w:t>
      </w:r>
      <w:r>
        <w:rPr>
          <w:rFonts w:ascii="宋体" w:hAnsi="宋体" w:eastAsia="宋体" w:cs="宋体"/>
          <w:bCs/>
          <w:color w:val="auto"/>
          <w:highlight w:val="none"/>
        </w:rPr>
        <w:t>)首次报价一览表</w:t>
      </w:r>
      <w:r>
        <w:rPr>
          <w:color w:val="auto"/>
          <w:highlight w:val="none"/>
        </w:rPr>
        <w:tab/>
      </w:r>
      <w:r>
        <w:rPr>
          <w:color w:val="auto"/>
          <w:highlight w:val="none"/>
        </w:rPr>
        <w:fldChar w:fldCharType="begin"/>
      </w:r>
      <w:r>
        <w:rPr>
          <w:color w:val="auto"/>
          <w:highlight w:val="none"/>
        </w:rPr>
        <w:instrText xml:space="preserve"> PAGEREF _Toc23356 \h </w:instrText>
      </w:r>
      <w:r>
        <w:rPr>
          <w:color w:val="auto"/>
          <w:highlight w:val="none"/>
        </w:rPr>
        <w:fldChar w:fldCharType="separate"/>
      </w:r>
      <w:r>
        <w:rPr>
          <w:color w:val="auto"/>
          <w:highlight w:val="none"/>
        </w:rPr>
        <w:t>78</w:t>
      </w:r>
      <w:r>
        <w:rPr>
          <w:color w:val="auto"/>
          <w:highlight w:val="none"/>
        </w:rPr>
        <w:fldChar w:fldCharType="end"/>
      </w:r>
      <w:r>
        <w:rPr>
          <w:color w:val="auto"/>
          <w:highlight w:val="none"/>
        </w:rPr>
        <w:fldChar w:fldCharType="end"/>
      </w:r>
    </w:p>
    <w:p w14:paraId="765FD773">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_Toc2123 </w:instrText>
      </w:r>
      <w:r>
        <w:rPr>
          <w:color w:val="auto"/>
          <w:highlight w:val="none"/>
        </w:rPr>
        <w:fldChar w:fldCharType="separate"/>
      </w:r>
      <w:r>
        <w:rPr>
          <w:rFonts w:ascii="宋体" w:hAnsi="宋体" w:eastAsia="宋体" w:cs="宋体"/>
          <w:bCs/>
          <w:color w:val="auto"/>
          <w:highlight w:val="none"/>
        </w:rPr>
        <w:t>(</w:t>
      </w:r>
      <w:r>
        <w:rPr>
          <w:rFonts w:hint="eastAsia" w:ascii="宋体" w:hAnsi="宋体" w:eastAsia="宋体" w:cs="宋体"/>
          <w:bCs/>
          <w:color w:val="auto"/>
          <w:highlight w:val="none"/>
          <w:lang w:eastAsia="zh-CN"/>
        </w:rPr>
        <w:t>五</w:t>
      </w:r>
      <w:r>
        <w:rPr>
          <w:rFonts w:ascii="宋体" w:hAnsi="宋体" w:eastAsia="宋体" w:cs="宋体"/>
          <w:bCs/>
          <w:color w:val="auto"/>
          <w:highlight w:val="none"/>
        </w:rPr>
        <w:t>)已标价工程量清单</w:t>
      </w:r>
      <w:r>
        <w:rPr>
          <w:color w:val="auto"/>
          <w:highlight w:val="none"/>
        </w:rPr>
        <w:tab/>
      </w:r>
      <w:r>
        <w:rPr>
          <w:color w:val="auto"/>
          <w:highlight w:val="none"/>
        </w:rPr>
        <w:fldChar w:fldCharType="begin"/>
      </w:r>
      <w:r>
        <w:rPr>
          <w:color w:val="auto"/>
          <w:highlight w:val="none"/>
        </w:rPr>
        <w:instrText xml:space="preserve"> PAGEREF _Toc2123 \h </w:instrText>
      </w:r>
      <w:r>
        <w:rPr>
          <w:color w:val="auto"/>
          <w:highlight w:val="none"/>
        </w:rPr>
        <w:fldChar w:fldCharType="separate"/>
      </w:r>
      <w:r>
        <w:rPr>
          <w:color w:val="auto"/>
          <w:highlight w:val="none"/>
        </w:rPr>
        <w:t>79</w:t>
      </w:r>
      <w:r>
        <w:rPr>
          <w:color w:val="auto"/>
          <w:highlight w:val="none"/>
        </w:rPr>
        <w:fldChar w:fldCharType="end"/>
      </w:r>
      <w:r>
        <w:rPr>
          <w:color w:val="auto"/>
          <w:highlight w:val="none"/>
        </w:rPr>
        <w:fldChar w:fldCharType="end"/>
      </w:r>
    </w:p>
    <w:p w14:paraId="7A78088E">
      <w:pPr>
        <w:pStyle w:val="28"/>
        <w:tabs>
          <w:tab w:val="right" w:leader="dot" w:pos="8820"/>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_Toc5576 </w:instrText>
      </w:r>
      <w:r>
        <w:rPr>
          <w:color w:val="auto"/>
          <w:highlight w:val="none"/>
        </w:rPr>
        <w:fldChar w:fldCharType="separate"/>
      </w:r>
      <w:r>
        <w:rPr>
          <w:rFonts w:ascii="宋体" w:hAnsi="宋体" w:eastAsia="宋体" w:cs="宋体"/>
          <w:bCs/>
          <w:color w:val="auto"/>
          <w:highlight w:val="none"/>
        </w:rPr>
        <w:t>四、按磋商文件要求供应商所能提供的其他文件</w:t>
      </w:r>
      <w:r>
        <w:rPr>
          <w:color w:val="auto"/>
          <w:highlight w:val="none"/>
        </w:rPr>
        <w:tab/>
      </w:r>
      <w:r>
        <w:rPr>
          <w:rFonts w:hint="eastAsia"/>
          <w:color w:val="auto"/>
          <w:highlight w:val="none"/>
          <w:lang w:val="en-US" w:eastAsia="zh-CN"/>
        </w:rPr>
        <w:t>8</w:t>
      </w:r>
      <w:r>
        <w:rPr>
          <w:color w:val="auto"/>
          <w:highlight w:val="none"/>
        </w:rPr>
        <w:fldChar w:fldCharType="end"/>
      </w:r>
      <w:r>
        <w:rPr>
          <w:rFonts w:hint="eastAsia"/>
          <w:color w:val="auto"/>
          <w:highlight w:val="none"/>
          <w:lang w:val="en-US" w:eastAsia="zh-CN"/>
        </w:rPr>
        <w:t>0</w:t>
      </w:r>
    </w:p>
    <w:p w14:paraId="0FD5AF92">
      <w:pPr>
        <w:pStyle w:val="188"/>
        <w:jc w:val="center"/>
        <w:rPr>
          <w:color w:val="auto"/>
          <w:highlight w:val="none"/>
        </w:rPr>
        <w:sectPr>
          <w:footerReference r:id="rId6" w:type="first"/>
          <w:footerReference r:id="rId5" w:type="default"/>
          <w:pgSz w:w="11906" w:h="16838"/>
          <w:pgMar w:top="1418" w:right="1555" w:bottom="1418" w:left="1531" w:header="851" w:footer="992" w:gutter="0"/>
          <w:pgNumType w:start="1"/>
          <w:cols w:space="720" w:num="1"/>
          <w:docGrid w:linePitch="360" w:charSpace="0"/>
        </w:sectPr>
      </w:pPr>
      <w:r>
        <w:rPr>
          <w:color w:val="auto"/>
          <w:highlight w:val="none"/>
        </w:rPr>
        <w:fldChar w:fldCharType="end"/>
      </w:r>
      <w:bookmarkStart w:id="2" w:name="_Toc73365456"/>
      <w:bookmarkStart w:id="3" w:name="_Toc73364843"/>
    </w:p>
    <w:p w14:paraId="57DD73BA">
      <w:pPr>
        <w:pStyle w:val="188"/>
        <w:jc w:val="center"/>
        <w:rPr>
          <w:rFonts w:hint="eastAsia" w:ascii="宋体" w:hAnsi="宋体"/>
          <w:color w:val="auto"/>
          <w:sz w:val="36"/>
          <w:highlight w:val="none"/>
        </w:rPr>
      </w:pPr>
      <w:bookmarkStart w:id="4" w:name="_Toc15385"/>
      <w:r>
        <w:rPr>
          <w:rFonts w:hint="eastAsia" w:ascii="宋体" w:hAnsi="宋体"/>
          <w:color w:val="auto"/>
          <w:sz w:val="36"/>
          <w:highlight w:val="none"/>
        </w:rPr>
        <w:t>第一部分  磋商邀请</w:t>
      </w:r>
      <w:bookmarkEnd w:id="2"/>
      <w:bookmarkEnd w:id="3"/>
      <w:bookmarkEnd w:id="4"/>
    </w:p>
    <w:p w14:paraId="381538A3">
      <w:pPr>
        <w:rPr>
          <w:color w:val="auto"/>
          <w:highlight w:val="none"/>
        </w:rPr>
      </w:pPr>
      <w:bookmarkStart w:id="5" w:name="EB90a90c36211a4db3a2108a4f75c8af65"/>
      <w:r>
        <w:rPr>
          <w:rFonts w:hint="eastAsia"/>
          <w:color w:val="auto"/>
          <w:sz w:val="20"/>
          <w:highlight w:val="none"/>
        </w:rPr>
        <w:t xml:space="preserve"> </w:t>
      </w:r>
      <w:bookmarkEnd w:id="5"/>
      <w:bookmarkStart w:id="6" w:name="EBb19c9a8f63314b7a8160b48722b227e9"/>
      <w:r>
        <w:rPr>
          <w:rFonts w:hint="eastAsia"/>
          <w:color w:val="auto"/>
          <w:sz w:val="20"/>
          <w:highlight w:val="none"/>
        </w:rPr>
        <w:t xml:space="preserve"> </w:t>
      </w:r>
      <w:bookmarkEnd w:id="6"/>
    </w:p>
    <w:p w14:paraId="100A67F8">
      <w:pPr>
        <w:pBdr>
          <w:top w:val="single" w:color="000000" w:sz="4" w:space="1"/>
          <w:left w:val="single" w:color="000000" w:sz="4" w:space="4"/>
          <w:bottom w:val="single" w:color="000000" w:sz="4" w:space="1"/>
          <w:right w:val="single" w:color="000000" w:sz="4" w:space="4"/>
        </w:pBdr>
        <w:spacing w:line="360" w:lineRule="auto"/>
        <w:ind w:firstLine="480"/>
        <w:jc w:val="left"/>
        <w:rPr>
          <w:rFonts w:ascii="宋体" w:hAnsi="宋体"/>
          <w:color w:val="auto"/>
          <w:sz w:val="24"/>
          <w:szCs w:val="28"/>
          <w:highlight w:val="none"/>
        </w:rPr>
      </w:pPr>
      <w:r>
        <w:rPr>
          <w:rFonts w:hint="eastAsia" w:ascii="宋体" w:hAnsi="宋体"/>
          <w:color w:val="auto"/>
          <w:sz w:val="24"/>
          <w:szCs w:val="28"/>
          <w:highlight w:val="none"/>
        </w:rPr>
        <w:t>项目概况</w:t>
      </w:r>
    </w:p>
    <w:p w14:paraId="22A12060">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360" w:lineRule="auto"/>
        <w:ind w:firstLine="482"/>
        <w:jc w:val="left"/>
        <w:rPr>
          <w:rFonts w:ascii="宋体" w:hAnsi="宋体"/>
          <w:color w:val="auto"/>
          <w:sz w:val="24"/>
          <w:szCs w:val="28"/>
          <w:highlight w:val="none"/>
          <w:u w:val="single"/>
        </w:rPr>
      </w:pPr>
      <w:r>
        <w:rPr>
          <w:rFonts w:hint="eastAsia" w:ascii="宋体" w:hAnsi="宋体"/>
          <w:color w:val="auto"/>
          <w:sz w:val="24"/>
          <w:szCs w:val="28"/>
          <w:highlight w:val="none"/>
          <w:lang w:eastAsia="zh-CN"/>
        </w:rPr>
        <w:t>江苏省丹阳高级中学老校区体育馆屋顶修缮项目</w:t>
      </w:r>
      <w:r>
        <w:rPr>
          <w:rFonts w:hint="eastAsia" w:ascii="宋体" w:hAnsi="宋体"/>
          <w:color w:val="auto"/>
          <w:sz w:val="24"/>
          <w:szCs w:val="28"/>
          <w:highlight w:val="none"/>
          <w:lang w:val="en-US" w:eastAsia="zh-CN"/>
        </w:rPr>
        <w:t xml:space="preserve"> JSZC-321181-DYWX-C2026-0010 采购</w:t>
      </w:r>
      <w:r>
        <w:rPr>
          <w:rFonts w:hint="eastAsia" w:ascii="宋体" w:hAnsi="宋体"/>
          <w:color w:val="auto"/>
          <w:sz w:val="24"/>
          <w:szCs w:val="28"/>
          <w:highlight w:val="none"/>
        </w:rPr>
        <w:t>项目的潜在供应商应在江苏政府采购网-苏采云电子交易平台 获取</w:t>
      </w:r>
      <w:r>
        <w:rPr>
          <w:rFonts w:hint="eastAsia" w:ascii="宋体" w:hAnsi="宋体"/>
          <w:color w:val="auto"/>
          <w:sz w:val="24"/>
          <w:szCs w:val="28"/>
          <w:highlight w:val="none"/>
          <w:lang w:eastAsia="zh-CN"/>
        </w:rPr>
        <w:t>采购</w:t>
      </w:r>
      <w:r>
        <w:rPr>
          <w:rFonts w:hint="eastAsia" w:ascii="宋体" w:hAnsi="宋体"/>
          <w:color w:val="auto"/>
          <w:sz w:val="24"/>
          <w:szCs w:val="28"/>
          <w:highlight w:val="none"/>
        </w:rPr>
        <w:t>文件，并于</w:t>
      </w:r>
      <w:bookmarkStart w:id="7" w:name="EBa2e9efed1bd249f6967eff74ca5f9fe3"/>
      <w:r>
        <w:rPr>
          <w:rFonts w:hint="eastAsia" w:ascii="宋体" w:hAnsi="宋体"/>
          <w:color w:val="auto"/>
          <w:sz w:val="24"/>
          <w:szCs w:val="28"/>
          <w:highlight w:val="none"/>
          <w:lang w:val="en-US" w:eastAsia="zh-CN"/>
        </w:rPr>
        <w:t>2026</w:t>
      </w: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6</w:t>
      </w: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 xml:space="preserve">16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w:t>
      </w:r>
      <w:r>
        <w:rPr>
          <w:rFonts w:hint="eastAsia" w:ascii="宋体" w:hAnsi="宋体"/>
          <w:color w:val="auto"/>
          <w:sz w:val="24"/>
          <w:szCs w:val="28"/>
          <w:highlight w:val="none"/>
        </w:rPr>
        <w:t>30</w:t>
      </w:r>
      <w:bookmarkEnd w:id="7"/>
      <w:r>
        <w:rPr>
          <w:rFonts w:hint="eastAsia" w:ascii="宋体" w:hAnsi="宋体"/>
          <w:color w:val="auto"/>
          <w:sz w:val="24"/>
          <w:szCs w:val="28"/>
          <w:highlight w:val="none"/>
        </w:rPr>
        <w:t>（</w:t>
      </w:r>
      <w:r>
        <w:rPr>
          <w:rFonts w:hint="eastAsia" w:ascii="宋体" w:hAnsi="宋体"/>
          <w:bCs/>
          <w:color w:val="auto"/>
          <w:sz w:val="24"/>
          <w:szCs w:val="28"/>
          <w:highlight w:val="none"/>
        </w:rPr>
        <w:t>北京时间）前递交响应文件</w:t>
      </w:r>
      <w:r>
        <w:rPr>
          <w:rFonts w:hint="eastAsia" w:ascii="宋体" w:hAnsi="宋体"/>
          <w:color w:val="auto"/>
          <w:sz w:val="24"/>
          <w:szCs w:val="28"/>
          <w:highlight w:val="none"/>
        </w:rPr>
        <w:t>。</w:t>
      </w:r>
    </w:p>
    <w:p w14:paraId="76A16CD3">
      <w:pPr>
        <w:pStyle w:val="189"/>
        <w:keepNext/>
        <w:keepLines/>
        <w:pageBreakBefore w:val="0"/>
        <w:widowControl w:val="0"/>
        <w:spacing w:before="157" w:after="10" w:line="360" w:lineRule="auto"/>
        <w:jc w:val="left"/>
        <w:rPr>
          <w:rFonts w:ascii="宋体" w:hAnsi="宋体" w:eastAsia="宋体"/>
          <w:b/>
          <w:bCs/>
          <w:color w:val="auto"/>
          <w:highlight w:val="none"/>
        </w:rPr>
      </w:pPr>
      <w:bookmarkStart w:id="8" w:name="_Toc73364844"/>
      <w:bookmarkStart w:id="9" w:name="_Toc8340"/>
      <w:bookmarkStart w:id="10" w:name="_Toc73365457"/>
      <w:r>
        <w:rPr>
          <w:rFonts w:hint="eastAsia" w:ascii="宋体" w:hAnsi="宋体" w:eastAsia="宋体"/>
          <w:b/>
          <w:bCs/>
          <w:color w:val="auto"/>
          <w:highlight w:val="none"/>
        </w:rPr>
        <w:t>一、项目基本情况</w:t>
      </w:r>
      <w:bookmarkEnd w:id="8"/>
      <w:bookmarkEnd w:id="9"/>
      <w:bookmarkEnd w:id="10"/>
    </w:p>
    <w:p w14:paraId="581D0EB5">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项目编号：</w:t>
      </w:r>
      <w:r>
        <w:rPr>
          <w:rFonts w:hint="eastAsia" w:ascii="宋体" w:hAnsi="宋体"/>
          <w:color w:val="auto"/>
          <w:sz w:val="24"/>
          <w:szCs w:val="28"/>
          <w:highlight w:val="none"/>
          <w:lang w:eastAsia="zh-CN"/>
        </w:rPr>
        <w:t>JSZC-321181-DYWX-C2026-0010</w:t>
      </w:r>
    </w:p>
    <w:p w14:paraId="30BE22F5">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项目名称：</w:t>
      </w:r>
      <w:r>
        <w:rPr>
          <w:rFonts w:hint="eastAsia" w:ascii="宋体" w:hAnsi="宋体"/>
          <w:color w:val="auto"/>
          <w:sz w:val="24"/>
          <w:szCs w:val="28"/>
          <w:highlight w:val="none"/>
          <w:lang w:eastAsia="zh-CN"/>
        </w:rPr>
        <w:t>江苏省丹阳高级中学老校区体育馆屋顶修缮项目</w:t>
      </w:r>
      <w:r>
        <w:rPr>
          <w:rFonts w:ascii="宋体" w:hAnsi="宋体"/>
          <w:color w:val="auto"/>
          <w:sz w:val="24"/>
          <w:szCs w:val="28"/>
          <w:highlight w:val="none"/>
        </w:rPr>
        <w:t xml:space="preserve"> </w:t>
      </w:r>
    </w:p>
    <w:p w14:paraId="758B7611">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预算金额：</w:t>
      </w:r>
      <w:r>
        <w:rPr>
          <w:rFonts w:hint="eastAsia" w:ascii="宋体" w:hAnsi="宋体"/>
          <w:color w:val="auto"/>
          <w:sz w:val="24"/>
          <w:szCs w:val="28"/>
          <w:highlight w:val="none"/>
          <w:lang w:eastAsia="zh-CN"/>
        </w:rPr>
        <w:t>1802200.74元</w:t>
      </w:r>
    </w:p>
    <w:p w14:paraId="7EAB5E7A">
      <w:pPr>
        <w:spacing w:line="360" w:lineRule="auto"/>
        <w:ind w:firstLine="480"/>
        <w:rPr>
          <w:rFonts w:hint="eastAsia"/>
          <w:color w:val="auto"/>
          <w:highlight w:val="none"/>
        </w:rPr>
      </w:pPr>
      <w:r>
        <w:rPr>
          <w:rFonts w:hint="eastAsia" w:ascii="宋体" w:hAnsi="宋体"/>
          <w:color w:val="auto"/>
          <w:sz w:val="24"/>
          <w:szCs w:val="28"/>
          <w:highlight w:val="none"/>
          <w:lang w:eastAsia="zh-CN"/>
        </w:rPr>
        <w:t>最高限价：1802200.74元</w:t>
      </w:r>
      <w:r>
        <w:rPr>
          <w:rFonts w:hint="eastAsia" w:ascii="宋体" w:hAnsi="宋体"/>
          <w:color w:val="auto"/>
          <w:sz w:val="24"/>
          <w:szCs w:val="28"/>
          <w:highlight w:val="none"/>
        </w:rPr>
        <w:t>，超过最高限价的为无效报价，按无效响应处理。</w:t>
      </w:r>
    </w:p>
    <w:p w14:paraId="5CFFAD4E">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采购需求：</w:t>
      </w:r>
      <w:bookmarkStart w:id="11" w:name="EB5d98601673ee4dabb6909c42181f9c92"/>
      <w:r>
        <w:rPr>
          <w:rFonts w:hint="eastAsia" w:ascii="宋体" w:hAnsi="宋体"/>
          <w:color w:val="auto"/>
          <w:sz w:val="24"/>
          <w:szCs w:val="28"/>
          <w:highlight w:val="none"/>
          <w:lang w:eastAsia="zh-CN"/>
        </w:rPr>
        <w:t>主要内容为拆除原体院馆原网架金属压型屋面板、原屋面天沟及落水管、旧镀锌檩条等屋面构件；重新安装檩条、屋面板；加固其网架结构；拆除二楼篮球场区域地板，重新铺贴新地板。</w:t>
      </w:r>
      <w:r>
        <w:rPr>
          <w:rFonts w:hint="eastAsia" w:ascii="宋体" w:hAnsi="宋体"/>
          <w:color w:val="auto"/>
          <w:sz w:val="24"/>
          <w:szCs w:val="28"/>
          <w:highlight w:val="none"/>
        </w:rPr>
        <w:t>详细内容及要求</w:t>
      </w:r>
      <w:r>
        <w:rPr>
          <w:rFonts w:hint="eastAsia" w:ascii="宋体" w:hAnsi="宋体"/>
          <w:color w:val="auto"/>
          <w:sz w:val="24"/>
          <w:szCs w:val="28"/>
          <w:highlight w:val="none"/>
          <w:lang w:eastAsia="zh-CN"/>
        </w:rPr>
        <w:t>详</w:t>
      </w:r>
      <w:r>
        <w:rPr>
          <w:rFonts w:hint="eastAsia" w:ascii="宋体" w:hAnsi="宋体"/>
          <w:color w:val="auto"/>
          <w:sz w:val="24"/>
          <w:szCs w:val="28"/>
          <w:highlight w:val="none"/>
        </w:rPr>
        <w:t>见</w:t>
      </w:r>
      <w:r>
        <w:rPr>
          <w:rFonts w:hint="eastAsia" w:ascii="宋体" w:hAnsi="宋体"/>
          <w:color w:val="auto"/>
          <w:sz w:val="24"/>
          <w:szCs w:val="28"/>
          <w:highlight w:val="none"/>
          <w:lang w:eastAsia="zh-CN"/>
        </w:rPr>
        <w:t>采购文件</w:t>
      </w:r>
      <w:r>
        <w:rPr>
          <w:rFonts w:hint="eastAsia" w:ascii="宋体" w:hAnsi="宋体"/>
          <w:color w:val="auto"/>
          <w:sz w:val="24"/>
          <w:szCs w:val="28"/>
          <w:highlight w:val="none"/>
        </w:rPr>
        <w:t>。</w:t>
      </w:r>
      <w:bookmarkEnd w:id="11"/>
    </w:p>
    <w:p w14:paraId="0676F09A">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合同履行期限：</w:t>
      </w:r>
      <w:r>
        <w:rPr>
          <w:rFonts w:hint="eastAsia" w:ascii="宋体" w:hAnsi="宋体"/>
          <w:color w:val="auto"/>
          <w:sz w:val="24"/>
          <w:szCs w:val="28"/>
          <w:highlight w:val="none"/>
          <w:lang w:val="en-US" w:eastAsia="zh-CN"/>
        </w:rPr>
        <w:t>50日历天</w:t>
      </w:r>
    </w:p>
    <w:p w14:paraId="112BA09A">
      <w:pPr>
        <w:spacing w:line="360" w:lineRule="auto"/>
        <w:ind w:firstLine="480"/>
        <w:rPr>
          <w:color w:val="auto"/>
          <w:highlight w:val="none"/>
        </w:rPr>
      </w:pPr>
      <w:r>
        <w:rPr>
          <w:rFonts w:hint="eastAsia" w:ascii="宋体" w:hAnsi="宋体"/>
          <w:color w:val="auto"/>
          <w:sz w:val="24"/>
          <w:highlight w:val="none"/>
        </w:rPr>
        <w:t>本项目是否接受联合体：</w:t>
      </w:r>
      <w:r>
        <w:rPr>
          <w:rFonts w:hint="eastAsia" w:ascii="宋体" w:hAnsi="宋体"/>
          <w:color w:val="auto"/>
          <w:sz w:val="24"/>
          <w:szCs w:val="28"/>
          <w:highlight w:val="none"/>
        </w:rPr>
        <w:t>不接受</w:t>
      </w:r>
    </w:p>
    <w:p w14:paraId="2A222DCE">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12" w:name="_Toc3214"/>
      <w:bookmarkStart w:id="13" w:name="_Toc73365458"/>
      <w:bookmarkStart w:id="14" w:name="_Toc73364845"/>
      <w:r>
        <w:rPr>
          <w:rFonts w:hint="eastAsia" w:ascii="宋体" w:hAnsi="宋体" w:eastAsia="宋体" w:cs="Times New Roman"/>
          <w:b/>
          <w:bCs/>
          <w:color w:val="auto"/>
          <w:highlight w:val="none"/>
        </w:rPr>
        <w:t>二、申请人的资格要求：</w:t>
      </w:r>
      <w:bookmarkEnd w:id="12"/>
      <w:bookmarkEnd w:id="13"/>
      <w:bookmarkEnd w:id="14"/>
    </w:p>
    <w:p w14:paraId="452D1A00">
      <w:pPr>
        <w:keepNext w:val="0"/>
        <w:keepLines w:val="0"/>
        <w:pageBreakBefore w:val="0"/>
        <w:widowControl w:val="0"/>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1. 满足《中华人民共和国政府采购法》第二十二条规定</w:t>
      </w:r>
      <w:r>
        <w:rPr>
          <w:rFonts w:hint="eastAsia" w:ascii="宋体" w:hAnsi="宋体"/>
          <w:color w:val="auto"/>
          <w:sz w:val="24"/>
          <w:szCs w:val="28"/>
          <w:highlight w:val="none"/>
          <w:lang w:eastAsia="zh-CN"/>
        </w:rPr>
        <w:t>：</w:t>
      </w:r>
    </w:p>
    <w:p w14:paraId="6ED39F30">
      <w:pPr>
        <w:keepNext w:val="0"/>
        <w:keepLines w:val="0"/>
        <w:pageBreakBefore w:val="0"/>
        <w:widowControl w:val="0"/>
        <w:spacing w:line="360" w:lineRule="auto"/>
        <w:ind w:firstLine="480"/>
        <w:rPr>
          <w:rFonts w:ascii="宋体" w:hAnsi="宋体"/>
          <w:color w:val="auto"/>
          <w:sz w:val="24"/>
          <w:szCs w:val="28"/>
          <w:highlight w:val="none"/>
        </w:rPr>
      </w:pPr>
      <w:bookmarkStart w:id="15" w:name="EBc1bc06189b4a41ccac26e04e92f3d69f"/>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1</w:t>
      </w:r>
      <w:r>
        <w:rPr>
          <w:rFonts w:hint="eastAsia" w:ascii="宋体" w:hAnsi="宋体"/>
          <w:color w:val="auto"/>
          <w:sz w:val="24"/>
          <w:szCs w:val="28"/>
          <w:highlight w:val="none"/>
          <w:lang w:eastAsia="zh-CN"/>
        </w:rPr>
        <w:t>）</w:t>
      </w:r>
      <w:r>
        <w:rPr>
          <w:rFonts w:hint="eastAsia" w:ascii="宋体" w:hAnsi="宋体"/>
          <w:color w:val="auto"/>
          <w:sz w:val="24"/>
          <w:szCs w:val="28"/>
          <w:highlight w:val="none"/>
        </w:rPr>
        <w:t>具有独立承担民事责任的能力；</w:t>
      </w:r>
    </w:p>
    <w:p w14:paraId="3AB2D8D5">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2</w:t>
      </w:r>
      <w:r>
        <w:rPr>
          <w:rFonts w:hint="eastAsia" w:ascii="宋体" w:hAnsi="宋体"/>
          <w:color w:val="auto"/>
          <w:sz w:val="24"/>
          <w:szCs w:val="28"/>
          <w:highlight w:val="none"/>
          <w:lang w:eastAsia="zh-CN"/>
        </w:rPr>
        <w:t>）</w:t>
      </w:r>
      <w:r>
        <w:rPr>
          <w:rFonts w:hint="eastAsia" w:ascii="宋体" w:hAnsi="宋体"/>
          <w:color w:val="auto"/>
          <w:sz w:val="24"/>
          <w:szCs w:val="28"/>
          <w:highlight w:val="none"/>
        </w:rPr>
        <w:t>具有良好的商业信誉和健全的财务会计制度；</w:t>
      </w:r>
    </w:p>
    <w:p w14:paraId="31B12025">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3</w:t>
      </w:r>
      <w:r>
        <w:rPr>
          <w:rFonts w:hint="eastAsia" w:ascii="宋体" w:hAnsi="宋体"/>
          <w:color w:val="auto"/>
          <w:sz w:val="24"/>
          <w:szCs w:val="28"/>
          <w:highlight w:val="none"/>
          <w:lang w:eastAsia="zh-CN"/>
        </w:rPr>
        <w:t>）</w:t>
      </w:r>
      <w:r>
        <w:rPr>
          <w:rFonts w:hint="eastAsia" w:ascii="宋体" w:hAnsi="宋体"/>
          <w:color w:val="auto"/>
          <w:sz w:val="24"/>
          <w:szCs w:val="28"/>
          <w:highlight w:val="none"/>
        </w:rPr>
        <w:t>具有履行合同所必需的设备和专业技术能力；</w:t>
      </w:r>
    </w:p>
    <w:p w14:paraId="6B796BB4">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4</w:t>
      </w:r>
      <w:r>
        <w:rPr>
          <w:rFonts w:hint="eastAsia" w:ascii="宋体" w:hAnsi="宋体"/>
          <w:color w:val="auto"/>
          <w:sz w:val="24"/>
          <w:szCs w:val="28"/>
          <w:highlight w:val="none"/>
          <w:lang w:eastAsia="zh-CN"/>
        </w:rPr>
        <w:t>）</w:t>
      </w:r>
      <w:r>
        <w:rPr>
          <w:rFonts w:hint="eastAsia" w:ascii="宋体" w:hAnsi="宋体"/>
          <w:color w:val="auto"/>
          <w:sz w:val="24"/>
          <w:szCs w:val="28"/>
          <w:highlight w:val="none"/>
        </w:rPr>
        <w:t>有依法缴纳税收和社会保障资金的良好记录；</w:t>
      </w:r>
    </w:p>
    <w:p w14:paraId="2AAFCF9D">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5</w:t>
      </w:r>
      <w:r>
        <w:rPr>
          <w:rFonts w:hint="eastAsia" w:ascii="宋体" w:hAnsi="宋体"/>
          <w:color w:val="auto"/>
          <w:sz w:val="24"/>
          <w:szCs w:val="28"/>
          <w:highlight w:val="none"/>
          <w:lang w:eastAsia="zh-CN"/>
        </w:rPr>
        <w:t>）</w:t>
      </w:r>
      <w:r>
        <w:rPr>
          <w:rFonts w:hint="eastAsia" w:ascii="宋体" w:hAnsi="宋体"/>
          <w:color w:val="auto"/>
          <w:sz w:val="24"/>
          <w:szCs w:val="28"/>
          <w:highlight w:val="none"/>
        </w:rPr>
        <w:t>参加政府采购活动前三年内，在经营活动中没有重大违法记录；</w:t>
      </w:r>
    </w:p>
    <w:p w14:paraId="2CAC2B1B">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6</w:t>
      </w:r>
      <w:r>
        <w:rPr>
          <w:rFonts w:hint="eastAsia" w:ascii="宋体" w:hAnsi="宋体"/>
          <w:color w:val="auto"/>
          <w:sz w:val="24"/>
          <w:szCs w:val="28"/>
          <w:highlight w:val="none"/>
          <w:lang w:eastAsia="zh-CN"/>
        </w:rPr>
        <w:t>）</w:t>
      </w:r>
      <w:r>
        <w:rPr>
          <w:rFonts w:hint="eastAsia" w:ascii="宋体" w:hAnsi="宋体"/>
          <w:color w:val="auto"/>
          <w:sz w:val="24"/>
          <w:szCs w:val="28"/>
          <w:highlight w:val="none"/>
        </w:rPr>
        <w:t>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p>
    <w:p w14:paraId="527A9B34">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p>
    <w:p w14:paraId="696F873F">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3.本项目的特定资格要求：</w:t>
      </w:r>
      <w:bookmarkEnd w:id="15"/>
    </w:p>
    <w:p w14:paraId="718B205B">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w:t>
      </w:r>
      <w:r>
        <w:rPr>
          <w:rFonts w:hint="eastAsia" w:ascii="宋体" w:hAnsi="宋体" w:eastAsia="宋体" w:cs="Times New Roman"/>
          <w:color w:val="auto"/>
          <w:sz w:val="24"/>
          <w:szCs w:val="28"/>
          <w:highlight w:val="none"/>
          <w:lang w:val="en-US" w:eastAsia="zh-CN"/>
        </w:rPr>
        <w:t>1</w:t>
      </w:r>
      <w:r>
        <w:rPr>
          <w:rFonts w:hint="eastAsia" w:ascii="宋体" w:hAnsi="宋体" w:eastAsia="宋体" w:cs="Times New Roman"/>
          <w:color w:val="auto"/>
          <w:sz w:val="24"/>
          <w:szCs w:val="28"/>
          <w:highlight w:val="none"/>
          <w:lang w:eastAsia="zh-CN"/>
        </w:rPr>
        <w:t>）</w:t>
      </w:r>
      <w:r>
        <w:rPr>
          <w:rFonts w:hint="eastAsia" w:ascii="宋体" w:hAnsi="宋体"/>
          <w:color w:val="auto"/>
          <w:sz w:val="24"/>
          <w:szCs w:val="28"/>
          <w:highlight w:val="none"/>
          <w:lang w:eastAsia="zh-CN"/>
        </w:rPr>
        <w:t>投标人须具有建筑工程施工总承包三级及以上资质（响应文件递交截止时间当日，建筑业企业资质动态监管结果未处于不合格状态，否则视为无效）、建设行政主管部门颁发的安全生产许可证。（提供企业有效的资质证书及安全生产许可证）</w:t>
      </w:r>
    </w:p>
    <w:p w14:paraId="5554962E">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（2）</w:t>
      </w:r>
      <w:r>
        <w:rPr>
          <w:rFonts w:hint="eastAsia" w:ascii="宋体" w:hAnsi="宋体" w:eastAsia="宋体" w:cs="Times New Roman"/>
          <w:color w:val="auto"/>
          <w:sz w:val="24"/>
          <w:szCs w:val="28"/>
          <w:highlight w:val="none"/>
          <w:lang w:eastAsia="zh-CN"/>
        </w:rPr>
        <w:t>拟派项目负责人具备</w:t>
      </w:r>
      <w:r>
        <w:rPr>
          <w:rFonts w:hint="eastAsia" w:ascii="宋体" w:hAnsi="宋体" w:cs="Times New Roman"/>
          <w:color w:val="auto"/>
          <w:sz w:val="24"/>
          <w:szCs w:val="28"/>
          <w:highlight w:val="none"/>
          <w:lang w:eastAsia="zh-CN"/>
        </w:rPr>
        <w:t>建筑工程二级</w:t>
      </w:r>
      <w:r>
        <w:rPr>
          <w:rFonts w:hint="eastAsia" w:ascii="宋体" w:hAnsi="宋体" w:eastAsia="宋体" w:cs="Times New Roman"/>
          <w:color w:val="auto"/>
          <w:sz w:val="24"/>
          <w:szCs w:val="28"/>
          <w:highlight w:val="none"/>
          <w:lang w:eastAsia="zh-CN"/>
        </w:rPr>
        <w:t>及以上注册建造师、</w:t>
      </w:r>
      <w:r>
        <w:rPr>
          <w:rFonts w:hint="eastAsia" w:ascii="宋体" w:hAnsi="宋体" w:cs="Times New Roman"/>
          <w:color w:val="auto"/>
          <w:sz w:val="24"/>
          <w:szCs w:val="28"/>
          <w:highlight w:val="none"/>
          <w:lang w:eastAsia="zh-CN"/>
        </w:rPr>
        <w:t>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无在建</w:t>
      </w:r>
      <w:r>
        <w:rPr>
          <w:rFonts w:hint="eastAsia" w:ascii="宋体" w:hAnsi="宋体" w:cs="Times New Roman"/>
          <w:color w:val="auto"/>
          <w:sz w:val="24"/>
          <w:szCs w:val="28"/>
          <w:highlight w:val="none"/>
          <w:lang w:val="en-US" w:eastAsia="zh-CN"/>
        </w:rPr>
        <w:t>工程</w:t>
      </w:r>
      <w:r>
        <w:rPr>
          <w:rFonts w:hint="eastAsia" w:ascii="宋体" w:hAnsi="宋体" w:eastAsia="宋体" w:cs="Times New Roman"/>
          <w:color w:val="auto"/>
          <w:sz w:val="24"/>
          <w:szCs w:val="28"/>
          <w:highlight w:val="none"/>
          <w:lang w:eastAsia="zh-CN"/>
        </w:rPr>
        <w:t>。（提供拟派项目负责人有效的建造师注册证书、安全生产考核合格B类证书）</w:t>
      </w:r>
    </w:p>
    <w:p w14:paraId="2A97078E">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（3）投标人为拟派项目负责人缴纳</w:t>
      </w:r>
      <w:r>
        <w:rPr>
          <w:rFonts w:hint="eastAsia" w:ascii="宋体" w:hAnsi="宋体" w:cs="Times New Roman"/>
          <w:color w:val="auto"/>
          <w:sz w:val="24"/>
          <w:szCs w:val="28"/>
          <w:highlight w:val="none"/>
          <w:lang w:val="en-US" w:eastAsia="zh-CN"/>
        </w:rPr>
        <w:t>2026年5月</w:t>
      </w:r>
      <w:r>
        <w:rPr>
          <w:rFonts w:hint="eastAsia" w:ascii="宋体" w:hAnsi="宋体" w:eastAsia="宋体" w:cs="Times New Roman"/>
          <w:color w:val="auto"/>
          <w:sz w:val="24"/>
          <w:szCs w:val="28"/>
          <w:highlight w:val="none"/>
          <w:lang w:val="en-US" w:eastAsia="zh-CN"/>
        </w:rPr>
        <w:t>社会保险证明</w:t>
      </w:r>
      <w:r>
        <w:rPr>
          <w:rFonts w:hint="eastAsia" w:ascii="宋体" w:hAnsi="宋体" w:eastAsia="宋体" w:cs="Times New Roman"/>
          <w:color w:val="auto"/>
          <w:sz w:val="24"/>
          <w:szCs w:val="28"/>
          <w:highlight w:val="none"/>
          <w:lang w:eastAsia="zh-CN"/>
        </w:rPr>
        <w:t>。</w:t>
      </w:r>
      <w:r>
        <w:rPr>
          <w:rFonts w:hint="eastAsia" w:ascii="宋体" w:hAnsi="宋体" w:eastAsia="宋体" w:cs="Times New Roman"/>
          <w:color w:val="auto"/>
          <w:sz w:val="24"/>
          <w:szCs w:val="28"/>
          <w:highlight w:val="none"/>
          <w:lang w:val="en-US" w:eastAsia="zh-CN"/>
        </w:rPr>
        <w:t>（提供为拟派项目负责人缴纳的</w:t>
      </w:r>
      <w:r>
        <w:rPr>
          <w:rFonts w:hint="eastAsia" w:ascii="宋体" w:hAnsi="宋体" w:cs="Times New Roman"/>
          <w:color w:val="auto"/>
          <w:sz w:val="24"/>
          <w:szCs w:val="28"/>
          <w:highlight w:val="none"/>
          <w:lang w:val="en-US" w:eastAsia="zh-CN"/>
        </w:rPr>
        <w:t>2026年5月</w:t>
      </w:r>
      <w:r>
        <w:rPr>
          <w:rFonts w:hint="eastAsia" w:ascii="宋体" w:hAnsi="宋体" w:eastAsia="宋体" w:cs="Times New Roman"/>
          <w:color w:val="auto"/>
          <w:sz w:val="24"/>
          <w:szCs w:val="28"/>
          <w:highlight w:val="none"/>
          <w:lang w:val="en-US" w:eastAsia="zh-CN"/>
        </w:rPr>
        <w:t>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p>
    <w:p w14:paraId="50D95A07">
      <w:pPr>
        <w:keepNext w:val="0"/>
        <w:keepLines w:val="0"/>
        <w:pageBreakBefore w:val="0"/>
        <w:widowControl w:val="0"/>
        <w:spacing w:line="360" w:lineRule="auto"/>
        <w:ind w:firstLine="480"/>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（4）</w:t>
      </w:r>
      <w:r>
        <w:rPr>
          <w:rFonts w:hint="eastAsia" w:ascii="宋体" w:hAnsi="宋体" w:eastAsia="宋体" w:cs="Times New Roman"/>
          <w:color w:val="auto"/>
          <w:sz w:val="24"/>
          <w:szCs w:val="28"/>
          <w:highlight w:val="none"/>
          <w:lang w:eastAsia="zh-CN"/>
        </w:rPr>
        <w:t>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p>
    <w:p w14:paraId="1FCE9754">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16" w:name="_Toc12042"/>
      <w:bookmarkStart w:id="17" w:name="_Toc73364846"/>
      <w:bookmarkStart w:id="18" w:name="_Toc73365459"/>
      <w:r>
        <w:rPr>
          <w:rFonts w:hint="eastAsia" w:ascii="宋体" w:hAnsi="宋体" w:eastAsia="宋体" w:cs="Times New Roman"/>
          <w:b/>
          <w:bCs/>
          <w:color w:val="auto"/>
          <w:highlight w:val="none"/>
        </w:rPr>
        <w:t>三、获取磋商文件</w:t>
      </w:r>
      <w:bookmarkEnd w:id="16"/>
      <w:bookmarkEnd w:id="17"/>
      <w:bookmarkEnd w:id="18"/>
    </w:p>
    <w:p w14:paraId="61BC8E5B">
      <w:pPr>
        <w:pageBreakBefore w:val="0"/>
        <w:widowControl w:val="0"/>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间：自磋商文件公告发布之日起5个工作日</w:t>
      </w:r>
    </w:p>
    <w:p w14:paraId="7575947E">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点：江苏政府采购网-苏采云平台</w:t>
      </w:r>
    </w:p>
    <w:p w14:paraId="37AF45B7">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式：在线获取</w:t>
      </w:r>
    </w:p>
    <w:p w14:paraId="42246976">
      <w:pPr>
        <w:keepNext w:val="0"/>
        <w:keepLines w:val="0"/>
        <w:pageBreakBefore w:val="0"/>
        <w:widowControl w:val="0"/>
        <w:spacing w:line="360" w:lineRule="auto"/>
        <w:ind w:firstLine="480"/>
        <w:rPr>
          <w:color w:val="auto"/>
          <w:sz w:val="22"/>
          <w:szCs w:val="22"/>
          <w:highlight w:val="none"/>
        </w:rPr>
      </w:pPr>
      <w:r>
        <w:rPr>
          <w:rFonts w:hint="eastAsia" w:ascii="宋体" w:hAnsi="宋体" w:eastAsia="宋体" w:cs="Times New Roman"/>
          <w:color w:val="auto"/>
          <w:sz w:val="24"/>
          <w:szCs w:val="28"/>
          <w:highlight w:val="none"/>
          <w:lang w:val="en-US" w:eastAsia="zh-CN"/>
        </w:rPr>
        <w:t>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价：0.00元</w:t>
      </w:r>
    </w:p>
    <w:p w14:paraId="7A637331">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19" w:name="_Toc15434"/>
      <w:r>
        <w:rPr>
          <w:rFonts w:hint="eastAsia" w:ascii="宋体" w:hAnsi="宋体" w:eastAsia="宋体" w:cs="Times New Roman"/>
          <w:b/>
          <w:bCs/>
          <w:color w:val="auto"/>
          <w:highlight w:val="none"/>
        </w:rPr>
        <w:t>四、响应文件提交</w:t>
      </w:r>
      <w:bookmarkEnd w:id="19"/>
    </w:p>
    <w:p w14:paraId="1298B254">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截止时间：</w:t>
      </w:r>
      <w:r>
        <w:rPr>
          <w:rFonts w:hint="eastAsia" w:ascii="宋体" w:hAnsi="宋体" w:cs="Times New Roman"/>
          <w:color w:val="auto"/>
          <w:sz w:val="24"/>
          <w:szCs w:val="28"/>
          <w:highlight w:val="none"/>
          <w:lang w:val="en-US" w:eastAsia="zh-CN"/>
        </w:rPr>
        <w:t>2026</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6</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16</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val="en-US" w:eastAsia="zh-CN"/>
        </w:rPr>
        <w:t>30（北京时间）</w:t>
      </w:r>
    </w:p>
    <w:p w14:paraId="681057DB">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点：江苏政府采购网-苏采云平台在线提交</w:t>
      </w:r>
    </w:p>
    <w:p w14:paraId="6186E2CB">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20" w:name="_Toc32414"/>
      <w:r>
        <w:rPr>
          <w:rFonts w:hint="eastAsia" w:ascii="宋体" w:hAnsi="宋体" w:eastAsia="宋体" w:cs="Times New Roman"/>
          <w:b/>
          <w:bCs/>
          <w:color w:val="auto"/>
          <w:highlight w:val="none"/>
        </w:rPr>
        <w:t>五、开启</w:t>
      </w:r>
      <w:bookmarkEnd w:id="20"/>
    </w:p>
    <w:p w14:paraId="4AB936FF">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间：</w:t>
      </w:r>
      <w:r>
        <w:rPr>
          <w:rFonts w:hint="eastAsia" w:ascii="宋体" w:hAnsi="宋体" w:cs="Times New Roman"/>
          <w:color w:val="auto"/>
          <w:sz w:val="24"/>
          <w:szCs w:val="28"/>
          <w:highlight w:val="none"/>
          <w:lang w:val="en-US" w:eastAsia="zh-CN"/>
        </w:rPr>
        <w:t>2026</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6</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16</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val="en-US" w:eastAsia="zh-CN"/>
        </w:rPr>
        <w:t>30（北京时间）</w:t>
      </w:r>
    </w:p>
    <w:p w14:paraId="1017B81E">
      <w:pPr>
        <w:keepNext w:val="0"/>
        <w:keepLines w:val="0"/>
        <w:pageBreakBefore w:val="0"/>
        <w:widowControl w:val="0"/>
        <w:spacing w:line="360" w:lineRule="auto"/>
        <w:ind w:firstLine="480"/>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w:t>
      </w:r>
      <w:r>
        <w:rPr>
          <w:rFonts w:hint="eastAsia" w:ascii="宋体" w:hAnsi="宋体" w:cs="Times New Roman"/>
          <w:color w:val="auto"/>
          <w:sz w:val="24"/>
          <w:szCs w:val="28"/>
          <w:highlight w:val="none"/>
          <w:lang w:val="en-US" w:eastAsia="zh-CN"/>
        </w:rPr>
        <w:t>见证室一</w:t>
      </w:r>
    </w:p>
    <w:p w14:paraId="299DEEF8">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21" w:name="_Toc24794"/>
      <w:r>
        <w:rPr>
          <w:rFonts w:hint="eastAsia" w:ascii="宋体" w:hAnsi="宋体" w:eastAsia="宋体" w:cs="Times New Roman"/>
          <w:b/>
          <w:bCs/>
          <w:color w:val="auto"/>
          <w:highlight w:val="none"/>
        </w:rPr>
        <w:t>六、公告期限</w:t>
      </w:r>
      <w:bookmarkEnd w:id="21"/>
    </w:p>
    <w:p w14:paraId="3ED551E7">
      <w:pPr>
        <w:keepNext w:val="0"/>
        <w:keepLines w:val="0"/>
        <w:pageBreakBefore w:val="0"/>
        <w:widowControl w:val="0"/>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自本公告发布之日起3个工作日。</w:t>
      </w:r>
    </w:p>
    <w:p w14:paraId="2941EA54">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22" w:name="_Toc18482"/>
      <w:bookmarkStart w:id="23" w:name="_Toc73365463"/>
      <w:bookmarkStart w:id="24" w:name="_Toc73364850"/>
      <w:r>
        <w:rPr>
          <w:rFonts w:hint="eastAsia" w:ascii="宋体" w:hAnsi="宋体" w:eastAsia="宋体" w:cs="Times New Roman"/>
          <w:b/>
          <w:bCs/>
          <w:color w:val="auto"/>
          <w:highlight w:val="none"/>
          <w:lang w:eastAsia="zh-CN"/>
        </w:rPr>
        <w:t>七</w:t>
      </w:r>
      <w:r>
        <w:rPr>
          <w:rFonts w:hint="eastAsia" w:ascii="宋体" w:hAnsi="宋体" w:eastAsia="宋体" w:cs="Times New Roman"/>
          <w:b/>
          <w:bCs/>
          <w:color w:val="auto"/>
          <w:highlight w:val="none"/>
        </w:rPr>
        <w:t>、其他补充事宜</w:t>
      </w:r>
      <w:bookmarkEnd w:id="22"/>
      <w:bookmarkEnd w:id="23"/>
      <w:bookmarkEnd w:id="24"/>
    </w:p>
    <w:p w14:paraId="0E71CC1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（一）采购文件获取的具体方式</w:t>
      </w:r>
    </w:p>
    <w:p w14:paraId="3740EDE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潜在投标人访问电子招标投标交易平台的网络地址和方法：</w:t>
      </w:r>
    </w:p>
    <w:p w14:paraId="40C3B5E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（1）</w:t>
      </w:r>
      <w:r>
        <w:rPr>
          <w:rFonts w:hint="eastAsia" w:ascii="宋体" w:hAnsi="宋体" w:cs="宋体"/>
          <w:color w:val="auto"/>
          <w:sz w:val="24"/>
          <w:highlight w:val="none"/>
          <w:lang w:eastAsia="zh-CN"/>
        </w:rPr>
        <w:t>进入江苏政府采购网首页</w:t>
      </w:r>
      <w:r>
        <w:rPr>
          <w:rFonts w:ascii="宋体" w:hAnsi="宋体" w:eastAsia="宋体" w:cs="宋体"/>
          <w:color w:val="auto"/>
          <w:sz w:val="24"/>
          <w:highlight w:val="none"/>
        </w:rPr>
        <w:t>点击“苏采云”进入系统。</w:t>
      </w:r>
    </w:p>
    <w:p w14:paraId="7B81EB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（2）获取招标文件的方式：“苏采云”系统用户注册--获取“CA数字证书”--CA绑定与登录--网上报名--下载招标文件(后缀名为.kedt”)。</w:t>
      </w:r>
    </w:p>
    <w:p w14:paraId="2FF494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p>
    <w:p w14:paraId="4E38AC6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招标文件(后缀名为“.kedt”)、供应商操作手册及政府采购客户端工具可通过“苏采云”系统--已报名项目--报名详情页面内相应链接进行下载；供应商操作手册及政府采购客户端工具。</w:t>
      </w:r>
    </w:p>
    <w:p w14:paraId="382CC3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p>
    <w:p w14:paraId="036CE39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（二）投标响应文件递交方式及不见面交易相关注意事项</w:t>
      </w:r>
    </w:p>
    <w:p w14:paraId="19508FA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p>
    <w:p w14:paraId="534C4D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开标地点：“苏采云”系统（网址：http</w:t>
      </w:r>
      <w:r>
        <w:rPr>
          <w:rFonts w:hint="eastAsia" w:ascii="宋体" w:hAnsi="宋体" w:cs="宋体"/>
          <w:color w:val="auto"/>
          <w:sz w:val="24"/>
          <w:highlight w:val="none"/>
          <w:lang w:eastAsia="zh-CN"/>
        </w:rPr>
        <w:t>：</w:t>
      </w:r>
      <w:r>
        <w:rPr>
          <w:rFonts w:ascii="宋体" w:hAnsi="宋体" w:eastAsia="宋体" w:cs="宋体"/>
          <w:color w:val="auto"/>
          <w:sz w:val="24"/>
          <w:highlight w:val="none"/>
        </w:rPr>
        <w:t>//jszfcg.jsczt.cn/）“开标大厅”进入系统“开标大厅”。（苏采云系统使用稳定谷歌浏览器（100版本以下）或360安全浏览器（极速模式）参与不见面开标。）</w:t>
      </w:r>
    </w:p>
    <w:p w14:paraId="209412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本项目采用远程不见面交易模式，通过不见面交易系统及相应的配套硬件设备（摄像头、话筒、麦克风等）完成远程解密、开标现场异议及回复、开标唱标等交互环节。</w:t>
      </w:r>
    </w:p>
    <w:p w14:paraId="5CE50B2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不见面交易相关要求和说明如下：</w:t>
      </w:r>
    </w:p>
    <w:p w14:paraId="28431B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（1）不见面开标项目的时间均以国家授时中心发布的时间为准；</w:t>
      </w:r>
    </w:p>
    <w:p w14:paraId="313848F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（2）开标当日，投标人不必抵达开标现场，仅需在任意地点通过“苏采云”系统（网址：http</w:t>
      </w:r>
      <w:r>
        <w:rPr>
          <w:rFonts w:hint="eastAsia" w:ascii="宋体" w:hAnsi="宋体" w:cs="宋体"/>
          <w:color w:val="auto"/>
          <w:sz w:val="24"/>
          <w:highlight w:val="none"/>
          <w:lang w:eastAsia="zh-CN"/>
        </w:rPr>
        <w:t>：</w:t>
      </w:r>
      <w:r>
        <w:rPr>
          <w:rFonts w:ascii="宋体" w:hAnsi="宋体" w:eastAsia="宋体" w:cs="宋体"/>
          <w:color w:val="auto"/>
          <w:sz w:val="24"/>
          <w:highlight w:val="none"/>
        </w:rPr>
        <w:t>//jszfcg.jsczt.cn/）“开标大厅”进入系统“开标大厅”参与开标过程；</w:t>
      </w:r>
    </w:p>
    <w:p w14:paraId="705BC0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1A3168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36BE4E9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（5）因投标人自身软硬件配备不齐全或发生故障等问题而导致在交互过程中出现不稳定或中断等情况的，由投标人自身承担一切后果。</w:t>
      </w:r>
    </w:p>
    <w:p w14:paraId="4CF6A8F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（三）其他注意事项</w:t>
      </w:r>
    </w:p>
    <w:p w14:paraId="31C8C3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采购人不统一组织现场查勘，供应商可自行联系采购人联系查勘。</w:t>
      </w:r>
    </w:p>
    <w:p w14:paraId="5CB405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2.本项目无需投标供应商缴纳投标保证金。</w:t>
      </w:r>
    </w:p>
    <w:p w14:paraId="489429C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本项目支持和适用节能环保产品（财库〔2019〕9号）、（财库〔2019〕19号）、（财库〔2019〕18号）；支持中小微企业（财库〔2020〕46号）、（苏财购〔2020〕52号）、（工信部联企业〔2011〕300号）；支持监狱企业（财库〔2014〕68号）；促进残疾人就业（财库〔2017〕141号）等政策。</w:t>
      </w:r>
    </w:p>
    <w:p w14:paraId="7E734F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4.供应商对采购文件有异议的，可以在收到采购文件之日（或采购文件公告期届满之日）起七个工作日内，按采购文件的要求以书面形式向我方质疑，逾期将不再受理。</w:t>
      </w:r>
    </w:p>
    <w:p w14:paraId="0EEA112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hint="eastAsia" w:ascii="宋体" w:hAnsi="宋体" w:cs="宋体"/>
          <w:color w:val="auto"/>
          <w:sz w:val="24"/>
          <w:highlight w:val="none"/>
          <w:lang w:val="en-US" w:eastAsia="zh-CN"/>
        </w:rPr>
        <w:t>5.在投标截止前，请关注江苏省政府采购网站有无澄清公告，澄清或者修改的内容为本招标文件的组成部分</w:t>
      </w:r>
      <w:r>
        <w:rPr>
          <w:rFonts w:ascii="宋体" w:hAnsi="宋体" w:eastAsia="宋体" w:cs="宋体"/>
          <w:color w:val="auto"/>
          <w:sz w:val="24"/>
          <w:highlight w:val="none"/>
        </w:rPr>
        <w:t>。</w:t>
      </w:r>
    </w:p>
    <w:p w14:paraId="06E6D04B">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25" w:name="_Toc2804"/>
      <w:bookmarkStart w:id="26" w:name="_Toc73365464"/>
      <w:bookmarkStart w:id="27" w:name="_Toc73364851"/>
      <w:r>
        <w:rPr>
          <w:rFonts w:hint="eastAsia" w:ascii="宋体" w:hAnsi="宋体" w:eastAsia="宋体" w:cs="Times New Roman"/>
          <w:b/>
          <w:bCs/>
          <w:color w:val="auto"/>
          <w:highlight w:val="none"/>
          <w:lang w:eastAsia="zh-CN"/>
        </w:rPr>
        <w:t>八</w:t>
      </w:r>
      <w:r>
        <w:rPr>
          <w:rFonts w:hint="eastAsia" w:ascii="宋体" w:hAnsi="宋体" w:eastAsia="宋体" w:cs="Times New Roman"/>
          <w:b/>
          <w:bCs/>
          <w:color w:val="auto"/>
          <w:highlight w:val="none"/>
        </w:rPr>
        <w:t>、对本次</w:t>
      </w:r>
      <w:r>
        <w:rPr>
          <w:rFonts w:hint="eastAsia" w:ascii="宋体" w:hAnsi="宋体" w:eastAsia="宋体" w:cs="Times New Roman"/>
          <w:b/>
          <w:bCs/>
          <w:color w:val="auto"/>
          <w:highlight w:val="none"/>
          <w:lang w:eastAsia="zh-CN"/>
        </w:rPr>
        <w:t>采购</w:t>
      </w:r>
      <w:r>
        <w:rPr>
          <w:rFonts w:hint="eastAsia" w:ascii="宋体" w:hAnsi="宋体" w:eastAsia="宋体" w:cs="Times New Roman"/>
          <w:b/>
          <w:bCs/>
          <w:color w:val="auto"/>
          <w:highlight w:val="none"/>
        </w:rPr>
        <w:t>提出询问，请按以下方式联系。</w:t>
      </w:r>
      <w:bookmarkEnd w:id="25"/>
      <w:bookmarkEnd w:id="26"/>
      <w:bookmarkEnd w:id="27"/>
    </w:p>
    <w:p w14:paraId="1A654019">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1.采购人信息</w:t>
      </w:r>
    </w:p>
    <w:p w14:paraId="7740BAEC">
      <w:pPr>
        <w:keepNext w:val="0"/>
        <w:keepLines w:val="0"/>
        <w:pageBreakBefore w:val="0"/>
        <w:widowControl/>
        <w:spacing w:line="360" w:lineRule="auto"/>
        <w:ind w:firstLine="480"/>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称：</w:t>
      </w:r>
      <w:r>
        <w:rPr>
          <w:rFonts w:hint="eastAsia" w:ascii="宋体" w:hAnsi="宋体" w:cs="宋体"/>
          <w:color w:val="auto"/>
          <w:sz w:val="24"/>
          <w:szCs w:val="28"/>
          <w:highlight w:val="none"/>
          <w:lang w:eastAsia="zh-CN"/>
        </w:rPr>
        <w:t>江苏省丹阳高级中学</w:t>
      </w:r>
    </w:p>
    <w:p w14:paraId="258C1409">
      <w:pPr>
        <w:keepNext w:val="0"/>
        <w:keepLines w:val="0"/>
        <w:pageBreakBefore w:val="0"/>
        <w:widowControl/>
        <w:spacing w:line="360" w:lineRule="auto"/>
        <w:ind w:firstLine="480"/>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址：</w:t>
      </w:r>
      <w:r>
        <w:rPr>
          <w:rFonts w:hint="eastAsia" w:ascii="宋体" w:hAnsi="宋体" w:cs="宋体"/>
          <w:color w:val="auto"/>
          <w:sz w:val="24"/>
          <w:szCs w:val="28"/>
          <w:highlight w:val="none"/>
          <w:lang w:eastAsia="zh-CN"/>
        </w:rPr>
        <w:t>丹阳市新民西路138号</w:t>
      </w:r>
    </w:p>
    <w:p w14:paraId="7F74E5EF">
      <w:pPr>
        <w:keepNext w:val="0"/>
        <w:keepLines w:val="0"/>
        <w:pageBreakBefore w:val="0"/>
        <w:widowControl/>
        <w:spacing w:line="360" w:lineRule="auto"/>
        <w:ind w:firstLine="480"/>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人：陆天柱</w:t>
      </w:r>
    </w:p>
    <w:p w14:paraId="3F149F53">
      <w:pPr>
        <w:keepNext w:val="0"/>
        <w:keepLines w:val="0"/>
        <w:pageBreakBefore w:val="0"/>
        <w:widowControl/>
        <w:spacing w:line="360" w:lineRule="auto"/>
        <w:ind w:firstLine="480"/>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联系方式：</w:t>
      </w:r>
      <w:r>
        <w:rPr>
          <w:rFonts w:hint="eastAsia" w:ascii="宋体" w:hAnsi="宋体" w:cs="宋体"/>
          <w:color w:val="auto"/>
          <w:sz w:val="24"/>
          <w:szCs w:val="28"/>
          <w:highlight w:val="none"/>
          <w:lang w:val="en-US" w:eastAsia="zh-CN"/>
        </w:rPr>
        <w:t>0511-86550188</w:t>
      </w:r>
    </w:p>
    <w:p w14:paraId="2FEB95D7">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2.采购代理机构信息</w:t>
      </w:r>
    </w:p>
    <w:p w14:paraId="7BABB054">
      <w:pPr>
        <w:keepNext w:val="0"/>
        <w:keepLines w:val="0"/>
        <w:pageBreakBefore w:val="0"/>
        <w:widowControl/>
        <w:spacing w:line="360" w:lineRule="auto"/>
        <w:ind w:firstLine="480"/>
        <w:rPr>
          <w:rFonts w:hint="eastAsia" w:ascii="宋体" w:hAnsi="宋体" w:eastAsia="宋体"/>
          <w:color w:val="auto"/>
          <w:sz w:val="24"/>
          <w:szCs w:val="28"/>
          <w:highlight w:val="none"/>
        </w:rPr>
      </w:pPr>
      <w:r>
        <w:rPr>
          <w:rFonts w:hint="eastAsia" w:ascii="宋体" w:hAnsi="宋体"/>
          <w:color w:val="auto"/>
          <w:sz w:val="24"/>
          <w:szCs w:val="28"/>
          <w:highlight w:val="none"/>
        </w:rPr>
        <w:t>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p>
    <w:p w14:paraId="72D2E763">
      <w:pPr>
        <w:keepNext w:val="0"/>
        <w:keepLines w:val="0"/>
        <w:pageBreakBefore w:val="0"/>
        <w:widowControl/>
        <w:spacing w:line="360" w:lineRule="auto"/>
        <w:ind w:firstLine="480"/>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址：</w:t>
      </w:r>
      <w:r>
        <w:rPr>
          <w:rFonts w:hint="eastAsia" w:ascii="宋体" w:hAnsi="宋体"/>
          <w:color w:val="auto"/>
          <w:sz w:val="24"/>
          <w:szCs w:val="28"/>
          <w:highlight w:val="none"/>
          <w:lang w:eastAsia="zh-CN"/>
        </w:rPr>
        <w:t>丹阳市开发区兰陵路</w:t>
      </w:r>
      <w:r>
        <w:rPr>
          <w:rFonts w:hint="eastAsia" w:ascii="宋体" w:hAnsi="宋体"/>
          <w:color w:val="auto"/>
          <w:sz w:val="24"/>
          <w:szCs w:val="28"/>
          <w:highlight w:val="none"/>
          <w:lang w:val="en-US" w:eastAsia="zh-CN"/>
        </w:rPr>
        <w:t>77号</w:t>
      </w:r>
    </w:p>
    <w:p w14:paraId="10B84D87">
      <w:pPr>
        <w:keepNext w:val="0"/>
        <w:keepLines w:val="0"/>
        <w:pageBreakBefore w:val="0"/>
        <w:widowControl/>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联系方式：</w:t>
      </w:r>
      <w:r>
        <w:rPr>
          <w:rFonts w:hint="eastAsia" w:ascii="宋体" w:hAnsi="宋体"/>
          <w:color w:val="auto"/>
          <w:sz w:val="24"/>
          <w:szCs w:val="28"/>
          <w:highlight w:val="none"/>
          <w:lang w:eastAsia="zh-CN"/>
        </w:rPr>
        <w:t>0511-86531589</w:t>
      </w:r>
    </w:p>
    <w:p w14:paraId="78B0BE04">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3.项目联系方式</w:t>
      </w:r>
    </w:p>
    <w:p w14:paraId="1D47E9C0">
      <w:pPr>
        <w:keepNext w:val="0"/>
        <w:keepLines w:val="0"/>
        <w:pageBreakBefore w:val="0"/>
        <w:widowControl/>
        <w:spacing w:line="360" w:lineRule="auto"/>
        <w:ind w:firstLine="480"/>
        <w:rPr>
          <w:rFonts w:hint="eastAsia" w:ascii="宋体" w:hAnsi="宋体" w:eastAsia="宋体"/>
          <w:color w:val="auto"/>
          <w:sz w:val="24"/>
          <w:szCs w:val="28"/>
          <w:highlight w:val="none"/>
        </w:rPr>
      </w:pPr>
      <w:r>
        <w:rPr>
          <w:rFonts w:hint="eastAsia" w:ascii="宋体" w:hAnsi="宋体"/>
          <w:color w:val="auto"/>
          <w:sz w:val="24"/>
          <w:szCs w:val="28"/>
          <w:highlight w:val="none"/>
        </w:rPr>
        <w:t>项目联系人：</w:t>
      </w:r>
      <w:r>
        <w:rPr>
          <w:rFonts w:hint="eastAsia" w:ascii="宋体" w:hAnsi="宋体"/>
          <w:color w:val="auto"/>
          <w:sz w:val="24"/>
          <w:szCs w:val="28"/>
          <w:highlight w:val="none"/>
          <w:lang w:eastAsia="zh-CN"/>
        </w:rPr>
        <w:t>邓璇</w:t>
      </w:r>
    </w:p>
    <w:p w14:paraId="703CC3F9">
      <w:pPr>
        <w:keepNext w:val="0"/>
        <w:keepLines w:val="0"/>
        <w:pageBreakBefore w:val="0"/>
        <w:widowControl/>
        <w:spacing w:line="360" w:lineRule="auto"/>
        <w:ind w:firstLine="480"/>
        <w:rPr>
          <w:color w:val="auto"/>
          <w:highlight w:val="none"/>
        </w:rPr>
      </w:pPr>
      <w:r>
        <w:rPr>
          <w:rFonts w:hint="eastAsia" w:ascii="宋体" w:hAnsi="宋体"/>
          <w:color w:val="auto"/>
          <w:sz w:val="24"/>
          <w:szCs w:val="28"/>
          <w:highlight w:val="none"/>
        </w:rPr>
        <w:t>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话：</w:t>
      </w:r>
      <w:bookmarkStart w:id="28" w:name="EB73e9be25c0ef4b619196367b2047b8bc"/>
      <w:r>
        <w:rPr>
          <w:rFonts w:hint="eastAsia" w:ascii="宋体" w:hAnsi="宋体"/>
          <w:color w:val="auto"/>
          <w:sz w:val="24"/>
          <w:szCs w:val="28"/>
          <w:highlight w:val="none"/>
          <w:lang w:eastAsia="zh-CN"/>
        </w:rPr>
        <w:t>0511-86531589</w:t>
      </w:r>
      <w:r>
        <w:rPr>
          <w:rFonts w:hint="eastAsia"/>
          <w:color w:val="auto"/>
          <w:sz w:val="20"/>
          <w:highlight w:val="none"/>
        </w:rPr>
        <w:t xml:space="preserve"> </w:t>
      </w:r>
      <w:bookmarkEnd w:id="28"/>
    </w:p>
    <w:p w14:paraId="09077FB8">
      <w:pPr>
        <w:widowControl/>
        <w:ind w:right="360"/>
        <w:jc w:val="both"/>
        <w:rPr>
          <w:rFonts w:ascii="宋体" w:hAnsi="宋体"/>
          <w:color w:val="auto"/>
          <w:sz w:val="24"/>
          <w:highlight w:val="none"/>
        </w:rPr>
      </w:pPr>
    </w:p>
    <w:p w14:paraId="167DD577">
      <w:pPr>
        <w:pStyle w:val="188"/>
        <w:jc w:val="center"/>
        <w:rPr>
          <w:color w:val="auto"/>
          <w:highlight w:val="none"/>
        </w:rPr>
      </w:pPr>
      <w:bookmarkStart w:id="29" w:name="_Toc73364853"/>
      <w:bookmarkStart w:id="30" w:name="_Toc73365466"/>
      <w:r>
        <w:rPr>
          <w:rFonts w:hint="eastAsia" w:ascii="宋体" w:hAnsi="宋体"/>
          <w:color w:val="auto"/>
          <w:sz w:val="36"/>
          <w:highlight w:val="none"/>
        </w:rPr>
        <w:br w:type="page" w:clear="all"/>
      </w:r>
      <w:bookmarkStart w:id="31" w:name="_Toc12155"/>
      <w:r>
        <w:rPr>
          <w:rFonts w:hint="eastAsia" w:ascii="宋体" w:hAnsi="宋体"/>
          <w:color w:val="auto"/>
          <w:sz w:val="36"/>
          <w:highlight w:val="none"/>
        </w:rPr>
        <w:t>第二部分  供应商须知</w:t>
      </w:r>
      <w:bookmarkEnd w:id="29"/>
      <w:bookmarkEnd w:id="30"/>
      <w:bookmarkEnd w:id="31"/>
    </w:p>
    <w:p w14:paraId="0C3CFD6A">
      <w:pPr>
        <w:pStyle w:val="189"/>
        <w:rPr>
          <w:rFonts w:ascii="宋体" w:hAnsi="宋体" w:eastAsia="宋体"/>
          <w:color w:val="auto"/>
          <w:sz w:val="32"/>
          <w:highlight w:val="none"/>
        </w:rPr>
      </w:pPr>
      <w:bookmarkStart w:id="32" w:name="_Toc73365467"/>
      <w:bookmarkStart w:id="33" w:name="_Toc13811"/>
      <w:bookmarkStart w:id="34" w:name="_Toc73364854"/>
      <w:r>
        <w:rPr>
          <w:rFonts w:hint="eastAsia" w:ascii="宋体" w:hAnsi="宋体" w:eastAsia="宋体"/>
          <w:color w:val="auto"/>
          <w:sz w:val="32"/>
          <w:highlight w:val="none"/>
        </w:rPr>
        <w:t>一、总  则</w:t>
      </w:r>
      <w:bookmarkEnd w:id="32"/>
      <w:bookmarkEnd w:id="33"/>
      <w:bookmarkEnd w:id="34"/>
    </w:p>
    <w:p w14:paraId="78706EA7">
      <w:pPr>
        <w:pStyle w:val="190"/>
        <w:keepNext w:val="0"/>
        <w:keepLines w:val="0"/>
        <w:spacing w:before="0" w:after="0" w:line="360" w:lineRule="auto"/>
        <w:ind w:firstLine="446"/>
        <w:rPr>
          <w:rFonts w:ascii="宋体" w:hAnsi="宋体"/>
          <w:color w:val="auto"/>
          <w:sz w:val="30"/>
          <w:highlight w:val="none"/>
        </w:rPr>
      </w:pPr>
      <w:bookmarkStart w:id="35" w:name="_Toc22294"/>
      <w:bookmarkStart w:id="36" w:name="_Toc9366"/>
      <w:bookmarkStart w:id="37" w:name="_Toc73365468"/>
      <w:bookmarkStart w:id="38" w:name="_Toc73364855"/>
      <w:bookmarkStart w:id="39" w:name="_Toc24107"/>
      <w:bookmarkStart w:id="40" w:name="_Toc23412"/>
      <w:r>
        <w:rPr>
          <w:rFonts w:hint="eastAsia" w:ascii="宋体" w:hAnsi="宋体"/>
          <w:color w:val="auto"/>
          <w:sz w:val="30"/>
          <w:highlight w:val="none"/>
        </w:rPr>
        <w:t>1．适用范围</w:t>
      </w:r>
      <w:bookmarkEnd w:id="35"/>
      <w:bookmarkEnd w:id="36"/>
      <w:bookmarkEnd w:id="37"/>
      <w:bookmarkEnd w:id="38"/>
      <w:bookmarkEnd w:id="39"/>
      <w:bookmarkEnd w:id="40"/>
    </w:p>
    <w:p w14:paraId="380C362D">
      <w:pPr>
        <w:spacing w:line="360" w:lineRule="auto"/>
        <w:ind w:firstLine="480"/>
        <w:rPr>
          <w:rFonts w:ascii="宋体" w:hAnsi="宋体"/>
          <w:color w:val="auto"/>
          <w:sz w:val="24"/>
          <w:highlight w:val="none"/>
        </w:rPr>
      </w:pPr>
      <w:r>
        <w:rPr>
          <w:rFonts w:hint="eastAsia" w:ascii="宋体" w:hAnsi="宋体"/>
          <w:color w:val="auto"/>
          <w:sz w:val="24"/>
          <w:highlight w:val="none"/>
        </w:rPr>
        <w:t>1.1本磋商文件仅适用于</w:t>
      </w:r>
      <w:r>
        <w:rPr>
          <w:rFonts w:hint="eastAsia" w:ascii="宋体" w:hAnsi="宋体"/>
          <w:color w:val="auto"/>
          <w:sz w:val="24"/>
          <w:highlight w:val="none"/>
          <w:lang w:eastAsia="zh-CN"/>
        </w:rPr>
        <w:t>江苏省丹阳高级中学老校区体育馆屋顶修缮项目</w:t>
      </w:r>
      <w:r>
        <w:rPr>
          <w:rFonts w:hint="eastAsia" w:ascii="宋体" w:hAnsi="宋体" w:cs="隶书"/>
          <w:color w:val="auto"/>
          <w:sz w:val="24"/>
          <w:highlight w:val="none"/>
        </w:rPr>
        <w:t>。</w:t>
      </w:r>
    </w:p>
    <w:p w14:paraId="2A38D1A9">
      <w:pPr>
        <w:pStyle w:val="190"/>
        <w:keepNext w:val="0"/>
        <w:keepLines w:val="0"/>
        <w:spacing w:before="200" w:after="200" w:line="360" w:lineRule="auto"/>
        <w:ind w:firstLine="446"/>
        <w:rPr>
          <w:rFonts w:ascii="宋体" w:hAnsi="宋体"/>
          <w:color w:val="auto"/>
          <w:sz w:val="30"/>
          <w:highlight w:val="none"/>
        </w:rPr>
      </w:pPr>
      <w:bookmarkStart w:id="41" w:name="_Toc3411"/>
      <w:bookmarkStart w:id="42" w:name="_Toc23826"/>
      <w:bookmarkStart w:id="43" w:name="_Toc6341"/>
      <w:bookmarkStart w:id="44" w:name="_Toc73365469"/>
      <w:bookmarkStart w:id="45" w:name="_Toc73364856"/>
      <w:bookmarkStart w:id="46" w:name="_Toc25596"/>
      <w:r>
        <w:rPr>
          <w:rFonts w:hint="eastAsia" w:ascii="宋体" w:hAnsi="宋体"/>
          <w:color w:val="auto"/>
          <w:sz w:val="30"/>
          <w:highlight w:val="none"/>
        </w:rPr>
        <w:t>2．定义</w:t>
      </w:r>
      <w:bookmarkEnd w:id="41"/>
      <w:bookmarkEnd w:id="42"/>
      <w:bookmarkEnd w:id="43"/>
      <w:bookmarkEnd w:id="44"/>
      <w:bookmarkEnd w:id="45"/>
      <w:bookmarkEnd w:id="46"/>
    </w:p>
    <w:p w14:paraId="059CADF4">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磋商文件中下列术语应解释为：</w:t>
      </w:r>
    </w:p>
    <w:p w14:paraId="034D425B">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2.1“磋商组织方”系指采购代理机构或采购单位，即：</w:t>
      </w:r>
      <w:r>
        <w:rPr>
          <w:rFonts w:hint="eastAsia" w:ascii="宋体" w:hAnsi="宋体"/>
          <w:color w:val="auto"/>
          <w:sz w:val="24"/>
          <w:highlight w:val="none"/>
          <w:lang w:eastAsia="zh-CN"/>
        </w:rPr>
        <w:t>江苏万信项目管理有限公司</w:t>
      </w:r>
      <w:r>
        <w:rPr>
          <w:rFonts w:hint="eastAsia" w:ascii="宋体" w:hAnsi="宋体"/>
          <w:color w:val="auto"/>
          <w:sz w:val="24"/>
          <w:highlight w:val="none"/>
        </w:rPr>
        <w:t>。</w:t>
      </w:r>
    </w:p>
    <w:p w14:paraId="0A2C4295">
      <w:pPr>
        <w:keepNext w:val="0"/>
        <w:keepLines w:val="0"/>
        <w:pageBreakBefore w:val="0"/>
        <w:widowControl w:val="0"/>
        <w:spacing w:line="360" w:lineRule="auto"/>
        <w:ind w:firstLine="480"/>
        <w:jc w:val="left"/>
        <w:rPr>
          <w:rFonts w:ascii="宋体" w:hAnsi="宋体" w:cs="隶书"/>
          <w:color w:val="auto"/>
          <w:sz w:val="24"/>
          <w:highlight w:val="none"/>
        </w:rPr>
      </w:pPr>
      <w:r>
        <w:rPr>
          <w:rFonts w:hint="eastAsia" w:ascii="宋体" w:hAnsi="宋体"/>
          <w:color w:val="auto"/>
          <w:sz w:val="24"/>
          <w:highlight w:val="none"/>
        </w:rPr>
        <w:t>2.2“采购人”系指依法进行政府采购的国家机关、事业单位、团体组织，即：</w:t>
      </w:r>
      <w:r>
        <w:rPr>
          <w:rFonts w:hint="eastAsia" w:ascii="宋体" w:hAnsi="宋体"/>
          <w:color w:val="auto"/>
          <w:sz w:val="24"/>
          <w:highlight w:val="none"/>
          <w:lang w:eastAsia="zh-CN"/>
        </w:rPr>
        <w:t>江苏省丹阳高级中学</w:t>
      </w:r>
      <w:r>
        <w:rPr>
          <w:rFonts w:hint="eastAsia" w:ascii="宋体" w:hAnsi="宋体"/>
          <w:color w:val="auto"/>
          <w:sz w:val="24"/>
          <w:highlight w:val="none"/>
        </w:rPr>
        <w:t>。</w:t>
      </w:r>
    </w:p>
    <w:p w14:paraId="6E5FA499">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2.3“供应商”系指向采购人提供货物、工程或者服务的法人、其他组织或者自然人。</w:t>
      </w:r>
    </w:p>
    <w:p w14:paraId="05CC4D0B">
      <w:pPr>
        <w:keepNext w:val="0"/>
        <w:keepLines w:val="0"/>
        <w:pageBreakBefore w:val="0"/>
        <w:widowControl w:val="0"/>
        <w:spacing w:line="360" w:lineRule="auto"/>
        <w:ind w:firstLine="480"/>
        <w:jc w:val="left"/>
        <w:rPr>
          <w:rFonts w:ascii="宋体" w:hAnsi="宋体"/>
          <w:color w:val="auto"/>
          <w:sz w:val="24"/>
          <w:highlight w:val="none"/>
        </w:rPr>
      </w:pPr>
      <w:bookmarkStart w:id="47" w:name="EBec1f6c4cc37b4caa9954b6d54854e118"/>
      <w:r>
        <w:rPr>
          <w:rFonts w:hint="eastAsia" w:ascii="宋体" w:hAnsi="宋体"/>
          <w:color w:val="auto"/>
          <w:sz w:val="24"/>
          <w:highlight w:val="none"/>
        </w:rPr>
        <w:t>2.4</w:t>
      </w:r>
      <w:bookmarkStart w:id="48" w:name="EBf303b0931d9c4cd59266d2badb7e129e"/>
      <w:r>
        <w:rPr>
          <w:rFonts w:hint="eastAsia" w:ascii="宋体" w:hAnsi="宋体"/>
          <w:color w:val="auto"/>
          <w:sz w:val="24"/>
          <w:highlight w:val="none"/>
        </w:rPr>
        <w:t>“工程”系指本次采购范围内所描述的各类建设工程，包括建筑物和构筑物的新建、改建、扩建、装修、拆除、修缮等。</w:t>
      </w:r>
      <w:bookmarkEnd w:id="48"/>
    </w:p>
    <w:p w14:paraId="782A6206">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2.5</w:t>
      </w:r>
      <w:bookmarkStart w:id="49" w:name="EBa3298a5e457e4f10a90b8a1699f6a526"/>
      <w:r>
        <w:rPr>
          <w:rFonts w:hint="eastAsia" w:ascii="宋体" w:hAnsi="宋体"/>
          <w:color w:val="auto"/>
          <w:sz w:val="24"/>
          <w:highlight w:val="none"/>
        </w:rPr>
        <w:t>“服务”系指本磋商文件所述供应商必须承担的工程服务以及其他类似的承诺义务。</w:t>
      </w:r>
      <w:bookmarkEnd w:id="49"/>
    </w:p>
    <w:p w14:paraId="0B1F2A98">
      <w:pPr>
        <w:keepNext w:val="0"/>
        <w:keepLines w:val="0"/>
        <w:pageBreakBefore w:val="0"/>
        <w:widowControl w:val="0"/>
        <w:spacing w:line="360" w:lineRule="auto"/>
        <w:ind w:firstLine="480"/>
        <w:jc w:val="left"/>
        <w:rPr>
          <w:color w:val="auto"/>
          <w:highlight w:val="none"/>
        </w:rPr>
      </w:pPr>
      <w:r>
        <w:rPr>
          <w:rFonts w:hint="eastAsia" w:ascii="宋体" w:hAnsi="宋体"/>
          <w:color w:val="auto"/>
          <w:sz w:val="24"/>
          <w:highlight w:val="none"/>
        </w:rPr>
        <w:t>2.6</w:t>
      </w:r>
      <w:bookmarkStart w:id="50" w:name="EBdd183595105c48d0b3e7f02660f65c69"/>
      <w:r>
        <w:rPr>
          <w:rFonts w:hint="eastAsia" w:ascii="宋体" w:hAnsi="宋体"/>
          <w:color w:val="auto"/>
          <w:sz w:val="24"/>
          <w:highlight w:val="none"/>
        </w:rPr>
        <w:t>“货物”系指本磋商文件所述工程涉及的各种建筑材料</w:t>
      </w:r>
      <w:bookmarkEnd w:id="50"/>
      <w:r>
        <w:rPr>
          <w:rFonts w:hint="eastAsia" w:ascii="宋体" w:hAnsi="宋体"/>
          <w:color w:val="auto"/>
          <w:sz w:val="24"/>
          <w:highlight w:val="none"/>
        </w:rPr>
        <w:t>。</w:t>
      </w:r>
      <w:bookmarkEnd w:id="47"/>
    </w:p>
    <w:p w14:paraId="03E5F8BF">
      <w:pPr>
        <w:pStyle w:val="190"/>
        <w:keepNext w:val="0"/>
        <w:keepLines w:val="0"/>
        <w:spacing w:line="360" w:lineRule="auto"/>
        <w:ind w:firstLine="446"/>
        <w:rPr>
          <w:rFonts w:ascii="宋体" w:hAnsi="宋体"/>
          <w:color w:val="auto"/>
          <w:sz w:val="30"/>
          <w:highlight w:val="none"/>
        </w:rPr>
      </w:pPr>
      <w:bookmarkStart w:id="51" w:name="_Toc73364857"/>
      <w:bookmarkStart w:id="52" w:name="_Toc73365470"/>
      <w:bookmarkStart w:id="53" w:name="_Toc651"/>
      <w:bookmarkStart w:id="54" w:name="_Toc13856"/>
      <w:bookmarkStart w:id="55" w:name="_Toc4887"/>
      <w:bookmarkStart w:id="56" w:name="_Toc11767"/>
      <w:r>
        <w:rPr>
          <w:rFonts w:hint="eastAsia" w:ascii="宋体" w:hAnsi="宋体"/>
          <w:color w:val="auto"/>
          <w:sz w:val="30"/>
          <w:highlight w:val="none"/>
        </w:rPr>
        <w:t>3．本次采购方式</w:t>
      </w:r>
      <w:bookmarkEnd w:id="51"/>
      <w:bookmarkEnd w:id="52"/>
      <w:bookmarkEnd w:id="53"/>
      <w:bookmarkEnd w:id="54"/>
      <w:bookmarkEnd w:id="55"/>
      <w:bookmarkEnd w:id="56"/>
    </w:p>
    <w:p w14:paraId="3C90CD89">
      <w:pPr>
        <w:suppressLineNumbers w:val="0"/>
        <w:spacing w:before="0" w:after="0" w:line="360" w:lineRule="auto"/>
        <w:ind w:firstLine="480"/>
        <w:contextualSpacing w:val="0"/>
        <w:jc w:val="both"/>
        <w:rPr>
          <w:rFonts w:ascii="宋体" w:hAnsi="宋体"/>
          <w:color w:val="auto"/>
          <w:sz w:val="24"/>
          <w:highlight w:val="none"/>
        </w:rPr>
      </w:pPr>
      <w:r>
        <w:rPr>
          <w:rFonts w:hint="eastAsia" w:ascii="宋体" w:hAnsi="宋体"/>
          <w:color w:val="auto"/>
          <w:sz w:val="24"/>
          <w:highlight w:val="none"/>
        </w:rPr>
        <w:t>3.1本次采购采取竞争性磋商采购方式：综合评分法。</w:t>
      </w:r>
    </w:p>
    <w:p w14:paraId="3EF4BBD7">
      <w:pPr>
        <w:suppressLineNumbers w:val="0"/>
        <w:spacing w:before="0" w:after="0" w:line="360" w:lineRule="auto"/>
        <w:ind w:firstLine="480"/>
        <w:contextualSpacing w:val="0"/>
        <w:jc w:val="both"/>
        <w:rPr>
          <w:rFonts w:ascii="宋体" w:hAnsi="宋体"/>
          <w:color w:val="auto"/>
          <w:sz w:val="24"/>
          <w:highlight w:val="none"/>
        </w:rPr>
      </w:pPr>
      <w:r>
        <w:rPr>
          <w:rFonts w:hint="eastAsia" w:ascii="宋体" w:hAnsi="宋体"/>
          <w:color w:val="auto"/>
          <w:sz w:val="24"/>
          <w:highlight w:val="none"/>
        </w:rPr>
        <w:t>3.2</w:t>
      </w:r>
      <w:r>
        <w:rPr>
          <w:rFonts w:hint="eastAsia" w:ascii="宋体" w:hAnsi="宋体"/>
          <w:color w:val="auto"/>
          <w:sz w:val="24"/>
          <w:szCs w:val="28"/>
          <w:highlight w:val="none"/>
        </w:rPr>
        <w:t>是否接受进口产品：否</w:t>
      </w:r>
      <w:bookmarkStart w:id="57" w:name="EBb827a1ee09c24503810ef107662edd9b"/>
      <w:r>
        <w:rPr>
          <w:rFonts w:ascii="宋体" w:hAnsi="宋体"/>
          <w:color w:val="auto"/>
          <w:sz w:val="20"/>
          <w:szCs w:val="28"/>
          <w:highlight w:val="none"/>
        </w:rPr>
        <w:t xml:space="preserve"> </w:t>
      </w:r>
      <w:bookmarkEnd w:id="57"/>
      <w:bookmarkStart w:id="58" w:name="EB864908c2907a43c2b4173db210221033"/>
      <w:r>
        <w:rPr>
          <w:rFonts w:ascii="宋体" w:hAnsi="宋体"/>
          <w:color w:val="auto"/>
          <w:sz w:val="20"/>
          <w:szCs w:val="28"/>
          <w:highlight w:val="none"/>
        </w:rPr>
        <w:t xml:space="preserve"> </w:t>
      </w:r>
      <w:bookmarkEnd w:id="58"/>
      <w:bookmarkStart w:id="59" w:name="EB326aa1936df44aef9d1be4dfa91c7594"/>
      <w:r>
        <w:rPr>
          <w:rFonts w:ascii="宋体" w:hAnsi="宋体"/>
          <w:color w:val="auto"/>
          <w:sz w:val="20"/>
          <w:szCs w:val="28"/>
          <w:highlight w:val="none"/>
        </w:rPr>
        <w:t xml:space="preserve"> </w:t>
      </w:r>
      <w:bookmarkEnd w:id="59"/>
    </w:p>
    <w:p w14:paraId="71F6344E">
      <w:pPr>
        <w:suppressLineNumbers w:val="0"/>
        <w:spacing w:before="0" w:after="0" w:line="360" w:lineRule="auto"/>
        <w:ind w:firstLine="480"/>
        <w:contextualSpacing w:val="0"/>
        <w:jc w:val="both"/>
        <w:rPr>
          <w:rFonts w:ascii="宋体" w:hAnsi="宋体"/>
          <w:color w:val="auto"/>
          <w:sz w:val="24"/>
          <w:szCs w:val="28"/>
          <w:highlight w:val="none"/>
        </w:rPr>
      </w:pPr>
      <w:r>
        <w:rPr>
          <w:rFonts w:hint="eastAsia" w:ascii="宋体" w:hAnsi="宋体"/>
          <w:color w:val="auto"/>
          <w:sz w:val="24"/>
          <w:highlight w:val="none"/>
        </w:rPr>
        <w:t>3.3</w:t>
      </w:r>
      <w:r>
        <w:rPr>
          <w:rFonts w:hint="eastAsia" w:ascii="宋体" w:hAnsi="宋体"/>
          <w:color w:val="auto"/>
          <w:sz w:val="24"/>
          <w:szCs w:val="28"/>
          <w:highlight w:val="none"/>
        </w:rPr>
        <w:t>本项目资格审查方式：资格后审</w:t>
      </w:r>
      <w:bookmarkStart w:id="60" w:name="EB554d20e884b34f068f9abf5c2900c4d1"/>
      <w:r>
        <w:rPr>
          <w:rFonts w:ascii="宋体" w:hAnsi="宋体"/>
          <w:color w:val="auto"/>
          <w:sz w:val="20"/>
          <w:szCs w:val="28"/>
          <w:highlight w:val="none"/>
        </w:rPr>
        <w:t xml:space="preserve"> </w:t>
      </w:r>
      <w:bookmarkEnd w:id="60"/>
      <w:bookmarkStart w:id="61" w:name="EB95604dcf296947de98be329cdd95192a"/>
      <w:r>
        <w:rPr>
          <w:rFonts w:ascii="宋体" w:hAnsi="宋体"/>
          <w:color w:val="auto"/>
          <w:sz w:val="20"/>
          <w:szCs w:val="28"/>
          <w:highlight w:val="none"/>
        </w:rPr>
        <w:t xml:space="preserve"> </w:t>
      </w:r>
      <w:bookmarkEnd w:id="61"/>
      <w:bookmarkStart w:id="62" w:name="EBeaa6884fb96b4a01bb14112961cfa20a"/>
      <w:r>
        <w:rPr>
          <w:rFonts w:ascii="宋体" w:hAnsi="宋体"/>
          <w:color w:val="auto"/>
          <w:sz w:val="20"/>
          <w:szCs w:val="28"/>
          <w:highlight w:val="none"/>
        </w:rPr>
        <w:t xml:space="preserve"> </w:t>
      </w:r>
      <w:bookmarkEnd w:id="62"/>
    </w:p>
    <w:p w14:paraId="3E101C07">
      <w:pPr>
        <w:suppressLineNumbers w:val="0"/>
        <w:spacing w:before="0" w:after="0" w:line="360" w:lineRule="auto"/>
        <w:ind w:firstLine="480"/>
        <w:contextualSpacing w:val="0"/>
        <w:jc w:val="both"/>
        <w:rPr>
          <w:rFonts w:ascii="宋体" w:hAnsi="宋体"/>
          <w:color w:val="auto"/>
          <w:sz w:val="24"/>
          <w:szCs w:val="28"/>
          <w:highlight w:val="none"/>
        </w:rPr>
      </w:pPr>
      <w:r>
        <w:rPr>
          <w:rFonts w:hint="eastAsia" w:ascii="宋体" w:hAnsi="宋体"/>
          <w:color w:val="auto"/>
          <w:sz w:val="24"/>
          <w:szCs w:val="28"/>
          <w:highlight w:val="none"/>
        </w:rPr>
        <w:t>3.4 本次采购确定的成交人数量：</w:t>
      </w:r>
      <w:bookmarkStart w:id="63" w:name="EB239bc7938d02463888f23182e5e568e7"/>
      <w:r>
        <w:rPr>
          <w:rFonts w:hint="eastAsia" w:ascii="宋体" w:hAnsi="宋体"/>
          <w:color w:val="auto"/>
          <w:sz w:val="24"/>
          <w:szCs w:val="28"/>
          <w:highlight w:val="none"/>
        </w:rPr>
        <w:t>1名</w:t>
      </w:r>
      <w:bookmarkEnd w:id="63"/>
      <w:r>
        <w:rPr>
          <w:rFonts w:ascii="宋体" w:hAnsi="宋体"/>
          <w:color w:val="auto"/>
          <w:sz w:val="24"/>
          <w:szCs w:val="28"/>
          <w:highlight w:val="none"/>
        </w:rPr>
        <w:t xml:space="preserve"> </w:t>
      </w:r>
    </w:p>
    <w:p w14:paraId="072AE841">
      <w:pPr>
        <w:suppressLineNumbers w:val="0"/>
        <w:spacing w:before="0" w:after="0" w:line="360" w:lineRule="auto"/>
        <w:ind w:firstLine="480"/>
        <w:contextualSpacing w:val="0"/>
        <w:jc w:val="both"/>
        <w:rPr>
          <w:rFonts w:ascii="宋体" w:hAnsi="宋体"/>
          <w:color w:val="auto"/>
          <w:sz w:val="24"/>
          <w:highlight w:val="none"/>
        </w:rPr>
      </w:pPr>
      <w:bookmarkStart w:id="64" w:name="EB65f1af548e51428190f46d10e71d9afc"/>
      <w:r>
        <w:rPr>
          <w:rFonts w:hint="eastAsia" w:ascii="宋体" w:hAnsi="宋体"/>
          <w:color w:val="auto"/>
          <w:sz w:val="24"/>
          <w:highlight w:val="none"/>
        </w:rPr>
        <w:t>3.5 本项目是否接受联合体：不接受。</w:t>
      </w:r>
      <w:bookmarkEnd w:id="64"/>
    </w:p>
    <w:p w14:paraId="3F1210EA">
      <w:pPr>
        <w:pStyle w:val="190"/>
        <w:keepNext w:val="0"/>
        <w:keepLines w:val="0"/>
        <w:spacing w:line="360" w:lineRule="auto"/>
        <w:ind w:firstLine="446"/>
        <w:rPr>
          <w:rFonts w:ascii="宋体" w:hAnsi="宋体"/>
          <w:color w:val="auto"/>
          <w:sz w:val="30"/>
          <w:highlight w:val="none"/>
        </w:rPr>
      </w:pPr>
      <w:bookmarkStart w:id="65" w:name="_Toc1111"/>
      <w:bookmarkStart w:id="66" w:name="_Toc32083"/>
      <w:bookmarkStart w:id="67" w:name="_Toc73365471"/>
      <w:bookmarkStart w:id="68" w:name="_Toc21643"/>
      <w:bookmarkStart w:id="69" w:name="_Toc31642"/>
      <w:bookmarkStart w:id="70" w:name="_Toc73364858"/>
      <w:r>
        <w:rPr>
          <w:rFonts w:hint="eastAsia" w:ascii="宋体" w:hAnsi="宋体"/>
          <w:color w:val="auto"/>
          <w:sz w:val="30"/>
          <w:highlight w:val="none"/>
        </w:rPr>
        <w:t>4．磋商费用</w:t>
      </w:r>
      <w:bookmarkEnd w:id="65"/>
      <w:bookmarkEnd w:id="66"/>
      <w:bookmarkEnd w:id="67"/>
      <w:bookmarkEnd w:id="68"/>
      <w:bookmarkEnd w:id="69"/>
      <w:bookmarkEnd w:id="70"/>
    </w:p>
    <w:p w14:paraId="023483BA">
      <w:pPr>
        <w:spacing w:line="360" w:lineRule="auto"/>
        <w:ind w:firstLine="480"/>
        <w:rPr>
          <w:rFonts w:hint="eastAsia" w:ascii="宋体" w:hAnsi="宋体" w:eastAsia="宋体"/>
          <w:b/>
          <w:color w:val="auto"/>
          <w:sz w:val="24"/>
          <w:highlight w:val="none"/>
          <w:lang w:eastAsia="zh-CN"/>
        </w:rPr>
      </w:pPr>
      <w:r>
        <w:rPr>
          <w:rFonts w:hint="eastAsia" w:ascii="宋体" w:hAnsi="宋体"/>
          <w:color w:val="auto"/>
          <w:sz w:val="24"/>
          <w:highlight w:val="none"/>
        </w:rPr>
        <w:t>4.1 为简化资金结算流程、保障代理服务及时履约，提高采购执行效率</w:t>
      </w:r>
      <w:r>
        <w:rPr>
          <w:rFonts w:hint="eastAsia" w:ascii="宋体" w:hAnsi="宋体"/>
          <w:color w:val="auto"/>
          <w:sz w:val="24"/>
          <w:highlight w:val="none"/>
          <w:lang w:eastAsia="zh-CN"/>
        </w:rPr>
        <w:t>，</w:t>
      </w:r>
      <w:r>
        <w:rPr>
          <w:rFonts w:hint="eastAsia" w:ascii="宋体" w:hAnsi="宋体"/>
          <w:color w:val="auto"/>
          <w:sz w:val="24"/>
          <w:highlight w:val="none"/>
        </w:rPr>
        <w:t>供应商应自行承担所有与参加磋商有关的费用</w:t>
      </w:r>
      <w:r>
        <w:rPr>
          <w:rFonts w:hint="eastAsia" w:ascii="宋体" w:hAnsi="宋体"/>
          <w:b w:val="0"/>
          <w:bCs/>
          <w:color w:val="auto"/>
          <w:sz w:val="24"/>
          <w:highlight w:val="none"/>
          <w:lang w:eastAsia="zh-CN"/>
        </w:rPr>
        <w:t>，并将代理费计入供应商报价成本中。</w:t>
      </w:r>
    </w:p>
    <w:p w14:paraId="589843EA">
      <w:pPr>
        <w:keepNext w:val="0"/>
        <w:keepLines w:val="0"/>
        <w:pageBreakBefore w:val="0"/>
        <w:widowControl w:val="0"/>
        <w:spacing w:line="360" w:lineRule="auto"/>
        <w:ind w:firstLine="482"/>
        <w:rPr>
          <w:rFonts w:hint="eastAsia" w:ascii="宋体" w:hAnsi="宋体"/>
          <w:b/>
          <w:color w:val="auto"/>
          <w:sz w:val="24"/>
          <w:highlight w:val="none"/>
        </w:rPr>
      </w:pPr>
      <w:bookmarkStart w:id="71" w:name="EB3140ac15ffe94745a99198862d707f3f"/>
      <w:r>
        <w:rPr>
          <w:rFonts w:hint="eastAsia" w:ascii="宋体" w:hAnsi="宋体"/>
          <w:b/>
          <w:color w:val="auto"/>
          <w:sz w:val="24"/>
          <w:highlight w:val="none"/>
        </w:rPr>
        <w:t>☑</w:t>
      </w:r>
      <w:bookmarkEnd w:id="71"/>
      <w:bookmarkStart w:id="72" w:name="EB43d98a67a624490d81135a7e75760740"/>
      <w:r>
        <w:rPr>
          <w:rFonts w:hint="eastAsia" w:ascii="宋体" w:hAnsi="宋体"/>
          <w:b/>
          <w:color w:val="auto"/>
          <w:sz w:val="24"/>
          <w:highlight w:val="none"/>
        </w:rPr>
        <w:t>成交供应商需向代理机构缴纳</w:t>
      </w:r>
      <w:r>
        <w:rPr>
          <w:rFonts w:hint="eastAsia" w:ascii="宋体" w:hAnsi="宋体"/>
          <w:b/>
          <w:color w:val="auto"/>
          <w:sz w:val="24"/>
          <w:highlight w:val="none"/>
          <w:lang w:val="en-US" w:eastAsia="zh-CN"/>
        </w:rPr>
        <w:t>贰万玖仟元整</w:t>
      </w:r>
      <w:r>
        <w:rPr>
          <w:rFonts w:hint="eastAsia" w:ascii="宋体" w:hAnsi="宋体"/>
          <w:b/>
          <w:color w:val="auto"/>
          <w:sz w:val="24"/>
          <w:highlight w:val="none"/>
        </w:rPr>
        <w:t>（中标后按最终实际结算为准）服务费。</w:t>
      </w:r>
    </w:p>
    <w:p w14:paraId="103FEF1B">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收费标准：招标代理服务费根据“关于印发《江苏省招标代理服务收费的指导意见》的通知（苏招协</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2022</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002）”中的</w:t>
      </w:r>
      <w:r>
        <w:rPr>
          <w:rFonts w:hint="eastAsia" w:ascii="宋体" w:hAnsi="宋体"/>
          <w:b w:val="0"/>
          <w:bCs/>
          <w:color w:val="auto"/>
          <w:sz w:val="24"/>
          <w:highlight w:val="none"/>
          <w:lang w:eastAsia="zh-CN"/>
        </w:rPr>
        <w:t>工程</w:t>
      </w:r>
      <w:r>
        <w:rPr>
          <w:rFonts w:hint="eastAsia" w:ascii="宋体" w:hAnsi="宋体"/>
          <w:b w:val="0"/>
          <w:bCs/>
          <w:color w:val="auto"/>
          <w:sz w:val="24"/>
          <w:highlight w:val="none"/>
        </w:rPr>
        <w:t>类费率标准计取，最终取费按固定总价收取。</w:t>
      </w:r>
    </w:p>
    <w:p w14:paraId="27B3E22C">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磋商代理费用收款信息：</w:t>
      </w:r>
    </w:p>
    <w:p w14:paraId="24FF0213">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收款单位：</w:t>
      </w:r>
      <w:r>
        <w:rPr>
          <w:rFonts w:hint="eastAsia" w:ascii="宋体" w:hAnsi="宋体"/>
          <w:b w:val="0"/>
          <w:bCs/>
          <w:color w:val="auto"/>
          <w:sz w:val="24"/>
          <w:highlight w:val="none"/>
          <w:lang w:eastAsia="zh-CN"/>
        </w:rPr>
        <w:t>江苏万信项目管理有限公司</w:t>
      </w:r>
    </w:p>
    <w:p w14:paraId="05B212CA">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收款账号：</w:t>
      </w:r>
      <w:r>
        <w:rPr>
          <w:rFonts w:hint="eastAsia" w:ascii="宋体" w:hAnsi="宋体"/>
          <w:b w:val="0"/>
          <w:bCs/>
          <w:color w:val="auto"/>
          <w:sz w:val="24"/>
          <w:highlight w:val="none"/>
          <w:lang w:val="en-US" w:eastAsia="zh-CN"/>
        </w:rPr>
        <w:t>70600188000070456</w:t>
      </w:r>
    </w:p>
    <w:p w14:paraId="232797B1">
      <w:pPr>
        <w:keepNext w:val="0"/>
        <w:keepLines w:val="0"/>
        <w:pageBreakBefore w:val="0"/>
        <w:widowControl w:val="0"/>
        <w:spacing w:line="360" w:lineRule="auto"/>
        <w:ind w:firstLine="480"/>
        <w:rPr>
          <w:rFonts w:hint="eastAsia" w:ascii="宋体" w:hAnsi="宋体"/>
          <w:b w:val="0"/>
          <w:bCs/>
          <w:color w:val="auto"/>
          <w:sz w:val="24"/>
          <w:highlight w:val="none"/>
          <w:lang w:val="en-US" w:eastAsia="zh-CN"/>
        </w:rPr>
      </w:pPr>
      <w:r>
        <w:rPr>
          <w:rFonts w:hint="eastAsia" w:ascii="宋体" w:hAnsi="宋体"/>
          <w:b w:val="0"/>
          <w:bCs/>
          <w:color w:val="auto"/>
          <w:sz w:val="24"/>
          <w:highlight w:val="none"/>
        </w:rPr>
        <w:t>开户银行：</w:t>
      </w:r>
      <w:bookmarkEnd w:id="72"/>
      <w:bookmarkStart w:id="73" w:name="EB7c64003d7e0e4e5ea43cca1ed8ad389b"/>
      <w:r>
        <w:rPr>
          <w:rFonts w:hint="eastAsia" w:ascii="宋体" w:hAnsi="宋体"/>
          <w:b w:val="0"/>
          <w:bCs/>
          <w:color w:val="auto"/>
          <w:sz w:val="24"/>
          <w:highlight w:val="none"/>
          <w:lang w:val="en-US" w:eastAsia="zh-CN"/>
        </w:rPr>
        <w:t>江苏银行丹金路支行</w:t>
      </w:r>
      <w:bookmarkEnd w:id="73"/>
    </w:p>
    <w:p w14:paraId="61E2270C">
      <w:pPr>
        <w:spacing w:line="360" w:lineRule="auto"/>
        <w:ind w:firstLine="480"/>
        <w:rPr>
          <w:rFonts w:ascii="宋体" w:hAnsi="宋体"/>
          <w:color w:val="auto"/>
          <w:sz w:val="24"/>
          <w:highlight w:val="none"/>
        </w:rPr>
      </w:pPr>
      <w:r>
        <w:rPr>
          <w:rFonts w:hint="eastAsia" w:ascii="宋体" w:hAnsi="宋体"/>
          <w:color w:val="auto"/>
          <w:sz w:val="24"/>
          <w:highlight w:val="none"/>
        </w:rPr>
        <w:t>4.2不论磋商的结果如何，磋商组织方在任何情况下均无义务和责任承担上述费用。</w:t>
      </w:r>
    </w:p>
    <w:p w14:paraId="156D5310">
      <w:pPr>
        <w:pStyle w:val="190"/>
        <w:keepNext w:val="0"/>
        <w:keepLines w:val="0"/>
        <w:spacing w:before="200" w:after="200" w:line="360" w:lineRule="auto"/>
        <w:ind w:firstLine="446"/>
        <w:rPr>
          <w:rFonts w:ascii="宋体" w:hAnsi="宋体"/>
          <w:color w:val="auto"/>
          <w:sz w:val="30"/>
          <w:highlight w:val="none"/>
        </w:rPr>
      </w:pPr>
      <w:bookmarkStart w:id="74" w:name="_Toc2196"/>
      <w:bookmarkStart w:id="75" w:name="_Toc73365472"/>
      <w:bookmarkStart w:id="76" w:name="_Toc73364859"/>
      <w:bookmarkStart w:id="77" w:name="_Toc27353"/>
      <w:bookmarkStart w:id="78" w:name="_Toc7472"/>
      <w:bookmarkStart w:id="79" w:name="_Toc28861"/>
      <w:r>
        <w:rPr>
          <w:rFonts w:hint="eastAsia" w:ascii="宋体" w:hAnsi="宋体"/>
          <w:color w:val="auto"/>
          <w:sz w:val="30"/>
          <w:highlight w:val="none"/>
        </w:rPr>
        <w:t>5．政策功能</w:t>
      </w:r>
      <w:bookmarkEnd w:id="74"/>
      <w:bookmarkEnd w:id="75"/>
      <w:bookmarkEnd w:id="76"/>
      <w:bookmarkEnd w:id="77"/>
      <w:bookmarkEnd w:id="78"/>
      <w:bookmarkEnd w:id="79"/>
    </w:p>
    <w:p w14:paraId="26703F25">
      <w:pPr>
        <w:spacing w:line="360" w:lineRule="auto"/>
        <w:ind w:firstLine="480"/>
        <w:rPr>
          <w:rFonts w:hint="eastAsia" w:ascii="宋体" w:hAnsi="宋体"/>
          <w:bCs/>
          <w:color w:val="auto"/>
          <w:sz w:val="24"/>
          <w:highlight w:val="none"/>
        </w:rPr>
      </w:pPr>
      <w:bookmarkStart w:id="80" w:name="EBb58ba9c21455448fab293ab7ccebb5a9"/>
      <w:r>
        <w:rPr>
          <w:rFonts w:hint="eastAsia" w:ascii="宋体" w:hAnsi="宋体"/>
          <w:bCs/>
          <w:color w:val="auto"/>
          <w:sz w:val="24"/>
          <w:highlight w:val="none"/>
        </w:rPr>
        <w:t>5.1支持中小企业发展</w:t>
      </w:r>
    </w:p>
    <w:p w14:paraId="602BC82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9BBF7B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符合中小企业划分标准的个体工商户，在政府采购活动中视同中小企业。</w:t>
      </w:r>
    </w:p>
    <w:p w14:paraId="6891529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5.1.2在政府采购活动中，投标人提供的货物、工程或者服务符合下列情形的，享受中小企业扶持政策：</w:t>
      </w:r>
    </w:p>
    <w:p w14:paraId="4ADD4AF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5.1.2.1在货物采购项目中，货物由中小企业制造，即货物由中小企业生产且使用该中小企业商号或者注册商标；</w:t>
      </w:r>
    </w:p>
    <w:p w14:paraId="47DCB5B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5.1.2.2在工程采购项目中，工程由中小企业承建，即工程施工单位为中小企业；</w:t>
      </w:r>
    </w:p>
    <w:p w14:paraId="77FA1BA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5.1.2.3在服务采购项目中，服务由中小企业承接，即提供服务的人员为中小企业依照《中华人民共和国劳动合同法》订立劳动合同的从业人员。</w:t>
      </w:r>
    </w:p>
    <w:p w14:paraId="78B3BE9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在货物采购项目中，投标人提供的货物既有中小企业制造货物，也有大型企业制造货物的，不享受中小企业扶持政策。</w:t>
      </w:r>
    </w:p>
    <w:p w14:paraId="39E335D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以联合体形式参加政府采购活动，联合体各方均为中小企业的，联合体视同中小企业。其中，联合体各方均为小微企业的，联合体视同小微企业。</w:t>
      </w:r>
    </w:p>
    <w:p w14:paraId="7BEEA5C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w:t>
      </w:r>
      <w:r>
        <w:rPr>
          <w:rFonts w:hint="eastAsia" w:ascii="宋体" w:hAnsi="宋体"/>
          <w:bCs/>
          <w:color w:val="auto"/>
          <w:sz w:val="24"/>
          <w:highlight w:val="none"/>
        </w:rPr>
        <w:t>2011</w:t>
      </w:r>
      <w:r>
        <w:rPr>
          <w:rFonts w:hint="eastAsia" w:ascii="宋体" w:hAnsi="宋体"/>
          <w:bCs/>
          <w:color w:val="auto"/>
          <w:sz w:val="24"/>
          <w:highlight w:val="none"/>
          <w:lang w:eastAsia="zh-CN"/>
        </w:rPr>
        <w:t>〕</w:t>
      </w:r>
      <w:r>
        <w:rPr>
          <w:rFonts w:hint="eastAsia" w:ascii="宋体" w:hAnsi="宋体"/>
          <w:bCs/>
          <w:color w:val="auto"/>
          <w:sz w:val="24"/>
          <w:highlight w:val="none"/>
        </w:rPr>
        <w:t>300号）。</w:t>
      </w:r>
    </w:p>
    <w:p w14:paraId="31FAC3F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787564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47C9EFD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5.1.6中小企业享受扶持政策获得政府采购合同的，小微企业不得将合同分包给大中型企业，中型企业不得将合同分包给大型企业。</w:t>
      </w:r>
    </w:p>
    <w:p w14:paraId="3CB3F1F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5.2强制采购信息安全产品</w:t>
      </w:r>
    </w:p>
    <w:p w14:paraId="36B071A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信息安全产品指国家质检总局国家认监委《信息安全产品强制性认证目录》，并获得强制性产品认证证书的产品。</w:t>
      </w:r>
    </w:p>
    <w:p w14:paraId="005671F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5.3支持绿色发展</w:t>
      </w:r>
    </w:p>
    <w:p w14:paraId="46D0487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E1ED56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5.3.2本项目中涉及商品包装和快递包装的，参考《财政部办公厅关于印发《商品包装政府采购需求标准（试行）》、《快递包装政府采购需求标准（试行）》的通知》（财办库〔2020〕123号）规定的包装需求标准。</w:t>
      </w:r>
    </w:p>
    <w:p w14:paraId="6FA87FE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3DF8B81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5.3.4采购人采购数据中心相关设备、运维服务，按照《绿色数据中心政府采购需求标准（试行）》实施相关采购活动。</w:t>
      </w:r>
    </w:p>
    <w:p w14:paraId="2288F82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5.4 根据国家扶持中小企业的有关政策，采购项目中标人在履约过程中如遇到资金困难，凭政府采购合同在相关金融机构办理授信申请，相关事宜请查阅“江苏政府采购网---政采贷”网站。</w:t>
      </w:r>
    </w:p>
    <w:p w14:paraId="4474014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5.5支持创新发展</w:t>
      </w:r>
    </w:p>
    <w:p w14:paraId="545BF30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5.5.1采购人优先采购被认定为重点推广应用、首台（套）重大装备、重点领域首版次软件的自主创新产品。</w:t>
      </w:r>
    </w:p>
    <w:p w14:paraId="2BB7B25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5.6平等对待内外资企业和符合条件的破产重整企业</w:t>
      </w:r>
    </w:p>
    <w:p w14:paraId="6496268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5.6.1平等对待内外资企业和符合条件的破产重整企业，切实保障企业公平竞争，平等维护企业的合法利益。</w:t>
      </w:r>
    </w:p>
    <w:p w14:paraId="313D401E">
      <w:pPr>
        <w:spacing w:line="360" w:lineRule="auto"/>
        <w:ind w:firstLine="480"/>
        <w:rPr>
          <w:color w:val="auto"/>
          <w:highlight w:val="none"/>
        </w:rPr>
      </w:pPr>
      <w:r>
        <w:rPr>
          <w:rFonts w:hint="eastAsia" w:ascii="宋体" w:hAnsi="宋体"/>
          <w:bCs/>
          <w:color w:val="auto"/>
          <w:sz w:val="24"/>
          <w:highlight w:val="none"/>
        </w:rPr>
        <w:t>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w:t>
      </w:r>
      <w:r>
        <w:rPr>
          <w:rFonts w:hint="eastAsia" w:ascii="宋体" w:hAnsi="宋体"/>
          <w:bCs/>
          <w:color w:val="auto"/>
          <w:sz w:val="24"/>
          <w:highlight w:val="none"/>
        </w:rPr>
        <w:t>2023</w:t>
      </w:r>
      <w:r>
        <w:rPr>
          <w:rFonts w:hint="eastAsia" w:ascii="宋体" w:hAnsi="宋体"/>
          <w:bCs/>
          <w:color w:val="auto"/>
          <w:sz w:val="24"/>
          <w:highlight w:val="none"/>
          <w:lang w:eastAsia="zh-CN"/>
        </w:rPr>
        <w:t>〕</w:t>
      </w:r>
      <w:r>
        <w:rPr>
          <w:rFonts w:hint="eastAsia" w:ascii="宋体" w:hAnsi="宋体"/>
          <w:bCs/>
          <w:color w:val="auto"/>
          <w:sz w:val="24"/>
          <w:highlight w:val="none"/>
        </w:rPr>
        <w:t>150号）要求，参与采购活动且中标、成交的企业，可以用履约保函（保险）形式代替提供履约保证金。</w:t>
      </w:r>
      <w:bookmarkEnd w:id="80"/>
    </w:p>
    <w:p w14:paraId="0229065B">
      <w:pPr>
        <w:pStyle w:val="189"/>
        <w:rPr>
          <w:rFonts w:ascii="宋体" w:hAnsi="宋体" w:eastAsia="宋体"/>
          <w:color w:val="auto"/>
          <w:sz w:val="32"/>
          <w:highlight w:val="none"/>
        </w:rPr>
      </w:pPr>
      <w:bookmarkStart w:id="81" w:name="_Toc28736"/>
      <w:bookmarkStart w:id="82" w:name="_Toc73365473"/>
      <w:bookmarkStart w:id="83" w:name="_Toc73364860"/>
      <w:r>
        <w:rPr>
          <w:rFonts w:hint="eastAsia" w:ascii="宋体" w:hAnsi="宋体" w:eastAsia="宋体"/>
          <w:color w:val="auto"/>
          <w:sz w:val="32"/>
          <w:highlight w:val="none"/>
        </w:rPr>
        <w:t>二、磋商文件</w:t>
      </w:r>
      <w:bookmarkEnd w:id="81"/>
      <w:bookmarkEnd w:id="82"/>
      <w:bookmarkEnd w:id="83"/>
    </w:p>
    <w:p w14:paraId="6D95B416">
      <w:pPr>
        <w:pStyle w:val="190"/>
        <w:keepNext w:val="0"/>
        <w:keepLines w:val="0"/>
        <w:spacing w:before="200" w:after="200" w:line="360" w:lineRule="auto"/>
        <w:ind w:firstLine="446"/>
        <w:rPr>
          <w:rFonts w:ascii="宋体" w:hAnsi="宋体"/>
          <w:color w:val="auto"/>
          <w:sz w:val="30"/>
          <w:highlight w:val="none"/>
        </w:rPr>
      </w:pPr>
      <w:bookmarkStart w:id="84" w:name="_Toc15507"/>
      <w:bookmarkStart w:id="85" w:name="_Toc30018"/>
      <w:bookmarkStart w:id="86" w:name="_Toc73365474"/>
      <w:bookmarkStart w:id="87" w:name="_Toc24644"/>
      <w:bookmarkStart w:id="88" w:name="_Toc73364861"/>
      <w:bookmarkStart w:id="89" w:name="_Toc32660"/>
      <w:r>
        <w:rPr>
          <w:rFonts w:hint="eastAsia" w:ascii="宋体" w:hAnsi="宋体"/>
          <w:color w:val="auto"/>
          <w:sz w:val="30"/>
          <w:highlight w:val="none"/>
        </w:rPr>
        <w:t>6．磋商文件组成</w:t>
      </w:r>
      <w:bookmarkEnd w:id="84"/>
      <w:bookmarkEnd w:id="85"/>
      <w:bookmarkEnd w:id="86"/>
      <w:bookmarkEnd w:id="87"/>
      <w:bookmarkEnd w:id="88"/>
      <w:bookmarkEnd w:id="89"/>
    </w:p>
    <w:p w14:paraId="4C7C263B">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6.1磋商文件包括：</w:t>
      </w:r>
    </w:p>
    <w:p w14:paraId="61DFE7BA">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（1）磋商邀请</w:t>
      </w:r>
    </w:p>
    <w:p w14:paraId="41AB482A">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（2）供应商须知</w:t>
      </w:r>
    </w:p>
    <w:p w14:paraId="19759611">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（3）合同</w:t>
      </w:r>
    </w:p>
    <w:p w14:paraId="06E33B9C">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（4）采购需求</w:t>
      </w:r>
    </w:p>
    <w:p w14:paraId="2FFE8A47">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（5）评审办法和标准</w:t>
      </w:r>
    </w:p>
    <w:p w14:paraId="3C1FD7B8">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（6）磋商响应文件（格式）</w:t>
      </w:r>
    </w:p>
    <w:p w14:paraId="6DF55E7E">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6.2供应商获取本文件后，应认真阅读本文件中所有的事项、格式条款和规范等要求。</w:t>
      </w:r>
    </w:p>
    <w:p w14:paraId="65CCB100">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6.3</w:t>
      </w:r>
      <w:r>
        <w:rPr>
          <w:rFonts w:hint="eastAsia" w:ascii="宋体" w:hAnsi="宋体"/>
          <w:b/>
          <w:color w:val="auto"/>
          <w:sz w:val="24"/>
          <w:highlight w:val="none"/>
          <w:u w:val="single"/>
        </w:rPr>
        <w:t>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w:t>
      </w:r>
    </w:p>
    <w:p w14:paraId="025103A1">
      <w:pPr>
        <w:pStyle w:val="190"/>
        <w:keepNext w:val="0"/>
        <w:keepLines w:val="0"/>
        <w:spacing w:before="200" w:after="200" w:line="360" w:lineRule="auto"/>
        <w:ind w:firstLine="446"/>
        <w:rPr>
          <w:rFonts w:ascii="宋体" w:hAnsi="宋体"/>
          <w:color w:val="auto"/>
          <w:sz w:val="30"/>
          <w:highlight w:val="none"/>
        </w:rPr>
      </w:pPr>
      <w:bookmarkStart w:id="90" w:name="_Toc32389"/>
      <w:bookmarkStart w:id="91" w:name="_Toc73365475"/>
      <w:bookmarkStart w:id="92" w:name="_Toc22916"/>
      <w:bookmarkStart w:id="93" w:name="_Toc6982"/>
      <w:bookmarkStart w:id="94" w:name="_Toc7192"/>
      <w:bookmarkStart w:id="95" w:name="_Toc73364862"/>
      <w:r>
        <w:rPr>
          <w:rFonts w:hint="eastAsia" w:ascii="宋体" w:hAnsi="宋体"/>
          <w:color w:val="auto"/>
          <w:sz w:val="30"/>
          <w:highlight w:val="none"/>
        </w:rPr>
        <w:t>7．磋商文件的澄清和修改</w:t>
      </w:r>
      <w:bookmarkEnd w:id="90"/>
      <w:bookmarkEnd w:id="91"/>
      <w:bookmarkEnd w:id="92"/>
      <w:bookmarkEnd w:id="93"/>
      <w:bookmarkEnd w:id="94"/>
      <w:bookmarkEnd w:id="95"/>
    </w:p>
    <w:p w14:paraId="6F49F635">
      <w:pPr>
        <w:spacing w:line="360" w:lineRule="auto"/>
        <w:ind w:firstLine="480"/>
        <w:rPr>
          <w:rFonts w:ascii="宋体" w:hAnsi="宋体"/>
          <w:color w:val="auto"/>
          <w:sz w:val="24"/>
          <w:highlight w:val="none"/>
        </w:rPr>
      </w:pPr>
      <w:r>
        <w:rPr>
          <w:rFonts w:hint="eastAsia" w:ascii="宋体" w:hAnsi="宋体"/>
          <w:color w:val="auto"/>
          <w:sz w:val="24"/>
          <w:highlight w:val="none"/>
        </w:rPr>
        <w:t>7.1任何要求对磋商文件进行澄清的供应商，应及时联系项目联系人。</w:t>
      </w:r>
    </w:p>
    <w:p w14:paraId="0D5328C7">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按照权责相一致原则，供应商提出的对于磋商文件主要商务、技术指标的相关澄清、修改要求，由采购人负责答复并视情况作出澄清或修改的决定。</w:t>
      </w:r>
    </w:p>
    <w:p w14:paraId="1ED7382D">
      <w:pPr>
        <w:spacing w:line="360" w:lineRule="auto"/>
        <w:ind w:firstLine="480"/>
        <w:rPr>
          <w:rFonts w:ascii="宋体" w:hAnsi="宋体"/>
          <w:color w:val="auto"/>
          <w:sz w:val="24"/>
          <w:highlight w:val="none"/>
        </w:rPr>
      </w:pPr>
      <w:r>
        <w:rPr>
          <w:rFonts w:hint="eastAsia" w:ascii="宋体" w:hAnsi="宋体"/>
          <w:color w:val="auto"/>
          <w:sz w:val="24"/>
          <w:highlight w:val="none"/>
        </w:rPr>
        <w:t>7.3磋商组织方可以对已发出的磋商文件进行必要的澄清或者修改。澄清或者修改将在“</w:t>
      </w:r>
      <w:r>
        <w:rPr>
          <w:rFonts w:hint="eastAsia" w:ascii="宋体" w:hAnsi="宋体"/>
          <w:color w:val="auto"/>
          <w:sz w:val="24"/>
          <w:highlight w:val="none"/>
          <w:lang w:eastAsia="zh-CN"/>
        </w:rPr>
        <w:t>江苏省政府采购网站</w:t>
      </w:r>
      <w:r>
        <w:rPr>
          <w:rFonts w:hint="eastAsia" w:ascii="宋体" w:hAnsi="宋体"/>
          <w:color w:val="auto"/>
          <w:sz w:val="24"/>
          <w:highlight w:val="none"/>
        </w:rPr>
        <w:t>”网站上发布澄清公告。澄清或者修改的内容为磋商文件的组成部分。</w:t>
      </w:r>
    </w:p>
    <w:p w14:paraId="750296C9">
      <w:pPr>
        <w:spacing w:line="360" w:lineRule="auto"/>
        <w:ind w:firstLine="480"/>
        <w:rPr>
          <w:rFonts w:ascii="宋体" w:hAnsi="宋体"/>
          <w:color w:val="auto"/>
          <w:sz w:val="24"/>
          <w:highlight w:val="none"/>
        </w:rPr>
      </w:pPr>
      <w:r>
        <w:rPr>
          <w:rFonts w:hint="eastAsia" w:ascii="宋体" w:hAnsi="宋体"/>
          <w:color w:val="auto"/>
          <w:sz w:val="24"/>
          <w:highlight w:val="none"/>
        </w:rPr>
        <w:t>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119F65D9">
      <w:pPr>
        <w:spacing w:line="360" w:lineRule="auto"/>
        <w:ind w:firstLine="482"/>
        <w:rPr>
          <w:color w:val="auto"/>
          <w:highlight w:val="none"/>
        </w:rPr>
      </w:pPr>
      <w:r>
        <w:rPr>
          <w:rFonts w:hint="eastAsia" w:ascii="宋体" w:hAnsi="宋体"/>
          <w:b/>
          <w:color w:val="auto"/>
          <w:sz w:val="24"/>
          <w:highlight w:val="none"/>
        </w:rPr>
        <w:t>7.5如澄清或修改公告有重新发布电子磋商文件的，供应商应下载最新发布的电子磋商文件制作响应文件。</w:t>
      </w:r>
      <w:r>
        <w:rPr>
          <w:rFonts w:ascii="宋体" w:hAnsi="宋体"/>
          <w:b/>
          <w:color w:val="auto"/>
          <w:sz w:val="24"/>
          <w:highlight w:val="none"/>
        </w:rPr>
        <w:t>因供应商自身原因未能及时获取的</w:t>
      </w:r>
      <w:r>
        <w:rPr>
          <w:rFonts w:hint="eastAsia" w:ascii="宋体" w:hAnsi="宋体"/>
          <w:b/>
          <w:color w:val="auto"/>
          <w:sz w:val="24"/>
          <w:highlight w:val="none"/>
        </w:rPr>
        <w:t>，一切后果由供应商自行承担。</w:t>
      </w:r>
    </w:p>
    <w:p w14:paraId="1DDC266E">
      <w:pPr>
        <w:pStyle w:val="189"/>
        <w:tabs>
          <w:tab w:val="left" w:pos="6444"/>
        </w:tabs>
        <w:jc w:val="center"/>
        <w:rPr>
          <w:rFonts w:ascii="宋体" w:hAnsi="宋体" w:eastAsia="宋体"/>
          <w:color w:val="auto"/>
          <w:sz w:val="32"/>
          <w:highlight w:val="none"/>
        </w:rPr>
      </w:pPr>
      <w:bookmarkStart w:id="96" w:name="_Toc73365476"/>
      <w:bookmarkStart w:id="97" w:name="_Toc13491"/>
      <w:bookmarkStart w:id="98" w:name="_Toc73364863"/>
      <w:r>
        <w:rPr>
          <w:rFonts w:hint="eastAsia" w:ascii="宋体" w:hAnsi="宋体" w:eastAsia="宋体"/>
          <w:color w:val="auto"/>
          <w:sz w:val="32"/>
          <w:highlight w:val="none"/>
        </w:rPr>
        <w:t>三、磋商响应文件</w:t>
      </w:r>
      <w:bookmarkEnd w:id="96"/>
      <w:bookmarkEnd w:id="97"/>
      <w:bookmarkEnd w:id="98"/>
    </w:p>
    <w:p w14:paraId="4480A23F">
      <w:pPr>
        <w:pStyle w:val="190"/>
        <w:keepNext w:val="0"/>
        <w:keepLines w:val="0"/>
        <w:spacing w:before="200" w:after="200" w:line="360" w:lineRule="auto"/>
        <w:ind w:firstLine="446"/>
        <w:rPr>
          <w:rFonts w:ascii="宋体" w:hAnsi="宋体"/>
          <w:color w:val="auto"/>
          <w:sz w:val="30"/>
          <w:highlight w:val="none"/>
        </w:rPr>
      </w:pPr>
      <w:bookmarkStart w:id="99" w:name="_Toc30589"/>
      <w:bookmarkStart w:id="100" w:name="_Toc73364864"/>
      <w:bookmarkStart w:id="101" w:name="_Toc26079"/>
      <w:bookmarkStart w:id="102" w:name="_Toc2411"/>
      <w:bookmarkStart w:id="103" w:name="_Toc28680"/>
      <w:bookmarkStart w:id="104" w:name="_Toc73365477"/>
      <w:r>
        <w:rPr>
          <w:rFonts w:hint="eastAsia" w:ascii="宋体" w:hAnsi="宋体"/>
          <w:color w:val="auto"/>
          <w:sz w:val="30"/>
          <w:highlight w:val="none"/>
        </w:rPr>
        <w:t>8．编制响应文件的工具</w:t>
      </w:r>
      <w:bookmarkEnd w:id="99"/>
      <w:bookmarkEnd w:id="100"/>
      <w:bookmarkEnd w:id="101"/>
      <w:bookmarkEnd w:id="102"/>
      <w:bookmarkEnd w:id="103"/>
      <w:bookmarkEnd w:id="104"/>
    </w:p>
    <w:p w14:paraId="23EC92A1">
      <w:pPr>
        <w:spacing w:line="360" w:lineRule="auto"/>
        <w:ind w:firstLine="480"/>
        <w:rPr>
          <w:rFonts w:ascii="宋体" w:hAnsi="宋体"/>
          <w:color w:val="auto"/>
          <w:sz w:val="24"/>
          <w:highlight w:val="none"/>
        </w:rPr>
      </w:pPr>
      <w:r>
        <w:rPr>
          <w:rFonts w:hint="eastAsia" w:ascii="宋体" w:hAnsi="宋体"/>
          <w:color w:val="auto"/>
          <w:sz w:val="24"/>
          <w:highlight w:val="none"/>
        </w:rPr>
        <w:t>8.1供应商须通过“苏采云（政府采购一体化平台）”提供的最新响应文件制作软件编制响应文件。</w:t>
      </w:r>
    </w:p>
    <w:p w14:paraId="3B0D622E">
      <w:pPr>
        <w:pStyle w:val="190"/>
        <w:keepNext w:val="0"/>
        <w:keepLines w:val="0"/>
        <w:spacing w:before="200" w:after="200" w:line="360" w:lineRule="auto"/>
        <w:ind w:firstLine="446"/>
        <w:rPr>
          <w:rFonts w:ascii="宋体" w:hAnsi="宋体"/>
          <w:color w:val="auto"/>
          <w:sz w:val="30"/>
          <w:highlight w:val="none"/>
        </w:rPr>
      </w:pPr>
      <w:bookmarkStart w:id="105" w:name="_Toc73365478"/>
      <w:bookmarkStart w:id="106" w:name="_Toc73364865"/>
      <w:bookmarkStart w:id="107" w:name="_Toc11675"/>
      <w:bookmarkStart w:id="108" w:name="_Toc20389"/>
      <w:bookmarkStart w:id="109" w:name="_Toc11644"/>
      <w:bookmarkStart w:id="110" w:name="_Toc29007"/>
      <w:r>
        <w:rPr>
          <w:rFonts w:hint="eastAsia" w:ascii="宋体" w:hAnsi="宋体"/>
          <w:color w:val="auto"/>
          <w:sz w:val="30"/>
          <w:highlight w:val="none"/>
        </w:rPr>
        <w:t>9．响应文件语言及度量衡单位</w:t>
      </w:r>
      <w:bookmarkEnd w:id="105"/>
      <w:bookmarkEnd w:id="106"/>
      <w:bookmarkEnd w:id="107"/>
      <w:bookmarkEnd w:id="108"/>
      <w:bookmarkEnd w:id="109"/>
      <w:bookmarkEnd w:id="110"/>
    </w:p>
    <w:p w14:paraId="2786F617">
      <w:pPr>
        <w:spacing w:line="360" w:lineRule="auto"/>
        <w:ind w:firstLine="480"/>
        <w:rPr>
          <w:rFonts w:ascii="宋体" w:hAnsi="宋体"/>
          <w:color w:val="auto"/>
          <w:sz w:val="24"/>
          <w:highlight w:val="none"/>
        </w:rPr>
      </w:pPr>
      <w:r>
        <w:rPr>
          <w:rFonts w:hint="eastAsia" w:ascii="宋体" w:hAnsi="宋体"/>
          <w:color w:val="auto"/>
          <w:sz w:val="24"/>
          <w:highlight w:val="none"/>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2AF6DE30">
      <w:pPr>
        <w:spacing w:line="360" w:lineRule="auto"/>
        <w:ind w:firstLine="480"/>
        <w:rPr>
          <w:rFonts w:ascii="宋体" w:hAnsi="宋体"/>
          <w:color w:val="auto"/>
          <w:sz w:val="24"/>
          <w:highlight w:val="none"/>
        </w:rPr>
      </w:pPr>
      <w:r>
        <w:rPr>
          <w:rFonts w:hint="eastAsia" w:ascii="宋体" w:hAnsi="宋体"/>
          <w:color w:val="auto"/>
          <w:sz w:val="24"/>
          <w:highlight w:val="none"/>
        </w:rPr>
        <w:t>9.2响应文件中所使用的计量单位除磋商文件中另有特殊规定外，一律使用法定计量单位。</w:t>
      </w:r>
    </w:p>
    <w:p w14:paraId="5E8DBD22">
      <w:pPr>
        <w:pStyle w:val="190"/>
        <w:keepNext w:val="0"/>
        <w:keepLines w:val="0"/>
        <w:spacing w:before="200" w:after="200" w:line="360" w:lineRule="auto"/>
        <w:ind w:firstLine="446"/>
        <w:rPr>
          <w:rFonts w:ascii="宋体" w:hAnsi="宋体"/>
          <w:color w:val="auto"/>
          <w:sz w:val="30"/>
          <w:highlight w:val="none"/>
        </w:rPr>
      </w:pPr>
      <w:bookmarkStart w:id="111" w:name="_Toc73364866"/>
      <w:bookmarkStart w:id="112" w:name="_Toc25557"/>
      <w:bookmarkStart w:id="113" w:name="_Toc27758"/>
      <w:bookmarkStart w:id="114" w:name="_Toc19105"/>
      <w:bookmarkStart w:id="115" w:name="_Toc73365479"/>
      <w:bookmarkStart w:id="116" w:name="_Toc2582"/>
      <w:r>
        <w:rPr>
          <w:rFonts w:hint="eastAsia" w:ascii="宋体" w:hAnsi="宋体"/>
          <w:color w:val="auto"/>
          <w:sz w:val="30"/>
          <w:highlight w:val="none"/>
        </w:rPr>
        <w:t>10．响应文件的构成</w:t>
      </w:r>
      <w:bookmarkEnd w:id="111"/>
      <w:bookmarkEnd w:id="112"/>
      <w:bookmarkEnd w:id="113"/>
      <w:bookmarkEnd w:id="114"/>
      <w:bookmarkEnd w:id="115"/>
      <w:bookmarkEnd w:id="116"/>
    </w:p>
    <w:p w14:paraId="1AE970B3">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10.1响应文件分为资格部分、商务部分和技术部分。</w:t>
      </w:r>
    </w:p>
    <w:p w14:paraId="1B171BF7">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10.2资格部分系指供应商提交的证明其有资格参加磋商的文件。</w:t>
      </w:r>
    </w:p>
    <w:p w14:paraId="331E837D">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10.3商务部分系指供应商提交的证明其成交后有能力履行合同的文件。</w:t>
      </w:r>
    </w:p>
    <w:p w14:paraId="7E6A8EE2">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10.4技术部分系指供应商提交的能够证明其提供的服务（货物）符合磋商文件规定的文件。</w:t>
      </w:r>
    </w:p>
    <w:p w14:paraId="3ACEE2FA">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10.5具体填写格式详见磋商文件第六部分。</w:t>
      </w:r>
    </w:p>
    <w:p w14:paraId="5F34916F">
      <w:pPr>
        <w:pStyle w:val="190"/>
        <w:keepNext w:val="0"/>
        <w:keepLines w:val="0"/>
        <w:spacing w:before="200" w:after="200" w:line="360" w:lineRule="auto"/>
        <w:ind w:firstLine="446"/>
        <w:rPr>
          <w:rFonts w:ascii="宋体" w:hAnsi="宋体"/>
          <w:color w:val="auto"/>
          <w:sz w:val="30"/>
          <w:highlight w:val="none"/>
        </w:rPr>
      </w:pPr>
      <w:bookmarkStart w:id="117" w:name="_Toc73365480"/>
      <w:bookmarkStart w:id="118" w:name="_Toc9856"/>
      <w:bookmarkStart w:id="119" w:name="_Toc26282"/>
      <w:bookmarkStart w:id="120" w:name="_Toc9439"/>
      <w:bookmarkStart w:id="121" w:name="_Toc32121"/>
      <w:bookmarkStart w:id="122" w:name="_Toc73364867"/>
      <w:r>
        <w:rPr>
          <w:rFonts w:hint="eastAsia" w:ascii="宋体" w:hAnsi="宋体"/>
          <w:color w:val="auto"/>
          <w:sz w:val="30"/>
          <w:highlight w:val="none"/>
        </w:rPr>
        <w:t>11．响应文件的编写</w:t>
      </w:r>
      <w:bookmarkEnd w:id="117"/>
      <w:bookmarkEnd w:id="118"/>
      <w:bookmarkEnd w:id="119"/>
      <w:bookmarkEnd w:id="120"/>
      <w:bookmarkEnd w:id="121"/>
      <w:bookmarkEnd w:id="122"/>
    </w:p>
    <w:p w14:paraId="6441833F">
      <w:pPr>
        <w:spacing w:line="360" w:lineRule="auto"/>
        <w:ind w:left="1" w:firstLine="480"/>
        <w:rPr>
          <w:rFonts w:ascii="宋体" w:hAnsi="宋体"/>
          <w:b/>
          <w:color w:val="auto"/>
          <w:sz w:val="24"/>
          <w:highlight w:val="none"/>
        </w:rPr>
      </w:pPr>
      <w:r>
        <w:rPr>
          <w:rFonts w:hint="eastAsia" w:ascii="宋体" w:hAnsi="宋体"/>
          <w:color w:val="auto"/>
          <w:sz w:val="24"/>
          <w:highlight w:val="none"/>
        </w:rPr>
        <w:t>11.1供应商应仔细阅读磋商文件，按照磋商文件的要求编制响应文件。响应文件应当对磋商文件提出的要求和条件作出明确响应。</w:t>
      </w:r>
    </w:p>
    <w:p w14:paraId="3D9CDF3F">
      <w:pPr>
        <w:spacing w:line="360" w:lineRule="auto"/>
        <w:ind w:left="1" w:firstLine="480"/>
        <w:rPr>
          <w:rFonts w:ascii="宋体" w:hAnsi="宋体"/>
          <w:b/>
          <w:color w:val="auto"/>
          <w:sz w:val="24"/>
          <w:highlight w:val="none"/>
        </w:rPr>
      </w:pPr>
      <w:r>
        <w:rPr>
          <w:rFonts w:hint="eastAsia" w:ascii="宋体" w:hAnsi="宋体"/>
          <w:color w:val="auto"/>
          <w:sz w:val="24"/>
          <w:highlight w:val="none"/>
        </w:rPr>
        <w:t>11.2</w:t>
      </w:r>
      <w:r>
        <w:rPr>
          <w:rFonts w:hint="eastAsia" w:ascii="宋体" w:hAnsi="宋体"/>
          <w:b/>
          <w:color w:val="auto"/>
          <w:sz w:val="24"/>
          <w:highlight w:val="none"/>
        </w:rPr>
        <w:t>供应商在编制响应文件时，各模块内容须填写或提交到对应位置，无相应内容可填的项应填写“无”、“没有相应指标”等明确的回答文字。</w:t>
      </w:r>
    </w:p>
    <w:p w14:paraId="67270EC5">
      <w:pPr>
        <w:spacing w:line="360" w:lineRule="auto"/>
        <w:ind w:left="1" w:firstLine="480"/>
        <w:rPr>
          <w:rFonts w:ascii="宋体" w:hAnsi="宋体"/>
          <w:color w:val="auto"/>
          <w:sz w:val="24"/>
          <w:highlight w:val="none"/>
        </w:rPr>
      </w:pPr>
      <w:r>
        <w:rPr>
          <w:rFonts w:hint="eastAsia" w:ascii="宋体" w:hAnsi="宋体"/>
          <w:color w:val="auto"/>
          <w:sz w:val="24"/>
          <w:highlight w:val="none"/>
        </w:rPr>
        <w:t>11.3响应文件编排混乱、文字表达不清或上传资料内容模糊所引起的不利后果，由供应商自行承担。</w:t>
      </w:r>
    </w:p>
    <w:p w14:paraId="7D26E58C">
      <w:pPr>
        <w:spacing w:line="360" w:lineRule="auto"/>
        <w:ind w:left="1" w:firstLine="480"/>
        <w:rPr>
          <w:rFonts w:ascii="宋体" w:hAnsi="宋体"/>
          <w:b/>
          <w:color w:val="auto"/>
          <w:sz w:val="24"/>
          <w:highlight w:val="none"/>
        </w:rPr>
      </w:pPr>
      <w:r>
        <w:rPr>
          <w:rFonts w:hint="eastAsia" w:ascii="宋体" w:hAnsi="宋体"/>
          <w:color w:val="auto"/>
          <w:sz w:val="24"/>
          <w:highlight w:val="none"/>
        </w:rPr>
        <w:t>11.4</w:t>
      </w:r>
      <w:r>
        <w:rPr>
          <w:rFonts w:hint="eastAsia" w:ascii="宋体" w:hAnsi="宋体"/>
          <w:b/>
          <w:color w:val="auto"/>
          <w:sz w:val="24"/>
          <w:highlight w:val="none"/>
        </w:rPr>
        <w:t>供应商必须保证响应文件所提供的全部资料合法、真实、可靠。</w:t>
      </w:r>
    </w:p>
    <w:p w14:paraId="4FE9E50E">
      <w:pPr>
        <w:pStyle w:val="190"/>
        <w:keepNext w:val="0"/>
        <w:keepLines w:val="0"/>
        <w:tabs>
          <w:tab w:val="left" w:pos="5191"/>
        </w:tabs>
        <w:spacing w:before="200" w:after="200" w:line="360" w:lineRule="auto"/>
        <w:ind w:firstLine="446"/>
        <w:rPr>
          <w:rFonts w:ascii="宋体" w:hAnsi="宋体"/>
          <w:color w:val="auto"/>
          <w:sz w:val="30"/>
          <w:highlight w:val="none"/>
        </w:rPr>
      </w:pPr>
      <w:bookmarkStart w:id="123" w:name="_Toc26993"/>
      <w:bookmarkStart w:id="124" w:name="_Toc7550"/>
      <w:bookmarkStart w:id="125" w:name="_Toc5031"/>
      <w:bookmarkStart w:id="126" w:name="_Toc73365481"/>
      <w:bookmarkStart w:id="127" w:name="_Toc73364868"/>
      <w:bookmarkStart w:id="128" w:name="_Toc30606"/>
      <w:r>
        <w:rPr>
          <w:rFonts w:hint="eastAsia" w:ascii="宋体" w:hAnsi="宋体"/>
          <w:color w:val="auto"/>
          <w:sz w:val="30"/>
          <w:highlight w:val="none"/>
        </w:rPr>
        <w:t>12．响应报价</w:t>
      </w:r>
      <w:bookmarkEnd w:id="123"/>
      <w:bookmarkEnd w:id="124"/>
      <w:bookmarkEnd w:id="125"/>
      <w:bookmarkEnd w:id="126"/>
      <w:bookmarkEnd w:id="127"/>
      <w:bookmarkEnd w:id="128"/>
      <w:r>
        <w:rPr>
          <w:rFonts w:ascii="宋体" w:hAnsi="宋体"/>
          <w:color w:val="auto"/>
          <w:sz w:val="30"/>
          <w:highlight w:val="none"/>
        </w:rPr>
        <w:tab/>
      </w:r>
    </w:p>
    <w:p w14:paraId="15E40143">
      <w:pPr>
        <w:spacing w:line="360" w:lineRule="auto"/>
        <w:ind w:left="2" w:firstLine="480"/>
        <w:rPr>
          <w:rFonts w:hint="eastAsia" w:ascii="宋体" w:hAnsi="宋体"/>
          <w:color w:val="auto"/>
          <w:sz w:val="24"/>
          <w:highlight w:val="none"/>
        </w:rPr>
      </w:pPr>
      <w:bookmarkStart w:id="129" w:name="EBdf1224c9869e4463a955117a0de4c3b6"/>
      <w:r>
        <w:rPr>
          <w:rFonts w:hint="eastAsia" w:ascii="宋体" w:hAnsi="宋体"/>
          <w:color w:val="auto"/>
          <w:sz w:val="24"/>
          <w:highlight w:val="none"/>
        </w:rPr>
        <w:t>12.1磋商应以人民币报价（保留至小数点后2位，四舍五入）。</w:t>
      </w:r>
    </w:p>
    <w:p w14:paraId="6C3CB12E">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12.2供应商应按磋商文件所提供的各报价表格式报价。</w:t>
      </w:r>
    </w:p>
    <w:p w14:paraId="611E0B8A">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合同成交后，综合单价不予调整，除非合同另有约定</w:t>
      </w:r>
      <w:r>
        <w:rPr>
          <w:rFonts w:hint="eastAsia" w:ascii="宋体" w:hAnsi="宋体"/>
          <w:color w:val="auto"/>
          <w:sz w:val="24"/>
          <w:highlight w:val="none"/>
        </w:rPr>
        <w:t>。合同价款调整方法在合同中约定。</w:t>
      </w:r>
    </w:p>
    <w:p w14:paraId="08F6EC2A">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12.4 每种工程量只允许有一种报价，任何有选择报价将不予接受。供应商必须对磋商文件中所采购的所有工程量进行报价，只报其中部分工程量的磋商响应文件无效。</w:t>
      </w:r>
    </w:p>
    <w:p w14:paraId="69B34D69">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12.5供应商不得将以下不可竞争费用降低标准计取：</w:t>
      </w:r>
    </w:p>
    <w:p w14:paraId="768293B4">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（1）财政、税收、物价等部门批准的税金和行政性规费；</w:t>
      </w:r>
    </w:p>
    <w:p w14:paraId="6F510EB3">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（2）磋商文件明确的有关费用比例；</w:t>
      </w:r>
    </w:p>
    <w:p w14:paraId="1D5C1517">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（3）磋商文件中已经明确固定价格的材料、采购人供应的材料及暂定暂估的费用。</w:t>
      </w:r>
    </w:p>
    <w:p w14:paraId="5CAF41BF">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12.6供应商应按磋商文件的要求在响应文件里提供磋商首轮报价，并根据首轮报价在所附的首轮明细报价表上列明所提供工程的明细报价。</w:t>
      </w:r>
    </w:p>
    <w:p w14:paraId="7017603A">
      <w:pPr>
        <w:spacing w:line="360" w:lineRule="auto"/>
        <w:ind w:left="2" w:firstLine="480"/>
        <w:rPr>
          <w:rFonts w:hint="eastAsia" w:ascii="宋体" w:hAnsi="宋体"/>
          <w:color w:val="auto"/>
          <w:sz w:val="24"/>
          <w:highlight w:val="none"/>
        </w:rPr>
      </w:pPr>
      <w:r>
        <w:rPr>
          <w:rFonts w:hint="eastAsia" w:ascii="宋体" w:hAnsi="宋体"/>
          <w:b w:val="0"/>
          <w:bCs w:val="0"/>
          <w:color w:val="auto"/>
          <w:sz w:val="24"/>
          <w:highlight w:val="none"/>
        </w:rPr>
        <w:t>12.7</w:t>
      </w:r>
      <w:r>
        <w:rPr>
          <w:rFonts w:hint="eastAsia" w:ascii="宋体" w:hAnsi="宋体"/>
          <w:color w:val="auto"/>
          <w:sz w:val="24"/>
          <w:highlight w:val="none"/>
        </w:rPr>
        <w:t>在磋商过程中未对磋商内容作出实质性变更、修改的情况下，如最后报价超过首轮报价，则最后报价无效，以其首轮报价作为最后报价。</w:t>
      </w:r>
    </w:p>
    <w:p w14:paraId="6014DC12">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w:t>
      </w:r>
      <w:r>
        <w:rPr>
          <w:rFonts w:hint="eastAsia" w:ascii="宋体" w:hAnsi="宋体"/>
          <w:color w:val="auto"/>
          <w:sz w:val="24"/>
          <w:highlight w:val="none"/>
          <w:lang w:val="en-US" w:eastAsia="zh-CN"/>
        </w:rPr>
        <w:t>8</w:t>
      </w:r>
      <w:r>
        <w:rPr>
          <w:rFonts w:hint="eastAsia" w:ascii="宋体" w:hAnsi="宋体"/>
          <w:color w:val="auto"/>
          <w:sz w:val="24"/>
          <w:highlight w:val="none"/>
        </w:rPr>
        <w:t>最低磋商报价不能作为成交的唯一保证。</w:t>
      </w:r>
    </w:p>
    <w:p w14:paraId="1B38FD95">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w:t>
      </w:r>
      <w:r>
        <w:rPr>
          <w:rFonts w:hint="eastAsia" w:ascii="宋体" w:hAnsi="宋体"/>
          <w:color w:val="auto"/>
          <w:sz w:val="24"/>
          <w:highlight w:val="none"/>
          <w:lang w:val="en-US" w:eastAsia="zh-CN"/>
        </w:rPr>
        <w:t>9</w:t>
      </w:r>
      <w:r>
        <w:rPr>
          <w:rFonts w:hint="eastAsia" w:ascii="宋体" w:hAnsi="宋体"/>
          <w:color w:val="auto"/>
          <w:sz w:val="24"/>
          <w:highlight w:val="none"/>
        </w:rPr>
        <w:t>磋商最后报价即为合同签约价。</w:t>
      </w:r>
      <w:bookmarkEnd w:id="129"/>
    </w:p>
    <w:p w14:paraId="4FB49FEE">
      <w:pPr>
        <w:pStyle w:val="190"/>
        <w:keepNext w:val="0"/>
        <w:keepLines w:val="0"/>
        <w:tabs>
          <w:tab w:val="left" w:pos="5191"/>
        </w:tabs>
        <w:spacing w:before="200" w:after="200" w:line="360" w:lineRule="auto"/>
        <w:ind w:firstLine="446"/>
        <w:rPr>
          <w:rFonts w:ascii="宋体" w:hAnsi="宋体"/>
          <w:color w:val="auto"/>
          <w:sz w:val="30"/>
          <w:highlight w:val="none"/>
        </w:rPr>
      </w:pPr>
      <w:bookmarkStart w:id="130" w:name="_Toc24366"/>
      <w:bookmarkStart w:id="131" w:name="_Toc20782"/>
      <w:bookmarkStart w:id="132" w:name="_Toc73364869"/>
      <w:bookmarkStart w:id="133" w:name="_Toc73365482"/>
      <w:bookmarkStart w:id="134" w:name="_Toc28177"/>
      <w:bookmarkStart w:id="135" w:name="_Toc28263"/>
      <w:r>
        <w:rPr>
          <w:rFonts w:hint="eastAsia" w:ascii="宋体" w:hAnsi="宋体"/>
          <w:color w:val="auto"/>
          <w:sz w:val="30"/>
          <w:highlight w:val="none"/>
        </w:rPr>
        <w:t>13．磋商保证金</w:t>
      </w:r>
      <w:bookmarkEnd w:id="130"/>
      <w:bookmarkEnd w:id="131"/>
      <w:bookmarkEnd w:id="132"/>
      <w:bookmarkEnd w:id="133"/>
      <w:bookmarkEnd w:id="134"/>
      <w:bookmarkEnd w:id="135"/>
    </w:p>
    <w:p w14:paraId="6A170771">
      <w:pPr>
        <w:spacing w:line="360" w:lineRule="auto"/>
        <w:ind w:firstLine="480"/>
        <w:rPr>
          <w:rFonts w:ascii="宋体" w:hAnsi="宋体"/>
          <w:color w:val="auto"/>
          <w:sz w:val="24"/>
          <w:highlight w:val="none"/>
        </w:rPr>
      </w:pPr>
      <w:bookmarkStart w:id="136" w:name="EBffce9a1083124a32b81da965a376b38b"/>
      <w:r>
        <w:rPr>
          <w:rFonts w:hint="eastAsia" w:ascii="宋体" w:hAnsi="宋体"/>
          <w:color w:val="auto"/>
          <w:sz w:val="24"/>
          <w:highlight w:val="none"/>
        </w:rPr>
        <w:t>13.1本项目不收磋商保证金。</w:t>
      </w:r>
      <w:bookmarkEnd w:id="136"/>
      <w:r>
        <w:rPr>
          <w:rFonts w:ascii="宋体" w:hAnsi="宋体"/>
          <w:color w:val="auto"/>
          <w:sz w:val="24"/>
          <w:highlight w:val="none"/>
        </w:rPr>
        <w:t xml:space="preserve"> </w:t>
      </w:r>
    </w:p>
    <w:p w14:paraId="7BF8FCA3">
      <w:pPr>
        <w:pStyle w:val="190"/>
        <w:keepNext w:val="0"/>
        <w:keepLines w:val="0"/>
        <w:tabs>
          <w:tab w:val="left" w:pos="5191"/>
        </w:tabs>
        <w:spacing w:before="200" w:after="200" w:line="360" w:lineRule="auto"/>
        <w:ind w:firstLine="446"/>
        <w:rPr>
          <w:rFonts w:ascii="宋体" w:hAnsi="宋体"/>
          <w:color w:val="auto"/>
          <w:sz w:val="30"/>
          <w:highlight w:val="none"/>
        </w:rPr>
      </w:pPr>
      <w:bookmarkStart w:id="137" w:name="_Toc25874"/>
      <w:bookmarkStart w:id="138" w:name="_Toc73365483"/>
      <w:bookmarkStart w:id="139" w:name="_Toc73364870"/>
      <w:bookmarkStart w:id="140" w:name="_Toc20023"/>
      <w:bookmarkStart w:id="141" w:name="_Toc6385"/>
      <w:bookmarkStart w:id="142" w:name="_Toc27914"/>
      <w:r>
        <w:rPr>
          <w:rFonts w:hint="eastAsia" w:ascii="宋体" w:hAnsi="宋体"/>
          <w:color w:val="auto"/>
          <w:sz w:val="30"/>
          <w:highlight w:val="none"/>
        </w:rPr>
        <w:t>14．磋商响应有效期</w:t>
      </w:r>
      <w:bookmarkEnd w:id="137"/>
      <w:bookmarkEnd w:id="138"/>
      <w:bookmarkEnd w:id="139"/>
      <w:bookmarkEnd w:id="140"/>
      <w:bookmarkEnd w:id="141"/>
      <w:bookmarkEnd w:id="142"/>
    </w:p>
    <w:p w14:paraId="4E4C0E06">
      <w:pPr>
        <w:spacing w:line="360" w:lineRule="auto"/>
        <w:ind w:firstLine="480"/>
        <w:rPr>
          <w:rFonts w:ascii="宋体" w:hAnsi="宋体"/>
          <w:color w:val="auto"/>
          <w:sz w:val="24"/>
          <w:highlight w:val="none"/>
        </w:rPr>
      </w:pPr>
      <w:r>
        <w:rPr>
          <w:rFonts w:hint="eastAsia" w:ascii="宋体" w:hAnsi="宋体"/>
          <w:color w:val="auto"/>
          <w:sz w:val="24"/>
          <w:highlight w:val="none"/>
        </w:rPr>
        <w:t>14.1磋商有效期为：磋商响应文件自磋商之日起</w:t>
      </w:r>
      <w:bookmarkStart w:id="143" w:name="EBe5331d116298431aa240d61d189e1ecb"/>
      <w:r>
        <w:rPr>
          <w:rFonts w:hint="eastAsia" w:ascii="宋体" w:hAnsi="宋体"/>
          <w:color w:val="auto"/>
          <w:sz w:val="24"/>
          <w:highlight w:val="none"/>
        </w:rPr>
        <w:t>45天</w:t>
      </w:r>
      <w:bookmarkEnd w:id="143"/>
      <w:r>
        <w:rPr>
          <w:rFonts w:hint="eastAsia" w:ascii="宋体" w:hAnsi="宋体"/>
          <w:color w:val="auto"/>
          <w:sz w:val="24"/>
          <w:highlight w:val="none"/>
        </w:rPr>
        <w:t>内有效。供应商一旦领取了本磋商文件并参加磋商，即被认为接受了磋商有效期的约定。</w:t>
      </w:r>
    </w:p>
    <w:p w14:paraId="1E63C8FF">
      <w:pPr>
        <w:spacing w:line="360" w:lineRule="auto"/>
        <w:ind w:firstLine="480"/>
        <w:rPr>
          <w:rFonts w:ascii="宋体" w:hAnsi="宋体"/>
          <w:color w:val="auto"/>
          <w:sz w:val="24"/>
          <w:highlight w:val="none"/>
        </w:rPr>
      </w:pPr>
      <w:r>
        <w:rPr>
          <w:rFonts w:hint="eastAsia" w:ascii="宋体" w:hAnsi="宋体"/>
          <w:color w:val="auto"/>
          <w:sz w:val="24"/>
          <w:highlight w:val="none"/>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352CBCD4">
      <w:pPr>
        <w:pStyle w:val="190"/>
        <w:keepNext w:val="0"/>
        <w:keepLines w:val="0"/>
        <w:tabs>
          <w:tab w:val="left" w:pos="5191"/>
        </w:tabs>
        <w:spacing w:before="200" w:after="200" w:line="360" w:lineRule="auto"/>
        <w:ind w:firstLine="446"/>
        <w:rPr>
          <w:rFonts w:ascii="宋体" w:hAnsi="宋体"/>
          <w:color w:val="auto"/>
          <w:sz w:val="30"/>
          <w:highlight w:val="none"/>
        </w:rPr>
      </w:pPr>
      <w:bookmarkStart w:id="144" w:name="_Toc140"/>
      <w:bookmarkStart w:id="145" w:name="_Toc73365484"/>
      <w:bookmarkStart w:id="146" w:name="_Toc22077"/>
      <w:bookmarkStart w:id="147" w:name="_Toc17582"/>
      <w:bookmarkStart w:id="148" w:name="_Toc13873"/>
      <w:bookmarkStart w:id="149" w:name="_Toc73364871"/>
      <w:r>
        <w:rPr>
          <w:rFonts w:hint="eastAsia" w:ascii="宋体" w:hAnsi="宋体"/>
          <w:color w:val="auto"/>
          <w:sz w:val="30"/>
          <w:highlight w:val="none"/>
        </w:rPr>
        <w:t>15. 响应文件的式样和签署</w:t>
      </w:r>
      <w:bookmarkEnd w:id="144"/>
      <w:bookmarkEnd w:id="145"/>
      <w:bookmarkEnd w:id="146"/>
      <w:bookmarkEnd w:id="147"/>
      <w:bookmarkEnd w:id="148"/>
      <w:bookmarkEnd w:id="149"/>
    </w:p>
    <w:p w14:paraId="2E52618C">
      <w:pPr>
        <w:spacing w:line="360" w:lineRule="auto"/>
        <w:ind w:firstLine="480"/>
        <w:rPr>
          <w:rFonts w:ascii="宋体" w:hAnsi="宋体"/>
          <w:color w:val="auto"/>
          <w:sz w:val="24"/>
          <w:highlight w:val="none"/>
        </w:rPr>
      </w:pPr>
      <w:r>
        <w:rPr>
          <w:rFonts w:hint="eastAsia" w:ascii="宋体" w:hAnsi="宋体"/>
          <w:color w:val="auto"/>
          <w:sz w:val="24"/>
          <w:highlight w:val="none"/>
        </w:rPr>
        <w:t>15.1供应商应通过响应文件制作软件使用数字认证证书对响应文件进行合成、电子签章及加密打包。</w:t>
      </w:r>
    </w:p>
    <w:p w14:paraId="2875E91A">
      <w:pPr>
        <w:pStyle w:val="190"/>
        <w:keepNext w:val="0"/>
        <w:keepLines w:val="0"/>
        <w:tabs>
          <w:tab w:val="left" w:pos="5191"/>
        </w:tabs>
        <w:spacing w:before="200" w:after="200" w:line="360" w:lineRule="auto"/>
        <w:ind w:firstLine="446"/>
        <w:rPr>
          <w:rFonts w:ascii="宋体" w:hAnsi="宋体"/>
          <w:color w:val="auto"/>
          <w:sz w:val="30"/>
          <w:highlight w:val="none"/>
        </w:rPr>
      </w:pPr>
      <w:bookmarkStart w:id="150" w:name="_Toc73365485"/>
      <w:bookmarkStart w:id="151" w:name="_Toc30167"/>
      <w:bookmarkStart w:id="152" w:name="_Toc73364872"/>
      <w:bookmarkStart w:id="153" w:name="_Toc22444"/>
      <w:bookmarkStart w:id="154" w:name="_Toc572"/>
      <w:bookmarkStart w:id="155" w:name="_Toc1505"/>
      <w:r>
        <w:rPr>
          <w:rFonts w:hint="eastAsia" w:ascii="宋体" w:hAnsi="宋体"/>
          <w:color w:val="auto"/>
          <w:sz w:val="30"/>
          <w:highlight w:val="none"/>
        </w:rPr>
        <w:t>16．响应文件的提交</w:t>
      </w:r>
      <w:bookmarkEnd w:id="150"/>
      <w:bookmarkEnd w:id="151"/>
      <w:bookmarkEnd w:id="152"/>
      <w:bookmarkEnd w:id="153"/>
      <w:bookmarkEnd w:id="154"/>
      <w:bookmarkEnd w:id="155"/>
    </w:p>
    <w:p w14:paraId="16E85EA2">
      <w:pPr>
        <w:spacing w:line="360" w:lineRule="auto"/>
        <w:ind w:left="1" w:firstLine="480"/>
        <w:rPr>
          <w:rFonts w:ascii="宋体" w:hAnsi="宋体"/>
          <w:color w:val="auto"/>
          <w:sz w:val="24"/>
          <w:highlight w:val="none"/>
        </w:rPr>
      </w:pPr>
      <w:r>
        <w:rPr>
          <w:rFonts w:hint="eastAsia" w:ascii="宋体" w:hAnsi="宋体"/>
          <w:color w:val="auto"/>
          <w:sz w:val="24"/>
          <w:highlight w:val="none"/>
        </w:rPr>
        <w:t>16.1响应文件提交</w:t>
      </w:r>
    </w:p>
    <w:p w14:paraId="6C2DC40C">
      <w:pPr>
        <w:spacing w:line="360" w:lineRule="auto"/>
        <w:ind w:left="1" w:firstLine="480"/>
        <w:rPr>
          <w:rFonts w:ascii="宋体" w:hAnsi="宋体"/>
          <w:b/>
          <w:color w:val="auto"/>
          <w:sz w:val="24"/>
          <w:highlight w:val="none"/>
          <w:u w:val="single"/>
        </w:rPr>
      </w:pPr>
      <w:r>
        <w:rPr>
          <w:rFonts w:hint="eastAsia" w:ascii="宋体" w:hAnsi="宋体"/>
          <w:color w:val="auto"/>
          <w:sz w:val="24"/>
          <w:highlight w:val="none"/>
        </w:rPr>
        <w:t>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时间以电子交易平台时间为准。</w:t>
      </w:r>
    </w:p>
    <w:p w14:paraId="7E9A908A">
      <w:pPr>
        <w:spacing w:line="360" w:lineRule="auto"/>
        <w:ind w:left="1" w:firstLine="480"/>
        <w:rPr>
          <w:rFonts w:ascii="宋体" w:hAnsi="宋体"/>
          <w:b/>
          <w:color w:val="auto"/>
          <w:sz w:val="24"/>
          <w:highlight w:val="none"/>
          <w:u w:val="single"/>
        </w:rPr>
      </w:pPr>
      <w:r>
        <w:rPr>
          <w:rFonts w:hint="eastAsia" w:ascii="宋体" w:hAnsi="宋体"/>
          <w:color w:val="auto"/>
          <w:sz w:val="24"/>
          <w:highlight w:val="none"/>
        </w:rPr>
        <w:t>16.1.2</w:t>
      </w:r>
      <w:r>
        <w:rPr>
          <w:rFonts w:hint="eastAsia" w:ascii="宋体" w:hAnsi="宋体"/>
          <w:b/>
          <w:color w:val="auto"/>
          <w:sz w:val="24"/>
          <w:highlight w:val="none"/>
          <w:u w:val="single"/>
        </w:rPr>
        <w:t>截止时间以后传输的响应文件，电子交易平台将拒绝接收。供应商应充分考虑网络环境、网络带宽等风险因素。</w:t>
      </w:r>
    </w:p>
    <w:p w14:paraId="283FE02B">
      <w:pPr>
        <w:spacing w:line="360" w:lineRule="auto"/>
        <w:ind w:firstLine="480"/>
        <w:rPr>
          <w:rFonts w:ascii="宋体" w:hAnsi="宋体"/>
          <w:b/>
          <w:color w:val="auto"/>
          <w:sz w:val="24"/>
          <w:highlight w:val="none"/>
          <w:u w:val="single"/>
        </w:rPr>
      </w:pPr>
      <w:r>
        <w:rPr>
          <w:rFonts w:hint="eastAsia" w:ascii="宋体" w:hAnsi="宋体"/>
          <w:color w:val="auto"/>
          <w:sz w:val="24"/>
          <w:highlight w:val="none"/>
        </w:rPr>
        <w:t>16.1.3</w:t>
      </w:r>
      <w:r>
        <w:rPr>
          <w:rFonts w:hint="eastAsia" w:ascii="宋体" w:hAnsi="宋体"/>
          <w:b/>
          <w:color w:val="auto"/>
          <w:sz w:val="24"/>
          <w:highlight w:val="none"/>
          <w:u w:val="single"/>
        </w:rPr>
        <w:t>提交完成后至解密前，</w:t>
      </w:r>
      <w:r>
        <w:rPr>
          <w:rFonts w:hint="eastAsia" w:ascii="宋体" w:hAnsi="宋体"/>
          <w:b/>
          <w:color w:val="auto"/>
          <w:sz w:val="24"/>
          <w:szCs w:val="20"/>
          <w:highlight w:val="none"/>
          <w:u w:val="single"/>
        </w:rPr>
        <w:t>供应商</w:t>
      </w:r>
      <w:r>
        <w:rPr>
          <w:rFonts w:hint="eastAsia" w:ascii="宋体" w:hAnsi="宋体"/>
          <w:b/>
          <w:color w:val="auto"/>
          <w:sz w:val="24"/>
          <w:highlight w:val="none"/>
          <w:u w:val="single"/>
        </w:rPr>
        <w:t>不能对加密响应文件时所使用的数字认证证书进行更新、续费，否则可能引起的响应文件解密失败等相关后果由供应商自行承担。</w:t>
      </w:r>
    </w:p>
    <w:p w14:paraId="7388505F">
      <w:pPr>
        <w:spacing w:line="360" w:lineRule="auto"/>
        <w:ind w:firstLine="480"/>
        <w:rPr>
          <w:rFonts w:ascii="宋体" w:hAnsi="宋体"/>
          <w:b/>
          <w:color w:val="auto"/>
          <w:sz w:val="24"/>
          <w:highlight w:val="none"/>
          <w:u w:val="single"/>
        </w:rPr>
      </w:pPr>
      <w:r>
        <w:rPr>
          <w:rFonts w:hint="eastAsia" w:ascii="宋体" w:hAnsi="宋体"/>
          <w:color w:val="auto"/>
          <w:sz w:val="24"/>
          <w:highlight w:val="none"/>
        </w:rPr>
        <w:t>16.1.4因不可抗力事件造成的响应文件的损坏、丢失的，磋商组织方不承担责任。</w:t>
      </w:r>
    </w:p>
    <w:p w14:paraId="01AEA7D7">
      <w:pPr>
        <w:spacing w:line="360" w:lineRule="auto"/>
        <w:ind w:firstLine="480"/>
        <w:rPr>
          <w:rFonts w:ascii="宋体" w:hAnsi="宋体"/>
          <w:color w:val="auto"/>
          <w:sz w:val="24"/>
          <w:highlight w:val="none"/>
        </w:rPr>
      </w:pPr>
      <w:r>
        <w:rPr>
          <w:rFonts w:hint="eastAsia" w:ascii="宋体" w:hAnsi="宋体"/>
          <w:color w:val="auto"/>
          <w:sz w:val="24"/>
          <w:highlight w:val="none"/>
        </w:rPr>
        <w:t>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江苏省政府采购网</w:t>
      </w:r>
      <w:r>
        <w:rPr>
          <w:rFonts w:hint="eastAsia" w:ascii="宋体" w:hAnsi="宋体"/>
          <w:color w:val="auto"/>
          <w:sz w:val="24"/>
          <w:highlight w:val="none"/>
        </w:rPr>
        <w:t>”上发布公告。供应商应及时自行登录系统查看相应内容。</w:t>
      </w:r>
    </w:p>
    <w:p w14:paraId="1C5CBA48">
      <w:pPr>
        <w:pStyle w:val="190"/>
        <w:keepNext w:val="0"/>
        <w:keepLines w:val="0"/>
        <w:tabs>
          <w:tab w:val="left" w:pos="5191"/>
        </w:tabs>
        <w:spacing w:before="200" w:after="200" w:line="360" w:lineRule="auto"/>
        <w:ind w:firstLine="446"/>
        <w:rPr>
          <w:rFonts w:ascii="宋体" w:hAnsi="宋体"/>
          <w:color w:val="auto"/>
          <w:sz w:val="30"/>
          <w:highlight w:val="none"/>
        </w:rPr>
      </w:pPr>
      <w:bookmarkStart w:id="156" w:name="_Toc73365486"/>
      <w:bookmarkStart w:id="157" w:name="_Toc673"/>
      <w:bookmarkStart w:id="158" w:name="_Toc73364873"/>
      <w:bookmarkStart w:id="159" w:name="_Toc20826"/>
      <w:bookmarkStart w:id="160" w:name="_Toc14762"/>
      <w:bookmarkStart w:id="161" w:name="_Toc25070"/>
      <w:r>
        <w:rPr>
          <w:rFonts w:hint="eastAsia" w:ascii="宋体" w:hAnsi="宋体"/>
          <w:color w:val="auto"/>
          <w:sz w:val="30"/>
          <w:highlight w:val="none"/>
        </w:rPr>
        <w:t>17．响应文件的补充、修改或者撤回</w:t>
      </w:r>
      <w:bookmarkEnd w:id="156"/>
      <w:bookmarkEnd w:id="157"/>
      <w:bookmarkEnd w:id="158"/>
      <w:bookmarkEnd w:id="159"/>
      <w:bookmarkEnd w:id="160"/>
      <w:bookmarkEnd w:id="161"/>
    </w:p>
    <w:p w14:paraId="7D9808B4">
      <w:pPr>
        <w:spacing w:line="360" w:lineRule="auto"/>
        <w:ind w:firstLine="480"/>
        <w:rPr>
          <w:rFonts w:ascii="宋体" w:hAnsi="宋体"/>
          <w:color w:val="auto"/>
          <w:sz w:val="24"/>
          <w:highlight w:val="none"/>
        </w:rPr>
      </w:pPr>
      <w:r>
        <w:rPr>
          <w:rFonts w:hint="eastAsia" w:ascii="宋体" w:hAnsi="宋体"/>
          <w:color w:val="auto"/>
          <w:sz w:val="24"/>
          <w:highlight w:val="none"/>
        </w:rPr>
        <w:t>17.1</w:t>
      </w:r>
      <w:r>
        <w:rPr>
          <w:rFonts w:ascii="宋体" w:hAnsi="宋体"/>
          <w:color w:val="auto"/>
          <w:sz w:val="24"/>
          <w:highlight w:val="none"/>
        </w:rPr>
        <w:t>在提交截止时间前</w:t>
      </w:r>
      <w:r>
        <w:rPr>
          <w:rFonts w:hint="eastAsia" w:ascii="宋体" w:hAnsi="宋体"/>
          <w:color w:val="auto"/>
          <w:sz w:val="24"/>
          <w:highlight w:val="none"/>
        </w:rPr>
        <w:t>，</w:t>
      </w:r>
      <w:r>
        <w:rPr>
          <w:rFonts w:ascii="宋体" w:hAnsi="宋体"/>
          <w:color w:val="auto"/>
          <w:sz w:val="24"/>
          <w:highlight w:val="none"/>
        </w:rPr>
        <w:t>供应商可以对所</w:t>
      </w:r>
      <w:r>
        <w:rPr>
          <w:rFonts w:hint="eastAsia" w:ascii="宋体" w:hAnsi="宋体"/>
          <w:color w:val="auto"/>
          <w:sz w:val="24"/>
          <w:highlight w:val="none"/>
        </w:rPr>
        <w:t>提交</w:t>
      </w:r>
      <w:r>
        <w:rPr>
          <w:rFonts w:ascii="宋体" w:hAnsi="宋体"/>
          <w:color w:val="auto"/>
          <w:sz w:val="24"/>
          <w:highlight w:val="none"/>
        </w:rPr>
        <w:t>的电子响应文件进行撤回。</w:t>
      </w:r>
    </w:p>
    <w:p w14:paraId="3109A58A">
      <w:pPr>
        <w:spacing w:line="360" w:lineRule="auto"/>
        <w:ind w:firstLine="480"/>
        <w:rPr>
          <w:rFonts w:ascii="宋体" w:hAnsi="宋体"/>
          <w:color w:val="auto"/>
          <w:sz w:val="24"/>
          <w:highlight w:val="none"/>
        </w:rPr>
      </w:pPr>
      <w:r>
        <w:rPr>
          <w:rFonts w:hint="eastAsia" w:ascii="宋体" w:hAnsi="宋体"/>
          <w:color w:val="auto"/>
          <w:sz w:val="24"/>
          <w:highlight w:val="none"/>
        </w:rPr>
        <w:t>17.2</w:t>
      </w:r>
      <w:r>
        <w:rPr>
          <w:rFonts w:ascii="宋体" w:hAnsi="宋体"/>
          <w:color w:val="auto"/>
          <w:sz w:val="24"/>
          <w:highlight w:val="none"/>
        </w:rPr>
        <w:t>在提交截止时间前，供应商可以对所</w:t>
      </w:r>
      <w:r>
        <w:rPr>
          <w:rFonts w:hint="eastAsia" w:ascii="宋体" w:hAnsi="宋体"/>
          <w:color w:val="auto"/>
          <w:sz w:val="24"/>
          <w:highlight w:val="none"/>
        </w:rPr>
        <w:t>提交</w:t>
      </w:r>
      <w:r>
        <w:rPr>
          <w:rFonts w:ascii="宋体" w:hAnsi="宋体"/>
          <w:color w:val="auto"/>
          <w:sz w:val="24"/>
          <w:highlight w:val="none"/>
        </w:rPr>
        <w:t>的纸质响应文件进行补充、修改或者撤回，并</w:t>
      </w:r>
      <w:r>
        <w:rPr>
          <w:rFonts w:hint="eastAsia" w:ascii="宋体" w:hAnsi="宋体"/>
          <w:color w:val="auto"/>
          <w:sz w:val="24"/>
          <w:highlight w:val="none"/>
        </w:rPr>
        <w:t>书面通知磋商组织方</w:t>
      </w:r>
      <w:r>
        <w:rPr>
          <w:rFonts w:ascii="宋体" w:hAnsi="宋体"/>
          <w:color w:val="auto"/>
          <w:sz w:val="24"/>
          <w:highlight w:val="none"/>
        </w:rPr>
        <w:t>。补充、修改的内容应当</w:t>
      </w:r>
      <w:r>
        <w:rPr>
          <w:rFonts w:hint="eastAsia" w:ascii="宋体" w:hAnsi="宋体"/>
          <w:color w:val="auto"/>
          <w:sz w:val="24"/>
          <w:highlight w:val="none"/>
        </w:rPr>
        <w:t>加盖公章</w:t>
      </w:r>
      <w:r>
        <w:rPr>
          <w:rFonts w:ascii="宋体" w:hAnsi="宋体"/>
          <w:color w:val="auto"/>
          <w:sz w:val="24"/>
          <w:highlight w:val="none"/>
        </w:rPr>
        <w:t>，</w:t>
      </w:r>
      <w:r>
        <w:rPr>
          <w:rFonts w:hint="eastAsia" w:ascii="宋体" w:hAnsi="宋体"/>
          <w:color w:val="auto"/>
          <w:sz w:val="24"/>
          <w:highlight w:val="none"/>
        </w:rPr>
        <w:t>并注明“</w:t>
      </w:r>
      <w:r>
        <w:rPr>
          <w:rFonts w:ascii="宋体" w:hAnsi="宋体"/>
          <w:color w:val="auto"/>
          <w:sz w:val="24"/>
          <w:highlight w:val="none"/>
        </w:rPr>
        <w:t>补充</w:t>
      </w:r>
      <w:r>
        <w:rPr>
          <w:rFonts w:hint="eastAsia" w:ascii="宋体" w:hAnsi="宋体"/>
          <w:color w:val="auto"/>
          <w:sz w:val="24"/>
          <w:highlight w:val="none"/>
        </w:rPr>
        <w:t>”、“修改”或“撤回”字样。</w:t>
      </w:r>
      <w:r>
        <w:rPr>
          <w:rFonts w:ascii="宋体" w:hAnsi="宋体"/>
          <w:color w:val="auto"/>
          <w:sz w:val="24"/>
          <w:highlight w:val="none"/>
        </w:rPr>
        <w:t>补充、修改的内容作为响应文件的组成部分</w:t>
      </w:r>
      <w:r>
        <w:rPr>
          <w:rFonts w:hint="eastAsia" w:ascii="宋体" w:hAnsi="宋体"/>
          <w:color w:val="auto"/>
          <w:sz w:val="24"/>
          <w:highlight w:val="none"/>
        </w:rPr>
        <w:t>。</w:t>
      </w:r>
    </w:p>
    <w:p w14:paraId="6517ADB8">
      <w:pPr>
        <w:spacing w:line="360" w:lineRule="auto"/>
        <w:ind w:firstLine="480"/>
        <w:rPr>
          <w:rFonts w:ascii="宋体" w:hAnsi="宋体"/>
          <w:color w:val="auto"/>
          <w:sz w:val="24"/>
          <w:highlight w:val="none"/>
        </w:rPr>
      </w:pPr>
      <w:r>
        <w:rPr>
          <w:rFonts w:hint="eastAsia" w:ascii="宋体" w:hAnsi="宋体"/>
          <w:color w:val="auto"/>
          <w:sz w:val="24"/>
          <w:highlight w:val="none"/>
        </w:rPr>
        <w:t>17.3在提交截止时间之后，供应商不得对其响应文件作任何修改或撤回。</w:t>
      </w:r>
    </w:p>
    <w:p w14:paraId="5B7D7988">
      <w:pPr>
        <w:spacing w:line="360" w:lineRule="auto"/>
        <w:ind w:firstLine="480"/>
        <w:rPr>
          <w:color w:val="auto"/>
          <w:highlight w:val="none"/>
        </w:rPr>
      </w:pPr>
      <w:r>
        <w:rPr>
          <w:rFonts w:hint="eastAsia" w:ascii="宋体" w:hAnsi="宋体"/>
          <w:color w:val="auto"/>
          <w:sz w:val="24"/>
          <w:highlight w:val="none"/>
        </w:rPr>
        <w:t>17.4在提交截止时间至磋商文件中规定的磋商有效期满之间，供应商不得撤回其响应。</w:t>
      </w:r>
    </w:p>
    <w:p w14:paraId="09786526">
      <w:pPr>
        <w:pStyle w:val="189"/>
        <w:rPr>
          <w:rFonts w:ascii="宋体" w:hAnsi="宋体" w:eastAsia="宋体"/>
          <w:color w:val="auto"/>
          <w:sz w:val="32"/>
          <w:highlight w:val="none"/>
        </w:rPr>
      </w:pPr>
      <w:bookmarkStart w:id="162" w:name="_Toc19086"/>
      <w:bookmarkStart w:id="163" w:name="_Toc73365487"/>
      <w:bookmarkStart w:id="164" w:name="_Toc73364874"/>
      <w:r>
        <w:rPr>
          <w:rFonts w:hint="eastAsia" w:ascii="宋体" w:hAnsi="宋体" w:eastAsia="宋体"/>
          <w:color w:val="auto"/>
          <w:sz w:val="32"/>
          <w:highlight w:val="none"/>
        </w:rPr>
        <w:t>四、磋商与评审</w:t>
      </w:r>
      <w:bookmarkEnd w:id="162"/>
      <w:bookmarkEnd w:id="163"/>
      <w:bookmarkEnd w:id="164"/>
    </w:p>
    <w:p w14:paraId="16C59B18">
      <w:pPr>
        <w:pStyle w:val="190"/>
        <w:keepNext w:val="0"/>
        <w:keepLines w:val="0"/>
        <w:tabs>
          <w:tab w:val="left" w:pos="5191"/>
        </w:tabs>
        <w:spacing w:before="200" w:after="200" w:line="360" w:lineRule="auto"/>
        <w:ind w:firstLine="446"/>
        <w:rPr>
          <w:rFonts w:ascii="宋体" w:hAnsi="宋体"/>
          <w:color w:val="auto"/>
          <w:sz w:val="30"/>
          <w:highlight w:val="none"/>
        </w:rPr>
      </w:pPr>
      <w:bookmarkStart w:id="165" w:name="_Toc73365488"/>
      <w:bookmarkStart w:id="166" w:name="_Toc73364875"/>
      <w:bookmarkStart w:id="167" w:name="_Toc7346"/>
      <w:bookmarkStart w:id="168" w:name="_Toc6597"/>
      <w:bookmarkStart w:id="169" w:name="_Toc21635"/>
      <w:bookmarkStart w:id="170" w:name="_Toc30218"/>
      <w:r>
        <w:rPr>
          <w:rFonts w:hint="eastAsia" w:ascii="宋体" w:hAnsi="宋体"/>
          <w:color w:val="auto"/>
          <w:sz w:val="30"/>
          <w:highlight w:val="none"/>
        </w:rPr>
        <w:t>18．磋商</w:t>
      </w:r>
      <w:bookmarkEnd w:id="165"/>
      <w:bookmarkEnd w:id="166"/>
      <w:bookmarkEnd w:id="167"/>
      <w:bookmarkEnd w:id="168"/>
      <w:bookmarkEnd w:id="169"/>
      <w:bookmarkEnd w:id="170"/>
    </w:p>
    <w:p w14:paraId="6EDF9DBF">
      <w:pPr>
        <w:spacing w:line="360" w:lineRule="auto"/>
        <w:ind w:left="1" w:firstLine="480"/>
        <w:rPr>
          <w:rFonts w:ascii="宋体" w:hAnsi="宋体"/>
          <w:color w:val="auto"/>
          <w:sz w:val="24"/>
          <w:highlight w:val="none"/>
        </w:rPr>
      </w:pPr>
      <w:r>
        <w:rPr>
          <w:rFonts w:hint="eastAsia" w:ascii="宋体" w:hAnsi="宋体"/>
          <w:color w:val="auto"/>
          <w:sz w:val="24"/>
          <w:highlight w:val="none"/>
        </w:rPr>
        <w:t>18.1供应商应当在磋商前做好充分准备，携带CA数字证书准时参加磋商。</w:t>
      </w:r>
    </w:p>
    <w:p w14:paraId="6F5CC475">
      <w:pPr>
        <w:spacing w:line="360" w:lineRule="auto"/>
        <w:ind w:left="1" w:firstLine="480"/>
        <w:rPr>
          <w:rFonts w:ascii="宋体" w:hAnsi="宋体"/>
          <w:color w:val="auto"/>
          <w:sz w:val="24"/>
          <w:highlight w:val="none"/>
        </w:rPr>
      </w:pPr>
      <w:r>
        <w:rPr>
          <w:rFonts w:hint="eastAsia" w:ascii="宋体" w:hAnsi="宋体"/>
          <w:color w:val="auto"/>
          <w:sz w:val="24"/>
          <w:highlight w:val="none"/>
        </w:rPr>
        <w:t>18.2</w:t>
      </w:r>
      <w:r>
        <w:rPr>
          <w:rFonts w:hint="eastAsia" w:ascii="宋体" w:hAnsi="宋体"/>
          <w:b/>
          <w:color w:val="auto"/>
          <w:sz w:val="24"/>
          <w:highlight w:val="none"/>
        </w:rPr>
        <w:t>供应商不足3家，不进入解密程序。</w:t>
      </w:r>
    </w:p>
    <w:p w14:paraId="1B7ACEAB">
      <w:pPr>
        <w:spacing w:line="360" w:lineRule="auto"/>
        <w:ind w:left="1" w:firstLine="480"/>
        <w:rPr>
          <w:rFonts w:ascii="宋体" w:hAnsi="宋体"/>
          <w:color w:val="auto"/>
          <w:sz w:val="24"/>
          <w:highlight w:val="none"/>
        </w:rPr>
      </w:pPr>
      <w:r>
        <w:rPr>
          <w:rFonts w:hint="eastAsia" w:ascii="宋体" w:hAnsi="宋体"/>
          <w:color w:val="auto"/>
          <w:sz w:val="24"/>
          <w:highlight w:val="none"/>
        </w:rPr>
        <w:t>18.3</w:t>
      </w:r>
      <w:r>
        <w:rPr>
          <w:rFonts w:hint="eastAsia" w:ascii="宋体" w:hAnsi="宋体"/>
          <w:b/>
          <w:color w:val="auto"/>
          <w:sz w:val="24"/>
          <w:highlight w:val="none"/>
        </w:rPr>
        <w:t>磋商时，磋商组织方将在系统内公布供应商名单，发出解密的指令，供应商自行实施解密，限定在主持人发布解密指令后</w:t>
      </w:r>
      <w:bookmarkStart w:id="171" w:name="EBaf33e81756a940b58c69ffadb3ca2432"/>
      <w:r>
        <w:rPr>
          <w:rFonts w:hint="eastAsia" w:ascii="宋体" w:hAnsi="宋体"/>
          <w:b/>
          <w:color w:val="auto"/>
          <w:sz w:val="24"/>
          <w:highlight w:val="none"/>
          <w:lang w:val="en-US" w:eastAsia="zh-CN"/>
        </w:rPr>
        <w:t>30</w:t>
      </w:r>
      <w:r>
        <w:rPr>
          <w:rFonts w:hint="eastAsia" w:ascii="宋体" w:hAnsi="宋体"/>
          <w:b/>
          <w:color w:val="auto"/>
          <w:sz w:val="24"/>
          <w:highlight w:val="none"/>
        </w:rPr>
        <w:t>分钟</w:t>
      </w:r>
      <w:bookmarkEnd w:id="171"/>
      <w:r>
        <w:rPr>
          <w:rFonts w:hint="eastAsia" w:ascii="宋体" w:hAnsi="宋体"/>
          <w:b/>
          <w:color w:val="auto"/>
          <w:sz w:val="24"/>
          <w:highlight w:val="none"/>
        </w:rPr>
        <w:t>内完成。解密时，供应商必须使用与制作响应文件时同一数字认证证书对响应文件进行解密，否则解密将会失败。</w:t>
      </w:r>
    </w:p>
    <w:p w14:paraId="0B8DA93F">
      <w:pPr>
        <w:spacing w:line="360" w:lineRule="auto"/>
        <w:ind w:left="1" w:firstLine="482"/>
        <w:rPr>
          <w:rFonts w:ascii="宋体" w:hAnsi="宋体"/>
          <w:b/>
          <w:color w:val="auto"/>
          <w:sz w:val="24"/>
          <w:highlight w:val="none"/>
        </w:rPr>
      </w:pPr>
      <w:r>
        <w:rPr>
          <w:rFonts w:hint="eastAsia" w:ascii="宋体" w:hAnsi="宋体"/>
          <w:b/>
          <w:color w:val="auto"/>
          <w:sz w:val="24"/>
          <w:highlight w:val="none"/>
        </w:rPr>
        <w:t>18.4</w:t>
      </w:r>
      <w:r>
        <w:rPr>
          <w:rFonts w:hint="eastAsia" w:ascii="宋体" w:hAnsi="宋体"/>
          <w:color w:val="auto"/>
          <w:sz w:val="24"/>
          <w:highlight w:val="none"/>
        </w:rPr>
        <w:t>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若解密成功的供应商不足三家，不进入后续程序。</w:t>
      </w:r>
    </w:p>
    <w:p w14:paraId="556D162C">
      <w:pPr>
        <w:spacing w:line="360" w:lineRule="auto"/>
        <w:ind w:left="1" w:firstLine="480"/>
        <w:rPr>
          <w:rFonts w:ascii="宋体" w:hAnsi="宋体"/>
          <w:b/>
          <w:color w:val="auto"/>
          <w:sz w:val="24"/>
          <w:highlight w:val="none"/>
        </w:rPr>
      </w:pPr>
      <w:r>
        <w:rPr>
          <w:rFonts w:hint="eastAsia" w:ascii="宋体" w:hAnsi="宋体"/>
          <w:color w:val="auto"/>
          <w:sz w:val="24"/>
          <w:highlight w:val="none"/>
        </w:rPr>
        <w:t>18.5本项目在限定的解密时间内，只要有任一家供应商解密成功，即视为电子交易平台运行无故障。</w:t>
      </w:r>
    </w:p>
    <w:p w14:paraId="37A91195">
      <w:pPr>
        <w:spacing w:line="360" w:lineRule="auto"/>
        <w:ind w:left="1" w:firstLine="480"/>
        <w:rPr>
          <w:rFonts w:ascii="宋体" w:hAnsi="宋体"/>
          <w:color w:val="auto"/>
          <w:sz w:val="24"/>
          <w:highlight w:val="none"/>
        </w:rPr>
      </w:pPr>
      <w:r>
        <w:rPr>
          <w:rFonts w:hint="eastAsia" w:ascii="宋体" w:hAnsi="宋体"/>
          <w:color w:val="auto"/>
          <w:sz w:val="24"/>
          <w:highlight w:val="none"/>
        </w:rPr>
        <w:t>18.6供应商须配合磋商工作，否则自行承担后果。</w:t>
      </w:r>
    </w:p>
    <w:p w14:paraId="67655C93">
      <w:pPr>
        <w:pStyle w:val="190"/>
        <w:keepNext w:val="0"/>
        <w:keepLines w:val="0"/>
        <w:tabs>
          <w:tab w:val="left" w:pos="5191"/>
        </w:tabs>
        <w:spacing w:before="200" w:after="200" w:line="360" w:lineRule="auto"/>
        <w:ind w:firstLine="446"/>
        <w:rPr>
          <w:rFonts w:ascii="宋体" w:hAnsi="宋体"/>
          <w:color w:val="auto"/>
          <w:sz w:val="30"/>
          <w:highlight w:val="none"/>
        </w:rPr>
      </w:pPr>
      <w:bookmarkStart w:id="172" w:name="_Toc9250"/>
      <w:bookmarkStart w:id="173" w:name="_Toc3596"/>
      <w:bookmarkStart w:id="174" w:name="_Toc19540"/>
      <w:bookmarkStart w:id="175" w:name="_Toc27031"/>
      <w:bookmarkStart w:id="176" w:name="_Toc73365489"/>
      <w:bookmarkStart w:id="177" w:name="_Toc73364876"/>
      <w:r>
        <w:rPr>
          <w:rFonts w:hint="eastAsia" w:ascii="宋体" w:hAnsi="宋体"/>
          <w:color w:val="auto"/>
          <w:sz w:val="30"/>
          <w:highlight w:val="none"/>
        </w:rPr>
        <w:t>19．磋商小组组成</w:t>
      </w:r>
      <w:bookmarkEnd w:id="172"/>
      <w:bookmarkEnd w:id="173"/>
      <w:bookmarkEnd w:id="174"/>
      <w:bookmarkEnd w:id="175"/>
      <w:bookmarkEnd w:id="176"/>
      <w:bookmarkEnd w:id="177"/>
    </w:p>
    <w:p w14:paraId="7A996276">
      <w:pPr>
        <w:spacing w:line="360" w:lineRule="auto"/>
        <w:ind w:firstLine="480"/>
        <w:rPr>
          <w:rFonts w:ascii="宋体" w:hAnsi="宋体"/>
          <w:color w:val="auto"/>
          <w:sz w:val="24"/>
          <w:highlight w:val="none"/>
        </w:rPr>
      </w:pPr>
      <w:r>
        <w:rPr>
          <w:rFonts w:hint="eastAsia" w:ascii="宋体" w:hAnsi="宋体"/>
          <w:color w:val="auto"/>
          <w:sz w:val="24"/>
          <w:highlight w:val="none"/>
        </w:rPr>
        <w:t>19.1磋商小组将由采购人代表和评审专家组成，成员人数为3人或3人以上单数。</w:t>
      </w:r>
    </w:p>
    <w:p w14:paraId="501B3D0B">
      <w:pPr>
        <w:pStyle w:val="190"/>
        <w:keepNext w:val="0"/>
        <w:keepLines w:val="0"/>
        <w:tabs>
          <w:tab w:val="left" w:pos="5191"/>
        </w:tabs>
        <w:spacing w:before="200" w:after="200" w:line="360" w:lineRule="auto"/>
        <w:ind w:firstLine="446"/>
        <w:rPr>
          <w:rFonts w:ascii="宋体" w:hAnsi="宋体"/>
          <w:color w:val="auto"/>
          <w:sz w:val="30"/>
          <w:highlight w:val="none"/>
        </w:rPr>
      </w:pPr>
      <w:bookmarkStart w:id="178" w:name="_Toc22071"/>
      <w:bookmarkStart w:id="179" w:name="_Toc5665"/>
      <w:bookmarkStart w:id="180" w:name="_Toc27996"/>
      <w:bookmarkStart w:id="181" w:name="_Toc6099"/>
      <w:bookmarkStart w:id="182" w:name="_Toc73364877"/>
      <w:bookmarkStart w:id="183" w:name="_Toc73365490"/>
      <w:r>
        <w:rPr>
          <w:rFonts w:hint="eastAsia" w:ascii="宋体" w:hAnsi="宋体"/>
          <w:color w:val="auto"/>
          <w:sz w:val="30"/>
          <w:highlight w:val="none"/>
        </w:rPr>
        <w:t>20．无效磋商的情形</w:t>
      </w:r>
      <w:bookmarkEnd w:id="178"/>
      <w:bookmarkEnd w:id="179"/>
      <w:bookmarkEnd w:id="180"/>
      <w:bookmarkEnd w:id="181"/>
      <w:bookmarkEnd w:id="182"/>
      <w:bookmarkEnd w:id="183"/>
    </w:p>
    <w:p w14:paraId="044F432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供应商存在下列情况之一的，其磋商无效：</w:t>
      </w:r>
      <w:bookmarkStart w:id="184" w:name="EB0bc0853cf1b84ccfa7d372107d18749a"/>
    </w:p>
    <w:p w14:paraId="7F2998D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p>
    <w:p w14:paraId="11ECB31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p>
    <w:p w14:paraId="6823593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p>
    <w:p w14:paraId="47BEBC2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（4）响应文件含有采购人不能接受的附加条件的</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292D828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p>
    <w:p w14:paraId="4E1150E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p>
    <w:p w14:paraId="29A7064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p>
    <w:p w14:paraId="2F2CDDDB">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p>
    <w:p w14:paraId="16925BA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（9）“信用中国”网站、中国政府采购网、“信用江苏”网站查询结果为失信被执行人名单、重大税收违法案件当事人名单、政府采购严重违法失信行为名单的；</w:t>
      </w:r>
    </w:p>
    <w:p w14:paraId="35440988">
      <w:pPr>
        <w:spacing w:line="360" w:lineRule="auto"/>
        <w:ind w:firstLine="48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（10）为本项目提供整体设计、规范编制或者项目管理、监理、检测等服务的；</w:t>
      </w:r>
    </w:p>
    <w:p w14:paraId="424F737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（11）未在提交截止时间前提交有效加密文件的；</w:t>
      </w:r>
    </w:p>
    <w:p w14:paraId="4569AC2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p>
    <w:p w14:paraId="7F62597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（13）</w:t>
      </w:r>
      <w:r>
        <w:rPr>
          <w:rFonts w:hint="eastAsia" w:ascii="宋体" w:hAnsi="宋体" w:eastAsia="宋体" w:cs="Times New Roman"/>
          <w:color w:val="auto"/>
          <w:sz w:val="24"/>
          <w:highlight w:val="none"/>
          <w:lang w:eastAsia="zh-CN"/>
        </w:rPr>
        <w:t>供应商投标报价</w:t>
      </w:r>
      <w:r>
        <w:rPr>
          <w:rFonts w:hint="eastAsia" w:ascii="宋体" w:hAnsi="宋体" w:eastAsia="宋体" w:cs="Times New Roman"/>
          <w:color w:val="auto"/>
          <w:sz w:val="24"/>
          <w:highlight w:val="none"/>
          <w:rtl w:val="0"/>
          <w:lang w:val="en-US" w:eastAsia="zh-CN"/>
        </w:rPr>
        <w:t>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投标报价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7159863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（14）未参与最终报价的供应商会被系统自动判定为无效响应</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5E691680">
      <w:pPr>
        <w:keepNext w:val="0"/>
        <w:keepLines w:val="0"/>
        <w:pageBreakBefore w:val="0"/>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（15）</w:t>
      </w:r>
      <w:r>
        <w:rPr>
          <w:rFonts w:hint="eastAsia" w:ascii="宋体" w:hAnsi="宋体" w:eastAsia="宋体" w:cs="Times New Roman"/>
          <w:b/>
          <w:bCs/>
          <w:color w:val="auto"/>
          <w:sz w:val="24"/>
          <w:highlight w:val="none"/>
        </w:rPr>
        <w:t>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w:t>
      </w:r>
    </w:p>
    <w:p w14:paraId="659953E5">
      <w:pPr>
        <w:spacing w:line="360" w:lineRule="auto"/>
        <w:ind w:firstLine="480"/>
        <w:rPr>
          <w:rFonts w:hint="eastAsia" w:ascii="宋体" w:hAnsi="宋体"/>
          <w:b/>
          <w:color w:val="auto"/>
          <w:sz w:val="24"/>
          <w:highlight w:val="none"/>
        </w:rPr>
      </w:pPr>
      <w:r>
        <w:rPr>
          <w:rFonts w:hint="eastAsia" w:ascii="宋体" w:hAnsi="宋体" w:eastAsia="宋体" w:cs="Times New Roman"/>
          <w:color w:val="auto"/>
          <w:sz w:val="24"/>
          <w:highlight w:val="none"/>
        </w:rPr>
        <w:t>（16）不符合法律、法规和磋商文件规定的其它实质性条款（须经磋商小组半数以上同意</w:t>
      </w:r>
      <w:bookmarkEnd w:id="184"/>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3426BD18">
      <w:pPr>
        <w:pStyle w:val="190"/>
        <w:keepNext w:val="0"/>
        <w:keepLines w:val="0"/>
        <w:tabs>
          <w:tab w:val="left" w:pos="5191"/>
        </w:tabs>
        <w:spacing w:before="200" w:after="200" w:line="360" w:lineRule="auto"/>
        <w:ind w:firstLine="446"/>
        <w:rPr>
          <w:rFonts w:ascii="宋体" w:hAnsi="宋体"/>
          <w:color w:val="auto"/>
          <w:sz w:val="30"/>
          <w:highlight w:val="none"/>
        </w:rPr>
      </w:pPr>
      <w:bookmarkStart w:id="185" w:name="_Toc73365491"/>
      <w:bookmarkStart w:id="186" w:name="_Toc22482"/>
      <w:bookmarkStart w:id="187" w:name="_Toc14950"/>
      <w:bookmarkStart w:id="188" w:name="_Toc4528"/>
      <w:bookmarkStart w:id="189" w:name="_Toc73364878"/>
      <w:bookmarkStart w:id="190" w:name="_Toc24970"/>
      <w:r>
        <w:rPr>
          <w:rFonts w:hint="eastAsia" w:ascii="宋体" w:hAnsi="宋体"/>
          <w:color w:val="auto"/>
          <w:sz w:val="30"/>
          <w:highlight w:val="none"/>
        </w:rPr>
        <w:t>21．串通磋商的情形</w:t>
      </w:r>
      <w:bookmarkEnd w:id="185"/>
      <w:bookmarkEnd w:id="186"/>
      <w:bookmarkEnd w:id="187"/>
      <w:bookmarkEnd w:id="188"/>
      <w:bookmarkEnd w:id="189"/>
      <w:bookmarkEnd w:id="190"/>
    </w:p>
    <w:p w14:paraId="082601BA">
      <w:pPr>
        <w:spacing w:line="360" w:lineRule="auto"/>
        <w:ind w:firstLine="480"/>
        <w:rPr>
          <w:rFonts w:ascii="宋体" w:hAnsi="宋体"/>
          <w:color w:val="auto"/>
          <w:sz w:val="24"/>
          <w:highlight w:val="none"/>
        </w:rPr>
      </w:pPr>
      <w:r>
        <w:rPr>
          <w:rFonts w:hint="eastAsia" w:ascii="宋体" w:hAnsi="宋体"/>
          <w:color w:val="auto"/>
          <w:sz w:val="24"/>
          <w:highlight w:val="none"/>
        </w:rPr>
        <w:t>有下列情形之一的，视为供应商串通磋商，磋商无效：</w:t>
      </w:r>
    </w:p>
    <w:p w14:paraId="1F9D6478">
      <w:pPr>
        <w:spacing w:line="360" w:lineRule="auto"/>
        <w:ind w:firstLine="480"/>
        <w:rPr>
          <w:rFonts w:ascii="宋体" w:hAnsi="宋体"/>
          <w:color w:val="auto"/>
          <w:sz w:val="24"/>
          <w:highlight w:val="none"/>
        </w:rPr>
      </w:pPr>
      <w:r>
        <w:rPr>
          <w:rFonts w:hint="eastAsia" w:ascii="宋体" w:hAnsi="宋体"/>
          <w:color w:val="auto"/>
          <w:sz w:val="24"/>
          <w:highlight w:val="none"/>
        </w:rPr>
        <w:t>（1）不同供应商的响应文件由同一单位或者个人编制；</w:t>
      </w:r>
    </w:p>
    <w:p w14:paraId="79C3E0BE">
      <w:pPr>
        <w:spacing w:line="360" w:lineRule="auto"/>
        <w:ind w:firstLine="480"/>
        <w:rPr>
          <w:rFonts w:ascii="宋体" w:hAnsi="宋体"/>
          <w:color w:val="auto"/>
          <w:sz w:val="24"/>
          <w:highlight w:val="none"/>
        </w:rPr>
      </w:pPr>
      <w:r>
        <w:rPr>
          <w:rFonts w:hint="eastAsia" w:ascii="宋体" w:hAnsi="宋体"/>
          <w:color w:val="auto"/>
          <w:sz w:val="24"/>
          <w:highlight w:val="none"/>
        </w:rPr>
        <w:t>（2）不同供应商委托同一单位或者个人办理磋商事宜；</w:t>
      </w:r>
    </w:p>
    <w:p w14:paraId="299652CB">
      <w:pPr>
        <w:spacing w:line="360" w:lineRule="auto"/>
        <w:ind w:firstLine="480"/>
        <w:rPr>
          <w:rFonts w:ascii="宋体" w:hAnsi="宋体"/>
          <w:color w:val="auto"/>
          <w:sz w:val="24"/>
          <w:highlight w:val="none"/>
        </w:rPr>
      </w:pPr>
      <w:r>
        <w:rPr>
          <w:rFonts w:hint="eastAsia" w:ascii="宋体" w:hAnsi="宋体"/>
          <w:color w:val="auto"/>
          <w:sz w:val="24"/>
          <w:highlight w:val="none"/>
        </w:rPr>
        <w:t>（3）不同供应商的响应文件载明的项目管理成员或者联系人员为同一人；</w:t>
      </w:r>
    </w:p>
    <w:p w14:paraId="6C731BC9">
      <w:pPr>
        <w:spacing w:line="360" w:lineRule="auto"/>
        <w:ind w:firstLine="480"/>
        <w:rPr>
          <w:rFonts w:ascii="宋体" w:hAnsi="宋体"/>
          <w:color w:val="auto"/>
          <w:sz w:val="24"/>
          <w:highlight w:val="none"/>
        </w:rPr>
      </w:pPr>
      <w:r>
        <w:rPr>
          <w:rFonts w:hint="eastAsia" w:ascii="宋体" w:hAnsi="宋体"/>
          <w:color w:val="auto"/>
          <w:sz w:val="24"/>
          <w:highlight w:val="none"/>
        </w:rPr>
        <w:t>（4）不同供应商的响应文件异常一致或者磋商报价呈规律性差异；</w:t>
      </w:r>
    </w:p>
    <w:p w14:paraId="28B93AC5">
      <w:pPr>
        <w:spacing w:line="360" w:lineRule="auto"/>
        <w:ind w:firstLine="480"/>
        <w:rPr>
          <w:rFonts w:ascii="宋体" w:hAnsi="宋体"/>
          <w:color w:val="auto"/>
          <w:sz w:val="24"/>
          <w:highlight w:val="none"/>
        </w:rPr>
      </w:pPr>
      <w:r>
        <w:rPr>
          <w:rFonts w:hint="eastAsia" w:ascii="宋体" w:hAnsi="宋体"/>
          <w:color w:val="auto"/>
          <w:sz w:val="24"/>
          <w:highlight w:val="none"/>
        </w:rPr>
        <w:t>（5）不同供应商的响应文件相互混装。</w:t>
      </w:r>
    </w:p>
    <w:p w14:paraId="2D2872AA">
      <w:pPr>
        <w:pStyle w:val="190"/>
        <w:keepNext w:val="0"/>
        <w:keepLines w:val="0"/>
        <w:tabs>
          <w:tab w:val="left" w:pos="5191"/>
        </w:tabs>
        <w:spacing w:before="200" w:after="200" w:line="360" w:lineRule="auto"/>
        <w:ind w:firstLine="446"/>
        <w:rPr>
          <w:rFonts w:ascii="宋体" w:hAnsi="宋体"/>
          <w:color w:val="auto"/>
          <w:sz w:val="30"/>
          <w:highlight w:val="none"/>
        </w:rPr>
      </w:pPr>
      <w:bookmarkStart w:id="191" w:name="_Toc17170"/>
      <w:bookmarkStart w:id="192" w:name="_Toc31219"/>
      <w:bookmarkStart w:id="193" w:name="_Toc73364879"/>
      <w:bookmarkStart w:id="194" w:name="_Toc73365492"/>
      <w:bookmarkStart w:id="195" w:name="_Toc3174"/>
      <w:bookmarkStart w:id="196" w:name="_Toc10981"/>
      <w:r>
        <w:rPr>
          <w:rFonts w:hint="eastAsia" w:ascii="宋体" w:hAnsi="宋体"/>
          <w:color w:val="auto"/>
          <w:sz w:val="30"/>
          <w:highlight w:val="none"/>
        </w:rPr>
        <w:t>22．响应文件的澄清</w:t>
      </w:r>
      <w:bookmarkEnd w:id="191"/>
      <w:bookmarkEnd w:id="192"/>
      <w:bookmarkEnd w:id="193"/>
      <w:bookmarkEnd w:id="194"/>
      <w:bookmarkEnd w:id="195"/>
      <w:bookmarkEnd w:id="196"/>
    </w:p>
    <w:p w14:paraId="20AC9C99">
      <w:pPr>
        <w:spacing w:line="360" w:lineRule="auto"/>
        <w:ind w:firstLine="480"/>
        <w:rPr>
          <w:color w:val="auto"/>
          <w:highlight w:val="none"/>
        </w:rPr>
      </w:pPr>
      <w:r>
        <w:rPr>
          <w:rFonts w:hint="eastAsia" w:ascii="宋体" w:hAnsi="宋体"/>
          <w:color w:val="auto"/>
          <w:sz w:val="24"/>
          <w:highlight w:val="none"/>
        </w:rPr>
        <w:t>22.1供应商应根据磋商小组要求对相关问题进行澄清、说明或者补正，并加盖公章。供应商的澄清、说明或者补正不得超出响应文件的范围或者改变响应文件的实质性内容。</w:t>
      </w:r>
    </w:p>
    <w:p w14:paraId="31B136E0">
      <w:pPr>
        <w:pStyle w:val="190"/>
        <w:keepNext w:val="0"/>
        <w:keepLines w:val="0"/>
        <w:tabs>
          <w:tab w:val="left" w:pos="5191"/>
        </w:tabs>
        <w:spacing w:before="200" w:after="200" w:line="360" w:lineRule="auto"/>
        <w:ind w:firstLine="446"/>
        <w:rPr>
          <w:rFonts w:hint="eastAsia" w:ascii="宋体" w:hAnsi="宋体" w:eastAsia="宋体"/>
          <w:color w:val="auto"/>
          <w:sz w:val="30"/>
          <w:highlight w:val="none"/>
          <w:lang w:eastAsia="zh-CN"/>
        </w:rPr>
      </w:pPr>
      <w:bookmarkStart w:id="197" w:name="_Toc2985"/>
      <w:bookmarkStart w:id="198" w:name="_Toc16722"/>
      <w:bookmarkStart w:id="199" w:name="_Toc73365493"/>
      <w:bookmarkStart w:id="200" w:name="_Toc73364880"/>
      <w:bookmarkStart w:id="201" w:name="_Toc6435"/>
      <w:bookmarkStart w:id="202" w:name="_Toc4089"/>
      <w:r>
        <w:rPr>
          <w:rFonts w:hint="eastAsia" w:ascii="宋体" w:hAnsi="宋体"/>
          <w:color w:val="auto"/>
          <w:sz w:val="30"/>
          <w:highlight w:val="none"/>
        </w:rPr>
        <w:t>23．磋商</w:t>
      </w:r>
      <w:bookmarkEnd w:id="197"/>
      <w:bookmarkEnd w:id="198"/>
      <w:bookmarkEnd w:id="199"/>
      <w:bookmarkEnd w:id="200"/>
      <w:bookmarkEnd w:id="201"/>
      <w:r>
        <w:rPr>
          <w:rFonts w:hint="eastAsia" w:ascii="宋体" w:hAnsi="宋体"/>
          <w:color w:val="auto"/>
          <w:sz w:val="30"/>
          <w:highlight w:val="none"/>
          <w:lang w:eastAsia="zh-CN"/>
        </w:rPr>
        <w:t>程序</w:t>
      </w:r>
      <w:bookmarkEnd w:id="202"/>
    </w:p>
    <w:p w14:paraId="1D483B0B">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rPr>
        <w:t>23.1</w:t>
      </w:r>
      <w:r>
        <w:rPr>
          <w:rFonts w:hint="eastAsia" w:ascii="宋体" w:hAnsi="宋体"/>
          <w:color w:val="auto"/>
          <w:sz w:val="24"/>
          <w:highlight w:val="none"/>
          <w:lang w:val="zh-CN"/>
        </w:rPr>
        <w:t xml:space="preserve"> 磋商小组审阅供应商所递交的响应文件，凡不具备资格条件的供应商不得进入磋商程序。</w:t>
      </w:r>
    </w:p>
    <w:p w14:paraId="6C7966DE">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en-US" w:eastAsia="zh-CN"/>
        </w:rPr>
        <w:t>23</w:t>
      </w:r>
      <w:r>
        <w:rPr>
          <w:rFonts w:hint="eastAsia" w:ascii="宋体" w:hAnsi="宋体"/>
          <w:color w:val="auto"/>
          <w:sz w:val="24"/>
          <w:highlight w:val="none"/>
          <w:lang w:val="zh-CN"/>
        </w:rPr>
        <w:t>.2 磋商小组将与通过资格审查和符合性审查的供应商分别进行磋商。磋商小组通过“苏采云”系统向供应商发出《磋商函》，供应商应当按照要求在“苏采云”系统提交《磋商响应函》并加盖电子公章。</w:t>
      </w:r>
    </w:p>
    <w:p w14:paraId="1F2D2445">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23.3 磋商过程中，磋商小组可以根据磋商文件和磋商情况实质性变动采购需求中的技术、服务要求以及合同草案条款，但不得变动磋商文件中的其他内容。实质性变动的内容，须经采购人代表确认。</w:t>
      </w:r>
    </w:p>
    <w:p w14:paraId="23D7F9D7">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对磋商文件作出的实质性变动是磋商文件的有效组成部分，磋商小组应当及时以书面形式同时通知所有参加磋商的供应商。</w:t>
      </w:r>
    </w:p>
    <w:p w14:paraId="48ECF097">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23.4 如磋商文件有实质性变动的，供应商应当按照磋商文件的变动情况和磋商小组的要求在苏采云系统中重新提交响应文件，并加盖电子公章。</w:t>
      </w:r>
    </w:p>
    <w:p w14:paraId="65116883">
      <w:pPr>
        <w:spacing w:line="360" w:lineRule="auto"/>
        <w:ind w:left="1" w:firstLine="480"/>
        <w:rPr>
          <w:rFonts w:hint="eastAsia" w:ascii="宋体" w:hAnsi="宋体"/>
          <w:color w:val="auto"/>
          <w:sz w:val="24"/>
          <w:highlight w:val="none"/>
        </w:rPr>
      </w:pPr>
      <w:r>
        <w:rPr>
          <w:rFonts w:hint="eastAsia" w:ascii="宋体" w:hAnsi="宋体"/>
          <w:color w:val="auto"/>
          <w:sz w:val="24"/>
          <w:highlight w:val="none"/>
          <w:lang w:eastAsia="zh-CN"/>
        </w:rPr>
        <w:t>23.</w:t>
      </w:r>
      <w:r>
        <w:rPr>
          <w:rFonts w:hint="eastAsia" w:ascii="宋体" w:hAnsi="宋体"/>
          <w:color w:val="auto"/>
          <w:sz w:val="24"/>
          <w:highlight w:val="none"/>
        </w:rPr>
        <w:t xml:space="preserve">5 </w:t>
      </w:r>
      <w:r>
        <w:rPr>
          <w:rFonts w:hint="eastAsia" w:ascii="宋体" w:hAnsi="宋体"/>
          <w:color w:val="auto"/>
          <w:sz w:val="24"/>
          <w:highlight w:val="none"/>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提交最后报价的供应商不得少于3家</w:t>
      </w:r>
      <w:r>
        <w:rPr>
          <w:rFonts w:hint="eastAsia" w:ascii="宋体" w:hAnsi="宋体"/>
          <w:color w:val="auto"/>
          <w:sz w:val="24"/>
          <w:highlight w:val="none"/>
          <w:lang w:val="zh-CN"/>
        </w:rPr>
        <w:t>。最后报价是供应商响应文件的有效组成部分，</w:t>
      </w:r>
      <w:r>
        <w:rPr>
          <w:rFonts w:hint="eastAsia" w:ascii="宋体" w:hAnsi="宋体"/>
          <w:color w:val="auto"/>
          <w:sz w:val="24"/>
          <w:highlight w:val="none"/>
        </w:rPr>
        <w:t>除项目扩大了供货范围，增加了采购内容、提高了技术要求外，原则上不得高于上一轮报价</w:t>
      </w:r>
      <w:r>
        <w:rPr>
          <w:rFonts w:hint="eastAsia" w:ascii="宋体" w:hAnsi="宋体"/>
          <w:color w:val="auto"/>
          <w:sz w:val="24"/>
          <w:highlight w:val="none"/>
          <w:lang w:val="zh-CN"/>
        </w:rPr>
        <w:t>。符合《政府采购竞争性磋商采购方式理暂行办法》第三条第四项及《财政部关于竞争性磋商采购方式管理暂行办法有关问题的补充通知》（财库〔2015〕124号）规定情形的，提交最后报价的供应商可以为2家。</w:t>
      </w:r>
    </w:p>
    <w:p w14:paraId="3D1C02BF">
      <w:pPr>
        <w:spacing w:line="360" w:lineRule="auto"/>
        <w:ind w:left="1" w:firstLine="480"/>
        <w:rPr>
          <w:rFonts w:ascii="宋体" w:hAnsi="宋体"/>
          <w:color w:val="auto"/>
          <w:sz w:val="24"/>
          <w:highlight w:val="none"/>
        </w:rPr>
      </w:pPr>
      <w:r>
        <w:rPr>
          <w:rFonts w:hint="eastAsia" w:ascii="宋体" w:hAnsi="宋体"/>
          <w:color w:val="auto"/>
          <w:sz w:val="24"/>
          <w:highlight w:val="none"/>
          <w:lang w:eastAsia="zh-CN"/>
        </w:rPr>
        <w:t>23.</w:t>
      </w:r>
      <w:r>
        <w:rPr>
          <w:rFonts w:hint="eastAsia" w:ascii="宋体" w:hAnsi="宋体"/>
          <w:color w:val="auto"/>
          <w:sz w:val="24"/>
          <w:highlight w:val="none"/>
        </w:rPr>
        <w:t>6 供应商未在磋商小组规定的时间内在</w:t>
      </w:r>
      <w:r>
        <w:rPr>
          <w:rFonts w:hint="eastAsia" w:ascii="宋体" w:hAnsi="宋体"/>
          <w:color w:val="auto"/>
          <w:sz w:val="24"/>
          <w:highlight w:val="none"/>
          <w:lang w:val="zh-CN"/>
        </w:rPr>
        <w:t>“苏采云”</w:t>
      </w:r>
      <w:r>
        <w:rPr>
          <w:rFonts w:hint="eastAsia" w:ascii="宋体" w:hAnsi="宋体"/>
          <w:color w:val="auto"/>
          <w:sz w:val="24"/>
          <w:highlight w:val="none"/>
        </w:rPr>
        <w:t>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“苏采云”</w:t>
      </w:r>
      <w:r>
        <w:rPr>
          <w:rFonts w:hint="eastAsia" w:ascii="宋体" w:hAnsi="宋体"/>
          <w:color w:val="auto"/>
          <w:sz w:val="24"/>
          <w:highlight w:val="none"/>
        </w:rPr>
        <w:t>系统中提交加盖电子公章的《退出磋商函》。</w:t>
      </w:r>
    </w:p>
    <w:p w14:paraId="2F76E15F">
      <w:pPr>
        <w:pStyle w:val="190"/>
        <w:keepNext w:val="0"/>
        <w:keepLines w:val="0"/>
        <w:tabs>
          <w:tab w:val="left" w:pos="5191"/>
        </w:tabs>
        <w:spacing w:before="200" w:after="200" w:line="360" w:lineRule="auto"/>
        <w:ind w:firstLine="446"/>
        <w:rPr>
          <w:rFonts w:ascii="宋体" w:hAnsi="宋体"/>
          <w:color w:val="auto"/>
          <w:sz w:val="30"/>
          <w:highlight w:val="none"/>
        </w:rPr>
      </w:pPr>
      <w:bookmarkStart w:id="203" w:name="_Toc4261"/>
      <w:bookmarkStart w:id="204" w:name="_Toc12369"/>
      <w:bookmarkStart w:id="205" w:name="_Toc73365495"/>
      <w:bookmarkStart w:id="206" w:name="_Toc5435"/>
      <w:bookmarkStart w:id="207" w:name="_Toc24898"/>
      <w:bookmarkStart w:id="208" w:name="_Toc73364882"/>
      <w:r>
        <w:rPr>
          <w:rFonts w:hint="eastAsia" w:ascii="宋体" w:hAnsi="宋体"/>
          <w:color w:val="auto"/>
          <w:sz w:val="30"/>
          <w:highlight w:val="none"/>
        </w:rPr>
        <w:t>2</w:t>
      </w:r>
      <w:r>
        <w:rPr>
          <w:rFonts w:hint="eastAsia" w:ascii="宋体" w:hAnsi="宋体"/>
          <w:color w:val="auto"/>
          <w:sz w:val="30"/>
          <w:highlight w:val="none"/>
          <w:lang w:val="en-US" w:eastAsia="zh-CN"/>
        </w:rPr>
        <w:t>4</w:t>
      </w:r>
      <w:r>
        <w:rPr>
          <w:rFonts w:hint="eastAsia" w:ascii="宋体" w:hAnsi="宋体"/>
          <w:color w:val="auto"/>
          <w:sz w:val="30"/>
          <w:highlight w:val="none"/>
        </w:rPr>
        <w:t>．</w:t>
      </w:r>
      <w:r>
        <w:rPr>
          <w:rFonts w:ascii="宋体" w:hAnsi="宋体"/>
          <w:color w:val="auto"/>
          <w:sz w:val="30"/>
          <w:highlight w:val="none"/>
        </w:rPr>
        <w:t>竞争性磋商</w:t>
      </w:r>
      <w:r>
        <w:rPr>
          <w:rFonts w:hint="eastAsia" w:ascii="宋体" w:hAnsi="宋体"/>
          <w:color w:val="auto"/>
          <w:sz w:val="30"/>
          <w:highlight w:val="none"/>
        </w:rPr>
        <w:t>特殊情况处理</w:t>
      </w:r>
      <w:bookmarkEnd w:id="203"/>
      <w:bookmarkEnd w:id="204"/>
      <w:bookmarkEnd w:id="205"/>
      <w:bookmarkEnd w:id="206"/>
      <w:bookmarkEnd w:id="207"/>
      <w:bookmarkEnd w:id="208"/>
    </w:p>
    <w:p w14:paraId="448A78D4">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.1</w:t>
      </w:r>
      <w:r>
        <w:rPr>
          <w:rFonts w:ascii="宋体" w:hAnsi="宋体"/>
          <w:color w:val="auto"/>
          <w:sz w:val="24"/>
          <w:highlight w:val="none"/>
        </w:rPr>
        <w:t>出现下列情形之一的，应当终止竞争性磋商采购活动，发布项目终止公告并说明原因，重新开展采购活动：</w:t>
      </w:r>
    </w:p>
    <w:p w14:paraId="11CE2DDF">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因情况变化，不再符合规定的竞争性磋商采购方式适用情形的；</w:t>
      </w:r>
    </w:p>
    <w:p w14:paraId="43FF0852">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出现影响采购公正的违法、违规行为的</w:t>
      </w:r>
      <w:r>
        <w:rPr>
          <w:rFonts w:hint="eastAsia" w:ascii="宋体" w:hAnsi="宋体"/>
          <w:color w:val="auto"/>
          <w:sz w:val="24"/>
          <w:highlight w:val="none"/>
        </w:rPr>
        <w:t>；</w:t>
      </w:r>
    </w:p>
    <w:p w14:paraId="6E5E853C">
      <w:pPr>
        <w:spacing w:line="360" w:lineRule="auto"/>
        <w:ind w:firstLine="480"/>
        <w:rPr>
          <w:rFonts w:ascii="宋体" w:hAnsi="宋体"/>
          <w:color w:val="auto"/>
          <w:sz w:val="24"/>
          <w:highlight w:val="none"/>
        </w:rPr>
      </w:pPr>
      <w:r>
        <w:rPr>
          <w:rFonts w:hint="eastAsia" w:ascii="宋体" w:hAnsi="宋体"/>
          <w:color w:val="auto"/>
          <w:sz w:val="24"/>
          <w:highlight w:val="none"/>
        </w:rPr>
        <w:t>（3）除《政府采购竞争性磋商采购方式管理暂行办法》第三条第四项规定的情形外，在采购过程中符合要求的供应商或者报价未超过采购预算的供应商不足3家的。</w:t>
      </w:r>
    </w:p>
    <w:p w14:paraId="062FC931">
      <w:pPr>
        <w:spacing w:line="360" w:lineRule="auto"/>
        <w:ind w:firstLine="480"/>
        <w:rPr>
          <w:color w:val="auto"/>
          <w:highlight w:val="none"/>
        </w:rPr>
      </w:pPr>
      <w:r>
        <w:rPr>
          <w:rFonts w:hint="eastAsia" w:ascii="宋体" w:hAnsi="宋体" w:cs="Times New Roman"/>
          <w:color w:val="auto"/>
          <w:sz w:val="24"/>
          <w:highlight w:val="none"/>
        </w:rPr>
        <w:t>2</w:t>
      </w:r>
      <w:r>
        <w:rPr>
          <w:rFonts w:hint="eastAsia" w:ascii="宋体" w:hAnsi="宋体" w:cs="Times New Roman"/>
          <w:color w:val="auto"/>
          <w:sz w:val="24"/>
          <w:highlight w:val="none"/>
          <w:lang w:val="en-US" w:eastAsia="zh-CN"/>
        </w:rPr>
        <w:t>4</w:t>
      </w:r>
      <w:r>
        <w:rPr>
          <w:rFonts w:hint="eastAsia" w:ascii="宋体" w:hAnsi="宋体" w:cs="Times New Roman"/>
          <w:color w:val="auto"/>
          <w:sz w:val="24"/>
          <w:highlight w:val="none"/>
        </w:rPr>
        <w:t>.2</w:t>
      </w:r>
      <w:r>
        <w:rPr>
          <w:rFonts w:hint="eastAsia" w:ascii="宋体" w:hAnsi="宋体"/>
          <w:color w:val="auto"/>
          <w:sz w:val="24"/>
          <w:highlight w:val="none"/>
        </w:rPr>
        <w:t>因重大变故，采购任务取消的则该磋商活动取消，采购人应当将取消理由通知所有供应商。</w:t>
      </w:r>
    </w:p>
    <w:p w14:paraId="21A1DD00">
      <w:pPr>
        <w:pStyle w:val="189"/>
        <w:rPr>
          <w:rFonts w:ascii="宋体" w:hAnsi="宋体" w:eastAsia="宋体"/>
          <w:color w:val="auto"/>
          <w:sz w:val="32"/>
          <w:highlight w:val="none"/>
        </w:rPr>
      </w:pPr>
      <w:bookmarkStart w:id="209" w:name="_Toc73365496"/>
      <w:bookmarkStart w:id="210" w:name="_Toc26495"/>
      <w:bookmarkStart w:id="211" w:name="_Toc73364883"/>
      <w:r>
        <w:rPr>
          <w:rFonts w:hint="eastAsia" w:ascii="宋体" w:hAnsi="宋体" w:eastAsia="宋体"/>
          <w:color w:val="auto"/>
          <w:sz w:val="32"/>
          <w:highlight w:val="none"/>
        </w:rPr>
        <w:t>五、确定成交结果</w:t>
      </w:r>
      <w:bookmarkEnd w:id="209"/>
      <w:bookmarkEnd w:id="210"/>
      <w:bookmarkEnd w:id="211"/>
    </w:p>
    <w:p w14:paraId="03C4044A">
      <w:pPr>
        <w:pStyle w:val="190"/>
        <w:keepNext w:val="0"/>
        <w:keepLines w:val="0"/>
        <w:tabs>
          <w:tab w:val="left" w:pos="5191"/>
        </w:tabs>
        <w:spacing w:before="200" w:after="200" w:line="360" w:lineRule="auto"/>
        <w:ind w:firstLine="446"/>
        <w:rPr>
          <w:rFonts w:hint="eastAsia" w:ascii="宋体" w:hAnsi="宋体"/>
          <w:color w:val="auto"/>
          <w:sz w:val="30"/>
          <w:highlight w:val="none"/>
        </w:rPr>
      </w:pPr>
      <w:bookmarkStart w:id="212" w:name="_Toc26551"/>
      <w:bookmarkStart w:id="213" w:name="_Toc4568"/>
      <w:bookmarkStart w:id="214" w:name="_Toc73364884"/>
      <w:bookmarkStart w:id="215" w:name="_Toc10"/>
      <w:bookmarkStart w:id="216" w:name="_Toc31493"/>
      <w:bookmarkStart w:id="217" w:name="_Toc73365497"/>
      <w:r>
        <w:rPr>
          <w:rFonts w:hint="eastAsia" w:ascii="宋体" w:hAnsi="宋体"/>
          <w:color w:val="auto"/>
          <w:sz w:val="30"/>
          <w:highlight w:val="none"/>
        </w:rPr>
        <w:t>2</w:t>
      </w:r>
      <w:r>
        <w:rPr>
          <w:rFonts w:hint="eastAsia" w:ascii="宋体" w:hAnsi="宋体"/>
          <w:color w:val="auto"/>
          <w:sz w:val="30"/>
          <w:highlight w:val="none"/>
          <w:lang w:val="en-US" w:eastAsia="zh-CN"/>
        </w:rPr>
        <w:t>5</w:t>
      </w:r>
      <w:r>
        <w:rPr>
          <w:rFonts w:hint="eastAsia" w:ascii="宋体" w:hAnsi="宋体"/>
          <w:color w:val="auto"/>
          <w:sz w:val="30"/>
          <w:highlight w:val="none"/>
        </w:rPr>
        <w:t>．确定成交供应商</w:t>
      </w:r>
      <w:bookmarkEnd w:id="212"/>
      <w:bookmarkEnd w:id="213"/>
      <w:bookmarkEnd w:id="214"/>
      <w:bookmarkEnd w:id="215"/>
      <w:bookmarkEnd w:id="216"/>
      <w:bookmarkEnd w:id="217"/>
    </w:p>
    <w:p w14:paraId="393F86E0">
      <w:pPr>
        <w:spacing w:line="360" w:lineRule="auto"/>
        <w:ind w:firstLine="480"/>
        <w:rPr>
          <w:rFonts w:hint="eastAsia" w:ascii="宋体" w:hAnsi="宋体" w:eastAsia="宋体" w:cs="Times New Roman"/>
          <w:color w:val="auto"/>
          <w:sz w:val="24"/>
          <w:highlight w:val="none"/>
        </w:rPr>
      </w:pPr>
      <w:bookmarkStart w:id="218" w:name="EB3fe0db93f0354614add263878fac6db4"/>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.1采购人从评审报告提出的成交候选供应商中，按照排序由高到低的原则确定成交供应商。采购人授权评标委员会直接确定中标候选人排序第一的为中标人。</w:t>
      </w:r>
      <w:bookmarkEnd w:id="218"/>
    </w:p>
    <w:p w14:paraId="4B53AAD6">
      <w:pPr>
        <w:pStyle w:val="189"/>
        <w:rPr>
          <w:rFonts w:hint="eastAsia" w:ascii="宋体" w:hAnsi="宋体" w:eastAsia="宋体"/>
          <w:color w:val="auto"/>
          <w:sz w:val="32"/>
          <w:highlight w:val="none"/>
        </w:rPr>
      </w:pPr>
      <w:bookmarkStart w:id="219" w:name="_Toc73364885"/>
      <w:bookmarkStart w:id="220" w:name="_Toc20526"/>
      <w:bookmarkStart w:id="221" w:name="_Toc73365498"/>
      <w:r>
        <w:rPr>
          <w:rFonts w:hint="eastAsia" w:ascii="宋体" w:hAnsi="宋体" w:eastAsia="宋体"/>
          <w:color w:val="auto"/>
          <w:sz w:val="32"/>
          <w:highlight w:val="none"/>
        </w:rPr>
        <w:t>六、授予合同</w:t>
      </w:r>
      <w:bookmarkEnd w:id="219"/>
      <w:bookmarkEnd w:id="220"/>
      <w:bookmarkEnd w:id="221"/>
    </w:p>
    <w:p w14:paraId="211F1197">
      <w:pPr>
        <w:pStyle w:val="190"/>
        <w:keepNext w:val="0"/>
        <w:keepLines w:val="0"/>
        <w:tabs>
          <w:tab w:val="left" w:pos="5191"/>
        </w:tabs>
        <w:spacing w:before="200" w:after="200" w:line="360" w:lineRule="auto"/>
        <w:ind w:firstLine="446"/>
        <w:rPr>
          <w:rFonts w:hint="eastAsia" w:ascii="宋体" w:hAnsi="宋体"/>
          <w:color w:val="auto"/>
          <w:sz w:val="30"/>
          <w:highlight w:val="none"/>
        </w:rPr>
      </w:pPr>
      <w:bookmarkStart w:id="222" w:name="_Toc73365499"/>
      <w:bookmarkStart w:id="223" w:name="_Toc12469"/>
      <w:bookmarkStart w:id="224" w:name="_Toc73364886"/>
      <w:bookmarkStart w:id="225" w:name="_Toc5669"/>
      <w:bookmarkStart w:id="226" w:name="_Toc4886"/>
      <w:bookmarkStart w:id="227" w:name="_Toc6716"/>
      <w:r>
        <w:rPr>
          <w:rFonts w:hint="eastAsia" w:ascii="宋体" w:hAnsi="宋体"/>
          <w:color w:val="auto"/>
          <w:sz w:val="30"/>
          <w:highlight w:val="none"/>
        </w:rPr>
        <w:t>2</w:t>
      </w:r>
      <w:r>
        <w:rPr>
          <w:rFonts w:hint="eastAsia" w:ascii="宋体" w:hAnsi="宋体"/>
          <w:color w:val="auto"/>
          <w:sz w:val="30"/>
          <w:highlight w:val="none"/>
          <w:lang w:val="en-US" w:eastAsia="zh-CN"/>
        </w:rPr>
        <w:t>6</w:t>
      </w:r>
      <w:r>
        <w:rPr>
          <w:rFonts w:hint="eastAsia" w:ascii="宋体" w:hAnsi="宋体"/>
          <w:color w:val="auto"/>
          <w:sz w:val="30"/>
          <w:highlight w:val="none"/>
        </w:rPr>
        <w:t>．磋商组织方接受和拒绝任何或所有响应的权利</w:t>
      </w:r>
      <w:bookmarkEnd w:id="222"/>
      <w:bookmarkEnd w:id="223"/>
      <w:bookmarkEnd w:id="224"/>
      <w:bookmarkEnd w:id="225"/>
      <w:bookmarkEnd w:id="226"/>
      <w:bookmarkEnd w:id="227"/>
    </w:p>
    <w:p w14:paraId="74863B1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.1为维护国家和社会公共利益，磋商组织方保留在授标之前任何时候接受或拒绝任何供应商成交的权利，且对受影响的供应商不承担任何责任。</w:t>
      </w:r>
    </w:p>
    <w:p w14:paraId="65C77F2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.2因不可抗力或成交供应商不能履约等情形，磋商组织方保留与其他候选供应商签订合同的权利。</w:t>
      </w:r>
    </w:p>
    <w:p w14:paraId="5E719C3F">
      <w:pPr>
        <w:pStyle w:val="190"/>
        <w:keepNext w:val="0"/>
        <w:keepLines w:val="0"/>
        <w:tabs>
          <w:tab w:val="left" w:pos="5191"/>
        </w:tabs>
        <w:spacing w:before="200" w:after="200" w:line="360" w:lineRule="auto"/>
        <w:ind w:firstLine="446"/>
        <w:rPr>
          <w:rFonts w:hint="eastAsia" w:ascii="宋体" w:hAnsi="宋体"/>
          <w:color w:val="auto"/>
          <w:sz w:val="30"/>
          <w:highlight w:val="none"/>
        </w:rPr>
      </w:pPr>
      <w:bookmarkStart w:id="228" w:name="_Toc18538"/>
      <w:bookmarkStart w:id="229" w:name="_Toc395"/>
      <w:bookmarkStart w:id="230" w:name="_Toc73364887"/>
      <w:bookmarkStart w:id="231" w:name="_Toc21973"/>
      <w:bookmarkStart w:id="232" w:name="_Toc73365500"/>
      <w:bookmarkStart w:id="233" w:name="_Toc12105"/>
      <w:r>
        <w:rPr>
          <w:rFonts w:hint="eastAsia" w:ascii="宋体" w:hAnsi="宋体"/>
          <w:color w:val="auto"/>
          <w:sz w:val="30"/>
          <w:highlight w:val="none"/>
        </w:rPr>
        <w:t>2</w:t>
      </w:r>
      <w:r>
        <w:rPr>
          <w:rFonts w:hint="eastAsia" w:ascii="宋体" w:hAnsi="宋体"/>
          <w:color w:val="auto"/>
          <w:sz w:val="30"/>
          <w:highlight w:val="none"/>
          <w:lang w:val="en-US" w:eastAsia="zh-CN"/>
        </w:rPr>
        <w:t>7</w:t>
      </w:r>
      <w:r>
        <w:rPr>
          <w:rFonts w:hint="eastAsia" w:ascii="宋体" w:hAnsi="宋体"/>
          <w:color w:val="auto"/>
          <w:sz w:val="30"/>
          <w:highlight w:val="none"/>
        </w:rPr>
        <w:t>．成交通知书</w:t>
      </w:r>
      <w:bookmarkEnd w:id="228"/>
      <w:bookmarkEnd w:id="229"/>
      <w:bookmarkEnd w:id="230"/>
      <w:bookmarkEnd w:id="231"/>
      <w:bookmarkEnd w:id="232"/>
      <w:bookmarkEnd w:id="233"/>
    </w:p>
    <w:p w14:paraId="6C073ED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.1在磋商响应有效期期满之前,磋商组织方将以书面形式通知成交供应商，成交供应商在收到成交通知书后，须立即以书面形式回复磋商组织方，确认成交通知书已收，并同意接受。</w:t>
      </w:r>
    </w:p>
    <w:p w14:paraId="71F1968C">
      <w:pPr>
        <w:spacing w:line="360" w:lineRule="auto"/>
        <w:ind w:firstLine="480"/>
        <w:rPr>
          <w:rFonts w:hint="eastAsia" w:ascii="宋体" w:hAnsi="宋体"/>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.2成交通知书发出后，采购人不得违法改变成交结果，成交供应商无正当理由不得放弃成交。</w:t>
      </w:r>
    </w:p>
    <w:p w14:paraId="71F442DF">
      <w:pPr>
        <w:pStyle w:val="190"/>
        <w:keepNext w:val="0"/>
        <w:keepLines w:val="0"/>
        <w:tabs>
          <w:tab w:val="left" w:pos="5191"/>
        </w:tabs>
        <w:spacing w:before="200" w:after="200" w:line="360" w:lineRule="auto"/>
        <w:ind w:firstLine="446"/>
        <w:rPr>
          <w:rFonts w:hint="eastAsia" w:ascii="宋体" w:hAnsi="宋体"/>
          <w:color w:val="auto"/>
          <w:sz w:val="30"/>
          <w:highlight w:val="none"/>
        </w:rPr>
      </w:pPr>
      <w:bookmarkStart w:id="234" w:name="_Toc5326"/>
      <w:bookmarkStart w:id="235" w:name="_Toc6378"/>
      <w:bookmarkStart w:id="236" w:name="_Toc73365501"/>
      <w:bookmarkStart w:id="237" w:name="_Toc73364888"/>
      <w:bookmarkStart w:id="238" w:name="_Toc16506"/>
      <w:bookmarkStart w:id="239" w:name="_Toc15077"/>
      <w:r>
        <w:rPr>
          <w:rFonts w:hint="eastAsia" w:ascii="宋体" w:hAnsi="宋体"/>
          <w:color w:val="auto"/>
          <w:sz w:val="30"/>
          <w:highlight w:val="none"/>
        </w:rPr>
        <w:t>2</w:t>
      </w:r>
      <w:r>
        <w:rPr>
          <w:rFonts w:hint="eastAsia" w:ascii="宋体" w:hAnsi="宋体"/>
          <w:color w:val="auto"/>
          <w:sz w:val="30"/>
          <w:highlight w:val="none"/>
          <w:lang w:val="en-US" w:eastAsia="zh-CN"/>
        </w:rPr>
        <w:t>8</w:t>
      </w:r>
      <w:r>
        <w:rPr>
          <w:rFonts w:hint="eastAsia" w:ascii="宋体" w:hAnsi="宋体"/>
          <w:color w:val="auto"/>
          <w:sz w:val="30"/>
          <w:highlight w:val="none"/>
        </w:rPr>
        <w:t>．签订合同</w:t>
      </w:r>
      <w:bookmarkEnd w:id="234"/>
      <w:bookmarkEnd w:id="235"/>
      <w:bookmarkEnd w:id="236"/>
      <w:bookmarkEnd w:id="237"/>
      <w:bookmarkEnd w:id="238"/>
      <w:bookmarkEnd w:id="239"/>
    </w:p>
    <w:p w14:paraId="2D4F136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.1采购人应当自成交通知书发出之日起</w:t>
      </w:r>
      <w:bookmarkStart w:id="240" w:name="EB51d9b032aa7249af80d45424dadc155d"/>
      <w:r>
        <w:rPr>
          <w:rFonts w:hint="eastAsia" w:ascii="宋体" w:hAnsi="宋体" w:eastAsia="宋体" w:cs="Times New Roman"/>
          <w:color w:val="auto"/>
          <w:sz w:val="24"/>
          <w:highlight w:val="none"/>
        </w:rPr>
        <w:t>15日</w:t>
      </w:r>
      <w:bookmarkEnd w:id="240"/>
      <w:r>
        <w:rPr>
          <w:rFonts w:hint="eastAsia" w:ascii="宋体" w:hAnsi="宋体" w:eastAsia="宋体" w:cs="Times New Roman"/>
          <w:color w:val="auto"/>
          <w:sz w:val="24"/>
          <w:highlight w:val="none"/>
        </w:rPr>
        <w:t>内，按照磋商文件、成交供应商磋商响应文件以及磋商过程中确定的事项，与成交供应商签订政府采购合同。采购人不得向成交人提出任何不合理的要求作为签订合同的条件。</w:t>
      </w:r>
    </w:p>
    <w:p w14:paraId="1A3BD5C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.2政府采购合同应当包括采购人与成交人的名称和住所、标的、数量、质量、价款或者报酬、履行期限及地点和方式、验收要求、违约责任、解决争议的方法等内容。</w:t>
      </w:r>
    </w:p>
    <w:p w14:paraId="5D4B16B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.3合同履行中，采购人需追加与合同标的相同的服务时，在不改变合同其他条款的前提下，可以与成交人协商签订补充合同，但所有补充合同的采购金额不得超过原合同采购金额的百分之十。</w:t>
      </w:r>
    </w:p>
    <w:p w14:paraId="70D97A7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.4采购结束后，采购人若由于各种客观原因，必须对采购项目所牵涉的货物和服务进行适当的减少时，在双方协商一致的前提下，可以按照磋商采购时的价格水平做相应的调减，并据此签订补充合同。</w:t>
      </w:r>
    </w:p>
    <w:p w14:paraId="6CD55CC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.5采购人与成交人应当根据合同的约定依法履行合同义务。政府采购合同的履行、违约责任和解决争议的方法等适用</w:t>
      </w:r>
      <w:bookmarkStart w:id="241" w:name="EB756a2e5eaf4942b0afe0c5074e4df86a"/>
      <w:r>
        <w:rPr>
          <w:rFonts w:hint="eastAsia" w:ascii="宋体" w:hAnsi="宋体" w:eastAsia="宋体" w:cs="Times New Roman"/>
          <w:color w:val="auto"/>
          <w:sz w:val="24"/>
          <w:highlight w:val="none"/>
        </w:rPr>
        <w:t>《中华人民共和国民法典》</w:t>
      </w:r>
      <w:bookmarkEnd w:id="241"/>
      <w:r>
        <w:rPr>
          <w:rFonts w:hint="eastAsia" w:ascii="宋体" w:hAnsi="宋体" w:eastAsia="宋体" w:cs="Times New Roman"/>
          <w:color w:val="auto"/>
          <w:sz w:val="24"/>
          <w:highlight w:val="none"/>
        </w:rPr>
        <w:t>。</w:t>
      </w:r>
    </w:p>
    <w:p w14:paraId="18A0B3BC">
      <w:pPr>
        <w:pStyle w:val="190"/>
        <w:keepNext w:val="0"/>
        <w:keepLines w:val="0"/>
        <w:tabs>
          <w:tab w:val="left" w:pos="5191"/>
        </w:tabs>
        <w:spacing w:before="200" w:after="200" w:line="360" w:lineRule="auto"/>
        <w:ind w:firstLine="446"/>
        <w:rPr>
          <w:rFonts w:hint="eastAsia"/>
          <w:color w:val="auto"/>
          <w:highlight w:val="none"/>
        </w:rPr>
      </w:pPr>
      <w:bookmarkStart w:id="242" w:name="_Toc5450"/>
      <w:bookmarkStart w:id="243" w:name="_Toc13196"/>
      <w:bookmarkStart w:id="244" w:name="_Toc17280"/>
      <w:bookmarkStart w:id="245" w:name="_Toc73364889"/>
      <w:bookmarkStart w:id="246" w:name="_Toc73365502"/>
      <w:bookmarkStart w:id="247" w:name="_Toc17287"/>
      <w:r>
        <w:rPr>
          <w:rFonts w:hint="eastAsia" w:ascii="宋体" w:hAnsi="宋体"/>
          <w:color w:val="auto"/>
          <w:sz w:val="30"/>
          <w:highlight w:val="none"/>
          <w:lang w:val="en-US" w:eastAsia="zh-CN"/>
        </w:rPr>
        <w:t>29</w:t>
      </w:r>
      <w:r>
        <w:rPr>
          <w:rFonts w:hint="eastAsia" w:ascii="宋体" w:hAnsi="宋体"/>
          <w:color w:val="auto"/>
          <w:sz w:val="30"/>
          <w:highlight w:val="none"/>
        </w:rPr>
        <w:t>．履约保证金</w:t>
      </w:r>
      <w:bookmarkEnd w:id="242"/>
      <w:bookmarkEnd w:id="243"/>
      <w:bookmarkEnd w:id="244"/>
      <w:bookmarkEnd w:id="245"/>
      <w:bookmarkEnd w:id="246"/>
      <w:bookmarkEnd w:id="247"/>
    </w:p>
    <w:p w14:paraId="5205EAFA">
      <w:pPr>
        <w:pStyle w:val="12"/>
        <w:numPr>
          <w:ilvl w:val="1"/>
          <w:numId w:val="0"/>
        </w:numPr>
        <w:spacing w:line="360" w:lineRule="auto"/>
        <w:ind w:firstLine="480"/>
        <w:jc w:val="left"/>
        <w:rPr>
          <w:rFonts w:hint="eastAsia" w:ascii="宋体" w:hAnsi="宋体" w:eastAsia="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本项目不收取履约保证金</w:t>
      </w:r>
      <w:r>
        <w:rPr>
          <w:rFonts w:hint="eastAsia" w:ascii="宋体" w:hAnsi="宋体"/>
          <w:color w:val="auto"/>
          <w:sz w:val="24"/>
          <w:highlight w:val="none"/>
          <w:lang w:eastAsia="zh-CN"/>
        </w:rPr>
        <w:t>。</w:t>
      </w:r>
    </w:p>
    <w:p w14:paraId="4A7A512A">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本项目中标供应商应提交合同金额</w:t>
      </w:r>
      <w:r>
        <w:rPr>
          <w:rFonts w:hint="eastAsia" w:ascii="宋体" w:hAnsi="宋体"/>
          <w:color w:val="auto"/>
          <w:sz w:val="24"/>
          <w:highlight w:val="none"/>
          <w:lang w:val="en-US" w:eastAsia="zh-CN"/>
        </w:rPr>
        <w:t>10</w:t>
      </w:r>
      <w:r>
        <w:rPr>
          <w:rFonts w:hint="eastAsia" w:ascii="宋体" w:hAnsi="宋体"/>
          <w:color w:val="auto"/>
          <w:sz w:val="24"/>
          <w:highlight w:val="none"/>
        </w:rPr>
        <w:t>%的履约保证金（不得超过政府采购合同金额的10%），履约保证金应以支票、汇票、本票、保函、保险保单等非现金形式缴纳或提交。</w:t>
      </w:r>
    </w:p>
    <w:p w14:paraId="4244D07C">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43D86FE5">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履约保证金退还的条件： </w:t>
      </w:r>
    </w:p>
    <w:p w14:paraId="652A053B">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货物类项目，项目验收合格，出具验收报告及履约保证金收据申请退付；</w:t>
      </w:r>
    </w:p>
    <w:p w14:paraId="378DD130">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履约保证金退还时间：采购单位收到投标人退付申请后5个工作日内退还；</w:t>
      </w:r>
    </w:p>
    <w:p w14:paraId="14DE84F8">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履约保证金不予退还情形：除不可抗力外，投标人不履行与采购人订立的采购合同的，履约保证金不予退还，给采购人造成的损失超过履约保证金数额的，还应当对超过部分予以赔偿；</w:t>
      </w:r>
    </w:p>
    <w:p w14:paraId="3A54D870">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逾期退还履约保证金的违约责任：除应当退还履约保证金外，还应当按中国人民银行同期贷款基准利率上浮20％后的利率支付超期资金占用费，但因投标人自身原因导致无法及时退还的除外。</w:t>
      </w:r>
    </w:p>
    <w:p w14:paraId="0C162E25">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4996E949">
      <w:pPr>
        <w:pStyle w:val="189"/>
        <w:rPr>
          <w:rFonts w:ascii="宋体" w:hAnsi="宋体" w:eastAsia="宋体"/>
          <w:color w:val="auto"/>
          <w:sz w:val="32"/>
          <w:highlight w:val="none"/>
        </w:rPr>
      </w:pPr>
      <w:bookmarkStart w:id="248" w:name="_Toc12337"/>
      <w:bookmarkStart w:id="249" w:name="_Toc73364890"/>
      <w:bookmarkStart w:id="250" w:name="_Toc73365503"/>
      <w:r>
        <w:rPr>
          <w:rFonts w:hint="eastAsia" w:ascii="宋体" w:hAnsi="宋体" w:eastAsia="宋体"/>
          <w:color w:val="auto"/>
          <w:sz w:val="32"/>
          <w:highlight w:val="none"/>
        </w:rPr>
        <w:t>七、询问、质疑、投诉</w:t>
      </w:r>
      <w:bookmarkEnd w:id="248"/>
      <w:bookmarkEnd w:id="249"/>
      <w:bookmarkEnd w:id="250"/>
    </w:p>
    <w:p w14:paraId="700C83C2">
      <w:pPr>
        <w:pStyle w:val="190"/>
        <w:keepNext w:val="0"/>
        <w:keepLines w:val="0"/>
        <w:tabs>
          <w:tab w:val="left" w:pos="5191"/>
        </w:tabs>
        <w:spacing w:before="200" w:after="200" w:line="360" w:lineRule="auto"/>
        <w:ind w:firstLine="446"/>
        <w:rPr>
          <w:rFonts w:ascii="宋体" w:hAnsi="宋体"/>
          <w:color w:val="auto"/>
          <w:sz w:val="30"/>
          <w:highlight w:val="none"/>
        </w:rPr>
      </w:pPr>
      <w:bookmarkStart w:id="251" w:name="_Toc73365504"/>
      <w:bookmarkStart w:id="252" w:name="_Toc29838"/>
      <w:bookmarkStart w:id="253" w:name="_Toc21687"/>
      <w:bookmarkStart w:id="254" w:name="_Toc26856"/>
      <w:bookmarkStart w:id="255" w:name="_Toc73364891"/>
      <w:bookmarkStart w:id="256" w:name="_Toc5829"/>
      <w:r>
        <w:rPr>
          <w:rFonts w:hint="eastAsia" w:ascii="宋体" w:hAnsi="宋体"/>
          <w:color w:val="auto"/>
          <w:sz w:val="30"/>
          <w:highlight w:val="none"/>
        </w:rPr>
        <w:t>3</w:t>
      </w:r>
      <w:r>
        <w:rPr>
          <w:rFonts w:hint="eastAsia" w:ascii="宋体" w:hAnsi="宋体"/>
          <w:color w:val="auto"/>
          <w:sz w:val="30"/>
          <w:highlight w:val="none"/>
          <w:lang w:val="en-US" w:eastAsia="zh-CN"/>
        </w:rPr>
        <w:t>0</w:t>
      </w:r>
      <w:r>
        <w:rPr>
          <w:rFonts w:hint="eastAsia" w:ascii="宋体" w:hAnsi="宋体"/>
          <w:color w:val="auto"/>
          <w:sz w:val="30"/>
          <w:highlight w:val="none"/>
        </w:rPr>
        <w:t>．询问</w:t>
      </w:r>
      <w:bookmarkEnd w:id="251"/>
      <w:bookmarkEnd w:id="252"/>
      <w:bookmarkEnd w:id="253"/>
      <w:bookmarkEnd w:id="254"/>
      <w:bookmarkEnd w:id="255"/>
      <w:bookmarkEnd w:id="256"/>
    </w:p>
    <w:p w14:paraId="40C3AD4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供应商对磋商活动事项有疑问的，可以向采购人或磋商组织方提出询问，采购人或磋商组织方将依法作出答复，但答复的内容不得涉及商业秘密。</w:t>
      </w:r>
    </w:p>
    <w:p w14:paraId="373C3B7D">
      <w:pPr>
        <w:pStyle w:val="190"/>
        <w:keepNext w:val="0"/>
        <w:keepLines w:val="0"/>
        <w:tabs>
          <w:tab w:val="left" w:pos="5191"/>
        </w:tabs>
        <w:spacing w:before="200" w:after="200" w:line="360" w:lineRule="auto"/>
        <w:ind w:firstLine="446"/>
        <w:rPr>
          <w:rFonts w:ascii="宋体" w:hAnsi="宋体"/>
          <w:color w:val="auto"/>
          <w:sz w:val="30"/>
          <w:highlight w:val="none"/>
        </w:rPr>
      </w:pPr>
      <w:bookmarkStart w:id="257" w:name="_Toc14530"/>
      <w:bookmarkStart w:id="258" w:name="_Toc73365505"/>
      <w:bookmarkStart w:id="259" w:name="_Toc73364892"/>
      <w:bookmarkStart w:id="260" w:name="_Toc6002"/>
      <w:bookmarkStart w:id="261" w:name="_Toc15998"/>
      <w:bookmarkStart w:id="262" w:name="_Toc25135"/>
      <w:r>
        <w:rPr>
          <w:rFonts w:hint="eastAsia" w:ascii="宋体" w:hAnsi="宋体"/>
          <w:color w:val="auto"/>
          <w:sz w:val="30"/>
          <w:highlight w:val="none"/>
        </w:rPr>
        <w:t>3</w:t>
      </w:r>
      <w:r>
        <w:rPr>
          <w:rFonts w:hint="eastAsia" w:ascii="宋体" w:hAnsi="宋体"/>
          <w:color w:val="auto"/>
          <w:sz w:val="30"/>
          <w:highlight w:val="none"/>
          <w:lang w:val="en-US" w:eastAsia="zh-CN"/>
        </w:rPr>
        <w:t>1</w:t>
      </w:r>
      <w:r>
        <w:rPr>
          <w:rFonts w:hint="eastAsia" w:ascii="宋体" w:hAnsi="宋体"/>
          <w:color w:val="auto"/>
          <w:sz w:val="30"/>
          <w:highlight w:val="none"/>
        </w:rPr>
        <w:t>．质疑</w:t>
      </w:r>
      <w:bookmarkEnd w:id="257"/>
      <w:bookmarkEnd w:id="258"/>
      <w:bookmarkEnd w:id="259"/>
      <w:bookmarkEnd w:id="260"/>
      <w:bookmarkEnd w:id="261"/>
      <w:bookmarkEnd w:id="262"/>
    </w:p>
    <w:p w14:paraId="2C5ECCD2">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3" w:name="EBe57b2086e1964f6c9a98adb43196769d"/>
      <w:r>
        <w:rPr>
          <w:rFonts w:hint="eastAsia" w:ascii="宋体" w:hAnsi="宋体" w:eastAsia="宋体" w:cs="Times New Roman"/>
          <w:color w:val="auto"/>
          <w:sz w:val="24"/>
          <w:highlight w:val="none"/>
        </w:rPr>
        <w:t xml:space="preserve"> </w:t>
      </w:r>
      <w:bookmarkEnd w:id="263"/>
      <w:bookmarkStart w:id="264" w:name="EB14c12432eda944b6b81906a07b050baa"/>
      <w:r>
        <w:rPr>
          <w:rFonts w:hint="eastAsia" w:ascii="宋体" w:hAnsi="宋体" w:eastAsia="宋体" w:cs="Times New Roman"/>
          <w:color w:val="auto"/>
          <w:sz w:val="24"/>
          <w:highlight w:val="none"/>
        </w:rPr>
        <w:t xml:space="preserve"> </w:t>
      </w:r>
      <w:bookmarkEnd w:id="264"/>
    </w:p>
    <w:p w14:paraId="1B42008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以上规定的供应商应知其权益受到损害之日，是指：</w:t>
      </w:r>
    </w:p>
    <w:p w14:paraId="2844ED4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（1）对可以质疑的磋商文件提出质疑的，为收到磋商文件之日或者磋商文件公告期限届满之日；</w:t>
      </w:r>
    </w:p>
    <w:p w14:paraId="66EFA85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（2）对采购过程提出质疑的，为各采购程序环节结束之日；</w:t>
      </w:r>
    </w:p>
    <w:p w14:paraId="161E172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（3）对成交结果提出质疑的，为结果公告期限届满之日。</w:t>
      </w:r>
    </w:p>
    <w:p w14:paraId="44F586A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2E774E5A">
      <w:pPr>
        <w:spacing w:line="360" w:lineRule="auto"/>
        <w:ind w:firstLine="480"/>
        <w:rPr>
          <w:rFonts w:ascii="宋体" w:hAnsi="宋体"/>
          <w:b/>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供应商如对采购需求提出质疑，除向采购人递交质疑文件外，同时向磋商组织方递交质疑文件，采购人负责处理和答复涉及采购需求的质疑内容。</w:t>
      </w:r>
    </w:p>
    <w:p w14:paraId="30F43FB0">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.4采购人或磋商组织方在收到供应商的书面质疑后将及时组织调查核实，在七个工作日内作出答复，并以书面或在网站公告形式通知质疑供应商和其他有关供应商，答复的内容不涉及商业秘密。</w:t>
      </w:r>
    </w:p>
    <w:p w14:paraId="6CC2D143">
      <w:pPr>
        <w:pStyle w:val="190"/>
        <w:keepNext w:val="0"/>
        <w:keepLines w:val="0"/>
        <w:tabs>
          <w:tab w:val="left" w:pos="5191"/>
        </w:tabs>
        <w:spacing w:before="200" w:after="200" w:line="360" w:lineRule="auto"/>
        <w:ind w:firstLine="446"/>
        <w:rPr>
          <w:rFonts w:ascii="宋体" w:hAnsi="宋体"/>
          <w:color w:val="auto"/>
          <w:sz w:val="30"/>
          <w:highlight w:val="none"/>
        </w:rPr>
      </w:pPr>
      <w:bookmarkStart w:id="265" w:name="_Toc20851"/>
      <w:bookmarkStart w:id="266" w:name="_Toc3334"/>
      <w:bookmarkStart w:id="267" w:name="_Toc28906"/>
      <w:bookmarkStart w:id="268" w:name="_Toc73365506"/>
      <w:bookmarkStart w:id="269" w:name="_Toc73364893"/>
      <w:bookmarkStart w:id="270" w:name="_Toc29916"/>
      <w:r>
        <w:rPr>
          <w:rFonts w:hint="eastAsia" w:ascii="宋体" w:hAnsi="宋体"/>
          <w:color w:val="auto"/>
          <w:sz w:val="30"/>
          <w:highlight w:val="none"/>
        </w:rPr>
        <w:t>3</w:t>
      </w:r>
      <w:r>
        <w:rPr>
          <w:rFonts w:hint="eastAsia" w:ascii="宋体" w:hAnsi="宋体"/>
          <w:color w:val="auto"/>
          <w:sz w:val="30"/>
          <w:highlight w:val="none"/>
          <w:lang w:val="en-US" w:eastAsia="zh-CN"/>
        </w:rPr>
        <w:t>2</w:t>
      </w:r>
      <w:r>
        <w:rPr>
          <w:rFonts w:hint="eastAsia" w:ascii="宋体" w:hAnsi="宋体"/>
          <w:color w:val="auto"/>
          <w:sz w:val="30"/>
          <w:highlight w:val="none"/>
        </w:rPr>
        <w:t>．投诉</w:t>
      </w:r>
      <w:bookmarkEnd w:id="265"/>
      <w:bookmarkEnd w:id="266"/>
      <w:bookmarkEnd w:id="267"/>
      <w:bookmarkEnd w:id="268"/>
      <w:bookmarkEnd w:id="269"/>
      <w:bookmarkEnd w:id="270"/>
    </w:p>
    <w:p w14:paraId="56F9E7C5">
      <w:pPr>
        <w:spacing w:line="360" w:lineRule="auto"/>
        <w:ind w:firstLine="480"/>
        <w:rPr>
          <w:color w:val="auto"/>
          <w:highlight w:val="none"/>
        </w:rPr>
      </w:pPr>
      <w:r>
        <w:rPr>
          <w:rFonts w:hint="eastAsia" w:ascii="宋体" w:hAnsi="宋体"/>
          <w:color w:val="auto"/>
          <w:sz w:val="24"/>
          <w:highlight w:val="none"/>
        </w:rPr>
        <w:t>质疑供应商对采购人、磋商组织方的答复不满意，或者采购人、磋商组织方未在规定的时间内作出答复的，可以在答复期满后十五个工作日内向采购项目同级财政部门投诉。</w:t>
      </w:r>
    </w:p>
    <w:p w14:paraId="2F2E76B1">
      <w:pPr>
        <w:pStyle w:val="189"/>
        <w:rPr>
          <w:rFonts w:ascii="宋体" w:hAnsi="宋体" w:eastAsia="宋体"/>
          <w:color w:val="auto"/>
          <w:sz w:val="32"/>
          <w:highlight w:val="none"/>
        </w:rPr>
      </w:pPr>
      <w:bookmarkStart w:id="271" w:name="_Toc1451"/>
      <w:bookmarkStart w:id="272" w:name="_Toc73364894"/>
      <w:bookmarkStart w:id="273" w:name="_Toc73365507"/>
      <w:r>
        <w:rPr>
          <w:rFonts w:hint="eastAsia" w:ascii="宋体" w:hAnsi="宋体" w:eastAsia="宋体"/>
          <w:color w:val="auto"/>
          <w:sz w:val="32"/>
          <w:highlight w:val="none"/>
        </w:rPr>
        <w:t>八、诚实信用和解释权</w:t>
      </w:r>
      <w:bookmarkEnd w:id="271"/>
      <w:bookmarkEnd w:id="272"/>
      <w:bookmarkEnd w:id="273"/>
    </w:p>
    <w:p w14:paraId="7E7B68B8">
      <w:pPr>
        <w:pStyle w:val="190"/>
        <w:keepNext w:val="0"/>
        <w:keepLines w:val="0"/>
        <w:tabs>
          <w:tab w:val="left" w:pos="5191"/>
        </w:tabs>
        <w:spacing w:before="200" w:after="200" w:line="360" w:lineRule="auto"/>
        <w:ind w:firstLine="446"/>
        <w:rPr>
          <w:rFonts w:ascii="宋体" w:hAnsi="宋体"/>
          <w:color w:val="auto"/>
          <w:sz w:val="30"/>
          <w:highlight w:val="none"/>
        </w:rPr>
      </w:pPr>
      <w:bookmarkStart w:id="274" w:name="_Toc73364895"/>
      <w:bookmarkStart w:id="275" w:name="_Toc5005"/>
      <w:bookmarkStart w:id="276" w:name="_Toc19006"/>
      <w:bookmarkStart w:id="277" w:name="_Toc333"/>
      <w:bookmarkStart w:id="278" w:name="_Toc14517"/>
      <w:bookmarkStart w:id="279" w:name="_Toc73365508"/>
      <w:r>
        <w:rPr>
          <w:rFonts w:hint="eastAsia" w:ascii="宋体" w:hAnsi="宋体"/>
          <w:color w:val="auto"/>
          <w:sz w:val="30"/>
          <w:highlight w:val="none"/>
        </w:rPr>
        <w:t>3</w:t>
      </w:r>
      <w:r>
        <w:rPr>
          <w:rFonts w:hint="eastAsia" w:ascii="宋体" w:hAnsi="宋体"/>
          <w:color w:val="auto"/>
          <w:sz w:val="30"/>
          <w:highlight w:val="none"/>
          <w:lang w:val="en-US" w:eastAsia="zh-CN"/>
        </w:rPr>
        <w:t>3</w:t>
      </w:r>
      <w:r>
        <w:rPr>
          <w:rFonts w:hint="eastAsia" w:ascii="宋体" w:hAnsi="宋体"/>
          <w:color w:val="auto"/>
          <w:sz w:val="30"/>
          <w:highlight w:val="none"/>
        </w:rPr>
        <w:t>．诚实信用</w:t>
      </w:r>
      <w:bookmarkEnd w:id="274"/>
      <w:bookmarkEnd w:id="275"/>
      <w:bookmarkEnd w:id="276"/>
      <w:bookmarkEnd w:id="277"/>
      <w:bookmarkEnd w:id="278"/>
      <w:bookmarkEnd w:id="279"/>
    </w:p>
    <w:p w14:paraId="3D9457A2">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.1供应商之间不得相互串通磋商报价，不得妨碍其他供应商的公平竞争，不得损害采购人和其他供应商的合法权益。</w:t>
      </w:r>
    </w:p>
    <w:p w14:paraId="1CA61B5B">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江苏省政府采购网</w:t>
      </w:r>
      <w:r>
        <w:rPr>
          <w:rFonts w:hint="eastAsia" w:ascii="宋体" w:hAnsi="宋体"/>
          <w:color w:val="auto"/>
          <w:sz w:val="24"/>
          <w:highlight w:val="none"/>
        </w:rPr>
        <w:t>”网站公告，政府采购管理部门将供应商列入不良行为记录名单，按照政府采购有关规定处理。</w:t>
      </w:r>
    </w:p>
    <w:p w14:paraId="6972EEBC">
      <w:pPr>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.3供应商不得虚假承诺，否则，按照提供虚假材料谋取中标/成交处理。</w:t>
      </w:r>
    </w:p>
    <w:p w14:paraId="566B679F">
      <w:pPr>
        <w:spacing w:line="360" w:lineRule="auto"/>
        <w:ind w:left="2"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ascii="宋体" w:hAnsi="宋体"/>
          <w:color w:val="auto"/>
          <w:sz w:val="24"/>
          <w:highlight w:val="none"/>
        </w:rPr>
        <w:t>.4供应商应自觉遵守</w:t>
      </w:r>
      <w:r>
        <w:rPr>
          <w:rFonts w:hint="eastAsia" w:ascii="宋体" w:hAnsi="宋体"/>
          <w:color w:val="auto"/>
          <w:sz w:val="24"/>
          <w:highlight w:val="none"/>
        </w:rPr>
        <w:t>磋商</w:t>
      </w:r>
      <w:r>
        <w:rPr>
          <w:rFonts w:ascii="宋体" w:hAnsi="宋体"/>
          <w:color w:val="auto"/>
          <w:sz w:val="24"/>
          <w:highlight w:val="none"/>
        </w:rPr>
        <w:t>纪律，扰乱</w:t>
      </w:r>
      <w:r>
        <w:rPr>
          <w:rFonts w:hint="eastAsia" w:ascii="宋体" w:hAnsi="宋体"/>
          <w:color w:val="auto"/>
          <w:sz w:val="24"/>
          <w:highlight w:val="none"/>
        </w:rPr>
        <w:t>磋商</w:t>
      </w:r>
      <w:r>
        <w:rPr>
          <w:rFonts w:ascii="宋体" w:hAnsi="宋体"/>
          <w:color w:val="auto"/>
          <w:sz w:val="24"/>
          <w:highlight w:val="none"/>
        </w:rPr>
        <w:t>现场秩序的，属于失信行为，根据《江苏省政府采购供应商监督管理暂行办法》，失信行为将被记入供应商诚信档案。</w:t>
      </w:r>
    </w:p>
    <w:p w14:paraId="1FB6F2E4">
      <w:pPr>
        <w:spacing w:line="360" w:lineRule="auto"/>
        <w:ind w:left="2" w:firstLine="480"/>
        <w:jc w:val="left"/>
        <w:rPr>
          <w:rFonts w:ascii="宋体" w:hAnsi="宋体"/>
          <w:color w:val="auto"/>
          <w:sz w:val="24"/>
          <w:highlight w:val="none"/>
        </w:rPr>
      </w:pPr>
      <w:r>
        <w:rPr>
          <w:rFonts w:hint="eastAsia" w:ascii="宋体" w:hAnsi="宋体"/>
          <w:color w:val="auto"/>
          <w:sz w:val="24"/>
          <w:highlight w:val="none"/>
          <w:lang w:val="en-US" w:eastAsia="zh-CN"/>
        </w:rPr>
        <w:t>33</w:t>
      </w:r>
      <w:r>
        <w:rPr>
          <w:rFonts w:ascii="宋体" w:hAnsi="宋体"/>
          <w:color w:val="auto"/>
          <w:sz w:val="24"/>
          <w:highlight w:val="none"/>
        </w:rPr>
        <w:t>.5</w:t>
      </w:r>
      <w:r>
        <w:rPr>
          <w:rFonts w:hint="eastAsia" w:ascii="宋体" w:hAnsi="宋体"/>
          <w:color w:val="auto"/>
          <w:sz w:val="24"/>
          <w:highlight w:val="none"/>
        </w:rPr>
        <w:t>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w:t>
      </w:r>
      <w:r>
        <w:rPr>
          <w:rFonts w:hint="eastAsia" w:ascii="宋体" w:hAnsi="宋体"/>
          <w:color w:val="auto"/>
          <w:sz w:val="24"/>
          <w:highlight w:val="none"/>
        </w:rPr>
        <w:t>//credit.jiangsu.gov.cn/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6C2ED7C8">
      <w:pPr>
        <w:pStyle w:val="190"/>
        <w:keepNext w:val="0"/>
        <w:keepLines w:val="0"/>
        <w:tabs>
          <w:tab w:val="left" w:pos="5191"/>
        </w:tabs>
        <w:spacing w:before="200" w:after="200" w:line="360" w:lineRule="auto"/>
        <w:ind w:firstLine="446"/>
        <w:rPr>
          <w:rFonts w:ascii="宋体" w:hAnsi="宋体"/>
          <w:color w:val="auto"/>
          <w:sz w:val="30"/>
          <w:highlight w:val="none"/>
        </w:rPr>
      </w:pPr>
      <w:bookmarkStart w:id="280" w:name="_Toc1836"/>
      <w:bookmarkStart w:id="281" w:name="_Toc73364896"/>
      <w:bookmarkStart w:id="282" w:name="_Toc73365509"/>
      <w:bookmarkStart w:id="283" w:name="_Toc29271"/>
      <w:bookmarkStart w:id="284" w:name="_Toc29266"/>
      <w:bookmarkStart w:id="285" w:name="_Toc28505"/>
      <w:r>
        <w:rPr>
          <w:rFonts w:hint="eastAsia" w:ascii="宋体" w:hAnsi="宋体"/>
          <w:color w:val="auto"/>
          <w:sz w:val="30"/>
          <w:highlight w:val="none"/>
        </w:rPr>
        <w:t>3</w:t>
      </w:r>
      <w:r>
        <w:rPr>
          <w:rFonts w:hint="eastAsia" w:ascii="宋体" w:hAnsi="宋体"/>
          <w:color w:val="auto"/>
          <w:sz w:val="30"/>
          <w:highlight w:val="none"/>
          <w:lang w:val="en-US" w:eastAsia="zh-CN"/>
        </w:rPr>
        <w:t>4</w:t>
      </w:r>
      <w:r>
        <w:rPr>
          <w:rFonts w:hint="eastAsia" w:ascii="宋体" w:hAnsi="宋体"/>
          <w:color w:val="auto"/>
          <w:sz w:val="30"/>
          <w:highlight w:val="none"/>
        </w:rPr>
        <w:t>．解释权</w:t>
      </w:r>
      <w:bookmarkEnd w:id="280"/>
      <w:bookmarkEnd w:id="281"/>
      <w:bookmarkEnd w:id="282"/>
      <w:bookmarkEnd w:id="283"/>
      <w:bookmarkEnd w:id="284"/>
      <w:bookmarkEnd w:id="285"/>
    </w:p>
    <w:p w14:paraId="558A84AD">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4</w:t>
      </w:r>
      <w:r>
        <w:rPr>
          <w:rFonts w:hint="eastAsia" w:ascii="宋体" w:hAnsi="宋体"/>
          <w:color w:val="auto"/>
          <w:sz w:val="24"/>
          <w:highlight w:val="none"/>
        </w:rPr>
        <w:t>.1除相关法律、法规规定外，本磋商文件的解释权归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所有。</w:t>
      </w:r>
    </w:p>
    <w:p w14:paraId="52FA2339">
      <w:pPr>
        <w:pStyle w:val="190"/>
        <w:keepNext w:val="0"/>
        <w:keepLines w:val="0"/>
        <w:tabs>
          <w:tab w:val="left" w:pos="5191"/>
        </w:tabs>
        <w:spacing w:before="200" w:after="200" w:line="360" w:lineRule="auto"/>
        <w:ind w:firstLine="446"/>
        <w:rPr>
          <w:rFonts w:ascii="宋体" w:hAnsi="宋体"/>
          <w:color w:val="auto"/>
          <w:sz w:val="30"/>
          <w:highlight w:val="none"/>
        </w:rPr>
      </w:pPr>
      <w:bookmarkStart w:id="286" w:name="_Toc23968"/>
      <w:bookmarkStart w:id="287" w:name="_Toc73365510"/>
      <w:bookmarkStart w:id="288" w:name="_Toc10263"/>
      <w:bookmarkStart w:id="289" w:name="_Toc25784"/>
      <w:bookmarkStart w:id="290" w:name="_Toc73364897"/>
      <w:bookmarkStart w:id="291" w:name="_Toc16984"/>
      <w:r>
        <w:rPr>
          <w:rFonts w:hint="eastAsia" w:ascii="宋体" w:hAnsi="宋体"/>
          <w:color w:val="auto"/>
          <w:sz w:val="30"/>
          <w:highlight w:val="none"/>
        </w:rPr>
        <w:t>3</w:t>
      </w:r>
      <w:r>
        <w:rPr>
          <w:rFonts w:hint="eastAsia" w:ascii="宋体" w:hAnsi="宋体"/>
          <w:color w:val="auto"/>
          <w:sz w:val="30"/>
          <w:highlight w:val="none"/>
          <w:lang w:val="en-US" w:eastAsia="zh-CN"/>
        </w:rPr>
        <w:t>5</w:t>
      </w:r>
      <w:r>
        <w:rPr>
          <w:rFonts w:hint="eastAsia" w:ascii="宋体" w:hAnsi="宋体"/>
          <w:color w:val="auto"/>
          <w:sz w:val="30"/>
          <w:highlight w:val="none"/>
        </w:rPr>
        <w:t>．适用法律及约束力</w:t>
      </w:r>
      <w:bookmarkEnd w:id="286"/>
      <w:bookmarkEnd w:id="287"/>
      <w:bookmarkEnd w:id="288"/>
      <w:bookmarkEnd w:id="289"/>
      <w:bookmarkEnd w:id="290"/>
      <w:bookmarkEnd w:id="291"/>
    </w:p>
    <w:p w14:paraId="1C5C293D">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.1</w:t>
      </w:r>
      <w:r>
        <w:rPr>
          <w:rFonts w:hint="eastAsia" w:ascii="宋体" w:hAnsi="宋体"/>
          <w:b/>
          <w:color w:val="auto"/>
          <w:sz w:val="24"/>
          <w:highlight w:val="none"/>
        </w:rPr>
        <w:t>供应商一旦获取了本磋商文件并参加磋商，即被认为接受了本磋商文件的规定和约束。</w:t>
      </w:r>
    </w:p>
    <w:p w14:paraId="48FCCDFD">
      <w:pPr>
        <w:spacing w:line="360" w:lineRule="auto"/>
        <w:ind w:firstLine="480"/>
        <w:rPr>
          <w:rFonts w:ascii="宋体" w:hAnsi="宋体"/>
          <w:b/>
          <w:color w:val="auto"/>
          <w:sz w:val="36"/>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.2本次采购及由本次采购产生的合同受中华人民共和国法律制约和保护。</w:t>
      </w:r>
    </w:p>
    <w:p w14:paraId="147395DE">
      <w:pPr>
        <w:pStyle w:val="188"/>
        <w:jc w:val="center"/>
        <w:rPr>
          <w:rFonts w:ascii="宋体" w:hAnsi="宋体"/>
          <w:color w:val="auto"/>
          <w:sz w:val="36"/>
          <w:highlight w:val="none"/>
        </w:rPr>
      </w:pPr>
      <w:bookmarkStart w:id="292" w:name="_Toc73365511"/>
      <w:bookmarkStart w:id="293" w:name="_Toc73364898"/>
      <w:r>
        <w:rPr>
          <w:rFonts w:hint="eastAsia" w:ascii="宋体" w:hAnsi="宋体"/>
          <w:color w:val="auto"/>
          <w:sz w:val="36"/>
          <w:highlight w:val="none"/>
        </w:rPr>
        <w:br w:type="page" w:clear="all"/>
      </w:r>
      <w:bookmarkStart w:id="294" w:name="_Toc17424"/>
      <w:r>
        <w:rPr>
          <w:rFonts w:hint="eastAsia" w:ascii="宋体" w:hAnsi="宋体"/>
          <w:color w:val="auto"/>
          <w:sz w:val="36"/>
          <w:highlight w:val="none"/>
        </w:rPr>
        <w:t>第三部分  合同</w:t>
      </w:r>
      <w:bookmarkEnd w:id="292"/>
      <w:bookmarkEnd w:id="293"/>
      <w:bookmarkEnd w:id="294"/>
    </w:p>
    <w:p w14:paraId="16FF301A">
      <w:pPr>
        <w:rPr>
          <w:color w:val="auto"/>
          <w:highlight w:val="none"/>
        </w:rPr>
      </w:pPr>
      <w:bookmarkStart w:id="295" w:name="EB5d738f80eafe4dad973e91c4d059027e"/>
      <w:bookmarkEnd w:id="295"/>
    </w:p>
    <w:p w14:paraId="2493CBF9">
      <w:pPr>
        <w:pStyle w:val="248"/>
        <w:jc w:val="center"/>
        <w:rPr>
          <w:rStyle w:val="192"/>
          <w:rFonts w:hint="eastAsia" w:ascii="Calibri" w:hAnsi="Calibri" w:eastAsia="黑体" w:cs="Times New Roman"/>
          <w:color w:val="auto"/>
          <w:spacing w:val="45"/>
          <w:sz w:val="56"/>
          <w:szCs w:val="24"/>
          <w:highlight w:val="none"/>
        </w:rPr>
      </w:pPr>
    </w:p>
    <w:p w14:paraId="1CCC63FF">
      <w:pPr>
        <w:pStyle w:val="248"/>
        <w:jc w:val="center"/>
        <w:rPr>
          <w:rStyle w:val="192"/>
          <w:rFonts w:hint="eastAsia" w:ascii="Calibri" w:hAnsi="Calibri" w:eastAsia="黑体" w:cs="Times New Roman"/>
          <w:color w:val="auto"/>
          <w:spacing w:val="45"/>
          <w:sz w:val="56"/>
          <w:szCs w:val="24"/>
          <w:highlight w:val="none"/>
        </w:rPr>
      </w:pPr>
    </w:p>
    <w:p w14:paraId="314450D3">
      <w:pPr>
        <w:pStyle w:val="248"/>
        <w:jc w:val="center"/>
        <w:rPr>
          <w:rStyle w:val="192"/>
          <w:rFonts w:hint="eastAsia" w:ascii="Calibri" w:hAnsi="Calibri" w:eastAsia="黑体" w:cs="Times New Roman"/>
          <w:color w:val="auto"/>
          <w:spacing w:val="45"/>
          <w:sz w:val="56"/>
          <w:szCs w:val="24"/>
          <w:highlight w:val="none"/>
        </w:rPr>
      </w:pPr>
    </w:p>
    <w:p w14:paraId="590EA3C0">
      <w:pPr>
        <w:pStyle w:val="248"/>
        <w:jc w:val="center"/>
        <w:rPr>
          <w:rStyle w:val="192"/>
          <w:rFonts w:ascii="Calibri" w:hAnsi="Calibri" w:eastAsia="黑体" w:cs="Times New Roman"/>
          <w:color w:val="auto"/>
          <w:sz w:val="52"/>
          <w:highlight w:val="none"/>
        </w:rPr>
      </w:pPr>
      <w:r>
        <w:rPr>
          <w:rStyle w:val="192"/>
          <w:rFonts w:hint="eastAsia" w:ascii="Calibri" w:hAnsi="Calibri" w:eastAsia="黑体" w:cs="Times New Roman"/>
          <w:color w:val="auto"/>
          <w:spacing w:val="45"/>
          <w:sz w:val="56"/>
          <w:szCs w:val="24"/>
          <w:highlight w:val="none"/>
        </w:rPr>
        <w:t>丹阳市政府采购合同</w:t>
      </w:r>
    </w:p>
    <w:p w14:paraId="1C854515">
      <w:pPr>
        <w:pStyle w:val="248"/>
        <w:rPr>
          <w:rStyle w:val="192"/>
          <w:rFonts w:ascii="仿宋_GB2312" w:hAnsi="Calibri" w:eastAsia="仿宋_GB2312" w:cs="Times New Roman"/>
          <w:b/>
          <w:color w:val="auto"/>
          <w:sz w:val="32"/>
          <w:highlight w:val="none"/>
        </w:rPr>
      </w:pPr>
      <w:r>
        <w:rPr>
          <w:rStyle w:val="192"/>
          <w:rFonts w:ascii="仿宋_GB2312" w:hAnsi="Calibri" w:eastAsia="仿宋_GB2312" w:cs="Times New Roman"/>
          <w:b/>
          <w:color w:val="auto"/>
          <w:sz w:val="32"/>
          <w:highlight w:val="none"/>
        </w:rPr>
        <w:t xml:space="preserve">  </w:t>
      </w:r>
    </w:p>
    <w:p w14:paraId="083C3382">
      <w:pPr>
        <w:pStyle w:val="249"/>
        <w:ind w:left="0" w:firstLine="0"/>
        <w:rPr>
          <w:rStyle w:val="192"/>
          <w:rFonts w:ascii="仿宋_GB2312" w:hAnsi="Calibri" w:eastAsia="仿宋_GB2312" w:cs="Times New Roman"/>
          <w:b/>
          <w:color w:val="auto"/>
          <w:sz w:val="32"/>
          <w:highlight w:val="none"/>
        </w:rPr>
      </w:pPr>
    </w:p>
    <w:p w14:paraId="0EFB704D">
      <w:pPr>
        <w:pStyle w:val="248"/>
        <w:rPr>
          <w:rStyle w:val="192"/>
          <w:rFonts w:hint="eastAsia" w:ascii="黑体" w:hAnsi="Calibri" w:eastAsia="黑体" w:cs="Times New Roman"/>
          <w:b/>
          <w:color w:val="auto"/>
          <w:sz w:val="32"/>
          <w:szCs w:val="22"/>
          <w:highlight w:val="none"/>
        </w:rPr>
      </w:pPr>
    </w:p>
    <w:p w14:paraId="2723DFFB">
      <w:pPr>
        <w:pStyle w:val="248"/>
        <w:keepNext w:val="0"/>
        <w:keepLines w:val="0"/>
        <w:pageBreakBefore w:val="0"/>
        <w:widowControl w:val="0"/>
        <w:spacing w:before="312" w:after="312"/>
        <w:ind w:firstLine="482"/>
        <w:rPr>
          <w:rStyle w:val="192"/>
          <w:rFonts w:hint="eastAsia" w:ascii="黑体" w:hAnsi="Calibri" w:eastAsia="黑体" w:cs="Times New Roman"/>
          <w:b/>
          <w:color w:val="auto"/>
          <w:sz w:val="32"/>
          <w:szCs w:val="22"/>
          <w:highlight w:val="none"/>
        </w:rPr>
      </w:pPr>
    </w:p>
    <w:p w14:paraId="53CD8546">
      <w:pPr>
        <w:pStyle w:val="248"/>
        <w:keepNext w:val="0"/>
        <w:keepLines w:val="0"/>
        <w:pageBreakBefore w:val="0"/>
        <w:widowControl w:val="0"/>
        <w:spacing w:before="721" w:after="721"/>
        <w:rPr>
          <w:rStyle w:val="192"/>
          <w:rFonts w:hint="eastAsia" w:ascii="黑体" w:hAnsi="Calibri" w:eastAsia="黑体" w:cs="Times New Roman"/>
          <w:b/>
          <w:color w:val="auto"/>
          <w:sz w:val="32"/>
          <w:szCs w:val="22"/>
          <w:highlight w:val="none"/>
        </w:rPr>
      </w:pPr>
    </w:p>
    <w:p w14:paraId="1876E04D">
      <w:pPr>
        <w:pStyle w:val="248"/>
        <w:keepNext w:val="0"/>
        <w:keepLines w:val="0"/>
        <w:pageBreakBefore w:val="0"/>
        <w:widowControl w:val="0"/>
        <w:spacing w:before="721" w:after="721"/>
        <w:ind w:firstLine="1134"/>
        <w:rPr>
          <w:rStyle w:val="192"/>
          <w:rFonts w:hint="eastAsia" w:ascii="黑体" w:hAnsi="Calibri" w:eastAsia="黑体" w:cs="Times New Roman"/>
          <w:b/>
          <w:color w:val="auto"/>
          <w:sz w:val="32"/>
          <w:szCs w:val="22"/>
          <w:highlight w:val="none"/>
          <w:lang w:eastAsia="zh-CN"/>
        </w:rPr>
      </w:pPr>
      <w:r>
        <w:rPr>
          <w:rStyle w:val="192"/>
          <w:rFonts w:hint="eastAsia" w:ascii="黑体" w:hAnsi="Calibri" w:eastAsia="黑体" w:cs="Times New Roman"/>
          <w:b/>
          <w:color w:val="auto"/>
          <w:sz w:val="32"/>
          <w:szCs w:val="22"/>
          <w:highlight w:val="none"/>
        </w:rPr>
        <w:t>项目编号：</w:t>
      </w:r>
      <w:r>
        <w:rPr>
          <w:rStyle w:val="192"/>
          <w:rFonts w:hint="eastAsia" w:ascii="黑体" w:eastAsia="黑体" w:cs="Times New Roman"/>
          <w:b/>
          <w:color w:val="auto"/>
          <w:sz w:val="32"/>
          <w:szCs w:val="22"/>
          <w:highlight w:val="none"/>
          <w:lang w:eastAsia="zh-CN"/>
        </w:rPr>
        <w:t>JSZC-321181-DYWX-C2026-0010</w:t>
      </w:r>
    </w:p>
    <w:p w14:paraId="6FD5D825">
      <w:pPr>
        <w:pStyle w:val="248"/>
        <w:keepNext w:val="0"/>
        <w:keepLines w:val="0"/>
        <w:pageBreakBefore w:val="0"/>
        <w:widowControl w:val="0"/>
        <w:spacing w:before="721" w:after="721"/>
        <w:ind w:firstLine="1134"/>
        <w:rPr>
          <w:rStyle w:val="192"/>
          <w:rFonts w:hint="eastAsia" w:ascii="黑体" w:hAnsi="Calibri" w:eastAsia="黑体" w:cs="Times New Roman"/>
          <w:b/>
          <w:color w:val="auto"/>
          <w:sz w:val="32"/>
          <w:szCs w:val="22"/>
          <w:highlight w:val="none"/>
          <w:lang w:eastAsia="zh-CN"/>
        </w:rPr>
      </w:pPr>
      <w:r>
        <w:rPr>
          <w:rStyle w:val="192"/>
          <w:rFonts w:hint="eastAsia" w:ascii="黑体" w:hAnsi="Calibri" w:eastAsia="黑体" w:cs="Times New Roman"/>
          <w:b/>
          <w:color w:val="auto"/>
          <w:sz w:val="32"/>
          <w:szCs w:val="22"/>
          <w:highlight w:val="none"/>
        </w:rPr>
        <w:t>项目名称：</w:t>
      </w:r>
      <w:r>
        <w:rPr>
          <w:rStyle w:val="192"/>
          <w:rFonts w:hint="eastAsia" w:ascii="黑体" w:eastAsia="黑体" w:cs="Times New Roman"/>
          <w:b/>
          <w:color w:val="auto"/>
          <w:sz w:val="32"/>
          <w:szCs w:val="22"/>
          <w:highlight w:val="none"/>
          <w:lang w:eastAsia="zh-CN"/>
        </w:rPr>
        <w:t>江苏省丹阳高级中学老校区体育馆屋顶修缮项目</w:t>
      </w:r>
    </w:p>
    <w:p w14:paraId="75865B61">
      <w:pPr>
        <w:pStyle w:val="248"/>
        <w:keepNext w:val="0"/>
        <w:keepLines w:val="0"/>
        <w:pageBreakBefore w:val="0"/>
        <w:widowControl w:val="0"/>
        <w:spacing w:before="721" w:after="721"/>
        <w:ind w:firstLine="1134"/>
        <w:rPr>
          <w:rStyle w:val="192"/>
          <w:rFonts w:hint="eastAsia" w:ascii="黑体" w:hAnsi="Calibri" w:eastAsia="黑体" w:cs="Times New Roman"/>
          <w:b/>
          <w:color w:val="auto"/>
          <w:sz w:val="32"/>
          <w:szCs w:val="22"/>
          <w:highlight w:val="none"/>
          <w:lang w:val="en-US" w:eastAsia="zh-CN"/>
        </w:rPr>
      </w:pPr>
      <w:r>
        <w:rPr>
          <w:rStyle w:val="192"/>
          <w:rFonts w:hint="eastAsia" w:ascii="黑体" w:eastAsia="黑体" w:cs="Times New Roman"/>
          <w:b/>
          <w:color w:val="auto"/>
          <w:sz w:val="32"/>
          <w:szCs w:val="22"/>
          <w:highlight w:val="none"/>
          <w:lang w:eastAsia="zh-CN"/>
        </w:rPr>
        <w:t>发包</w:t>
      </w:r>
      <w:r>
        <w:rPr>
          <w:rStyle w:val="192"/>
          <w:rFonts w:hint="eastAsia" w:ascii="黑体" w:hAnsi="Calibri" w:eastAsia="黑体" w:cs="Times New Roman"/>
          <w:b/>
          <w:color w:val="auto"/>
          <w:sz w:val="32"/>
          <w:szCs w:val="22"/>
          <w:highlight w:val="none"/>
        </w:rPr>
        <w:t>单位：</w:t>
      </w:r>
      <w:r>
        <w:rPr>
          <w:rStyle w:val="192"/>
          <w:rFonts w:hint="eastAsia" w:ascii="黑体" w:eastAsia="黑体" w:cs="Times New Roman"/>
          <w:b/>
          <w:color w:val="auto"/>
          <w:sz w:val="32"/>
          <w:szCs w:val="22"/>
          <w:highlight w:val="none"/>
          <w:lang w:eastAsia="zh-CN"/>
        </w:rPr>
        <w:t>江苏省丹阳高级中学</w:t>
      </w:r>
    </w:p>
    <w:p w14:paraId="1650D1AF">
      <w:pPr>
        <w:pStyle w:val="248"/>
        <w:keepNext w:val="0"/>
        <w:keepLines w:val="0"/>
        <w:pageBreakBefore w:val="0"/>
        <w:widowControl w:val="0"/>
        <w:spacing w:before="721" w:after="721"/>
        <w:ind w:firstLine="1134"/>
        <w:rPr>
          <w:rStyle w:val="192"/>
          <w:rFonts w:hint="eastAsia" w:ascii="黑体" w:hAnsi="Calibri" w:eastAsia="黑体" w:cs="Times New Roman"/>
          <w:b/>
          <w:color w:val="auto"/>
          <w:sz w:val="28"/>
          <w:szCs w:val="21"/>
          <w:highlight w:val="none"/>
        </w:rPr>
      </w:pPr>
      <w:r>
        <w:rPr>
          <w:rStyle w:val="192"/>
          <w:rFonts w:hint="eastAsia" w:ascii="黑体" w:hAnsi="Calibri" w:eastAsia="黑体" w:cs="Times New Roman"/>
          <w:b/>
          <w:color w:val="auto"/>
          <w:sz w:val="32"/>
          <w:szCs w:val="22"/>
          <w:highlight w:val="none"/>
        </w:rPr>
        <w:t>承包单位：</w:t>
      </w:r>
    </w:p>
    <w:p w14:paraId="0EE643BF">
      <w:pPr>
        <w:pageBreakBefore w:val="0"/>
        <w:spacing w:line="420" w:lineRule="exact"/>
        <w:ind w:firstLine="440"/>
        <w:rPr>
          <w:rFonts w:hint="eastAsia"/>
          <w:color w:val="auto"/>
          <w:sz w:val="22"/>
          <w:szCs w:val="22"/>
          <w:highlight w:val="none"/>
        </w:rPr>
      </w:pPr>
      <w:r>
        <w:rPr>
          <w:rStyle w:val="192"/>
          <w:rFonts w:hint="eastAsia" w:ascii="楷体" w:hAnsi="楷体" w:eastAsia="楷体" w:cs="Times New Roman"/>
          <w:b/>
          <w:color w:val="auto"/>
          <w:sz w:val="32"/>
          <w:szCs w:val="32"/>
          <w:highlight w:val="none"/>
        </w:rPr>
        <w:br w:type="page" w:clear="all"/>
      </w:r>
    </w:p>
    <w:p w14:paraId="756BBC28">
      <w:pPr>
        <w:spacing w:line="360" w:lineRule="auto"/>
        <w:jc w:val="center"/>
        <w:rPr>
          <w:rFonts w:hint="eastAsia" w:ascii="宋体" w:hAnsi="宋体" w:eastAsia="宋体" w:cs="宋体"/>
          <w:b w:val="0"/>
          <w:color w:val="auto"/>
          <w:sz w:val="36"/>
          <w:szCs w:val="36"/>
          <w:highlight w:val="none"/>
        </w:rPr>
      </w:pPr>
      <w:r>
        <w:rPr>
          <w:rFonts w:hint="eastAsia" w:ascii="宋体" w:hAnsi="宋体" w:eastAsia="宋体" w:cs="宋体"/>
          <w:b/>
          <w:color w:val="auto"/>
          <w:sz w:val="28"/>
          <w:szCs w:val="28"/>
          <w:highlight w:val="none"/>
        </w:rPr>
        <w:t>第一部分 合同协议书</w:t>
      </w:r>
    </w:p>
    <w:p w14:paraId="0B9001D8">
      <w:pPr>
        <w:pageBreakBefore w:val="0"/>
        <w:widowControl w:val="0"/>
        <w:spacing w:line="400" w:lineRule="exact"/>
        <w:rPr>
          <w:rFonts w:hint="eastAsia" w:ascii="宋体" w:hAnsi="宋体" w:eastAsia="宋体" w:cs="宋体"/>
          <w:b/>
          <w:color w:val="auto"/>
          <w:szCs w:val="21"/>
          <w:highlight w:val="none"/>
          <w:u w:val="single"/>
          <w:lang w:eastAsia="zh-CN"/>
        </w:rPr>
      </w:pPr>
      <w:r>
        <w:rPr>
          <w:rFonts w:hint="eastAsia" w:ascii="宋体" w:hAnsi="宋体" w:eastAsia="宋体" w:cs="宋体"/>
          <w:b/>
          <w:color w:val="auto"/>
          <w:szCs w:val="21"/>
          <w:highlight w:val="none"/>
        </w:rPr>
        <w:t>发包人（全称）：</w:t>
      </w:r>
      <w:r>
        <w:rPr>
          <w:rFonts w:hint="eastAsia" w:ascii="宋体" w:hAnsi="宋体" w:cs="宋体"/>
          <w:b/>
          <w:color w:val="auto"/>
          <w:szCs w:val="21"/>
          <w:highlight w:val="none"/>
          <w:u w:val="single"/>
          <w:lang w:eastAsia="zh-CN"/>
        </w:rPr>
        <w:t>江苏省丹阳高级中学</w:t>
      </w:r>
    </w:p>
    <w:p w14:paraId="791519FC">
      <w:pPr>
        <w:pageBreakBefore w:val="0"/>
        <w:widowControl w:val="0"/>
        <w:spacing w:line="400" w:lineRule="exact"/>
        <w:rPr>
          <w:rFonts w:hint="default"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rPr>
        <w:t>承包人（全称）：</w:t>
      </w:r>
      <w:bookmarkStart w:id="296" w:name="EB814c213d03744bc2b0425e047312c28f"/>
      <w:bookmarkEnd w:id="296"/>
      <w:r>
        <w:rPr>
          <w:rFonts w:hint="eastAsia" w:ascii="宋体" w:hAnsi="宋体" w:cs="宋体"/>
          <w:b/>
          <w:color w:val="auto"/>
          <w:szCs w:val="21"/>
          <w:highlight w:val="none"/>
          <w:u w:val="single"/>
          <w:lang w:val="en-US" w:eastAsia="zh-CN"/>
        </w:rPr>
        <w:t xml:space="preserve">                    </w:t>
      </w:r>
    </w:p>
    <w:p w14:paraId="3AD3D763">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lang w:eastAsia="zh-CN"/>
        </w:rPr>
        <w:t>江苏省丹阳高级中学老校区体育馆屋顶修缮项目</w:t>
      </w:r>
      <w:r>
        <w:rPr>
          <w:rFonts w:hint="eastAsia" w:ascii="宋体" w:hAnsi="宋体" w:eastAsia="宋体" w:cs="宋体"/>
          <w:color w:val="auto"/>
          <w:szCs w:val="21"/>
          <w:highlight w:val="none"/>
        </w:rPr>
        <w:t>工程施工及有关事项协商一致，共同达成如下协议：</w:t>
      </w:r>
    </w:p>
    <w:p w14:paraId="0C3DB286">
      <w:pPr>
        <w:pStyle w:val="5"/>
        <w:pageBreakBefore w:val="0"/>
        <w:widowControl w:val="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一、工程概况</w:t>
      </w:r>
    </w:p>
    <w:p w14:paraId="3BBDC79C">
      <w:pPr>
        <w:keepNext w:val="0"/>
        <w:keepLines w:val="0"/>
        <w:pageBreakBefore w:val="0"/>
        <w:widowControl w:val="0"/>
        <w:spacing w:line="400" w:lineRule="exact"/>
        <w:ind w:firstLine="411"/>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r>
        <w:rPr>
          <w:rFonts w:hint="eastAsia" w:ascii="宋体" w:hAnsi="宋体" w:cs="宋体"/>
          <w:color w:val="auto"/>
          <w:szCs w:val="21"/>
          <w:highlight w:val="none"/>
          <w:u w:val="single"/>
          <w:lang w:val="en-US" w:eastAsia="zh-CN"/>
        </w:rPr>
        <w:t>江苏省丹阳高级中学老校区体育馆屋顶修缮项目</w:t>
      </w:r>
    </w:p>
    <w:p w14:paraId="5951400D">
      <w:pPr>
        <w:keepNext w:val="0"/>
        <w:keepLines w:val="0"/>
        <w:pageBreakBefore w:val="0"/>
        <w:widowControl w:val="0"/>
        <w:spacing w:line="400" w:lineRule="exact"/>
        <w:ind w:firstLine="411"/>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2.工程地点：</w:t>
      </w:r>
      <w:bookmarkStart w:id="297" w:name="EB6b8d67ecfe394fcd8769df00f2f2f172"/>
      <w:r>
        <w:rPr>
          <w:rFonts w:hint="eastAsia" w:ascii="宋体" w:hAnsi="宋体" w:eastAsia="宋体" w:cs="宋体"/>
          <w:bCs/>
          <w:color w:val="auto"/>
          <w:szCs w:val="21"/>
          <w:highlight w:val="none"/>
          <w:u w:val="single"/>
        </w:rPr>
        <w:t>丹阳市</w:t>
      </w:r>
      <w:bookmarkEnd w:id="297"/>
    </w:p>
    <w:p w14:paraId="1F863AEB">
      <w:pPr>
        <w:keepNext w:val="0"/>
        <w:keepLines w:val="0"/>
        <w:pageBreakBefore w:val="0"/>
        <w:widowControl w:val="0"/>
        <w:spacing w:line="400" w:lineRule="exact"/>
        <w:ind w:firstLine="411"/>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3.工程立项批准文号：</w:t>
      </w:r>
      <w:r>
        <w:rPr>
          <w:rFonts w:hint="eastAsia" w:ascii="宋体" w:hAnsi="宋体" w:cs="宋体"/>
          <w:bCs/>
          <w:color w:val="auto"/>
          <w:szCs w:val="21"/>
          <w:highlight w:val="none"/>
          <w:u w:val="single"/>
          <w:lang w:val="en-US" w:eastAsia="zh-CN"/>
        </w:rPr>
        <w:t xml:space="preserve">  丹经发行【2026】30号  </w:t>
      </w:r>
    </w:p>
    <w:p w14:paraId="56515B8E">
      <w:pPr>
        <w:keepNext w:val="0"/>
        <w:keepLines w:val="0"/>
        <w:pageBreakBefore w:val="0"/>
        <w:widowControl w:val="0"/>
        <w:spacing w:line="400" w:lineRule="exact"/>
        <w:ind w:firstLine="411"/>
        <w:rPr>
          <w:rFonts w:hint="default" w:ascii="宋体" w:hAnsi="宋体" w:eastAsia="宋体" w:cs="宋体"/>
          <w:bCs/>
          <w:color w:val="auto"/>
          <w:szCs w:val="21"/>
          <w:highlight w:val="none"/>
          <w:lang w:val="en-US"/>
        </w:rPr>
      </w:pPr>
      <w:r>
        <w:rPr>
          <w:rFonts w:hint="eastAsia" w:ascii="宋体" w:hAnsi="宋体" w:eastAsia="宋体" w:cs="宋体"/>
          <w:bCs/>
          <w:color w:val="auto"/>
          <w:szCs w:val="21"/>
          <w:highlight w:val="none"/>
        </w:rPr>
        <w:t>4.资金来源：</w:t>
      </w:r>
      <w:r>
        <w:rPr>
          <w:rFonts w:hint="eastAsia" w:ascii="宋体" w:hAnsi="宋体" w:cs="宋体"/>
          <w:bCs/>
          <w:color w:val="auto"/>
          <w:szCs w:val="21"/>
          <w:highlight w:val="none"/>
          <w:u w:val="single"/>
          <w:lang w:val="en-US" w:eastAsia="zh-CN"/>
        </w:rPr>
        <w:t>市</w:t>
      </w:r>
      <w:r>
        <w:rPr>
          <w:rFonts w:hint="eastAsia" w:ascii="宋体" w:hAnsi="宋体" w:cs="宋体"/>
          <w:bCs/>
          <w:color w:val="auto"/>
          <w:szCs w:val="21"/>
          <w:highlight w:val="none"/>
          <w:u w:val="single"/>
          <w:lang w:eastAsia="zh-CN"/>
        </w:rPr>
        <w:t>财政资金</w:t>
      </w:r>
      <w:r>
        <w:rPr>
          <w:rFonts w:hint="eastAsia" w:ascii="宋体" w:hAnsi="宋体" w:cs="宋体"/>
          <w:bCs/>
          <w:color w:val="auto"/>
          <w:szCs w:val="21"/>
          <w:highlight w:val="none"/>
          <w:u w:val="single"/>
          <w:lang w:val="en-US" w:eastAsia="zh-CN"/>
        </w:rPr>
        <w:t>100万元，剩余资金自筹</w:t>
      </w:r>
    </w:p>
    <w:p w14:paraId="437B9540">
      <w:pPr>
        <w:keepNext w:val="0"/>
        <w:keepLines w:val="0"/>
        <w:pageBreakBefore w:val="0"/>
        <w:widowControl w:val="0"/>
        <w:spacing w:line="400" w:lineRule="exact"/>
        <w:ind w:firstLine="411"/>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5.工程内容：</w:t>
      </w:r>
      <w:r>
        <w:rPr>
          <w:rFonts w:hint="eastAsia" w:ascii="宋体" w:hAnsi="宋体" w:eastAsia="宋体" w:cs="宋体"/>
          <w:bCs/>
          <w:color w:val="auto"/>
          <w:szCs w:val="21"/>
          <w:highlight w:val="none"/>
          <w:u w:val="single"/>
        </w:rPr>
        <w:t>拆除原体院馆原网架金属压型屋面板、原屋面天沟及落水管、旧镀锌檩条等屋面构件；重新安装檩条、屋面板；加固其网架结构；拆除二楼篮球场区域地板，重新铺贴新地板</w:t>
      </w:r>
      <w:r>
        <w:rPr>
          <w:rFonts w:hint="eastAsia" w:ascii="宋体" w:hAnsi="宋体" w:eastAsia="宋体" w:cs="宋体"/>
          <w:bCs/>
          <w:color w:val="auto"/>
          <w:szCs w:val="21"/>
          <w:highlight w:val="none"/>
          <w:u w:val="single"/>
          <w:lang w:eastAsia="zh-CN"/>
        </w:rPr>
        <w:t>。</w:t>
      </w:r>
    </w:p>
    <w:p w14:paraId="66233177">
      <w:pPr>
        <w:keepNext w:val="0"/>
        <w:keepLines w:val="0"/>
        <w:pageBreakBefore w:val="0"/>
        <w:widowControl w:val="0"/>
        <w:spacing w:line="400" w:lineRule="exact"/>
        <w:ind w:firstLine="411"/>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群体工程应附《承包人承揽工程项目一览表》（附件1）。</w:t>
      </w:r>
    </w:p>
    <w:p w14:paraId="106A2FB2">
      <w:pPr>
        <w:keepNext w:val="0"/>
        <w:keepLines w:val="0"/>
        <w:pageBreakBefore w:val="0"/>
        <w:widowControl w:val="0"/>
        <w:spacing w:line="400" w:lineRule="exact"/>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6.工程承包范围：</w:t>
      </w:r>
    </w:p>
    <w:p w14:paraId="1248DE4D">
      <w:pPr>
        <w:keepNext w:val="0"/>
        <w:keepLines w:val="0"/>
        <w:pageBreakBefore w:val="0"/>
        <w:widowControl w:val="0"/>
        <w:spacing w:line="400" w:lineRule="exact"/>
        <w:ind w:firstLine="420"/>
        <w:rPr>
          <w:rFonts w:hint="eastAsia" w:ascii="宋体" w:hAnsi="宋体" w:eastAsia="宋体" w:cs="宋体"/>
          <w:color w:val="auto"/>
          <w:szCs w:val="21"/>
          <w:highlight w:val="none"/>
        </w:rPr>
      </w:pPr>
      <w:bookmarkStart w:id="298" w:name="EB3617bbefe36b46c4a9348fa99aae74c5"/>
      <w:r>
        <w:rPr>
          <w:rFonts w:hint="eastAsia" w:ascii="宋体" w:hAnsi="宋体" w:cs="宋体"/>
          <w:color w:val="auto"/>
          <w:szCs w:val="21"/>
          <w:highlight w:val="none"/>
          <w:u w:val="single"/>
          <w:lang w:eastAsia="zh-CN"/>
        </w:rPr>
        <w:t>江苏省丹阳高级中学老校区体育馆屋顶修缮项目（</w:t>
      </w:r>
      <w:r>
        <w:rPr>
          <w:rFonts w:hint="eastAsia" w:ascii="宋体" w:hAnsi="宋体" w:eastAsia="宋体" w:cs="宋体"/>
          <w:color w:val="auto"/>
          <w:szCs w:val="21"/>
          <w:highlight w:val="none"/>
          <w:u w:val="single"/>
        </w:rPr>
        <w:t>设计图纸及招标工程量清单内所有内容</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u w:val="single"/>
        </w:rPr>
        <w:t>的施工</w:t>
      </w:r>
      <w:bookmarkEnd w:id="298"/>
    </w:p>
    <w:p w14:paraId="3987BE08">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二、合同工期</w:t>
      </w:r>
    </w:p>
    <w:p w14:paraId="35B972E2">
      <w:pPr>
        <w:keepNext w:val="0"/>
        <w:keepLines w:val="0"/>
        <w:pageBreakBefore w:val="0"/>
        <w:widowControl w:val="0"/>
        <w:spacing w:line="400" w:lineRule="exact"/>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bookmarkStart w:id="299" w:name="EB9cc0e774f145463e99421fbfb64bbbd4"/>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日</w:t>
      </w:r>
      <w:bookmarkEnd w:id="299"/>
    </w:p>
    <w:p w14:paraId="668E393B">
      <w:pPr>
        <w:keepNext w:val="0"/>
        <w:keepLines w:val="0"/>
        <w:pageBreakBefore w:val="0"/>
        <w:widowControl w:val="0"/>
        <w:spacing w:line="400" w:lineRule="exact"/>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bookmarkStart w:id="300" w:name="EB8c4514a4e74d445cb69700e8bc11c14a"/>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日</w:t>
      </w:r>
      <w:bookmarkEnd w:id="300"/>
    </w:p>
    <w:p w14:paraId="03980142">
      <w:pPr>
        <w:keepNext w:val="0"/>
        <w:keepLines w:val="0"/>
        <w:pageBreakBefore w:val="0"/>
        <w:widowControl w:val="0"/>
        <w:spacing w:line="400" w:lineRule="exact"/>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cs="宋体"/>
          <w:color w:val="auto"/>
          <w:szCs w:val="21"/>
          <w:highlight w:val="none"/>
          <w:u w:val="single"/>
          <w:lang w:val="en-US" w:eastAsia="zh-CN"/>
        </w:rPr>
        <w:t xml:space="preserve"> 50 </w:t>
      </w:r>
      <w:r>
        <w:rPr>
          <w:rFonts w:hint="eastAsia" w:ascii="宋体" w:hAnsi="宋体" w:eastAsia="宋体" w:cs="宋体"/>
          <w:color w:val="auto"/>
          <w:szCs w:val="21"/>
          <w:highlight w:val="none"/>
        </w:rPr>
        <w:t>天。工期总日历天数与根据前述计划开竣工日期计算的工期天数不一致的，以工期总日历天数为准。</w:t>
      </w:r>
    </w:p>
    <w:p w14:paraId="7C456752">
      <w:pPr>
        <w:pStyle w:val="5"/>
        <w:pageBreakBefore w:val="0"/>
        <w:widowControl w:val="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 xml:space="preserve">  三、质量标准</w:t>
      </w:r>
    </w:p>
    <w:p w14:paraId="15711B4B">
      <w:pPr>
        <w:keepNext w:val="0"/>
        <w:keepLines w:val="0"/>
        <w:pageBreakBefore w:val="0"/>
        <w:widowControl w:val="0"/>
        <w:spacing w:line="400" w:lineRule="exact"/>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工程质量符合</w:t>
      </w:r>
      <w:bookmarkStart w:id="301" w:name="EBb223682902a9401295df4db9c77636b0"/>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合格</w:t>
      </w:r>
      <w:bookmarkEnd w:id="301"/>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标准。</w:t>
      </w:r>
    </w:p>
    <w:p w14:paraId="39A0BF53">
      <w:pPr>
        <w:pStyle w:val="5"/>
        <w:pageBreakBefore w:val="0"/>
        <w:widowControl w:val="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四、签约合同价与合同价格形式</w:t>
      </w:r>
      <w:r>
        <w:rPr>
          <w:rFonts w:hint="eastAsia" w:ascii="宋体" w:hAnsi="宋体" w:eastAsia="宋体" w:cs="宋体"/>
          <w:b/>
          <w:bCs/>
          <w:color w:val="auto"/>
          <w:sz w:val="21"/>
          <w:szCs w:val="21"/>
          <w:highlight w:val="none"/>
        </w:rPr>
        <w:tab/>
      </w:r>
    </w:p>
    <w:p w14:paraId="53C865CE">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00F132B5">
      <w:pPr>
        <w:keepNext w:val="0"/>
        <w:keepLines w:val="0"/>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bookmarkStart w:id="302" w:name="EB03ad291ea7b24cc188f68d0e34c84027"/>
      <w:bookmarkEnd w:id="302"/>
      <w:r>
        <w:rPr>
          <w:rFonts w:hint="eastAsia" w:ascii="宋体" w:hAnsi="宋体" w:eastAsia="宋体" w:cs="宋体"/>
          <w:color w:val="auto"/>
          <w:szCs w:val="21"/>
          <w:highlight w:val="none"/>
        </w:rPr>
        <w:t>(¥</w:t>
      </w:r>
      <w:bookmarkStart w:id="303" w:name="EB0eb51910131e44769d16fe5d7f315019"/>
      <w:bookmarkEnd w:id="303"/>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38481570">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46C16F3D">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（1）安全文明施工费：</w:t>
      </w:r>
    </w:p>
    <w:p w14:paraId="40A06C4B">
      <w:pPr>
        <w:keepNext w:val="0"/>
        <w:keepLines w:val="0"/>
        <w:pageBreakBefore w:val="0"/>
        <w:widowControl w:val="0"/>
        <w:spacing w:line="400" w:lineRule="exact"/>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4087A494">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（2）材料和工程设备暂估价金额：</w:t>
      </w:r>
    </w:p>
    <w:p w14:paraId="4BD9DC9C">
      <w:pPr>
        <w:keepNext w:val="0"/>
        <w:keepLines w:val="0"/>
        <w:pageBreakBefore w:val="0"/>
        <w:widowControl w:val="0"/>
        <w:spacing w:line="400" w:lineRule="exact"/>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17568248">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（3）专业工程暂估价金额：</w:t>
      </w:r>
    </w:p>
    <w:p w14:paraId="66DC4310">
      <w:pPr>
        <w:keepNext w:val="0"/>
        <w:keepLines w:val="0"/>
        <w:pageBreakBefore w:val="0"/>
        <w:widowControl w:val="0"/>
        <w:spacing w:line="400" w:lineRule="exact"/>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2B7E2209">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（4）暂列金额：</w:t>
      </w:r>
    </w:p>
    <w:p w14:paraId="55F7227C">
      <w:pPr>
        <w:keepNext w:val="0"/>
        <w:keepLines w:val="0"/>
        <w:pageBreakBefore w:val="0"/>
        <w:widowControl w:val="0"/>
        <w:spacing w:line="400" w:lineRule="exact"/>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1D588FC9">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bookmarkStart w:id="304" w:name="EB2d8a6c7c59e246af89d72f17a158f873"/>
      <w:r>
        <w:rPr>
          <w:rFonts w:hint="eastAsia" w:ascii="宋体" w:hAnsi="宋体" w:eastAsia="宋体" w:cs="宋体"/>
          <w:color w:val="auto"/>
          <w:szCs w:val="21"/>
          <w:highlight w:val="none"/>
          <w:u w:val="single"/>
        </w:rPr>
        <w:t>固定单价合同</w:t>
      </w:r>
      <w:bookmarkEnd w:id="304"/>
      <w:r>
        <w:rPr>
          <w:rFonts w:hint="eastAsia" w:ascii="宋体" w:hAnsi="宋体" w:eastAsia="宋体" w:cs="宋体"/>
          <w:color w:val="auto"/>
          <w:szCs w:val="21"/>
          <w:highlight w:val="none"/>
        </w:rPr>
        <w:t>。</w:t>
      </w:r>
    </w:p>
    <w:p w14:paraId="0E0D3D9A">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五、项目经理</w:t>
      </w:r>
    </w:p>
    <w:p w14:paraId="30FA959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bookmarkStart w:id="305" w:name="EB68e67a4670a341efb326a3eff50e2dac"/>
      <w:bookmarkEnd w:id="305"/>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98634C5">
      <w:pPr>
        <w:pStyle w:val="5"/>
        <w:pageBreakBefore w:val="0"/>
        <w:widowControl w:val="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六、合同文件构成</w:t>
      </w:r>
    </w:p>
    <w:p w14:paraId="2103D4DF">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6D4A63F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（1）中标通知书（如果有）；</w:t>
      </w:r>
    </w:p>
    <w:p w14:paraId="121CF3A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p>
    <w:p w14:paraId="39BF273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（3）专用合同条款及其附件；</w:t>
      </w:r>
    </w:p>
    <w:p w14:paraId="2452285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（4）通用合同条款；</w:t>
      </w:r>
    </w:p>
    <w:p w14:paraId="48E7E7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（5）技术标准和要求；</w:t>
      </w:r>
    </w:p>
    <w:p w14:paraId="0B9A1E0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w:t>
      </w:r>
    </w:p>
    <w:p w14:paraId="119AA88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（7）已标价工程量清单或预算书；</w:t>
      </w:r>
    </w:p>
    <w:p w14:paraId="4C749FD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408FCF6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23B6CA5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6D7144F7">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bCs/>
          <w:color w:val="auto"/>
          <w:sz w:val="21"/>
          <w:szCs w:val="21"/>
          <w:highlight w:val="none"/>
        </w:rPr>
        <w:t xml:space="preserve">  </w:t>
      </w:r>
      <w:r>
        <w:rPr>
          <w:rFonts w:hint="eastAsia" w:ascii="宋体" w:hAnsi="宋体" w:eastAsia="宋体" w:cs="宋体"/>
          <w:b/>
          <w:bCs/>
          <w:color w:val="auto"/>
          <w:sz w:val="21"/>
          <w:szCs w:val="21"/>
          <w:highlight w:val="none"/>
        </w:rPr>
        <w:t xml:space="preserve">  七、承诺</w:t>
      </w:r>
    </w:p>
    <w:p w14:paraId="06B3BD0E">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6C41DC2C">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397DB2E6">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3.发包人和承包人通过招投标形式签订合同的，双方理解并承诺不再就同一工程另行签订与合同实质性内容相背离的协议。</w:t>
      </w:r>
    </w:p>
    <w:p w14:paraId="13241EBD">
      <w:pPr>
        <w:pageBreakBefore w:val="0"/>
        <w:widowControl w:val="0"/>
        <w:spacing w:line="40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    八、词语含义</w:t>
      </w:r>
    </w:p>
    <w:p w14:paraId="1B293186">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本协议书中词语含义与第二部分通用合同条款中赋予的含义相同。</w:t>
      </w:r>
    </w:p>
    <w:p w14:paraId="67436AC9">
      <w:pPr>
        <w:pStyle w:val="5"/>
        <w:pageBreakBefore w:val="0"/>
        <w:widowControl w:val="0"/>
        <w:spacing w:before="120" w:after="12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 九、签订时间</w:t>
      </w:r>
    </w:p>
    <w:p w14:paraId="48D299DF">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本合同于</w:t>
      </w:r>
      <w:bookmarkStart w:id="306" w:name="EBa76e539fbbcf4fafbe772ad86d82f489"/>
      <w:bookmarkEnd w:id="306"/>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日</w:t>
      </w:r>
      <w:r>
        <w:rPr>
          <w:rFonts w:hint="eastAsia" w:ascii="宋体" w:hAnsi="宋体" w:eastAsia="宋体" w:cs="宋体"/>
          <w:bCs/>
          <w:color w:val="auto"/>
          <w:szCs w:val="21"/>
          <w:highlight w:val="none"/>
        </w:rPr>
        <w:t>签订。</w:t>
      </w:r>
    </w:p>
    <w:p w14:paraId="697223CA">
      <w:pPr>
        <w:pStyle w:val="5"/>
        <w:pageBreakBefore w:val="0"/>
        <w:widowControl w:val="0"/>
        <w:spacing w:before="120" w:after="120" w:line="40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十、签订地点</w:t>
      </w:r>
    </w:p>
    <w:p w14:paraId="0B04C01A">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本合同在</w:t>
      </w:r>
      <w:bookmarkStart w:id="307" w:name="EB2f506739e67749f9ab02fe566677a05f"/>
      <w:bookmarkEnd w:id="307"/>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签订。</w:t>
      </w:r>
    </w:p>
    <w:p w14:paraId="27844A80">
      <w:pPr>
        <w:pStyle w:val="5"/>
        <w:pageBreakBefore w:val="0"/>
        <w:widowControl w:val="0"/>
        <w:spacing w:before="120" w:after="12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十一、补充协议</w:t>
      </w:r>
    </w:p>
    <w:p w14:paraId="2676419F">
      <w:pPr>
        <w:pageBreakBefore w:val="0"/>
        <w:widowControl w:val="0"/>
        <w:spacing w:line="400" w:lineRule="exact"/>
        <w:ind w:firstLine="420"/>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合同未尽事宜，合同当事人另行签订补充协议，补充协议是合同的组成部分。</w:t>
      </w:r>
    </w:p>
    <w:p w14:paraId="609FC4C9">
      <w:pPr>
        <w:pStyle w:val="5"/>
        <w:pageBreakBefore w:val="0"/>
        <w:widowControl w:val="0"/>
        <w:spacing w:before="120" w:after="12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十二、合同生效</w:t>
      </w:r>
    </w:p>
    <w:p w14:paraId="776C1D9B">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本合同自</w:t>
      </w:r>
      <w:bookmarkStart w:id="308" w:name="EBe96b94978cdd4cebbac34511681b317c"/>
      <w:r>
        <w:rPr>
          <w:rFonts w:hint="eastAsia" w:ascii="宋体" w:hAnsi="宋体" w:eastAsia="宋体" w:cs="宋体"/>
          <w:bCs/>
          <w:color w:val="auto"/>
          <w:szCs w:val="21"/>
          <w:highlight w:val="none"/>
        </w:rPr>
        <w:t>双方法定代表人或授权代表签字并加盖公章后</w:t>
      </w:r>
      <w:bookmarkEnd w:id="308"/>
      <w:r>
        <w:rPr>
          <w:rFonts w:hint="eastAsia" w:ascii="宋体" w:hAnsi="宋体" w:eastAsia="宋体" w:cs="宋体"/>
          <w:bCs/>
          <w:color w:val="auto"/>
          <w:szCs w:val="21"/>
          <w:highlight w:val="none"/>
        </w:rPr>
        <w:t>生效。</w:t>
      </w:r>
    </w:p>
    <w:p w14:paraId="1DF08566">
      <w:pPr>
        <w:pStyle w:val="5"/>
        <w:pageBreakBefore w:val="0"/>
        <w:widowControl w:val="0"/>
        <w:spacing w:before="120" w:after="12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十三、合同份数</w:t>
      </w:r>
    </w:p>
    <w:p w14:paraId="444B380F">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本合同一式</w:t>
      </w:r>
      <w:bookmarkStart w:id="309" w:name="EB62c24263150b4e1c859bbabe8fd6c127"/>
      <w:r>
        <w:rPr>
          <w:rFonts w:hint="eastAsia" w:ascii="宋体" w:hAnsi="宋体" w:eastAsia="宋体" w:cs="宋体"/>
          <w:bCs/>
          <w:color w:val="auto"/>
          <w:szCs w:val="21"/>
          <w:highlight w:val="none"/>
        </w:rPr>
        <w:t>陆</w:t>
      </w:r>
      <w:bookmarkEnd w:id="309"/>
      <w:r>
        <w:rPr>
          <w:rFonts w:hint="eastAsia" w:ascii="宋体" w:hAnsi="宋体" w:eastAsia="宋体" w:cs="宋体"/>
          <w:bCs/>
          <w:color w:val="auto"/>
          <w:szCs w:val="21"/>
          <w:highlight w:val="none"/>
        </w:rPr>
        <w:t>份，均具有同等法律效力，发包人执</w:t>
      </w:r>
      <w:bookmarkStart w:id="310" w:name="EBd25ceeba14904f09af77ef7968776fec"/>
      <w:r>
        <w:rPr>
          <w:rFonts w:hint="eastAsia" w:ascii="宋体" w:hAnsi="宋体" w:eastAsia="宋体" w:cs="宋体"/>
          <w:bCs/>
          <w:color w:val="auto"/>
          <w:szCs w:val="21"/>
          <w:highlight w:val="none"/>
        </w:rPr>
        <w:t>肆</w:t>
      </w:r>
      <w:bookmarkEnd w:id="310"/>
      <w:r>
        <w:rPr>
          <w:rFonts w:hint="eastAsia" w:ascii="宋体" w:hAnsi="宋体" w:eastAsia="宋体" w:cs="宋体"/>
          <w:bCs/>
          <w:color w:val="auto"/>
          <w:szCs w:val="21"/>
          <w:highlight w:val="none"/>
        </w:rPr>
        <w:t>份，承包人执</w:t>
      </w:r>
      <w:bookmarkStart w:id="311" w:name="EB1c486b3cb31946b795a693d835d3e8e2"/>
      <w:r>
        <w:rPr>
          <w:rFonts w:hint="eastAsia" w:ascii="宋体" w:hAnsi="宋体" w:eastAsia="宋体" w:cs="宋体"/>
          <w:bCs/>
          <w:color w:val="auto"/>
          <w:szCs w:val="21"/>
          <w:highlight w:val="none"/>
        </w:rPr>
        <w:t>贰</w:t>
      </w:r>
      <w:bookmarkEnd w:id="311"/>
      <w:r>
        <w:rPr>
          <w:rFonts w:hint="eastAsia" w:ascii="宋体" w:hAnsi="宋体" w:eastAsia="宋体" w:cs="宋体"/>
          <w:bCs/>
          <w:color w:val="auto"/>
          <w:szCs w:val="21"/>
          <w:highlight w:val="none"/>
        </w:rPr>
        <w:t>份。</w:t>
      </w:r>
    </w:p>
    <w:p w14:paraId="45971C74">
      <w:pPr>
        <w:pageBreakBefore w:val="0"/>
        <w:widowControl w:val="0"/>
        <w:spacing w:line="400" w:lineRule="exact"/>
        <w:rPr>
          <w:rFonts w:hint="eastAsia" w:ascii="宋体" w:hAnsi="宋体" w:eastAsia="宋体" w:cs="宋体"/>
          <w:color w:val="auto"/>
          <w:szCs w:val="21"/>
          <w:highlight w:val="none"/>
        </w:rPr>
      </w:pPr>
    </w:p>
    <w:tbl>
      <w:tblPr>
        <w:tblStyle w:val="32"/>
        <w:tblW w:w="9465" w:type="dxa"/>
        <w:jc w:val="center"/>
        <w:tblLayout w:type="autofit"/>
        <w:tblCellMar>
          <w:top w:w="0" w:type="dxa"/>
          <w:left w:w="108" w:type="dxa"/>
          <w:bottom w:w="0" w:type="dxa"/>
          <w:right w:w="108" w:type="dxa"/>
        </w:tblCellMar>
      </w:tblPr>
      <w:tblGrid>
        <w:gridCol w:w="1762"/>
        <w:gridCol w:w="3434"/>
        <w:gridCol w:w="1827"/>
        <w:gridCol w:w="2442"/>
      </w:tblGrid>
      <w:tr w14:paraId="1E9CA334">
        <w:tblPrEx>
          <w:tblCellMar>
            <w:top w:w="0" w:type="dxa"/>
            <w:left w:w="108" w:type="dxa"/>
            <w:bottom w:w="0" w:type="dxa"/>
            <w:right w:w="108" w:type="dxa"/>
          </w:tblCellMar>
        </w:tblPrEx>
        <w:trPr>
          <w:trHeight w:val="425" w:hRule="atLeast"/>
          <w:jc w:val="center"/>
        </w:trPr>
        <w:tc>
          <w:tcPr>
            <w:tcW w:w="1762" w:type="dxa"/>
            <w:noWrap w:val="0"/>
            <w:vAlign w:val="center"/>
          </w:tcPr>
          <w:p w14:paraId="58C08C10">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 包 人：</w:t>
            </w:r>
          </w:p>
        </w:tc>
        <w:tc>
          <w:tcPr>
            <w:tcW w:w="3434" w:type="dxa"/>
            <w:noWrap w:val="0"/>
            <w:vAlign w:val="center"/>
          </w:tcPr>
          <w:p w14:paraId="7A67307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2" w:name="EBbc079446c97c4bf0a786ca5e0d8bfe0d"/>
            <w:bookmarkEnd w:id="312"/>
            <w:r>
              <w:rPr>
                <w:rFonts w:hint="eastAsia" w:ascii="宋体" w:hAnsi="宋体" w:eastAsia="宋体" w:cs="宋体"/>
                <w:color w:val="auto"/>
                <w:sz w:val="21"/>
                <w:szCs w:val="21"/>
                <w:highlight w:val="none"/>
                <w:lang w:val="en-US" w:eastAsia="zh-CN" w:bidi="ar-SA"/>
              </w:rPr>
              <w:t xml:space="preserve">(公章)  </w:t>
            </w:r>
          </w:p>
        </w:tc>
        <w:tc>
          <w:tcPr>
            <w:tcW w:w="1827" w:type="dxa"/>
            <w:noWrap w:val="0"/>
            <w:vAlign w:val="center"/>
          </w:tcPr>
          <w:p w14:paraId="34CD5ADB">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 包 人：</w:t>
            </w:r>
          </w:p>
        </w:tc>
        <w:tc>
          <w:tcPr>
            <w:tcW w:w="2442" w:type="dxa"/>
            <w:noWrap w:val="0"/>
            <w:vAlign w:val="center"/>
          </w:tcPr>
          <w:p w14:paraId="54630204">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3" w:name="EBb775f2e29c794e2492c1e47de590d6c0"/>
            <w:bookmarkEnd w:id="313"/>
            <w:r>
              <w:rPr>
                <w:rFonts w:hint="eastAsia" w:ascii="宋体" w:hAnsi="宋体" w:eastAsia="宋体" w:cs="宋体"/>
                <w:color w:val="auto"/>
                <w:sz w:val="21"/>
                <w:szCs w:val="21"/>
                <w:highlight w:val="none"/>
                <w:lang w:val="en-US" w:eastAsia="zh-CN" w:bidi="ar-SA"/>
              </w:rPr>
              <w:t>(公章)</w:t>
            </w:r>
          </w:p>
        </w:tc>
      </w:tr>
      <w:tr w14:paraId="684F9BD8">
        <w:tblPrEx>
          <w:tblCellMar>
            <w:top w:w="0" w:type="dxa"/>
            <w:left w:w="108" w:type="dxa"/>
            <w:bottom w:w="0" w:type="dxa"/>
            <w:right w:w="108" w:type="dxa"/>
          </w:tblCellMar>
        </w:tblPrEx>
        <w:trPr>
          <w:trHeight w:val="425" w:hRule="atLeast"/>
          <w:jc w:val="center"/>
        </w:trPr>
        <w:tc>
          <w:tcPr>
            <w:tcW w:w="1762" w:type="dxa"/>
            <w:noWrap w:val="0"/>
            <w:vAlign w:val="center"/>
          </w:tcPr>
          <w:p w14:paraId="66B5888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法定代表人或其委托代理人：</w:t>
            </w:r>
          </w:p>
        </w:tc>
        <w:tc>
          <w:tcPr>
            <w:tcW w:w="3434" w:type="dxa"/>
            <w:noWrap w:val="0"/>
            <w:vAlign w:val="center"/>
          </w:tcPr>
          <w:p w14:paraId="65CEE90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4" w:name="EB48c7d90b908c4643ba74c7a3e0f47880"/>
            <w:bookmarkEnd w:id="314"/>
            <w:r>
              <w:rPr>
                <w:rFonts w:hint="eastAsia" w:ascii="宋体" w:hAnsi="宋体" w:eastAsia="宋体" w:cs="宋体"/>
                <w:color w:val="auto"/>
                <w:sz w:val="21"/>
                <w:szCs w:val="21"/>
                <w:highlight w:val="none"/>
                <w:lang w:val="en-US" w:eastAsia="zh-CN" w:bidi="ar-SA"/>
              </w:rPr>
              <w:t>(签字）</w:t>
            </w:r>
          </w:p>
        </w:tc>
        <w:tc>
          <w:tcPr>
            <w:tcW w:w="1827" w:type="dxa"/>
            <w:noWrap w:val="0"/>
            <w:vAlign w:val="center"/>
          </w:tcPr>
          <w:p w14:paraId="45D78CCA">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法定代表人或其委托代理人：</w:t>
            </w:r>
          </w:p>
        </w:tc>
        <w:tc>
          <w:tcPr>
            <w:tcW w:w="2442" w:type="dxa"/>
            <w:noWrap w:val="0"/>
            <w:vAlign w:val="center"/>
          </w:tcPr>
          <w:p w14:paraId="20411BA1">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5" w:name="EBc1f624df04044e6eac47e0765b946017"/>
            <w:bookmarkEnd w:id="315"/>
            <w:r>
              <w:rPr>
                <w:rFonts w:hint="eastAsia" w:ascii="宋体" w:hAnsi="宋体" w:eastAsia="宋体" w:cs="宋体"/>
                <w:color w:val="auto"/>
                <w:sz w:val="21"/>
                <w:szCs w:val="21"/>
                <w:highlight w:val="none"/>
                <w:lang w:val="en-US" w:eastAsia="zh-CN" w:bidi="ar-SA"/>
              </w:rPr>
              <w:t>(签字)</w:t>
            </w:r>
          </w:p>
        </w:tc>
      </w:tr>
      <w:tr w14:paraId="6E6CF81C">
        <w:tblPrEx>
          <w:tblCellMar>
            <w:top w:w="0" w:type="dxa"/>
            <w:left w:w="108" w:type="dxa"/>
            <w:bottom w:w="0" w:type="dxa"/>
            <w:right w:w="108" w:type="dxa"/>
          </w:tblCellMar>
        </w:tblPrEx>
        <w:trPr>
          <w:trHeight w:val="425" w:hRule="atLeast"/>
          <w:jc w:val="center"/>
        </w:trPr>
        <w:tc>
          <w:tcPr>
            <w:tcW w:w="1762" w:type="dxa"/>
            <w:noWrap w:val="0"/>
            <w:vAlign w:val="center"/>
          </w:tcPr>
          <w:p w14:paraId="5C2AF88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组织机构代码：</w:t>
            </w:r>
          </w:p>
        </w:tc>
        <w:tc>
          <w:tcPr>
            <w:tcW w:w="3434" w:type="dxa"/>
            <w:noWrap w:val="0"/>
            <w:vAlign w:val="center"/>
          </w:tcPr>
          <w:p w14:paraId="7A7D58BD">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6" w:name="EBf27bdadf736246b1b3f3eecb89fc1837"/>
            <w:bookmarkEnd w:id="316"/>
          </w:p>
        </w:tc>
        <w:tc>
          <w:tcPr>
            <w:tcW w:w="1827" w:type="dxa"/>
            <w:noWrap w:val="0"/>
            <w:vAlign w:val="center"/>
          </w:tcPr>
          <w:p w14:paraId="31079DDA">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组织机构代码：</w:t>
            </w:r>
          </w:p>
        </w:tc>
        <w:tc>
          <w:tcPr>
            <w:tcW w:w="2442" w:type="dxa"/>
            <w:noWrap w:val="0"/>
            <w:vAlign w:val="center"/>
          </w:tcPr>
          <w:p w14:paraId="0835DBA9">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7" w:name="EBb70931743c23447fbed316c3b02cc534"/>
            <w:bookmarkEnd w:id="317"/>
          </w:p>
        </w:tc>
      </w:tr>
      <w:tr w14:paraId="7B898C09">
        <w:tblPrEx>
          <w:tblCellMar>
            <w:top w:w="0" w:type="dxa"/>
            <w:left w:w="108" w:type="dxa"/>
            <w:bottom w:w="0" w:type="dxa"/>
            <w:right w:w="108" w:type="dxa"/>
          </w:tblCellMar>
        </w:tblPrEx>
        <w:trPr>
          <w:trHeight w:val="425" w:hRule="atLeast"/>
          <w:jc w:val="center"/>
        </w:trPr>
        <w:tc>
          <w:tcPr>
            <w:tcW w:w="1762" w:type="dxa"/>
            <w:noWrap w:val="0"/>
            <w:vAlign w:val="center"/>
          </w:tcPr>
          <w:p w14:paraId="34969D95">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w:t>
            </w:r>
          </w:p>
        </w:tc>
        <w:tc>
          <w:tcPr>
            <w:tcW w:w="3434" w:type="dxa"/>
            <w:noWrap w:val="0"/>
            <w:vAlign w:val="center"/>
          </w:tcPr>
          <w:p w14:paraId="6AA2E870">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8" w:name="EBee6cb94c60094a6abdf92857f3f2df28"/>
            <w:bookmarkEnd w:id="318"/>
          </w:p>
        </w:tc>
        <w:tc>
          <w:tcPr>
            <w:tcW w:w="1827" w:type="dxa"/>
            <w:noWrap w:val="0"/>
            <w:vAlign w:val="center"/>
          </w:tcPr>
          <w:p w14:paraId="54D71B09">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w:t>
            </w:r>
          </w:p>
        </w:tc>
        <w:tc>
          <w:tcPr>
            <w:tcW w:w="2442" w:type="dxa"/>
            <w:noWrap w:val="0"/>
            <w:vAlign w:val="center"/>
          </w:tcPr>
          <w:p w14:paraId="69BED0D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9" w:name="EB97c2473190b842dcb7d04fbe799559a3"/>
            <w:bookmarkEnd w:id="319"/>
          </w:p>
        </w:tc>
      </w:tr>
      <w:tr w14:paraId="6BFDD5DE">
        <w:tblPrEx>
          <w:tblCellMar>
            <w:top w:w="0" w:type="dxa"/>
            <w:left w:w="108" w:type="dxa"/>
            <w:bottom w:w="0" w:type="dxa"/>
            <w:right w:w="108" w:type="dxa"/>
          </w:tblCellMar>
        </w:tblPrEx>
        <w:trPr>
          <w:trHeight w:val="425" w:hRule="atLeast"/>
          <w:jc w:val="center"/>
        </w:trPr>
        <w:tc>
          <w:tcPr>
            <w:tcW w:w="1762" w:type="dxa"/>
            <w:noWrap w:val="0"/>
            <w:vAlign w:val="center"/>
          </w:tcPr>
          <w:p w14:paraId="072AEB9C">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邮政编码：</w:t>
            </w:r>
          </w:p>
        </w:tc>
        <w:tc>
          <w:tcPr>
            <w:tcW w:w="3434" w:type="dxa"/>
            <w:noWrap w:val="0"/>
            <w:vAlign w:val="center"/>
          </w:tcPr>
          <w:p w14:paraId="77D721F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0" w:name="EB5dda9293b78345699fbbeaded64d82c2"/>
            <w:bookmarkEnd w:id="320"/>
          </w:p>
        </w:tc>
        <w:tc>
          <w:tcPr>
            <w:tcW w:w="1827" w:type="dxa"/>
            <w:noWrap w:val="0"/>
            <w:vAlign w:val="center"/>
          </w:tcPr>
          <w:p w14:paraId="02CC068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邮政编码：</w:t>
            </w:r>
          </w:p>
        </w:tc>
        <w:tc>
          <w:tcPr>
            <w:tcW w:w="2442" w:type="dxa"/>
            <w:noWrap w:val="0"/>
            <w:vAlign w:val="center"/>
          </w:tcPr>
          <w:p w14:paraId="7C7804E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1" w:name="EB1dbb0bf4342e4bf3ac2d1ead4fa12268"/>
            <w:bookmarkEnd w:id="321"/>
          </w:p>
        </w:tc>
      </w:tr>
      <w:tr w14:paraId="1EA2A6F4">
        <w:tblPrEx>
          <w:tblCellMar>
            <w:top w:w="0" w:type="dxa"/>
            <w:left w:w="108" w:type="dxa"/>
            <w:bottom w:w="0" w:type="dxa"/>
            <w:right w:w="108" w:type="dxa"/>
          </w:tblCellMar>
        </w:tblPrEx>
        <w:trPr>
          <w:trHeight w:val="425" w:hRule="atLeast"/>
          <w:jc w:val="center"/>
        </w:trPr>
        <w:tc>
          <w:tcPr>
            <w:tcW w:w="1762" w:type="dxa"/>
            <w:noWrap w:val="0"/>
            <w:vAlign w:val="center"/>
          </w:tcPr>
          <w:p w14:paraId="073FC840">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w:t>
            </w:r>
          </w:p>
        </w:tc>
        <w:tc>
          <w:tcPr>
            <w:tcW w:w="3434" w:type="dxa"/>
            <w:noWrap w:val="0"/>
            <w:vAlign w:val="center"/>
          </w:tcPr>
          <w:p w14:paraId="51734095">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2" w:name="EB6aec6e810e5c437a9eef65ab20e1041f"/>
            <w:bookmarkEnd w:id="322"/>
          </w:p>
        </w:tc>
        <w:tc>
          <w:tcPr>
            <w:tcW w:w="1827" w:type="dxa"/>
            <w:noWrap w:val="0"/>
            <w:vAlign w:val="center"/>
          </w:tcPr>
          <w:p w14:paraId="52CCCC9B">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w:t>
            </w:r>
          </w:p>
        </w:tc>
        <w:tc>
          <w:tcPr>
            <w:tcW w:w="2442" w:type="dxa"/>
            <w:noWrap w:val="0"/>
            <w:vAlign w:val="center"/>
          </w:tcPr>
          <w:p w14:paraId="6A87036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3" w:name="EB966dff860bea450294a24af8b4b7723d"/>
            <w:bookmarkEnd w:id="323"/>
          </w:p>
        </w:tc>
      </w:tr>
      <w:tr w14:paraId="7D929A42">
        <w:tblPrEx>
          <w:tblCellMar>
            <w:top w:w="0" w:type="dxa"/>
            <w:left w:w="108" w:type="dxa"/>
            <w:bottom w:w="0" w:type="dxa"/>
            <w:right w:w="108" w:type="dxa"/>
          </w:tblCellMar>
        </w:tblPrEx>
        <w:trPr>
          <w:trHeight w:val="425" w:hRule="atLeast"/>
          <w:jc w:val="center"/>
        </w:trPr>
        <w:tc>
          <w:tcPr>
            <w:tcW w:w="1762" w:type="dxa"/>
            <w:noWrap w:val="0"/>
            <w:vAlign w:val="center"/>
          </w:tcPr>
          <w:p w14:paraId="1BEF008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委托代理人：</w:t>
            </w:r>
          </w:p>
        </w:tc>
        <w:tc>
          <w:tcPr>
            <w:tcW w:w="3434" w:type="dxa"/>
            <w:noWrap w:val="0"/>
            <w:vAlign w:val="center"/>
          </w:tcPr>
          <w:p w14:paraId="701135D7">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4" w:name="EB9657c8fcf9f04798acf263c031273408"/>
            <w:bookmarkEnd w:id="324"/>
          </w:p>
        </w:tc>
        <w:tc>
          <w:tcPr>
            <w:tcW w:w="1827" w:type="dxa"/>
            <w:noWrap w:val="0"/>
            <w:vAlign w:val="center"/>
          </w:tcPr>
          <w:p w14:paraId="5135DD6A">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委托代理人：</w:t>
            </w:r>
          </w:p>
        </w:tc>
        <w:tc>
          <w:tcPr>
            <w:tcW w:w="2442" w:type="dxa"/>
            <w:noWrap w:val="0"/>
            <w:vAlign w:val="center"/>
          </w:tcPr>
          <w:p w14:paraId="66F0EC14">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5" w:name="EB7f8d7daff2e24d22a4f78f5523f2a69c"/>
            <w:bookmarkEnd w:id="325"/>
          </w:p>
        </w:tc>
      </w:tr>
      <w:tr w14:paraId="6932ACB2">
        <w:tblPrEx>
          <w:tblCellMar>
            <w:top w:w="0" w:type="dxa"/>
            <w:left w:w="108" w:type="dxa"/>
            <w:bottom w:w="0" w:type="dxa"/>
            <w:right w:w="108" w:type="dxa"/>
          </w:tblCellMar>
        </w:tblPrEx>
        <w:trPr>
          <w:trHeight w:val="425" w:hRule="atLeast"/>
          <w:jc w:val="center"/>
        </w:trPr>
        <w:tc>
          <w:tcPr>
            <w:tcW w:w="1762" w:type="dxa"/>
            <w:noWrap w:val="0"/>
            <w:vAlign w:val="center"/>
          </w:tcPr>
          <w:p w14:paraId="79CC7D60">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  话：</w:t>
            </w:r>
          </w:p>
        </w:tc>
        <w:tc>
          <w:tcPr>
            <w:tcW w:w="3434" w:type="dxa"/>
            <w:noWrap w:val="0"/>
            <w:vAlign w:val="center"/>
          </w:tcPr>
          <w:p w14:paraId="4F546EF9">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6" w:name="EB988ffcef069a4f7daac0b47078cf1739"/>
            <w:bookmarkEnd w:id="326"/>
          </w:p>
        </w:tc>
        <w:tc>
          <w:tcPr>
            <w:tcW w:w="1827" w:type="dxa"/>
            <w:noWrap w:val="0"/>
            <w:vAlign w:val="center"/>
          </w:tcPr>
          <w:p w14:paraId="34AB64FA">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  话：</w:t>
            </w:r>
          </w:p>
        </w:tc>
        <w:tc>
          <w:tcPr>
            <w:tcW w:w="2442" w:type="dxa"/>
            <w:noWrap w:val="0"/>
            <w:vAlign w:val="center"/>
          </w:tcPr>
          <w:p w14:paraId="1CD243D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7" w:name="EB946875a6cddd4fda82f655c82ab43e68"/>
            <w:bookmarkEnd w:id="327"/>
          </w:p>
        </w:tc>
      </w:tr>
      <w:tr w14:paraId="00AEA5EE">
        <w:tblPrEx>
          <w:tblCellMar>
            <w:top w:w="0" w:type="dxa"/>
            <w:left w:w="108" w:type="dxa"/>
            <w:bottom w:w="0" w:type="dxa"/>
            <w:right w:w="108" w:type="dxa"/>
          </w:tblCellMar>
        </w:tblPrEx>
        <w:trPr>
          <w:trHeight w:val="425" w:hRule="atLeast"/>
          <w:jc w:val="center"/>
        </w:trPr>
        <w:tc>
          <w:tcPr>
            <w:tcW w:w="1762" w:type="dxa"/>
            <w:noWrap w:val="0"/>
            <w:vAlign w:val="center"/>
          </w:tcPr>
          <w:p w14:paraId="491BBA4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传  真：</w:t>
            </w:r>
          </w:p>
        </w:tc>
        <w:tc>
          <w:tcPr>
            <w:tcW w:w="3434" w:type="dxa"/>
            <w:noWrap w:val="0"/>
            <w:vAlign w:val="center"/>
          </w:tcPr>
          <w:p w14:paraId="651F673D">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8" w:name="EB5fa623c205094ba2be9067b11a2769d4"/>
            <w:bookmarkEnd w:id="328"/>
          </w:p>
        </w:tc>
        <w:tc>
          <w:tcPr>
            <w:tcW w:w="1827" w:type="dxa"/>
            <w:noWrap w:val="0"/>
            <w:vAlign w:val="center"/>
          </w:tcPr>
          <w:p w14:paraId="6200F4D2">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传  真：</w:t>
            </w:r>
          </w:p>
        </w:tc>
        <w:tc>
          <w:tcPr>
            <w:tcW w:w="2442" w:type="dxa"/>
            <w:noWrap w:val="0"/>
            <w:vAlign w:val="center"/>
          </w:tcPr>
          <w:p w14:paraId="5FA4E204">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9" w:name="EBd4df92fe6ed94db0b0978eddec38af62"/>
            <w:bookmarkEnd w:id="329"/>
          </w:p>
        </w:tc>
      </w:tr>
      <w:tr w14:paraId="00927780">
        <w:tblPrEx>
          <w:tblCellMar>
            <w:top w:w="0" w:type="dxa"/>
            <w:left w:w="108" w:type="dxa"/>
            <w:bottom w:w="0" w:type="dxa"/>
            <w:right w:w="108" w:type="dxa"/>
          </w:tblCellMar>
        </w:tblPrEx>
        <w:trPr>
          <w:trHeight w:val="425" w:hRule="atLeast"/>
          <w:jc w:val="center"/>
        </w:trPr>
        <w:tc>
          <w:tcPr>
            <w:tcW w:w="1762" w:type="dxa"/>
            <w:noWrap w:val="0"/>
            <w:vAlign w:val="center"/>
          </w:tcPr>
          <w:p w14:paraId="181C3E8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p>
        </w:tc>
        <w:tc>
          <w:tcPr>
            <w:tcW w:w="3434" w:type="dxa"/>
            <w:noWrap w:val="0"/>
            <w:vAlign w:val="center"/>
          </w:tcPr>
          <w:p w14:paraId="45BD7A41">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0" w:name="EB0eb1cf704ddc46e8a650370b8028c4ca"/>
            <w:bookmarkEnd w:id="330"/>
          </w:p>
        </w:tc>
        <w:tc>
          <w:tcPr>
            <w:tcW w:w="1827" w:type="dxa"/>
            <w:noWrap w:val="0"/>
            <w:vAlign w:val="center"/>
          </w:tcPr>
          <w:p w14:paraId="63307692">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p>
        </w:tc>
        <w:tc>
          <w:tcPr>
            <w:tcW w:w="2442" w:type="dxa"/>
            <w:noWrap w:val="0"/>
            <w:vAlign w:val="center"/>
          </w:tcPr>
          <w:p w14:paraId="1591322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1" w:name="EBcc901d689b6c400ba0449c926a9ecf3e"/>
            <w:bookmarkEnd w:id="331"/>
          </w:p>
        </w:tc>
      </w:tr>
      <w:tr w14:paraId="5A13CA58">
        <w:tblPrEx>
          <w:tblCellMar>
            <w:top w:w="0" w:type="dxa"/>
            <w:left w:w="108" w:type="dxa"/>
            <w:bottom w:w="0" w:type="dxa"/>
            <w:right w:w="108" w:type="dxa"/>
          </w:tblCellMar>
        </w:tblPrEx>
        <w:trPr>
          <w:trHeight w:val="425" w:hRule="atLeast"/>
          <w:jc w:val="center"/>
        </w:trPr>
        <w:tc>
          <w:tcPr>
            <w:tcW w:w="1762" w:type="dxa"/>
            <w:noWrap w:val="0"/>
            <w:vAlign w:val="center"/>
          </w:tcPr>
          <w:p w14:paraId="528B827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开户银行：</w:t>
            </w:r>
          </w:p>
        </w:tc>
        <w:tc>
          <w:tcPr>
            <w:tcW w:w="3434" w:type="dxa"/>
            <w:noWrap w:val="0"/>
            <w:vAlign w:val="center"/>
          </w:tcPr>
          <w:p w14:paraId="5753892B">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2" w:name="EB809d5f0f744b41caa30d1eff0d5c3054"/>
            <w:bookmarkEnd w:id="332"/>
          </w:p>
        </w:tc>
        <w:tc>
          <w:tcPr>
            <w:tcW w:w="1827" w:type="dxa"/>
            <w:noWrap w:val="0"/>
            <w:vAlign w:val="center"/>
          </w:tcPr>
          <w:p w14:paraId="59A686D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开户银行：</w:t>
            </w:r>
          </w:p>
        </w:tc>
        <w:tc>
          <w:tcPr>
            <w:tcW w:w="2442" w:type="dxa"/>
            <w:noWrap w:val="0"/>
            <w:vAlign w:val="center"/>
          </w:tcPr>
          <w:p w14:paraId="0278050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3" w:name="EB50b946c9b87f411fa4188599a26f068b"/>
            <w:bookmarkEnd w:id="333"/>
          </w:p>
        </w:tc>
      </w:tr>
      <w:tr w14:paraId="3C112466">
        <w:tblPrEx>
          <w:tblCellMar>
            <w:top w:w="0" w:type="dxa"/>
            <w:left w:w="108" w:type="dxa"/>
            <w:bottom w:w="0" w:type="dxa"/>
            <w:right w:w="108" w:type="dxa"/>
          </w:tblCellMar>
        </w:tblPrEx>
        <w:trPr>
          <w:trHeight w:val="425" w:hRule="atLeast"/>
          <w:jc w:val="center"/>
        </w:trPr>
        <w:tc>
          <w:tcPr>
            <w:tcW w:w="1762" w:type="dxa"/>
            <w:noWrap w:val="0"/>
            <w:vAlign w:val="center"/>
          </w:tcPr>
          <w:p w14:paraId="1A9C9B69">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账  号：</w:t>
            </w:r>
          </w:p>
        </w:tc>
        <w:tc>
          <w:tcPr>
            <w:tcW w:w="3434" w:type="dxa"/>
            <w:noWrap w:val="0"/>
            <w:vAlign w:val="center"/>
          </w:tcPr>
          <w:p w14:paraId="0C3E4F0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4" w:name="EBb21b65527568482b8a4602f2d2378d67"/>
            <w:bookmarkEnd w:id="334"/>
          </w:p>
        </w:tc>
        <w:tc>
          <w:tcPr>
            <w:tcW w:w="1827" w:type="dxa"/>
            <w:noWrap w:val="0"/>
            <w:vAlign w:val="center"/>
          </w:tcPr>
          <w:p w14:paraId="272B45CD">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账  号：</w:t>
            </w:r>
          </w:p>
        </w:tc>
        <w:tc>
          <w:tcPr>
            <w:tcW w:w="2442" w:type="dxa"/>
            <w:noWrap w:val="0"/>
            <w:vAlign w:val="center"/>
          </w:tcPr>
          <w:p w14:paraId="6EEA4CF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5" w:name="EBe5efaad67daf439397257b2bf3f6a675"/>
            <w:bookmarkEnd w:id="335"/>
          </w:p>
        </w:tc>
      </w:tr>
      <w:tr w14:paraId="264E07E6">
        <w:tblPrEx>
          <w:tblCellMar>
            <w:top w:w="0" w:type="dxa"/>
            <w:left w:w="108" w:type="dxa"/>
            <w:bottom w:w="0" w:type="dxa"/>
            <w:right w:w="108" w:type="dxa"/>
          </w:tblCellMar>
        </w:tblPrEx>
        <w:trPr>
          <w:trHeight w:val="90" w:hRule="atLeast"/>
          <w:jc w:val="center"/>
        </w:trPr>
        <w:tc>
          <w:tcPr>
            <w:tcW w:w="1762" w:type="dxa"/>
            <w:noWrap w:val="0"/>
            <w:vAlign w:val="center"/>
          </w:tcPr>
          <w:p w14:paraId="49119265">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6" w:name="EB54a43b5ff39b4bddba88058dcde9dba2"/>
          </w:p>
        </w:tc>
        <w:tc>
          <w:tcPr>
            <w:tcW w:w="3434" w:type="dxa"/>
            <w:noWrap w:val="0"/>
            <w:vAlign w:val="center"/>
          </w:tcPr>
          <w:p w14:paraId="108089B0">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1827" w:type="dxa"/>
            <w:noWrap w:val="0"/>
            <w:vAlign w:val="center"/>
          </w:tcPr>
          <w:p w14:paraId="4B270945">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2442" w:type="dxa"/>
            <w:noWrap w:val="0"/>
            <w:vAlign w:val="center"/>
          </w:tcPr>
          <w:p w14:paraId="04EA8202">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r w14:paraId="053D87FD">
        <w:tblPrEx>
          <w:tblCellMar>
            <w:top w:w="0" w:type="dxa"/>
            <w:left w:w="108" w:type="dxa"/>
            <w:bottom w:w="0" w:type="dxa"/>
            <w:right w:w="108" w:type="dxa"/>
          </w:tblCellMar>
        </w:tblPrEx>
        <w:trPr>
          <w:jc w:val="center"/>
        </w:trPr>
        <w:tc>
          <w:tcPr>
            <w:tcW w:w="1762" w:type="dxa"/>
            <w:noWrap w:val="0"/>
            <w:vAlign w:val="center"/>
          </w:tcPr>
          <w:p w14:paraId="52279C52">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pacing w:val="0"/>
                <w:sz w:val="21"/>
                <w:szCs w:val="21"/>
                <w:highlight w:val="none"/>
                <w:lang w:eastAsia="zh-CN"/>
              </w:rPr>
              <w:t>见</w:t>
            </w:r>
            <w:r>
              <w:rPr>
                <w:rFonts w:hint="eastAsia" w:ascii="宋体" w:hAnsi="宋体" w:cs="宋体"/>
                <w:color w:val="auto"/>
                <w:spacing w:val="0"/>
                <w:sz w:val="21"/>
                <w:szCs w:val="21"/>
                <w:highlight w:val="none"/>
                <w:lang w:val="en-US" w:eastAsia="zh-CN"/>
              </w:rPr>
              <w:t xml:space="preserve"> </w:t>
            </w:r>
            <w:r>
              <w:rPr>
                <w:rFonts w:hint="eastAsia" w:ascii="宋体" w:hAnsi="宋体" w:cs="宋体"/>
                <w:color w:val="auto"/>
                <w:spacing w:val="0"/>
                <w:sz w:val="21"/>
                <w:szCs w:val="21"/>
                <w:highlight w:val="none"/>
                <w:lang w:eastAsia="zh-CN"/>
              </w:rPr>
              <w:t>证</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方：</w:t>
            </w:r>
          </w:p>
        </w:tc>
        <w:tc>
          <w:tcPr>
            <w:tcW w:w="5261" w:type="dxa"/>
            <w:gridSpan w:val="2"/>
            <w:noWrap w:val="0"/>
            <w:vAlign w:val="center"/>
          </w:tcPr>
          <w:p w14:paraId="443D22B9">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江苏万信项目管理有限公司</w:t>
            </w:r>
            <w:r>
              <w:rPr>
                <w:rFonts w:hint="eastAsia" w:ascii="宋体" w:hAnsi="宋体" w:eastAsia="宋体" w:cs="宋体"/>
                <w:color w:val="auto"/>
                <w:spacing w:val="0"/>
                <w:sz w:val="21"/>
                <w:szCs w:val="21"/>
                <w:highlight w:val="none"/>
              </w:rPr>
              <w:t>（单位盖章）</w:t>
            </w:r>
          </w:p>
        </w:tc>
        <w:tc>
          <w:tcPr>
            <w:tcW w:w="2442" w:type="dxa"/>
            <w:noWrap w:val="0"/>
            <w:vAlign w:val="center"/>
          </w:tcPr>
          <w:p w14:paraId="5DA766F3">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r w14:paraId="2602D34A">
        <w:tblPrEx>
          <w:tblCellMar>
            <w:top w:w="0" w:type="dxa"/>
            <w:left w:w="108" w:type="dxa"/>
            <w:bottom w:w="0" w:type="dxa"/>
            <w:right w:w="108" w:type="dxa"/>
          </w:tblCellMar>
        </w:tblPrEx>
        <w:trPr>
          <w:jc w:val="center"/>
        </w:trPr>
        <w:tc>
          <w:tcPr>
            <w:tcW w:w="1762" w:type="dxa"/>
            <w:noWrap w:val="0"/>
            <w:vAlign w:val="center"/>
          </w:tcPr>
          <w:p w14:paraId="4D8A901B">
            <w:pPr>
              <w:pageBreakBefore w:val="0"/>
              <w:widowControl w:val="0"/>
              <w:spacing w:line="400" w:lineRule="exact"/>
              <w:jc w:val="both"/>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地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w:t>
            </w:r>
          </w:p>
        </w:tc>
        <w:tc>
          <w:tcPr>
            <w:tcW w:w="3434" w:type="dxa"/>
            <w:noWrap w:val="0"/>
            <w:vAlign w:val="center"/>
          </w:tcPr>
          <w:p w14:paraId="127BF1D7">
            <w:pPr>
              <w:pageBreakBefore w:val="0"/>
              <w:widowControl w:val="0"/>
              <w:spacing w:line="400" w:lineRule="exact"/>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丹阳市开发区兰陵路</w:t>
            </w:r>
            <w:r>
              <w:rPr>
                <w:rFonts w:hint="eastAsia" w:ascii="宋体" w:hAnsi="宋体" w:cs="宋体"/>
                <w:color w:val="auto"/>
                <w:sz w:val="21"/>
                <w:szCs w:val="21"/>
                <w:highlight w:val="none"/>
                <w:u w:val="single"/>
                <w:lang w:val="en-US" w:eastAsia="zh-CN"/>
              </w:rPr>
              <w:t>77号</w:t>
            </w:r>
          </w:p>
        </w:tc>
        <w:tc>
          <w:tcPr>
            <w:tcW w:w="1827" w:type="dxa"/>
            <w:noWrap w:val="0"/>
            <w:vAlign w:val="center"/>
          </w:tcPr>
          <w:p w14:paraId="544FD7AC">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2442" w:type="dxa"/>
            <w:noWrap w:val="0"/>
            <w:vAlign w:val="center"/>
          </w:tcPr>
          <w:p w14:paraId="3D7D5157">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r w14:paraId="12B34485">
        <w:tblPrEx>
          <w:tblCellMar>
            <w:top w:w="0" w:type="dxa"/>
            <w:left w:w="108" w:type="dxa"/>
            <w:bottom w:w="0" w:type="dxa"/>
            <w:right w:w="108" w:type="dxa"/>
          </w:tblCellMar>
        </w:tblPrEx>
        <w:trPr>
          <w:jc w:val="center"/>
        </w:trPr>
        <w:tc>
          <w:tcPr>
            <w:tcW w:w="1762" w:type="dxa"/>
            <w:noWrap w:val="0"/>
            <w:vAlign w:val="center"/>
          </w:tcPr>
          <w:p w14:paraId="5694731B">
            <w:pPr>
              <w:pageBreakBefore w:val="0"/>
              <w:widowControl w:val="0"/>
              <w:spacing w:line="400" w:lineRule="exact"/>
              <w:jc w:val="both"/>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联系电话：</w:t>
            </w:r>
          </w:p>
        </w:tc>
        <w:tc>
          <w:tcPr>
            <w:tcW w:w="3434" w:type="dxa"/>
            <w:noWrap w:val="0"/>
            <w:vAlign w:val="center"/>
          </w:tcPr>
          <w:p w14:paraId="5B5EC395">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u w:val="single"/>
                <w:lang w:val="en-US" w:eastAsia="zh-CN"/>
              </w:rPr>
              <w:t>0511-86531589</w:t>
            </w:r>
          </w:p>
        </w:tc>
        <w:tc>
          <w:tcPr>
            <w:tcW w:w="1827" w:type="dxa"/>
            <w:noWrap w:val="0"/>
            <w:vAlign w:val="center"/>
          </w:tcPr>
          <w:p w14:paraId="1F776F05">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2442" w:type="dxa"/>
            <w:noWrap w:val="0"/>
            <w:vAlign w:val="center"/>
          </w:tcPr>
          <w:p w14:paraId="3FE379B7">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r w14:paraId="77EF4C48">
        <w:tblPrEx>
          <w:tblCellMar>
            <w:top w:w="0" w:type="dxa"/>
            <w:left w:w="108" w:type="dxa"/>
            <w:bottom w:w="0" w:type="dxa"/>
            <w:right w:w="108" w:type="dxa"/>
          </w:tblCellMar>
        </w:tblPrEx>
        <w:trPr>
          <w:jc w:val="center"/>
        </w:trPr>
        <w:tc>
          <w:tcPr>
            <w:tcW w:w="1762" w:type="dxa"/>
            <w:noWrap w:val="0"/>
            <w:vAlign w:val="center"/>
          </w:tcPr>
          <w:p w14:paraId="0D513D33">
            <w:pPr>
              <w:pageBreakBefore w:val="0"/>
              <w:widowControl w:val="0"/>
              <w:spacing w:line="400" w:lineRule="exact"/>
              <w:jc w:val="both"/>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代表签字：</w:t>
            </w:r>
          </w:p>
        </w:tc>
        <w:tc>
          <w:tcPr>
            <w:tcW w:w="3434" w:type="dxa"/>
            <w:noWrap w:val="0"/>
            <w:vAlign w:val="center"/>
          </w:tcPr>
          <w:p w14:paraId="7CA2C277">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               </w:t>
            </w:r>
          </w:p>
          <w:bookmarkEnd w:id="336"/>
        </w:tc>
        <w:tc>
          <w:tcPr>
            <w:tcW w:w="1827" w:type="dxa"/>
            <w:noWrap w:val="0"/>
            <w:vAlign w:val="center"/>
          </w:tcPr>
          <w:p w14:paraId="215DCF82">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2442" w:type="dxa"/>
            <w:noWrap w:val="0"/>
            <w:vAlign w:val="center"/>
          </w:tcPr>
          <w:p w14:paraId="04066892">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bl>
    <w:p w14:paraId="642613CE">
      <w:pPr>
        <w:pageBreakBefore w:val="0"/>
        <w:widowControl w:val="0"/>
        <w:spacing w:line="400" w:lineRule="exact"/>
        <w:rPr>
          <w:rFonts w:hint="eastAsia" w:ascii="宋体" w:hAnsi="宋体" w:eastAsia="宋体" w:cs="宋体"/>
          <w:b/>
          <w:color w:val="auto"/>
          <w:szCs w:val="21"/>
          <w:highlight w:val="none"/>
        </w:rPr>
      </w:pPr>
      <w:bookmarkStart w:id="337" w:name="EBa3cdf48e21c34d598f24c3ecb4c9ad92"/>
      <w:bookmarkEnd w:id="337"/>
      <w:r>
        <w:rPr>
          <w:rFonts w:hint="eastAsia" w:ascii="宋体" w:hAnsi="宋体" w:eastAsia="宋体" w:cs="宋体"/>
          <w:b/>
          <w:color w:val="auto"/>
          <w:szCs w:val="21"/>
          <w:highlight w:val="none"/>
        </w:rPr>
        <w:br w:type="page" w:clear="all"/>
      </w:r>
    </w:p>
    <w:p w14:paraId="402D4594">
      <w:pPr>
        <w:pageBreakBefore w:val="0"/>
        <w:widowControl w:val="0"/>
        <w:spacing w:line="4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第二部分 通用合同条款</w:t>
      </w:r>
    </w:p>
    <w:p w14:paraId="366C04DA">
      <w:pPr>
        <w:pageBreakBefore w:val="0"/>
        <w:widowControl w:val="0"/>
        <w:spacing w:line="400" w:lineRule="exact"/>
        <w:ind w:firstLine="1676"/>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采用《建设工程施工合同（示范文本）》（GF—2017—0201）</w:t>
      </w:r>
      <w:r>
        <w:rPr>
          <w:rFonts w:hint="eastAsia" w:ascii="宋体" w:hAnsi="宋体" w:eastAsia="宋体" w:cs="宋体"/>
          <w:color w:val="auto"/>
          <w:szCs w:val="21"/>
          <w:highlight w:val="none"/>
        </w:rPr>
        <w:t xml:space="preserve"> </w:t>
      </w:r>
    </w:p>
    <w:p w14:paraId="200D4A6C">
      <w:pPr>
        <w:pageBreakBefore w:val="0"/>
        <w:widowControl w:val="0"/>
        <w:spacing w:line="400" w:lineRule="exact"/>
        <w:jc w:val="center"/>
        <w:rPr>
          <w:rFonts w:hint="eastAsia" w:ascii="宋体" w:hAnsi="宋体" w:eastAsia="宋体" w:cs="宋体"/>
          <w:b/>
          <w:color w:val="auto"/>
          <w:sz w:val="28"/>
          <w:szCs w:val="28"/>
          <w:highlight w:val="none"/>
        </w:rPr>
      </w:pPr>
      <w:bookmarkStart w:id="338" w:name="EBcdb0cecb76eb48ad9ee61fdccb93fea1"/>
      <w:r>
        <w:rPr>
          <w:rFonts w:hint="eastAsia" w:ascii="宋体" w:hAnsi="宋体" w:eastAsia="宋体" w:cs="宋体"/>
          <w:color w:val="auto"/>
          <w:sz w:val="20"/>
          <w:highlight w:val="none"/>
        </w:rPr>
        <w:t xml:space="preserve"> </w:t>
      </w:r>
      <w:bookmarkEnd w:id="338"/>
    </w:p>
    <w:p w14:paraId="2658125B">
      <w:pPr>
        <w:pageBreakBefore w:val="0"/>
        <w:widowControl w:val="0"/>
        <w:spacing w:line="4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第三部分 专用合同条款</w:t>
      </w:r>
    </w:p>
    <w:p w14:paraId="4A5FE036">
      <w:pPr>
        <w:pageBreakBefore w:val="0"/>
        <w:widowControl w:val="0"/>
        <w:spacing w:line="40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本专用条款约定的内容如与国家相关法律、法规及政策相抵触，则抵触内容无效，待项目定标后，由招标人与中标人按照国家相关法律、法规及政策另行约定。</w:t>
      </w:r>
    </w:p>
    <w:p w14:paraId="31CF27FE">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 一般约定</w:t>
      </w:r>
    </w:p>
    <w:p w14:paraId="532F440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词语定义</w:t>
      </w:r>
    </w:p>
    <w:p w14:paraId="78FC6C3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1.1.1合同</w:t>
      </w:r>
    </w:p>
    <w:p w14:paraId="75E0C7A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1.1.1.10其他合同文件包括：</w:t>
      </w:r>
      <w:bookmarkStart w:id="339" w:name="EB7824a48e646e4dceb1ec64d924b42458"/>
      <w:r>
        <w:rPr>
          <w:rFonts w:hint="eastAsia" w:ascii="宋体" w:hAnsi="宋体" w:eastAsia="宋体" w:cs="宋体"/>
          <w:color w:val="auto"/>
          <w:szCs w:val="21"/>
          <w:highlight w:val="none"/>
          <w:u w:val="single"/>
        </w:rPr>
        <w:t>投标文件、已获批准的施工组织设计、工程洽商记录、工程签证单、工程测量资料、工作联系函、工程变更文件、补充协议、会议纪要、与工程计价、计量有关的其它书面文件或书面明确双方权利义务的纪要、协议、承诺等</w:t>
      </w:r>
      <w:bookmarkEnd w:id="339"/>
      <w:r>
        <w:rPr>
          <w:rFonts w:hint="eastAsia" w:ascii="宋体" w:hAnsi="宋体" w:eastAsia="宋体" w:cs="宋体"/>
          <w:color w:val="auto"/>
          <w:szCs w:val="21"/>
          <w:highlight w:val="none"/>
        </w:rPr>
        <w:t>。</w:t>
      </w:r>
    </w:p>
    <w:p w14:paraId="1CB44F2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合同当事人及其他相关方</w:t>
      </w:r>
    </w:p>
    <w:p w14:paraId="7368AD2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14:paraId="0B6C9A1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bookmarkStart w:id="340" w:name="EB2e53f7aaf8c84148b9c433ab24e76286"/>
      <w:bookmarkEnd w:id="340"/>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E486B6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bookmarkStart w:id="341" w:name="EB6e2500e2c9314dfe87e2544f3bbc3ae8"/>
      <w:bookmarkEnd w:id="341"/>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6318ACF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bookmarkStart w:id="342" w:name="EBf950159031bc4009aa85eb992c30604c"/>
      <w:bookmarkEnd w:id="342"/>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4E8B7C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bookmarkStart w:id="343" w:name="EB8fe2f3875cdf455ba469fddaf7ac0a3f"/>
      <w:bookmarkEnd w:id="343"/>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3FC7E45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bookmarkStart w:id="344" w:name="EBef7db2a549e749aebd1f6977bf07ff0b"/>
      <w:bookmarkEnd w:id="344"/>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3B3C031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1.1.2.5 设计人：</w:t>
      </w:r>
    </w:p>
    <w:p w14:paraId="101C805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bookmarkStart w:id="345" w:name="EBc9b38ba4e0624228987db730ad937158"/>
      <w:bookmarkEnd w:id="345"/>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2D6053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bookmarkStart w:id="346" w:name="EB8aa3e011579f40e5b69997ef06a0f9e4"/>
      <w:bookmarkEnd w:id="346"/>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56144F2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bookmarkStart w:id="347" w:name="EBd5bca760c1e74fbd8c42c0b7e6c84365"/>
      <w:bookmarkEnd w:id="347"/>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3D4BAC2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bookmarkStart w:id="348" w:name="EB73cb63154221440e85c03e8673f77d17"/>
      <w:bookmarkEnd w:id="348"/>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2EF508C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bookmarkStart w:id="349" w:name="EBe2252fb1adbc4f8f8c7797b91c23e60c"/>
      <w:bookmarkEnd w:id="349"/>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5D4136A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工程和设备</w:t>
      </w:r>
    </w:p>
    <w:p w14:paraId="11E3D90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1.1.3.7 作为施工现场组成部分的其他场所包括：</w:t>
      </w:r>
      <w:bookmarkStart w:id="350" w:name="EB8b1000229bcb4675af85ffccb59ba7ca"/>
      <w:r>
        <w:rPr>
          <w:rFonts w:hint="eastAsia" w:ascii="宋体" w:hAnsi="宋体" w:eastAsia="宋体" w:cs="宋体"/>
          <w:color w:val="auto"/>
          <w:szCs w:val="21"/>
          <w:highlight w:val="none"/>
          <w:u w:val="single"/>
        </w:rPr>
        <w:t>临时办公用房、工人宿舍、食堂、库房、临时厕所、加工房、材料堆场等</w:t>
      </w:r>
      <w:bookmarkEnd w:id="350"/>
      <w:r>
        <w:rPr>
          <w:rFonts w:hint="eastAsia" w:ascii="宋体" w:hAnsi="宋体" w:eastAsia="宋体" w:cs="宋体"/>
          <w:color w:val="auto"/>
          <w:szCs w:val="21"/>
          <w:highlight w:val="none"/>
        </w:rPr>
        <w:t>。</w:t>
      </w:r>
    </w:p>
    <w:p w14:paraId="2D62742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1.1.3.9 永久占地包括：</w:t>
      </w:r>
      <w:bookmarkStart w:id="351" w:name="EB7cea897f406d40a8b13abe25195a8067"/>
      <w:r>
        <w:rPr>
          <w:rFonts w:hint="eastAsia" w:ascii="宋体" w:hAnsi="宋体" w:eastAsia="宋体" w:cs="宋体"/>
          <w:color w:val="auto"/>
          <w:szCs w:val="21"/>
          <w:highlight w:val="none"/>
          <w:u w:val="single"/>
        </w:rPr>
        <w:t>工程征地红线内场地</w:t>
      </w:r>
      <w:bookmarkEnd w:id="351"/>
      <w:r>
        <w:rPr>
          <w:rFonts w:hint="eastAsia" w:ascii="宋体" w:hAnsi="宋体" w:eastAsia="宋体" w:cs="宋体"/>
          <w:color w:val="auto"/>
          <w:szCs w:val="21"/>
          <w:highlight w:val="none"/>
        </w:rPr>
        <w:t>。</w:t>
      </w:r>
    </w:p>
    <w:p w14:paraId="1E4B729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1.1.3.10 临时占地包括：</w:t>
      </w:r>
      <w:bookmarkStart w:id="352" w:name="EBe8e62205791242f8a17babb2bdbb8631"/>
      <w:r>
        <w:rPr>
          <w:rFonts w:hint="eastAsia" w:ascii="宋体" w:hAnsi="宋体" w:eastAsia="宋体" w:cs="宋体"/>
          <w:color w:val="auto"/>
          <w:szCs w:val="21"/>
          <w:highlight w:val="none"/>
          <w:u w:val="single"/>
        </w:rPr>
        <w:t>规划红线内临时占地须经发包人书面批准；规划红线外临时占地须经政府有关部门批准，相关审批手续发包人应当主动配合，所产生的费用结合施工组织设计由承包人自行承担</w:t>
      </w:r>
      <w:bookmarkEnd w:id="352"/>
      <w:r>
        <w:rPr>
          <w:rFonts w:hint="eastAsia" w:ascii="宋体" w:hAnsi="宋体" w:eastAsia="宋体" w:cs="宋体"/>
          <w:color w:val="auto"/>
          <w:szCs w:val="21"/>
          <w:highlight w:val="none"/>
        </w:rPr>
        <w:t>。</w:t>
      </w:r>
    </w:p>
    <w:p w14:paraId="2ED2EBD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 </w:t>
      </w:r>
    </w:p>
    <w:p w14:paraId="0FCF14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适用于合同的其他规范性文件：</w:t>
      </w:r>
      <w:r>
        <w:rPr>
          <w:rFonts w:hint="eastAsia" w:ascii="宋体" w:hAnsi="宋体" w:eastAsia="宋体" w:cs="宋体"/>
          <w:color w:val="auto"/>
          <w:szCs w:val="21"/>
          <w:highlight w:val="none"/>
          <w:u w:val="single"/>
        </w:rPr>
        <w:t>《中华人民共和国建筑法》、《中华人民共和国民法典》、《中华人民共和国招标投标法》、《中华人民共和国环境噪声污染防治法》、《建设工程质量管理条例》、《建设工程安全生产管理条例》、建设部第89号令《房屋建筑和市政基础设施工程施工招标投标管理办法》、七部委第12号令《评标委员会和评标方法暂行规定》、《建设工程项目管理规范》GB/T50326-2006、国家有关法律法规及行业、地区的行业标准、行政法规；江苏省、镇江市现行工程建设规范性文件等</w:t>
      </w:r>
      <w:r>
        <w:rPr>
          <w:rFonts w:hint="eastAsia" w:ascii="宋体" w:hAnsi="宋体" w:eastAsia="宋体" w:cs="宋体"/>
          <w:color w:val="auto"/>
          <w:szCs w:val="21"/>
          <w:highlight w:val="none"/>
        </w:rPr>
        <w:t>。</w:t>
      </w:r>
    </w:p>
    <w:p w14:paraId="708A3B90">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标准和规范</w:t>
      </w:r>
    </w:p>
    <w:p w14:paraId="7DC773BD">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适用于工程的标准规范包括：</w:t>
      </w:r>
      <w:bookmarkStart w:id="353" w:name="EBa87cc2b3da1b4d5f9c798ae74bbbdc8e"/>
      <w:r>
        <w:rPr>
          <w:rFonts w:hint="eastAsia" w:ascii="宋体" w:hAnsi="宋体" w:eastAsia="宋体" w:cs="宋体"/>
          <w:color w:val="auto"/>
          <w:szCs w:val="21"/>
          <w:highlight w:val="none"/>
          <w:u w:val="single"/>
        </w:rPr>
        <w:t>国家、地方、行业现行的建设工程规范和标准；国家、地方、行业现行的有关材料、设备的规范和标准；现行的江苏省工程预算定额及相关规定。标准间不一致或冲突的，以严格的为准。如果“标准、规范及有关技术说明”与“合同图纸”之间出现歧义或矛盾时，数量以“合同图纸”为准，质量要求或工艺标准以“标准、规范及有关技术说明”为准（当“合同图纸”技术标准明确要求高于“标准、规范及有关技术说明”应以“合同图纸”为准）；在合同执行过程中如有新的标准颁布则按新标准规范执行</w:t>
      </w:r>
      <w:bookmarkEnd w:id="353"/>
      <w:r>
        <w:rPr>
          <w:rFonts w:hint="eastAsia" w:ascii="宋体" w:hAnsi="宋体" w:eastAsia="宋体" w:cs="宋体"/>
          <w:color w:val="auto"/>
          <w:szCs w:val="21"/>
          <w:highlight w:val="none"/>
        </w:rPr>
        <w:t>。</w:t>
      </w:r>
    </w:p>
    <w:p w14:paraId="011D967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发包人提供国外标准、规范的名称：</w:t>
      </w:r>
      <w:bookmarkStart w:id="354" w:name="EB5c71151f494c484a8ede35e72ce07128"/>
      <w:bookmarkEnd w:id="354"/>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8F62CE4">
      <w:pPr>
        <w:pageBreakBefore w:val="0"/>
        <w:widowControl w:val="0"/>
        <w:spacing w:line="400" w:lineRule="exact"/>
        <w:ind w:firstLine="63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发包人提供国外标准、规范的份数：</w:t>
      </w:r>
      <w:bookmarkStart w:id="355" w:name="EB3d2b790144664836bd42b02209fb5e64"/>
      <w:bookmarkEnd w:id="355"/>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194CC2D3">
      <w:pPr>
        <w:pageBreakBefore w:val="0"/>
        <w:widowControl w:val="0"/>
        <w:spacing w:line="400" w:lineRule="exact"/>
        <w:ind w:firstLine="63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发包人提供国外标准、规范的名称：</w:t>
      </w:r>
      <w:bookmarkStart w:id="356" w:name="EBca9f7cc82ef644d5832a7c9a6f279d17"/>
      <w:bookmarkEnd w:id="356"/>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29B1492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  发包人对工程的技术标准和功能要求的特殊要求：</w:t>
      </w:r>
      <w:r>
        <w:rPr>
          <w:rFonts w:hint="eastAsia" w:ascii="宋体" w:hAnsi="宋体" w:eastAsia="宋体" w:cs="宋体"/>
          <w:color w:val="auto"/>
          <w:szCs w:val="21"/>
          <w:highlight w:val="none"/>
          <w:u w:val="single"/>
          <w:lang w:val="en-US" w:eastAsia="zh-CN"/>
        </w:rPr>
        <w:t>按现行的国家、省、市施工验收规范、质量评定标准及有关规定,以及合同内的标准、规范，招标文件中的技术要求等</w:t>
      </w:r>
      <w:r>
        <w:rPr>
          <w:rFonts w:hint="eastAsia" w:ascii="宋体" w:hAnsi="宋体" w:eastAsia="宋体" w:cs="宋体"/>
          <w:color w:val="auto"/>
          <w:szCs w:val="21"/>
          <w:highlight w:val="none"/>
        </w:rPr>
        <w:t>。</w:t>
      </w:r>
    </w:p>
    <w:p w14:paraId="6A2DB15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1.5 合同文件的优先顺序</w:t>
      </w:r>
    </w:p>
    <w:p w14:paraId="46BFE2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合同文件组成及优先顺序为：</w:t>
      </w:r>
      <w:bookmarkStart w:id="357" w:name="EB3cba480e09e745a0a0d82e04826771f9"/>
      <w:r>
        <w:rPr>
          <w:rFonts w:hint="eastAsia" w:ascii="宋体" w:hAnsi="宋体" w:eastAsia="宋体" w:cs="宋体"/>
          <w:color w:val="auto"/>
          <w:szCs w:val="21"/>
          <w:highlight w:val="none"/>
          <w:u w:val="single"/>
        </w:rPr>
        <w:t>执行通用条款1.5 中规定的优先解释顺序</w:t>
      </w:r>
      <w:bookmarkEnd w:id="357"/>
      <w:r>
        <w:rPr>
          <w:rFonts w:hint="eastAsia" w:ascii="宋体" w:hAnsi="宋体" w:eastAsia="宋体" w:cs="宋体"/>
          <w:color w:val="auto"/>
          <w:szCs w:val="21"/>
          <w:highlight w:val="none"/>
        </w:rPr>
        <w:t>。</w:t>
      </w:r>
    </w:p>
    <w:p w14:paraId="486ABA85">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1.6 图纸和承包人文件</w:t>
      </w:r>
    </w:p>
    <w:p w14:paraId="59491DC1">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p>
    <w:p w14:paraId="1511A2D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bookmarkStart w:id="358" w:name="EBc44507fe32484ee7b79344e0512362e2"/>
      <w:r>
        <w:rPr>
          <w:rFonts w:hint="eastAsia" w:ascii="宋体" w:hAnsi="宋体" w:eastAsia="宋体" w:cs="宋体"/>
          <w:color w:val="auto"/>
          <w:szCs w:val="21"/>
          <w:highlight w:val="none"/>
          <w:u w:val="single"/>
        </w:rPr>
        <w:t>签订合同后7个日历天</w:t>
      </w:r>
      <w:bookmarkEnd w:id="358"/>
      <w:r>
        <w:rPr>
          <w:rFonts w:hint="eastAsia" w:ascii="宋体" w:hAnsi="宋体" w:eastAsia="宋体" w:cs="宋体"/>
          <w:color w:val="auto"/>
          <w:szCs w:val="21"/>
          <w:highlight w:val="none"/>
        </w:rPr>
        <w:t>；</w:t>
      </w:r>
    </w:p>
    <w:p w14:paraId="547BFF5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bookmarkStart w:id="359" w:name="EBa0944f81754f4a9f86037cb5db47a0c2"/>
      <w:r>
        <w:rPr>
          <w:rFonts w:hint="eastAsia" w:ascii="宋体" w:hAnsi="宋体" w:eastAsia="宋体" w:cs="宋体"/>
          <w:color w:val="auto"/>
          <w:szCs w:val="21"/>
          <w:highlight w:val="none"/>
          <w:u w:val="single"/>
        </w:rPr>
        <w:t>叁套</w:t>
      </w:r>
      <w:bookmarkEnd w:id="359"/>
      <w:r>
        <w:rPr>
          <w:rFonts w:hint="eastAsia" w:ascii="宋体" w:hAnsi="宋体" w:eastAsia="宋体" w:cs="宋体"/>
          <w:color w:val="auto"/>
          <w:szCs w:val="21"/>
          <w:highlight w:val="none"/>
        </w:rPr>
        <w:t>；</w:t>
      </w:r>
    </w:p>
    <w:p w14:paraId="12289F6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完整的工程施工图、设计变更（如有）、图审意见</w:t>
      </w:r>
      <w:r>
        <w:rPr>
          <w:rFonts w:hint="eastAsia" w:ascii="宋体" w:hAnsi="宋体" w:eastAsia="宋体" w:cs="宋体"/>
          <w:color w:val="auto"/>
          <w:szCs w:val="21"/>
          <w:highlight w:val="none"/>
        </w:rPr>
        <w:t>。</w:t>
      </w:r>
    </w:p>
    <w:p w14:paraId="1D3E031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 承包人文件</w:t>
      </w:r>
    </w:p>
    <w:p w14:paraId="281089E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需要由承包人提供的文件，包括：</w:t>
      </w:r>
      <w:r>
        <w:rPr>
          <w:rFonts w:hint="eastAsia" w:ascii="宋体" w:hAnsi="宋体" w:eastAsia="宋体" w:cs="宋体"/>
          <w:color w:val="auto"/>
          <w:szCs w:val="21"/>
          <w:highlight w:val="none"/>
          <w:u w:val="single"/>
        </w:rPr>
        <w:t>施工组织和施工进度计划、专项施工方案、项目管理机构名册、已完成工作量、拟完成的月工作量进度计划表、根据工程具体情况编制的加工图、大样图、协调配合图、本项目所有职工三级教育和每月职工出勤情况以及上级部门要求提供的其他文件等</w:t>
      </w:r>
      <w:r>
        <w:rPr>
          <w:rFonts w:hint="eastAsia" w:ascii="宋体" w:hAnsi="宋体" w:eastAsia="宋体" w:cs="宋体"/>
          <w:color w:val="auto"/>
          <w:szCs w:val="21"/>
          <w:highlight w:val="none"/>
        </w:rPr>
        <w:t>；</w:t>
      </w:r>
    </w:p>
    <w:p w14:paraId="6CCA3E7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bookmarkStart w:id="360" w:name="EB67f086705e1d400f84267265eb6630f9"/>
      <w:r>
        <w:rPr>
          <w:rFonts w:hint="eastAsia" w:ascii="宋体" w:hAnsi="宋体" w:eastAsia="宋体" w:cs="宋体"/>
          <w:color w:val="auto"/>
          <w:szCs w:val="21"/>
          <w:highlight w:val="none"/>
          <w:u w:val="single"/>
        </w:rPr>
        <w:t>投标文件(含施工组织设计)在合同签订后5天内，其它文件在开工前7天内提供到位</w:t>
      </w:r>
      <w:bookmarkEnd w:id="360"/>
      <w:r>
        <w:rPr>
          <w:rFonts w:hint="eastAsia" w:ascii="宋体" w:hAnsi="宋体" w:eastAsia="宋体" w:cs="宋体"/>
          <w:color w:val="auto"/>
          <w:szCs w:val="21"/>
          <w:highlight w:val="none"/>
        </w:rPr>
        <w:t>；</w:t>
      </w:r>
    </w:p>
    <w:p w14:paraId="0A8FC1E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bookmarkStart w:id="361" w:name="EBcac7ac44a3ea4b60a47c234f74fab519"/>
      <w:r>
        <w:rPr>
          <w:rFonts w:hint="eastAsia" w:ascii="宋体" w:hAnsi="宋体" w:eastAsia="宋体" w:cs="宋体"/>
          <w:color w:val="auto"/>
          <w:szCs w:val="21"/>
          <w:highlight w:val="none"/>
          <w:u w:val="single"/>
        </w:rPr>
        <w:t>投标文件4套，施工组织设计文件2套</w:t>
      </w:r>
      <w:bookmarkEnd w:id="361"/>
      <w:r>
        <w:rPr>
          <w:rFonts w:hint="eastAsia" w:ascii="宋体" w:hAnsi="宋体" w:eastAsia="宋体" w:cs="宋体"/>
          <w:color w:val="auto"/>
          <w:szCs w:val="21"/>
          <w:highlight w:val="none"/>
        </w:rPr>
        <w:t>；</w:t>
      </w:r>
    </w:p>
    <w:p w14:paraId="5B874D4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bookmarkStart w:id="362" w:name="EBd9eb8dbbfe52422289cc8396bb051631"/>
      <w:r>
        <w:rPr>
          <w:rFonts w:hint="eastAsia" w:ascii="宋体" w:hAnsi="宋体" w:eastAsia="宋体" w:cs="宋体"/>
          <w:color w:val="auto"/>
          <w:szCs w:val="21"/>
          <w:highlight w:val="none"/>
          <w:u w:val="single"/>
        </w:rPr>
        <w:t>加需同时提供电子版（不加密）及纸质版</w:t>
      </w:r>
      <w:bookmarkEnd w:id="362"/>
      <w:r>
        <w:rPr>
          <w:rFonts w:hint="eastAsia" w:ascii="宋体" w:hAnsi="宋体" w:eastAsia="宋体" w:cs="宋体"/>
          <w:color w:val="auto"/>
          <w:szCs w:val="21"/>
          <w:highlight w:val="none"/>
        </w:rPr>
        <w:t>；</w:t>
      </w:r>
    </w:p>
    <w:p w14:paraId="36B59CD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发包人审批承包人文件的期限：</w:t>
      </w:r>
      <w:bookmarkStart w:id="363" w:name="EBb65ce4059dae4363a75506ca4dd3fc39"/>
      <w:r>
        <w:rPr>
          <w:rFonts w:hint="eastAsia" w:ascii="宋体" w:hAnsi="宋体" w:eastAsia="宋体" w:cs="宋体"/>
          <w:color w:val="auto"/>
          <w:szCs w:val="21"/>
          <w:highlight w:val="none"/>
          <w:u w:val="single"/>
        </w:rPr>
        <w:t>按国家规定，由监理人按通用条款1.6.4约定时间，在开工前完成施工组织设计审查</w:t>
      </w:r>
      <w:bookmarkEnd w:id="363"/>
      <w:r>
        <w:rPr>
          <w:rFonts w:hint="eastAsia" w:ascii="宋体" w:hAnsi="宋体" w:eastAsia="宋体" w:cs="宋体"/>
          <w:color w:val="auto"/>
          <w:szCs w:val="21"/>
          <w:highlight w:val="none"/>
        </w:rPr>
        <w:t>。</w:t>
      </w:r>
    </w:p>
    <w:p w14:paraId="43A0BEF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 现场图纸准备</w:t>
      </w:r>
    </w:p>
    <w:p w14:paraId="310F1D1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bookmarkStart w:id="364" w:name="EBb28623e362704b0384a8ddb466f0bbb9"/>
      <w:r>
        <w:rPr>
          <w:rFonts w:hint="eastAsia" w:ascii="宋体" w:hAnsi="宋体" w:eastAsia="宋体" w:cs="宋体"/>
          <w:color w:val="auto"/>
          <w:szCs w:val="21"/>
          <w:highlight w:val="none"/>
          <w:u w:val="single"/>
        </w:rPr>
        <w:t>执行通用条款</w:t>
      </w:r>
      <w:bookmarkEnd w:id="364"/>
      <w:r>
        <w:rPr>
          <w:rFonts w:hint="eastAsia" w:ascii="宋体" w:hAnsi="宋体" w:eastAsia="宋体" w:cs="宋体"/>
          <w:color w:val="auto"/>
          <w:szCs w:val="21"/>
          <w:highlight w:val="none"/>
        </w:rPr>
        <w:t>。</w:t>
      </w:r>
    </w:p>
    <w:p w14:paraId="492A3FE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1.7 联络</w:t>
      </w:r>
    </w:p>
    <w:p w14:paraId="7AFD0B5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1.7.1发包人和承包人应当在</w:t>
      </w:r>
      <w:bookmarkStart w:id="365" w:name="EB626b6ed3d4fb487ba6e1d6752f32b12b"/>
      <w:r>
        <w:rPr>
          <w:rFonts w:hint="eastAsia" w:ascii="宋体" w:hAnsi="宋体" w:eastAsia="宋体" w:cs="宋体"/>
          <w:color w:val="auto"/>
          <w:szCs w:val="21"/>
          <w:highlight w:val="none"/>
          <w:u w:val="single"/>
        </w:rPr>
        <w:t>作出书面文件后3</w:t>
      </w:r>
      <w:bookmarkEnd w:id="365"/>
      <w:r>
        <w:rPr>
          <w:rFonts w:hint="eastAsia" w:ascii="宋体" w:hAnsi="宋体" w:eastAsia="宋体" w:cs="宋体"/>
          <w:color w:val="auto"/>
          <w:szCs w:val="21"/>
          <w:highlight w:val="none"/>
        </w:rPr>
        <w:t>天内将与合同有关的通知、批准、证明、证书、指示、指令、要求、请求、同意、意见、确定和决定等书面函件送达对方当事人。</w:t>
      </w:r>
    </w:p>
    <w:p w14:paraId="70A77AF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 发包人接收文件的地点：</w:t>
      </w:r>
      <w:bookmarkStart w:id="366" w:name="EB21cea7136c9b4ae9afbc38c79fb882f2"/>
      <w:r>
        <w:rPr>
          <w:rFonts w:hint="eastAsia" w:ascii="宋体" w:hAnsi="宋体" w:eastAsia="宋体" w:cs="宋体"/>
          <w:color w:val="auto"/>
          <w:szCs w:val="21"/>
          <w:highlight w:val="none"/>
          <w:u w:val="single"/>
        </w:rPr>
        <w:t>发包人办公室</w:t>
      </w:r>
      <w:bookmarkEnd w:id="366"/>
      <w:r>
        <w:rPr>
          <w:rFonts w:hint="eastAsia" w:ascii="宋体" w:hAnsi="宋体" w:eastAsia="宋体" w:cs="宋体"/>
          <w:color w:val="auto"/>
          <w:szCs w:val="21"/>
          <w:highlight w:val="none"/>
        </w:rPr>
        <w:t>；</w:t>
      </w:r>
    </w:p>
    <w:p w14:paraId="0C145DE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发包人指定的接收人为：</w:t>
      </w:r>
      <w:bookmarkStart w:id="367" w:name="EBcbfa4c338f8647e8b0491ad118664a9b"/>
      <w:r>
        <w:rPr>
          <w:rFonts w:hint="eastAsia" w:ascii="宋体" w:hAnsi="宋体" w:eastAsia="宋体" w:cs="宋体"/>
          <w:color w:val="auto"/>
          <w:szCs w:val="21"/>
          <w:highlight w:val="none"/>
          <w:u w:val="single"/>
        </w:rPr>
        <w:t>发包人代表</w:t>
      </w:r>
      <w:bookmarkEnd w:id="367"/>
      <w:r>
        <w:rPr>
          <w:rFonts w:hint="eastAsia" w:ascii="宋体" w:hAnsi="宋体" w:eastAsia="宋体" w:cs="宋体"/>
          <w:color w:val="auto"/>
          <w:szCs w:val="21"/>
          <w:highlight w:val="none"/>
        </w:rPr>
        <w:t>。</w:t>
      </w:r>
    </w:p>
    <w:p w14:paraId="24DF7F3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承包人接收文件的地点：</w:t>
      </w:r>
      <w:bookmarkStart w:id="368" w:name="EB9a25ab8bfa3f4e6faca37476ece7e313"/>
      <w:r>
        <w:rPr>
          <w:rFonts w:hint="eastAsia" w:ascii="宋体" w:hAnsi="宋体" w:eastAsia="宋体" w:cs="宋体"/>
          <w:color w:val="auto"/>
          <w:szCs w:val="21"/>
          <w:highlight w:val="none"/>
          <w:u w:val="single"/>
        </w:rPr>
        <w:t>施工现场办公室</w:t>
      </w:r>
      <w:bookmarkEnd w:id="368"/>
      <w:r>
        <w:rPr>
          <w:rFonts w:hint="eastAsia" w:ascii="宋体" w:hAnsi="宋体" w:eastAsia="宋体" w:cs="宋体"/>
          <w:color w:val="auto"/>
          <w:szCs w:val="21"/>
          <w:highlight w:val="none"/>
        </w:rPr>
        <w:t>；</w:t>
      </w:r>
    </w:p>
    <w:p w14:paraId="5482D5F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承包人指定的接收人为：</w:t>
      </w:r>
      <w:bookmarkStart w:id="369" w:name="EB1c3d7b7125d24ea191df4decc46a3449"/>
      <w:r>
        <w:rPr>
          <w:rFonts w:hint="eastAsia" w:ascii="宋体" w:hAnsi="宋体" w:eastAsia="宋体" w:cs="宋体"/>
          <w:color w:val="auto"/>
          <w:szCs w:val="21"/>
          <w:highlight w:val="none"/>
          <w:u w:val="single"/>
        </w:rPr>
        <w:t>项目经理</w:t>
      </w:r>
      <w:bookmarkEnd w:id="369"/>
      <w:r>
        <w:rPr>
          <w:rFonts w:hint="eastAsia" w:ascii="宋体" w:hAnsi="宋体" w:eastAsia="宋体" w:cs="宋体"/>
          <w:color w:val="auto"/>
          <w:szCs w:val="21"/>
          <w:highlight w:val="none"/>
        </w:rPr>
        <w:t>。</w:t>
      </w:r>
    </w:p>
    <w:p w14:paraId="24D82CE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监理人接收文件的地点：</w:t>
      </w:r>
      <w:bookmarkStart w:id="370" w:name="EB9cb78c6b46a24c58b1777bbba2de93bc"/>
      <w:r>
        <w:rPr>
          <w:rFonts w:hint="eastAsia" w:ascii="宋体" w:hAnsi="宋体" w:eastAsia="宋体" w:cs="宋体"/>
          <w:color w:val="auto"/>
          <w:szCs w:val="21"/>
          <w:highlight w:val="none"/>
          <w:u w:val="single"/>
        </w:rPr>
        <w:t>施工现场监理人</w:t>
      </w:r>
      <w:bookmarkEnd w:id="370"/>
      <w:r>
        <w:rPr>
          <w:rFonts w:hint="eastAsia" w:ascii="宋体" w:hAnsi="宋体" w:eastAsia="宋体" w:cs="宋体"/>
          <w:color w:val="auto"/>
          <w:szCs w:val="21"/>
          <w:highlight w:val="none"/>
        </w:rPr>
        <w:t>；</w:t>
      </w:r>
    </w:p>
    <w:p w14:paraId="190A3A2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监理人指定的接收人为：</w:t>
      </w:r>
      <w:bookmarkStart w:id="371" w:name="EB72e7ae2e14b847edae4d957deec3b809"/>
      <w:r>
        <w:rPr>
          <w:rFonts w:hint="eastAsia" w:ascii="宋体" w:hAnsi="宋体" w:eastAsia="宋体" w:cs="宋体"/>
          <w:color w:val="auto"/>
          <w:szCs w:val="21"/>
          <w:highlight w:val="none"/>
          <w:u w:val="single"/>
        </w:rPr>
        <w:t>总监理工程师</w:t>
      </w:r>
      <w:bookmarkEnd w:id="371"/>
      <w:r>
        <w:rPr>
          <w:rFonts w:hint="eastAsia" w:ascii="宋体" w:hAnsi="宋体" w:eastAsia="宋体" w:cs="宋体"/>
          <w:color w:val="auto"/>
          <w:szCs w:val="21"/>
          <w:highlight w:val="none"/>
        </w:rPr>
        <w:t>。</w:t>
      </w:r>
    </w:p>
    <w:p w14:paraId="366B3589">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 交通运输</w:t>
      </w:r>
    </w:p>
    <w:p w14:paraId="2F26FC6B">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1.10.1 出入现场的权利</w:t>
      </w:r>
    </w:p>
    <w:p w14:paraId="7BD1DFF1">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关于出入现场的权利的约定：</w:t>
      </w:r>
      <w:r>
        <w:rPr>
          <w:rFonts w:hint="eastAsia" w:ascii="宋体" w:hAnsi="宋体" w:eastAsia="宋体" w:cs="宋体"/>
          <w:color w:val="auto"/>
          <w:szCs w:val="21"/>
          <w:highlight w:val="none"/>
          <w:u w:val="single"/>
        </w:rPr>
        <w:t>发包人负责协调，由承包人取得出入施工现场所需的批准手续和全部权利及取得因施工所需修建施工临时通道、施工现场特殊管制（城镇老旧小区改造项目、历史文化街区改造项目施工时，交通管理部门对施工现场交通疏导而增加的设施与疏导人员）及其他临时基础设施的权利，相关手续费用和建设费用在投标报价中综合考虑。</w:t>
      </w:r>
    </w:p>
    <w:p w14:paraId="0998D7B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1.10.3 场内交通</w:t>
      </w:r>
    </w:p>
    <w:p w14:paraId="4CB9861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关于场外交通和场内交通的边界的约定：</w:t>
      </w:r>
      <w:r>
        <w:rPr>
          <w:rFonts w:hint="eastAsia" w:ascii="宋体" w:hAnsi="宋体" w:eastAsia="宋体" w:cs="宋体"/>
          <w:color w:val="auto"/>
          <w:szCs w:val="21"/>
          <w:highlight w:val="none"/>
          <w:u w:val="single"/>
        </w:rPr>
        <w:t>以项目规划用地红线为边界，红线范围内的交通区域及设施归为场内交通，红线范围外的交通道路及设施归为场外交通</w:t>
      </w:r>
      <w:r>
        <w:rPr>
          <w:rFonts w:hint="eastAsia" w:ascii="宋体" w:hAnsi="宋体" w:eastAsia="宋体" w:cs="宋体"/>
          <w:color w:val="auto"/>
          <w:szCs w:val="21"/>
          <w:highlight w:val="none"/>
        </w:rPr>
        <w:t>。</w:t>
      </w:r>
    </w:p>
    <w:p w14:paraId="015D30C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rPr>
        <w:t>承包人自行踏勘现场后对场内交通设施不能满足本工程施工需要的，由承包人负责完善并在报价中包含相应费用。发包人和监理人可以为实现合同目的免费使用承包人修建的场内临时道路和交通设施</w:t>
      </w:r>
      <w:r>
        <w:rPr>
          <w:rFonts w:hint="eastAsia" w:ascii="宋体" w:hAnsi="宋体" w:eastAsia="宋体" w:cs="宋体"/>
          <w:color w:val="auto"/>
          <w:szCs w:val="21"/>
          <w:highlight w:val="none"/>
        </w:rPr>
        <w:t xml:space="preserve">。  </w:t>
      </w:r>
    </w:p>
    <w:p w14:paraId="2E09A3D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14:paraId="4ED2BCC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由承包人负责运输的超大件或超重件，应由</w:t>
      </w:r>
      <w:r>
        <w:rPr>
          <w:rFonts w:hint="eastAsia" w:ascii="宋体" w:hAnsi="宋体" w:eastAsia="宋体" w:cs="宋体"/>
          <w:color w:val="auto"/>
          <w:szCs w:val="21"/>
          <w:highlight w:val="none"/>
          <w:u w:val="single"/>
        </w:rPr>
        <w:t xml:space="preserve"> 承包人 </w:t>
      </w:r>
      <w:r>
        <w:rPr>
          <w:rFonts w:hint="eastAsia" w:ascii="宋体" w:hAnsi="宋体" w:eastAsia="宋体" w:cs="宋体"/>
          <w:color w:val="auto"/>
          <w:szCs w:val="21"/>
          <w:highlight w:val="none"/>
        </w:rPr>
        <w:t>负责向交通管理部门办理申请手续，发包人给予协助。运输超大件或超重件所需的道路和桥梁临时加固改造费用和其他有关费用，由</w:t>
      </w:r>
      <w:r>
        <w:rPr>
          <w:rFonts w:hint="eastAsia" w:ascii="宋体" w:hAnsi="宋体" w:eastAsia="宋体" w:cs="宋体"/>
          <w:color w:val="auto"/>
          <w:szCs w:val="21"/>
          <w:highlight w:val="none"/>
          <w:u w:val="single"/>
        </w:rPr>
        <w:t xml:space="preserve"> 承包人 </w:t>
      </w:r>
      <w:r>
        <w:rPr>
          <w:rFonts w:hint="eastAsia" w:ascii="宋体" w:hAnsi="宋体" w:eastAsia="宋体" w:cs="宋体"/>
          <w:color w:val="auto"/>
          <w:szCs w:val="21"/>
          <w:highlight w:val="none"/>
        </w:rPr>
        <w:t>报价中综合考虑，结算时不另行支付。</w:t>
      </w:r>
    </w:p>
    <w:p w14:paraId="28BAA9A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知识产权</w:t>
      </w:r>
    </w:p>
    <w:p w14:paraId="102E3B8B">
      <w:pPr>
        <w:pageBreakBefore w:val="0"/>
        <w:widowControl w:val="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1.11.4 承包人在施工过程中所采用的专利、专有技术、技术秘密的使用费的承担方式：</w:t>
      </w:r>
      <w:r>
        <w:rPr>
          <w:rFonts w:hint="eastAsia" w:ascii="宋体" w:hAnsi="宋体" w:eastAsia="宋体" w:cs="宋体"/>
          <w:color w:val="auto"/>
          <w:highlight w:val="none"/>
          <w:u w:val="single"/>
        </w:rPr>
        <w:t>在承包人所投项目范围内，发包人无偿使用，就此所产生的费用由承包人在报价中综合考虑，结算时不予增加</w:t>
      </w:r>
      <w:r>
        <w:rPr>
          <w:rFonts w:hint="eastAsia" w:ascii="宋体" w:hAnsi="宋体" w:eastAsia="宋体" w:cs="宋体"/>
          <w:color w:val="auto"/>
          <w:highlight w:val="none"/>
        </w:rPr>
        <w:t>。</w:t>
      </w:r>
    </w:p>
    <w:p w14:paraId="7230A80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1.13工程量清单错误的修正</w:t>
      </w:r>
    </w:p>
    <w:p w14:paraId="4686BA4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出现工程量清单错误时，是否调整合同价格：</w:t>
      </w:r>
      <w:bookmarkStart w:id="372" w:name="EB71efa267889842ef98ef2fda0c918226"/>
      <w:r>
        <w:rPr>
          <w:rFonts w:hint="eastAsia" w:ascii="宋体" w:hAnsi="宋体" w:eastAsia="宋体" w:cs="宋体"/>
          <w:color w:val="auto"/>
          <w:szCs w:val="21"/>
          <w:highlight w:val="none"/>
          <w:u w:val="single"/>
        </w:rPr>
        <w:t>是</w:t>
      </w:r>
      <w:bookmarkEnd w:id="372"/>
      <w:r>
        <w:rPr>
          <w:rFonts w:hint="eastAsia" w:ascii="宋体" w:hAnsi="宋体" w:eastAsia="宋体" w:cs="宋体"/>
          <w:color w:val="auto"/>
          <w:szCs w:val="21"/>
          <w:highlight w:val="none"/>
        </w:rPr>
        <w:t>。</w:t>
      </w:r>
    </w:p>
    <w:p w14:paraId="48FB17D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允许调整合同价格的工程量偏差范围：</w:t>
      </w:r>
      <w:bookmarkStart w:id="373" w:name="EB3d3a2774ab2849379ed985e0a5fcc483"/>
      <w:r>
        <w:rPr>
          <w:rFonts w:hint="eastAsia" w:ascii="宋体" w:hAnsi="宋体" w:eastAsia="宋体" w:cs="宋体"/>
          <w:color w:val="auto"/>
          <w:szCs w:val="21"/>
          <w:highlight w:val="none"/>
          <w:u w:val="single"/>
        </w:rPr>
        <w:t>执行现行工程量清单规范（标准）的相关原则</w:t>
      </w:r>
      <w:bookmarkEnd w:id="373"/>
      <w:r>
        <w:rPr>
          <w:rFonts w:hint="eastAsia" w:ascii="宋体" w:hAnsi="宋体" w:eastAsia="宋体" w:cs="宋体"/>
          <w:color w:val="auto"/>
          <w:szCs w:val="21"/>
          <w:highlight w:val="none"/>
        </w:rPr>
        <w:t>。</w:t>
      </w:r>
    </w:p>
    <w:p w14:paraId="23C9C4D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   施工现场、施工条件和基础资料的提供</w:t>
      </w:r>
    </w:p>
    <w:p w14:paraId="1A2BF24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资金来源证明及支付担保</w:t>
      </w:r>
    </w:p>
    <w:p w14:paraId="4D4FF2D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785949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6FEB7CB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政府投资项目将有权部门出具的资金来源证明作为支付担保凭证</w:t>
      </w:r>
      <w:r>
        <w:rPr>
          <w:rFonts w:hint="eastAsia" w:ascii="宋体" w:hAnsi="宋体" w:eastAsia="宋体" w:cs="宋体"/>
          <w:color w:val="auto"/>
          <w:szCs w:val="21"/>
          <w:highlight w:val="none"/>
        </w:rPr>
        <w:t>。</w:t>
      </w:r>
    </w:p>
    <w:p w14:paraId="3141F72F">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 承包人</w:t>
      </w:r>
    </w:p>
    <w:p w14:paraId="46CFE1C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承包人的一般义务</w:t>
      </w:r>
    </w:p>
    <w:p w14:paraId="770DC9C5">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（9）承包人提交的竣工资料的内容：</w:t>
      </w:r>
      <w:bookmarkStart w:id="374" w:name="EBe0360b0829ac49e681ed00bde7588491"/>
      <w:r>
        <w:rPr>
          <w:rFonts w:hint="eastAsia" w:ascii="宋体" w:hAnsi="宋体" w:eastAsia="宋体" w:cs="宋体"/>
          <w:color w:val="auto"/>
          <w:szCs w:val="21"/>
          <w:highlight w:val="none"/>
          <w:u w:val="single"/>
        </w:rPr>
        <w:t>工程施工技术资料、工程质检资料、工程检验评定资料、竣工图，规定的其他应交资料，并满足丹阳城建档案管理机构要求的竣工图及相关资料等，并负责档案馆的归档整理工作</w:t>
      </w:r>
      <w:bookmarkEnd w:id="374"/>
      <w:r>
        <w:rPr>
          <w:rFonts w:hint="eastAsia" w:ascii="宋体" w:hAnsi="宋体" w:eastAsia="宋体" w:cs="宋体"/>
          <w:color w:val="auto"/>
          <w:szCs w:val="21"/>
          <w:highlight w:val="none"/>
        </w:rPr>
        <w:t>。</w:t>
      </w:r>
    </w:p>
    <w:p w14:paraId="15EBA84F">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承包人需要提交的竣工资料套数：</w:t>
      </w:r>
      <w:bookmarkStart w:id="375" w:name="EB7c763010b8f846b5bfbf63317d9ca1d5"/>
      <w:r>
        <w:rPr>
          <w:rFonts w:hint="eastAsia" w:ascii="宋体" w:hAnsi="宋体" w:eastAsia="宋体" w:cs="宋体"/>
          <w:color w:val="auto"/>
          <w:szCs w:val="21"/>
          <w:highlight w:val="none"/>
          <w:u w:val="single"/>
        </w:rPr>
        <w:t>纸质版陆套，电子版竣工图一套</w:t>
      </w:r>
      <w:bookmarkEnd w:id="375"/>
      <w:r>
        <w:rPr>
          <w:rFonts w:hint="eastAsia" w:ascii="宋体" w:hAnsi="宋体" w:eastAsia="宋体" w:cs="宋体"/>
          <w:color w:val="auto"/>
          <w:szCs w:val="21"/>
          <w:highlight w:val="none"/>
        </w:rPr>
        <w:t>。</w:t>
      </w:r>
    </w:p>
    <w:p w14:paraId="46C8D059">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bookmarkStart w:id="376" w:name="EBa329c26310fd4cef96fcfb2c1dd01dfa"/>
      <w:r>
        <w:rPr>
          <w:rFonts w:hint="eastAsia" w:ascii="宋体" w:hAnsi="宋体" w:eastAsia="宋体" w:cs="宋体"/>
          <w:color w:val="auto"/>
          <w:szCs w:val="21"/>
          <w:highlight w:val="none"/>
          <w:u w:val="single"/>
        </w:rPr>
        <w:t>由承包人自行承担</w:t>
      </w:r>
      <w:bookmarkEnd w:id="376"/>
      <w:r>
        <w:rPr>
          <w:rFonts w:hint="eastAsia" w:ascii="宋体" w:hAnsi="宋体" w:eastAsia="宋体" w:cs="宋体"/>
          <w:color w:val="auto"/>
          <w:szCs w:val="21"/>
          <w:highlight w:val="none"/>
        </w:rPr>
        <w:t>。</w:t>
      </w:r>
    </w:p>
    <w:p w14:paraId="1A9F1184">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bookmarkStart w:id="377" w:name="EB4451abd14720437dbc3258d25d7a4113"/>
      <w:r>
        <w:rPr>
          <w:rFonts w:hint="eastAsia" w:ascii="宋体" w:hAnsi="宋体" w:eastAsia="宋体" w:cs="宋体"/>
          <w:color w:val="auto"/>
          <w:szCs w:val="21"/>
          <w:highlight w:val="none"/>
          <w:u w:val="single"/>
        </w:rPr>
        <w:t>竣工验收资料须在竣工验收前7天内提供，其他资料应在竣工验收合格后28天内移交</w:t>
      </w:r>
      <w:bookmarkEnd w:id="377"/>
      <w:r>
        <w:rPr>
          <w:rFonts w:hint="eastAsia" w:ascii="宋体" w:hAnsi="宋体" w:eastAsia="宋体" w:cs="宋体"/>
          <w:color w:val="auto"/>
          <w:szCs w:val="21"/>
          <w:highlight w:val="none"/>
        </w:rPr>
        <w:t>。</w:t>
      </w:r>
    </w:p>
    <w:p w14:paraId="3854E798">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bookmarkStart w:id="378" w:name="EB43004b4039c64daf92ecfa1dc1ebdd1d"/>
      <w:r>
        <w:rPr>
          <w:rFonts w:hint="eastAsia" w:ascii="宋体" w:hAnsi="宋体" w:eastAsia="宋体" w:cs="宋体"/>
          <w:color w:val="auto"/>
          <w:szCs w:val="21"/>
          <w:highlight w:val="none"/>
          <w:u w:val="single"/>
        </w:rPr>
        <w:t>电子版（不加密）及纸质版</w:t>
      </w:r>
      <w:bookmarkEnd w:id="378"/>
      <w:r>
        <w:rPr>
          <w:rFonts w:hint="eastAsia" w:ascii="宋体" w:hAnsi="宋体" w:eastAsia="宋体" w:cs="宋体"/>
          <w:color w:val="auto"/>
          <w:szCs w:val="21"/>
          <w:highlight w:val="none"/>
        </w:rPr>
        <w:t>。</w:t>
      </w:r>
    </w:p>
    <w:p w14:paraId="0C818A48">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（10）承包人实施建筑工人实名制制度的约定：</w:t>
      </w:r>
      <w:r>
        <w:rPr>
          <w:rFonts w:hint="eastAsia" w:ascii="宋体" w:hAnsi="宋体" w:eastAsia="宋体" w:cs="宋体"/>
          <w:color w:val="auto"/>
          <w:szCs w:val="21"/>
          <w:highlight w:val="none"/>
          <w:u w:val="single"/>
        </w:rPr>
        <w:t>配备农民工实名制管理所必须的软硬件设施设备，推行信息化实名制管理</w:t>
      </w:r>
      <w:r>
        <w:rPr>
          <w:rFonts w:hint="eastAsia" w:ascii="宋体" w:hAnsi="宋体" w:eastAsia="宋体" w:cs="宋体"/>
          <w:color w:val="auto"/>
          <w:szCs w:val="21"/>
          <w:highlight w:val="none"/>
        </w:rPr>
        <w:t>。</w:t>
      </w:r>
    </w:p>
    <w:p w14:paraId="3F2C71BF">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（11）工程款专用及建筑工人工资专用账户的约定：</w:t>
      </w:r>
      <w:r>
        <w:rPr>
          <w:rFonts w:hint="eastAsia" w:ascii="宋体" w:hAnsi="宋体" w:eastAsia="宋体" w:cs="宋体"/>
          <w:color w:val="auto"/>
          <w:szCs w:val="21"/>
          <w:highlight w:val="none"/>
          <w:u w:val="single"/>
        </w:rPr>
        <w:t>承包单位按现行规定设立农民工工资专用账户</w:t>
      </w:r>
      <w:r>
        <w:rPr>
          <w:rFonts w:hint="eastAsia" w:ascii="宋体" w:hAnsi="宋体" w:eastAsia="宋体" w:cs="宋体"/>
          <w:color w:val="auto"/>
          <w:szCs w:val="21"/>
          <w:highlight w:val="none"/>
        </w:rPr>
        <w:t>。</w:t>
      </w:r>
    </w:p>
    <w:p w14:paraId="3C0CC14C">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）承包人应履行的其他义务：</w:t>
      </w:r>
    </w:p>
    <w:p w14:paraId="6B9FB10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与农民工签订相关合同，按月考核农民工工作量并交开户银行通过工资专户直接将工资划入农民工个人银行卡。</w:t>
      </w:r>
    </w:p>
    <w:p w14:paraId="16E9280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项目经理</w:t>
      </w:r>
    </w:p>
    <w:p w14:paraId="35CFB3C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 项目经理：</w:t>
      </w:r>
    </w:p>
    <w:p w14:paraId="28948BF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bookmarkStart w:id="379" w:name="EB5bb50edab5204af3b3f054b2c1109d55"/>
      <w:bookmarkEnd w:id="379"/>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A2CC2E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bookmarkStart w:id="380" w:name="EB490d47343c4c4beb85b44a53ac3961a0"/>
      <w:bookmarkEnd w:id="380"/>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A97ADD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建造师执业资格等级：</w:t>
      </w:r>
      <w:bookmarkStart w:id="381" w:name="EBe8c4bfc0e0714271bbe0303616eb5c51"/>
      <w:bookmarkEnd w:id="381"/>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C9A5C5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bookmarkStart w:id="382" w:name="EBfccf8a487c184de4983c51691bfed087"/>
      <w:bookmarkEnd w:id="382"/>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635C4F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bookmarkStart w:id="383" w:name="EB6f29a828adff4f249580d4419a998ce1"/>
      <w:bookmarkEnd w:id="383"/>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72CEF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bookmarkStart w:id="384" w:name="EB59ae3f5004fa4784baa024bd54e1e41c"/>
      <w:bookmarkEnd w:id="384"/>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8D279B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bookmarkStart w:id="385" w:name="EB183a51b3a3bf4e6282b169352e320fa4"/>
      <w:bookmarkEnd w:id="385"/>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527F8B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bookmarkStart w:id="386" w:name="EB0fb3d9c139a44666922c2b69f367ea13"/>
      <w:bookmarkEnd w:id="386"/>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24186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bookmarkStart w:id="387" w:name="EB7e05c994ccd24d8fa844ad5264a79281"/>
      <w:bookmarkEnd w:id="387"/>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4CA7C7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承包人对项目经理的授权范围如下：</w:t>
      </w:r>
      <w:bookmarkStart w:id="388" w:name="EB91ae455537c843e6aa2711a1d68d29f6"/>
      <w:r>
        <w:rPr>
          <w:rFonts w:hint="eastAsia" w:ascii="宋体" w:hAnsi="宋体" w:eastAsia="宋体" w:cs="宋体"/>
          <w:color w:val="auto"/>
          <w:szCs w:val="21"/>
          <w:highlight w:val="none"/>
          <w:u w:val="single"/>
        </w:rPr>
        <w:t>代表承包人履行合同。按合同约定组织工程实施；在合同约定范围内主持承包人有关施工、技术、工程进度、现场管理、安全生产、质量检验、竣工交付、结算等方面工作 ；与项目相关方进行直接沟通</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u w:val="single"/>
        </w:rPr>
        <w:t>接受、签发、确认相关文件</w:t>
      </w:r>
      <w:bookmarkEnd w:id="388"/>
      <w:r>
        <w:rPr>
          <w:rFonts w:hint="eastAsia" w:ascii="宋体" w:hAnsi="宋体" w:eastAsia="宋体" w:cs="宋体"/>
          <w:color w:val="auto"/>
          <w:szCs w:val="21"/>
          <w:highlight w:val="none"/>
        </w:rPr>
        <w:t>。</w:t>
      </w:r>
    </w:p>
    <w:p w14:paraId="1AFD25E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关于项目经理每月在施工现场的时间要求：</w:t>
      </w:r>
      <w:bookmarkStart w:id="389" w:name="EBeee018cd35ef43d990a672658778b19e"/>
      <w:r>
        <w:rPr>
          <w:rFonts w:hint="eastAsia" w:ascii="宋体" w:hAnsi="宋体" w:eastAsia="宋体" w:cs="宋体"/>
          <w:color w:val="auto"/>
          <w:szCs w:val="21"/>
          <w:highlight w:val="none"/>
          <w:u w:val="single"/>
        </w:rPr>
        <w:t>具体参照镇政建</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2020</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83号文且每月不得少于24天，每日在施工现场工作时间不得少于8小时；必须参加每周召开的例会。以现场监理工程师的考勤记录为准</w:t>
      </w:r>
      <w:bookmarkEnd w:id="389"/>
      <w:r>
        <w:rPr>
          <w:rFonts w:hint="eastAsia" w:ascii="宋体" w:hAnsi="宋体" w:eastAsia="宋体" w:cs="宋体"/>
          <w:color w:val="auto"/>
          <w:szCs w:val="21"/>
          <w:highlight w:val="none"/>
        </w:rPr>
        <w:t>。</w:t>
      </w:r>
    </w:p>
    <w:p w14:paraId="3F50E7B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承包人未提交劳动合同，以及没有为项目经理缴纳社会保险证明的违约责任：</w:t>
      </w:r>
      <w:bookmarkStart w:id="390" w:name="EB1455796331c54bb88555685a000960d4"/>
      <w:r>
        <w:rPr>
          <w:rFonts w:hint="eastAsia" w:ascii="宋体" w:hAnsi="宋体" w:eastAsia="宋体" w:cs="宋体"/>
          <w:color w:val="auto"/>
          <w:szCs w:val="21"/>
          <w:highlight w:val="none"/>
          <w:u w:val="single"/>
        </w:rPr>
        <w:t>缴纳的违约金合同价款的0.1%，责令限期补交劳动合同并补缴社会保险，承包人依然不能执行的发包人有权要求承包人更换项目经理</w:t>
      </w:r>
      <w:bookmarkEnd w:id="390"/>
      <w:r>
        <w:rPr>
          <w:rFonts w:hint="eastAsia" w:ascii="宋体" w:hAnsi="宋体" w:eastAsia="宋体" w:cs="宋体"/>
          <w:color w:val="auto"/>
          <w:szCs w:val="21"/>
          <w:highlight w:val="none"/>
        </w:rPr>
        <w:t>。</w:t>
      </w:r>
    </w:p>
    <w:p w14:paraId="39AAED47">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项目经理未经批准，擅自离开施工现场的违约责任：</w:t>
      </w:r>
      <w:bookmarkStart w:id="391" w:name="EB14bc8176bf6644c4add527302193c651"/>
      <w:r>
        <w:rPr>
          <w:rFonts w:hint="eastAsia" w:ascii="宋体" w:hAnsi="宋体" w:eastAsia="宋体" w:cs="宋体"/>
          <w:color w:val="auto"/>
          <w:szCs w:val="21"/>
          <w:highlight w:val="none"/>
          <w:u w:val="single"/>
        </w:rPr>
        <w:t>未经发包人批准脱离施工现场超过1天的，每发生1次，向发包人支付2万元的违约金；发生3次以上或累计脱离现场超过3天，发包人有权要求承包人更换项目经理</w:t>
      </w:r>
      <w:bookmarkEnd w:id="391"/>
      <w:r>
        <w:rPr>
          <w:rFonts w:hint="eastAsia" w:ascii="宋体" w:hAnsi="宋体" w:eastAsia="宋体" w:cs="宋体"/>
          <w:color w:val="auto"/>
          <w:szCs w:val="21"/>
          <w:highlight w:val="none"/>
        </w:rPr>
        <w:t>。</w:t>
      </w:r>
    </w:p>
    <w:p w14:paraId="689A96E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承包人擅自更换项目经理的违约责任：</w:t>
      </w:r>
      <w:bookmarkStart w:id="392" w:name="EBe45b79f8a8a147b2a576cac9665fc30d"/>
      <w:r>
        <w:rPr>
          <w:rFonts w:hint="eastAsia" w:ascii="宋体" w:hAnsi="宋体" w:eastAsia="宋体" w:cs="宋体"/>
          <w:color w:val="auto"/>
          <w:szCs w:val="21"/>
          <w:highlight w:val="none"/>
          <w:u w:val="single"/>
        </w:rPr>
        <w:t>承包人将承担合同价款的0.1%的违约金。若承包人未按发包人要求整改的，发包人将有权终止合同并提起索赔</w:t>
      </w:r>
      <w:bookmarkEnd w:id="392"/>
      <w:r>
        <w:rPr>
          <w:rFonts w:hint="eastAsia" w:ascii="宋体" w:hAnsi="宋体" w:eastAsia="宋体" w:cs="宋体"/>
          <w:color w:val="auto"/>
          <w:szCs w:val="21"/>
          <w:highlight w:val="none"/>
        </w:rPr>
        <w:t>。</w:t>
      </w:r>
    </w:p>
    <w:p w14:paraId="4C06E7D8">
      <w:pPr>
        <w:pageBreakBefore w:val="0"/>
        <w:widowControl w:val="0"/>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3.2.4 承包人无正当理由拒绝更换项目经理的违约责任：</w:t>
      </w:r>
      <w:bookmarkStart w:id="393" w:name="EB7288427fef464056936691353ebbd123"/>
      <w:r>
        <w:rPr>
          <w:rFonts w:hint="eastAsia" w:ascii="宋体" w:hAnsi="宋体" w:eastAsia="宋体" w:cs="宋体"/>
          <w:color w:val="auto"/>
          <w:highlight w:val="none"/>
          <w:u w:val="single"/>
        </w:rPr>
        <w:t>除执行通用条款3.2.4外，承包人应保证按照投标文件的承诺安排现场管理人员到场，承包人无正当理由拒绝更换项目经理的，处</w:t>
      </w:r>
      <w:r>
        <w:rPr>
          <w:rFonts w:hint="eastAsia" w:ascii="宋体" w:hAnsi="宋体" w:eastAsia="宋体" w:cs="宋体"/>
          <w:color w:val="auto"/>
          <w:highlight w:val="none"/>
          <w:u w:val="single"/>
          <w:lang w:val="en-US" w:eastAsia="zh-CN"/>
        </w:rPr>
        <w:t>3</w:t>
      </w:r>
      <w:r>
        <w:rPr>
          <w:rFonts w:hint="eastAsia" w:ascii="宋体" w:hAnsi="宋体" w:eastAsia="宋体" w:cs="宋体"/>
          <w:color w:val="auto"/>
          <w:highlight w:val="none"/>
          <w:u w:val="single"/>
        </w:rPr>
        <w:t>万元/次违约金，发包人有权终止合同</w:t>
      </w:r>
      <w:bookmarkEnd w:id="393"/>
      <w:r>
        <w:rPr>
          <w:rFonts w:hint="eastAsia" w:ascii="宋体" w:hAnsi="宋体" w:eastAsia="宋体" w:cs="宋体"/>
          <w:color w:val="auto"/>
          <w:highlight w:val="none"/>
        </w:rPr>
        <w:t>。</w:t>
      </w:r>
    </w:p>
    <w:p w14:paraId="7946D679">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承包人人员</w:t>
      </w:r>
    </w:p>
    <w:p w14:paraId="0DD7F97C">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承包人提交项目管理机构及施工现场管理人员安排报告的期限：</w:t>
      </w:r>
      <w:bookmarkStart w:id="394" w:name="EBb1c1a4c35f6b41c7ba7bcbfe618d8e0a"/>
      <w:r>
        <w:rPr>
          <w:rFonts w:hint="eastAsia" w:ascii="宋体" w:hAnsi="宋体" w:eastAsia="宋体" w:cs="宋体"/>
          <w:color w:val="auto"/>
          <w:szCs w:val="21"/>
          <w:highlight w:val="none"/>
          <w:u w:val="single"/>
        </w:rPr>
        <w:t>除执行通用条款3.3.1外，承包人应保证按照投标文件的承诺安排现场管理人员到场</w:t>
      </w:r>
      <w:bookmarkEnd w:id="394"/>
      <w:r>
        <w:rPr>
          <w:rFonts w:hint="eastAsia" w:ascii="宋体" w:hAnsi="宋体" w:eastAsia="宋体" w:cs="宋体"/>
          <w:color w:val="auto"/>
          <w:szCs w:val="21"/>
          <w:highlight w:val="none"/>
        </w:rPr>
        <w:t>。</w:t>
      </w:r>
    </w:p>
    <w:p w14:paraId="4BA1D96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承包人无正当理由拒绝撤换主要施工管理人员的违约责任：</w:t>
      </w:r>
      <w:bookmarkStart w:id="395" w:name="EB4993d135e65141fb940bf8a9334bfb71"/>
      <w:r>
        <w:rPr>
          <w:rFonts w:hint="eastAsia" w:ascii="宋体" w:hAnsi="宋体" w:eastAsia="宋体" w:cs="宋体"/>
          <w:color w:val="auto"/>
          <w:szCs w:val="21"/>
          <w:highlight w:val="none"/>
          <w:u w:val="single"/>
        </w:rPr>
        <w:t>承包人收到发包人更换不合格的主要施工管理人员的通知后，未按照约定时间更换的，每逾期一日应当支付2000元的违约金；逾期超过15日的，发包人有权解除合同，并要求承包人承担因此造成的全部损失</w:t>
      </w:r>
      <w:bookmarkEnd w:id="395"/>
      <w:r>
        <w:rPr>
          <w:rFonts w:hint="eastAsia" w:ascii="宋体" w:hAnsi="宋体" w:eastAsia="宋体" w:cs="宋体"/>
          <w:color w:val="auto"/>
          <w:szCs w:val="21"/>
          <w:highlight w:val="none"/>
        </w:rPr>
        <w:t>。</w:t>
      </w:r>
    </w:p>
    <w:p w14:paraId="0BF03B80">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3.3.4 承包人主要施工管理人员离开施工现场的批准要求：</w:t>
      </w:r>
      <w:bookmarkStart w:id="396" w:name="EB90c32d6d8e55438083d1a2ab0e61faa5"/>
      <w:r>
        <w:rPr>
          <w:rFonts w:hint="eastAsia" w:ascii="宋体" w:hAnsi="宋体" w:eastAsia="宋体" w:cs="宋体"/>
          <w:color w:val="auto"/>
          <w:szCs w:val="21"/>
          <w:highlight w:val="none"/>
          <w:u w:val="single"/>
        </w:rPr>
        <w:t>主要管理人员（包含但不限于五大员）每月在岗不得少于24天，每日在施工现场工作时间不得少于8小时。离开现场一天内须向监理请假并征得书面同意，离开现场一天以上（含一天）须向发包人请假并征得书面同意</w:t>
      </w:r>
      <w:bookmarkEnd w:id="396"/>
      <w:r>
        <w:rPr>
          <w:rFonts w:hint="eastAsia" w:ascii="宋体" w:hAnsi="宋体" w:eastAsia="宋体" w:cs="宋体"/>
          <w:color w:val="auto"/>
          <w:szCs w:val="21"/>
          <w:highlight w:val="none"/>
        </w:rPr>
        <w:t>。</w:t>
      </w:r>
    </w:p>
    <w:p w14:paraId="292F9DC9">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3.3.5承包人擅自更换主要施工管理人员的违约责任：</w:t>
      </w:r>
      <w:bookmarkStart w:id="397" w:name="EB37539f747b2b45aa8283fd9fb7990478"/>
      <w:r>
        <w:rPr>
          <w:rFonts w:hint="eastAsia" w:ascii="宋体" w:hAnsi="宋体" w:eastAsia="宋体" w:cs="宋体"/>
          <w:color w:val="auto"/>
          <w:szCs w:val="21"/>
          <w:highlight w:val="none"/>
          <w:u w:val="single"/>
        </w:rPr>
        <w:t>应提前7天向发包人和监理人书面报告，承包人擅自更换主要施工管理人员的或者与投标文件不一致的均扣除1万元/人/次违约金，经发包人和监理人书面同意更换主要施工管理人员的扣除5000元/人/次违约金</w:t>
      </w:r>
      <w:bookmarkEnd w:id="397"/>
      <w:r>
        <w:rPr>
          <w:rFonts w:hint="eastAsia" w:ascii="宋体" w:hAnsi="宋体" w:eastAsia="宋体" w:cs="宋体"/>
          <w:color w:val="auto"/>
          <w:szCs w:val="21"/>
          <w:highlight w:val="none"/>
        </w:rPr>
        <w:t>。</w:t>
      </w:r>
    </w:p>
    <w:p w14:paraId="11BEE67A">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承包人主要施工管理人员擅自离开施工现场的违约责任：</w:t>
      </w:r>
      <w:bookmarkStart w:id="398" w:name="EB23d14f3ef71740edbfb5e6fb05e01938"/>
      <w:r>
        <w:rPr>
          <w:rFonts w:hint="eastAsia" w:ascii="宋体" w:hAnsi="宋体" w:eastAsia="宋体" w:cs="宋体"/>
          <w:color w:val="auto"/>
          <w:szCs w:val="21"/>
          <w:highlight w:val="none"/>
          <w:u w:val="single"/>
        </w:rPr>
        <w:t>若无正当理由不在工地现场，且未经发包人和监理人认可，发包人有权扣除2000元/人/次违约金；连续5天或施工期内累计10天不在现场，承包人承担上述违约对发包人造成的一切损失，发包人有权单方解除本施工合同</w:t>
      </w:r>
      <w:bookmarkEnd w:id="398"/>
      <w:r>
        <w:rPr>
          <w:rFonts w:hint="eastAsia" w:ascii="宋体" w:hAnsi="宋体" w:eastAsia="宋体" w:cs="宋体"/>
          <w:color w:val="auto"/>
          <w:szCs w:val="21"/>
          <w:highlight w:val="none"/>
        </w:rPr>
        <w:t>。</w:t>
      </w:r>
    </w:p>
    <w:p w14:paraId="4266836E">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3.5 分包</w:t>
      </w:r>
    </w:p>
    <w:p w14:paraId="43A723F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 分包的一般约定</w:t>
      </w:r>
    </w:p>
    <w:p w14:paraId="2AA4138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bookmarkStart w:id="399" w:name="EB96564b48ab694f7c8bec56ad34661eb0"/>
      <w:r>
        <w:rPr>
          <w:rFonts w:hint="eastAsia" w:ascii="宋体" w:hAnsi="宋体" w:eastAsia="宋体" w:cs="宋体"/>
          <w:color w:val="auto"/>
          <w:szCs w:val="21"/>
          <w:highlight w:val="none"/>
          <w:u w:val="single"/>
        </w:rPr>
        <w:t>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bookmarkEnd w:id="399"/>
      <w:r>
        <w:rPr>
          <w:rFonts w:hint="eastAsia" w:ascii="宋体" w:hAnsi="宋体" w:eastAsia="宋体" w:cs="宋体"/>
          <w:color w:val="auto"/>
          <w:szCs w:val="21"/>
          <w:highlight w:val="none"/>
        </w:rPr>
        <w:t>。</w:t>
      </w:r>
    </w:p>
    <w:p w14:paraId="508529DC">
      <w:pPr>
        <w:pageBreakBefore w:val="0"/>
        <w:widowControl w:val="0"/>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主体结构、关键性工作的范围</w:t>
      </w:r>
      <w:bookmarkStart w:id="400" w:name="EBddcddce8724b4ad7a84aeabec9e07558"/>
      <w:bookmarkEnd w:id="400"/>
      <w:r>
        <w:rPr>
          <w:rFonts w:hint="eastAsia" w:ascii="宋体" w:hAnsi="宋体" w:cs="宋体"/>
          <w:color w:val="auto"/>
          <w:szCs w:val="21"/>
          <w:highlight w:val="none"/>
          <w:lang w:eastAsia="zh-CN"/>
        </w:rPr>
        <w:t>：</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rPr>
        <w:t>。</w:t>
      </w:r>
    </w:p>
    <w:p w14:paraId="6E75E131">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3.5.2分包的确定</w:t>
      </w:r>
    </w:p>
    <w:p w14:paraId="36031F4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允许分包的专业工程包括：</w:t>
      </w:r>
      <w:bookmarkStart w:id="401" w:name="EB235a9e53098d4a9180c989c3c3dc625f"/>
      <w:r>
        <w:rPr>
          <w:rFonts w:hint="eastAsia" w:ascii="宋体" w:hAnsi="宋体" w:eastAsia="宋体" w:cs="宋体"/>
          <w:color w:val="auto"/>
          <w:szCs w:val="21"/>
          <w:highlight w:val="none"/>
          <w:u w:val="single"/>
        </w:rPr>
        <w:t>劳务及发包人同意的专业分包</w:t>
      </w:r>
      <w:bookmarkEnd w:id="401"/>
      <w:r>
        <w:rPr>
          <w:rFonts w:hint="eastAsia" w:ascii="宋体" w:hAnsi="宋体" w:eastAsia="宋体" w:cs="宋体"/>
          <w:color w:val="auto"/>
          <w:szCs w:val="21"/>
          <w:highlight w:val="none"/>
        </w:rPr>
        <w:t>。</w:t>
      </w:r>
    </w:p>
    <w:p w14:paraId="03A9E9A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bookmarkStart w:id="402" w:name="EB648c05484edf44b987d781bd53acd4d2"/>
      <w:r>
        <w:rPr>
          <w:rFonts w:hint="eastAsia" w:ascii="宋体" w:hAnsi="宋体" w:eastAsia="宋体" w:cs="宋体"/>
          <w:color w:val="auto"/>
          <w:szCs w:val="21"/>
          <w:highlight w:val="none"/>
          <w:u w:val="single"/>
        </w:rPr>
        <w:t>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bookmarkEnd w:id="402"/>
      <w:r>
        <w:rPr>
          <w:rFonts w:hint="eastAsia" w:ascii="宋体" w:hAnsi="宋体" w:eastAsia="宋体" w:cs="宋体"/>
          <w:color w:val="auto"/>
          <w:szCs w:val="21"/>
          <w:highlight w:val="none"/>
        </w:rPr>
        <w:t>。</w:t>
      </w:r>
    </w:p>
    <w:p w14:paraId="1E33112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 分包合同价款</w:t>
      </w:r>
    </w:p>
    <w:p w14:paraId="30C9397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关于分包合同价款支付的约定：</w:t>
      </w:r>
      <w:bookmarkStart w:id="403" w:name="EBa4ba452c72704ccda4781a83be181a74"/>
      <w:r>
        <w:rPr>
          <w:rFonts w:hint="eastAsia" w:ascii="宋体" w:hAnsi="宋体" w:eastAsia="宋体" w:cs="宋体"/>
          <w:color w:val="auto"/>
          <w:szCs w:val="21"/>
          <w:highlight w:val="none"/>
          <w:u w:val="single"/>
        </w:rPr>
        <w:t>由承包人支付</w:t>
      </w:r>
      <w:bookmarkEnd w:id="403"/>
      <w:r>
        <w:rPr>
          <w:rFonts w:hint="eastAsia" w:ascii="宋体" w:hAnsi="宋体" w:eastAsia="宋体" w:cs="宋体"/>
          <w:color w:val="auto"/>
          <w:szCs w:val="21"/>
          <w:highlight w:val="none"/>
        </w:rPr>
        <w:t>。</w:t>
      </w:r>
    </w:p>
    <w:p w14:paraId="4117A64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3.6 工程照管与成品、半成品保护</w:t>
      </w:r>
    </w:p>
    <w:p w14:paraId="1B609CD9">
      <w:pPr>
        <w:pageBreakBefore w:val="0"/>
        <w:widowControl w:val="0"/>
        <w:spacing w:before="120" w:after="120"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承包人负责照管工程及工程相关的材料、工程设备的起始时间</w:t>
      </w:r>
      <w:r>
        <w:rPr>
          <w:rFonts w:hint="eastAsia" w:ascii="宋体" w:hAnsi="宋体" w:eastAsia="宋体" w:cs="宋体"/>
          <w:color w:val="auto"/>
          <w:szCs w:val="21"/>
          <w:highlight w:val="none"/>
          <w:u w:val="single"/>
        </w:rPr>
        <w:t>：</w:t>
      </w:r>
      <w:bookmarkStart w:id="404" w:name="EBdd165c1919464cd0b5aa882bfe482a50"/>
      <w:r>
        <w:rPr>
          <w:rFonts w:hint="eastAsia" w:ascii="宋体" w:hAnsi="宋体" w:eastAsia="宋体" w:cs="宋体"/>
          <w:color w:val="auto"/>
          <w:szCs w:val="21"/>
          <w:highlight w:val="none"/>
          <w:u w:val="single"/>
        </w:rPr>
        <w:t>在工程未交付使用前，已完工程成品保护由承包人负责保护，在保护期间若发生损坏由承包人自费予以修复。除发包人或发包人代表有书面意见指示承包人采取特殊措施保护的工程部位费用属于发包人，其他对未交付的已完工程，承包人应承担管理费用</w:t>
      </w:r>
      <w:bookmarkEnd w:id="404"/>
      <w:r>
        <w:rPr>
          <w:rFonts w:hint="eastAsia" w:ascii="宋体" w:hAnsi="宋体" w:eastAsia="宋体" w:cs="宋体"/>
          <w:color w:val="auto"/>
          <w:szCs w:val="21"/>
          <w:highlight w:val="none"/>
        </w:rPr>
        <w:t>。</w:t>
      </w:r>
    </w:p>
    <w:p w14:paraId="6A823CC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14:paraId="04485BA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cs="宋体"/>
          <w:color w:val="auto"/>
          <w:szCs w:val="21"/>
          <w:highlight w:val="none"/>
          <w:u w:val="single"/>
          <w:lang w:eastAsia="zh-CN"/>
        </w:rPr>
        <w:t>是</w:t>
      </w:r>
      <w:r>
        <w:rPr>
          <w:rFonts w:hint="eastAsia" w:ascii="宋体" w:hAnsi="宋体" w:eastAsia="宋体" w:cs="宋体"/>
          <w:color w:val="auto"/>
          <w:szCs w:val="21"/>
          <w:highlight w:val="none"/>
        </w:rPr>
        <w:t>。</w:t>
      </w:r>
    </w:p>
    <w:p w14:paraId="4E1CE58E">
      <w:pPr>
        <w:pageBreakBefore w:val="0"/>
        <w:widowControl w:val="0"/>
        <w:spacing w:line="40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承包人提供履约担保的形式、金额及期限的履约担保的形式：</w:t>
      </w:r>
      <w:r>
        <w:rPr>
          <w:rFonts w:hint="eastAsia" w:ascii="宋体" w:hAnsi="宋体" w:eastAsia="宋体" w:cs="宋体"/>
          <w:color w:val="auto"/>
          <w:szCs w:val="21"/>
          <w:highlight w:val="none"/>
          <w:u w:val="single"/>
          <w:lang w:eastAsia="zh-CN"/>
        </w:rPr>
        <w:t>可以支票、汇票、本票、保函、保险保单等非现金形式缴纳或提交</w:t>
      </w:r>
      <w:r>
        <w:rPr>
          <w:rFonts w:hint="eastAsia" w:ascii="宋体" w:hAnsi="宋体" w:eastAsia="宋体" w:cs="宋体"/>
          <w:color w:val="auto"/>
          <w:szCs w:val="21"/>
          <w:highlight w:val="none"/>
          <w:lang w:eastAsia="zh-CN"/>
        </w:rPr>
        <w:t>；</w:t>
      </w:r>
    </w:p>
    <w:p w14:paraId="06547783">
      <w:pPr>
        <w:pageBreakBefore w:val="0"/>
        <w:widowControl w:val="0"/>
        <w:spacing w:line="40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金额：</w:t>
      </w:r>
      <w:r>
        <w:rPr>
          <w:rFonts w:hint="eastAsia" w:ascii="宋体" w:hAnsi="宋体" w:eastAsia="宋体" w:cs="宋体"/>
          <w:color w:val="auto"/>
          <w:szCs w:val="21"/>
          <w:highlight w:val="none"/>
          <w:u w:val="single"/>
          <w:lang w:eastAsia="zh-CN"/>
        </w:rPr>
        <w:t>合同金额的10%</w:t>
      </w:r>
      <w:r>
        <w:rPr>
          <w:rFonts w:hint="eastAsia" w:ascii="宋体" w:hAnsi="宋体" w:eastAsia="宋体" w:cs="宋体"/>
          <w:color w:val="auto"/>
          <w:szCs w:val="21"/>
          <w:highlight w:val="none"/>
          <w:lang w:eastAsia="zh-CN"/>
        </w:rPr>
        <w:t>；</w:t>
      </w:r>
    </w:p>
    <w:p w14:paraId="5BCB03A5">
      <w:pPr>
        <w:pageBreakBefore w:val="0"/>
        <w:widowControl w:val="0"/>
        <w:spacing w:line="400" w:lineRule="exact"/>
        <w:ind w:firstLine="42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期限：</w:t>
      </w:r>
      <w:r>
        <w:rPr>
          <w:rFonts w:hint="eastAsia" w:ascii="宋体" w:hAnsi="宋体" w:eastAsia="宋体" w:cs="宋体"/>
          <w:color w:val="auto"/>
          <w:szCs w:val="21"/>
          <w:highlight w:val="none"/>
          <w:u w:val="single"/>
          <w:lang w:eastAsia="zh-CN"/>
        </w:rPr>
        <w:t>承包人应当在签订工程施工合同前向发包人提供，工程竣工验收合格后无息退还；</w:t>
      </w:r>
    </w:p>
    <w:p w14:paraId="289AF498">
      <w:pPr>
        <w:pageBreakBefore w:val="0"/>
        <w:widowControl w:val="0"/>
        <w:spacing w:line="40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u w:val="single"/>
          <w:lang w:eastAsia="zh-CN"/>
        </w:rPr>
        <w:t>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rPr>
          <w:rFonts w:hint="eastAsia" w:ascii="宋体" w:hAnsi="宋体" w:eastAsia="宋体" w:cs="宋体"/>
          <w:color w:val="auto"/>
          <w:szCs w:val="21"/>
          <w:highlight w:val="none"/>
          <w:lang w:eastAsia="zh-CN"/>
        </w:rPr>
        <w:t>。</w:t>
      </w:r>
    </w:p>
    <w:p w14:paraId="4DA7B573">
      <w:pPr>
        <w:pageBreakBefore w:val="0"/>
        <w:widowControl w:val="0"/>
        <w:spacing w:line="400" w:lineRule="exact"/>
        <w:ind w:firstLine="420"/>
        <w:rPr>
          <w:rFonts w:hint="eastAsia" w:ascii="宋体" w:hAnsi="宋体" w:eastAsia="宋体" w:cs="宋体"/>
          <w:b w:val="0"/>
          <w:color w:val="auto"/>
          <w:sz w:val="21"/>
          <w:szCs w:val="21"/>
          <w:highlight w:val="none"/>
        </w:rPr>
      </w:pPr>
      <w:r>
        <w:rPr>
          <w:rFonts w:hint="eastAsia" w:ascii="宋体" w:hAnsi="宋体" w:eastAsia="宋体" w:cs="宋体"/>
          <w:color w:val="auto"/>
          <w:szCs w:val="21"/>
          <w:highlight w:val="none"/>
        </w:rPr>
        <w:t>4. 监理</w:t>
      </w:r>
      <w:r>
        <w:rPr>
          <w:rFonts w:hint="eastAsia" w:ascii="宋体" w:hAnsi="宋体" w:eastAsia="宋体" w:cs="宋体"/>
          <w:b w:val="0"/>
          <w:color w:val="auto"/>
          <w:sz w:val="21"/>
          <w:szCs w:val="21"/>
          <w:highlight w:val="none"/>
        </w:rPr>
        <w:t>人</w:t>
      </w:r>
    </w:p>
    <w:p w14:paraId="49A151E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4.1监理人的一般规定</w:t>
      </w:r>
    </w:p>
    <w:p w14:paraId="55AF6C9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bookmarkStart w:id="405" w:name="EB80dcb35eba424728a3877b3155374a38"/>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rPr>
        <w:t>工程施工及保修阶段全过程的监理咨询服务</w:t>
      </w:r>
      <w:bookmarkEnd w:id="405"/>
      <w:r>
        <w:rPr>
          <w:rFonts w:hint="eastAsia" w:ascii="宋体" w:hAnsi="宋体" w:eastAsia="宋体" w:cs="宋体"/>
          <w:color w:val="auto"/>
          <w:szCs w:val="21"/>
          <w:highlight w:val="none"/>
          <w:u w:val="single"/>
        </w:rPr>
        <w:t>。</w:t>
      </w:r>
    </w:p>
    <w:p w14:paraId="4BE5E74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关于监理人的监理权限</w:t>
      </w:r>
    </w:p>
    <w:p w14:paraId="575306FA">
      <w:pPr>
        <w:pageBreakBefore w:val="0"/>
        <w:widowControl w:val="0"/>
        <w:spacing w:line="400" w:lineRule="exact"/>
        <w:ind w:firstLine="420"/>
        <w:rPr>
          <w:rFonts w:hint="eastAsia" w:ascii="宋体" w:hAnsi="宋体" w:eastAsia="宋体" w:cs="宋体"/>
          <w:color w:val="auto"/>
          <w:szCs w:val="21"/>
          <w:highlight w:val="none"/>
          <w:u w:val="single"/>
        </w:rPr>
      </w:pPr>
      <w:bookmarkStart w:id="406" w:name="EBc88039e858954015add2305399752bca"/>
      <w:r>
        <w:rPr>
          <w:rFonts w:hint="eastAsia" w:ascii="宋体" w:hAnsi="宋体" w:eastAsia="宋体" w:cs="宋体"/>
          <w:color w:val="auto"/>
          <w:szCs w:val="21"/>
          <w:highlight w:val="none"/>
          <w:u w:val="single"/>
        </w:rPr>
        <w:t>（1）收到工程设计文件后编制监理规划，并在第一次工地会议</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天前报发包人。根据有关规定和监理工作需要，编制监理实施细则；</w:t>
      </w:r>
    </w:p>
    <w:p w14:paraId="5417519A">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（2）熟悉工程设计文件，并参加由委托人主持的图纸会审和设计交底会议；</w:t>
      </w:r>
    </w:p>
    <w:p w14:paraId="554F8A3E">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（3）参加由委托人主持的第一次工地会议；主持监理例会并根据工程需要主持或参加专题会议；</w:t>
      </w:r>
    </w:p>
    <w:p w14:paraId="102898FC">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（4）审查承包人提交的施工组织设计，重点审查其中的质量安全技术措施、专项施工方案与工程建设强制性标准的符合性；</w:t>
      </w:r>
    </w:p>
    <w:p w14:paraId="34BF04D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（5）检查承包人工程质量、安全生产管理制度及组织机构和人员资格；</w:t>
      </w:r>
    </w:p>
    <w:p w14:paraId="79B4D5A1">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（6）检查承包人专职安全生产管理人员的配备情况；</w:t>
      </w:r>
    </w:p>
    <w:p w14:paraId="322B8EA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（7）审查承包人提交的施工进度计划，核查承包人对施工进度计划的调整；</w:t>
      </w:r>
    </w:p>
    <w:p w14:paraId="4B43976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（8）检查承包人的试验室；</w:t>
      </w:r>
    </w:p>
    <w:p w14:paraId="3F5E181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（9）审核分包人资质条件；</w:t>
      </w:r>
    </w:p>
    <w:p w14:paraId="54B48D9C">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（10）查验承包人的施工测量放线成果；</w:t>
      </w:r>
    </w:p>
    <w:p w14:paraId="1FD92A4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（11）审查工程开工条件，对条件具备的签发开工令；</w:t>
      </w:r>
    </w:p>
    <w:p w14:paraId="1393A24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（12）审查承包人报送的工程材料、构配件、设备质量证明文件的有效性和符合性，并按规定对用于工程的材料采取平行检验或见证取样方式进行抽检；</w:t>
      </w:r>
    </w:p>
    <w:p w14:paraId="0765ECD4">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（13）审查承包人提交的工程款支付申请，并报委托人审核、批准；</w:t>
      </w:r>
    </w:p>
    <w:p w14:paraId="1871E021">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（14）在巡视、旁站和检验过程中，发现工程质量、施工安全存在事故隐患的，要求承包人整改并报委托人；</w:t>
      </w:r>
    </w:p>
    <w:p w14:paraId="2DA2BB6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（15）经委托人同意，签发工程暂停令和复工令；</w:t>
      </w:r>
    </w:p>
    <w:p w14:paraId="16C15E5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（16）审查承包人提交的采用新材料、新工艺、新技术、新设备的论证材料及相关验收标准；</w:t>
      </w:r>
    </w:p>
    <w:p w14:paraId="022DC3B5">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（17）验收隐蔽工程、分部分项工程；</w:t>
      </w:r>
    </w:p>
    <w:p w14:paraId="13C2BD3B">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（18）审查承包人提交的工程变更申请，协调处理施工进度调整、费用索赔、合同争议等事项；</w:t>
      </w:r>
    </w:p>
    <w:p w14:paraId="7B35DE8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（19）审查承包人提交的竣工验收申请，编写工程质量评估报告；</w:t>
      </w:r>
    </w:p>
    <w:p w14:paraId="0E42636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（20）参加工程竣工验收，签署竣工验收意见；</w:t>
      </w:r>
    </w:p>
    <w:p w14:paraId="3C49AF0F">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（21）审查承包人提交的竣工结算申请并报委托人；</w:t>
      </w:r>
    </w:p>
    <w:p w14:paraId="75598CB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（22）编制、整理工程监理归档文件并报委托人</w:t>
      </w:r>
      <w:bookmarkEnd w:id="406"/>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 xml:space="preserve"> </w:t>
      </w:r>
    </w:p>
    <w:p w14:paraId="32A79D46">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bookmarkStart w:id="407" w:name="EBf6d642cc6bcf40bea7438968b4a4c949"/>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u w:val="single"/>
        </w:rPr>
        <w:t>由监理人自行承担</w:t>
      </w:r>
      <w:bookmarkEnd w:id="407"/>
      <w:r>
        <w:rPr>
          <w:rFonts w:hint="eastAsia" w:ascii="宋体" w:hAnsi="宋体" w:eastAsia="宋体" w:cs="宋体"/>
          <w:color w:val="auto"/>
          <w:szCs w:val="21"/>
          <w:highlight w:val="none"/>
        </w:rPr>
        <w:t>。</w:t>
      </w:r>
    </w:p>
    <w:p w14:paraId="2F74E6D9">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监理人员</w:t>
      </w:r>
    </w:p>
    <w:p w14:paraId="186DDA5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7CDE11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bookmarkStart w:id="408" w:name="EB3d72000623354a08a31ae2da120a50c4"/>
      <w:bookmarkEnd w:id="408"/>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4C2EFBF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bookmarkStart w:id="409" w:name="EB801565143b6f495484fc10288fce1629"/>
      <w:bookmarkEnd w:id="409"/>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351520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bookmarkStart w:id="410" w:name="EB4bbb437b47dd4a5ebb682f85ee576820"/>
      <w:bookmarkEnd w:id="410"/>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40DCF07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bookmarkStart w:id="411" w:name="EBebedad41c0a74a489924310ddf39653d"/>
      <w:bookmarkEnd w:id="411"/>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296E922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bookmarkStart w:id="412" w:name="EBef4d281b43854417abf6b139d77e998d"/>
      <w:bookmarkEnd w:id="412"/>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B8DC15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bookmarkStart w:id="413" w:name="EB338bb639291745db8cf5ae7e7bd52445"/>
      <w:bookmarkEnd w:id="413"/>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CB9B9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bookmarkStart w:id="414" w:name="EB05ba2c140bbe4509beaa2a207568453a"/>
      <w:r>
        <w:rPr>
          <w:rFonts w:hint="eastAsia" w:ascii="宋体" w:hAnsi="宋体" w:eastAsia="宋体" w:cs="宋体"/>
          <w:color w:val="auto"/>
          <w:szCs w:val="21"/>
          <w:highlight w:val="none"/>
          <w:u w:val="single"/>
        </w:rPr>
        <w:t>执行本工程监理合同</w:t>
      </w:r>
      <w:bookmarkEnd w:id="414"/>
      <w:r>
        <w:rPr>
          <w:rFonts w:hint="eastAsia" w:ascii="宋体" w:hAnsi="宋体" w:eastAsia="宋体" w:cs="宋体"/>
          <w:color w:val="auto"/>
          <w:szCs w:val="21"/>
          <w:highlight w:val="none"/>
        </w:rPr>
        <w:t>。</w:t>
      </w:r>
    </w:p>
    <w:p w14:paraId="4594EBA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4.4 商定或确定</w:t>
      </w:r>
    </w:p>
    <w:p w14:paraId="08909C49">
      <w:pPr>
        <w:pageBreakBefore w:val="0"/>
        <w:widowControl w:val="0"/>
        <w:spacing w:line="40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在发包人和承包人不能通过协商达成一致意见时，发包人授权监理人对以下事项进行确定：</w:t>
      </w:r>
      <w:r>
        <w:rPr>
          <w:rFonts w:hint="eastAsia" w:ascii="宋体" w:hAnsi="宋体" w:cs="宋体"/>
          <w:color w:val="auto"/>
          <w:szCs w:val="21"/>
          <w:highlight w:val="none"/>
          <w:u w:val="single"/>
          <w:lang w:val="en-US" w:eastAsia="zh-CN"/>
        </w:rPr>
        <w:t>/</w:t>
      </w:r>
    </w:p>
    <w:p w14:paraId="34B8BE41">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 工程质量</w:t>
      </w:r>
    </w:p>
    <w:p w14:paraId="2A55315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质量要求</w:t>
      </w:r>
    </w:p>
    <w:p w14:paraId="527FAEB1">
      <w:pPr>
        <w:keepNext w:val="0"/>
        <w:keepLines w:val="0"/>
        <w:pageBreakBefore w:val="0"/>
        <w:widowControl w:val="0"/>
        <w:spacing w:line="400" w:lineRule="exact"/>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5.1.1 特殊质量标准和要求：</w:t>
      </w:r>
      <w:bookmarkStart w:id="415" w:name="EBab7a53bd7d2f4416a1498132d95e9cbd"/>
      <w:r>
        <w:rPr>
          <w:rFonts w:hint="eastAsia" w:ascii="宋体" w:hAnsi="宋体" w:eastAsia="宋体" w:cs="宋体"/>
          <w:color w:val="auto"/>
          <w:szCs w:val="21"/>
          <w:highlight w:val="none"/>
          <w:u w:val="single"/>
        </w:rPr>
        <w:t>符合国家现行有关工程施工质量验收规范和标准的要求，达到合格标准</w:t>
      </w:r>
      <w:bookmarkEnd w:id="415"/>
      <w:r>
        <w:rPr>
          <w:rFonts w:hint="eastAsia" w:ascii="宋体" w:hAnsi="宋体" w:eastAsia="宋体" w:cs="宋体"/>
          <w:color w:val="auto"/>
          <w:szCs w:val="21"/>
          <w:highlight w:val="none"/>
        </w:rPr>
        <w:t>。</w:t>
      </w:r>
    </w:p>
    <w:p w14:paraId="302782E9">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关于工程奖项的约定：</w:t>
      </w:r>
      <w:bookmarkStart w:id="416" w:name="EB635f7c5b084240c181534c61640b47e7"/>
      <w:r>
        <w:rPr>
          <w:rFonts w:hint="eastAsia" w:ascii="宋体" w:hAnsi="宋体" w:eastAsia="宋体" w:cs="宋体"/>
          <w:color w:val="auto"/>
          <w:szCs w:val="21"/>
          <w:highlight w:val="none"/>
          <w:u w:val="single"/>
        </w:rPr>
        <w:t>合同约定不做工程获奖目标等级要求，如本项目承包人申请获奖并取得奖项，发包人不支付优质工程增加费，产生的相关费用均由承包人自行承担</w:t>
      </w:r>
      <w:bookmarkEnd w:id="416"/>
      <w:r>
        <w:rPr>
          <w:rFonts w:hint="eastAsia" w:ascii="宋体" w:hAnsi="宋体" w:eastAsia="宋体" w:cs="宋体"/>
          <w:color w:val="auto"/>
          <w:szCs w:val="21"/>
          <w:highlight w:val="none"/>
        </w:rPr>
        <w:t>。</w:t>
      </w:r>
    </w:p>
    <w:p w14:paraId="5AFA66F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隐蔽工程检查</w:t>
      </w:r>
    </w:p>
    <w:p w14:paraId="3429E1C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5.3.2承包人提前通知监理人隐蔽工程检查的期限的约定：</w:t>
      </w:r>
      <w:bookmarkStart w:id="417" w:name="EB1aa61166ec044fa5a8109ac5aaab919e"/>
      <w:r>
        <w:rPr>
          <w:rFonts w:hint="eastAsia" w:ascii="宋体" w:hAnsi="宋体" w:eastAsia="宋体" w:cs="宋体"/>
          <w:color w:val="auto"/>
          <w:szCs w:val="21"/>
          <w:highlight w:val="none"/>
          <w:u w:val="single"/>
        </w:rPr>
        <w:t>共同检查前48小时书面通知监理人</w:t>
      </w:r>
      <w:bookmarkEnd w:id="417"/>
      <w:r>
        <w:rPr>
          <w:rFonts w:hint="eastAsia" w:ascii="宋体" w:hAnsi="宋体" w:eastAsia="宋体" w:cs="宋体"/>
          <w:color w:val="auto"/>
          <w:szCs w:val="21"/>
          <w:highlight w:val="none"/>
        </w:rPr>
        <w:t>。</w:t>
      </w:r>
    </w:p>
    <w:p w14:paraId="598C41C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w:t>
      </w:r>
      <w:bookmarkStart w:id="418" w:name="EB12a4f0fa1d324833b65530d60384a028"/>
      <w:r>
        <w:rPr>
          <w:rFonts w:hint="eastAsia" w:ascii="宋体" w:hAnsi="宋体" w:eastAsia="宋体" w:cs="宋体"/>
          <w:color w:val="auto"/>
          <w:szCs w:val="21"/>
          <w:highlight w:val="none"/>
          <w:u w:val="single"/>
        </w:rPr>
        <w:t>24</w:t>
      </w:r>
      <w:bookmarkEnd w:id="418"/>
      <w:r>
        <w:rPr>
          <w:rFonts w:hint="eastAsia" w:ascii="宋体" w:hAnsi="宋体" w:eastAsia="宋体" w:cs="宋体"/>
          <w:color w:val="auto"/>
          <w:szCs w:val="21"/>
          <w:highlight w:val="none"/>
        </w:rPr>
        <w:t>小时提交书面延期要求。</w:t>
      </w:r>
    </w:p>
    <w:p w14:paraId="750EED9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bookmarkStart w:id="419" w:name="EB5b8c7675c75f4330a9be2b9b7213d6c2"/>
      <w:r>
        <w:rPr>
          <w:rFonts w:hint="eastAsia" w:ascii="宋体" w:hAnsi="宋体" w:eastAsia="宋体" w:cs="宋体"/>
          <w:color w:val="auto"/>
          <w:szCs w:val="21"/>
          <w:highlight w:val="none"/>
          <w:u w:val="single"/>
        </w:rPr>
        <w:t>48</w:t>
      </w:r>
      <w:bookmarkEnd w:id="419"/>
      <w:r>
        <w:rPr>
          <w:rFonts w:hint="eastAsia" w:ascii="宋体" w:hAnsi="宋体" w:eastAsia="宋体" w:cs="宋体"/>
          <w:color w:val="auto"/>
          <w:szCs w:val="21"/>
          <w:highlight w:val="none"/>
        </w:rPr>
        <w:t>小时。</w:t>
      </w:r>
    </w:p>
    <w:p w14:paraId="69729141">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 安全文明施工与环境保护</w:t>
      </w:r>
    </w:p>
    <w:p w14:paraId="0507FB5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6.1安全文明施工</w:t>
      </w:r>
    </w:p>
    <w:p w14:paraId="2417534C">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 项目安全生产的达标目标及相应事项的约定：</w:t>
      </w:r>
      <w:bookmarkStart w:id="420" w:name="EB6e67bc6c1b0941b7ad85815e60a85933"/>
      <w:r>
        <w:rPr>
          <w:rFonts w:hint="eastAsia" w:ascii="宋体" w:hAnsi="宋体" w:eastAsia="宋体" w:cs="宋体"/>
          <w:color w:val="auto"/>
          <w:szCs w:val="21"/>
          <w:highlight w:val="none"/>
          <w:u w:val="single"/>
        </w:rPr>
        <w:t>除执行通用条款外6.1.1，本工程严禁发生任何安全生产事故，若发生事故由承包人承担责任及费用，如发生人员伤亡事故或重大安全事故处导致人员重伤扣除工程款5万元/次/人，导致人员死亡扣除工程款10万元/次/人</w:t>
      </w:r>
      <w:bookmarkEnd w:id="420"/>
      <w:r>
        <w:rPr>
          <w:rFonts w:hint="eastAsia" w:ascii="宋体" w:hAnsi="宋体" w:eastAsia="宋体" w:cs="宋体"/>
          <w:color w:val="auto"/>
          <w:szCs w:val="21"/>
          <w:highlight w:val="none"/>
        </w:rPr>
        <w:t>。</w:t>
      </w:r>
    </w:p>
    <w:p w14:paraId="33D26AD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 关于治安保卫的特别约定：</w:t>
      </w:r>
    </w:p>
    <w:p w14:paraId="6914CFA8">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bookmarkStart w:id="421" w:name="EB507c3441b4fd495fbe84449ddcef625a"/>
      <w:r>
        <w:rPr>
          <w:rFonts w:hint="eastAsia" w:ascii="宋体" w:hAnsi="宋体" w:eastAsia="宋体" w:cs="宋体"/>
          <w:color w:val="auto"/>
          <w:szCs w:val="21"/>
          <w:highlight w:val="none"/>
          <w:u w:val="single"/>
        </w:rPr>
        <w:t>1、现场有明显的围护、护栏、安全施工标牌、标语、警示灯，安全警示标志必须符合国家标准；</w:t>
      </w:r>
    </w:p>
    <w:p w14:paraId="0E7E7555">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2、承包人管理、施工人员必须配置安全帽、明显的安全标志等；</w:t>
      </w:r>
    </w:p>
    <w:p w14:paraId="40C75C34">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3、现场有专门的保卫和值班人员，并坚持昼夜巡视；</w:t>
      </w:r>
    </w:p>
    <w:p w14:paraId="44CE534A">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4、如发生安全事故，责任一概由承包人承担</w:t>
      </w:r>
      <w:bookmarkEnd w:id="421"/>
      <w:r>
        <w:rPr>
          <w:rFonts w:hint="eastAsia" w:ascii="宋体" w:hAnsi="宋体" w:eastAsia="宋体" w:cs="宋体"/>
          <w:color w:val="auto"/>
          <w:szCs w:val="21"/>
          <w:highlight w:val="none"/>
          <w:u w:val="single"/>
        </w:rPr>
        <w:t>。</w:t>
      </w:r>
    </w:p>
    <w:p w14:paraId="6727CD4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关于编制施工场地治安管理计划的约定：</w:t>
      </w:r>
      <w:bookmarkStart w:id="422" w:name="EB4317f825c212487985149f85449e4373"/>
      <w:r>
        <w:rPr>
          <w:rFonts w:hint="eastAsia" w:ascii="宋体" w:hAnsi="宋体" w:eastAsia="宋体" w:cs="宋体"/>
          <w:color w:val="auto"/>
          <w:szCs w:val="21"/>
          <w:highlight w:val="none"/>
          <w:u w:val="single"/>
        </w:rPr>
        <w:t>开工前提供施工场地治安管理计划</w:t>
      </w:r>
      <w:bookmarkEnd w:id="422"/>
      <w:r>
        <w:rPr>
          <w:rFonts w:hint="eastAsia" w:ascii="宋体" w:hAnsi="宋体" w:eastAsia="宋体" w:cs="宋体"/>
          <w:color w:val="auto"/>
          <w:szCs w:val="21"/>
          <w:highlight w:val="none"/>
        </w:rPr>
        <w:t>。</w:t>
      </w:r>
    </w:p>
    <w:p w14:paraId="147876BD">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 文明施工</w:t>
      </w:r>
    </w:p>
    <w:p w14:paraId="10AF9A1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合同当事人对文明施工的要求：</w:t>
      </w:r>
      <w:bookmarkStart w:id="423" w:name="EB3d73b8b4a32d4c4d9fbfb7a1a0825051"/>
      <w:r>
        <w:rPr>
          <w:rFonts w:hint="eastAsia" w:ascii="宋体" w:hAnsi="宋体" w:eastAsia="宋体" w:cs="宋体"/>
          <w:color w:val="auto"/>
          <w:szCs w:val="21"/>
          <w:highlight w:val="none"/>
          <w:u w:val="single"/>
        </w:rPr>
        <w:t>达到《建筑施工安全检查标准》及当地相关标准并遵守发包人内部管理规定</w:t>
      </w:r>
      <w:bookmarkEnd w:id="423"/>
      <w:r>
        <w:rPr>
          <w:rFonts w:hint="eastAsia" w:ascii="宋体" w:hAnsi="宋体" w:eastAsia="宋体" w:cs="宋体"/>
          <w:color w:val="auto"/>
          <w:szCs w:val="21"/>
          <w:highlight w:val="none"/>
        </w:rPr>
        <w:t>。</w:t>
      </w:r>
    </w:p>
    <w:p w14:paraId="7CAEF79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 关于安全文明施工费支付比例和支付期限的约定：</w:t>
      </w:r>
      <w:r>
        <w:rPr>
          <w:rFonts w:hint="eastAsia" w:ascii="宋体" w:hAnsi="宋体" w:eastAsia="宋体" w:cs="宋体"/>
          <w:color w:val="auto"/>
          <w:szCs w:val="21"/>
          <w:highlight w:val="none"/>
          <w:u w:val="single"/>
        </w:rPr>
        <w:t>随工程款按工程量清单计价程序以中标费率支付</w:t>
      </w:r>
      <w:r>
        <w:rPr>
          <w:rFonts w:hint="eastAsia" w:ascii="宋体" w:hAnsi="宋体" w:eastAsia="宋体" w:cs="宋体"/>
          <w:color w:val="auto"/>
          <w:szCs w:val="21"/>
          <w:highlight w:val="none"/>
        </w:rPr>
        <w:t>。</w:t>
      </w:r>
    </w:p>
    <w:p w14:paraId="7C4A8B70">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 工期和进度</w:t>
      </w:r>
    </w:p>
    <w:p w14:paraId="3ECDB90D">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施工组织设计</w:t>
      </w:r>
    </w:p>
    <w:p w14:paraId="4258AB9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7.1.1 合同当事人约定的施工组织设计应包括的其他内容：</w:t>
      </w:r>
      <w:bookmarkStart w:id="424" w:name="EB11bbfed44473470f942908c4c51e081f"/>
      <w:r>
        <w:rPr>
          <w:rFonts w:hint="eastAsia" w:ascii="宋体" w:hAnsi="宋体" w:eastAsia="宋体" w:cs="宋体"/>
          <w:color w:val="auto"/>
          <w:szCs w:val="21"/>
          <w:highlight w:val="none"/>
          <w:u w:val="single"/>
        </w:rPr>
        <w:t>按招标文件约定，招标文件无约定的按通用条款或双方另行约定</w:t>
      </w:r>
      <w:bookmarkEnd w:id="424"/>
      <w:r>
        <w:rPr>
          <w:rFonts w:hint="eastAsia" w:ascii="宋体" w:hAnsi="宋体" w:eastAsia="宋体" w:cs="宋体"/>
          <w:color w:val="auto"/>
          <w:szCs w:val="21"/>
          <w:highlight w:val="none"/>
        </w:rPr>
        <w:t>。</w:t>
      </w:r>
    </w:p>
    <w:p w14:paraId="2A7CEC1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7.1.2 施工组织设计的提交和修改</w:t>
      </w:r>
    </w:p>
    <w:p w14:paraId="30E17DB5">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承包人提交详细施工组织设计的期限的约定：</w:t>
      </w:r>
      <w:bookmarkStart w:id="425" w:name="EBffddc3420bae4e12964a9fe235b8a442"/>
      <w:r>
        <w:rPr>
          <w:rFonts w:hint="eastAsia" w:ascii="宋体" w:hAnsi="宋体" w:eastAsia="宋体" w:cs="宋体"/>
          <w:color w:val="auto"/>
          <w:szCs w:val="21"/>
          <w:highlight w:val="none"/>
          <w:u w:val="single"/>
        </w:rPr>
        <w:t>承包人在发包人规定时间内提供本工程实施性施工组织设计和工程总进度计划。每周向监理和发包人提供下周进度计划。每周的工程实际进度与经确认的进度计划不符时，必须以书面形式上报监理、发包人，并按发包人的要求提出改进措施，经发包人确认同意后执行。因承包人的原因导致实际进度与进度计划不符，承包人无权就改进措施提出追加合同价款</w:t>
      </w:r>
      <w:bookmarkEnd w:id="425"/>
      <w:r>
        <w:rPr>
          <w:rFonts w:hint="eastAsia" w:ascii="宋体" w:hAnsi="宋体" w:eastAsia="宋体" w:cs="宋体"/>
          <w:color w:val="auto"/>
          <w:szCs w:val="21"/>
          <w:highlight w:val="none"/>
        </w:rPr>
        <w:t>。</w:t>
      </w:r>
    </w:p>
    <w:p w14:paraId="32FBE1BF">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bookmarkStart w:id="426" w:name="EB9f5c9bba0f1c4d9d99b7c8f9bdf6ab32"/>
      <w:r>
        <w:rPr>
          <w:rFonts w:hint="eastAsia" w:ascii="宋体" w:hAnsi="宋体" w:eastAsia="宋体" w:cs="宋体"/>
          <w:color w:val="auto"/>
          <w:szCs w:val="21"/>
          <w:highlight w:val="none"/>
          <w:u w:val="single"/>
        </w:rPr>
        <w:t>收到上述文件后</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日内予以确认</w:t>
      </w:r>
      <w:bookmarkEnd w:id="426"/>
      <w:r>
        <w:rPr>
          <w:rFonts w:hint="eastAsia" w:ascii="宋体" w:hAnsi="宋体" w:eastAsia="宋体" w:cs="宋体"/>
          <w:color w:val="auto"/>
          <w:szCs w:val="21"/>
          <w:highlight w:val="none"/>
        </w:rPr>
        <w:t>。</w:t>
      </w:r>
    </w:p>
    <w:p w14:paraId="070C8F4D">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施工进度计划</w:t>
      </w:r>
    </w:p>
    <w:p w14:paraId="262FDD09">
      <w:pPr>
        <w:pageBreakBefore w:val="0"/>
        <w:widowControl w:val="0"/>
        <w:spacing w:after="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 施工进度计划的修订</w:t>
      </w:r>
    </w:p>
    <w:p w14:paraId="2DC7D58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bookmarkStart w:id="427" w:name="EBad11476eeaf945a4bb48c806a0209a0c"/>
      <w:r>
        <w:rPr>
          <w:rFonts w:hint="eastAsia" w:ascii="宋体" w:hAnsi="宋体" w:eastAsia="宋体" w:cs="宋体"/>
          <w:color w:val="auto"/>
          <w:szCs w:val="21"/>
          <w:highlight w:val="none"/>
          <w:u w:val="single"/>
        </w:rPr>
        <w:t>收到修订的施工进度计划后</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日内</w:t>
      </w:r>
      <w:bookmarkEnd w:id="427"/>
      <w:r>
        <w:rPr>
          <w:rFonts w:hint="eastAsia" w:ascii="宋体" w:hAnsi="宋体" w:eastAsia="宋体" w:cs="宋体"/>
          <w:color w:val="auto"/>
          <w:szCs w:val="21"/>
          <w:highlight w:val="none"/>
        </w:rPr>
        <w:t>。</w:t>
      </w:r>
    </w:p>
    <w:p w14:paraId="7B25594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开工</w:t>
      </w:r>
    </w:p>
    <w:p w14:paraId="4F68FB7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 开工准备</w:t>
      </w:r>
    </w:p>
    <w:p w14:paraId="40F21A1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关于承包人提交工程开工报审表的期限：</w:t>
      </w:r>
      <w:bookmarkStart w:id="428" w:name="EBd93044158740452a9bb4f9453c428db9"/>
      <w:r>
        <w:rPr>
          <w:rFonts w:hint="eastAsia" w:ascii="宋体" w:hAnsi="宋体" w:eastAsia="宋体" w:cs="宋体"/>
          <w:color w:val="auto"/>
          <w:szCs w:val="21"/>
          <w:highlight w:val="none"/>
          <w:u w:val="single"/>
        </w:rPr>
        <w:t>开工前</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天</w:t>
      </w:r>
      <w:bookmarkEnd w:id="428"/>
      <w:r>
        <w:rPr>
          <w:rFonts w:hint="eastAsia" w:ascii="宋体" w:hAnsi="宋体" w:eastAsia="宋体" w:cs="宋体"/>
          <w:color w:val="auto"/>
          <w:szCs w:val="21"/>
          <w:highlight w:val="none"/>
        </w:rPr>
        <w:t>。</w:t>
      </w:r>
    </w:p>
    <w:p w14:paraId="02385DF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关于发包人应完成的其他开工准备工作及期限：</w:t>
      </w:r>
      <w:bookmarkStart w:id="429" w:name="EB49d66aa3d8564d79967fc77e177dc48a"/>
      <w:r>
        <w:rPr>
          <w:rFonts w:hint="eastAsia" w:ascii="宋体" w:hAnsi="宋体" w:eastAsia="宋体" w:cs="宋体"/>
          <w:color w:val="auto"/>
          <w:szCs w:val="21"/>
          <w:highlight w:val="none"/>
          <w:u w:val="single"/>
        </w:rPr>
        <w:t>开工前3天，如遇客观原因导致用地交付或行政审批手续滞后的，发包人可逐步完善相关准备工作，不视为发包人违约</w:t>
      </w:r>
      <w:bookmarkEnd w:id="429"/>
      <w:r>
        <w:rPr>
          <w:rFonts w:hint="eastAsia" w:ascii="宋体" w:hAnsi="宋体" w:eastAsia="宋体" w:cs="宋体"/>
          <w:color w:val="auto"/>
          <w:szCs w:val="21"/>
          <w:highlight w:val="none"/>
        </w:rPr>
        <w:t>。</w:t>
      </w:r>
    </w:p>
    <w:p w14:paraId="606DCFC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p>
    <w:p w14:paraId="4F4E8F6E">
      <w:pPr>
        <w:pageBreakBefore w:val="0"/>
        <w:widowControl w:val="0"/>
        <w:spacing w:line="400" w:lineRule="exact"/>
        <w:ind w:firstLine="420"/>
        <w:rPr>
          <w:rFonts w:hint="eastAsia" w:ascii="宋体" w:hAnsi="宋体" w:eastAsia="宋体" w:cs="宋体"/>
          <w:color w:val="auto"/>
          <w:szCs w:val="21"/>
          <w:highlight w:val="none"/>
          <w:u w:val="single"/>
        </w:rPr>
      </w:pPr>
      <w:bookmarkStart w:id="430" w:name="EB0b257a48844c416081d688a3cc2ef3a9"/>
      <w:r>
        <w:rPr>
          <w:rFonts w:hint="eastAsia" w:ascii="宋体" w:hAnsi="宋体" w:eastAsia="宋体" w:cs="宋体"/>
          <w:color w:val="auto"/>
          <w:szCs w:val="21"/>
          <w:highlight w:val="none"/>
          <w:u w:val="single"/>
        </w:rPr>
        <w:t>1、遵守政府有关部门对施工现场交通、施工噪音、环境保护和安全生产等管理规定，按规定办理有关手续，并承担由此发生的费用，包括因承包人责任造成的损失赔偿。取得的手续以书面形式通知发包人。</w:t>
      </w:r>
    </w:p>
    <w:p w14:paraId="016C9BEE">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承包人无条件配合发包人办理工程相关手续。</w:t>
      </w:r>
      <w:bookmarkEnd w:id="430"/>
    </w:p>
    <w:p w14:paraId="184336A8">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14:paraId="0D79AD8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bookmarkStart w:id="431" w:name="EBe09d4b8c7f1548b4b34f90e8b4259001"/>
      <w:r>
        <w:rPr>
          <w:rFonts w:hint="eastAsia" w:ascii="宋体" w:hAnsi="宋体" w:eastAsia="宋体" w:cs="宋体"/>
          <w:color w:val="auto"/>
          <w:szCs w:val="21"/>
          <w:highlight w:val="none"/>
          <w:u w:val="single"/>
        </w:rPr>
        <w:t>180</w:t>
      </w:r>
      <w:bookmarkEnd w:id="431"/>
      <w:r>
        <w:rPr>
          <w:rFonts w:hint="eastAsia" w:ascii="宋体" w:hAnsi="宋体" w:eastAsia="宋体" w:cs="宋体"/>
          <w:color w:val="auto"/>
          <w:szCs w:val="21"/>
          <w:highlight w:val="none"/>
        </w:rPr>
        <w:t>天内发出开工通知的，承包人有权提出价格调整要求，或者解除合同。</w:t>
      </w:r>
    </w:p>
    <w:p w14:paraId="559D9B68">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测量放线</w:t>
      </w:r>
    </w:p>
    <w:p w14:paraId="64A75266">
      <w:pPr>
        <w:pageBreakBefore w:val="0"/>
        <w:widowControl w:val="0"/>
        <w:spacing w:line="400" w:lineRule="exact"/>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bookmarkStart w:id="432" w:name="EB2161e5016ae3485d99d622dfea50f8c8"/>
      <w:r>
        <w:rPr>
          <w:rFonts w:hint="eastAsia" w:ascii="宋体" w:hAnsi="宋体" w:eastAsia="宋体" w:cs="宋体"/>
          <w:color w:val="auto"/>
          <w:szCs w:val="21"/>
          <w:highlight w:val="none"/>
          <w:u w:val="single"/>
        </w:rPr>
        <w:t>总监理工程师在开工前以书面形式到施工现场交验，并做好交验记录</w:t>
      </w:r>
      <w:bookmarkEnd w:id="432"/>
      <w:r>
        <w:rPr>
          <w:rFonts w:hint="eastAsia" w:ascii="宋体" w:hAnsi="宋体" w:eastAsia="宋体" w:cs="宋体"/>
          <w:color w:val="auto"/>
          <w:szCs w:val="21"/>
          <w:highlight w:val="none"/>
        </w:rPr>
        <w:t>。</w:t>
      </w:r>
    </w:p>
    <w:p w14:paraId="0A4039D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7.5 工期延误</w:t>
      </w:r>
    </w:p>
    <w:p w14:paraId="25D6C4C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 因发包人原因导致工期延误</w:t>
      </w:r>
    </w:p>
    <w:p w14:paraId="14C0AAE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（7）因发包人原因导致工期延误的其他情形：</w:t>
      </w:r>
      <w:bookmarkStart w:id="433" w:name="EB2d153101c980422d8e15a67f6f8b32cf"/>
      <w:r>
        <w:rPr>
          <w:rFonts w:hint="eastAsia" w:ascii="宋体" w:hAnsi="宋体" w:eastAsia="宋体" w:cs="宋体"/>
          <w:color w:val="auto"/>
          <w:szCs w:val="21"/>
          <w:highlight w:val="none"/>
          <w:u w:val="single"/>
        </w:rPr>
        <w:t>发包人原因引起的工期延误发包方应予以顺延工期，但不承担任何补偿责任工期延误的其他情形：非承包人原因引起的工期延误发包方应予以顺延工期，但不承担任何补偿责任</w:t>
      </w:r>
      <w:bookmarkEnd w:id="433"/>
      <w:r>
        <w:rPr>
          <w:rFonts w:hint="eastAsia" w:ascii="宋体" w:hAnsi="宋体" w:eastAsia="宋体" w:cs="宋体"/>
          <w:color w:val="auto"/>
          <w:szCs w:val="21"/>
          <w:highlight w:val="none"/>
        </w:rPr>
        <w:t>。</w:t>
      </w:r>
    </w:p>
    <w:p w14:paraId="24C41FC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 因承包人原因导致工期延误</w:t>
      </w:r>
    </w:p>
    <w:p w14:paraId="30680CE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因承包人原因造成工期延误，逾期竣工违约金的计算方法为：</w:t>
      </w:r>
      <w:bookmarkStart w:id="434" w:name="EB0f2d187be5504353b72782271aedb79c"/>
      <w:r>
        <w:rPr>
          <w:rFonts w:hint="eastAsia" w:ascii="宋体" w:hAnsi="宋体" w:eastAsia="宋体" w:cs="宋体"/>
          <w:color w:val="auto"/>
          <w:szCs w:val="21"/>
          <w:highlight w:val="none"/>
          <w:u w:val="single"/>
        </w:rPr>
        <w:t>每逾期一天按合同价款的千分之</w:t>
      </w:r>
      <w:r>
        <w:rPr>
          <w:rFonts w:hint="eastAsia" w:ascii="宋体" w:hAnsi="宋体" w:cs="宋体"/>
          <w:color w:val="auto"/>
          <w:szCs w:val="21"/>
          <w:highlight w:val="none"/>
          <w:u w:val="single"/>
          <w:lang w:eastAsia="zh-CN"/>
        </w:rPr>
        <w:t>一</w:t>
      </w:r>
      <w:r>
        <w:rPr>
          <w:rFonts w:hint="eastAsia" w:ascii="宋体" w:hAnsi="宋体" w:eastAsia="宋体" w:cs="宋体"/>
          <w:color w:val="auto"/>
          <w:szCs w:val="21"/>
          <w:highlight w:val="none"/>
          <w:u w:val="single"/>
        </w:rPr>
        <w:t>向发包人支付违约金，逾期超过</w:t>
      </w:r>
      <w:r>
        <w:rPr>
          <w:rFonts w:hint="eastAsia" w:ascii="宋体" w:hAnsi="宋体" w:cs="宋体"/>
          <w:color w:val="auto"/>
          <w:szCs w:val="21"/>
          <w:highlight w:val="none"/>
          <w:u w:val="single"/>
          <w:lang w:val="en-US" w:eastAsia="zh-CN"/>
        </w:rPr>
        <w:t>25</w:t>
      </w:r>
      <w:r>
        <w:rPr>
          <w:rFonts w:hint="eastAsia" w:ascii="宋体" w:hAnsi="宋体" w:eastAsia="宋体" w:cs="宋体"/>
          <w:color w:val="auto"/>
          <w:szCs w:val="21"/>
          <w:highlight w:val="none"/>
          <w:u w:val="single"/>
        </w:rPr>
        <w:t>天，发包人有权终止合同（已有工作量按已完成的实际工作量结算）</w:t>
      </w:r>
      <w:bookmarkEnd w:id="434"/>
      <w:r>
        <w:rPr>
          <w:rFonts w:hint="eastAsia" w:ascii="宋体" w:hAnsi="宋体" w:eastAsia="宋体" w:cs="宋体"/>
          <w:color w:val="auto"/>
          <w:szCs w:val="21"/>
          <w:highlight w:val="none"/>
        </w:rPr>
        <w:t>。</w:t>
      </w:r>
    </w:p>
    <w:p w14:paraId="1E2708B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因承包人原因造成工期延误，逾期竣工违约金的上限：</w:t>
      </w:r>
      <w:bookmarkStart w:id="435" w:name="EB661cc8cb377345b2928324a5e4cc8e9f"/>
      <w:r>
        <w:rPr>
          <w:rFonts w:hint="eastAsia" w:ascii="宋体" w:hAnsi="宋体" w:eastAsia="宋体" w:cs="宋体"/>
          <w:color w:val="auto"/>
          <w:szCs w:val="21"/>
          <w:highlight w:val="none"/>
          <w:u w:val="single"/>
        </w:rPr>
        <w:t>合同结算价的5%</w:t>
      </w:r>
      <w:bookmarkEnd w:id="435"/>
      <w:r>
        <w:rPr>
          <w:rFonts w:hint="eastAsia" w:ascii="宋体" w:hAnsi="宋体" w:eastAsia="宋体" w:cs="宋体"/>
          <w:color w:val="auto"/>
          <w:szCs w:val="21"/>
          <w:highlight w:val="none"/>
        </w:rPr>
        <w:t>。</w:t>
      </w:r>
    </w:p>
    <w:p w14:paraId="48C93A6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7.6 不利物质条件</w:t>
      </w:r>
    </w:p>
    <w:p w14:paraId="3974172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不利物质条件的其他情形和有关约定：</w:t>
      </w:r>
      <w:bookmarkStart w:id="436" w:name="EB35fa5063941641a8be92d6bb8a0fbec5"/>
      <w:r>
        <w:rPr>
          <w:rFonts w:hint="eastAsia" w:ascii="宋体" w:hAnsi="宋体" w:eastAsia="宋体" w:cs="宋体"/>
          <w:color w:val="auto"/>
          <w:szCs w:val="21"/>
          <w:highlight w:val="none"/>
          <w:u w:val="single"/>
        </w:rPr>
        <w:t>执行通用条款7.6</w:t>
      </w:r>
      <w:bookmarkEnd w:id="436"/>
      <w:r>
        <w:rPr>
          <w:rFonts w:hint="eastAsia" w:ascii="宋体" w:hAnsi="宋体" w:eastAsia="宋体" w:cs="宋体"/>
          <w:color w:val="auto"/>
          <w:szCs w:val="21"/>
          <w:highlight w:val="none"/>
        </w:rPr>
        <w:t>。</w:t>
      </w:r>
    </w:p>
    <w:p w14:paraId="76CFBD0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7.7异常恶劣的气候条件</w:t>
      </w:r>
    </w:p>
    <w:p w14:paraId="5268F1B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发包人和承包人同意以下情形视为异常恶劣的气候条件：</w:t>
      </w:r>
    </w:p>
    <w:p w14:paraId="2EF31B02">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w:t>
      </w:r>
      <w:bookmarkStart w:id="437" w:name="EBb7f2d92b33f24a51a688d5e157f561be"/>
      <w:r>
        <w:rPr>
          <w:rFonts w:hint="eastAsia" w:ascii="宋体" w:hAnsi="宋体" w:eastAsia="宋体" w:cs="宋体"/>
          <w:color w:val="auto"/>
          <w:szCs w:val="21"/>
          <w:highlight w:val="none"/>
          <w:u w:val="single"/>
        </w:rPr>
        <w:t>日降雨量大于300㎜的雨日超过1天</w:t>
      </w:r>
      <w:bookmarkEnd w:id="437"/>
      <w:r>
        <w:rPr>
          <w:rFonts w:hint="eastAsia" w:ascii="宋体" w:hAnsi="宋体" w:eastAsia="宋体" w:cs="宋体"/>
          <w:color w:val="auto"/>
          <w:szCs w:val="21"/>
          <w:highlight w:val="none"/>
          <w:u w:val="single"/>
        </w:rPr>
        <w:t>；</w:t>
      </w:r>
    </w:p>
    <w:p w14:paraId="5F67F821">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w:t>
      </w:r>
      <w:bookmarkStart w:id="438" w:name="EB86e700eee6744be39d839e599f78f506"/>
      <w:r>
        <w:rPr>
          <w:rFonts w:hint="eastAsia" w:ascii="宋体" w:hAnsi="宋体" w:eastAsia="宋体" w:cs="宋体"/>
          <w:color w:val="auto"/>
          <w:szCs w:val="21"/>
          <w:highlight w:val="none"/>
          <w:u w:val="single"/>
        </w:rPr>
        <w:t>风速大于32.7m/s的12级以上台风灾害</w:t>
      </w:r>
      <w:bookmarkEnd w:id="438"/>
      <w:r>
        <w:rPr>
          <w:rFonts w:hint="eastAsia" w:ascii="宋体" w:hAnsi="宋体" w:eastAsia="宋体" w:cs="宋体"/>
          <w:color w:val="auto"/>
          <w:szCs w:val="21"/>
          <w:highlight w:val="none"/>
          <w:u w:val="single"/>
        </w:rPr>
        <w:t>；</w:t>
      </w:r>
    </w:p>
    <w:p w14:paraId="041C25F5">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w:t>
      </w:r>
      <w:bookmarkStart w:id="439" w:name="EB975a5b9780494bc39073cd0ea1313252"/>
      <w:r>
        <w:rPr>
          <w:rFonts w:hint="eastAsia" w:ascii="宋体" w:hAnsi="宋体" w:eastAsia="宋体" w:cs="宋体"/>
          <w:color w:val="auto"/>
          <w:szCs w:val="21"/>
          <w:highlight w:val="none"/>
          <w:u w:val="single"/>
        </w:rPr>
        <w:t>日气温超过38℃的高温大于3天；</w:t>
      </w:r>
    </w:p>
    <w:p w14:paraId="046A7233">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（4）日气温低于-20℃的严寒大于3天；</w:t>
      </w:r>
    </w:p>
    <w:p w14:paraId="5AE480B4">
      <w:pPr>
        <w:pageBreakBefore w:val="0"/>
        <w:widowControl w:val="0"/>
        <w:spacing w:line="400" w:lineRule="exact"/>
        <w:ind w:firstLine="42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（5）日降雪量100mm及以上</w:t>
      </w:r>
      <w:r>
        <w:rPr>
          <w:rFonts w:hint="eastAsia" w:ascii="宋体" w:hAnsi="宋体" w:cs="宋体"/>
          <w:color w:val="auto"/>
          <w:szCs w:val="21"/>
          <w:highlight w:val="none"/>
          <w:u w:val="single"/>
          <w:lang w:eastAsia="zh-CN"/>
        </w:rPr>
        <w:t>。</w:t>
      </w:r>
    </w:p>
    <w:p w14:paraId="5ED43AC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上述气象资料从当地气象公布的市区气象为准，否则视为承包人可以预见的风险。除工期按情况予以顺延外，上述情况造成的措施、停工、损坏等费用的增加，均包含在合同价款中，不再另行支付及补偿</w:t>
      </w:r>
      <w:bookmarkEnd w:id="439"/>
      <w:r>
        <w:rPr>
          <w:rFonts w:hint="eastAsia" w:ascii="宋体" w:hAnsi="宋体" w:eastAsia="宋体" w:cs="宋体"/>
          <w:color w:val="auto"/>
          <w:szCs w:val="21"/>
          <w:highlight w:val="none"/>
        </w:rPr>
        <w:t>。</w:t>
      </w:r>
    </w:p>
    <w:p w14:paraId="7CA1B24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7.9 提前竣工的奖励</w:t>
      </w:r>
    </w:p>
    <w:p w14:paraId="5051870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bookmarkStart w:id="440" w:name="EBcbbaf52047fd40178ce08851f20c853b"/>
      <w:r>
        <w:rPr>
          <w:rFonts w:hint="eastAsia" w:ascii="宋体" w:hAnsi="宋体" w:eastAsia="宋体" w:cs="宋体"/>
          <w:color w:val="auto"/>
          <w:szCs w:val="21"/>
          <w:highlight w:val="none"/>
          <w:u w:val="single"/>
        </w:rPr>
        <w:t>无</w:t>
      </w:r>
      <w:bookmarkEnd w:id="440"/>
      <w:r>
        <w:rPr>
          <w:rFonts w:hint="eastAsia" w:ascii="宋体" w:hAnsi="宋体" w:eastAsia="宋体" w:cs="宋体"/>
          <w:color w:val="auto"/>
          <w:szCs w:val="21"/>
          <w:highlight w:val="none"/>
        </w:rPr>
        <w:t>。</w:t>
      </w:r>
    </w:p>
    <w:p w14:paraId="51387661">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 材料与设备</w:t>
      </w:r>
    </w:p>
    <w:p w14:paraId="557D74C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8.4材料与工程设备的保管与使用</w:t>
      </w:r>
    </w:p>
    <w:p w14:paraId="790AD90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8.4.1发包人供应的材料设备的保管费用的承担：</w:t>
      </w:r>
      <w:bookmarkStart w:id="441" w:name="EB1ecccb44378d46ffba4587fa7c454a64"/>
      <w:r>
        <w:rPr>
          <w:rFonts w:hint="eastAsia" w:ascii="宋体" w:hAnsi="宋体" w:eastAsia="宋体" w:cs="宋体"/>
          <w:color w:val="auto"/>
          <w:szCs w:val="21"/>
          <w:highlight w:val="none"/>
          <w:u w:val="single"/>
        </w:rPr>
        <w:t>乙供材承包人负责并承担费用。甲供材按现行计价程序执行</w:t>
      </w:r>
      <w:bookmarkEnd w:id="441"/>
      <w:r>
        <w:rPr>
          <w:rFonts w:hint="eastAsia" w:ascii="宋体" w:hAnsi="宋体" w:eastAsia="宋体" w:cs="宋体"/>
          <w:color w:val="auto"/>
          <w:szCs w:val="21"/>
          <w:highlight w:val="none"/>
        </w:rPr>
        <w:t>。</w:t>
      </w:r>
    </w:p>
    <w:p w14:paraId="7D3F3970">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8.6 样品</w:t>
      </w:r>
    </w:p>
    <w:p w14:paraId="5EBC3E05">
      <w:pPr>
        <w:pageBreakBefore w:val="0"/>
        <w:widowControl w:val="0"/>
        <w:spacing w:after="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8.6.1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样品的报送与封存</w:t>
      </w:r>
    </w:p>
    <w:p w14:paraId="440535F2">
      <w:pPr>
        <w:pageBreakBefore w:val="0"/>
        <w:widowControl w:val="0"/>
        <w:spacing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需要承包人报送样品的材料或工程设备，样品的种类、名称、规格、数量要求：</w:t>
      </w:r>
      <w:bookmarkStart w:id="442" w:name="EB3854beee115046429c76b6ef4b00a737"/>
      <w:r>
        <w:rPr>
          <w:rFonts w:hint="eastAsia" w:ascii="宋体" w:hAnsi="宋体" w:eastAsia="宋体" w:cs="宋体"/>
          <w:color w:val="auto"/>
          <w:szCs w:val="21"/>
          <w:highlight w:val="none"/>
          <w:u w:val="single"/>
        </w:rPr>
        <w:t>承包人负责采购材料、工程设备的，应按照设计和有关标准要求采购，并提供产品合格证明及出厂证明，对材料、工程设备质量负责。承包人应在材料和工程设备到货前24小时通知监理人检验。承包人进行永久设备、材料的制造和生产，应符合相关质量标准，并向监理人提交材料的样本以及有关资料，并应在使用该材料或工程设备之前获得监理人同意</w:t>
      </w:r>
      <w:bookmarkEnd w:id="442"/>
      <w:r>
        <w:rPr>
          <w:rFonts w:hint="eastAsia" w:ascii="宋体" w:hAnsi="宋体" w:eastAsia="宋体" w:cs="宋体"/>
          <w:color w:val="auto"/>
          <w:szCs w:val="21"/>
          <w:highlight w:val="none"/>
        </w:rPr>
        <w:t>。</w:t>
      </w:r>
    </w:p>
    <w:p w14:paraId="61430D28">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8.8 施工设备和临时设施</w:t>
      </w:r>
    </w:p>
    <w:p w14:paraId="028A5576">
      <w:pPr>
        <w:pageBreakBefore w:val="0"/>
        <w:widowControl w:val="0"/>
        <w:spacing w:after="120" w:line="400" w:lineRule="exact"/>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 承包人提供的施工设备和临时设施：</w:t>
      </w:r>
    </w:p>
    <w:p w14:paraId="0171064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bookmarkStart w:id="443" w:name="EBcfb53d99705d4ddcbe9cf82eb3f5176f"/>
      <w:r>
        <w:rPr>
          <w:rFonts w:hint="eastAsia" w:ascii="宋体" w:hAnsi="宋体" w:eastAsia="宋体" w:cs="宋体"/>
          <w:color w:val="auto"/>
          <w:szCs w:val="21"/>
          <w:highlight w:val="none"/>
          <w:u w:val="single"/>
        </w:rPr>
        <w:t>由承包人承担，随工程款按工程量清单计价程序以中标费率支付</w:t>
      </w:r>
      <w:bookmarkEnd w:id="443"/>
      <w:r>
        <w:rPr>
          <w:rFonts w:hint="eastAsia" w:ascii="宋体" w:hAnsi="宋体" w:eastAsia="宋体" w:cs="宋体"/>
          <w:color w:val="auto"/>
          <w:szCs w:val="21"/>
          <w:highlight w:val="none"/>
        </w:rPr>
        <w:t>。</w:t>
      </w:r>
    </w:p>
    <w:p w14:paraId="12366D6C">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 试验与检验</w:t>
      </w:r>
    </w:p>
    <w:p w14:paraId="06E7666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9.1试验设备与试验人员</w:t>
      </w:r>
    </w:p>
    <w:p w14:paraId="523B5ED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9.1.2 试验设备</w:t>
      </w:r>
    </w:p>
    <w:p w14:paraId="18EEF5A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施工现场需要配置的试验设备：</w:t>
      </w:r>
      <w:r>
        <w:rPr>
          <w:rFonts w:hint="eastAsia" w:ascii="宋体" w:hAnsi="宋体" w:eastAsia="宋体" w:cs="宋体"/>
          <w:color w:val="auto"/>
          <w:szCs w:val="21"/>
          <w:highlight w:val="none"/>
          <w:u w:val="single"/>
        </w:rPr>
        <w:t>由承包人自行考虑，试验设备需经过检测并经有资质的检测单位完成校定</w:t>
      </w:r>
      <w:r>
        <w:rPr>
          <w:rFonts w:hint="eastAsia" w:ascii="宋体" w:hAnsi="宋体" w:eastAsia="宋体" w:cs="宋体"/>
          <w:color w:val="auto"/>
          <w:szCs w:val="21"/>
          <w:highlight w:val="none"/>
        </w:rPr>
        <w:t>。</w:t>
      </w:r>
    </w:p>
    <w:p w14:paraId="6901A1F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施工现场需要配备的取样装置：</w:t>
      </w:r>
      <w:r>
        <w:rPr>
          <w:rFonts w:hint="eastAsia" w:ascii="宋体" w:hAnsi="宋体" w:eastAsia="宋体" w:cs="宋体"/>
          <w:color w:val="auto"/>
          <w:szCs w:val="21"/>
          <w:highlight w:val="none"/>
          <w:u w:val="single"/>
        </w:rPr>
        <w:t>由承包人自行考虑，经监理见证下取样</w:t>
      </w:r>
      <w:r>
        <w:rPr>
          <w:rFonts w:hint="eastAsia" w:ascii="宋体" w:hAnsi="宋体" w:eastAsia="宋体" w:cs="宋体"/>
          <w:color w:val="auto"/>
          <w:szCs w:val="21"/>
          <w:highlight w:val="none"/>
        </w:rPr>
        <w:t>。</w:t>
      </w:r>
    </w:p>
    <w:p w14:paraId="222C293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施工现场需要配置的试验场所：</w:t>
      </w:r>
      <w:r>
        <w:rPr>
          <w:rFonts w:hint="eastAsia" w:ascii="宋体" w:hAnsi="宋体" w:eastAsia="宋体" w:cs="宋体"/>
          <w:color w:val="auto"/>
          <w:szCs w:val="21"/>
          <w:highlight w:val="none"/>
          <w:u w:val="single"/>
        </w:rPr>
        <w:t>由承包人自行考虑</w:t>
      </w:r>
      <w:r>
        <w:rPr>
          <w:rFonts w:hint="eastAsia" w:ascii="宋体" w:hAnsi="宋体" w:eastAsia="宋体" w:cs="宋体"/>
          <w:color w:val="auto"/>
          <w:szCs w:val="21"/>
          <w:highlight w:val="none"/>
        </w:rPr>
        <w:t>。</w:t>
      </w:r>
    </w:p>
    <w:p w14:paraId="33C8E738">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施工现场需要具备的其他试验条件：</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CBA3B4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 现场工艺试验 </w:t>
      </w:r>
    </w:p>
    <w:p w14:paraId="5F2D612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现场工艺试验的有关约定：</w:t>
      </w:r>
      <w:bookmarkStart w:id="444" w:name="EB44fef53c44624042a098c5330712c4dd"/>
      <w:r>
        <w:rPr>
          <w:rFonts w:hint="eastAsia" w:ascii="宋体" w:hAnsi="宋体" w:eastAsia="宋体" w:cs="宋体"/>
          <w:color w:val="auto"/>
          <w:szCs w:val="21"/>
          <w:highlight w:val="none"/>
          <w:u w:val="single"/>
        </w:rPr>
        <w:t>按工程质量和施工需要</w:t>
      </w:r>
      <w:bookmarkEnd w:id="444"/>
      <w:r>
        <w:rPr>
          <w:rFonts w:hint="eastAsia" w:ascii="宋体" w:hAnsi="宋体" w:eastAsia="宋体" w:cs="宋体"/>
          <w:color w:val="auto"/>
          <w:szCs w:val="21"/>
          <w:highlight w:val="none"/>
        </w:rPr>
        <w:t>。</w:t>
      </w:r>
    </w:p>
    <w:p w14:paraId="077F24F0">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10. 变更</w:t>
      </w:r>
    </w:p>
    <w:p w14:paraId="2137079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10.1变更的范围</w:t>
      </w:r>
    </w:p>
    <w:p w14:paraId="10D57CB2">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w:t>
      </w:r>
      <w:bookmarkStart w:id="445" w:name="EB3e3c391fddf84506a86e88183ca5517f"/>
    </w:p>
    <w:p w14:paraId="674579FE">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工程变更是指在建设过程中，因不可预见因素对建设地点、工程规模、技术标准、工程数量、结构形式等发生以下情形之一的调整和修改：</w:t>
      </w:r>
    </w:p>
    <w:p w14:paraId="610A0D16">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（一）施工阶段设计图纸的变更；</w:t>
      </w:r>
    </w:p>
    <w:p w14:paraId="567BC453">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（二）因项目建设单位原因造成施工方案调整且涉及工程造价调整；</w:t>
      </w:r>
    </w:p>
    <w:p w14:paraId="5C3F80F3">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（三）重要材料与设备的换用；</w:t>
      </w:r>
    </w:p>
    <w:p w14:paraId="62028713">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（四）施工现场地质条件等实际情况与勘察报告等技术资料不符引起的现场签证及变更； </w:t>
      </w:r>
    </w:p>
    <w:p w14:paraId="22F232A8">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（五）因清单工程量、单位、主要特征描述与设计图纸不符引起的造价调整；</w:t>
      </w:r>
    </w:p>
    <w:p w14:paraId="4EFF2A84">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（六）合同主要条款的修改或者合同主体的变更； </w:t>
      </w:r>
    </w:p>
    <w:p w14:paraId="59649430">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（七）其他导致工程价款调整的变更。</w:t>
      </w:r>
    </w:p>
    <w:p w14:paraId="6A0E829F">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因国家政策调整（包含但不限于质量强制标准、上位国土空间规划、建筑业税率及规费等）以及符合我市规定的人工及材料价差调整均不属于工程变更审核范围</w:t>
      </w:r>
      <w:bookmarkEnd w:id="445"/>
      <w:r>
        <w:rPr>
          <w:rFonts w:hint="eastAsia" w:ascii="宋体" w:hAnsi="宋体" w:eastAsia="宋体" w:cs="宋体"/>
          <w:color w:val="auto"/>
          <w:szCs w:val="21"/>
          <w:highlight w:val="none"/>
          <w:u w:val="none"/>
        </w:rPr>
        <w:t>。</w:t>
      </w:r>
    </w:p>
    <w:p w14:paraId="1CFAB23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 变更估价</w:t>
      </w:r>
    </w:p>
    <w:p w14:paraId="4A6BE49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 单价合同的变更估价原则</w:t>
      </w:r>
    </w:p>
    <w:p w14:paraId="7F309368">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关于变更估价的约定：因工程变更或工程量清单缺陷引起了分部分项工程清单数量增减未超过15%的，按下列规定确定综合单价并计价：</w:t>
      </w:r>
    </w:p>
    <w:p w14:paraId="0F49B9E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（1）相同施工条件下实施相同项目特征的清单项目，应采用相应的中标单价；</w:t>
      </w:r>
    </w:p>
    <w:p w14:paraId="5CB9BA5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（2）相同施工条件下实施类似项目特征的清单项目或类似施工条件下实施相同项目特征的清单项目，应依据工程实施情况结合类似清单项目的中标单价换算调整后确定；</w:t>
      </w:r>
    </w:p>
    <w:p w14:paraId="302328D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相同施工条件下实施不同项目特征的清单项目或不同施工条件下实施相同项目特征的清单项目或不同施工条件下实施不同项目特征的清单项目以及未超过公开招标限额的工程暂估价重新定价，当按照我省现行费用组成规则组价或参照同类项目设计概算、最高投标限价的形成的综合单价，应按本工程中标价与最高投标限价下浮比例同比下浮；但直接按施工时期市场询价、类似工程中标单价或结算单价以独立费形式确定不含税综合单价的除外。</w:t>
      </w:r>
    </w:p>
    <w:p w14:paraId="225BB695">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10.5承包人的合理化建议</w:t>
      </w:r>
    </w:p>
    <w:p w14:paraId="3CC216A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bookmarkStart w:id="446" w:name="EBaa6d9609e07c436a947a73ca8dfd351c"/>
      <w:r>
        <w:rPr>
          <w:rFonts w:hint="eastAsia" w:ascii="宋体" w:hAnsi="宋体" w:eastAsia="宋体" w:cs="宋体"/>
          <w:color w:val="auto"/>
          <w:szCs w:val="21"/>
          <w:highlight w:val="none"/>
          <w:u w:val="single"/>
        </w:rPr>
        <w:t>收到承包人提交的合理化建议后5天内审查完毕</w:t>
      </w:r>
      <w:bookmarkEnd w:id="446"/>
      <w:r>
        <w:rPr>
          <w:rFonts w:hint="eastAsia" w:ascii="宋体" w:hAnsi="宋体" w:eastAsia="宋体" w:cs="宋体"/>
          <w:color w:val="auto"/>
          <w:szCs w:val="21"/>
          <w:highlight w:val="none"/>
        </w:rPr>
        <w:t>。</w:t>
      </w:r>
    </w:p>
    <w:p w14:paraId="118EA98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bookmarkStart w:id="447" w:name="EB866c08ca4711411ebb74247200b4e575"/>
      <w:r>
        <w:rPr>
          <w:rFonts w:hint="eastAsia" w:ascii="宋体" w:hAnsi="宋体" w:eastAsia="宋体" w:cs="宋体"/>
          <w:color w:val="auto"/>
          <w:szCs w:val="21"/>
          <w:highlight w:val="none"/>
          <w:u w:val="single"/>
        </w:rPr>
        <w:t>收到监理人报送的合理化建议后5天内审批完毕</w:t>
      </w:r>
      <w:bookmarkEnd w:id="447"/>
      <w:r>
        <w:rPr>
          <w:rFonts w:hint="eastAsia" w:ascii="宋体" w:hAnsi="宋体" w:eastAsia="宋体" w:cs="宋体"/>
          <w:color w:val="auto"/>
          <w:szCs w:val="21"/>
          <w:highlight w:val="none"/>
        </w:rPr>
        <w:t>。</w:t>
      </w:r>
    </w:p>
    <w:p w14:paraId="3AC7DF1A">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承包人提出的合理化建议降低了合同价格或者提高了工程经济效益的奖励的方法和金额为：</w:t>
      </w:r>
      <w:bookmarkStart w:id="448" w:name="EBcad785867e8348b496d2c124389ca6aa"/>
      <w:r>
        <w:rPr>
          <w:rFonts w:hint="eastAsia" w:ascii="宋体" w:hAnsi="宋体" w:eastAsia="宋体" w:cs="宋体"/>
          <w:color w:val="auto"/>
          <w:szCs w:val="21"/>
          <w:highlight w:val="none"/>
          <w:u w:val="single"/>
        </w:rPr>
        <w:t>/</w:t>
      </w:r>
      <w:bookmarkEnd w:id="448"/>
      <w:r>
        <w:rPr>
          <w:rFonts w:hint="eastAsia" w:ascii="宋体" w:hAnsi="宋体" w:eastAsia="宋体" w:cs="宋体"/>
          <w:color w:val="auto"/>
          <w:szCs w:val="21"/>
          <w:highlight w:val="none"/>
        </w:rPr>
        <w:t>。</w:t>
      </w:r>
    </w:p>
    <w:p w14:paraId="1537864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 暂估价</w:t>
      </w:r>
    </w:p>
    <w:p w14:paraId="5A9AB89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暂估价材料和工程设备的明细详见附件11：《暂估价一览表》。</w:t>
      </w:r>
    </w:p>
    <w:p w14:paraId="6ABBEFE6">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10.7.1 依法必须招标的暂估价项目</w:t>
      </w:r>
    </w:p>
    <w:p w14:paraId="1EF0597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对于依法必须招标的暂估价项目的确认和批准采取第</w:t>
      </w:r>
      <w:bookmarkStart w:id="449" w:name="EBdae702c30a2748c8a31931d00fc33a11"/>
      <w:r>
        <w:rPr>
          <w:rFonts w:hint="eastAsia" w:ascii="宋体" w:hAnsi="宋体" w:eastAsia="宋体" w:cs="宋体"/>
          <w:color w:val="auto"/>
          <w:szCs w:val="21"/>
          <w:highlight w:val="none"/>
          <w:u w:val="single"/>
        </w:rPr>
        <w:t>2</w:t>
      </w:r>
      <w:bookmarkEnd w:id="449"/>
      <w:r>
        <w:rPr>
          <w:rFonts w:hint="eastAsia" w:ascii="宋体" w:hAnsi="宋体" w:eastAsia="宋体" w:cs="宋体"/>
          <w:color w:val="auto"/>
          <w:szCs w:val="21"/>
          <w:highlight w:val="none"/>
        </w:rPr>
        <w:t>种方式确定。</w:t>
      </w:r>
    </w:p>
    <w:p w14:paraId="011E9D6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 不属于依法必须招标的暂估价项目</w:t>
      </w:r>
    </w:p>
    <w:p w14:paraId="6F9302C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1 </w:t>
      </w:r>
      <w:r>
        <w:rPr>
          <w:rFonts w:hint="eastAsia" w:ascii="宋体" w:hAnsi="宋体" w:eastAsia="宋体" w:cs="宋体"/>
          <w:color w:val="auto"/>
          <w:szCs w:val="21"/>
          <w:highlight w:val="none"/>
        </w:rPr>
        <w:t>种方式确定。</w:t>
      </w:r>
    </w:p>
    <w:p w14:paraId="5BF65BF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w:t>
      </w:r>
      <w:r>
        <w:rPr>
          <w:rFonts w:hint="eastAsia" w:ascii="宋体" w:hAnsi="宋体" w:eastAsia="宋体" w:cs="宋体"/>
          <w:color w:val="auto"/>
          <w:szCs w:val="21"/>
          <w:highlight w:val="none"/>
          <w:u w:val="single"/>
        </w:rPr>
        <w:t>承包人可以采用非招标方式选择的供应商或分包人，深化设计须经发包人同意后，执行第10.4.1（3）条款</w:t>
      </w:r>
      <w:r>
        <w:rPr>
          <w:rFonts w:hint="eastAsia" w:ascii="宋体" w:hAnsi="宋体" w:eastAsia="宋体" w:cs="宋体"/>
          <w:color w:val="auto"/>
          <w:szCs w:val="21"/>
          <w:highlight w:val="none"/>
        </w:rPr>
        <w:t>。</w:t>
      </w:r>
    </w:p>
    <w:p w14:paraId="72F0A24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bookmarkStart w:id="450" w:name="EBe71510d90cdc4ea48adc88a972c8067d"/>
      <w:r>
        <w:rPr>
          <w:rFonts w:hint="eastAsia" w:ascii="宋体" w:hAnsi="宋体" w:eastAsia="宋体" w:cs="宋体"/>
          <w:color w:val="auto"/>
          <w:szCs w:val="21"/>
          <w:highlight w:val="none"/>
        </w:rPr>
        <w:t>/</w:t>
      </w:r>
      <w:bookmarkEnd w:id="450"/>
      <w:r>
        <w:rPr>
          <w:rFonts w:hint="eastAsia" w:ascii="宋体" w:hAnsi="宋体" w:eastAsia="宋体" w:cs="宋体"/>
          <w:color w:val="auto"/>
          <w:szCs w:val="21"/>
          <w:highlight w:val="none"/>
        </w:rPr>
        <w:t>。</w:t>
      </w:r>
    </w:p>
    <w:p w14:paraId="52183C2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 暂列金额</w:t>
      </w:r>
    </w:p>
    <w:p w14:paraId="00A18F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合同当事人关于暂列金额使用的约定：</w:t>
      </w:r>
      <w:r>
        <w:rPr>
          <w:rFonts w:hint="eastAsia" w:ascii="宋体" w:hAnsi="宋体" w:eastAsia="宋体" w:cs="宋体"/>
          <w:color w:val="auto"/>
          <w:szCs w:val="21"/>
          <w:highlight w:val="none"/>
          <w:u w:val="single"/>
        </w:rPr>
        <w:t>由发包人书面批准后方可实施</w:t>
      </w:r>
      <w:r>
        <w:rPr>
          <w:rFonts w:hint="eastAsia" w:ascii="宋体" w:hAnsi="宋体" w:eastAsia="宋体" w:cs="宋体"/>
          <w:color w:val="auto"/>
          <w:szCs w:val="21"/>
          <w:highlight w:val="none"/>
        </w:rPr>
        <w:t>。</w:t>
      </w:r>
    </w:p>
    <w:p w14:paraId="76B033B8">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 价格调整</w:t>
      </w:r>
    </w:p>
    <w:p w14:paraId="6BC316E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市场价格波动引起的调整</w:t>
      </w:r>
    </w:p>
    <w:p w14:paraId="392F609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市场价格波动是否调整合同价格的约定：</w:t>
      </w:r>
      <w:r>
        <w:rPr>
          <w:rFonts w:hint="eastAsia" w:ascii="宋体" w:hAnsi="宋体" w:eastAsia="宋体" w:cs="宋体"/>
          <w:color w:val="auto"/>
          <w:szCs w:val="21"/>
          <w:highlight w:val="none"/>
          <w:u w:val="single"/>
        </w:rPr>
        <w:t>计划工期在6个月（含）内或最高限价在500万元（含）以下的政府投资工程，结算时主材价格不予调差，除此以外应当按照以下原则进行调整</w:t>
      </w:r>
      <w:r>
        <w:rPr>
          <w:rFonts w:hint="eastAsia" w:ascii="宋体" w:hAnsi="宋体" w:eastAsia="宋体" w:cs="宋体"/>
          <w:color w:val="auto"/>
          <w:szCs w:val="21"/>
          <w:highlight w:val="none"/>
        </w:rPr>
        <w:t>。</w:t>
      </w:r>
    </w:p>
    <w:p w14:paraId="4C9F36A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因市场价格波动调整合同价格，采用以下第</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rPr>
        <w:t>种方式对合同价格进行调整：</w:t>
      </w:r>
    </w:p>
    <w:p w14:paraId="3926EEE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第1种方式：采用价格指数进行价格调整。</w:t>
      </w:r>
    </w:p>
    <w:p w14:paraId="392936DB">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关于各可调因子、定值和变值权重，以及基本价格指数及其来源的约定：</w:t>
      </w:r>
      <w:bookmarkStart w:id="451" w:name="EB160ded03914f496188467d46b8187824"/>
      <w:r>
        <w:rPr>
          <w:rFonts w:hint="eastAsia" w:ascii="宋体" w:hAnsi="宋体" w:eastAsia="宋体" w:cs="宋体"/>
          <w:color w:val="auto"/>
          <w:szCs w:val="21"/>
          <w:highlight w:val="none"/>
          <w:u w:val="single"/>
        </w:rPr>
        <w:t>/</w:t>
      </w:r>
      <w:bookmarkEnd w:id="451"/>
      <w:r>
        <w:rPr>
          <w:rFonts w:hint="eastAsia" w:ascii="宋体" w:hAnsi="宋体" w:eastAsia="宋体" w:cs="宋体"/>
          <w:color w:val="auto"/>
          <w:szCs w:val="21"/>
          <w:highlight w:val="none"/>
        </w:rPr>
        <w:t xml:space="preserve">；  </w:t>
      </w:r>
    </w:p>
    <w:p w14:paraId="7F2C19C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第2种方式：采用造价信息进行价格调整。</w:t>
      </w:r>
    </w:p>
    <w:p w14:paraId="34492D3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（2）关于基准价格的约定：</w:t>
      </w:r>
      <w:bookmarkStart w:id="452" w:name="EBebed725e00e74166b85dd952b89f7741"/>
      <w:r>
        <w:rPr>
          <w:rFonts w:hint="eastAsia" w:ascii="宋体" w:hAnsi="宋体" w:eastAsia="宋体" w:cs="宋体"/>
          <w:color w:val="auto"/>
          <w:szCs w:val="21"/>
          <w:highlight w:val="none"/>
          <w:u w:val="single"/>
        </w:rPr>
        <w:t>/</w:t>
      </w:r>
      <w:bookmarkEnd w:id="452"/>
      <w:r>
        <w:rPr>
          <w:rFonts w:hint="eastAsia" w:ascii="宋体" w:hAnsi="宋体" w:eastAsia="宋体" w:cs="宋体"/>
          <w:color w:val="auto"/>
          <w:szCs w:val="21"/>
          <w:highlight w:val="none"/>
        </w:rPr>
        <w:t>。</w:t>
      </w:r>
    </w:p>
    <w:p w14:paraId="42A57F6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专用合同条款①承包人在已标价工程量清单或预算书中载明的材料单价低于基准价格的：专用合同条款合同履行期间材料单价涨幅以基准价格为基础超过</w:t>
      </w:r>
      <w:bookmarkStart w:id="453" w:name="EB0cd3f373d7124fb3a23644f1c9816e97"/>
      <w:r>
        <w:rPr>
          <w:rFonts w:hint="eastAsia" w:ascii="宋体" w:hAnsi="宋体" w:eastAsia="宋体" w:cs="宋体"/>
          <w:color w:val="auto"/>
          <w:szCs w:val="21"/>
          <w:highlight w:val="none"/>
        </w:rPr>
        <w:t>/</w:t>
      </w:r>
      <w:bookmarkEnd w:id="453"/>
      <w:r>
        <w:rPr>
          <w:rFonts w:hint="eastAsia" w:ascii="宋体" w:hAnsi="宋体" w:eastAsia="宋体" w:cs="宋体"/>
          <w:color w:val="auto"/>
          <w:szCs w:val="21"/>
          <w:highlight w:val="none"/>
        </w:rPr>
        <w:t>%时，或材料单价跌幅以已标价工程量清单或预算书中载明材料单价为基础超过</w:t>
      </w:r>
      <w:bookmarkStart w:id="454" w:name="EBcaacac187b6440788d4dde9b39b13413"/>
      <w:r>
        <w:rPr>
          <w:rFonts w:hint="eastAsia" w:ascii="宋体" w:hAnsi="宋体" w:eastAsia="宋体" w:cs="宋体"/>
          <w:color w:val="auto"/>
          <w:szCs w:val="21"/>
          <w:highlight w:val="none"/>
        </w:rPr>
        <w:t>/</w:t>
      </w:r>
      <w:bookmarkEnd w:id="454"/>
      <w:r>
        <w:rPr>
          <w:rFonts w:hint="eastAsia" w:ascii="宋体" w:hAnsi="宋体" w:eastAsia="宋体" w:cs="宋体"/>
          <w:color w:val="auto"/>
          <w:szCs w:val="21"/>
          <w:highlight w:val="none"/>
        </w:rPr>
        <w:t>%时，其超过部分据实调整。</w:t>
      </w:r>
    </w:p>
    <w:p w14:paraId="2F4F574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②承包人在已标价工程量清单或预算书中载明的材料单价高于基准价格的：专用合同条款合同履行期间材料单价跌幅以基准价格为基础超过</w:t>
      </w:r>
      <w:bookmarkStart w:id="455" w:name="EBa98dfa07919543dfba4f09fcc90f5120"/>
      <w:r>
        <w:rPr>
          <w:rFonts w:hint="eastAsia" w:ascii="宋体" w:hAnsi="宋体" w:eastAsia="宋体" w:cs="宋体"/>
          <w:color w:val="auto"/>
          <w:szCs w:val="21"/>
          <w:highlight w:val="none"/>
        </w:rPr>
        <w:t>/</w:t>
      </w:r>
      <w:bookmarkEnd w:id="455"/>
      <w:r>
        <w:rPr>
          <w:rFonts w:hint="eastAsia" w:ascii="宋体" w:hAnsi="宋体" w:eastAsia="宋体" w:cs="宋体"/>
          <w:color w:val="auto"/>
          <w:szCs w:val="21"/>
          <w:highlight w:val="none"/>
        </w:rPr>
        <w:t>%时，材料单价涨幅以已标价工程量清单或预算书中载明材料单价为基础超过</w:t>
      </w:r>
      <w:bookmarkStart w:id="456" w:name="EB291c53a473db4a51af6e78b6dafade77"/>
      <w:r>
        <w:rPr>
          <w:rFonts w:hint="eastAsia" w:ascii="宋体" w:hAnsi="宋体" w:eastAsia="宋体" w:cs="宋体"/>
          <w:color w:val="auto"/>
          <w:szCs w:val="21"/>
          <w:highlight w:val="none"/>
        </w:rPr>
        <w:t>/</w:t>
      </w:r>
      <w:bookmarkEnd w:id="456"/>
      <w:r>
        <w:rPr>
          <w:rFonts w:hint="eastAsia" w:ascii="宋体" w:hAnsi="宋体" w:eastAsia="宋体" w:cs="宋体"/>
          <w:color w:val="auto"/>
          <w:szCs w:val="21"/>
          <w:highlight w:val="none"/>
        </w:rPr>
        <w:t>%时，其超过部分据实调整。</w:t>
      </w:r>
    </w:p>
    <w:p w14:paraId="73241372">
      <w:pPr>
        <w:pageBreakBefore w:val="0"/>
        <w:widowControl w:val="0"/>
        <w:spacing w:line="400" w:lineRule="exact"/>
        <w:ind w:firstLine="645"/>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③承包人在已标价工程量清单或预算书中载明的材料单价等于基准单价的：专用合同条款合同履行期间材料单价涨跌幅以基准单价为基础超过±</w:t>
      </w:r>
      <w:bookmarkStart w:id="457" w:name="EB2e50a11a80e540fbbb2d3bbcc72b1471"/>
      <w:r>
        <w:rPr>
          <w:rFonts w:hint="eastAsia" w:ascii="宋体" w:hAnsi="宋体" w:eastAsia="宋体" w:cs="宋体"/>
          <w:color w:val="auto"/>
          <w:szCs w:val="21"/>
          <w:highlight w:val="none"/>
        </w:rPr>
        <w:t>/</w:t>
      </w:r>
      <w:bookmarkEnd w:id="457"/>
      <w:r>
        <w:rPr>
          <w:rFonts w:hint="eastAsia" w:ascii="宋体" w:hAnsi="宋体" w:eastAsia="宋体" w:cs="宋体"/>
          <w:color w:val="auto"/>
          <w:szCs w:val="21"/>
          <w:highlight w:val="none"/>
        </w:rPr>
        <w:t>%时，其超过部分据实调整。</w:t>
      </w:r>
    </w:p>
    <w:p w14:paraId="77151557">
      <w:pPr>
        <w:pageBreakBefore w:val="0"/>
        <w:widowControl w:val="0"/>
        <w:spacing w:line="400" w:lineRule="exact"/>
        <w:ind w:firstLine="645"/>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第3种方式：其他价格调整方式：</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rPr>
        <w:t>。</w:t>
      </w:r>
    </w:p>
    <w:p w14:paraId="3225F3C4">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 合同价格、计量与支付</w:t>
      </w:r>
    </w:p>
    <w:p w14:paraId="5257E3F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合同价格形式</w:t>
      </w:r>
    </w:p>
    <w:p w14:paraId="41B1100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w:t>
      </w:r>
    </w:p>
    <w:p w14:paraId="4AD87F3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综合单价包含的风险范围：</w:t>
      </w:r>
      <w:r>
        <w:rPr>
          <w:rFonts w:hint="eastAsia" w:ascii="宋体" w:hAnsi="宋体" w:eastAsia="宋体" w:cs="宋体"/>
          <w:color w:val="auto"/>
          <w:szCs w:val="21"/>
          <w:highlight w:val="none"/>
          <w:u w:val="single"/>
        </w:rPr>
        <w:t>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且工程量未超过15%的所有风险</w:t>
      </w:r>
      <w:r>
        <w:rPr>
          <w:rFonts w:hint="eastAsia" w:ascii="宋体" w:hAnsi="宋体" w:eastAsia="宋体" w:cs="宋体"/>
          <w:color w:val="auto"/>
          <w:szCs w:val="21"/>
          <w:highlight w:val="none"/>
        </w:rPr>
        <w:t>。</w:t>
      </w:r>
    </w:p>
    <w:p w14:paraId="0F1FDD1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bookmarkStart w:id="458" w:name="EBd707aab98a6845d890f8a5a60494cc82"/>
      <w:r>
        <w:rPr>
          <w:rFonts w:hint="eastAsia" w:ascii="宋体" w:hAnsi="宋体" w:eastAsia="宋体" w:cs="宋体"/>
          <w:color w:val="auto"/>
          <w:szCs w:val="21"/>
          <w:highlight w:val="none"/>
        </w:rPr>
        <w:t>/</w:t>
      </w:r>
      <w:bookmarkEnd w:id="458"/>
      <w:r>
        <w:rPr>
          <w:rFonts w:hint="eastAsia" w:ascii="宋体" w:hAnsi="宋体" w:eastAsia="宋体" w:cs="宋体"/>
          <w:color w:val="auto"/>
          <w:szCs w:val="21"/>
          <w:highlight w:val="none"/>
        </w:rPr>
        <w:t>。</w:t>
      </w:r>
    </w:p>
    <w:p w14:paraId="2AB2935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bookmarkStart w:id="459" w:name="EB4336b36a0cda402badc2b85cde7ea42c"/>
      <w:r>
        <w:rPr>
          <w:rFonts w:hint="eastAsia" w:ascii="宋体" w:hAnsi="宋体" w:eastAsia="宋体" w:cs="宋体"/>
          <w:color w:val="auto"/>
          <w:szCs w:val="21"/>
          <w:highlight w:val="none"/>
        </w:rPr>
        <w:t>/</w:t>
      </w:r>
      <w:bookmarkEnd w:id="459"/>
      <w:r>
        <w:rPr>
          <w:rFonts w:hint="eastAsia" w:ascii="宋体" w:hAnsi="宋体" w:eastAsia="宋体" w:cs="宋体"/>
          <w:color w:val="auto"/>
          <w:szCs w:val="21"/>
          <w:highlight w:val="none"/>
        </w:rPr>
        <w:t>。</w:t>
      </w:r>
    </w:p>
    <w:p w14:paraId="1DABC1F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w:t>
      </w:r>
    </w:p>
    <w:p w14:paraId="6ECEDA2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总价包含的风险范围：</w:t>
      </w:r>
      <w:bookmarkStart w:id="460" w:name="EB27abc1da743d4aa4a8f5c4114a638c92"/>
      <w:r>
        <w:rPr>
          <w:rFonts w:hint="eastAsia" w:ascii="宋体" w:hAnsi="宋体" w:eastAsia="宋体" w:cs="宋体"/>
          <w:color w:val="auto"/>
          <w:szCs w:val="21"/>
          <w:highlight w:val="none"/>
        </w:rPr>
        <w:t>/</w:t>
      </w:r>
      <w:bookmarkEnd w:id="460"/>
      <w:r>
        <w:rPr>
          <w:rFonts w:hint="eastAsia" w:ascii="宋体" w:hAnsi="宋体" w:eastAsia="宋体" w:cs="宋体"/>
          <w:color w:val="auto"/>
          <w:szCs w:val="21"/>
          <w:highlight w:val="none"/>
        </w:rPr>
        <w:t>。</w:t>
      </w:r>
    </w:p>
    <w:p w14:paraId="7AF40E7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bookmarkStart w:id="461" w:name="EB71db1e49dea84f82ad18ebb57277d065"/>
      <w:r>
        <w:rPr>
          <w:rFonts w:hint="eastAsia" w:ascii="宋体" w:hAnsi="宋体" w:eastAsia="宋体" w:cs="宋体"/>
          <w:color w:val="auto"/>
          <w:szCs w:val="21"/>
          <w:highlight w:val="none"/>
        </w:rPr>
        <w:t>/</w:t>
      </w:r>
      <w:bookmarkEnd w:id="461"/>
      <w:r>
        <w:rPr>
          <w:rFonts w:hint="eastAsia" w:ascii="宋体" w:hAnsi="宋体" w:eastAsia="宋体" w:cs="宋体"/>
          <w:color w:val="auto"/>
          <w:szCs w:val="21"/>
          <w:highlight w:val="none"/>
        </w:rPr>
        <w:t>。</w:t>
      </w:r>
    </w:p>
    <w:p w14:paraId="00322BB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bookmarkStart w:id="462" w:name="EB4e696ab6fcb647169ebf7936d99a7d26"/>
      <w:r>
        <w:rPr>
          <w:rFonts w:hint="eastAsia" w:ascii="宋体" w:hAnsi="宋体" w:eastAsia="宋体" w:cs="宋体"/>
          <w:color w:val="auto"/>
          <w:szCs w:val="21"/>
          <w:highlight w:val="none"/>
        </w:rPr>
        <w:t>/</w:t>
      </w:r>
      <w:bookmarkEnd w:id="462"/>
      <w:r>
        <w:rPr>
          <w:rFonts w:hint="eastAsia" w:ascii="宋体" w:hAnsi="宋体" w:eastAsia="宋体" w:cs="宋体"/>
          <w:color w:val="auto"/>
          <w:szCs w:val="21"/>
          <w:highlight w:val="none"/>
        </w:rPr>
        <w:t>。</w:t>
      </w:r>
    </w:p>
    <w:p w14:paraId="68979AC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3、其他价格方式：</w:t>
      </w:r>
      <w:bookmarkStart w:id="463" w:name="EBebea0e5f614d492d98493df5c1b340e5"/>
      <w:r>
        <w:rPr>
          <w:rFonts w:hint="eastAsia" w:ascii="宋体" w:hAnsi="宋体" w:eastAsia="宋体" w:cs="宋体"/>
          <w:color w:val="auto"/>
          <w:szCs w:val="21"/>
          <w:highlight w:val="none"/>
        </w:rPr>
        <w:t>/</w:t>
      </w:r>
      <w:bookmarkEnd w:id="463"/>
      <w:r>
        <w:rPr>
          <w:rFonts w:hint="eastAsia" w:ascii="宋体" w:hAnsi="宋体" w:eastAsia="宋体" w:cs="宋体"/>
          <w:color w:val="auto"/>
          <w:szCs w:val="21"/>
          <w:highlight w:val="none"/>
        </w:rPr>
        <w:t>。</w:t>
      </w:r>
    </w:p>
    <w:p w14:paraId="7874F6F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预付款</w:t>
      </w:r>
    </w:p>
    <w:p w14:paraId="698B64B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 预付款的支付</w:t>
      </w:r>
    </w:p>
    <w:p w14:paraId="7998145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预付款支付比例或金额：</w:t>
      </w:r>
      <w:bookmarkStart w:id="464" w:name="EB2c26a7cb083741089331078cc02ca2e7"/>
      <w:r>
        <w:rPr>
          <w:rFonts w:hint="eastAsia" w:ascii="宋体" w:hAnsi="宋体" w:eastAsia="宋体" w:cs="宋体"/>
          <w:color w:val="auto"/>
          <w:szCs w:val="21"/>
          <w:highlight w:val="none"/>
          <w:u w:val="single"/>
        </w:rPr>
        <w:t>合同金额（不含暂列金额和暂估价）的10%</w:t>
      </w:r>
      <w:bookmarkEnd w:id="464"/>
      <w:r>
        <w:rPr>
          <w:rFonts w:hint="eastAsia" w:ascii="宋体" w:hAnsi="宋体" w:eastAsia="宋体" w:cs="宋体"/>
          <w:color w:val="auto"/>
          <w:szCs w:val="21"/>
          <w:highlight w:val="none"/>
        </w:rPr>
        <w:t>。</w:t>
      </w:r>
    </w:p>
    <w:p w14:paraId="482473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凡是未收到承包人提供对等金额的预付款保函或不具备施工条件的工程，发包人不预付工程款</w:t>
      </w:r>
      <w:r>
        <w:rPr>
          <w:rFonts w:hint="eastAsia" w:ascii="宋体" w:hAnsi="宋体" w:eastAsia="宋体" w:cs="宋体"/>
          <w:color w:val="auto"/>
          <w:szCs w:val="21"/>
          <w:highlight w:val="none"/>
          <w:u w:val="none"/>
          <w:lang w:eastAsia="zh-CN"/>
        </w:rPr>
        <w:t>。</w:t>
      </w:r>
    </w:p>
    <w:p w14:paraId="50675B8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预付款扣回的方式：</w:t>
      </w:r>
      <w:bookmarkStart w:id="465" w:name="EBe3f7fcc2028b48aeb29f900d6b268cbb"/>
      <w:r>
        <w:rPr>
          <w:rFonts w:hint="eastAsia" w:ascii="宋体" w:hAnsi="宋体" w:eastAsia="宋体" w:cs="宋体"/>
          <w:color w:val="auto"/>
          <w:szCs w:val="21"/>
          <w:highlight w:val="none"/>
          <w:u w:val="single"/>
        </w:rPr>
        <w:t>当已完工程量达到合同金额（不含暂列金额和暂估价）的</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0%前，预付款应全部抵扣完毕</w:t>
      </w:r>
      <w:bookmarkEnd w:id="465"/>
      <w:r>
        <w:rPr>
          <w:rFonts w:hint="eastAsia" w:ascii="宋体" w:hAnsi="宋体" w:eastAsia="宋体" w:cs="宋体"/>
          <w:color w:val="auto"/>
          <w:szCs w:val="21"/>
          <w:highlight w:val="none"/>
        </w:rPr>
        <w:t>。</w:t>
      </w:r>
    </w:p>
    <w:p w14:paraId="7E49180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12.2.2 预付款担保</w:t>
      </w:r>
    </w:p>
    <w:p w14:paraId="5BBE2A7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bookmarkStart w:id="466" w:name="EBf4bb81ae6d4247aa893872808d17ee64"/>
      <w:r>
        <w:rPr>
          <w:rFonts w:hint="eastAsia" w:ascii="宋体" w:hAnsi="宋体" w:eastAsia="宋体" w:cs="宋体"/>
          <w:color w:val="auto"/>
          <w:szCs w:val="21"/>
          <w:highlight w:val="none"/>
          <w:u w:val="single"/>
        </w:rPr>
        <w:t>凡是未收到承包人提供对等金额的预付款保函或不具备施工条件的工程，发包人不预付工程款</w:t>
      </w:r>
      <w:bookmarkEnd w:id="466"/>
      <w:r>
        <w:rPr>
          <w:rFonts w:hint="eastAsia" w:ascii="宋体" w:hAnsi="宋体" w:eastAsia="宋体" w:cs="宋体"/>
          <w:color w:val="auto"/>
          <w:szCs w:val="21"/>
          <w:highlight w:val="none"/>
        </w:rPr>
        <w:t>。</w:t>
      </w:r>
    </w:p>
    <w:p w14:paraId="7AAA3F0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预付款担保的形式为：</w:t>
      </w:r>
      <w:bookmarkStart w:id="467" w:name="EB16aa7b8798734e8e97f312d6fcc108f4"/>
      <w:r>
        <w:rPr>
          <w:rFonts w:hint="eastAsia" w:ascii="宋体" w:hAnsi="宋体" w:eastAsia="宋体" w:cs="宋体"/>
          <w:color w:val="auto"/>
          <w:szCs w:val="21"/>
          <w:highlight w:val="none"/>
          <w:u w:val="single"/>
        </w:rPr>
        <w:t>转账、保函等各类有效形式</w:t>
      </w:r>
      <w:bookmarkEnd w:id="467"/>
      <w:r>
        <w:rPr>
          <w:rFonts w:hint="eastAsia" w:ascii="宋体" w:hAnsi="宋体" w:eastAsia="宋体" w:cs="宋体"/>
          <w:color w:val="auto"/>
          <w:szCs w:val="21"/>
          <w:highlight w:val="none"/>
        </w:rPr>
        <w:t>。</w:t>
      </w:r>
    </w:p>
    <w:p w14:paraId="557A294D">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 计量</w:t>
      </w:r>
    </w:p>
    <w:p w14:paraId="55AE7381">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 计量原则</w:t>
      </w:r>
    </w:p>
    <w:p w14:paraId="074139F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工程量计算规则：</w:t>
      </w:r>
      <w:bookmarkStart w:id="468" w:name="EBd27266b647334dd28f4a53afbac436ff"/>
      <w:r>
        <w:rPr>
          <w:rFonts w:hint="eastAsia" w:ascii="宋体" w:hAnsi="宋体" w:eastAsia="宋体" w:cs="宋体"/>
          <w:color w:val="auto"/>
          <w:szCs w:val="21"/>
          <w:highlight w:val="none"/>
          <w:u w:val="single"/>
        </w:rPr>
        <w:t>与投标报价方式相对应的现行计量规则</w:t>
      </w:r>
      <w:bookmarkEnd w:id="468"/>
      <w:r>
        <w:rPr>
          <w:rFonts w:hint="eastAsia" w:ascii="宋体" w:hAnsi="宋体" w:eastAsia="宋体" w:cs="宋体"/>
          <w:color w:val="auto"/>
          <w:szCs w:val="21"/>
          <w:highlight w:val="none"/>
        </w:rPr>
        <w:t>。</w:t>
      </w:r>
    </w:p>
    <w:p w14:paraId="6709B34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 计量周期</w:t>
      </w:r>
    </w:p>
    <w:p w14:paraId="2DBEEB4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bookmarkStart w:id="469" w:name="EB59f54a05a2e74f3da059aa25dd8a5b29"/>
      <w:r>
        <w:rPr>
          <w:rFonts w:hint="eastAsia" w:ascii="宋体" w:hAnsi="宋体" w:eastAsia="宋体" w:cs="宋体"/>
          <w:color w:val="auto"/>
          <w:szCs w:val="21"/>
          <w:highlight w:val="none"/>
          <w:u w:val="single"/>
        </w:rPr>
        <w:t>经发包人书面审批同意</w:t>
      </w:r>
      <w:bookmarkEnd w:id="469"/>
      <w:r>
        <w:rPr>
          <w:rFonts w:hint="eastAsia" w:ascii="宋体" w:hAnsi="宋体" w:eastAsia="宋体" w:cs="宋体"/>
          <w:color w:val="auto"/>
          <w:szCs w:val="21"/>
          <w:highlight w:val="none"/>
        </w:rPr>
        <w:t>。</w:t>
      </w:r>
    </w:p>
    <w:p w14:paraId="45AB28D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 单价合同的计量</w:t>
      </w:r>
    </w:p>
    <w:p w14:paraId="22EEA99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bookmarkStart w:id="470" w:name="EB6ebecd0f24824d49a0137f734a488f80"/>
      <w:r>
        <w:rPr>
          <w:rFonts w:hint="eastAsia" w:ascii="宋体" w:hAnsi="宋体" w:eastAsia="宋体" w:cs="宋体"/>
          <w:color w:val="auto"/>
          <w:szCs w:val="21"/>
          <w:highlight w:val="none"/>
          <w:u w:val="single"/>
        </w:rPr>
        <w:t>应</w:t>
      </w:r>
      <w:bookmarkEnd w:id="470"/>
      <w:r>
        <w:rPr>
          <w:rFonts w:hint="eastAsia" w:ascii="宋体" w:hAnsi="宋体" w:eastAsia="宋体" w:cs="宋体"/>
          <w:color w:val="auto"/>
          <w:szCs w:val="21"/>
          <w:highlight w:val="none"/>
          <w:u w:val="single"/>
        </w:rPr>
        <w:t>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hint="eastAsia" w:ascii="宋体" w:hAnsi="宋体" w:eastAsia="宋体" w:cs="宋体"/>
          <w:color w:val="auto"/>
          <w:szCs w:val="21"/>
          <w:highlight w:val="none"/>
        </w:rPr>
        <w:t>。</w:t>
      </w:r>
    </w:p>
    <w:p w14:paraId="7B6DD94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 总价合同的计量</w:t>
      </w:r>
    </w:p>
    <w:p w14:paraId="2471CC0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bookmarkStart w:id="471" w:name="EBe714171bb71043389718b03e114470e1"/>
      <w:r>
        <w:rPr>
          <w:rFonts w:hint="eastAsia" w:ascii="宋体" w:hAnsi="宋体" w:eastAsia="宋体" w:cs="宋体"/>
          <w:color w:val="auto"/>
          <w:szCs w:val="21"/>
          <w:highlight w:val="none"/>
        </w:rPr>
        <w:t>/</w:t>
      </w:r>
      <w:bookmarkEnd w:id="471"/>
      <w:r>
        <w:rPr>
          <w:rFonts w:hint="eastAsia" w:ascii="宋体" w:hAnsi="宋体" w:eastAsia="宋体" w:cs="宋体"/>
          <w:color w:val="auto"/>
          <w:szCs w:val="21"/>
          <w:highlight w:val="none"/>
        </w:rPr>
        <w:t>。</w:t>
      </w:r>
    </w:p>
    <w:p w14:paraId="6A1BEBC6">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12.3.5总价合同采用支付分解表计量支付的，是否适用第12.3.4 项〔总价合同的计量〕约定进行计量：</w:t>
      </w:r>
      <w:bookmarkStart w:id="472" w:name="EB64295323eb3041e596ee4c5393942cf9"/>
      <w:r>
        <w:rPr>
          <w:rFonts w:hint="eastAsia" w:ascii="宋体" w:hAnsi="宋体" w:eastAsia="宋体" w:cs="宋体"/>
          <w:color w:val="auto"/>
          <w:szCs w:val="21"/>
          <w:highlight w:val="none"/>
        </w:rPr>
        <w:t>/</w:t>
      </w:r>
      <w:bookmarkEnd w:id="472"/>
      <w:r>
        <w:rPr>
          <w:rFonts w:hint="eastAsia" w:ascii="宋体" w:hAnsi="宋体" w:eastAsia="宋体" w:cs="宋体"/>
          <w:color w:val="auto"/>
          <w:szCs w:val="21"/>
          <w:highlight w:val="none"/>
        </w:rPr>
        <w:t>。</w:t>
      </w:r>
    </w:p>
    <w:p w14:paraId="6F87457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 其他价格形式合同的计量</w:t>
      </w:r>
    </w:p>
    <w:p w14:paraId="50FBC3D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bookmarkStart w:id="473" w:name="EBc25bc19eb47a49e398ccaa76dc6ca5c9"/>
      <w:r>
        <w:rPr>
          <w:rFonts w:hint="eastAsia" w:ascii="宋体" w:hAnsi="宋体" w:eastAsia="宋体" w:cs="宋体"/>
          <w:color w:val="auto"/>
          <w:szCs w:val="21"/>
          <w:highlight w:val="none"/>
        </w:rPr>
        <w:t>/</w:t>
      </w:r>
      <w:bookmarkEnd w:id="473"/>
      <w:r>
        <w:rPr>
          <w:rFonts w:hint="eastAsia" w:ascii="宋体" w:hAnsi="宋体" w:eastAsia="宋体" w:cs="宋体"/>
          <w:color w:val="auto"/>
          <w:szCs w:val="21"/>
          <w:highlight w:val="none"/>
        </w:rPr>
        <w:t>。</w:t>
      </w:r>
    </w:p>
    <w:p w14:paraId="35E7AA9C">
      <w:pPr>
        <w:pageBreakBefore w:val="0"/>
        <w:widowControl w:val="0"/>
        <w:spacing w:after="120" w:line="400" w:lineRule="exact"/>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 工程进度款支付</w:t>
      </w:r>
    </w:p>
    <w:p w14:paraId="2BC1708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12.4.1 付款周期</w:t>
      </w:r>
    </w:p>
    <w:p w14:paraId="370D266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bookmarkStart w:id="474" w:name="EBe9dda42c098b4f57a793ee2bced532e3"/>
      <w:r>
        <w:rPr>
          <w:rFonts w:hint="eastAsia" w:ascii="宋体" w:hAnsi="宋体" w:eastAsia="宋体" w:cs="宋体"/>
          <w:color w:val="auto"/>
          <w:szCs w:val="21"/>
          <w:highlight w:val="none"/>
          <w:u w:val="single"/>
        </w:rPr>
        <w:t>工程施工期间甲方按不超过监理、甲方核定已完工程量的</w:t>
      </w:r>
      <w:r>
        <w:rPr>
          <w:rFonts w:hint="eastAsia" w:ascii="宋体" w:hAnsi="宋体" w:eastAsia="宋体" w:cs="宋体"/>
          <w:color w:val="auto"/>
          <w:szCs w:val="21"/>
          <w:highlight w:val="none"/>
          <w:u w:val="single"/>
          <w:lang w:val="en-US" w:eastAsia="zh-CN"/>
        </w:rPr>
        <w:t>8</w:t>
      </w:r>
      <w:r>
        <w:rPr>
          <w:rFonts w:hint="eastAsia" w:ascii="宋体" w:hAnsi="宋体" w:eastAsia="宋体" w:cs="宋体"/>
          <w:color w:val="auto"/>
          <w:szCs w:val="21"/>
          <w:highlight w:val="none"/>
          <w:u w:val="single"/>
        </w:rPr>
        <w:t>0%向乙方支付工程进度款(甲方收到乙方提供的相应金额的正规发票后10个工作日内支付)；工程竣工验收合格，完成工程结算审计并将档案、管养等工程资料按甲方要求全部移交后，甲方按不超过丹阳市固定资产投资审计中心出具结算审计价的90%向承包人支付工程款（含已支付进度款）(甲方收到乙方提供的相应金额的正规发票后10个工作日内支付)；待项目缺陷责任期到期后，甲方凭丹阳市财政投资评审中心出具的竣工财务决算评审结论付清尾款</w:t>
      </w:r>
      <w:r>
        <w:rPr>
          <w:rFonts w:hint="eastAsia" w:ascii="宋体" w:hAnsi="宋体" w:eastAsia="宋体" w:cs="宋体"/>
          <w:color w:val="auto"/>
          <w:szCs w:val="21"/>
          <w:highlight w:val="none"/>
        </w:rPr>
        <w:t xml:space="preserve">。 </w:t>
      </w:r>
      <w:bookmarkEnd w:id="474"/>
    </w:p>
    <w:p w14:paraId="37ADD7F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 进度付款申请单的编制</w:t>
      </w:r>
    </w:p>
    <w:p w14:paraId="03B6D81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关于进度付款申请单编制的约定：</w:t>
      </w:r>
      <w:bookmarkStart w:id="475" w:name="EB2e13f3265b0b4842955db15bf2abe2f9"/>
      <w:r>
        <w:rPr>
          <w:rFonts w:hint="eastAsia" w:ascii="宋体" w:hAnsi="宋体" w:eastAsia="宋体" w:cs="宋体"/>
          <w:color w:val="auto"/>
          <w:szCs w:val="21"/>
          <w:highlight w:val="none"/>
          <w:u w:val="single"/>
        </w:rPr>
        <w:t>根据</w:t>
      </w:r>
      <w:r>
        <w:rPr>
          <w:rFonts w:hint="eastAsia" w:ascii="宋体" w:hAnsi="宋体" w:cs="宋体"/>
          <w:color w:val="auto"/>
          <w:szCs w:val="21"/>
          <w:highlight w:val="none"/>
          <w:u w:val="single"/>
          <w:lang w:eastAsia="zh-CN"/>
        </w:rPr>
        <w:t>发包人</w:t>
      </w:r>
      <w:r>
        <w:rPr>
          <w:rFonts w:hint="eastAsia" w:ascii="宋体" w:hAnsi="宋体" w:eastAsia="宋体" w:cs="宋体"/>
          <w:color w:val="auto"/>
          <w:szCs w:val="21"/>
          <w:highlight w:val="none"/>
          <w:u w:val="single"/>
        </w:rPr>
        <w:t>、监理</w:t>
      </w:r>
      <w:r>
        <w:rPr>
          <w:rFonts w:hint="eastAsia" w:ascii="宋体" w:hAnsi="宋体" w:cs="宋体"/>
          <w:color w:val="auto"/>
          <w:szCs w:val="21"/>
          <w:highlight w:val="none"/>
          <w:u w:val="single"/>
          <w:lang w:eastAsia="zh-CN"/>
        </w:rPr>
        <w:t>人</w:t>
      </w:r>
      <w:r>
        <w:rPr>
          <w:rFonts w:hint="eastAsia" w:ascii="宋体" w:hAnsi="宋体" w:eastAsia="宋体" w:cs="宋体"/>
          <w:color w:val="auto"/>
          <w:szCs w:val="21"/>
          <w:highlight w:val="none"/>
          <w:u w:val="single"/>
        </w:rPr>
        <w:t>的要求</w:t>
      </w:r>
      <w:bookmarkEnd w:id="475"/>
      <w:r>
        <w:rPr>
          <w:rFonts w:hint="eastAsia" w:ascii="宋体" w:hAnsi="宋体" w:eastAsia="宋体" w:cs="宋体"/>
          <w:color w:val="auto"/>
          <w:szCs w:val="21"/>
          <w:highlight w:val="none"/>
        </w:rPr>
        <w:t>。</w:t>
      </w:r>
    </w:p>
    <w:p w14:paraId="46E5B417">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12.4.3 进度付款申请单的提交</w:t>
      </w:r>
    </w:p>
    <w:p w14:paraId="5624FF7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（1）单价合同进度付款申请单提交的约定：</w:t>
      </w:r>
      <w:r>
        <w:rPr>
          <w:rFonts w:hint="eastAsia" w:ascii="宋体" w:hAnsi="宋体" w:eastAsia="宋体" w:cs="宋体"/>
          <w:color w:val="auto"/>
          <w:szCs w:val="21"/>
          <w:highlight w:val="none"/>
          <w:u w:val="single"/>
        </w:rPr>
        <w:t>根据</w:t>
      </w:r>
      <w:r>
        <w:rPr>
          <w:rFonts w:hint="eastAsia" w:ascii="宋体" w:hAnsi="宋体" w:cs="宋体"/>
          <w:color w:val="auto"/>
          <w:szCs w:val="21"/>
          <w:highlight w:val="none"/>
          <w:u w:val="single"/>
          <w:lang w:eastAsia="zh-CN"/>
        </w:rPr>
        <w:t>发包人</w:t>
      </w:r>
      <w:r>
        <w:rPr>
          <w:rFonts w:hint="eastAsia" w:ascii="宋体" w:hAnsi="宋体" w:eastAsia="宋体" w:cs="宋体"/>
          <w:color w:val="auto"/>
          <w:szCs w:val="21"/>
          <w:highlight w:val="none"/>
          <w:u w:val="single"/>
        </w:rPr>
        <w:t>、监理</w:t>
      </w:r>
      <w:r>
        <w:rPr>
          <w:rFonts w:hint="eastAsia" w:ascii="宋体" w:hAnsi="宋体" w:cs="宋体"/>
          <w:color w:val="auto"/>
          <w:szCs w:val="21"/>
          <w:highlight w:val="none"/>
          <w:u w:val="single"/>
          <w:lang w:eastAsia="zh-CN"/>
        </w:rPr>
        <w:t>人</w:t>
      </w:r>
      <w:r>
        <w:rPr>
          <w:rFonts w:hint="eastAsia" w:ascii="宋体" w:hAnsi="宋体" w:eastAsia="宋体" w:cs="宋体"/>
          <w:color w:val="auto"/>
          <w:szCs w:val="21"/>
          <w:highlight w:val="none"/>
          <w:u w:val="single"/>
        </w:rPr>
        <w:t>的要求</w:t>
      </w:r>
      <w:r>
        <w:rPr>
          <w:rFonts w:hint="eastAsia" w:ascii="宋体" w:hAnsi="宋体" w:eastAsia="宋体" w:cs="宋体"/>
          <w:color w:val="auto"/>
          <w:szCs w:val="21"/>
          <w:highlight w:val="none"/>
        </w:rPr>
        <w:t>。</w:t>
      </w:r>
    </w:p>
    <w:p w14:paraId="1928DDB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（2）总价合同进度付款申请单提交的约定：</w:t>
      </w:r>
      <w:bookmarkStart w:id="476" w:name="EBb8a7e2b3607c40d19d5e8742a9e8a590"/>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bookmarkEnd w:id="476"/>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616CC7C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（3）其他价格形式合同进度付款申请单提交的约定：</w:t>
      </w:r>
      <w:bookmarkStart w:id="477" w:name="EB8c5b60e92c32402c836aaf3d9d1bfc2a"/>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bookmarkEnd w:id="477"/>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2A7E377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 进度款审核和支付</w:t>
      </w:r>
    </w:p>
    <w:p w14:paraId="3760FA43">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（1）监理人审查并报送发包人的期限：</w:t>
      </w:r>
      <w:bookmarkStart w:id="478" w:name="EB7883780a1cc74d5b91d12a5f0883b3b9"/>
      <w:r>
        <w:rPr>
          <w:rFonts w:hint="eastAsia" w:ascii="宋体" w:hAnsi="宋体" w:eastAsia="宋体" w:cs="宋体"/>
          <w:color w:val="auto"/>
          <w:szCs w:val="21"/>
          <w:highlight w:val="none"/>
          <w:u w:val="single"/>
        </w:rPr>
        <w:t>执行监理合同约定</w:t>
      </w:r>
      <w:bookmarkEnd w:id="478"/>
      <w:r>
        <w:rPr>
          <w:rFonts w:hint="eastAsia" w:ascii="宋体" w:hAnsi="宋体" w:eastAsia="宋体" w:cs="宋体"/>
          <w:color w:val="auto"/>
          <w:szCs w:val="21"/>
          <w:highlight w:val="none"/>
        </w:rPr>
        <w:t>。</w:t>
      </w:r>
    </w:p>
    <w:p w14:paraId="3029A7A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发包人完成审批并签发进度款支付证书的期限：</w:t>
      </w:r>
      <w:bookmarkStart w:id="479" w:name="EB230db849cb864f589499577b73b230c7"/>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bookmarkEnd w:id="479"/>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115B0B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（2）发包人支付进度款的期限：</w:t>
      </w:r>
      <w:bookmarkStart w:id="480" w:name="EBb43ff779f80f4b999b79b1f09c3abd66"/>
      <w:r>
        <w:rPr>
          <w:rFonts w:hint="eastAsia" w:ascii="宋体" w:hAnsi="宋体" w:eastAsia="宋体" w:cs="宋体"/>
          <w:color w:val="auto"/>
          <w:szCs w:val="21"/>
          <w:highlight w:val="none"/>
          <w:u w:val="single"/>
        </w:rPr>
        <w:t>按照12.4.1的约定执行</w:t>
      </w:r>
      <w:bookmarkEnd w:id="480"/>
      <w:r>
        <w:rPr>
          <w:rFonts w:hint="eastAsia" w:ascii="宋体" w:hAnsi="宋体" w:eastAsia="宋体" w:cs="宋体"/>
          <w:color w:val="auto"/>
          <w:szCs w:val="21"/>
          <w:highlight w:val="none"/>
        </w:rPr>
        <w:t>。</w:t>
      </w:r>
    </w:p>
    <w:p w14:paraId="26154C1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宋体" w:hAnsi="宋体" w:eastAsia="宋体" w:cs="宋体"/>
          <w:color w:val="auto"/>
          <w:szCs w:val="21"/>
          <w:highlight w:val="none"/>
        </w:rPr>
        <w:t>。</w:t>
      </w:r>
    </w:p>
    <w:p w14:paraId="76D75DA6">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 支付分解表的编制</w:t>
      </w:r>
    </w:p>
    <w:p w14:paraId="70292C9F">
      <w:pPr>
        <w:pageBreakBefore w:val="0"/>
        <w:widowControl w:val="0"/>
        <w:spacing w:line="400" w:lineRule="exact"/>
        <w:ind w:left="4200" w:hanging="37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2、总价合同支付分解表的编制与审批：</w:t>
      </w:r>
      <w:bookmarkStart w:id="481" w:name="EB61b302f59b77461d96a504b72bf55c9f"/>
      <w:r>
        <w:rPr>
          <w:rFonts w:hint="eastAsia" w:ascii="宋体" w:hAnsi="宋体" w:eastAsia="宋体" w:cs="宋体"/>
          <w:color w:val="auto"/>
          <w:szCs w:val="21"/>
          <w:highlight w:val="none"/>
          <w:u w:val="single"/>
        </w:rPr>
        <w:t>/</w:t>
      </w:r>
      <w:bookmarkEnd w:id="481"/>
      <w:r>
        <w:rPr>
          <w:rFonts w:hint="eastAsia" w:ascii="宋体" w:hAnsi="宋体" w:eastAsia="宋体" w:cs="宋体"/>
          <w:color w:val="auto"/>
          <w:szCs w:val="21"/>
          <w:highlight w:val="none"/>
        </w:rPr>
        <w:t>。</w:t>
      </w:r>
    </w:p>
    <w:p w14:paraId="37D621E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3、单价合同的总价项目支付分解表的编制与审批：</w:t>
      </w:r>
      <w:bookmarkStart w:id="482" w:name="EB03cb45d60b2949c68096f515a4d80a28"/>
      <w:r>
        <w:rPr>
          <w:rFonts w:hint="eastAsia" w:ascii="宋体" w:hAnsi="宋体" w:eastAsia="宋体" w:cs="宋体"/>
          <w:color w:val="auto"/>
          <w:szCs w:val="21"/>
          <w:highlight w:val="none"/>
          <w:u w:val="single"/>
        </w:rPr>
        <w:t>按中标价折算为费率与已完工程产值同期审批</w:t>
      </w:r>
      <w:bookmarkEnd w:id="482"/>
      <w:r>
        <w:rPr>
          <w:rFonts w:hint="eastAsia" w:ascii="宋体" w:hAnsi="宋体" w:eastAsia="宋体" w:cs="宋体"/>
          <w:color w:val="auto"/>
          <w:szCs w:val="21"/>
          <w:highlight w:val="none"/>
        </w:rPr>
        <w:t>。</w:t>
      </w:r>
    </w:p>
    <w:p w14:paraId="035874A6">
      <w:pPr>
        <w:pageBreakBefore w:val="0"/>
        <w:widowControl w:val="0"/>
        <w:spacing w:after="120" w:line="400" w:lineRule="exact"/>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 人工费（农民工工资）</w:t>
      </w:r>
    </w:p>
    <w:p w14:paraId="433F924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12.6.1 工程款分账管理</w:t>
      </w:r>
    </w:p>
    <w:p w14:paraId="7442445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实施人工费与其他工程款分账管理。发包人将工程款中的人工费部分单独列出，拨付至承包人在工程所在地银行开设的农民工工资专用账户，在拨付进度款时抵扣。</w:t>
      </w:r>
    </w:p>
    <w:p w14:paraId="56A95F5B">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12.6.2 人工费支付方式</w:t>
      </w:r>
    </w:p>
    <w:p w14:paraId="0529656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发包人应当及时足额支付承包人人工费，人工费支付采用以下第</w:t>
      </w:r>
      <w:bookmarkStart w:id="483" w:name="EB6c6e2d59392c417996267243f010a522"/>
      <w:bookmarkEnd w:id="483"/>
      <w:r>
        <w:rPr>
          <w:rFonts w:hint="eastAsia" w:ascii="宋体" w:hAnsi="宋体" w:eastAsia="宋体" w:cs="宋体"/>
          <w:color w:val="auto"/>
          <w:szCs w:val="21"/>
          <w:highlight w:val="none"/>
        </w:rPr>
        <w:t>种方式：</w:t>
      </w:r>
    </w:p>
    <w:p w14:paraId="17A3ED0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（1）按月预付。在合同工期内，每月</w:t>
      </w:r>
      <w:bookmarkStart w:id="484" w:name="EB792b733834644db5b5999b70eea3e5b2"/>
      <w:bookmarkEnd w:id="484"/>
      <w:r>
        <w:rPr>
          <w:rFonts w:hint="eastAsia" w:ascii="宋体" w:hAnsi="宋体" w:eastAsia="宋体" w:cs="宋体"/>
          <w:color w:val="auto"/>
          <w:szCs w:val="21"/>
          <w:highlight w:val="none"/>
        </w:rPr>
        <w:t>日前将本月施工所需人工费（不低于该工程全部人工费按合同工期的月平均额）支付至承包人农民工工资专用账户。</w:t>
      </w:r>
    </w:p>
    <w:p w14:paraId="62B214F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（2）按月支付。发包人根据承包人每月提报的已完成施工产值中的人工费清单，按月将人工费支付至承包人农民工工资专用账户。</w:t>
      </w:r>
    </w:p>
    <w:p w14:paraId="02CD0EA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（3）按比例支付。发包人于每月</w:t>
      </w:r>
      <w:bookmarkStart w:id="485" w:name="EBd1f71dfb460740d0ab973080d55a9816"/>
      <w:bookmarkEnd w:id="485"/>
      <w:r>
        <w:rPr>
          <w:rFonts w:hint="eastAsia" w:ascii="宋体" w:hAnsi="宋体" w:eastAsia="宋体" w:cs="宋体"/>
          <w:color w:val="auto"/>
          <w:szCs w:val="21"/>
          <w:highlight w:val="none"/>
        </w:rPr>
        <w:t>日前，按照双方约定的月度工程款的</w:t>
      </w:r>
      <w:bookmarkStart w:id="486" w:name="EBecb591cdf44e41e39ec247b2b802c77c"/>
      <w:bookmarkEnd w:id="486"/>
      <w:r>
        <w:rPr>
          <w:rFonts w:hint="eastAsia" w:ascii="宋体" w:hAnsi="宋体" w:eastAsia="宋体" w:cs="宋体"/>
          <w:color w:val="auto"/>
          <w:szCs w:val="21"/>
          <w:highlight w:val="none"/>
        </w:rPr>
        <w:t>%（不低于建设主管部门规定），存入承包人开设的农民工工资款专用账户。</w:t>
      </w:r>
    </w:p>
    <w:p w14:paraId="613F65B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（4）发包人和承包人依法约定的其他支付方式：</w:t>
      </w:r>
    </w:p>
    <w:p w14:paraId="78E5A2FE">
      <w:pPr>
        <w:pStyle w:val="5"/>
        <w:pageBreakBefore w:val="0"/>
        <w:widowControl w:val="0"/>
        <w:spacing w:before="120" w:after="120" w:line="400" w:lineRule="exact"/>
        <w:rPr>
          <w:rFonts w:hint="eastAsia" w:ascii="宋体" w:hAnsi="宋体" w:eastAsia="宋体" w:cs="宋体"/>
          <w:b w:val="0"/>
          <w:color w:val="auto"/>
          <w:sz w:val="21"/>
          <w:szCs w:val="21"/>
          <w:highlight w:val="none"/>
        </w:rPr>
      </w:pPr>
      <w:bookmarkStart w:id="487" w:name="EBb8e3d1c235d94f228eba9e66746ab261"/>
      <w:bookmarkEnd w:id="487"/>
      <w:r>
        <w:rPr>
          <w:rFonts w:hint="eastAsia" w:ascii="宋体" w:hAnsi="宋体" w:eastAsia="宋体" w:cs="宋体"/>
          <w:b w:val="0"/>
          <w:color w:val="auto"/>
          <w:sz w:val="21"/>
          <w:szCs w:val="21"/>
          <w:highlight w:val="none"/>
        </w:rPr>
        <w:t>13. 验收和工程试车</w:t>
      </w:r>
    </w:p>
    <w:p w14:paraId="7467092D">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分部分项工程验收</w:t>
      </w:r>
    </w:p>
    <w:p w14:paraId="0D251EF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bookmarkStart w:id="488" w:name="EBb95ad652d9144b9781840d24af19b278"/>
      <w:r>
        <w:rPr>
          <w:rFonts w:hint="eastAsia" w:ascii="宋体" w:hAnsi="宋体" w:eastAsia="宋体" w:cs="宋体"/>
          <w:color w:val="auto"/>
          <w:szCs w:val="21"/>
          <w:highlight w:val="none"/>
          <w:u w:val="single"/>
        </w:rPr>
        <w:t>8</w:t>
      </w:r>
      <w:bookmarkEnd w:id="488"/>
      <w:r>
        <w:rPr>
          <w:rFonts w:hint="eastAsia" w:ascii="宋体" w:hAnsi="宋体" w:eastAsia="宋体" w:cs="宋体"/>
          <w:color w:val="auto"/>
          <w:szCs w:val="21"/>
          <w:highlight w:val="none"/>
        </w:rPr>
        <w:t>小时提交书面延期要求。</w:t>
      </w:r>
    </w:p>
    <w:p w14:paraId="28F3C23C">
      <w:pPr>
        <w:pageBreakBefore w:val="0"/>
        <w:widowControl w:val="0"/>
        <w:spacing w:line="400" w:lineRule="exact"/>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关于延期最长不得超过：</w:t>
      </w:r>
      <w:bookmarkStart w:id="489" w:name="EB3c3cba56bd2f423581ca371ef7556ca0"/>
      <w:r>
        <w:rPr>
          <w:rFonts w:hint="eastAsia" w:ascii="宋体" w:hAnsi="宋体" w:eastAsia="宋体" w:cs="宋体"/>
          <w:color w:val="auto"/>
          <w:szCs w:val="21"/>
          <w:highlight w:val="none"/>
          <w:u w:val="single"/>
        </w:rPr>
        <w:t>24</w:t>
      </w:r>
      <w:bookmarkEnd w:id="489"/>
      <w:r>
        <w:rPr>
          <w:rFonts w:hint="eastAsia" w:ascii="宋体" w:hAnsi="宋体" w:eastAsia="宋体" w:cs="宋体"/>
          <w:color w:val="auto"/>
          <w:szCs w:val="21"/>
          <w:highlight w:val="none"/>
        </w:rPr>
        <w:t>小时。</w:t>
      </w:r>
    </w:p>
    <w:p w14:paraId="43944A40">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竣工验收</w:t>
      </w:r>
    </w:p>
    <w:p w14:paraId="7E4B21F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13.2.2竣工验收程序</w:t>
      </w:r>
    </w:p>
    <w:p w14:paraId="43AAE421">
      <w:pPr>
        <w:pageBreakBefore w:val="0"/>
        <w:widowControl w:val="0"/>
        <w:spacing w:line="400" w:lineRule="exact"/>
        <w:ind w:left="4200" w:hanging="37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关于竣工验收程序的约定：</w:t>
      </w:r>
      <w:bookmarkStart w:id="490" w:name="EB7edad710c2a748c6b4d20f99404ab18f"/>
      <w:r>
        <w:rPr>
          <w:rFonts w:hint="eastAsia" w:ascii="宋体" w:hAnsi="宋体" w:eastAsia="宋体" w:cs="宋体"/>
          <w:color w:val="auto"/>
          <w:szCs w:val="21"/>
          <w:highlight w:val="none"/>
          <w:u w:val="single"/>
        </w:rPr>
        <w:t>执行通用条款13.2.2</w:t>
      </w:r>
      <w:bookmarkEnd w:id="490"/>
      <w:r>
        <w:rPr>
          <w:rFonts w:hint="eastAsia" w:ascii="宋体" w:hAnsi="宋体" w:eastAsia="宋体" w:cs="宋体"/>
          <w:color w:val="auto"/>
          <w:szCs w:val="21"/>
          <w:highlight w:val="none"/>
        </w:rPr>
        <w:t>。</w:t>
      </w:r>
    </w:p>
    <w:p w14:paraId="1BEB697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发包人不按照本项约定组织竣工验收、颁发工程接收证书的违约金的计算方法：</w:t>
      </w:r>
      <w:bookmarkStart w:id="491" w:name="EB847b0217f64c43869b1fca600b6d0a98"/>
      <w:r>
        <w:rPr>
          <w:rFonts w:hint="eastAsia" w:ascii="宋体" w:hAnsi="宋体" w:eastAsia="宋体" w:cs="宋体"/>
          <w:color w:val="auto"/>
          <w:szCs w:val="21"/>
          <w:highlight w:val="none"/>
        </w:rPr>
        <w:t>/</w:t>
      </w:r>
      <w:bookmarkEnd w:id="491"/>
      <w:r>
        <w:rPr>
          <w:rFonts w:hint="eastAsia" w:ascii="宋体" w:hAnsi="宋体" w:eastAsia="宋体" w:cs="宋体"/>
          <w:color w:val="auto"/>
          <w:szCs w:val="21"/>
          <w:highlight w:val="none"/>
        </w:rPr>
        <w:t>。</w:t>
      </w:r>
    </w:p>
    <w:p w14:paraId="468A9D9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p w14:paraId="461F140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承包人向发包人移交工程的期限：</w:t>
      </w:r>
    </w:p>
    <w:p w14:paraId="133C5504">
      <w:pPr>
        <w:pageBreakBefore w:val="0"/>
        <w:widowControl w:val="0"/>
        <w:spacing w:line="400" w:lineRule="exact"/>
        <w:ind w:firstLine="420"/>
        <w:rPr>
          <w:rFonts w:hint="eastAsia" w:ascii="宋体" w:hAnsi="宋体" w:eastAsia="宋体" w:cs="宋体"/>
          <w:color w:val="auto"/>
          <w:szCs w:val="21"/>
          <w:highlight w:val="none"/>
        </w:rPr>
      </w:pPr>
      <w:bookmarkStart w:id="492" w:name="EBd001e50a91824b4ca0cb44f5758fcb6c"/>
      <w:r>
        <w:rPr>
          <w:rFonts w:hint="eastAsia" w:ascii="宋体" w:hAnsi="宋体" w:eastAsia="宋体" w:cs="宋体"/>
          <w:color w:val="auto"/>
          <w:szCs w:val="21"/>
          <w:highlight w:val="none"/>
        </w:rPr>
        <w:t>1、竣</w:t>
      </w:r>
      <w:bookmarkEnd w:id="492"/>
      <w:r>
        <w:rPr>
          <w:rFonts w:hint="eastAsia" w:ascii="宋体" w:hAnsi="宋体" w:eastAsia="宋体" w:cs="宋体"/>
          <w:color w:val="auto"/>
          <w:szCs w:val="21"/>
          <w:highlight w:val="none"/>
        </w:rPr>
        <w:t>工结算由承包人编制，并在竣工验收通过之日起，28天内向发包人递交竣工结算报告及完整的结算资料；2、竣工结算的编制方式应按《江苏省工程造价咨询业务指导规程》对建设工程结算书的要求、方法编制。3.凡结算审计核减率超过7%的，超过部分的审计费由施工单位承担，并直接在审定结算中予以折抵。</w:t>
      </w:r>
    </w:p>
    <w:p w14:paraId="42E20C83">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发包人未按本合同约定接收全部或部分工程的，违约金的计算方法为：</w:t>
      </w:r>
      <w:bookmarkStart w:id="493" w:name="EBcd20677fe0ab40acb2d933654ea082af"/>
      <w:r>
        <w:rPr>
          <w:rFonts w:hint="eastAsia" w:ascii="宋体" w:hAnsi="宋体" w:eastAsia="宋体" w:cs="宋体"/>
          <w:color w:val="auto"/>
          <w:szCs w:val="21"/>
          <w:highlight w:val="none"/>
        </w:rPr>
        <w:t>/</w:t>
      </w:r>
      <w:bookmarkEnd w:id="493"/>
      <w:r>
        <w:rPr>
          <w:rFonts w:hint="eastAsia" w:ascii="宋体" w:hAnsi="宋体" w:eastAsia="宋体" w:cs="宋体"/>
          <w:color w:val="auto"/>
          <w:szCs w:val="21"/>
          <w:highlight w:val="none"/>
        </w:rPr>
        <w:t>。</w:t>
      </w:r>
    </w:p>
    <w:p w14:paraId="7CD8E6F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承包人未按时移交工程的，违约金的计算方法为：</w:t>
      </w:r>
      <w:bookmarkStart w:id="494" w:name="EB0d2965a3f5ef4d27bf40cdba10c33acb"/>
      <w:r>
        <w:rPr>
          <w:rFonts w:hint="eastAsia" w:ascii="宋体" w:hAnsi="宋体" w:eastAsia="宋体" w:cs="宋体"/>
          <w:color w:val="auto"/>
          <w:szCs w:val="21"/>
          <w:highlight w:val="none"/>
        </w:rPr>
        <w:t>每延误一日，扣工程价款的千分之一</w:t>
      </w:r>
      <w:bookmarkEnd w:id="494"/>
      <w:r>
        <w:rPr>
          <w:rFonts w:hint="eastAsia" w:ascii="宋体" w:hAnsi="宋体" w:eastAsia="宋体" w:cs="宋体"/>
          <w:color w:val="auto"/>
          <w:szCs w:val="21"/>
          <w:highlight w:val="none"/>
        </w:rPr>
        <w:t>。</w:t>
      </w:r>
    </w:p>
    <w:p w14:paraId="7E59598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工程试车</w:t>
      </w:r>
    </w:p>
    <w:p w14:paraId="57109F2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13.3.1 试车程序</w:t>
      </w:r>
    </w:p>
    <w:p w14:paraId="658CC0C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工程试车内容：</w:t>
      </w:r>
      <w:bookmarkStart w:id="495" w:name="EB0f0fd06d4d82435bb1c4524a22e179c5"/>
      <w:r>
        <w:rPr>
          <w:rFonts w:hint="eastAsia" w:ascii="宋体" w:hAnsi="宋体" w:eastAsia="宋体" w:cs="宋体"/>
          <w:color w:val="auto"/>
          <w:szCs w:val="21"/>
          <w:highlight w:val="none"/>
        </w:rPr>
        <w:t>/</w:t>
      </w:r>
      <w:bookmarkEnd w:id="495"/>
      <w:r>
        <w:rPr>
          <w:rFonts w:hint="eastAsia" w:ascii="宋体" w:hAnsi="宋体" w:eastAsia="宋体" w:cs="宋体"/>
          <w:color w:val="auto"/>
          <w:szCs w:val="21"/>
          <w:highlight w:val="none"/>
        </w:rPr>
        <w:t>。</w:t>
      </w:r>
    </w:p>
    <w:p w14:paraId="7CBDDAB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（1）单机无负荷试车费用由</w:t>
      </w:r>
      <w:bookmarkStart w:id="496" w:name="EBbc23ba363bce43cebfcf2990577bc549"/>
      <w:r>
        <w:rPr>
          <w:rFonts w:hint="eastAsia" w:ascii="宋体" w:hAnsi="宋体" w:eastAsia="宋体" w:cs="宋体"/>
          <w:color w:val="auto"/>
          <w:szCs w:val="21"/>
          <w:highlight w:val="none"/>
        </w:rPr>
        <w:t>/</w:t>
      </w:r>
      <w:bookmarkEnd w:id="496"/>
      <w:r>
        <w:rPr>
          <w:rFonts w:hint="eastAsia" w:ascii="宋体" w:hAnsi="宋体" w:eastAsia="宋体" w:cs="宋体"/>
          <w:color w:val="auto"/>
          <w:szCs w:val="21"/>
          <w:highlight w:val="none"/>
        </w:rPr>
        <w:t>承担；</w:t>
      </w:r>
    </w:p>
    <w:p w14:paraId="0927C6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（2）无负荷联动试车费用由</w:t>
      </w:r>
      <w:bookmarkStart w:id="497" w:name="EB1e3f7e61b1b6467d8a525c011923fd1b"/>
      <w:r>
        <w:rPr>
          <w:rFonts w:hint="eastAsia" w:ascii="宋体" w:hAnsi="宋体" w:eastAsia="宋体" w:cs="宋体"/>
          <w:color w:val="auto"/>
          <w:szCs w:val="21"/>
          <w:highlight w:val="none"/>
        </w:rPr>
        <w:t>/</w:t>
      </w:r>
      <w:bookmarkEnd w:id="497"/>
      <w:r>
        <w:rPr>
          <w:rFonts w:hint="eastAsia" w:ascii="宋体" w:hAnsi="宋体" w:eastAsia="宋体" w:cs="宋体"/>
          <w:color w:val="auto"/>
          <w:szCs w:val="21"/>
          <w:highlight w:val="none"/>
        </w:rPr>
        <w:t>承担。</w:t>
      </w:r>
    </w:p>
    <w:p w14:paraId="7F062088">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13.3.3 投料试车</w:t>
      </w:r>
    </w:p>
    <w:p w14:paraId="0E09753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关于投料试车相关事项的约定：</w:t>
      </w:r>
      <w:r>
        <w:rPr>
          <w:rFonts w:hint="eastAsia" w:ascii="宋体" w:hAnsi="宋体" w:eastAsia="宋体" w:cs="宋体"/>
          <w:color w:val="auto"/>
          <w:szCs w:val="21"/>
          <w:highlight w:val="none"/>
          <w:u w:val="single"/>
        </w:rPr>
        <w:t>投料试车费用由承包人承担</w:t>
      </w:r>
      <w:r>
        <w:rPr>
          <w:rFonts w:hint="eastAsia" w:ascii="宋体" w:hAnsi="宋体" w:eastAsia="宋体" w:cs="宋体"/>
          <w:color w:val="auto"/>
          <w:szCs w:val="21"/>
          <w:highlight w:val="none"/>
        </w:rPr>
        <w:t>。</w:t>
      </w:r>
    </w:p>
    <w:p w14:paraId="2A179CA0">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 竣工退场</w:t>
      </w:r>
    </w:p>
    <w:p w14:paraId="67EDCA4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13.6.1 竣工退场</w:t>
      </w:r>
    </w:p>
    <w:p w14:paraId="3203707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承包人完成竣工退场的期限：</w:t>
      </w:r>
      <w:bookmarkStart w:id="498" w:name="EB672ef2e8108946dea38d00a6dca869bc"/>
      <w:r>
        <w:rPr>
          <w:rFonts w:hint="eastAsia" w:ascii="宋体" w:hAnsi="宋体" w:eastAsia="宋体" w:cs="宋体"/>
          <w:color w:val="auto"/>
          <w:szCs w:val="21"/>
          <w:highlight w:val="none"/>
        </w:rPr>
        <w:t>按照通用条款13.6.1对现场进行清理，并在工程竣工验收合格后7天内完成竣工退场，如承包人未能在7天内完成竣工退场，发包人有权暂停竣工结算，并对承包人处以中标合同价千分之一每天的罚款</w:t>
      </w:r>
      <w:bookmarkEnd w:id="498"/>
      <w:r>
        <w:rPr>
          <w:rFonts w:hint="eastAsia" w:ascii="宋体" w:hAnsi="宋体" w:eastAsia="宋体" w:cs="宋体"/>
          <w:color w:val="auto"/>
          <w:szCs w:val="21"/>
          <w:highlight w:val="none"/>
        </w:rPr>
        <w:t>。</w:t>
      </w:r>
    </w:p>
    <w:p w14:paraId="013EFA00">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 过程结算和竣工结算</w:t>
      </w:r>
    </w:p>
    <w:p w14:paraId="36396D8B">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过程结算与支付</w:t>
      </w:r>
    </w:p>
    <w:p w14:paraId="38C66B0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14.1.1 关于过程结算周期及节点的约定：</w:t>
      </w:r>
      <w:r>
        <w:rPr>
          <w:rFonts w:hint="eastAsia" w:ascii="宋体" w:hAnsi="宋体" w:eastAsia="宋体" w:cs="宋体"/>
          <w:color w:val="auto"/>
          <w:szCs w:val="21"/>
          <w:highlight w:val="none"/>
          <w:u w:val="single"/>
        </w:rPr>
        <w:t>发包人应根据建设工程项目特点、重要施工节点、时间节点或进度节点，按照《江苏省房屋建筑与市政基础设施工程施工过程结算实施技术指南（试行）》的划分要求在本条款中予以明确，原则上过程结算频次不超过3次。例如：土建工程以±0.00、主体封顶、满足设计使用功能（装饰装修、消防、暖通、楼宇智能化等完成）为节点；市政工程以原地面处理及路基填筑完成、路面完成为节点</w:t>
      </w:r>
      <w:r>
        <w:rPr>
          <w:rFonts w:hint="eastAsia" w:ascii="宋体" w:hAnsi="宋体" w:eastAsia="宋体" w:cs="宋体"/>
          <w:color w:val="auto"/>
          <w:szCs w:val="21"/>
          <w:highlight w:val="none"/>
        </w:rPr>
        <w:t>。</w:t>
      </w:r>
    </w:p>
    <w:p w14:paraId="6945EF3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14.1.2 关于过程结算程序的约定：该工程属</w:t>
      </w:r>
      <w:r>
        <w:rPr>
          <w:rFonts w:hint="eastAsia" w:ascii="宋体" w:hAnsi="宋体" w:eastAsia="宋体" w:cs="宋体"/>
          <w:color w:val="auto"/>
          <w:szCs w:val="21"/>
          <w:highlight w:val="none"/>
          <w:u w:val="single"/>
        </w:rPr>
        <w:t>计划工期超过一年且批复概算超过2000万元（含）的政府投资工程，根据《关于完善我市级政府投资项目工程建设资金支付办法的通知通知》（丹政办发〔2025〕36号）的要求，实行过程结算。根据上述结算周期及节点的约定，凭有权审计机构依据施工过程中分阶段验收合格且无争议的过程结算审计报告申请付款</w:t>
      </w:r>
      <w:r>
        <w:rPr>
          <w:rFonts w:hint="eastAsia" w:ascii="宋体" w:hAnsi="宋体" w:eastAsia="宋体" w:cs="宋体"/>
          <w:color w:val="auto"/>
          <w:szCs w:val="21"/>
          <w:highlight w:val="none"/>
        </w:rPr>
        <w:t>。</w:t>
      </w:r>
    </w:p>
    <w:p w14:paraId="2BB9D60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过程结算所需资料：</w:t>
      </w:r>
      <w:r>
        <w:rPr>
          <w:rFonts w:hint="eastAsia" w:ascii="宋体" w:hAnsi="宋体" w:eastAsia="宋体" w:cs="宋体"/>
          <w:color w:val="auto"/>
          <w:szCs w:val="21"/>
          <w:highlight w:val="none"/>
          <w:u w:val="single"/>
        </w:rPr>
        <w:t>分部分项质量验收合格证明、有权审计机构出具的过程结算审计报告、过程结算支付申请材料</w:t>
      </w:r>
      <w:r>
        <w:rPr>
          <w:rFonts w:hint="eastAsia" w:ascii="宋体" w:hAnsi="宋体" w:eastAsia="宋体" w:cs="宋体"/>
          <w:color w:val="auto"/>
          <w:szCs w:val="21"/>
          <w:highlight w:val="none"/>
        </w:rPr>
        <w:t>。</w:t>
      </w:r>
    </w:p>
    <w:p w14:paraId="5092E851">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14.1.3 关于过程结算修正的约定：</w:t>
      </w:r>
    </w:p>
    <w:p w14:paraId="3E2416B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存在以下情形之一的，发包人和承包人均有权提出修正申请：</w:t>
      </w:r>
    </w:p>
    <w:p w14:paraId="4ED6AA21">
      <w:pPr>
        <w:pageBreakBefore w:val="0"/>
        <w:widowControl w:val="0"/>
        <w:spacing w:after="120" w:line="400" w:lineRule="exact"/>
        <w:ind w:firstLine="420"/>
        <w:outlineLvl w:val="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（1）施工过程验收不代替竣工验收，不能免除或诚轻在工程竣工验收时质量不合格承包人应承担的整改义务，施工过程结算也不应影响缺陷责任期及质量保修期。</w:t>
      </w:r>
    </w:p>
    <w:p w14:paraId="2E0071BF">
      <w:pPr>
        <w:pageBreakBefore w:val="0"/>
        <w:widowControl w:val="0"/>
        <w:spacing w:after="120" w:line="400" w:lineRule="exact"/>
        <w:ind w:firstLine="420"/>
        <w:outlineLvl w:val="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（2）以往历次已签发的过程结算支付证书在汇总和复核中发现有错、漏或重复的，应予修正。</w:t>
      </w:r>
    </w:p>
    <w:p w14:paraId="2793B4D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竣工结算申请与审核</w:t>
      </w:r>
    </w:p>
    <w:p w14:paraId="4918FBF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p>
    <w:p w14:paraId="1F9A7299">
      <w:pPr>
        <w:pageBreakBefore w:val="0"/>
        <w:widowControl w:val="0"/>
        <w:spacing w:after="120" w:line="400" w:lineRule="exact"/>
        <w:ind w:firstLine="420"/>
        <w:outlineLvl w:val="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因该工程属于政府投资工程，工程结算须经丹阳市有权审计机构，故在未完成审计前，不得因发包人未能按期完成竣工付款申请单的审批而视为发包方已认可承包人提供的竣工付款申请单。</w:t>
      </w:r>
    </w:p>
    <w:p w14:paraId="0B0D1D6B">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执行12.4.1条。</w:t>
      </w:r>
    </w:p>
    <w:p w14:paraId="58BE5819">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关于竣工付款证书异议部分复核的方式和程序：</w:t>
      </w:r>
    </w:p>
    <w:p w14:paraId="3F448D2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应当配合丹阳市有权审计机构的结算审计工作。若承包人未履行配合义务或无正当理由（未按合同约定的计量计价方式）拒绝接受审计结果的，发包人有权暂停支付工程款，同时丹阳市有权审计机构有权直接出具审计报告。该项目为政府投资工程，最终结算价应以丹阳市有权审计机构出具的审定价为准。</w:t>
      </w:r>
    </w:p>
    <w:p w14:paraId="17E0618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（2）凡结算审计核减率超过7%的，超过部分的审计费由施工单位承担，并直接在审定结算中予以折抵。</w:t>
      </w:r>
    </w:p>
    <w:p w14:paraId="45AD4D6E">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（3）因非承包人原因整体（全部）取消原定单项工作内容，由此产生的不平衡报价引起价格调整应参照《关于明确建设工程计价管理相关问题的意见（二）》（镇建价〔2019〕1号）相关规定执行。14.4 最终结清</w:t>
      </w:r>
    </w:p>
    <w:p w14:paraId="2BA51BE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14.4.1 最终结清申请单</w:t>
      </w:r>
    </w:p>
    <w:p w14:paraId="36C13BC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承包人提交最终结清申请单的份数：</w:t>
      </w:r>
      <w:bookmarkStart w:id="499" w:name="EB2354e93ba72542c88357937da19659ac"/>
      <w:r>
        <w:rPr>
          <w:rFonts w:hint="eastAsia" w:ascii="宋体" w:hAnsi="宋体" w:eastAsia="宋体" w:cs="宋体"/>
          <w:color w:val="auto"/>
          <w:szCs w:val="21"/>
          <w:highlight w:val="none"/>
          <w:u w:val="single"/>
        </w:rPr>
        <w:t>一式陆份</w:t>
      </w:r>
      <w:bookmarkEnd w:id="499"/>
      <w:r>
        <w:rPr>
          <w:rFonts w:hint="eastAsia" w:ascii="宋体" w:hAnsi="宋体" w:eastAsia="宋体" w:cs="宋体"/>
          <w:color w:val="auto"/>
          <w:szCs w:val="21"/>
          <w:highlight w:val="none"/>
        </w:rPr>
        <w:t>。</w:t>
      </w:r>
    </w:p>
    <w:p w14:paraId="087E46A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承包人提交最终结算申请单的期限：</w:t>
      </w:r>
      <w:bookmarkStart w:id="500" w:name="EBbdc87edacd0844f3883ddabcefdd84a0"/>
      <w:r>
        <w:rPr>
          <w:rFonts w:hint="eastAsia" w:ascii="宋体" w:hAnsi="宋体" w:eastAsia="宋体" w:cs="宋体"/>
          <w:color w:val="auto"/>
          <w:szCs w:val="21"/>
          <w:highlight w:val="none"/>
          <w:u w:val="single"/>
        </w:rPr>
        <w:t>完成工程竣工验收之日后</w:t>
      </w:r>
      <w:bookmarkEnd w:id="500"/>
      <w:r>
        <w:rPr>
          <w:rFonts w:hint="eastAsia" w:ascii="宋体" w:hAnsi="宋体" w:eastAsia="宋体" w:cs="宋体"/>
          <w:color w:val="auto"/>
          <w:szCs w:val="21"/>
          <w:highlight w:val="none"/>
        </w:rPr>
        <w:t xml:space="preserve">。 </w:t>
      </w:r>
    </w:p>
    <w:p w14:paraId="7D55FB6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 最终结清证书和支付</w:t>
      </w:r>
    </w:p>
    <w:p w14:paraId="452DBAA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两年缺陷责任期届满后（苗木养护期），凭丹阳市财政投资评审中心出具的竣工财务决算评审报告付清</w:t>
      </w:r>
      <w:r>
        <w:rPr>
          <w:rFonts w:hint="eastAsia" w:ascii="宋体" w:hAnsi="宋体" w:eastAsia="宋体" w:cs="宋体"/>
          <w:color w:val="auto"/>
          <w:szCs w:val="21"/>
          <w:highlight w:val="none"/>
        </w:rPr>
        <w:t>。</w:t>
      </w:r>
    </w:p>
    <w:p w14:paraId="3D8C84A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宋体" w:hAnsi="宋体" w:eastAsia="宋体" w:cs="宋体"/>
          <w:color w:val="auto"/>
          <w:szCs w:val="21"/>
          <w:highlight w:val="none"/>
        </w:rPr>
        <w:t>。</w:t>
      </w:r>
    </w:p>
    <w:p w14:paraId="4BC47073">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 缺陷责任期与保修</w:t>
      </w:r>
    </w:p>
    <w:p w14:paraId="57A8E1D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15.2缺陷责任期</w:t>
      </w:r>
    </w:p>
    <w:p w14:paraId="2EFB761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缺陷责任期的具体期限：</w:t>
      </w:r>
      <w:bookmarkStart w:id="501" w:name="EBb96837922cbc484493f445a4455515e0"/>
      <w:r>
        <w:rPr>
          <w:rFonts w:hint="eastAsia" w:ascii="宋体" w:hAnsi="宋体" w:eastAsia="宋体" w:cs="宋体"/>
          <w:color w:val="auto"/>
          <w:szCs w:val="21"/>
          <w:highlight w:val="none"/>
          <w:u w:val="single"/>
        </w:rPr>
        <w:t>自竣工验收合格之日起贰年</w:t>
      </w:r>
      <w:bookmarkEnd w:id="501"/>
      <w:r>
        <w:rPr>
          <w:rFonts w:hint="eastAsia" w:ascii="宋体" w:hAnsi="宋体" w:eastAsia="宋体" w:cs="宋体"/>
          <w:color w:val="auto"/>
          <w:szCs w:val="21"/>
          <w:highlight w:val="none"/>
        </w:rPr>
        <w:t>。</w:t>
      </w:r>
    </w:p>
    <w:p w14:paraId="38049A1B">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 质量保证金</w:t>
      </w:r>
    </w:p>
    <w:p w14:paraId="39C9917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已包含在工程尾款之中</w:t>
      </w:r>
      <w:r>
        <w:rPr>
          <w:rFonts w:hint="eastAsia" w:ascii="宋体" w:hAnsi="宋体" w:eastAsia="宋体" w:cs="宋体"/>
          <w:color w:val="auto"/>
          <w:szCs w:val="21"/>
          <w:highlight w:val="none"/>
        </w:rPr>
        <w:t>。</w:t>
      </w:r>
    </w:p>
    <w:p w14:paraId="3A1AE65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在工程项目竣工前，承包人按专用合同条款第3.7条提供履约担保的，发包人不得同时预留工程质量保证金。</w:t>
      </w:r>
    </w:p>
    <w:p w14:paraId="45A46F4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15.3.1 承包人提供质量保证金的方式</w:t>
      </w:r>
    </w:p>
    <w:p w14:paraId="7CAA20F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bookmarkStart w:id="502" w:name="EB8f34c043b8ea4f81b5de1615638dd312"/>
      <w:r>
        <w:rPr>
          <w:rFonts w:hint="eastAsia" w:ascii="宋体" w:hAnsi="宋体" w:eastAsia="宋体" w:cs="宋体"/>
          <w:color w:val="auto"/>
          <w:szCs w:val="21"/>
          <w:highlight w:val="none"/>
        </w:rPr>
        <w:t>/</w:t>
      </w:r>
      <w:bookmarkEnd w:id="502"/>
      <w:r>
        <w:rPr>
          <w:rFonts w:hint="eastAsia" w:ascii="宋体" w:hAnsi="宋体" w:eastAsia="宋体" w:cs="宋体"/>
          <w:color w:val="auto"/>
          <w:szCs w:val="21"/>
          <w:highlight w:val="none"/>
        </w:rPr>
        <w:t>种方式：</w:t>
      </w:r>
    </w:p>
    <w:p w14:paraId="162448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（1）质量保证金保函，保证金额为：</w:t>
      </w:r>
      <w:bookmarkStart w:id="503" w:name="EBb73b33f7b67641a19987642267911e02"/>
      <w:r>
        <w:rPr>
          <w:rFonts w:hint="eastAsia" w:ascii="宋体" w:hAnsi="宋体" w:eastAsia="宋体" w:cs="宋体"/>
          <w:color w:val="auto"/>
          <w:szCs w:val="21"/>
          <w:highlight w:val="none"/>
        </w:rPr>
        <w:t>/</w:t>
      </w:r>
      <w:bookmarkEnd w:id="503"/>
      <w:r>
        <w:rPr>
          <w:rFonts w:hint="eastAsia" w:ascii="宋体" w:hAnsi="宋体" w:eastAsia="宋体" w:cs="宋体"/>
          <w:color w:val="auto"/>
          <w:szCs w:val="21"/>
          <w:highlight w:val="none"/>
        </w:rPr>
        <w:t xml:space="preserve">； </w:t>
      </w:r>
    </w:p>
    <w:p w14:paraId="086E5EE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bookmarkStart w:id="504" w:name="EBc3e6022b4f7a4ffe8fb4a64a10213b20"/>
      <w:r>
        <w:rPr>
          <w:rFonts w:hint="eastAsia" w:ascii="宋体" w:hAnsi="宋体" w:eastAsia="宋体" w:cs="宋体"/>
          <w:color w:val="auto"/>
          <w:szCs w:val="21"/>
          <w:highlight w:val="none"/>
          <w:u w:val="single"/>
        </w:rPr>
        <w:t>本工程结算价款3</w:t>
      </w:r>
      <w:bookmarkEnd w:id="504"/>
      <w:r>
        <w:rPr>
          <w:rFonts w:hint="eastAsia" w:ascii="宋体" w:hAnsi="宋体" w:eastAsia="宋体" w:cs="宋体"/>
          <w:color w:val="auto"/>
          <w:szCs w:val="21"/>
          <w:highlight w:val="none"/>
        </w:rPr>
        <w:t>%的工程款；</w:t>
      </w:r>
    </w:p>
    <w:p w14:paraId="1461D99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（3）其他方式</w:t>
      </w:r>
      <w:bookmarkStart w:id="505" w:name="EBa6c318d912d74ffc855b8a1ebac9982f"/>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bookmarkEnd w:id="505"/>
      <w:r>
        <w:rPr>
          <w:rFonts w:hint="eastAsia" w:ascii="宋体" w:hAnsi="宋体" w:eastAsia="宋体" w:cs="宋体"/>
          <w:color w:val="auto"/>
          <w:szCs w:val="21"/>
          <w:highlight w:val="none"/>
        </w:rPr>
        <w:t>。</w:t>
      </w:r>
    </w:p>
    <w:p w14:paraId="3E83553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15.3.2 质量保证金的扣留 </w:t>
      </w:r>
    </w:p>
    <w:p w14:paraId="26920AA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bookmarkStart w:id="506" w:name="EBc6578a82612747b0b43c70ed831b36b4"/>
      <w:r>
        <w:rPr>
          <w:rFonts w:hint="eastAsia" w:ascii="宋体" w:hAnsi="宋体" w:eastAsia="宋体" w:cs="宋体"/>
          <w:color w:val="auto"/>
          <w:szCs w:val="21"/>
          <w:highlight w:val="none"/>
        </w:rPr>
        <w:t>/</w:t>
      </w:r>
      <w:bookmarkEnd w:id="506"/>
      <w:r>
        <w:rPr>
          <w:rFonts w:hint="eastAsia" w:ascii="宋体" w:hAnsi="宋体" w:eastAsia="宋体" w:cs="宋体"/>
          <w:color w:val="auto"/>
          <w:szCs w:val="21"/>
          <w:highlight w:val="none"/>
        </w:rPr>
        <w:t>种方式：</w:t>
      </w:r>
    </w:p>
    <w:p w14:paraId="45E9645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（1）在支付工程进度款时逐次扣留，在此情形下，质量保证金的计算基数不包括预付款的支付、扣回以及价格调整的金额；</w:t>
      </w:r>
    </w:p>
    <w:p w14:paraId="3AE7472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（2）工程竣工结算时一次性扣留质量保证金；</w:t>
      </w:r>
    </w:p>
    <w:p w14:paraId="0336CBC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（3）其他扣留方式</w:t>
      </w:r>
      <w:bookmarkStart w:id="507" w:name="EB24579f9accb94eacafb075fdbb379837"/>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u w:val="single"/>
        </w:rPr>
        <w:t>无</w:t>
      </w:r>
      <w:bookmarkEnd w:id="507"/>
      <w:r>
        <w:rPr>
          <w:rFonts w:hint="eastAsia" w:ascii="宋体" w:hAnsi="宋体" w:eastAsia="宋体" w:cs="宋体"/>
          <w:color w:val="auto"/>
          <w:szCs w:val="21"/>
          <w:highlight w:val="none"/>
        </w:rPr>
        <w:t>。</w:t>
      </w:r>
    </w:p>
    <w:p w14:paraId="6C73263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关于质量保证金的补充约定：</w:t>
      </w:r>
      <w:bookmarkStart w:id="508" w:name="EB1089c4acc5664b36acf41aab8fe31cae"/>
      <w:r>
        <w:rPr>
          <w:rFonts w:hint="eastAsia" w:ascii="宋体" w:hAnsi="宋体" w:eastAsia="宋体" w:cs="宋体"/>
          <w:color w:val="auto"/>
          <w:szCs w:val="21"/>
          <w:highlight w:val="none"/>
          <w:u w:val="single"/>
        </w:rPr>
        <w:t>无息退还</w:t>
      </w:r>
      <w:bookmarkEnd w:id="508"/>
      <w:r>
        <w:rPr>
          <w:rFonts w:hint="eastAsia" w:ascii="宋体" w:hAnsi="宋体" w:eastAsia="宋体" w:cs="宋体"/>
          <w:color w:val="auto"/>
          <w:szCs w:val="21"/>
          <w:highlight w:val="none"/>
        </w:rPr>
        <w:t>。</w:t>
      </w:r>
    </w:p>
    <w:p w14:paraId="74D9D311">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15.4保修</w:t>
      </w:r>
    </w:p>
    <w:p w14:paraId="7AB3F38B">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 保修责任</w:t>
      </w:r>
    </w:p>
    <w:p w14:paraId="50B28307">
      <w:pPr>
        <w:pageBreakBefore w:val="0"/>
        <w:widowControl w:val="0"/>
        <w:spacing w:line="400" w:lineRule="exact"/>
        <w:ind w:firstLine="40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工程保修期为：</w:t>
      </w:r>
      <w:bookmarkStart w:id="509" w:name="EB537dcd20aee34bdb9709c60faf5d32f9"/>
      <w:r>
        <w:rPr>
          <w:rFonts w:hint="eastAsia" w:ascii="宋体" w:hAnsi="宋体" w:eastAsia="宋体" w:cs="宋体"/>
          <w:color w:val="auto"/>
          <w:szCs w:val="21"/>
          <w:highlight w:val="none"/>
          <w:u w:val="single"/>
        </w:rPr>
        <w:t>工程自竣工验收合格之日起两年</w:t>
      </w:r>
      <w:bookmarkEnd w:id="509"/>
      <w:r>
        <w:rPr>
          <w:rFonts w:hint="eastAsia" w:ascii="宋体" w:hAnsi="宋体" w:eastAsia="宋体" w:cs="宋体"/>
          <w:color w:val="auto"/>
          <w:szCs w:val="21"/>
          <w:highlight w:val="none"/>
        </w:rPr>
        <w:t>。</w:t>
      </w:r>
    </w:p>
    <w:p w14:paraId="6D89CAD8">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 修复通知</w:t>
      </w:r>
    </w:p>
    <w:p w14:paraId="09109B9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承包人收到保修通知并到达工程现场的合理时间：</w:t>
      </w:r>
      <w:bookmarkStart w:id="510" w:name="EBcd633b3dc882425990ca7e976bd37810"/>
      <w:r>
        <w:rPr>
          <w:rFonts w:hint="eastAsia" w:ascii="宋体" w:hAnsi="宋体" w:eastAsia="宋体" w:cs="宋体"/>
          <w:color w:val="auto"/>
          <w:szCs w:val="21"/>
          <w:highlight w:val="none"/>
          <w:u w:val="single"/>
        </w:rPr>
        <w:t>属于保修范围和内容的项目，承包人应在接到2天内派人修理，承包人不在约定期限内派人修理，发包人可委托其他人员修理，保修费用从质量保修金内扣除</w:t>
      </w:r>
      <w:bookmarkEnd w:id="510"/>
      <w:r>
        <w:rPr>
          <w:rFonts w:hint="eastAsia" w:ascii="宋体" w:hAnsi="宋体" w:eastAsia="宋体" w:cs="宋体"/>
          <w:color w:val="auto"/>
          <w:szCs w:val="21"/>
          <w:highlight w:val="none"/>
        </w:rPr>
        <w:t>。</w:t>
      </w:r>
    </w:p>
    <w:p w14:paraId="41BAA478">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 违约</w:t>
      </w:r>
    </w:p>
    <w:p w14:paraId="547C6701">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发包人违约</w:t>
      </w:r>
    </w:p>
    <w:p w14:paraId="2C9D74E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14:paraId="3C193E2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发包人违约的其他情形：</w:t>
      </w:r>
      <w:bookmarkStart w:id="511" w:name="EB05743f68458f4cc99488df9977aca5cd"/>
      <w:r>
        <w:rPr>
          <w:rFonts w:hint="eastAsia" w:ascii="宋体" w:hAnsi="宋体" w:eastAsia="宋体" w:cs="宋体"/>
          <w:color w:val="auto"/>
          <w:szCs w:val="21"/>
          <w:highlight w:val="none"/>
        </w:rPr>
        <w:t>/</w:t>
      </w:r>
      <w:bookmarkEnd w:id="511"/>
      <w:r>
        <w:rPr>
          <w:rFonts w:hint="eastAsia" w:ascii="宋体" w:hAnsi="宋体" w:eastAsia="宋体" w:cs="宋体"/>
          <w:color w:val="auto"/>
          <w:szCs w:val="21"/>
          <w:highlight w:val="none"/>
        </w:rPr>
        <w:t>。</w:t>
      </w:r>
    </w:p>
    <w:p w14:paraId="4FD47861">
      <w:pPr>
        <w:pageBreakBefore w:val="0"/>
        <w:widowControl w:val="0"/>
        <w:spacing w:line="400" w:lineRule="exact"/>
        <w:ind w:left="1050" w:hanging="10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16.1.2 发包人违约的责任</w:t>
      </w:r>
    </w:p>
    <w:p w14:paraId="3E6D8B6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发包人违约责任的承担方式和计算方法：</w:t>
      </w:r>
    </w:p>
    <w:p w14:paraId="3EB94847">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（1）因发包人原因未能在计划开工日期前7天内下达开工通知的违约责任：</w:t>
      </w:r>
      <w:bookmarkStart w:id="512" w:name="EB106b67cf6fb24ee3956e75731cadb67e"/>
      <w:r>
        <w:rPr>
          <w:rFonts w:hint="eastAsia" w:ascii="宋体" w:hAnsi="宋体" w:eastAsia="宋体" w:cs="宋体"/>
          <w:color w:val="auto"/>
          <w:szCs w:val="21"/>
          <w:highlight w:val="none"/>
        </w:rPr>
        <w:t>顺延开工日期，开工日期以实际开工日期为准，实际开工日期以发包人书面通知为准，承包人不得因为开工日期的变更而要求延长工期或增加任何额外费用。除发包人及人力不可抗拒的因素，工期一律不得顺延</w:t>
      </w:r>
      <w:bookmarkEnd w:id="512"/>
      <w:r>
        <w:rPr>
          <w:rFonts w:hint="eastAsia" w:ascii="宋体" w:hAnsi="宋体" w:eastAsia="宋体" w:cs="宋体"/>
          <w:color w:val="auto"/>
          <w:szCs w:val="21"/>
          <w:highlight w:val="none"/>
        </w:rPr>
        <w:t>。</w:t>
      </w:r>
    </w:p>
    <w:p w14:paraId="0BAB8FC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（2）因发包人原因未能按合同约定支付合同价款的违约责任：</w:t>
      </w:r>
      <w:bookmarkStart w:id="513" w:name="EB2f99169a5eb74fdcb0d9f14cd88e5e17"/>
      <w:r>
        <w:rPr>
          <w:rFonts w:hint="eastAsia" w:ascii="宋体" w:hAnsi="宋体" w:eastAsia="宋体" w:cs="宋体"/>
          <w:color w:val="auto"/>
          <w:szCs w:val="21"/>
          <w:highlight w:val="none"/>
        </w:rPr>
        <w:t>/</w:t>
      </w:r>
      <w:bookmarkEnd w:id="513"/>
      <w:r>
        <w:rPr>
          <w:rFonts w:hint="eastAsia" w:ascii="宋体" w:hAnsi="宋体" w:eastAsia="宋体" w:cs="宋体"/>
          <w:color w:val="auto"/>
          <w:szCs w:val="21"/>
          <w:highlight w:val="none"/>
        </w:rPr>
        <w:t>。</w:t>
      </w:r>
    </w:p>
    <w:p w14:paraId="41680B4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（3）发包人违反第10.1款〔变更的范围〕第（2）项约定，自行实施被取消的工作或转由他人实施的违约责任：</w:t>
      </w:r>
      <w:bookmarkStart w:id="514" w:name="EBfb95a55d2dd04d4ebb22e83702565c67"/>
      <w:r>
        <w:rPr>
          <w:rFonts w:hint="eastAsia" w:ascii="宋体" w:hAnsi="宋体" w:eastAsia="宋体" w:cs="宋体"/>
          <w:color w:val="auto"/>
          <w:szCs w:val="21"/>
          <w:highlight w:val="none"/>
        </w:rPr>
        <w:t>该自行实施或他人实施的工作量不得计入承包人工作范围结算工程款</w:t>
      </w:r>
      <w:bookmarkEnd w:id="514"/>
      <w:r>
        <w:rPr>
          <w:rFonts w:hint="eastAsia" w:ascii="宋体" w:hAnsi="宋体" w:eastAsia="宋体" w:cs="宋体"/>
          <w:color w:val="auto"/>
          <w:szCs w:val="21"/>
          <w:highlight w:val="none"/>
        </w:rPr>
        <w:t>。</w:t>
      </w:r>
    </w:p>
    <w:p w14:paraId="3E3CC44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（4）发包人提供的材料、工程设备的规格、数量或质量不符合合同约定，或因发包人原因导致交货日期延误或交货地点变更等情况的违约责任：</w:t>
      </w:r>
      <w:bookmarkStart w:id="515" w:name="EB6a1606ad6e1945b48dd647642da41f15"/>
      <w:r>
        <w:rPr>
          <w:rFonts w:hint="eastAsia" w:ascii="宋体" w:hAnsi="宋体" w:eastAsia="宋体" w:cs="宋体"/>
          <w:color w:val="auto"/>
          <w:szCs w:val="21"/>
          <w:highlight w:val="none"/>
        </w:rPr>
        <w:t>执行通用条款16.1.2</w:t>
      </w:r>
      <w:bookmarkEnd w:id="515"/>
      <w:r>
        <w:rPr>
          <w:rFonts w:hint="eastAsia" w:ascii="宋体" w:hAnsi="宋体" w:eastAsia="宋体" w:cs="宋体"/>
          <w:color w:val="auto"/>
          <w:szCs w:val="21"/>
          <w:highlight w:val="none"/>
        </w:rPr>
        <w:t>。</w:t>
      </w:r>
    </w:p>
    <w:p w14:paraId="6D30DFF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（5）因发包人违反合同约定造成暂停施工的违约责任：</w:t>
      </w:r>
      <w:bookmarkStart w:id="516" w:name="EBb970a764de224404a949dd53153e6dcd"/>
      <w:r>
        <w:rPr>
          <w:rFonts w:hint="eastAsia" w:ascii="宋体" w:hAnsi="宋体" w:eastAsia="宋体" w:cs="宋体"/>
          <w:color w:val="auto"/>
          <w:szCs w:val="21"/>
          <w:highlight w:val="none"/>
        </w:rPr>
        <w:t>执行通用条款16.1.2</w:t>
      </w:r>
      <w:bookmarkEnd w:id="516"/>
      <w:r>
        <w:rPr>
          <w:rFonts w:hint="eastAsia" w:ascii="宋体" w:hAnsi="宋体" w:eastAsia="宋体" w:cs="宋体"/>
          <w:color w:val="auto"/>
          <w:szCs w:val="21"/>
          <w:highlight w:val="none"/>
        </w:rPr>
        <w:t>。</w:t>
      </w:r>
    </w:p>
    <w:p w14:paraId="22A71C3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（6）发包人无正当理由没有在约定期限内发出复工指示，导致承包人无法复工的违约责任：</w:t>
      </w:r>
      <w:bookmarkStart w:id="517" w:name="EB0f9e7dee4d6546eaa2e4bf0825f1ed24"/>
      <w:r>
        <w:rPr>
          <w:rFonts w:hint="eastAsia" w:ascii="宋体" w:hAnsi="宋体" w:eastAsia="宋体" w:cs="宋体"/>
          <w:color w:val="auto"/>
          <w:szCs w:val="21"/>
          <w:highlight w:val="none"/>
        </w:rPr>
        <w:t>执行通用条款16.1.2</w:t>
      </w:r>
      <w:bookmarkEnd w:id="517"/>
      <w:r>
        <w:rPr>
          <w:rFonts w:hint="eastAsia" w:ascii="宋体" w:hAnsi="宋体" w:eastAsia="宋体" w:cs="宋体"/>
          <w:color w:val="auto"/>
          <w:szCs w:val="21"/>
          <w:highlight w:val="none"/>
        </w:rPr>
        <w:t>。</w:t>
      </w:r>
    </w:p>
    <w:p w14:paraId="0E2DFD4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w:t>
      </w:r>
      <w:bookmarkStart w:id="518" w:name="EB44413ede0a8b49849b0a086b881e095d"/>
      <w:r>
        <w:rPr>
          <w:rFonts w:hint="eastAsia" w:ascii="宋体" w:hAnsi="宋体" w:eastAsia="宋体" w:cs="宋体"/>
          <w:color w:val="auto"/>
          <w:szCs w:val="21"/>
          <w:highlight w:val="none"/>
        </w:rPr>
        <w:t>/</w:t>
      </w:r>
      <w:bookmarkEnd w:id="518"/>
      <w:r>
        <w:rPr>
          <w:rFonts w:hint="eastAsia" w:ascii="宋体" w:hAnsi="宋体" w:eastAsia="宋体" w:cs="宋体"/>
          <w:color w:val="auto"/>
          <w:szCs w:val="21"/>
          <w:highlight w:val="none"/>
        </w:rPr>
        <w:t>。</w:t>
      </w:r>
    </w:p>
    <w:p w14:paraId="7CC676B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因发包人违约解除合同</w:t>
      </w:r>
    </w:p>
    <w:p w14:paraId="4D511A1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承包人按16.1.1项〔发包人违约的情形〕约定暂停施工满</w:t>
      </w:r>
      <w:bookmarkStart w:id="519" w:name="EBd75700bd30c24e979c13fd22998adb41"/>
      <w:r>
        <w:rPr>
          <w:rFonts w:hint="eastAsia" w:ascii="宋体" w:hAnsi="宋体" w:eastAsia="宋体" w:cs="宋体"/>
          <w:color w:val="auto"/>
          <w:szCs w:val="21"/>
          <w:highlight w:val="none"/>
          <w:u w:val="single"/>
        </w:rPr>
        <w:t>28</w:t>
      </w:r>
      <w:bookmarkEnd w:id="519"/>
      <w:r>
        <w:rPr>
          <w:rFonts w:hint="eastAsia" w:ascii="宋体" w:hAnsi="宋体" w:eastAsia="宋体" w:cs="宋体"/>
          <w:color w:val="auto"/>
          <w:szCs w:val="21"/>
          <w:highlight w:val="none"/>
        </w:rPr>
        <w:t>天后发包人仍不纠正其违约行为并致使合同目的不能实现的，承包人有权解除合同。</w:t>
      </w:r>
    </w:p>
    <w:p w14:paraId="73098EBE">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承包人违约</w:t>
      </w:r>
    </w:p>
    <w:p w14:paraId="60F5E54B">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16.2.1 承包人违约的情形</w:t>
      </w:r>
    </w:p>
    <w:p w14:paraId="029C05F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承包人违约的其他情形：</w:t>
      </w:r>
      <w:bookmarkStart w:id="520" w:name="EBf0a3c14a712f4701a178f78b751f3d09"/>
      <w:r>
        <w:rPr>
          <w:rFonts w:hint="eastAsia" w:ascii="宋体" w:hAnsi="宋体" w:eastAsia="宋体" w:cs="宋体"/>
          <w:color w:val="auto"/>
          <w:highlight w:val="none"/>
        </w:rPr>
        <w:t>1.承包人派驻现场的人员不能满足投标文件承诺的；2.承包人派驻现场的人员不能有效履行其职责，在发包人发出书面更换通知后7天内不更换人员的或按发包人要求更换后仍不能胜任其职责的；3.承包人派驻现场的项目经理、技术负责人等主要人员未经发包人批准脱离现场超过1天的；4.承包人未按工程需要使用投标文件中配备的机械设备、检测设备和仪器的；5.承包人不按发包人批准的施工组织设计实施的；6.承包人不按要求提报施工组织设计、施工方案、进度计划、材料计划的；7.承包人不及时执行发包人代表指令的；8.因承包人原因出现安全、工程质量问题的；9.未经批准或检测不合格的材料设备进入工地现场；10.承包人不遵守发包人对施工现场的管理规定的；11.因承包人原因造成工程竣工一次性验收未达到合格标准，承包人返工仍然达不到合格标准的；12.未经发包人书面批准承包人擅自更换项目经理的；13.出现严重安全、质量事故的；14.承包人野蛮施工且不服从发包人管理的；15.本合同中承包人应履行的义务。</w:t>
      </w:r>
    </w:p>
    <w:p w14:paraId="5DBC1787">
      <w:pPr>
        <w:pageBreakBefore w:val="0"/>
        <w:widowControl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承包人履行义务时所发生的费用已包含在合同价款中，如承包人未履行上述义务造成的工程、财产损失和人身伤害，由承包人承担责任及所发生的费用</w:t>
      </w:r>
      <w:bookmarkEnd w:id="520"/>
      <w:r>
        <w:rPr>
          <w:rFonts w:hint="eastAsia" w:ascii="宋体" w:hAnsi="宋体" w:eastAsia="宋体" w:cs="宋体"/>
          <w:color w:val="auto"/>
          <w:szCs w:val="21"/>
          <w:highlight w:val="none"/>
        </w:rPr>
        <w:t>。</w:t>
      </w:r>
    </w:p>
    <w:p w14:paraId="3A68190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16.2.2承包人违约的责任</w:t>
      </w:r>
    </w:p>
    <w:p w14:paraId="30D28F3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承包人违约责任的承担方式和计算方法：</w:t>
      </w:r>
      <w:bookmarkStart w:id="521" w:name="EBe4c8df4f8c6644668cbc6f21435880df"/>
      <w:r>
        <w:rPr>
          <w:rFonts w:hint="eastAsia" w:ascii="宋体" w:hAnsi="宋体" w:eastAsia="宋体" w:cs="宋体"/>
          <w:color w:val="auto"/>
          <w:szCs w:val="21"/>
          <w:highlight w:val="none"/>
        </w:rPr>
        <w:t>由承包人承担因其违约行为而增加的费用</w:t>
      </w:r>
      <w:bookmarkEnd w:id="521"/>
      <w:r>
        <w:rPr>
          <w:rFonts w:hint="eastAsia" w:ascii="宋体" w:hAnsi="宋体" w:eastAsia="宋体" w:cs="宋体"/>
          <w:color w:val="auto"/>
          <w:szCs w:val="21"/>
          <w:highlight w:val="none"/>
        </w:rPr>
        <w:t xml:space="preserve">。    </w:t>
      </w:r>
    </w:p>
    <w:p w14:paraId="0AE3EE4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 因承包人违约解除合同</w:t>
      </w:r>
    </w:p>
    <w:p w14:paraId="326FEDB2">
      <w:pPr>
        <w:pageBreakBefore w:val="0"/>
        <w:widowControl w:val="0"/>
        <w:spacing w:before="120"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关于承包人违约解除合同的特别约定：</w:t>
      </w:r>
      <w:bookmarkStart w:id="522" w:name="EBea7ed3ea2a9543598c25d0a0800b9596"/>
      <w:r>
        <w:rPr>
          <w:rFonts w:hint="eastAsia" w:ascii="宋体" w:hAnsi="宋体" w:eastAsia="宋体" w:cs="宋体"/>
          <w:color w:val="auto"/>
          <w:szCs w:val="21"/>
          <w:highlight w:val="none"/>
        </w:rPr>
        <w:t>执行通用条款16.2.3</w:t>
      </w:r>
      <w:bookmarkEnd w:id="522"/>
      <w:r>
        <w:rPr>
          <w:rFonts w:hint="eastAsia" w:ascii="宋体" w:hAnsi="宋体" w:eastAsia="宋体" w:cs="宋体"/>
          <w:color w:val="auto"/>
          <w:szCs w:val="21"/>
          <w:highlight w:val="none"/>
        </w:rPr>
        <w:t>。</w:t>
      </w:r>
    </w:p>
    <w:p w14:paraId="64267B31">
      <w:pPr>
        <w:pageBreakBefore w:val="0"/>
        <w:widowControl w:val="0"/>
        <w:spacing w:before="120"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发包人继续使用承包人在施工现场的材料、设备、临时工程、承包人文件和由承包人或以其名义编制的其他文件的费用承担方式：</w:t>
      </w:r>
      <w:bookmarkStart w:id="523" w:name="EB47b07c1818564b1da26b194ae70d411b"/>
      <w:r>
        <w:rPr>
          <w:rFonts w:hint="eastAsia" w:ascii="宋体" w:hAnsi="宋体" w:eastAsia="宋体" w:cs="宋体"/>
          <w:color w:val="auto"/>
          <w:szCs w:val="21"/>
          <w:highlight w:val="none"/>
        </w:rPr>
        <w:t>执行通用条款16.2.3，发包人应按市场价向承包人支付相关费用</w:t>
      </w:r>
      <w:bookmarkEnd w:id="523"/>
      <w:r>
        <w:rPr>
          <w:rFonts w:hint="eastAsia" w:ascii="宋体" w:hAnsi="宋体" w:eastAsia="宋体" w:cs="宋体"/>
          <w:color w:val="auto"/>
          <w:szCs w:val="21"/>
          <w:highlight w:val="none"/>
        </w:rPr>
        <w:t>。</w:t>
      </w:r>
    </w:p>
    <w:p w14:paraId="3D9543B0">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17. 不可抗力 </w:t>
      </w:r>
    </w:p>
    <w:p w14:paraId="5DFF059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不可抗力的确认</w:t>
      </w:r>
    </w:p>
    <w:p w14:paraId="45029B56">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除通用合同条款约定的不可抗力事件之外，视为不可抗力的其他情形：</w:t>
      </w:r>
      <w:bookmarkStart w:id="524" w:name="EB812a570dafc64af0803b2f5da5108ab8"/>
      <w:r>
        <w:rPr>
          <w:rFonts w:hint="eastAsia" w:ascii="宋体" w:hAnsi="宋体" w:eastAsia="宋体" w:cs="宋体"/>
          <w:color w:val="auto"/>
          <w:szCs w:val="21"/>
          <w:highlight w:val="none"/>
        </w:rPr>
        <w:t>除通用合同条款约定的不可抗力事件之外，视为不可抗力的其他情形：不可抗力包括因战争、动乱、空中飞行物体坠落或其他非发包人和承包人责任造成的爆炸、火灾，以及由市级以上有关部门正式发布和认定的重大自然灾害</w:t>
      </w:r>
      <w:bookmarkEnd w:id="524"/>
      <w:r>
        <w:rPr>
          <w:rFonts w:hint="eastAsia" w:ascii="宋体" w:hAnsi="宋体" w:eastAsia="宋体" w:cs="宋体"/>
          <w:color w:val="auto"/>
          <w:szCs w:val="21"/>
          <w:highlight w:val="none"/>
        </w:rPr>
        <w:t>。</w:t>
      </w:r>
    </w:p>
    <w:p w14:paraId="4CD114B2">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 因不可抗力解除合同</w:t>
      </w:r>
    </w:p>
    <w:p w14:paraId="369CE38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bookmarkStart w:id="525" w:name="EB32d0d5f104d44746baaca126113bf22d"/>
      <w:r>
        <w:rPr>
          <w:rFonts w:hint="eastAsia" w:ascii="宋体" w:hAnsi="宋体" w:eastAsia="宋体" w:cs="宋体"/>
          <w:color w:val="auto"/>
          <w:szCs w:val="21"/>
          <w:highlight w:val="none"/>
        </w:rPr>
        <w:t>（合同解除后，发包人应支付的款项仍参照本合同12.4.1关于付款周期的约定执行，无法参照的，由双方协商确定）</w:t>
      </w:r>
      <w:bookmarkEnd w:id="525"/>
      <w:r>
        <w:rPr>
          <w:rFonts w:hint="eastAsia" w:ascii="宋体" w:hAnsi="宋体" w:eastAsia="宋体" w:cs="宋体"/>
          <w:color w:val="auto"/>
          <w:szCs w:val="21"/>
          <w:highlight w:val="none"/>
        </w:rPr>
        <w:t>天内完成款项的支付。</w:t>
      </w:r>
    </w:p>
    <w:p w14:paraId="12241304">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 保险</w:t>
      </w:r>
    </w:p>
    <w:p w14:paraId="468508D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工程保险</w:t>
      </w:r>
    </w:p>
    <w:p w14:paraId="19C25AC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r>
        <w:rPr>
          <w:rFonts w:hint="eastAsia" w:ascii="宋体" w:hAnsi="宋体" w:eastAsia="宋体" w:cs="宋体"/>
          <w:color w:val="auto"/>
          <w:szCs w:val="21"/>
          <w:highlight w:val="none"/>
          <w:u w:val="single"/>
        </w:rPr>
        <w:t>建筑（安装）工程一切险费、第三方责任费用视为已含在投标报价中，由承包人以发包人和承包人联名的形式负责具体办理</w:t>
      </w:r>
      <w:r>
        <w:rPr>
          <w:rFonts w:hint="eastAsia" w:ascii="宋体" w:hAnsi="宋体" w:eastAsia="宋体" w:cs="宋体"/>
          <w:color w:val="auto"/>
          <w:szCs w:val="21"/>
          <w:highlight w:val="none"/>
        </w:rPr>
        <w:t>。</w:t>
      </w:r>
    </w:p>
    <w:p w14:paraId="45FD6CB2">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其他保险</w:t>
      </w:r>
    </w:p>
    <w:p w14:paraId="52040A6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关于其他保险的约定：</w:t>
      </w:r>
      <w:bookmarkStart w:id="526" w:name="EB5224f810cb6f44da89cbb80290d2ed72"/>
      <w:r>
        <w:rPr>
          <w:rFonts w:hint="eastAsia" w:ascii="宋体" w:hAnsi="宋体" w:eastAsia="宋体" w:cs="宋体"/>
          <w:color w:val="auto"/>
          <w:szCs w:val="21"/>
          <w:highlight w:val="none"/>
        </w:rPr>
        <w:t>执行通用条款18.3</w:t>
      </w:r>
      <w:bookmarkEnd w:id="526"/>
      <w:r>
        <w:rPr>
          <w:rFonts w:hint="eastAsia" w:ascii="宋体" w:hAnsi="宋体" w:eastAsia="宋体" w:cs="宋体"/>
          <w:color w:val="auto"/>
          <w:szCs w:val="21"/>
          <w:highlight w:val="none"/>
        </w:rPr>
        <w:t>。</w:t>
      </w:r>
    </w:p>
    <w:p w14:paraId="447FABA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承包人是否应为其施工设备等办理财产保险：</w:t>
      </w:r>
      <w:bookmarkStart w:id="527" w:name="EBd08adb41180e4b73809cb4ad4ac05ea9"/>
      <w:r>
        <w:rPr>
          <w:rFonts w:hint="eastAsia" w:ascii="宋体" w:hAnsi="宋体" w:eastAsia="宋体" w:cs="宋体"/>
          <w:color w:val="auto"/>
          <w:szCs w:val="21"/>
          <w:highlight w:val="none"/>
        </w:rPr>
        <w:t>应当办理</w:t>
      </w:r>
      <w:bookmarkEnd w:id="527"/>
      <w:r>
        <w:rPr>
          <w:rFonts w:hint="eastAsia" w:ascii="宋体" w:hAnsi="宋体" w:eastAsia="宋体" w:cs="宋体"/>
          <w:color w:val="auto"/>
          <w:szCs w:val="21"/>
          <w:highlight w:val="none"/>
        </w:rPr>
        <w:t>。</w:t>
      </w:r>
    </w:p>
    <w:p w14:paraId="4327D92C">
      <w:pPr>
        <w:pageBreakBefore w:val="0"/>
        <w:widowControl w:val="0"/>
        <w:spacing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 通知义务</w:t>
      </w:r>
    </w:p>
    <w:p w14:paraId="0386AFE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关于变更保险合同时的通知义务的约定：</w:t>
      </w:r>
      <w:bookmarkStart w:id="528" w:name="EBcd2a6700002044be925c31f763a50368"/>
      <w:r>
        <w:rPr>
          <w:rFonts w:hint="eastAsia" w:ascii="宋体" w:hAnsi="宋体" w:eastAsia="宋体" w:cs="宋体"/>
          <w:color w:val="auto"/>
          <w:szCs w:val="21"/>
          <w:highlight w:val="none"/>
        </w:rPr>
        <w:t>执行通用条款18.7</w:t>
      </w:r>
      <w:bookmarkEnd w:id="528"/>
      <w:r>
        <w:rPr>
          <w:rFonts w:hint="eastAsia" w:ascii="宋体" w:hAnsi="宋体" w:eastAsia="宋体" w:cs="宋体"/>
          <w:color w:val="auto"/>
          <w:szCs w:val="21"/>
          <w:highlight w:val="none"/>
        </w:rPr>
        <w:t>。</w:t>
      </w:r>
    </w:p>
    <w:p w14:paraId="7EFB3334">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 争议解决</w:t>
      </w:r>
    </w:p>
    <w:p w14:paraId="428314E5">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 争议评审</w:t>
      </w:r>
    </w:p>
    <w:p w14:paraId="1806041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合同当事人是否同意将工程争议提交争议评审小组决定：</w:t>
      </w:r>
      <w:bookmarkStart w:id="529" w:name="EB13aac2132dfe4e6ab1a7d093150b0c37"/>
      <w:r>
        <w:rPr>
          <w:rFonts w:hint="eastAsia" w:ascii="宋体" w:hAnsi="宋体" w:eastAsia="宋体" w:cs="宋体"/>
          <w:color w:val="auto"/>
          <w:szCs w:val="21"/>
          <w:highlight w:val="none"/>
        </w:rPr>
        <w:t>不同意</w:t>
      </w:r>
      <w:bookmarkEnd w:id="529"/>
      <w:r>
        <w:rPr>
          <w:rFonts w:hint="eastAsia" w:ascii="宋体" w:hAnsi="宋体" w:eastAsia="宋体" w:cs="宋体"/>
          <w:color w:val="auto"/>
          <w:szCs w:val="21"/>
          <w:highlight w:val="none"/>
        </w:rPr>
        <w:t xml:space="preserve">。  </w:t>
      </w:r>
    </w:p>
    <w:p w14:paraId="3286055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20.3.1 争议评审小组的确定</w:t>
      </w:r>
    </w:p>
    <w:p w14:paraId="3E94015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争议评审小组成员的确定：</w:t>
      </w:r>
      <w:bookmarkStart w:id="530" w:name="EBec2a49e7a4ec4a37bfa2364e95c7b742"/>
      <w:r>
        <w:rPr>
          <w:rFonts w:hint="eastAsia" w:ascii="宋体" w:hAnsi="宋体" w:eastAsia="宋体" w:cs="宋体"/>
          <w:color w:val="auto"/>
          <w:szCs w:val="21"/>
          <w:highlight w:val="none"/>
        </w:rPr>
        <w:t>/</w:t>
      </w:r>
      <w:bookmarkEnd w:id="530"/>
      <w:r>
        <w:rPr>
          <w:rFonts w:hint="eastAsia" w:ascii="宋体" w:hAnsi="宋体" w:eastAsia="宋体" w:cs="宋体"/>
          <w:color w:val="auto"/>
          <w:szCs w:val="21"/>
          <w:highlight w:val="none"/>
        </w:rPr>
        <w:t>。</w:t>
      </w:r>
    </w:p>
    <w:p w14:paraId="470732B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bookmarkStart w:id="531" w:name="EB29a91cafa0084d7b95929445e874344a"/>
      <w:r>
        <w:rPr>
          <w:rFonts w:hint="eastAsia" w:ascii="宋体" w:hAnsi="宋体" w:eastAsia="宋体" w:cs="宋体"/>
          <w:color w:val="auto"/>
          <w:szCs w:val="21"/>
          <w:highlight w:val="none"/>
        </w:rPr>
        <w:t>/</w:t>
      </w:r>
      <w:bookmarkEnd w:id="531"/>
      <w:r>
        <w:rPr>
          <w:rFonts w:hint="eastAsia" w:ascii="宋体" w:hAnsi="宋体" w:eastAsia="宋体" w:cs="宋体"/>
          <w:color w:val="auto"/>
          <w:szCs w:val="21"/>
          <w:highlight w:val="none"/>
        </w:rPr>
        <w:t>。</w:t>
      </w:r>
    </w:p>
    <w:p w14:paraId="775E677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bookmarkStart w:id="532" w:name="EB9fdd9a53ae3f442286343aff88fe7bcb"/>
      <w:r>
        <w:rPr>
          <w:rFonts w:hint="eastAsia" w:ascii="宋体" w:hAnsi="宋体" w:eastAsia="宋体" w:cs="宋体"/>
          <w:color w:val="auto"/>
          <w:szCs w:val="21"/>
          <w:highlight w:val="none"/>
        </w:rPr>
        <w:t>/</w:t>
      </w:r>
      <w:bookmarkEnd w:id="532"/>
      <w:r>
        <w:rPr>
          <w:rFonts w:hint="eastAsia" w:ascii="宋体" w:hAnsi="宋体" w:eastAsia="宋体" w:cs="宋体"/>
          <w:color w:val="auto"/>
          <w:szCs w:val="21"/>
          <w:highlight w:val="none"/>
        </w:rPr>
        <w:t>。</w:t>
      </w:r>
    </w:p>
    <w:p w14:paraId="626A999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bookmarkStart w:id="533" w:name="EB23ef1de943564857ae1039859faa899e"/>
      <w:r>
        <w:rPr>
          <w:rFonts w:hint="eastAsia" w:ascii="宋体" w:hAnsi="宋体" w:eastAsia="宋体" w:cs="宋体"/>
          <w:color w:val="auto"/>
          <w:szCs w:val="21"/>
          <w:highlight w:val="none"/>
        </w:rPr>
        <w:t>/</w:t>
      </w:r>
      <w:bookmarkEnd w:id="533"/>
      <w:r>
        <w:rPr>
          <w:rFonts w:hint="eastAsia" w:ascii="宋体" w:hAnsi="宋体" w:eastAsia="宋体" w:cs="宋体"/>
          <w:color w:val="auto"/>
          <w:szCs w:val="21"/>
          <w:highlight w:val="none"/>
        </w:rPr>
        <w:t>。</w:t>
      </w:r>
    </w:p>
    <w:p w14:paraId="0565782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20.3.2 争议评审小组的决定</w:t>
      </w:r>
    </w:p>
    <w:p w14:paraId="6FAA3B5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bookmarkStart w:id="534" w:name="EB907bb7e8d12f4151b9ebfdf473ee5889"/>
      <w:r>
        <w:rPr>
          <w:rFonts w:hint="eastAsia" w:ascii="宋体" w:hAnsi="宋体" w:eastAsia="宋体" w:cs="宋体"/>
          <w:color w:val="auto"/>
          <w:szCs w:val="21"/>
          <w:highlight w:val="none"/>
        </w:rPr>
        <w:t>/</w:t>
      </w:r>
      <w:bookmarkEnd w:id="534"/>
      <w:r>
        <w:rPr>
          <w:rFonts w:hint="eastAsia" w:ascii="宋体" w:hAnsi="宋体" w:eastAsia="宋体" w:cs="宋体"/>
          <w:color w:val="auto"/>
          <w:szCs w:val="21"/>
          <w:highlight w:val="none"/>
        </w:rPr>
        <w:t>。</w:t>
      </w:r>
    </w:p>
    <w:p w14:paraId="1032243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20.4仲裁或诉讼</w:t>
      </w:r>
    </w:p>
    <w:p w14:paraId="27CA9509">
      <w:pPr>
        <w:pageBreakBefore w:val="0"/>
        <w:widowControl w:val="0"/>
        <w:spacing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w:t>
      </w:r>
      <w:bookmarkStart w:id="535" w:name="EB6a8aeac766be4375a131b2bf78628151"/>
      <w:r>
        <w:rPr>
          <w:rFonts w:hint="eastAsia" w:ascii="宋体" w:hAnsi="宋体" w:eastAsia="宋体" w:cs="宋体"/>
          <w:color w:val="auto"/>
          <w:szCs w:val="21"/>
          <w:highlight w:val="none"/>
          <w:u w:val="single"/>
        </w:rPr>
        <w:t>（2）</w:t>
      </w:r>
      <w:bookmarkEnd w:id="535"/>
      <w:r>
        <w:rPr>
          <w:rFonts w:hint="eastAsia" w:ascii="宋体" w:hAnsi="宋体" w:eastAsia="宋体" w:cs="宋体"/>
          <w:color w:val="auto"/>
          <w:szCs w:val="21"/>
          <w:highlight w:val="none"/>
        </w:rPr>
        <w:t>种方式解决：</w:t>
      </w:r>
    </w:p>
    <w:p w14:paraId="1C04E29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bookmarkStart w:id="536" w:name="EB8dac85de02494216a8e71a848e408970"/>
      <w:r>
        <w:rPr>
          <w:rFonts w:hint="eastAsia" w:ascii="宋体" w:hAnsi="宋体" w:eastAsia="宋体" w:cs="宋体"/>
          <w:color w:val="auto"/>
          <w:szCs w:val="21"/>
          <w:highlight w:val="none"/>
          <w:u w:val="single"/>
        </w:rPr>
        <w:t>镇江</w:t>
      </w:r>
      <w:bookmarkEnd w:id="536"/>
      <w:r>
        <w:rPr>
          <w:rFonts w:hint="eastAsia" w:ascii="宋体" w:hAnsi="宋体" w:eastAsia="宋体" w:cs="宋体"/>
          <w:color w:val="auto"/>
          <w:szCs w:val="21"/>
          <w:highlight w:val="none"/>
        </w:rPr>
        <w:t>仲裁委员会申请仲裁；</w:t>
      </w:r>
    </w:p>
    <w:p w14:paraId="51521585">
      <w:pPr>
        <w:pageBreakBefore w:val="0"/>
        <w:widowControl w:val="0"/>
        <w:spacing w:line="400" w:lineRule="exact"/>
        <w:ind w:firstLine="420"/>
        <w:rPr>
          <w:color w:val="auto"/>
          <w:highlight w:val="none"/>
        </w:rPr>
      </w:pPr>
      <w:r>
        <w:rPr>
          <w:rFonts w:hint="eastAsia" w:ascii="宋体" w:hAnsi="宋体" w:eastAsia="宋体" w:cs="宋体"/>
          <w:color w:val="auto"/>
          <w:szCs w:val="21"/>
          <w:highlight w:val="none"/>
        </w:rPr>
        <w:t>（2）向</w:t>
      </w:r>
      <w:bookmarkStart w:id="537" w:name="EBdc9d5bcd2d354883aa31bb7fb453e04a"/>
      <w:r>
        <w:rPr>
          <w:rFonts w:hint="eastAsia" w:ascii="宋体" w:hAnsi="宋体" w:eastAsia="宋体" w:cs="宋体"/>
          <w:color w:val="auto"/>
          <w:szCs w:val="21"/>
          <w:highlight w:val="none"/>
          <w:u w:val="single"/>
        </w:rPr>
        <w:t>丹阳市</w:t>
      </w:r>
      <w:bookmarkEnd w:id="537"/>
      <w:r>
        <w:rPr>
          <w:rFonts w:hint="eastAsia" w:ascii="宋体" w:hAnsi="宋体" w:eastAsia="宋体" w:cs="宋体"/>
          <w:color w:val="auto"/>
          <w:szCs w:val="21"/>
          <w:highlight w:val="none"/>
        </w:rPr>
        <w:t>人民法院起诉。</w:t>
      </w:r>
    </w:p>
    <w:p w14:paraId="512BC30B">
      <w:pPr>
        <w:pStyle w:val="250"/>
        <w:widowControl/>
        <w:spacing w:line="400" w:lineRule="exact"/>
        <w:jc w:val="right"/>
        <w:rPr>
          <w:rFonts w:hint="eastAsia"/>
          <w:color w:val="auto"/>
          <w:sz w:val="20"/>
          <w:highlight w:val="none"/>
        </w:rPr>
      </w:pPr>
      <w:r>
        <w:rPr>
          <w:color w:val="auto"/>
          <w:highlight w:val="none"/>
        </w:rPr>
        <w:br w:type="page" w:clear="all"/>
      </w:r>
    </w:p>
    <w:p w14:paraId="51C406F5">
      <w:pPr>
        <w:pStyle w:val="188"/>
        <w:jc w:val="center"/>
        <w:rPr>
          <w:color w:val="auto"/>
          <w:highlight w:val="none"/>
        </w:rPr>
      </w:pPr>
      <w:bookmarkStart w:id="538" w:name="_Toc73364899"/>
      <w:bookmarkStart w:id="539" w:name="_Toc18681"/>
      <w:bookmarkStart w:id="540" w:name="_Toc73365512"/>
      <w:r>
        <w:rPr>
          <w:rFonts w:ascii="宋体" w:hAnsi="宋体"/>
          <w:color w:val="auto"/>
          <w:sz w:val="36"/>
          <w:highlight w:val="none"/>
        </w:rPr>
        <w:t>第四部分</w:t>
      </w:r>
      <w:r>
        <w:rPr>
          <w:rFonts w:hint="eastAsia" w:ascii="宋体" w:hAnsi="宋体"/>
          <w:color w:val="auto"/>
          <w:sz w:val="36"/>
          <w:highlight w:val="none"/>
        </w:rPr>
        <w:t xml:space="preserve">  采购需求</w:t>
      </w:r>
      <w:bookmarkEnd w:id="538"/>
      <w:bookmarkEnd w:id="539"/>
      <w:bookmarkEnd w:id="540"/>
      <w:bookmarkStart w:id="541" w:name="EB69fca8740d1f4b0e9a8dbc98881cd3d4"/>
    </w:p>
    <w:p w14:paraId="6982202F">
      <w:pPr>
        <w:pStyle w:val="252"/>
        <w:keepNext w:val="0"/>
        <w:keepLines w:val="0"/>
        <w:pageBreakBefore w:val="0"/>
        <w:widowControl/>
        <w:spacing w:before="240" w:after="240"/>
        <w:rPr>
          <w:rStyle w:val="192"/>
          <w:rFonts w:ascii="Times New Roman" w:hAnsi="Times New Roman" w:eastAsia="Times New Roman" w:cs="Times New Roman"/>
          <w:color w:val="auto"/>
          <w:sz w:val="24"/>
          <w:szCs w:val="24"/>
          <w:highlight w:val="none"/>
        </w:rPr>
      </w:pPr>
      <w:r>
        <w:rPr>
          <w:rStyle w:val="251"/>
          <w:color w:val="auto"/>
          <w:highlight w:val="none"/>
        </w:rPr>
        <w:t>一.项目概况</w:t>
      </w:r>
    </w:p>
    <w:p w14:paraId="577AA414">
      <w:pPr>
        <w:pStyle w:val="252"/>
        <w:keepNext w:val="0"/>
        <w:keepLines w:val="0"/>
        <w:pageBreakBefore w:val="0"/>
        <w:widowControl/>
        <w:spacing w:line="360" w:lineRule="auto"/>
        <w:ind w:firstLine="440"/>
        <w:rPr>
          <w:rStyle w:val="192"/>
          <w:rFonts w:hint="eastAsia" w:ascii="宋体" w:hAnsi="宋体" w:eastAsia="宋体" w:cs="宋体"/>
          <w:color w:val="auto"/>
          <w:sz w:val="22"/>
          <w:szCs w:val="22"/>
          <w:highlight w:val="none"/>
        </w:rPr>
      </w:pPr>
      <w:r>
        <w:rPr>
          <w:rStyle w:val="192"/>
          <w:rFonts w:hint="eastAsia" w:ascii="宋体" w:hAnsi="宋体" w:eastAsia="宋体" w:cs="宋体"/>
          <w:color w:val="auto"/>
          <w:sz w:val="22"/>
          <w:szCs w:val="22"/>
          <w:highlight w:val="none"/>
          <w:lang w:val="en-US" w:eastAsia="zh-CN"/>
        </w:rPr>
        <w:t>本项目为江苏省丹阳高级中学老校区体育馆屋顶修缮项目，主要建设内容为拆除原体院馆原网架金属压型屋面板、原屋面天沟及落水管、旧镀锌檩条等屋面构件；重新安装檩条、屋面板；加固其网架结构；拆除二楼篮球场区域地板，重新铺贴新地板。</w:t>
      </w:r>
    </w:p>
    <w:p w14:paraId="6363C808">
      <w:pPr>
        <w:pStyle w:val="252"/>
        <w:keepNext w:val="0"/>
        <w:keepLines w:val="0"/>
        <w:pageBreakBefore w:val="0"/>
        <w:widowControl/>
        <w:spacing w:line="360" w:lineRule="auto"/>
        <w:ind w:firstLine="440"/>
        <w:rPr>
          <w:rStyle w:val="192"/>
          <w:rFonts w:ascii="Times New Roman" w:hAnsi="Times New Roman" w:eastAsia="Times New Roman" w:cs="Times New Roman"/>
          <w:color w:val="auto"/>
          <w:sz w:val="22"/>
          <w:szCs w:val="22"/>
          <w:highlight w:val="none"/>
        </w:rPr>
      </w:pPr>
      <w:r>
        <w:rPr>
          <w:rStyle w:val="192"/>
          <w:rFonts w:hint="eastAsia" w:ascii="宋体" w:hAnsi="宋体" w:eastAsia="宋体" w:cs="宋体"/>
          <w:color w:val="auto"/>
          <w:sz w:val="22"/>
          <w:szCs w:val="22"/>
          <w:highlight w:val="none"/>
          <w:lang w:eastAsia="zh-CN"/>
        </w:rPr>
        <w:t>各供应商应认真研读本磋商文件中的采购要求（包含工程量清单及设计文件），并进行相应的现场勘测工作，在充分了解本项目采购范围后结合自身实际情况进行响应文件的制作和报价。</w:t>
      </w:r>
    </w:p>
    <w:p w14:paraId="39192C36">
      <w:pPr>
        <w:pStyle w:val="252"/>
        <w:keepNext w:val="0"/>
        <w:keepLines w:val="0"/>
        <w:pageBreakBefore w:val="0"/>
        <w:widowControl/>
        <w:spacing w:line="360" w:lineRule="auto"/>
        <w:ind w:firstLine="440"/>
        <w:rPr>
          <w:rStyle w:val="192"/>
          <w:rFonts w:hint="eastAsia" w:ascii="Times New Roman" w:hAnsi="Times New Roman" w:eastAsia="宋体" w:cs="Times New Roman"/>
          <w:color w:val="auto"/>
          <w:sz w:val="22"/>
          <w:szCs w:val="22"/>
          <w:highlight w:val="none"/>
        </w:rPr>
      </w:pPr>
      <w:r>
        <w:rPr>
          <w:rStyle w:val="192"/>
          <w:rFonts w:ascii="宋体" w:hAnsi="宋体" w:eastAsia="宋体" w:cs="宋体"/>
          <w:color w:val="auto"/>
          <w:sz w:val="22"/>
          <w:szCs w:val="22"/>
          <w:highlight w:val="none"/>
        </w:rPr>
        <w:t>项目所属行业：</w:t>
      </w:r>
      <w:r>
        <w:rPr>
          <w:rStyle w:val="192"/>
          <w:rFonts w:hint="eastAsia" w:ascii="宋体" w:hAnsi="宋体" w:eastAsia="宋体" w:cs="宋体"/>
          <w:color w:val="auto"/>
          <w:sz w:val="22"/>
          <w:szCs w:val="22"/>
          <w:highlight w:val="none"/>
          <w:lang w:eastAsia="zh-CN"/>
        </w:rPr>
        <w:t>建筑业</w:t>
      </w:r>
    </w:p>
    <w:p w14:paraId="0E4CBAA7">
      <w:pPr>
        <w:pStyle w:val="252"/>
        <w:keepNext w:val="0"/>
        <w:keepLines w:val="0"/>
        <w:pageBreakBefore w:val="0"/>
        <w:widowControl/>
        <w:spacing w:before="240" w:after="240"/>
        <w:rPr>
          <w:rStyle w:val="251"/>
          <w:rFonts w:ascii="宋体" w:hAnsi="宋体" w:eastAsia="宋体" w:cs="宋体"/>
          <w:color w:val="auto"/>
          <w:highlight w:val="none"/>
        </w:rPr>
      </w:pPr>
      <w:r>
        <w:rPr>
          <w:rStyle w:val="251"/>
          <w:rFonts w:ascii="宋体" w:hAnsi="宋体" w:eastAsia="宋体" w:cs="宋体"/>
          <w:color w:val="auto"/>
          <w:highlight w:val="none"/>
        </w:rPr>
        <w:t>二.采购标的汇总表</w:t>
      </w:r>
    </w:p>
    <w:p w14:paraId="3C3CD2F7">
      <w:pPr>
        <w:pStyle w:val="252"/>
        <w:spacing w:before="240" w:after="240"/>
        <w:rPr>
          <w:rStyle w:val="192"/>
          <w:rFonts w:hint="eastAsia" w:ascii="宋体" w:hAnsi="宋体" w:eastAsia="宋体" w:cs="宋体"/>
          <w:color w:val="auto"/>
          <w:sz w:val="22"/>
          <w:szCs w:val="22"/>
          <w:highlight w:val="none"/>
        </w:rPr>
      </w:pPr>
      <w:r>
        <w:rPr>
          <w:rStyle w:val="192"/>
          <w:rFonts w:hint="eastAsia" w:ascii="宋体" w:hAnsi="宋体" w:eastAsia="宋体" w:cs="宋体"/>
          <w:color w:val="auto"/>
          <w:sz w:val="22"/>
          <w:szCs w:val="22"/>
          <w:highlight w:val="none"/>
        </w:rPr>
        <w:t>（一） 采购标的</w:t>
      </w:r>
    </w:p>
    <w:p w14:paraId="3484C4F4">
      <w:pPr>
        <w:pStyle w:val="252"/>
        <w:spacing w:before="240" w:after="240"/>
        <w:rPr>
          <w:rStyle w:val="192"/>
          <w:rFonts w:hint="eastAsia" w:ascii="宋体" w:hAnsi="宋体" w:eastAsia="宋体" w:cs="宋体"/>
          <w:color w:val="auto"/>
          <w:sz w:val="22"/>
          <w:szCs w:val="22"/>
          <w:highlight w:val="none"/>
        </w:rPr>
      </w:pPr>
      <w:r>
        <w:rPr>
          <w:rStyle w:val="192"/>
          <w:rFonts w:hint="eastAsia" w:ascii="宋体" w:hAnsi="宋体" w:eastAsia="宋体" w:cs="宋体"/>
          <w:color w:val="auto"/>
          <w:sz w:val="22"/>
          <w:szCs w:val="22"/>
          <w:highlight w:val="none"/>
        </w:rPr>
        <w:t>1.</w:t>
      </w:r>
      <w:r>
        <w:rPr>
          <w:rStyle w:val="192"/>
          <w:rFonts w:hint="eastAsia" w:ascii="宋体" w:hAnsi="宋体" w:eastAsia="宋体" w:cs="宋体"/>
          <w:color w:val="auto"/>
          <w:sz w:val="22"/>
          <w:szCs w:val="22"/>
          <w:highlight w:val="none"/>
          <w:lang w:eastAsia="zh-CN"/>
        </w:rPr>
        <w:t>工程</w:t>
      </w:r>
      <w:r>
        <w:rPr>
          <w:rStyle w:val="192"/>
          <w:rFonts w:hint="eastAsia" w:ascii="宋体" w:hAnsi="宋体" w:eastAsia="宋体" w:cs="宋体"/>
          <w:color w:val="auto"/>
          <w:sz w:val="22"/>
          <w:szCs w:val="22"/>
          <w:highlight w:val="none"/>
        </w:rPr>
        <w:t>类标的</w:t>
      </w:r>
    </w:p>
    <w:tbl>
      <w:tblPr>
        <w:tblStyle w:val="2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2"/>
        <w:gridCol w:w="3054"/>
        <w:gridCol w:w="820"/>
        <w:gridCol w:w="810"/>
        <w:gridCol w:w="3213"/>
        <w:gridCol w:w="983"/>
      </w:tblGrid>
      <w:tr w14:paraId="0E367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702" w:type="dxa"/>
            <w:noWrap w:val="0"/>
            <w:vAlign w:val="center"/>
          </w:tcPr>
          <w:p w14:paraId="2B2F5463">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序号</w:t>
            </w:r>
          </w:p>
        </w:tc>
        <w:tc>
          <w:tcPr>
            <w:tcW w:w="3054" w:type="dxa"/>
            <w:noWrap w:val="0"/>
            <w:vAlign w:val="center"/>
          </w:tcPr>
          <w:p w14:paraId="671A213E">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标的名称</w:t>
            </w:r>
          </w:p>
        </w:tc>
        <w:tc>
          <w:tcPr>
            <w:tcW w:w="820" w:type="dxa"/>
            <w:noWrap w:val="0"/>
            <w:vAlign w:val="center"/>
          </w:tcPr>
          <w:p w14:paraId="1B3F1B35">
            <w:pPr>
              <w:pStyle w:val="252"/>
              <w:keepNext w:val="0"/>
              <w:keepLines w:val="0"/>
              <w:pageBreakBefore w:val="0"/>
              <w:widowControl/>
              <w:spacing w:line="240" w:lineRule="auto"/>
              <w:jc w:val="center"/>
              <w:rPr>
                <w:rStyle w:val="192"/>
                <w:rFonts w:hint="eastAsia" w:ascii="宋体" w:hAnsi="宋体" w:eastAsia="宋体" w:cs="宋体"/>
                <w:b/>
                <w:bCs/>
                <w:i w:val="0"/>
                <w:iCs w:val="0"/>
                <w:smallCaps w:val="0"/>
                <w:color w:val="auto"/>
                <w:sz w:val="22"/>
                <w:szCs w:val="22"/>
                <w:highlight w:val="none"/>
              </w:rPr>
            </w:pPr>
            <w:r>
              <w:rPr>
                <w:rStyle w:val="192"/>
                <w:rFonts w:hint="eastAsia" w:ascii="宋体" w:hAnsi="宋体" w:eastAsia="宋体" w:cs="宋体"/>
                <w:b/>
                <w:bCs/>
                <w:i w:val="0"/>
                <w:iCs w:val="0"/>
                <w:smallCaps w:val="0"/>
                <w:color w:val="auto"/>
                <w:sz w:val="22"/>
                <w:szCs w:val="22"/>
                <w:highlight w:val="none"/>
              </w:rPr>
              <w:t>计量</w:t>
            </w:r>
          </w:p>
          <w:p w14:paraId="74A693FC">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单位</w:t>
            </w:r>
          </w:p>
        </w:tc>
        <w:tc>
          <w:tcPr>
            <w:tcW w:w="810" w:type="dxa"/>
            <w:noWrap w:val="0"/>
            <w:vAlign w:val="center"/>
          </w:tcPr>
          <w:p w14:paraId="0BAF0F0D">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数量</w:t>
            </w:r>
          </w:p>
        </w:tc>
        <w:tc>
          <w:tcPr>
            <w:tcW w:w="3213" w:type="dxa"/>
            <w:noWrap w:val="0"/>
            <w:vAlign w:val="center"/>
          </w:tcPr>
          <w:p w14:paraId="364ECD79">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服务要求简述</w:t>
            </w:r>
          </w:p>
        </w:tc>
        <w:tc>
          <w:tcPr>
            <w:tcW w:w="983" w:type="dxa"/>
            <w:noWrap w:val="0"/>
            <w:vAlign w:val="center"/>
          </w:tcPr>
          <w:p w14:paraId="748A88B9">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备注</w:t>
            </w:r>
          </w:p>
        </w:tc>
      </w:tr>
      <w:tr w14:paraId="0A617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702" w:type="dxa"/>
            <w:noWrap w:val="0"/>
            <w:vAlign w:val="center"/>
          </w:tcPr>
          <w:p w14:paraId="0DE3166F">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192"/>
                <w:rFonts w:hint="eastAsia" w:ascii="宋体" w:hAnsi="宋体" w:eastAsia="宋体" w:cs="宋体"/>
                <w:b w:val="0"/>
                <w:bCs w:val="0"/>
                <w:i w:val="0"/>
                <w:iCs w:val="0"/>
                <w:smallCaps w:val="0"/>
                <w:color w:val="auto"/>
                <w:sz w:val="22"/>
                <w:szCs w:val="22"/>
                <w:highlight w:val="none"/>
              </w:rPr>
              <w:t>1</w:t>
            </w:r>
          </w:p>
        </w:tc>
        <w:tc>
          <w:tcPr>
            <w:tcW w:w="3054" w:type="dxa"/>
            <w:noWrap w:val="0"/>
            <w:vAlign w:val="center"/>
          </w:tcPr>
          <w:p w14:paraId="443FD156">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192"/>
                <w:rFonts w:hint="eastAsia" w:ascii="宋体" w:hAnsi="宋体" w:eastAsia="宋体" w:cs="宋体"/>
                <w:b w:val="0"/>
                <w:bCs w:val="0"/>
                <w:i w:val="0"/>
                <w:iCs w:val="0"/>
                <w:smallCaps w:val="0"/>
                <w:color w:val="auto"/>
                <w:sz w:val="22"/>
                <w:szCs w:val="22"/>
                <w:highlight w:val="none"/>
                <w:lang w:eastAsia="zh-CN"/>
              </w:rPr>
              <w:t>江苏省丹阳高级中学老校区体育馆屋顶修缮项目</w:t>
            </w:r>
          </w:p>
        </w:tc>
        <w:tc>
          <w:tcPr>
            <w:tcW w:w="820" w:type="dxa"/>
            <w:noWrap w:val="0"/>
            <w:vAlign w:val="center"/>
          </w:tcPr>
          <w:p w14:paraId="7EEF5617">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192"/>
                <w:rFonts w:hint="eastAsia" w:ascii="宋体" w:hAnsi="宋体" w:eastAsia="宋体" w:cs="宋体"/>
                <w:b w:val="0"/>
                <w:bCs w:val="0"/>
                <w:i w:val="0"/>
                <w:iCs w:val="0"/>
                <w:smallCaps w:val="0"/>
                <w:color w:val="auto"/>
                <w:sz w:val="22"/>
                <w:szCs w:val="22"/>
                <w:highlight w:val="none"/>
              </w:rPr>
              <w:t>项</w:t>
            </w:r>
          </w:p>
        </w:tc>
        <w:tc>
          <w:tcPr>
            <w:tcW w:w="810" w:type="dxa"/>
            <w:noWrap w:val="0"/>
            <w:vAlign w:val="center"/>
          </w:tcPr>
          <w:p w14:paraId="40093613">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192"/>
                <w:rFonts w:hint="eastAsia" w:ascii="宋体" w:hAnsi="宋体" w:eastAsia="宋体" w:cs="宋体"/>
                <w:b w:val="0"/>
                <w:bCs w:val="0"/>
                <w:i w:val="0"/>
                <w:iCs w:val="0"/>
                <w:smallCaps w:val="0"/>
                <w:color w:val="auto"/>
                <w:sz w:val="22"/>
                <w:szCs w:val="22"/>
                <w:highlight w:val="none"/>
              </w:rPr>
              <w:t>1.0</w:t>
            </w:r>
          </w:p>
        </w:tc>
        <w:tc>
          <w:tcPr>
            <w:tcW w:w="3213" w:type="dxa"/>
            <w:noWrap w:val="0"/>
            <w:vAlign w:val="center"/>
          </w:tcPr>
          <w:p w14:paraId="2205B5C3">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详见采购需求、设计图纸及招标工程量清单</w:t>
            </w:r>
          </w:p>
        </w:tc>
        <w:tc>
          <w:tcPr>
            <w:tcW w:w="983" w:type="dxa"/>
            <w:noWrap w:val="0"/>
            <w:vAlign w:val="center"/>
          </w:tcPr>
          <w:p w14:paraId="2C59013F">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p>
        </w:tc>
      </w:tr>
    </w:tbl>
    <w:p w14:paraId="5617745C">
      <w:pPr>
        <w:pStyle w:val="252"/>
        <w:spacing w:before="240" w:after="240"/>
        <w:rPr>
          <w:rStyle w:val="192"/>
          <w:rFonts w:ascii="Times New Roman" w:hAnsi="Times New Roman" w:eastAsia="Times New Roman" w:cs="Times New Roman"/>
          <w:color w:val="auto"/>
          <w:sz w:val="24"/>
          <w:szCs w:val="24"/>
          <w:highlight w:val="none"/>
        </w:rPr>
      </w:pPr>
      <w:r>
        <w:rPr>
          <w:rStyle w:val="251"/>
          <w:color w:val="auto"/>
          <w:highlight w:val="none"/>
        </w:rPr>
        <w:t>三.技术和服务要求</w:t>
      </w:r>
    </w:p>
    <w:p w14:paraId="6B970384">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（一）</w:t>
      </w:r>
      <w:r>
        <w:rPr>
          <w:rStyle w:val="192"/>
          <w:rFonts w:hint="eastAsia" w:ascii="宋体" w:hAnsi="宋体" w:eastAsia="宋体" w:cs="宋体"/>
          <w:b w:val="0"/>
          <w:bCs w:val="0"/>
          <w:color w:val="auto"/>
          <w:sz w:val="22"/>
          <w:szCs w:val="22"/>
          <w:highlight w:val="none"/>
          <w:lang w:eastAsia="zh-CN"/>
        </w:rPr>
        <w:t>技术要求</w:t>
      </w:r>
    </w:p>
    <w:p w14:paraId="13F1A4A7">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ascii="宋体" w:hAnsi="宋体" w:eastAsia="宋体" w:cs="宋体"/>
          <w:b w:val="0"/>
          <w:bCs w:val="0"/>
          <w:color w:val="auto"/>
          <w:sz w:val="22"/>
          <w:szCs w:val="22"/>
          <w:highlight w:val="none"/>
        </w:rPr>
        <w:t>1.</w:t>
      </w:r>
      <w:r>
        <w:rPr>
          <w:rStyle w:val="192"/>
          <w:rFonts w:hint="eastAsia" w:ascii="宋体" w:hAnsi="宋体" w:eastAsia="宋体" w:cs="宋体"/>
          <w:b w:val="0"/>
          <w:bCs w:val="0"/>
          <w:color w:val="auto"/>
          <w:sz w:val="22"/>
          <w:szCs w:val="22"/>
          <w:highlight w:val="none"/>
        </w:rPr>
        <w:t>工程量清单及设计图纸详见公告，供应商自行下载。</w:t>
      </w:r>
    </w:p>
    <w:p w14:paraId="64FD25B3">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p>
    <w:p w14:paraId="6997D519">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 xml:space="preserve">（二）项目注意事项 </w:t>
      </w:r>
    </w:p>
    <w:p w14:paraId="213CC45B">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 xml:space="preserve">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p>
    <w:p w14:paraId="6B1A24C5">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2.施工中如遇现场施工与原设计有异或与原设计有冲突，应及时报知采购人及设计方，并由采购人协调解决。</w:t>
      </w:r>
    </w:p>
    <w:p w14:paraId="74D3DB3A">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3.工程项目中所用所有主材必须征得采购人认可，采购人保留主材采购人供应的权利。</w:t>
      </w:r>
    </w:p>
    <w:p w14:paraId="63D61008">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eastAsia="zh-CN"/>
        </w:rPr>
        <w:t>（三）</w:t>
      </w:r>
      <w:r>
        <w:rPr>
          <w:rStyle w:val="192"/>
          <w:rFonts w:hint="eastAsia" w:ascii="宋体" w:hAnsi="宋体" w:eastAsia="宋体" w:cs="宋体"/>
          <w:b w:val="0"/>
          <w:bCs w:val="0"/>
          <w:color w:val="auto"/>
          <w:sz w:val="22"/>
          <w:szCs w:val="22"/>
          <w:highlight w:val="none"/>
        </w:rPr>
        <w:t>服务要求</w:t>
      </w:r>
    </w:p>
    <w:p w14:paraId="2DD24B99">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p>
    <w:p w14:paraId="6F86D215">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2.</w:t>
      </w:r>
      <w:r>
        <w:rPr>
          <w:rStyle w:val="192"/>
          <w:rFonts w:hint="eastAsia" w:ascii="宋体" w:hAnsi="宋体" w:eastAsia="宋体" w:cs="宋体"/>
          <w:b w:val="0"/>
          <w:bCs w:val="0"/>
          <w:color w:val="auto"/>
          <w:sz w:val="22"/>
          <w:szCs w:val="22"/>
          <w:highlight w:val="none"/>
          <w:lang w:eastAsia="zh-CN"/>
        </w:rPr>
        <w:t>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92"/>
          <w:rFonts w:hint="eastAsia" w:ascii="宋体" w:hAnsi="宋体" w:eastAsia="宋体" w:cs="宋体"/>
          <w:b w:val="0"/>
          <w:bCs w:val="0"/>
          <w:color w:val="auto"/>
          <w:sz w:val="22"/>
          <w:szCs w:val="22"/>
          <w:highlight w:val="none"/>
          <w:lang w:val="en-US" w:eastAsia="zh-CN"/>
        </w:rPr>
        <w:t>30000元；每更换管理班子其他成员一次，扣除5000元。</w:t>
      </w:r>
    </w:p>
    <w:p w14:paraId="644D4C53">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3</w:t>
      </w:r>
      <w:r>
        <w:rPr>
          <w:rStyle w:val="192"/>
          <w:rFonts w:hint="eastAsia" w:ascii="宋体" w:hAnsi="宋体" w:eastAsia="宋体" w:cs="宋体"/>
          <w:b w:val="0"/>
          <w:bCs w:val="0"/>
          <w:color w:val="auto"/>
          <w:sz w:val="22"/>
          <w:szCs w:val="22"/>
          <w:highlight w:val="none"/>
        </w:rPr>
        <w:t>.项目完工后必须提供本项目最终的详细图纸及相关全部资料（装订成册）。</w:t>
      </w:r>
    </w:p>
    <w:p w14:paraId="63BA1C72">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4</w:t>
      </w:r>
      <w:r>
        <w:rPr>
          <w:rStyle w:val="192"/>
          <w:rFonts w:hint="eastAsia" w:ascii="宋体" w:hAnsi="宋体" w:eastAsia="宋体" w:cs="宋体"/>
          <w:b w:val="0"/>
          <w:bCs w:val="0"/>
          <w:color w:val="auto"/>
          <w:sz w:val="22"/>
          <w:szCs w:val="22"/>
          <w:highlight w:val="none"/>
        </w:rPr>
        <w:t>.投标人承诺的工期不得超过采购文件规定的要求，如有逾期将按合同的相关条款执行。</w:t>
      </w:r>
    </w:p>
    <w:p w14:paraId="50E13EE7">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5</w:t>
      </w:r>
      <w:r>
        <w:rPr>
          <w:rStyle w:val="192"/>
          <w:rFonts w:hint="eastAsia" w:ascii="宋体" w:hAnsi="宋体" w:eastAsia="宋体" w:cs="宋体"/>
          <w:b w:val="0"/>
          <w:bCs w:val="0"/>
          <w:color w:val="auto"/>
          <w:sz w:val="22"/>
          <w:szCs w:val="22"/>
          <w:highlight w:val="none"/>
        </w:rPr>
        <w:t>.本工程由承包人以包工、包料、包质量、包安全的方式实施，承包人应对本工程负责，不得违法分包、转包。如一经发现上述行为，发包人单方有权立即终止工程承包合同，由此产生一切法律责任和经济损失均由承包单位承担。</w:t>
      </w:r>
    </w:p>
    <w:p w14:paraId="090A9CDE">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6</w:t>
      </w:r>
      <w:r>
        <w:rPr>
          <w:rStyle w:val="192"/>
          <w:rFonts w:hint="eastAsia" w:ascii="宋体" w:hAnsi="宋体" w:eastAsia="宋体" w:cs="宋体"/>
          <w:b w:val="0"/>
          <w:bCs w:val="0"/>
          <w:color w:val="auto"/>
          <w:sz w:val="22"/>
          <w:szCs w:val="22"/>
          <w:highlight w:val="none"/>
        </w:rPr>
        <w:t>.材料进场、土方及垃圾外运时须注意对业主方道路、道板及绿化等已有设施的保护，如有损坏，乙方应承诺恢复原样，相关维修费由乙方自理。</w:t>
      </w:r>
    </w:p>
    <w:p w14:paraId="7B4F2FEE">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7</w:t>
      </w:r>
      <w:r>
        <w:rPr>
          <w:rStyle w:val="192"/>
          <w:rFonts w:hint="eastAsia" w:ascii="宋体" w:hAnsi="宋体" w:eastAsia="宋体" w:cs="宋体"/>
          <w:b w:val="0"/>
          <w:bCs w:val="0"/>
          <w:color w:val="auto"/>
          <w:sz w:val="22"/>
          <w:szCs w:val="22"/>
          <w:highlight w:val="none"/>
        </w:rPr>
        <w:t>.成交单位在施工过程中注意对已完工的成品保护，保证交付采购人使用的工程符合验收标准。</w:t>
      </w:r>
    </w:p>
    <w:p w14:paraId="23C40818">
      <w:pPr>
        <w:pStyle w:val="252"/>
        <w:spacing w:before="240" w:after="240"/>
        <w:rPr>
          <w:rStyle w:val="192"/>
          <w:rFonts w:ascii="Times New Roman" w:hAnsi="Times New Roman" w:eastAsia="Times New Roman" w:cs="Times New Roman"/>
          <w:color w:val="auto"/>
          <w:sz w:val="24"/>
          <w:szCs w:val="24"/>
          <w:highlight w:val="none"/>
        </w:rPr>
      </w:pPr>
      <w:r>
        <w:rPr>
          <w:rStyle w:val="251"/>
          <w:rFonts w:hint="eastAsia"/>
          <w:color w:val="auto"/>
          <w:highlight w:val="none"/>
        </w:rPr>
        <w:t>★</w:t>
      </w:r>
      <w:r>
        <w:rPr>
          <w:rStyle w:val="251"/>
          <w:color w:val="auto"/>
          <w:highlight w:val="none"/>
        </w:rPr>
        <w:t>四.商务部分</w:t>
      </w:r>
    </w:p>
    <w:p w14:paraId="24F82EDF">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ascii="宋体" w:hAnsi="宋体" w:eastAsia="宋体" w:cs="宋体"/>
          <w:b w:val="0"/>
          <w:bCs w:val="0"/>
          <w:color w:val="auto"/>
          <w:sz w:val="22"/>
          <w:szCs w:val="22"/>
          <w:highlight w:val="none"/>
        </w:rPr>
        <w:t>1.</w:t>
      </w:r>
      <w:r>
        <w:rPr>
          <w:rStyle w:val="192"/>
          <w:rFonts w:hint="default" w:ascii="宋体" w:hAnsi="宋体" w:eastAsia="宋体" w:cs="宋体"/>
          <w:b w:val="0"/>
          <w:bCs w:val="0"/>
          <w:color w:val="auto"/>
          <w:sz w:val="22"/>
          <w:szCs w:val="22"/>
          <w:highlight w:val="none"/>
          <w:lang w:val="en-US" w:eastAsia="zh-CN"/>
        </w:rPr>
        <w:t>工期：</w:t>
      </w:r>
      <w:r>
        <w:rPr>
          <w:rStyle w:val="192"/>
          <w:rFonts w:hint="eastAsia" w:ascii="宋体" w:hAnsi="宋体" w:eastAsia="宋体" w:cs="宋体"/>
          <w:b w:val="0"/>
          <w:bCs w:val="0"/>
          <w:color w:val="auto"/>
          <w:sz w:val="22"/>
          <w:szCs w:val="22"/>
          <w:highlight w:val="none"/>
          <w:lang w:val="en-US" w:eastAsia="zh-CN"/>
        </w:rPr>
        <w:t>50日历天</w:t>
      </w:r>
    </w:p>
    <w:p w14:paraId="0E74ADE2">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default" w:ascii="宋体" w:hAnsi="宋体" w:eastAsia="宋体" w:cs="宋体"/>
          <w:b w:val="0"/>
          <w:bCs w:val="0"/>
          <w:color w:val="auto"/>
          <w:sz w:val="22"/>
          <w:szCs w:val="22"/>
          <w:highlight w:val="none"/>
          <w:lang w:val="en-US" w:eastAsia="zh-CN"/>
        </w:rPr>
        <w:t>2.质量要求：</w:t>
      </w:r>
      <w:r>
        <w:rPr>
          <w:rStyle w:val="192"/>
          <w:rFonts w:hint="eastAsia" w:ascii="宋体" w:hAnsi="宋体" w:eastAsia="宋体" w:cs="宋体"/>
          <w:b w:val="0"/>
          <w:bCs w:val="0"/>
          <w:color w:val="auto"/>
          <w:sz w:val="22"/>
          <w:szCs w:val="22"/>
          <w:highlight w:val="none"/>
          <w:lang w:val="en-US" w:eastAsia="zh-CN"/>
        </w:rPr>
        <w:t>合格</w:t>
      </w:r>
    </w:p>
    <w:p w14:paraId="21A58DC6">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default" w:ascii="宋体" w:hAnsi="宋体" w:eastAsia="宋体" w:cs="宋体"/>
          <w:b w:val="0"/>
          <w:bCs w:val="0"/>
          <w:color w:val="auto"/>
          <w:sz w:val="22"/>
          <w:szCs w:val="22"/>
          <w:highlight w:val="none"/>
          <w:lang w:val="en-US" w:eastAsia="zh-CN"/>
        </w:rPr>
        <w:t>3.最高限价：</w:t>
      </w:r>
      <w:r>
        <w:rPr>
          <w:rStyle w:val="192"/>
          <w:rFonts w:hint="eastAsia" w:ascii="宋体" w:hAnsi="宋体" w:eastAsia="宋体" w:cs="宋体"/>
          <w:b w:val="0"/>
          <w:bCs w:val="0"/>
          <w:color w:val="auto"/>
          <w:sz w:val="22"/>
          <w:szCs w:val="22"/>
          <w:highlight w:val="none"/>
          <w:lang w:val="en-US" w:eastAsia="zh-CN"/>
        </w:rPr>
        <w:t>1802200.74</w:t>
      </w:r>
      <w:r>
        <w:rPr>
          <w:rStyle w:val="192"/>
          <w:rFonts w:hint="default" w:ascii="宋体" w:hAnsi="宋体" w:eastAsia="宋体" w:cs="宋体"/>
          <w:b w:val="0"/>
          <w:bCs w:val="0"/>
          <w:color w:val="auto"/>
          <w:sz w:val="22"/>
          <w:szCs w:val="22"/>
          <w:highlight w:val="none"/>
          <w:lang w:val="en-US" w:eastAsia="zh-CN"/>
        </w:rPr>
        <w:t>元，超过最高限价者为无效报价，按无效响应处理。</w:t>
      </w:r>
    </w:p>
    <w:p w14:paraId="66D2FC42">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default" w:ascii="宋体" w:hAnsi="宋体" w:eastAsia="宋体" w:cs="宋体"/>
          <w:b w:val="0"/>
          <w:bCs w:val="0"/>
          <w:color w:val="auto"/>
          <w:sz w:val="22"/>
          <w:szCs w:val="22"/>
          <w:highlight w:val="none"/>
          <w:lang w:val="en-US" w:eastAsia="zh-CN"/>
        </w:rPr>
        <w:t>4.付款方式：合同签订后甲方收到乙方提供的相应金额的正规发票后10个工作日内支付合同金额10%的预付款（不含暂列金额和暂估价）</w:t>
      </w:r>
      <w:r>
        <w:rPr>
          <w:rStyle w:val="192"/>
          <w:rFonts w:hint="eastAsia" w:ascii="宋体" w:hAnsi="宋体" w:eastAsia="宋体" w:cs="宋体"/>
          <w:b w:val="0"/>
          <w:bCs w:val="0"/>
          <w:color w:val="auto"/>
          <w:sz w:val="22"/>
          <w:szCs w:val="22"/>
          <w:highlight w:val="none"/>
          <w:lang w:val="en-US" w:eastAsia="zh-CN"/>
        </w:rPr>
        <w:t>；工程施工期间甲方按不超过监理、甲方核定已完工程量的80%向乙方支付工程进度款(甲方收到乙方提供的相应金额的正规发票后10个工作日内支付)；工程竣工验收合格，完成工程结算审计并将档案、管养等工程资料按甲方要求全部移交后，甲方按不超过丹阳市固定资产投资审计中心出具结算审计价的90%向承包人支付工程款（含已支付进度款）(甲方收到乙方提供的相应金额的正规发票后10个工作日内支付)；待项目缺陷责任期到期后，甲方凭丹阳市财政投资评审中心出具的竣工财务决算评审结论付清尾款</w:t>
      </w:r>
      <w:r>
        <w:rPr>
          <w:rStyle w:val="192"/>
          <w:rFonts w:hint="default" w:ascii="宋体" w:hAnsi="宋体" w:eastAsia="宋体" w:cs="宋体"/>
          <w:b w:val="0"/>
          <w:bCs w:val="0"/>
          <w:color w:val="auto"/>
          <w:sz w:val="22"/>
          <w:szCs w:val="22"/>
          <w:highlight w:val="none"/>
          <w:lang w:val="en-US" w:eastAsia="zh-CN"/>
        </w:rPr>
        <w:t>。</w:t>
      </w:r>
    </w:p>
    <w:p w14:paraId="396D5FA2">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5</w:t>
      </w:r>
      <w:r>
        <w:rPr>
          <w:rStyle w:val="192"/>
          <w:rFonts w:hint="default" w:ascii="宋体" w:hAnsi="宋体" w:eastAsia="宋体" w:cs="宋体"/>
          <w:b w:val="0"/>
          <w:bCs w:val="0"/>
          <w:color w:val="auto"/>
          <w:sz w:val="22"/>
          <w:szCs w:val="22"/>
          <w:highlight w:val="none"/>
          <w:lang w:val="en-US" w:eastAsia="zh-CN"/>
        </w:rPr>
        <w:t>.报价要求：</w:t>
      </w:r>
    </w:p>
    <w:p w14:paraId="10197418">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（1）</w:t>
      </w:r>
      <w:r>
        <w:rPr>
          <w:rStyle w:val="192"/>
          <w:rFonts w:hint="default" w:ascii="宋体" w:hAnsi="宋体" w:eastAsia="宋体" w:cs="宋体"/>
          <w:b w:val="0"/>
          <w:bCs w:val="0"/>
          <w:color w:val="auto"/>
          <w:sz w:val="22"/>
          <w:szCs w:val="22"/>
          <w:highlight w:val="none"/>
          <w:lang w:val="en-US" w:eastAsia="zh-CN"/>
        </w:rPr>
        <w:t>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p>
    <w:p w14:paraId="56BDD3BC">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（2）</w:t>
      </w:r>
      <w:r>
        <w:rPr>
          <w:rStyle w:val="192"/>
          <w:rFonts w:hint="default" w:ascii="宋体" w:hAnsi="宋体" w:eastAsia="宋体" w:cs="宋体"/>
          <w:b w:val="0"/>
          <w:bCs w:val="0"/>
          <w:color w:val="auto"/>
          <w:sz w:val="22"/>
          <w:szCs w:val="22"/>
          <w:highlight w:val="none"/>
          <w:lang w:val="en-US" w:eastAsia="zh-CN"/>
        </w:rPr>
        <w:t>供应商应执行《建设工程工程量清单计价标准》</w:t>
      </w:r>
      <w:r>
        <w:rPr>
          <w:rStyle w:val="192"/>
          <w:rFonts w:hint="eastAsia" w:ascii="宋体" w:hAnsi="宋体" w:eastAsia="宋体" w:cs="宋体"/>
          <w:b w:val="0"/>
          <w:bCs w:val="0"/>
          <w:color w:val="auto"/>
          <w:sz w:val="22"/>
          <w:szCs w:val="22"/>
          <w:highlight w:val="none"/>
          <w:lang w:val="en-US" w:eastAsia="zh-CN"/>
        </w:rPr>
        <w:t>（GB/T50500-2024）</w:t>
      </w:r>
      <w:r>
        <w:rPr>
          <w:rStyle w:val="192"/>
          <w:rFonts w:hint="default" w:ascii="宋体" w:hAnsi="宋体" w:eastAsia="宋体" w:cs="宋体"/>
          <w:b w:val="0"/>
          <w:bCs w:val="0"/>
          <w:color w:val="auto"/>
          <w:sz w:val="22"/>
          <w:szCs w:val="22"/>
          <w:highlight w:val="none"/>
          <w:lang w:val="en-US" w:eastAsia="zh-CN"/>
        </w:rPr>
        <w:t>中相关内容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p>
    <w:p w14:paraId="56090603">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（3）</w:t>
      </w:r>
      <w:r>
        <w:rPr>
          <w:rStyle w:val="192"/>
          <w:rFonts w:hint="default" w:ascii="宋体" w:hAnsi="宋体" w:eastAsia="宋体" w:cs="宋体"/>
          <w:b w:val="0"/>
          <w:bCs w:val="0"/>
          <w:color w:val="auto"/>
          <w:sz w:val="22"/>
          <w:szCs w:val="22"/>
          <w:highlight w:val="none"/>
          <w:lang w:val="en-US" w:eastAsia="zh-CN"/>
        </w:rPr>
        <w:t>每种工程量只允许有一种报价，任何有选择报价将不予接受。供应商必须对磋商文件中所采购的所有工程量进行报价，只报其中部分工程量的磋商响应文件无效。</w:t>
      </w:r>
    </w:p>
    <w:p w14:paraId="423FF918">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（4）</w:t>
      </w:r>
      <w:r>
        <w:rPr>
          <w:rStyle w:val="192"/>
          <w:rFonts w:hint="default" w:ascii="宋体" w:hAnsi="宋体" w:eastAsia="宋体" w:cs="宋体"/>
          <w:b w:val="0"/>
          <w:bCs w:val="0"/>
          <w:color w:val="auto"/>
          <w:sz w:val="22"/>
          <w:szCs w:val="22"/>
          <w:highlight w:val="none"/>
          <w:lang w:val="en-US" w:eastAsia="zh-CN"/>
        </w:rPr>
        <w:t>供应商应严格按磋商文件提供的工程量清单报价，不得随意合并或增减，否则视为无效投标。</w:t>
      </w:r>
    </w:p>
    <w:p w14:paraId="786722FF">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（5）</w:t>
      </w:r>
      <w:r>
        <w:rPr>
          <w:rStyle w:val="192"/>
          <w:rFonts w:hint="default" w:ascii="宋体" w:hAnsi="宋体" w:eastAsia="宋体" w:cs="宋体"/>
          <w:b w:val="0"/>
          <w:bCs w:val="0"/>
          <w:color w:val="auto"/>
          <w:sz w:val="22"/>
          <w:szCs w:val="22"/>
          <w:highlight w:val="none"/>
          <w:lang w:val="en-US" w:eastAsia="zh-CN"/>
        </w:rPr>
        <w:t>供应商不得将以下不可竞争费用降低标准计取，否则视为无效投标：</w:t>
      </w:r>
    </w:p>
    <w:p w14:paraId="06A03B9A">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 xml:space="preserve">① </w:t>
      </w:r>
      <w:r>
        <w:rPr>
          <w:rStyle w:val="192"/>
          <w:rFonts w:hint="default" w:ascii="宋体" w:hAnsi="宋体" w:eastAsia="宋体" w:cs="宋体"/>
          <w:b w:val="0"/>
          <w:bCs w:val="0"/>
          <w:color w:val="auto"/>
          <w:sz w:val="22"/>
          <w:szCs w:val="22"/>
          <w:highlight w:val="none"/>
          <w:lang w:val="en-US" w:eastAsia="zh-CN"/>
        </w:rPr>
        <w:t>财政、税收、物价等部门批准的税金和行政性规费；</w:t>
      </w:r>
    </w:p>
    <w:p w14:paraId="31695CE3">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 xml:space="preserve">② </w:t>
      </w:r>
      <w:r>
        <w:rPr>
          <w:rStyle w:val="192"/>
          <w:rFonts w:hint="default" w:ascii="宋体" w:hAnsi="宋体" w:eastAsia="宋体" w:cs="宋体"/>
          <w:b w:val="0"/>
          <w:bCs w:val="0"/>
          <w:color w:val="auto"/>
          <w:sz w:val="22"/>
          <w:szCs w:val="22"/>
          <w:highlight w:val="none"/>
          <w:lang w:val="en-US" w:eastAsia="zh-CN"/>
        </w:rPr>
        <w:t>磋商文件明确的有关费用比例；</w:t>
      </w:r>
    </w:p>
    <w:p w14:paraId="08F82898">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 xml:space="preserve">③ </w:t>
      </w:r>
      <w:r>
        <w:rPr>
          <w:rStyle w:val="192"/>
          <w:rFonts w:hint="default" w:ascii="宋体" w:hAnsi="宋体" w:eastAsia="宋体" w:cs="宋体"/>
          <w:b w:val="0"/>
          <w:bCs w:val="0"/>
          <w:color w:val="auto"/>
          <w:sz w:val="22"/>
          <w:szCs w:val="22"/>
          <w:highlight w:val="none"/>
          <w:lang w:val="en-US" w:eastAsia="zh-CN"/>
        </w:rPr>
        <w:t>磋商文件中已经明确固定价格的材料、采购人供应的材料及暂定暂估的费用。</w:t>
      </w:r>
    </w:p>
    <w:p w14:paraId="59A7051D">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（6）</w:t>
      </w:r>
      <w:r>
        <w:rPr>
          <w:rStyle w:val="192"/>
          <w:rFonts w:hint="default" w:ascii="宋体" w:hAnsi="宋体" w:eastAsia="宋体" w:cs="宋体"/>
          <w:b w:val="0"/>
          <w:bCs w:val="0"/>
          <w:color w:val="auto"/>
          <w:sz w:val="22"/>
          <w:szCs w:val="22"/>
          <w:highlight w:val="none"/>
          <w:lang w:val="en-US" w:eastAsia="zh-CN"/>
        </w:rPr>
        <w:t>磋商报价应以人民币报价。</w:t>
      </w:r>
    </w:p>
    <w:p w14:paraId="120F84F9">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（7）</w:t>
      </w:r>
      <w:r>
        <w:rPr>
          <w:rStyle w:val="192"/>
          <w:rFonts w:hint="default" w:ascii="宋体" w:hAnsi="宋体" w:eastAsia="宋体" w:cs="宋体"/>
          <w:b w:val="0"/>
          <w:bCs w:val="0"/>
          <w:color w:val="auto"/>
          <w:sz w:val="22"/>
          <w:szCs w:val="22"/>
          <w:highlight w:val="none"/>
          <w:lang w:val="en-US" w:eastAsia="zh-CN"/>
        </w:rPr>
        <w:t>在磋商过程中未对磋商内容作出实质性变更、修改的情况下，如最后报价超过首轮报价，则最后报价无效，以其首轮报价作为最终报价。</w:t>
      </w:r>
    </w:p>
    <w:p w14:paraId="570BCC87">
      <w:pPr>
        <w:pStyle w:val="252"/>
        <w:keepNext w:val="0"/>
        <w:keepLines w:val="0"/>
        <w:pageBreakBefore w:val="0"/>
        <w:widowControl/>
        <w:spacing w:line="360" w:lineRule="auto"/>
        <w:ind w:firstLine="440"/>
        <w:rPr>
          <w:rStyle w:val="192"/>
          <w:rFonts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6</w:t>
      </w:r>
      <w:r>
        <w:rPr>
          <w:rStyle w:val="192"/>
          <w:rFonts w:hint="default" w:ascii="宋体" w:hAnsi="宋体" w:eastAsia="宋体" w:cs="宋体"/>
          <w:b w:val="0"/>
          <w:bCs w:val="0"/>
          <w:color w:val="auto"/>
          <w:sz w:val="22"/>
          <w:szCs w:val="22"/>
          <w:highlight w:val="none"/>
          <w:lang w:val="en-US" w:eastAsia="zh-CN"/>
        </w:rPr>
        <w:t>.投标货币：投标文件中的所有设备单价和总价采用人民币报价，以元为单位标注</w:t>
      </w:r>
      <w:r>
        <w:rPr>
          <w:rStyle w:val="192"/>
          <w:rFonts w:hint="eastAsia" w:ascii="宋体" w:hAnsi="宋体" w:eastAsia="宋体" w:cs="宋体"/>
          <w:b w:val="0"/>
          <w:bCs w:val="0"/>
          <w:color w:val="auto"/>
          <w:sz w:val="22"/>
          <w:szCs w:val="22"/>
          <w:highlight w:val="none"/>
          <w:lang w:val="en-US" w:eastAsia="zh-CN"/>
        </w:rPr>
        <w:t>。</w:t>
      </w:r>
    </w:p>
    <w:p w14:paraId="2A495202">
      <w:pPr>
        <w:pStyle w:val="252"/>
        <w:spacing w:before="240" w:after="240"/>
        <w:rPr>
          <w:rStyle w:val="192"/>
          <w:rFonts w:ascii="Times New Roman" w:hAnsi="Times New Roman" w:eastAsia="Times New Roman" w:cs="Times New Roman"/>
          <w:color w:val="auto"/>
          <w:sz w:val="24"/>
          <w:szCs w:val="24"/>
          <w:highlight w:val="none"/>
        </w:rPr>
      </w:pPr>
      <w:r>
        <w:rPr>
          <w:rStyle w:val="251"/>
          <w:color w:val="auto"/>
          <w:highlight w:val="none"/>
        </w:rPr>
        <w:t>五.其他要求</w:t>
      </w:r>
    </w:p>
    <w:p w14:paraId="74632DDF">
      <w:pPr>
        <w:pStyle w:val="252"/>
        <w:keepNext w:val="0"/>
        <w:keepLines w:val="0"/>
        <w:pageBreakBefore w:val="0"/>
        <w:widowControl/>
        <w:spacing w:line="360" w:lineRule="auto"/>
        <w:ind w:left="437" w:firstLine="0"/>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对项目需求部分的询问、质疑请向采购人提出，询问、质疑由采购人负责解释</w:t>
      </w:r>
      <w:r>
        <w:rPr>
          <w:rStyle w:val="192"/>
          <w:rFonts w:hint="eastAsia" w:ascii="宋体" w:hAnsi="宋体" w:eastAsia="宋体" w:cs="宋体"/>
          <w:b w:val="0"/>
          <w:bCs w:val="0"/>
          <w:color w:val="auto"/>
          <w:sz w:val="22"/>
          <w:szCs w:val="22"/>
          <w:highlight w:val="none"/>
          <w:lang w:eastAsia="zh-CN"/>
        </w:rPr>
        <w:t>。</w:t>
      </w:r>
    </w:p>
    <w:p w14:paraId="01A59A03">
      <w:pPr>
        <w:pStyle w:val="252"/>
        <w:keepNext w:val="0"/>
        <w:keepLines w:val="0"/>
        <w:pageBreakBefore w:val="0"/>
        <w:widowControl/>
        <w:spacing w:before="0" w:after="0" w:line="360" w:lineRule="auto"/>
        <w:ind w:firstLine="440"/>
        <w:jc w:val="left"/>
        <w:rPr>
          <w:rFonts w:hint="eastAsia"/>
          <w:color w:val="auto"/>
          <w:sz w:val="20"/>
          <w:highlight w:val="none"/>
        </w:rPr>
      </w:pPr>
      <w:r>
        <w:rPr>
          <w:rStyle w:val="192"/>
          <w:rFonts w:hint="eastAsia" w:ascii="宋体" w:hAnsi="宋体" w:eastAsia="宋体" w:cs="宋体"/>
          <w:b w:val="0"/>
          <w:bCs w:val="0"/>
          <w:color w:val="auto"/>
          <w:sz w:val="22"/>
          <w:szCs w:val="22"/>
          <w:highlight w:val="none"/>
        </w:rPr>
        <w:t>注：采购需求部分标注“★”实质性要求，不允许负偏离，否则作为无效投标处理。</w:t>
      </w:r>
      <w:r>
        <w:rPr>
          <w:rFonts w:hint="eastAsia"/>
          <w:color w:val="auto"/>
          <w:sz w:val="20"/>
          <w:highlight w:val="none"/>
        </w:rPr>
        <w:t xml:space="preserve"> </w:t>
      </w:r>
      <w:bookmarkEnd w:id="541"/>
    </w:p>
    <w:p w14:paraId="11E54AA2">
      <w:pPr>
        <w:pStyle w:val="188"/>
        <w:jc w:val="center"/>
        <w:rPr>
          <w:color w:val="auto"/>
          <w:highlight w:val="none"/>
        </w:rPr>
      </w:pPr>
      <w:bookmarkStart w:id="542" w:name="_Toc73365513"/>
      <w:bookmarkStart w:id="543" w:name="_Toc73364900"/>
      <w:r>
        <w:rPr>
          <w:rFonts w:hint="eastAsia" w:ascii="宋体" w:hAnsi="宋体"/>
          <w:color w:val="auto"/>
          <w:sz w:val="36"/>
          <w:highlight w:val="none"/>
        </w:rPr>
        <w:br w:type="page" w:clear="all"/>
      </w:r>
      <w:bookmarkStart w:id="544" w:name="_Toc28019"/>
      <w:r>
        <w:rPr>
          <w:rFonts w:hint="eastAsia" w:ascii="宋体" w:hAnsi="宋体"/>
          <w:color w:val="auto"/>
          <w:sz w:val="36"/>
          <w:highlight w:val="none"/>
        </w:rPr>
        <w:t>第五部分  磋商及评审</w:t>
      </w:r>
      <w:bookmarkEnd w:id="542"/>
      <w:bookmarkEnd w:id="543"/>
      <w:bookmarkEnd w:id="544"/>
    </w:p>
    <w:p w14:paraId="176433C8">
      <w:pPr>
        <w:pStyle w:val="189"/>
        <w:spacing w:line="400" w:lineRule="exact"/>
        <w:ind w:firstLine="321"/>
        <w:jc w:val="left"/>
        <w:rPr>
          <w:rFonts w:ascii="宋体" w:hAnsi="宋体" w:eastAsia="宋体"/>
          <w:color w:val="auto"/>
          <w:sz w:val="32"/>
          <w:highlight w:val="none"/>
        </w:rPr>
      </w:pPr>
      <w:bookmarkStart w:id="545" w:name="_Toc73365514"/>
      <w:bookmarkStart w:id="546" w:name="_Toc27990"/>
      <w:bookmarkStart w:id="547" w:name="_Toc73364901"/>
      <w:r>
        <w:rPr>
          <w:rFonts w:hint="eastAsia" w:ascii="宋体" w:hAnsi="宋体" w:eastAsia="宋体"/>
          <w:color w:val="auto"/>
          <w:sz w:val="32"/>
          <w:highlight w:val="none"/>
        </w:rPr>
        <w:t>1．</w:t>
      </w:r>
      <w:r>
        <w:rPr>
          <w:rFonts w:ascii="宋体" w:hAnsi="宋体" w:eastAsia="宋体"/>
          <w:color w:val="auto"/>
          <w:sz w:val="32"/>
          <w:highlight w:val="none"/>
        </w:rPr>
        <w:t>磋商小组职责</w:t>
      </w:r>
      <w:bookmarkEnd w:id="545"/>
      <w:bookmarkEnd w:id="546"/>
      <w:bookmarkEnd w:id="547"/>
    </w:p>
    <w:p w14:paraId="180ACFCE">
      <w:pPr>
        <w:widowControl/>
        <w:spacing w:line="360" w:lineRule="auto"/>
        <w:ind w:firstLine="420"/>
        <w:rPr>
          <w:rFonts w:ascii="宋体" w:hAnsi="宋体"/>
          <w:color w:val="auto"/>
          <w:sz w:val="24"/>
          <w:highlight w:val="none"/>
        </w:rPr>
      </w:pPr>
      <w:r>
        <w:rPr>
          <w:rFonts w:hint="eastAsia" w:ascii="宋体" w:hAnsi="宋体"/>
          <w:color w:val="auto"/>
          <w:sz w:val="24"/>
          <w:highlight w:val="none"/>
        </w:rPr>
        <w:t>1.1熟悉和理解磋商文件，如磋商文件内容违反国家有关强制性规定的，磋商小组应当停止评审并向采购人或者采购代理机构说明情况。</w:t>
      </w:r>
    </w:p>
    <w:p w14:paraId="722118F1">
      <w:pPr>
        <w:widowControl/>
        <w:spacing w:line="360" w:lineRule="auto"/>
        <w:ind w:firstLine="420"/>
        <w:rPr>
          <w:rFonts w:ascii="宋体" w:hAnsi="宋体"/>
          <w:color w:val="auto"/>
          <w:sz w:val="24"/>
          <w:highlight w:val="none"/>
        </w:rPr>
      </w:pPr>
      <w:r>
        <w:rPr>
          <w:rFonts w:hint="eastAsia" w:ascii="宋体" w:hAnsi="宋体"/>
          <w:color w:val="auto"/>
          <w:sz w:val="24"/>
          <w:highlight w:val="none"/>
        </w:rPr>
        <w:t>1.2按照客观、公正、审慎的原则，根据磋商文件规定的评审程序、评审方法和评审标准进行独立评审。</w:t>
      </w:r>
    </w:p>
    <w:p w14:paraId="55B849F9">
      <w:pPr>
        <w:widowControl/>
        <w:spacing w:line="360" w:lineRule="auto"/>
        <w:ind w:firstLine="420"/>
        <w:rPr>
          <w:rFonts w:ascii="宋体" w:hAnsi="宋体"/>
          <w:color w:val="auto"/>
          <w:sz w:val="24"/>
          <w:highlight w:val="none"/>
        </w:rPr>
      </w:pPr>
      <w:r>
        <w:rPr>
          <w:rFonts w:hint="eastAsia" w:ascii="宋体" w:hAnsi="宋体"/>
          <w:color w:val="auto"/>
          <w:sz w:val="24"/>
          <w:highlight w:val="none"/>
        </w:rPr>
        <w:t>1.3起草评审报告并进行签署。</w:t>
      </w:r>
    </w:p>
    <w:p w14:paraId="6079323A">
      <w:pPr>
        <w:widowControl/>
        <w:spacing w:line="360" w:lineRule="auto"/>
        <w:ind w:firstLine="420"/>
        <w:rPr>
          <w:rFonts w:ascii="宋体" w:hAnsi="宋体"/>
          <w:color w:val="auto"/>
          <w:sz w:val="24"/>
          <w:highlight w:val="none"/>
        </w:rPr>
      </w:pPr>
      <w:r>
        <w:rPr>
          <w:rFonts w:hint="eastAsia" w:ascii="宋体" w:hAnsi="宋体"/>
          <w:color w:val="auto"/>
          <w:sz w:val="24"/>
          <w:highlight w:val="none"/>
        </w:rPr>
        <w:t>1.4推荐成交供应商。</w:t>
      </w:r>
    </w:p>
    <w:p w14:paraId="489420B0">
      <w:pPr>
        <w:widowControl/>
        <w:spacing w:line="360" w:lineRule="auto"/>
        <w:ind w:firstLine="420"/>
        <w:rPr>
          <w:rFonts w:ascii="宋体" w:hAnsi="宋体"/>
          <w:color w:val="auto"/>
          <w:sz w:val="24"/>
          <w:highlight w:val="none"/>
        </w:rPr>
      </w:pPr>
      <w:r>
        <w:rPr>
          <w:rFonts w:hint="eastAsia" w:ascii="宋体" w:hAnsi="宋体"/>
          <w:color w:val="auto"/>
          <w:sz w:val="24"/>
          <w:highlight w:val="none"/>
        </w:rPr>
        <w:t>1.5向采购人、采购代理机构、财政部门或者其他监督部门报告非法干预评审工作的行为。</w:t>
      </w:r>
    </w:p>
    <w:p w14:paraId="033E70F7">
      <w:pPr>
        <w:widowControl/>
        <w:spacing w:line="360" w:lineRule="auto"/>
        <w:ind w:firstLine="420"/>
        <w:rPr>
          <w:rFonts w:ascii="宋体" w:hAnsi="宋体"/>
          <w:color w:val="auto"/>
          <w:sz w:val="24"/>
          <w:highlight w:val="none"/>
        </w:rPr>
      </w:pPr>
      <w:r>
        <w:rPr>
          <w:rFonts w:hint="eastAsia" w:ascii="宋体" w:hAnsi="宋体"/>
          <w:color w:val="auto"/>
          <w:sz w:val="24"/>
          <w:highlight w:val="none"/>
        </w:rPr>
        <w:t>1.6法律、法规和规章规定的其他职责。</w:t>
      </w:r>
    </w:p>
    <w:p w14:paraId="4F7C6B4E">
      <w:pPr>
        <w:pStyle w:val="189"/>
        <w:spacing w:line="400" w:lineRule="exact"/>
        <w:ind w:firstLine="321"/>
        <w:jc w:val="left"/>
        <w:rPr>
          <w:rFonts w:ascii="宋体" w:hAnsi="宋体" w:eastAsia="宋体"/>
          <w:color w:val="auto"/>
          <w:sz w:val="32"/>
          <w:highlight w:val="none"/>
        </w:rPr>
      </w:pPr>
      <w:bookmarkStart w:id="548" w:name="_Toc73364902"/>
      <w:bookmarkStart w:id="549" w:name="_Toc20715"/>
      <w:bookmarkStart w:id="550" w:name="_Toc73365515"/>
      <w:r>
        <w:rPr>
          <w:rFonts w:hint="eastAsia" w:ascii="宋体" w:hAnsi="宋体" w:eastAsia="宋体"/>
          <w:color w:val="auto"/>
          <w:sz w:val="32"/>
          <w:highlight w:val="none"/>
        </w:rPr>
        <w:t>2．磋商及评审程序</w:t>
      </w:r>
      <w:bookmarkEnd w:id="548"/>
      <w:bookmarkEnd w:id="549"/>
      <w:bookmarkEnd w:id="550"/>
    </w:p>
    <w:p w14:paraId="61D7F641">
      <w:pPr>
        <w:spacing w:line="360" w:lineRule="auto"/>
        <w:ind w:firstLine="424"/>
        <w:rPr>
          <w:rFonts w:ascii="宋体" w:hAnsi="宋体"/>
          <w:color w:val="auto"/>
          <w:sz w:val="24"/>
          <w:highlight w:val="none"/>
        </w:rPr>
      </w:pPr>
      <w:r>
        <w:rPr>
          <w:rFonts w:hint="eastAsia" w:ascii="宋体" w:hAnsi="宋体"/>
          <w:color w:val="auto"/>
          <w:sz w:val="24"/>
          <w:highlight w:val="none"/>
        </w:rPr>
        <w:t>2.1磋商组织方按磋商小组名单核对身份并签到。</w:t>
      </w:r>
    </w:p>
    <w:p w14:paraId="76C52005">
      <w:pPr>
        <w:spacing w:line="360" w:lineRule="auto"/>
        <w:ind w:firstLine="424"/>
        <w:rPr>
          <w:rFonts w:ascii="宋体" w:hAnsi="宋体"/>
          <w:color w:val="auto"/>
          <w:sz w:val="24"/>
          <w:highlight w:val="none"/>
        </w:rPr>
      </w:pPr>
      <w:r>
        <w:rPr>
          <w:rFonts w:hint="eastAsia" w:ascii="宋体" w:hAnsi="宋体"/>
          <w:color w:val="auto"/>
          <w:sz w:val="24"/>
          <w:highlight w:val="none"/>
        </w:rPr>
        <w:t>2.2磋商组织方宣布磋商及评审纪律，磋商小组确认有无回避的情形。</w:t>
      </w:r>
    </w:p>
    <w:p w14:paraId="2FA9E69B">
      <w:pPr>
        <w:spacing w:line="360" w:lineRule="auto"/>
        <w:ind w:firstLine="424"/>
        <w:rPr>
          <w:rFonts w:ascii="宋体" w:hAnsi="宋体"/>
          <w:color w:val="auto"/>
          <w:sz w:val="24"/>
          <w:highlight w:val="none"/>
        </w:rPr>
      </w:pPr>
      <w:r>
        <w:rPr>
          <w:rFonts w:hint="eastAsia" w:ascii="宋体" w:hAnsi="宋体"/>
          <w:color w:val="auto"/>
          <w:sz w:val="24"/>
          <w:highlight w:val="none"/>
        </w:rPr>
        <w:t>2.3磋商小组推选组长，负责组织磋商及评审活动，采购人代表不得担任组长。</w:t>
      </w:r>
    </w:p>
    <w:p w14:paraId="419D89D0">
      <w:pPr>
        <w:spacing w:line="360" w:lineRule="auto"/>
        <w:ind w:firstLine="424"/>
        <w:rPr>
          <w:rFonts w:ascii="宋体" w:hAnsi="宋体"/>
          <w:color w:val="auto"/>
          <w:sz w:val="24"/>
          <w:highlight w:val="none"/>
        </w:rPr>
      </w:pPr>
      <w:r>
        <w:rPr>
          <w:rFonts w:hint="eastAsia" w:ascii="宋体" w:hAnsi="宋体"/>
          <w:color w:val="auto"/>
          <w:sz w:val="24"/>
          <w:highlight w:val="none"/>
        </w:rPr>
        <w:t>2.4磋商小组正式评审前，应当对磋商文件进行熟悉和理解，审查磋商文件。</w:t>
      </w:r>
    </w:p>
    <w:p w14:paraId="4BD7803A">
      <w:pPr>
        <w:spacing w:line="360" w:lineRule="auto"/>
        <w:ind w:firstLine="424"/>
        <w:rPr>
          <w:rFonts w:ascii="宋体" w:hAnsi="宋体"/>
          <w:color w:val="auto"/>
          <w:sz w:val="24"/>
          <w:highlight w:val="none"/>
        </w:rPr>
      </w:pPr>
      <w:r>
        <w:rPr>
          <w:rFonts w:hint="eastAsia" w:ascii="宋体" w:hAnsi="宋体"/>
          <w:color w:val="auto"/>
          <w:sz w:val="24"/>
          <w:highlight w:val="none"/>
        </w:rPr>
        <w:t>2.5磋商小组将对供应商进行资格审查，对首次响应文件进行有效性、完整性和响应程度审查。未通过审查的供应商不得参与磋商，磋商小组应书面告知供应商并说明理由。</w:t>
      </w:r>
    </w:p>
    <w:p w14:paraId="002F8C3E">
      <w:pPr>
        <w:spacing w:line="360" w:lineRule="auto"/>
        <w:ind w:firstLine="424"/>
        <w:rPr>
          <w:rFonts w:ascii="宋体" w:hAnsi="宋体"/>
          <w:color w:val="auto"/>
          <w:sz w:val="24"/>
          <w:highlight w:val="none"/>
        </w:rPr>
      </w:pPr>
      <w:r>
        <w:rPr>
          <w:rFonts w:hint="eastAsia" w:ascii="宋体" w:hAnsi="宋体"/>
          <w:color w:val="auto"/>
          <w:sz w:val="24"/>
          <w:highlight w:val="none"/>
        </w:rPr>
        <w:t>2.6</w:t>
      </w:r>
      <w:r>
        <w:rPr>
          <w:rFonts w:ascii="宋体" w:hAnsi="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47E99AA0">
      <w:pPr>
        <w:spacing w:line="360" w:lineRule="auto"/>
        <w:ind w:firstLine="424"/>
        <w:rPr>
          <w:rFonts w:ascii="宋体" w:hAnsi="宋体"/>
          <w:color w:val="auto"/>
          <w:sz w:val="24"/>
          <w:highlight w:val="none"/>
        </w:rPr>
      </w:pPr>
      <w:r>
        <w:rPr>
          <w:rFonts w:hint="eastAsia" w:ascii="宋体" w:hAnsi="宋体"/>
          <w:color w:val="auto"/>
          <w:sz w:val="24"/>
          <w:highlight w:val="none"/>
        </w:rPr>
        <w:t>2.7磋商小组应集中与符合要求的单一供应商分别进行磋商，并给予所有参加磋商的供应商平等的磋商机会。</w:t>
      </w:r>
    </w:p>
    <w:p w14:paraId="7A8530BA">
      <w:pPr>
        <w:spacing w:line="360" w:lineRule="auto"/>
        <w:ind w:firstLine="424"/>
        <w:rPr>
          <w:rFonts w:ascii="宋体" w:hAnsi="宋体"/>
          <w:color w:val="auto"/>
          <w:sz w:val="24"/>
          <w:highlight w:val="none"/>
        </w:rPr>
      </w:pPr>
      <w:r>
        <w:rPr>
          <w:rFonts w:hint="eastAsia" w:ascii="宋体" w:hAnsi="宋体"/>
          <w:color w:val="auto"/>
          <w:sz w:val="24"/>
          <w:highlight w:val="non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4060F45C">
      <w:pPr>
        <w:spacing w:line="360" w:lineRule="auto"/>
        <w:ind w:firstLine="424"/>
        <w:rPr>
          <w:rFonts w:ascii="宋体" w:hAnsi="宋体"/>
          <w:color w:val="auto"/>
          <w:highlight w:val="none"/>
        </w:rPr>
      </w:pPr>
      <w:r>
        <w:rPr>
          <w:rFonts w:hint="eastAsia" w:ascii="宋体" w:hAnsi="宋体"/>
          <w:color w:val="auto"/>
          <w:sz w:val="24"/>
          <w:highlight w:val="none"/>
        </w:rPr>
        <w:t>2.9磋商文件能够详细列明采购标的的技术、服务要求的，磋商结束后，磋商小组应要求所有实质性响应的供应商在规定时间内提交最后报价。</w:t>
      </w:r>
    </w:p>
    <w:p w14:paraId="46975CAE">
      <w:pPr>
        <w:spacing w:line="360" w:lineRule="auto"/>
        <w:ind w:firstLine="424"/>
        <w:rPr>
          <w:rFonts w:ascii="宋体" w:hAnsi="宋体"/>
          <w:color w:val="auto"/>
          <w:sz w:val="24"/>
          <w:highlight w:val="none"/>
        </w:rPr>
      </w:pPr>
      <w:r>
        <w:rPr>
          <w:rFonts w:hint="eastAsia" w:ascii="宋体" w:hAnsi="宋体"/>
          <w:color w:val="auto"/>
          <w:sz w:val="24"/>
          <w:highlight w:val="non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1831FDF4">
      <w:pPr>
        <w:spacing w:line="360" w:lineRule="auto"/>
        <w:ind w:firstLine="424"/>
        <w:rPr>
          <w:rFonts w:ascii="宋体" w:hAnsi="宋体"/>
          <w:color w:val="auto"/>
          <w:sz w:val="24"/>
          <w:highlight w:val="none"/>
        </w:rPr>
      </w:pPr>
      <w:r>
        <w:rPr>
          <w:rFonts w:hint="eastAsia" w:ascii="宋体" w:hAnsi="宋体"/>
          <w:color w:val="auto"/>
          <w:sz w:val="24"/>
          <w:highlight w:val="none"/>
        </w:rPr>
        <w:t>符合磋商</w:t>
      </w:r>
      <w:r>
        <w:rPr>
          <w:rFonts w:ascii="宋体" w:hAnsi="宋体"/>
          <w:color w:val="auto"/>
          <w:sz w:val="24"/>
          <w:highlight w:val="none"/>
        </w:rPr>
        <w:t>文件供应商须知</w:t>
      </w:r>
      <w:r>
        <w:rPr>
          <w:rFonts w:hint="eastAsia" w:ascii="宋体" w:hAnsi="宋体"/>
          <w:color w:val="auto"/>
          <w:sz w:val="24"/>
          <w:highlight w:val="none"/>
        </w:rPr>
        <w:t>规定情形的，提交最后报价的供应商可以为</w:t>
      </w:r>
      <w:r>
        <w:rPr>
          <w:rFonts w:ascii="宋体" w:hAnsi="宋体"/>
          <w:color w:val="auto"/>
          <w:sz w:val="24"/>
          <w:highlight w:val="none"/>
        </w:rPr>
        <w:t>2</w:t>
      </w:r>
      <w:r>
        <w:rPr>
          <w:rFonts w:hint="eastAsia" w:ascii="宋体" w:hAnsi="宋体"/>
          <w:color w:val="auto"/>
          <w:sz w:val="24"/>
          <w:highlight w:val="none"/>
        </w:rPr>
        <w:t>家。</w:t>
      </w:r>
    </w:p>
    <w:p w14:paraId="5DD5D638">
      <w:pPr>
        <w:widowControl/>
        <w:spacing w:line="360" w:lineRule="auto"/>
        <w:ind w:firstLine="424"/>
        <w:jc w:val="left"/>
        <w:rPr>
          <w:rFonts w:ascii="宋体" w:hAnsi="宋体"/>
          <w:color w:val="auto"/>
          <w:sz w:val="24"/>
          <w:highlight w:val="none"/>
        </w:rPr>
      </w:pPr>
      <w:r>
        <w:rPr>
          <w:rFonts w:hint="eastAsia" w:ascii="宋体" w:hAnsi="宋体"/>
          <w:color w:val="auto"/>
          <w:sz w:val="24"/>
          <w:highlight w:val="none"/>
        </w:rPr>
        <w:t>2.10经磋商确定最终采购需求和提交最后报价的供应商后，磋商小组应对提交最后报价的供应商的响应文件和最后报价进行评审。</w:t>
      </w:r>
    </w:p>
    <w:p w14:paraId="6C2CF575">
      <w:pPr>
        <w:spacing w:line="360" w:lineRule="auto"/>
        <w:ind w:firstLine="424"/>
        <w:rPr>
          <w:rFonts w:ascii="宋体" w:hAnsi="宋体"/>
          <w:color w:val="auto"/>
          <w:sz w:val="24"/>
          <w:highlight w:val="none"/>
        </w:rPr>
      </w:pPr>
      <w:r>
        <w:rPr>
          <w:rFonts w:hint="eastAsia" w:ascii="宋体" w:hAnsi="宋体"/>
          <w:color w:val="auto"/>
          <w:sz w:val="24"/>
          <w:highlight w:val="none"/>
        </w:rPr>
        <w:t>2.11磋商小组对磋商供应商得分按照从高到低进行排序，得分相同的磋商供应商，报价低者排名在前，评审得分且最后报价相同的，按技术指标优劣顺序排列。</w:t>
      </w:r>
    </w:p>
    <w:p w14:paraId="7BA1111B">
      <w:pPr>
        <w:spacing w:line="360" w:lineRule="auto"/>
        <w:ind w:firstLine="424"/>
        <w:rPr>
          <w:rFonts w:ascii="宋体" w:hAnsi="宋体"/>
          <w:color w:val="auto"/>
          <w:sz w:val="24"/>
          <w:highlight w:val="none"/>
        </w:rPr>
      </w:pPr>
      <w:r>
        <w:rPr>
          <w:rFonts w:hint="eastAsia" w:ascii="宋体" w:hAnsi="宋体"/>
          <w:color w:val="auto"/>
          <w:sz w:val="24"/>
          <w:highlight w:val="none"/>
        </w:rPr>
        <w:t>2.12推荐成交候选供应商，并出具书面评审报告。</w:t>
      </w:r>
    </w:p>
    <w:p w14:paraId="6F2C320B">
      <w:pPr>
        <w:pStyle w:val="189"/>
        <w:spacing w:line="400" w:lineRule="exact"/>
        <w:ind w:firstLine="321"/>
        <w:jc w:val="left"/>
        <w:rPr>
          <w:color w:val="auto"/>
          <w:highlight w:val="none"/>
        </w:rPr>
      </w:pPr>
      <w:bookmarkStart w:id="551" w:name="_Toc73365516"/>
      <w:bookmarkStart w:id="552" w:name="_Toc17275"/>
      <w:bookmarkStart w:id="553" w:name="_Toc73364903"/>
      <w:r>
        <w:rPr>
          <w:rFonts w:hint="eastAsia" w:ascii="宋体" w:hAnsi="宋体" w:eastAsia="宋体"/>
          <w:color w:val="auto"/>
          <w:sz w:val="32"/>
          <w:highlight w:val="none"/>
        </w:rPr>
        <w:t>3．供应商资格审查</w:t>
      </w:r>
      <w:bookmarkEnd w:id="551"/>
      <w:bookmarkEnd w:id="552"/>
      <w:bookmarkEnd w:id="553"/>
    </w:p>
    <w:p w14:paraId="255D151A">
      <w:pPr>
        <w:spacing w:line="360" w:lineRule="auto"/>
        <w:ind w:firstLine="480"/>
        <w:rPr>
          <w:color w:val="auto"/>
          <w:highlight w:val="none"/>
        </w:rPr>
      </w:pPr>
      <w:bookmarkStart w:id="554" w:name="EBca25f1f2e9864ca3b0b8f62aaa9a4dc1"/>
      <w:r>
        <w:rPr>
          <w:rFonts w:hint="eastAsia" w:ascii="宋体" w:hAnsi="宋体"/>
          <w:color w:val="auto"/>
          <w:sz w:val="24"/>
          <w:szCs w:val="28"/>
          <w:highlight w:val="none"/>
        </w:rPr>
        <w:t>☑</w:t>
      </w:r>
      <w:bookmarkEnd w:id="554"/>
      <w:bookmarkStart w:id="555" w:name="EB681b9d9dbd034aaca383871dc8abcc3d"/>
      <w:r>
        <w:rPr>
          <w:rFonts w:hint="eastAsia" w:ascii="宋体" w:hAnsi="宋体"/>
          <w:color w:val="auto"/>
          <w:sz w:val="24"/>
          <w:szCs w:val="28"/>
          <w:highlight w:val="none"/>
        </w:rPr>
        <w:t>发布公告</w:t>
      </w:r>
      <w:bookmarkEnd w:id="555"/>
      <w:r>
        <w:rPr>
          <w:rFonts w:hint="eastAsia" w:ascii="宋体" w:hAnsi="宋体"/>
          <w:color w:val="auto"/>
          <w:sz w:val="24"/>
          <w:szCs w:val="28"/>
          <w:highlight w:val="none"/>
        </w:rPr>
        <w:t xml:space="preserve">  </w:t>
      </w:r>
    </w:p>
    <w:p w14:paraId="25172B92">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开启结束后，磋商小组将依法对供应商的资格进行审查。资格审查的内容如下：</w:t>
      </w:r>
    </w:p>
    <w:p w14:paraId="0A8AA5AC">
      <w:pPr>
        <w:rPr>
          <w:rFonts w:hint="eastAsia"/>
          <w:color w:val="auto"/>
          <w:sz w:val="20"/>
          <w:highlight w:val="none"/>
        </w:rPr>
      </w:pPr>
      <w:bookmarkStart w:id="556" w:name="EB26dcd70bebb54979b7a4b621de125d2f"/>
    </w:p>
    <w:tbl>
      <w:tblPr>
        <w:tblStyle w:val="32"/>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64"/>
        <w:gridCol w:w="2728"/>
        <w:gridCol w:w="6362"/>
      </w:tblGrid>
      <w:tr w14:paraId="71873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45B0FE01">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序号</w:t>
            </w:r>
          </w:p>
        </w:tc>
        <w:tc>
          <w:tcPr>
            <w:tcW w:w="2728" w:type="dxa"/>
            <w:noWrap w:val="0"/>
            <w:tcMar>
              <w:top w:w="100" w:type="dxa"/>
              <w:bottom w:w="100" w:type="dxa"/>
            </w:tcMar>
            <w:vAlign w:val="center"/>
          </w:tcPr>
          <w:p w14:paraId="13277023">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审查要素</w:t>
            </w:r>
          </w:p>
        </w:tc>
        <w:tc>
          <w:tcPr>
            <w:tcW w:w="6363" w:type="dxa"/>
            <w:noWrap w:val="0"/>
            <w:tcMar>
              <w:top w:w="100" w:type="dxa"/>
              <w:bottom w:w="100" w:type="dxa"/>
            </w:tcMar>
            <w:vAlign w:val="center"/>
          </w:tcPr>
          <w:p w14:paraId="4E107886">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审查内容</w:t>
            </w:r>
          </w:p>
        </w:tc>
      </w:tr>
      <w:tr w14:paraId="74525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79DD8D1D">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1</w:t>
            </w:r>
          </w:p>
        </w:tc>
        <w:tc>
          <w:tcPr>
            <w:tcW w:w="2728" w:type="dxa"/>
            <w:noWrap w:val="0"/>
            <w:tcMar>
              <w:top w:w="100" w:type="dxa"/>
              <w:bottom w:w="100" w:type="dxa"/>
            </w:tcMar>
            <w:vAlign w:val="center"/>
          </w:tcPr>
          <w:p w14:paraId="0053D3DF">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具有独立承担民事责任的能力</w:t>
            </w:r>
          </w:p>
        </w:tc>
        <w:tc>
          <w:tcPr>
            <w:tcW w:w="6363" w:type="dxa"/>
            <w:noWrap w:val="0"/>
            <w:tcMar>
              <w:top w:w="100" w:type="dxa"/>
              <w:bottom w:w="100" w:type="dxa"/>
            </w:tcMar>
            <w:vAlign w:val="center"/>
          </w:tcPr>
          <w:p w14:paraId="7410A831">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提供法人或者其他组织的营业执照等证明文件；供应商为自然人的，提供其身份证</w:t>
            </w:r>
            <w:r>
              <w:rPr>
                <w:rFonts w:hint="eastAsia" w:ascii="宋体" w:hAnsi="宋体" w:eastAsia="宋体" w:cs="宋体"/>
                <w:color w:val="auto"/>
                <w:sz w:val="21"/>
                <w:highlight w:val="none"/>
              </w:rPr>
              <w:t>（原件扫描件）</w:t>
            </w:r>
            <w:r>
              <w:rPr>
                <w:rStyle w:val="192"/>
                <w:rFonts w:hint="eastAsia" w:ascii="宋体" w:hAnsi="宋体" w:eastAsia="宋体" w:cs="宋体"/>
                <w:b w:val="0"/>
                <w:color w:val="auto"/>
                <w:sz w:val="21"/>
                <w:szCs w:val="24"/>
                <w:highlight w:val="none"/>
                <w:lang w:eastAsia="zh-CN"/>
              </w:rPr>
              <w:t>。</w:t>
            </w:r>
          </w:p>
        </w:tc>
      </w:tr>
      <w:tr w14:paraId="69FF8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871" w:hRule="atLeast"/>
          <w:jc w:val="center"/>
        </w:trPr>
        <w:tc>
          <w:tcPr>
            <w:tcW w:w="764" w:type="dxa"/>
            <w:noWrap w:val="0"/>
            <w:tcMar>
              <w:top w:w="100" w:type="dxa"/>
              <w:bottom w:w="100" w:type="dxa"/>
            </w:tcMar>
            <w:vAlign w:val="center"/>
          </w:tcPr>
          <w:p w14:paraId="4A9211B6">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2</w:t>
            </w:r>
          </w:p>
        </w:tc>
        <w:tc>
          <w:tcPr>
            <w:tcW w:w="2728" w:type="dxa"/>
            <w:noWrap w:val="0"/>
            <w:tcMar>
              <w:top w:w="100" w:type="dxa"/>
              <w:bottom w:w="100" w:type="dxa"/>
            </w:tcMar>
            <w:vAlign w:val="center"/>
          </w:tcPr>
          <w:p w14:paraId="0CCDF22E">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具有良好的商业信誉和健全的财务会计制度</w:t>
            </w:r>
          </w:p>
        </w:tc>
        <w:tc>
          <w:tcPr>
            <w:tcW w:w="6363" w:type="dxa"/>
            <w:noWrap w:val="0"/>
            <w:tcMar>
              <w:top w:w="100" w:type="dxa"/>
              <w:bottom w:w="100" w:type="dxa"/>
            </w:tcMar>
            <w:vAlign w:val="center"/>
          </w:tcPr>
          <w:p w14:paraId="15BBA15A">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hint="eastAsia" w:ascii="宋体" w:hAnsi="宋体" w:eastAsia="宋体" w:cs="宋体"/>
                <w:b w:val="0"/>
                <w:color w:val="auto"/>
                <w:sz w:val="21"/>
                <w:szCs w:val="24"/>
                <w:highlight w:val="none"/>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（原件扫描件）</w:t>
            </w:r>
            <w:r>
              <w:rPr>
                <w:rStyle w:val="192"/>
                <w:rFonts w:hint="eastAsia" w:ascii="宋体" w:hAnsi="宋体" w:eastAsia="宋体" w:cs="宋体"/>
                <w:b w:val="0"/>
                <w:color w:val="auto"/>
                <w:sz w:val="21"/>
                <w:szCs w:val="24"/>
                <w:highlight w:val="none"/>
                <w:lang w:eastAsia="zh-CN"/>
              </w:rPr>
              <w:t>；或按采购文件要求提供资格承诺函。</w:t>
            </w:r>
          </w:p>
        </w:tc>
      </w:tr>
      <w:tr w14:paraId="2057C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499C0960">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3</w:t>
            </w:r>
          </w:p>
        </w:tc>
        <w:tc>
          <w:tcPr>
            <w:tcW w:w="2728" w:type="dxa"/>
            <w:noWrap w:val="0"/>
            <w:tcMar>
              <w:top w:w="100" w:type="dxa"/>
              <w:bottom w:w="100" w:type="dxa"/>
            </w:tcMar>
            <w:vAlign w:val="center"/>
          </w:tcPr>
          <w:p w14:paraId="4ED94CEF">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具有履行合同所必需的设备和专业技术能力</w:t>
            </w:r>
          </w:p>
        </w:tc>
        <w:tc>
          <w:tcPr>
            <w:tcW w:w="6363" w:type="dxa"/>
            <w:noWrap w:val="0"/>
            <w:tcMar>
              <w:top w:w="100" w:type="dxa"/>
              <w:bottom w:w="100" w:type="dxa"/>
            </w:tcMar>
            <w:vAlign w:val="center"/>
          </w:tcPr>
          <w:p w14:paraId="32437292">
            <w:pPr>
              <w:pStyle w:val="254"/>
              <w:keepNext w:val="0"/>
              <w:keepLines w:val="0"/>
              <w:pageBreakBefore w:val="0"/>
              <w:widowControl/>
              <w:ind w:left="53" w:right="0"/>
              <w:jc w:val="left"/>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见履行合同所必需的设备和专业技术能力表</w:t>
            </w:r>
            <w:r>
              <w:rPr>
                <w:rStyle w:val="192"/>
                <w:rFonts w:hint="eastAsia" w:ascii="宋体" w:hAnsi="宋体" w:eastAsia="宋体" w:cs="宋体"/>
                <w:b w:val="0"/>
                <w:color w:val="auto"/>
                <w:sz w:val="21"/>
                <w:szCs w:val="24"/>
                <w:highlight w:val="none"/>
                <w:lang w:eastAsia="zh-CN"/>
              </w:rPr>
              <w:t>；或按采购文件要求提供资格承诺函。</w:t>
            </w:r>
          </w:p>
        </w:tc>
      </w:tr>
      <w:tr w14:paraId="3B0C7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0EC5819A">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4</w:t>
            </w:r>
          </w:p>
        </w:tc>
        <w:tc>
          <w:tcPr>
            <w:tcW w:w="2728" w:type="dxa"/>
            <w:noWrap w:val="0"/>
            <w:tcMar>
              <w:top w:w="100" w:type="dxa"/>
              <w:bottom w:w="100" w:type="dxa"/>
            </w:tcMar>
            <w:vAlign w:val="center"/>
          </w:tcPr>
          <w:p w14:paraId="77F1610F">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有依法缴纳税收和社会保障资金的良好记录</w:t>
            </w:r>
          </w:p>
        </w:tc>
        <w:tc>
          <w:tcPr>
            <w:tcW w:w="6363" w:type="dxa"/>
            <w:noWrap w:val="0"/>
            <w:tcMar>
              <w:top w:w="100" w:type="dxa"/>
              <w:bottom w:w="100" w:type="dxa"/>
            </w:tcMar>
            <w:vAlign w:val="center"/>
          </w:tcPr>
          <w:p w14:paraId="32533DBA">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提供参加本次政府采购活动前一年内</w:t>
            </w:r>
            <w:r>
              <w:rPr>
                <w:rStyle w:val="192"/>
                <w:rFonts w:hint="eastAsia" w:ascii="宋体" w:hAnsi="宋体" w:eastAsia="宋体" w:cs="宋体"/>
                <w:b w:val="0"/>
                <w:color w:val="auto"/>
                <w:sz w:val="21"/>
                <w:szCs w:val="24"/>
                <w:highlight w:val="none"/>
                <w:lang w:eastAsia="zh-CN"/>
              </w:rPr>
              <w:t>至少一个月依法缴纳税收和社会保险的凭据（原件扫描件）；或按采购文件要求提供资格承诺函。</w:t>
            </w:r>
          </w:p>
        </w:tc>
      </w:tr>
      <w:tr w14:paraId="18ADA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218DE29A">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5</w:t>
            </w:r>
          </w:p>
        </w:tc>
        <w:tc>
          <w:tcPr>
            <w:tcW w:w="2728" w:type="dxa"/>
            <w:noWrap w:val="0"/>
            <w:tcMar>
              <w:top w:w="100" w:type="dxa"/>
              <w:bottom w:w="100" w:type="dxa"/>
            </w:tcMar>
            <w:vAlign w:val="center"/>
          </w:tcPr>
          <w:p w14:paraId="32F2295A">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参加政府采购活动前三年内，在经营活动中没有重大违法记录</w:t>
            </w:r>
          </w:p>
        </w:tc>
        <w:tc>
          <w:tcPr>
            <w:tcW w:w="6363" w:type="dxa"/>
            <w:noWrap w:val="0"/>
            <w:tcMar>
              <w:top w:w="100" w:type="dxa"/>
              <w:bottom w:w="100" w:type="dxa"/>
            </w:tcMar>
            <w:vAlign w:val="center"/>
          </w:tcPr>
          <w:p w14:paraId="1A090427">
            <w:pPr>
              <w:pStyle w:val="254"/>
              <w:keepNext w:val="0"/>
              <w:keepLines w:val="0"/>
              <w:pageBreakBefore w:val="0"/>
              <w:widowControl/>
              <w:ind w:left="53" w:right="0"/>
              <w:jc w:val="left"/>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磋商承诺函</w:t>
            </w:r>
            <w:r>
              <w:rPr>
                <w:rStyle w:val="192"/>
                <w:rFonts w:hint="eastAsia" w:ascii="宋体" w:hAnsi="宋体" w:eastAsia="宋体" w:cs="宋体"/>
                <w:b w:val="0"/>
                <w:color w:val="auto"/>
                <w:sz w:val="21"/>
                <w:szCs w:val="24"/>
                <w:highlight w:val="none"/>
                <w:lang w:eastAsia="zh-CN"/>
              </w:rPr>
              <w:t>；或按采购文件要求提供资格承诺函。</w:t>
            </w:r>
          </w:p>
        </w:tc>
      </w:tr>
      <w:tr w14:paraId="6E673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305" w:hRule="atLeast"/>
          <w:jc w:val="center"/>
        </w:trPr>
        <w:tc>
          <w:tcPr>
            <w:tcW w:w="764" w:type="dxa"/>
            <w:noWrap w:val="0"/>
            <w:tcMar>
              <w:top w:w="100" w:type="dxa"/>
              <w:bottom w:w="100" w:type="dxa"/>
            </w:tcMar>
            <w:vAlign w:val="center"/>
          </w:tcPr>
          <w:p w14:paraId="1CA85084">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6</w:t>
            </w:r>
          </w:p>
        </w:tc>
        <w:tc>
          <w:tcPr>
            <w:tcW w:w="2728" w:type="dxa"/>
            <w:noWrap w:val="0"/>
            <w:tcMar>
              <w:top w:w="100" w:type="dxa"/>
              <w:bottom w:w="100" w:type="dxa"/>
            </w:tcMar>
            <w:vAlign w:val="center"/>
          </w:tcPr>
          <w:p w14:paraId="5A5EED8D">
            <w:pPr>
              <w:pStyle w:val="254"/>
              <w:jc w:val="center"/>
              <w:rPr>
                <w:rStyle w:val="192"/>
                <w:rFonts w:hint="eastAsia" w:ascii="宋体" w:hAnsi="宋体" w:eastAsia="宋体" w:cs="宋体"/>
                <w:b w:val="0"/>
                <w:color w:val="auto"/>
                <w:sz w:val="21"/>
                <w:szCs w:val="24"/>
                <w:highlight w:val="none"/>
              </w:rPr>
            </w:pPr>
            <w:r>
              <w:rPr>
                <w:rStyle w:val="192"/>
                <w:rFonts w:hint="eastAsia" w:ascii="宋体" w:hAnsi="宋体" w:eastAsia="宋体" w:cs="宋体"/>
                <w:b w:val="0"/>
                <w:color w:val="auto"/>
                <w:sz w:val="21"/>
                <w:szCs w:val="24"/>
                <w:highlight w:val="none"/>
                <w:lang w:eastAsia="zh-CN"/>
              </w:rPr>
              <w:t>信用情况</w:t>
            </w:r>
          </w:p>
        </w:tc>
        <w:tc>
          <w:tcPr>
            <w:tcW w:w="6363" w:type="dxa"/>
            <w:noWrap w:val="0"/>
            <w:tcMar>
              <w:top w:w="100" w:type="dxa"/>
              <w:bottom w:w="100" w:type="dxa"/>
            </w:tcMar>
            <w:vAlign w:val="center"/>
          </w:tcPr>
          <w:p w14:paraId="78C86B18">
            <w:pPr>
              <w:pStyle w:val="254"/>
              <w:keepNext w:val="0"/>
              <w:keepLines w:val="0"/>
              <w:pageBreakBefore w:val="0"/>
              <w:widowControl/>
              <w:ind w:left="53" w:right="0"/>
              <w:jc w:val="left"/>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“信用中国”网站（www.creditchina.gov.cn）、中国政府采购网（www.ccgp.gov.cn）、“信用江苏”网站（http</w:t>
            </w:r>
            <w:r>
              <w:rPr>
                <w:rStyle w:val="192"/>
                <w:rFonts w:hint="eastAsia" w:ascii="宋体" w:hAnsi="宋体" w:eastAsia="宋体" w:cs="宋体"/>
                <w:b w:val="0"/>
                <w:color w:val="auto"/>
                <w:sz w:val="21"/>
                <w:szCs w:val="24"/>
                <w:highlight w:val="none"/>
                <w:lang w:eastAsia="zh-CN"/>
              </w:rPr>
              <w:t>：</w:t>
            </w:r>
            <w:r>
              <w:rPr>
                <w:rStyle w:val="192"/>
                <w:rFonts w:ascii="宋体" w:hAnsi="宋体" w:eastAsia="宋体" w:cs="宋体"/>
                <w:b w:val="0"/>
                <w:color w:val="auto"/>
                <w:sz w:val="21"/>
                <w:szCs w:val="24"/>
                <w:highlight w:val="none"/>
              </w:rPr>
              <w:t>//credit.jiangsu.gov.cn/）的查询结果未列入失信被执行人名单、重大税收违法案件当事人名单、政府采购严重违法失信行为名单,以现场查询为准。</w:t>
            </w:r>
          </w:p>
        </w:tc>
      </w:tr>
      <w:tr w14:paraId="4ADE0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90" w:hRule="atLeast"/>
          <w:jc w:val="center"/>
        </w:trPr>
        <w:tc>
          <w:tcPr>
            <w:tcW w:w="764" w:type="dxa"/>
            <w:noWrap w:val="0"/>
            <w:tcMar>
              <w:top w:w="100" w:type="dxa"/>
              <w:bottom w:w="100" w:type="dxa"/>
            </w:tcMar>
            <w:vAlign w:val="center"/>
          </w:tcPr>
          <w:p w14:paraId="1448814E">
            <w:pPr>
              <w:pStyle w:val="254"/>
              <w:jc w:val="center"/>
              <w:rPr>
                <w:rStyle w:val="192"/>
                <w:rFonts w:hint="eastAsia" w:ascii="宋体" w:hAnsi="宋体" w:eastAsia="宋体" w:cs="宋体"/>
                <w:b w:val="0"/>
                <w:color w:val="auto"/>
                <w:sz w:val="21"/>
                <w:szCs w:val="24"/>
                <w:highlight w:val="none"/>
              </w:rPr>
            </w:pPr>
            <w:r>
              <w:rPr>
                <w:rStyle w:val="192"/>
                <w:rFonts w:hint="eastAsia" w:ascii="宋体" w:hAnsi="宋体" w:eastAsia="宋体" w:cs="宋体"/>
                <w:b w:val="0"/>
                <w:color w:val="auto"/>
                <w:sz w:val="21"/>
                <w:szCs w:val="24"/>
                <w:highlight w:val="none"/>
                <w:lang w:val="en-US" w:eastAsia="zh-CN"/>
              </w:rPr>
              <w:t>7</w:t>
            </w:r>
          </w:p>
        </w:tc>
        <w:tc>
          <w:tcPr>
            <w:tcW w:w="2728" w:type="dxa"/>
            <w:noWrap w:val="0"/>
            <w:tcMar>
              <w:top w:w="100" w:type="dxa"/>
              <w:bottom w:w="100" w:type="dxa"/>
            </w:tcMar>
            <w:vAlign w:val="center"/>
          </w:tcPr>
          <w:p w14:paraId="0798B199">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落实政府采购政策需满足的资格要求</w:t>
            </w:r>
          </w:p>
        </w:tc>
        <w:tc>
          <w:tcPr>
            <w:tcW w:w="6363" w:type="dxa"/>
            <w:noWrap w:val="0"/>
            <w:tcMar>
              <w:top w:w="100" w:type="dxa"/>
              <w:bottom w:w="100" w:type="dxa"/>
            </w:tcMar>
            <w:vAlign w:val="center"/>
          </w:tcPr>
          <w:p w14:paraId="564D222A">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提供中小企业声明函</w:t>
            </w:r>
            <w:r>
              <w:rPr>
                <w:rStyle w:val="192"/>
                <w:rFonts w:hint="eastAsia" w:ascii="宋体" w:hAnsi="宋体" w:eastAsia="宋体" w:cs="宋体"/>
                <w:b w:val="0"/>
                <w:color w:val="auto"/>
                <w:sz w:val="21"/>
                <w:szCs w:val="24"/>
                <w:highlight w:val="none"/>
                <w:lang w:eastAsia="zh-CN"/>
              </w:rPr>
              <w:t>原件</w:t>
            </w:r>
          </w:p>
        </w:tc>
      </w:tr>
      <w:tr w14:paraId="28C6C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687" w:hRule="atLeast"/>
          <w:jc w:val="center"/>
        </w:trPr>
        <w:tc>
          <w:tcPr>
            <w:tcW w:w="764" w:type="dxa"/>
            <w:noWrap w:val="0"/>
            <w:tcMar>
              <w:top w:w="100" w:type="dxa"/>
              <w:bottom w:w="100" w:type="dxa"/>
            </w:tcMar>
            <w:vAlign w:val="center"/>
          </w:tcPr>
          <w:p w14:paraId="4992D8F9">
            <w:pPr>
              <w:pStyle w:val="254"/>
              <w:jc w:val="center"/>
              <w:rPr>
                <w:rStyle w:val="192"/>
                <w:rFonts w:hint="eastAsia" w:ascii="宋体" w:hAnsi="宋体" w:eastAsia="宋体" w:cs="宋体"/>
                <w:b w:val="0"/>
                <w:color w:val="auto"/>
                <w:sz w:val="21"/>
                <w:szCs w:val="24"/>
                <w:highlight w:val="none"/>
              </w:rPr>
            </w:pPr>
            <w:r>
              <w:rPr>
                <w:rStyle w:val="192"/>
                <w:rFonts w:hint="eastAsia" w:ascii="宋体" w:hAnsi="宋体" w:eastAsia="宋体" w:cs="宋体"/>
                <w:b w:val="0"/>
                <w:color w:val="auto"/>
                <w:sz w:val="21"/>
                <w:szCs w:val="24"/>
                <w:highlight w:val="none"/>
                <w:lang w:val="en-US" w:eastAsia="zh-CN"/>
              </w:rPr>
              <w:t>8</w:t>
            </w:r>
          </w:p>
        </w:tc>
        <w:tc>
          <w:tcPr>
            <w:tcW w:w="2728" w:type="dxa"/>
            <w:noWrap w:val="0"/>
            <w:tcMar>
              <w:top w:w="100" w:type="dxa"/>
              <w:bottom w:w="100" w:type="dxa"/>
            </w:tcMar>
            <w:vAlign w:val="center"/>
          </w:tcPr>
          <w:p w14:paraId="0870CA3F">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本项目的特定资格要求</w:t>
            </w:r>
          </w:p>
        </w:tc>
        <w:tc>
          <w:tcPr>
            <w:tcW w:w="6363" w:type="dxa"/>
            <w:noWrap w:val="0"/>
            <w:tcMar>
              <w:top w:w="100" w:type="dxa"/>
              <w:bottom w:w="100" w:type="dxa"/>
            </w:tcMar>
            <w:vAlign w:val="center"/>
          </w:tcPr>
          <w:p w14:paraId="030C180F">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（1）提供企业有效的资质证书（原件扫描件）</w:t>
            </w:r>
          </w:p>
          <w:p w14:paraId="431C08B8">
            <w:pPr>
              <w:pStyle w:val="254"/>
              <w:keepNext w:val="0"/>
              <w:keepLines w:val="0"/>
              <w:pageBreakBefore w:val="0"/>
              <w:widowControl/>
              <w:ind w:left="53" w:right="0"/>
              <w:jc w:val="left"/>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（2）提供企业有效的安全生产许可证（原件扫描件）</w:t>
            </w:r>
          </w:p>
          <w:p w14:paraId="04BBC3A7">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（3）提供拟派项目负责人</w:t>
            </w:r>
            <w:r>
              <w:rPr>
                <w:rStyle w:val="192"/>
                <w:rFonts w:hint="eastAsia" w:ascii="宋体" w:hAnsi="宋体" w:eastAsia="宋体" w:cs="宋体"/>
                <w:b w:val="0"/>
                <w:color w:val="auto"/>
                <w:sz w:val="21"/>
                <w:szCs w:val="24"/>
                <w:highlight w:val="none"/>
                <w:lang w:eastAsia="zh-CN"/>
              </w:rPr>
              <w:t>有效的</w:t>
            </w:r>
            <w:r>
              <w:rPr>
                <w:rStyle w:val="192"/>
                <w:rFonts w:ascii="宋体" w:hAnsi="宋体" w:eastAsia="宋体" w:cs="宋体"/>
                <w:b w:val="0"/>
                <w:color w:val="auto"/>
                <w:sz w:val="21"/>
                <w:szCs w:val="24"/>
                <w:highlight w:val="none"/>
              </w:rPr>
              <w:t>建造师注册证书、提供项目负责人有效的安全生产考核合格证（B类证书）（原件扫描件）</w:t>
            </w:r>
          </w:p>
          <w:p w14:paraId="6044E75B">
            <w:pPr>
              <w:pStyle w:val="254"/>
              <w:keepNext w:val="0"/>
              <w:keepLines w:val="0"/>
              <w:pageBreakBefore w:val="0"/>
              <w:widowControl/>
              <w:ind w:left="53" w:right="0"/>
              <w:jc w:val="left"/>
              <w:rPr>
                <w:rStyle w:val="192"/>
                <w:rFonts w:hint="default"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（4）投标人提供为项目负责人缴纳的</w:t>
            </w:r>
            <w:r>
              <w:rPr>
                <w:rStyle w:val="192"/>
                <w:rFonts w:hint="eastAsia" w:ascii="宋体" w:hAnsi="宋体" w:eastAsia="宋体" w:cs="宋体"/>
                <w:b w:val="0"/>
                <w:color w:val="auto"/>
                <w:sz w:val="21"/>
                <w:szCs w:val="24"/>
                <w:highlight w:val="none"/>
                <w:lang w:val="en-US" w:eastAsia="zh-CN"/>
              </w:rPr>
              <w:t>2026年5月</w:t>
            </w:r>
            <w:r>
              <w:rPr>
                <w:rStyle w:val="192"/>
                <w:rFonts w:ascii="宋体" w:hAnsi="宋体" w:eastAsia="宋体" w:cs="宋体"/>
                <w:b w:val="0"/>
                <w:color w:val="auto"/>
                <w:sz w:val="21"/>
                <w:szCs w:val="24"/>
                <w:highlight w:val="none"/>
              </w:rPr>
              <w:t>的社会保险证明（原件扫描件）</w:t>
            </w:r>
            <w:r>
              <w:rPr>
                <w:rStyle w:val="192"/>
                <w:rFonts w:hint="eastAsia" w:ascii="宋体" w:hAnsi="宋体" w:eastAsia="宋体" w:cs="宋体"/>
                <w:b w:val="0"/>
                <w:color w:val="auto"/>
                <w:sz w:val="21"/>
                <w:szCs w:val="24"/>
                <w:highlight w:val="none"/>
                <w:lang w:eastAsia="zh-CN"/>
              </w:rPr>
              <w:t>（</w:t>
            </w:r>
            <w:r>
              <w:rPr>
                <w:rStyle w:val="192"/>
                <w:rFonts w:hint="eastAsia" w:ascii="宋体" w:hAnsi="宋体" w:eastAsia="宋体" w:cs="宋体"/>
                <w:b w:val="0"/>
                <w:color w:val="auto"/>
                <w:sz w:val="21"/>
                <w:szCs w:val="24"/>
                <w:highlight w:val="none"/>
                <w:lang w:val="en-US" w:eastAsia="zh-CN"/>
              </w:rPr>
              <w:t>项目经理达到国家法定退休年龄的，无需提供社保证明材料；项目经理未达到国家法定退休年龄，但提前退休的，提供人力资源和社会保障部门出具的退休证明材料。</w:t>
            </w:r>
            <w:r>
              <w:rPr>
                <w:rStyle w:val="192"/>
                <w:rFonts w:hint="eastAsia" w:ascii="宋体" w:hAnsi="宋体" w:eastAsia="宋体" w:cs="宋体"/>
                <w:b w:val="0"/>
                <w:color w:val="auto"/>
                <w:sz w:val="21"/>
                <w:szCs w:val="24"/>
                <w:highlight w:val="none"/>
                <w:lang w:eastAsia="zh-CN"/>
              </w:rPr>
              <w:t>）</w:t>
            </w:r>
          </w:p>
        </w:tc>
      </w:tr>
      <w:tr w14:paraId="7048B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115" w:hRule="atLeast"/>
          <w:jc w:val="center"/>
        </w:trPr>
        <w:tc>
          <w:tcPr>
            <w:tcW w:w="9855" w:type="dxa"/>
            <w:gridSpan w:val="3"/>
            <w:noWrap w:val="0"/>
            <w:tcMar>
              <w:top w:w="100" w:type="dxa"/>
              <w:bottom w:w="100" w:type="dxa"/>
            </w:tcMar>
            <w:vAlign w:val="center"/>
          </w:tcPr>
          <w:p w14:paraId="0F43A1CD">
            <w:pPr>
              <w:pStyle w:val="254"/>
              <w:jc w:val="left"/>
              <w:rPr>
                <w:rStyle w:val="192"/>
                <w:rFonts w:ascii="宋体" w:hAnsi="宋体" w:eastAsia="宋体" w:cs="宋体"/>
                <w:b w:val="0"/>
                <w:color w:val="auto"/>
                <w:sz w:val="21"/>
                <w:szCs w:val="24"/>
                <w:highlight w:val="none"/>
              </w:rPr>
            </w:pPr>
            <w:bookmarkStart w:id="557" w:name="_Toc73364904"/>
            <w:bookmarkStart w:id="558" w:name="_Toc73365517"/>
            <w:r>
              <w:rPr>
                <w:rStyle w:val="192"/>
                <w:rFonts w:ascii="宋体" w:hAnsi="宋体" w:eastAsia="宋体" w:cs="宋体"/>
                <w:b w:val="0"/>
                <w:color w:val="auto"/>
                <w:sz w:val="21"/>
                <w:szCs w:val="24"/>
                <w:highlight w:val="none"/>
              </w:rPr>
              <w:t>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556"/>
          </w:p>
        </w:tc>
      </w:tr>
    </w:tbl>
    <w:p w14:paraId="34BE36F3">
      <w:pPr>
        <w:pStyle w:val="189"/>
        <w:spacing w:line="400" w:lineRule="exact"/>
        <w:jc w:val="left"/>
        <w:rPr>
          <w:rFonts w:hint="eastAsia" w:ascii="宋体" w:hAnsi="宋体" w:eastAsia="宋体"/>
          <w:color w:val="auto"/>
          <w:sz w:val="32"/>
          <w:highlight w:val="none"/>
        </w:rPr>
      </w:pPr>
      <w:bookmarkStart w:id="559" w:name="_Toc2078"/>
      <w:r>
        <w:rPr>
          <w:rFonts w:hint="eastAsia" w:ascii="宋体" w:hAnsi="宋体" w:eastAsia="宋体"/>
          <w:color w:val="auto"/>
          <w:sz w:val="32"/>
          <w:highlight w:val="none"/>
        </w:rPr>
        <w:t>4．磋商响应文件的有效性、完整性和响应程度审查</w:t>
      </w:r>
      <w:bookmarkEnd w:id="557"/>
      <w:bookmarkEnd w:id="558"/>
      <w:bookmarkEnd w:id="559"/>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17"/>
        <w:gridCol w:w="2552"/>
        <w:gridCol w:w="6260"/>
      </w:tblGrid>
      <w:tr w14:paraId="0D7DB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73AA71BA">
            <w:pPr>
              <w:pStyle w:val="255"/>
              <w:jc w:val="center"/>
              <w:rPr>
                <w:rFonts w:ascii="宋体" w:hAnsi="宋体" w:eastAsia="宋体" w:cs="宋体"/>
                <w:color w:val="auto"/>
                <w:sz w:val="21"/>
                <w:highlight w:val="none"/>
              </w:rPr>
            </w:pPr>
            <w:r>
              <w:rPr>
                <w:rFonts w:ascii="宋体" w:hAnsi="宋体" w:eastAsia="宋体" w:cs="宋体"/>
                <w:color w:val="auto"/>
                <w:sz w:val="21"/>
                <w:highlight w:val="none"/>
              </w:rPr>
              <w:t>序号</w:t>
            </w:r>
          </w:p>
        </w:tc>
        <w:tc>
          <w:tcPr>
            <w:tcW w:w="2552" w:type="dxa"/>
            <w:noWrap/>
            <w:tcMar>
              <w:top w:w="100" w:type="dxa"/>
              <w:bottom w:w="100" w:type="dxa"/>
            </w:tcMar>
            <w:vAlign w:val="center"/>
          </w:tcPr>
          <w:p w14:paraId="7643B216">
            <w:pPr>
              <w:pStyle w:val="255"/>
              <w:jc w:val="center"/>
              <w:rPr>
                <w:rFonts w:ascii="宋体" w:hAnsi="宋体" w:eastAsia="宋体" w:cs="宋体"/>
                <w:color w:val="auto"/>
                <w:sz w:val="21"/>
                <w:highlight w:val="none"/>
              </w:rPr>
            </w:pPr>
            <w:r>
              <w:rPr>
                <w:rFonts w:ascii="宋体" w:hAnsi="宋体" w:eastAsia="宋体" w:cs="宋体"/>
                <w:color w:val="auto"/>
                <w:sz w:val="21"/>
                <w:highlight w:val="none"/>
              </w:rPr>
              <w:t>审查要素</w:t>
            </w:r>
          </w:p>
        </w:tc>
        <w:tc>
          <w:tcPr>
            <w:tcW w:w="6260" w:type="dxa"/>
            <w:noWrap/>
            <w:tcMar>
              <w:top w:w="100" w:type="dxa"/>
              <w:bottom w:w="100" w:type="dxa"/>
            </w:tcMar>
            <w:vAlign w:val="center"/>
          </w:tcPr>
          <w:p w14:paraId="52F27DD3">
            <w:pPr>
              <w:pStyle w:val="255"/>
              <w:jc w:val="center"/>
              <w:rPr>
                <w:rFonts w:ascii="宋体" w:hAnsi="宋体" w:eastAsia="宋体" w:cs="宋体"/>
                <w:color w:val="auto"/>
                <w:sz w:val="21"/>
                <w:highlight w:val="none"/>
              </w:rPr>
            </w:pPr>
            <w:r>
              <w:rPr>
                <w:rFonts w:ascii="宋体" w:hAnsi="宋体" w:eastAsia="宋体" w:cs="宋体"/>
                <w:color w:val="auto"/>
                <w:sz w:val="21"/>
                <w:highlight w:val="none"/>
              </w:rPr>
              <w:t>审查内容</w:t>
            </w:r>
          </w:p>
        </w:tc>
      </w:tr>
      <w:tr w14:paraId="5C33F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3BFAE026">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报价要求</w:t>
            </w:r>
          </w:p>
        </w:tc>
      </w:tr>
      <w:tr w14:paraId="66B61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55C9B2B8">
            <w:pPr>
              <w:pStyle w:val="255"/>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1</w:t>
            </w:r>
          </w:p>
        </w:tc>
        <w:tc>
          <w:tcPr>
            <w:tcW w:w="2552" w:type="dxa"/>
            <w:noWrap/>
            <w:tcMar>
              <w:top w:w="100" w:type="dxa"/>
              <w:bottom w:w="100" w:type="dxa"/>
            </w:tcMar>
            <w:vAlign w:val="center"/>
          </w:tcPr>
          <w:p w14:paraId="16E430D7">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报价符合性审查</w:t>
            </w:r>
          </w:p>
        </w:tc>
        <w:tc>
          <w:tcPr>
            <w:tcW w:w="6260" w:type="dxa"/>
            <w:noWrap/>
            <w:tcMar>
              <w:top w:w="100" w:type="dxa"/>
              <w:bottom w:w="100" w:type="dxa"/>
            </w:tcMar>
            <w:vAlign w:val="center"/>
          </w:tcPr>
          <w:p w14:paraId="6482B9EC">
            <w:pPr>
              <w:pStyle w:val="255"/>
              <w:jc w:val="left"/>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属于投标（响应）报价低于采购项目最高限价45%的，即投标（响应）报价&lt;采购项目最高限价×45%，供应商可随投标（响应）文件一并提交相关书面说明及必要的证明材料。</w:t>
            </w:r>
          </w:p>
        </w:tc>
      </w:tr>
      <w:tr w14:paraId="0D70A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26C06A30">
            <w:pPr>
              <w:pStyle w:val="255"/>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2</w:t>
            </w:r>
          </w:p>
        </w:tc>
        <w:tc>
          <w:tcPr>
            <w:tcW w:w="2552" w:type="dxa"/>
            <w:noWrap/>
            <w:tcMar>
              <w:top w:w="100" w:type="dxa"/>
              <w:bottom w:w="100" w:type="dxa"/>
            </w:tcMar>
            <w:vAlign w:val="center"/>
          </w:tcPr>
          <w:p w14:paraId="1474FCD6">
            <w:pPr>
              <w:pStyle w:val="255"/>
              <w:jc w:val="center"/>
              <w:rPr>
                <w:rFonts w:ascii="宋体" w:hAnsi="宋体" w:eastAsia="宋体" w:cs="宋体"/>
                <w:color w:val="auto"/>
                <w:sz w:val="21"/>
                <w:highlight w:val="none"/>
              </w:rPr>
            </w:pPr>
            <w:r>
              <w:rPr>
                <w:rFonts w:ascii="宋体" w:hAnsi="宋体" w:eastAsia="宋体" w:cs="宋体"/>
                <w:color w:val="auto"/>
                <w:sz w:val="21"/>
                <w:highlight w:val="none"/>
              </w:rPr>
              <w:t>投标文件有效性</w:t>
            </w:r>
          </w:p>
        </w:tc>
        <w:tc>
          <w:tcPr>
            <w:tcW w:w="6260" w:type="dxa"/>
            <w:noWrap/>
            <w:tcMar>
              <w:top w:w="100" w:type="dxa"/>
              <w:bottom w:w="100" w:type="dxa"/>
            </w:tcMar>
            <w:vAlign w:val="center"/>
          </w:tcPr>
          <w:p w14:paraId="28635D1D">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1.</w:t>
            </w:r>
            <w:r>
              <w:rPr>
                <w:rFonts w:ascii="宋体" w:hAnsi="宋体" w:eastAsia="宋体" w:cs="宋体"/>
                <w:color w:val="auto"/>
                <w:sz w:val="21"/>
                <w:highlight w:val="none"/>
              </w:rPr>
              <w:t>电子投标文件的有效电子签章。</w:t>
            </w:r>
          </w:p>
          <w:p w14:paraId="6CE1D326">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lang w:eastAsia="zh-CN"/>
              </w:rPr>
              <w:t>投标报价</w:t>
            </w:r>
            <w:r>
              <w:rPr>
                <w:rFonts w:ascii="宋体" w:hAnsi="宋体" w:eastAsia="宋体" w:cs="宋体"/>
                <w:color w:val="auto"/>
                <w:sz w:val="21"/>
                <w:highlight w:val="none"/>
                <w:rtl w:val="0"/>
                <w:lang w:val="en-US" w:eastAsia="zh-CN"/>
              </w:rPr>
              <w:t>未改变</w:t>
            </w:r>
            <w:r>
              <w:rPr>
                <w:rFonts w:hint="eastAsia" w:ascii="宋体" w:hAnsi="宋体" w:eastAsia="宋体" w:cs="宋体"/>
                <w:color w:val="auto"/>
                <w:sz w:val="21"/>
                <w:highlight w:val="none"/>
                <w:rtl w:val="0"/>
                <w:lang w:val="en-US" w:eastAsia="zh-CN"/>
              </w:rPr>
              <w:t>采购</w:t>
            </w:r>
            <w:r>
              <w:rPr>
                <w:rFonts w:ascii="宋体" w:hAnsi="宋体" w:eastAsia="宋体" w:cs="宋体"/>
                <w:color w:val="auto"/>
                <w:sz w:val="21"/>
                <w:highlight w:val="none"/>
                <w:rtl w:val="0"/>
                <w:lang w:val="en-US" w:eastAsia="zh-CN"/>
              </w:rPr>
              <w:t>文件规定的暂估价、暂列金额及甲供材料价格；未改变</w:t>
            </w:r>
            <w:r>
              <w:rPr>
                <w:rFonts w:hint="eastAsia" w:ascii="宋体" w:hAnsi="宋体" w:eastAsia="宋体" w:cs="宋体"/>
                <w:color w:val="auto"/>
                <w:sz w:val="21"/>
                <w:highlight w:val="none"/>
                <w:rtl w:val="0"/>
                <w:lang w:val="en-US" w:eastAsia="zh-CN"/>
              </w:rPr>
              <w:t>采购</w:t>
            </w:r>
            <w:r>
              <w:rPr>
                <w:rFonts w:ascii="宋体" w:hAnsi="宋体" w:eastAsia="宋体" w:cs="宋体"/>
                <w:color w:val="auto"/>
                <w:sz w:val="21"/>
                <w:highlight w:val="none"/>
                <w:rtl w:val="0"/>
                <w:lang w:val="en-US" w:eastAsia="zh-CN"/>
              </w:rPr>
              <w:t>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投标报价。</w:t>
            </w:r>
          </w:p>
          <w:p w14:paraId="33CF04DE">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3.</w:t>
            </w:r>
            <w:r>
              <w:rPr>
                <w:rFonts w:ascii="宋体" w:hAnsi="宋体" w:eastAsia="宋体" w:cs="宋体"/>
                <w:color w:val="auto"/>
                <w:sz w:val="21"/>
                <w:highlight w:val="none"/>
              </w:rPr>
              <w:t>未发现属无效投标的其他情形。</w:t>
            </w:r>
          </w:p>
        </w:tc>
      </w:tr>
      <w:tr w14:paraId="69F77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62BEFFBD">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商务要求</w:t>
            </w:r>
          </w:p>
        </w:tc>
      </w:tr>
      <w:tr w14:paraId="72229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68AA0161">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1</w:t>
            </w:r>
          </w:p>
        </w:tc>
        <w:tc>
          <w:tcPr>
            <w:tcW w:w="2552" w:type="dxa"/>
            <w:noWrap/>
            <w:tcMar>
              <w:top w:w="100" w:type="dxa"/>
              <w:bottom w:w="100" w:type="dxa"/>
            </w:tcMar>
            <w:vAlign w:val="center"/>
          </w:tcPr>
          <w:p w14:paraId="3BE5FD2E">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响应程度审查</w:t>
            </w:r>
          </w:p>
        </w:tc>
        <w:tc>
          <w:tcPr>
            <w:tcW w:w="6260" w:type="dxa"/>
            <w:noWrap/>
            <w:tcMar>
              <w:top w:w="100" w:type="dxa"/>
              <w:bottom w:w="100" w:type="dxa"/>
            </w:tcMar>
            <w:vAlign w:val="center"/>
          </w:tcPr>
          <w:p w14:paraId="2983430A">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rPr>
              <w:t>满足招标文件商务部分的实质性要求和条件。</w:t>
            </w:r>
          </w:p>
        </w:tc>
      </w:tr>
      <w:tr w14:paraId="635D9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93" w:hRule="atLeast"/>
          <w:jc w:val="center"/>
        </w:trPr>
        <w:tc>
          <w:tcPr>
            <w:tcW w:w="817" w:type="dxa"/>
            <w:noWrap/>
            <w:tcMar>
              <w:top w:w="100" w:type="dxa"/>
              <w:bottom w:w="100" w:type="dxa"/>
            </w:tcMar>
            <w:vAlign w:val="center"/>
          </w:tcPr>
          <w:p w14:paraId="25386E14">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2</w:t>
            </w:r>
          </w:p>
        </w:tc>
        <w:tc>
          <w:tcPr>
            <w:tcW w:w="2552" w:type="dxa"/>
            <w:noWrap/>
            <w:tcMar>
              <w:top w:w="100" w:type="dxa"/>
              <w:bottom w:w="100" w:type="dxa"/>
            </w:tcMar>
            <w:vAlign w:val="center"/>
          </w:tcPr>
          <w:p w14:paraId="7D4B9E1A">
            <w:pPr>
              <w:pStyle w:val="255"/>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有</w:t>
            </w:r>
            <w:r>
              <w:rPr>
                <w:rFonts w:hint="eastAsia" w:ascii="宋体" w:hAnsi="宋体" w:eastAsia="宋体" w:cs="宋体"/>
                <w:color w:val="auto"/>
                <w:sz w:val="21"/>
                <w:highlight w:val="none"/>
              </w:rPr>
              <w:t>效性审查</w:t>
            </w:r>
          </w:p>
        </w:tc>
        <w:tc>
          <w:tcPr>
            <w:tcW w:w="6260" w:type="dxa"/>
            <w:noWrap/>
            <w:tcMar>
              <w:top w:w="100" w:type="dxa"/>
              <w:bottom w:w="100" w:type="dxa"/>
            </w:tcMar>
            <w:vAlign w:val="center"/>
          </w:tcPr>
          <w:p w14:paraId="1320B7F9">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rPr>
              <w:t>提供法定代表人身份证明书；如有委托代理人，需提供法定代表人授权委托书，并同步提交投标单位为其缴纳的社保证明。</w:t>
            </w:r>
          </w:p>
        </w:tc>
      </w:tr>
      <w:tr w14:paraId="0F334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22232B51">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技术要求</w:t>
            </w:r>
          </w:p>
        </w:tc>
      </w:tr>
      <w:tr w14:paraId="16868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167B0BF5">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1</w:t>
            </w:r>
          </w:p>
        </w:tc>
        <w:tc>
          <w:tcPr>
            <w:tcW w:w="2552" w:type="dxa"/>
            <w:noWrap/>
            <w:tcMar>
              <w:top w:w="100" w:type="dxa"/>
              <w:bottom w:w="100" w:type="dxa"/>
            </w:tcMar>
            <w:vAlign w:val="center"/>
          </w:tcPr>
          <w:p w14:paraId="5DA27662">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对招标文件响应程度</w:t>
            </w:r>
          </w:p>
        </w:tc>
        <w:tc>
          <w:tcPr>
            <w:tcW w:w="6260" w:type="dxa"/>
            <w:noWrap/>
            <w:tcMar>
              <w:top w:w="100" w:type="dxa"/>
              <w:bottom w:w="100" w:type="dxa"/>
            </w:tcMar>
            <w:vAlign w:val="center"/>
          </w:tcPr>
          <w:p w14:paraId="11418143">
            <w:pPr>
              <w:pStyle w:val="255"/>
              <w:jc w:val="left"/>
              <w:rPr>
                <w:rFonts w:hint="eastAsia" w:ascii="宋体" w:hAnsi="宋体" w:eastAsia="宋体" w:cs="宋体"/>
                <w:color w:val="auto"/>
                <w:sz w:val="21"/>
                <w:highlight w:val="none"/>
              </w:rPr>
            </w:pPr>
            <w:r>
              <w:rPr>
                <w:rFonts w:ascii="宋体" w:hAnsi="宋体" w:eastAsia="宋体" w:cs="宋体"/>
                <w:color w:val="auto"/>
                <w:sz w:val="21"/>
                <w:highlight w:val="none"/>
              </w:rPr>
              <w:t>实质性技术、商务条款（参数）未有负偏离；</w:t>
            </w:r>
            <w:r>
              <w:rPr>
                <w:rFonts w:hint="eastAsia" w:ascii="宋体" w:hAnsi="宋体" w:eastAsia="宋体" w:cs="宋体"/>
                <w:color w:val="auto"/>
                <w:sz w:val="21"/>
                <w:highlight w:val="none"/>
                <w:lang w:val="en-US" w:eastAsia="zh-CN"/>
              </w:rPr>
              <w:t>缺陷责任期、</w:t>
            </w:r>
            <w:r>
              <w:rPr>
                <w:rFonts w:hint="eastAsia" w:ascii="宋体" w:hAnsi="宋体" w:eastAsia="宋体" w:cs="宋体"/>
                <w:color w:val="auto"/>
                <w:sz w:val="21"/>
                <w:highlight w:val="none"/>
                <w:lang w:eastAsia="zh-CN"/>
              </w:rPr>
              <w:t>工期要求、</w:t>
            </w:r>
            <w:r>
              <w:rPr>
                <w:rFonts w:hint="eastAsia" w:ascii="宋体" w:hAnsi="宋体" w:eastAsia="宋体" w:cs="宋体"/>
                <w:color w:val="auto"/>
                <w:sz w:val="21"/>
                <w:highlight w:val="none"/>
                <w:lang w:val="en-US" w:eastAsia="zh-CN"/>
              </w:rPr>
              <w:t>工程量清单</w:t>
            </w:r>
            <w:r>
              <w:rPr>
                <w:rFonts w:ascii="宋体" w:hAnsi="宋体" w:eastAsia="宋体" w:cs="宋体"/>
                <w:color w:val="auto"/>
                <w:sz w:val="21"/>
                <w:highlight w:val="none"/>
              </w:rPr>
              <w:t>等</w:t>
            </w:r>
            <w:r>
              <w:rPr>
                <w:rFonts w:hint="eastAsia" w:ascii="宋体" w:hAnsi="宋体" w:eastAsia="宋体" w:cs="宋体"/>
                <w:color w:val="auto"/>
                <w:sz w:val="21"/>
                <w:highlight w:val="none"/>
                <w:lang w:val="en-US" w:eastAsia="zh-CN"/>
              </w:rPr>
              <w:t>实质性条款</w:t>
            </w:r>
            <w:r>
              <w:rPr>
                <w:rFonts w:ascii="宋体" w:hAnsi="宋体" w:eastAsia="宋体" w:cs="宋体"/>
                <w:color w:val="auto"/>
                <w:sz w:val="21"/>
                <w:highlight w:val="none"/>
              </w:rPr>
              <w:t>未有负偏离</w:t>
            </w:r>
            <w:r>
              <w:rPr>
                <w:rFonts w:hint="eastAsia" w:ascii="宋体" w:hAnsi="宋体" w:eastAsia="宋体" w:cs="宋体"/>
                <w:color w:val="auto"/>
                <w:sz w:val="21"/>
                <w:highlight w:val="none"/>
                <w:lang w:eastAsia="zh-CN"/>
              </w:rPr>
              <w:t>。</w:t>
            </w:r>
          </w:p>
        </w:tc>
      </w:tr>
      <w:tr w14:paraId="547D6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0EE507E9">
            <w:pPr>
              <w:pStyle w:val="255"/>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2</w:t>
            </w:r>
          </w:p>
        </w:tc>
        <w:tc>
          <w:tcPr>
            <w:tcW w:w="2552" w:type="dxa"/>
            <w:noWrap/>
            <w:tcMar>
              <w:top w:w="100" w:type="dxa"/>
              <w:bottom w:w="100" w:type="dxa"/>
            </w:tcMar>
            <w:vAlign w:val="center"/>
          </w:tcPr>
          <w:p w14:paraId="09BD538E">
            <w:pPr>
              <w:pStyle w:val="255"/>
              <w:jc w:val="center"/>
              <w:rPr>
                <w:rFonts w:hint="eastAsia" w:ascii="宋体" w:hAnsi="宋体" w:eastAsia="宋体" w:cs="宋体"/>
                <w:color w:val="auto"/>
                <w:sz w:val="21"/>
                <w:highlight w:val="none"/>
              </w:rPr>
            </w:pPr>
            <w:r>
              <w:rPr>
                <w:rFonts w:ascii="宋体" w:hAnsi="宋体" w:eastAsia="宋体" w:cs="宋体"/>
                <w:color w:val="auto"/>
                <w:sz w:val="21"/>
                <w:highlight w:val="none"/>
              </w:rPr>
              <w:t>投标文件有效性和完整性</w:t>
            </w:r>
          </w:p>
        </w:tc>
        <w:tc>
          <w:tcPr>
            <w:tcW w:w="6260" w:type="dxa"/>
            <w:noWrap/>
            <w:tcMar>
              <w:top w:w="100" w:type="dxa"/>
              <w:bottom w:w="100" w:type="dxa"/>
            </w:tcMar>
            <w:vAlign w:val="center"/>
          </w:tcPr>
          <w:p w14:paraId="166C9CA7">
            <w:pPr>
              <w:pStyle w:val="255"/>
              <w:jc w:val="left"/>
              <w:rPr>
                <w:rFonts w:hint="eastAsia" w:ascii="宋体" w:hAnsi="宋体" w:eastAsia="宋体" w:cs="宋体"/>
                <w:color w:val="auto"/>
                <w:sz w:val="21"/>
                <w:highlight w:val="none"/>
              </w:rPr>
            </w:pPr>
            <w:r>
              <w:rPr>
                <w:rFonts w:ascii="宋体" w:hAnsi="宋体" w:eastAsia="宋体" w:cs="宋体"/>
                <w:color w:val="auto"/>
                <w:sz w:val="21"/>
                <w:highlight w:val="none"/>
              </w:rPr>
              <w:t>按照招标文件的</w:t>
            </w:r>
            <w:r>
              <w:rPr>
                <w:rFonts w:hint="eastAsia" w:ascii="宋体" w:hAnsi="宋体" w:eastAsia="宋体" w:cs="宋体"/>
                <w:color w:val="auto"/>
                <w:sz w:val="21"/>
                <w:highlight w:val="none"/>
                <w:lang w:val="en-US" w:eastAsia="zh-CN"/>
              </w:rPr>
              <w:t>格式</w:t>
            </w:r>
            <w:r>
              <w:rPr>
                <w:rFonts w:ascii="宋体" w:hAnsi="宋体" w:eastAsia="宋体" w:cs="宋体"/>
                <w:color w:val="auto"/>
                <w:sz w:val="21"/>
                <w:highlight w:val="none"/>
              </w:rPr>
              <w:t>盖章签字等，投标文件内容完整性、齐全性、正确无误性。未发现属无效响应的情形。</w:t>
            </w:r>
          </w:p>
        </w:tc>
      </w:tr>
    </w:tbl>
    <w:p w14:paraId="233B43C5">
      <w:pPr>
        <w:rPr>
          <w:rFonts w:hint="eastAsia"/>
          <w:color w:val="auto"/>
          <w:sz w:val="20"/>
          <w:highlight w:val="none"/>
        </w:rPr>
      </w:pPr>
    </w:p>
    <w:p w14:paraId="313BE48A">
      <w:pPr>
        <w:pStyle w:val="325"/>
        <w:keepNext w:val="0"/>
        <w:keepLines w:val="0"/>
        <w:pageBreakBefore w:val="0"/>
        <w:widowControl w:val="0"/>
        <w:spacing w:before="0" w:after="0" w:line="440" w:lineRule="exact"/>
        <w:ind w:firstLine="482"/>
        <w:outlineLvl w:val="9"/>
        <w:rPr>
          <w:rFonts w:hint="eastAsia" w:ascii="宋体" w:hAnsi="宋体" w:cs="楷体"/>
          <w:b/>
          <w:bCs/>
          <w:color w:val="auto"/>
          <w:sz w:val="24"/>
          <w:szCs w:val="24"/>
          <w:highlight w:val="none"/>
          <w:lang w:val="en-US" w:eastAsia="zh-CN"/>
        </w:rPr>
      </w:pPr>
      <w:r>
        <w:rPr>
          <w:rFonts w:hint="eastAsia" w:ascii="宋体" w:hAnsi="宋体"/>
          <w:b/>
          <w:bCs/>
          <w:color w:val="auto"/>
          <w:sz w:val="24"/>
          <w:highlight w:val="none"/>
        </w:rPr>
        <w:t>注：</w:t>
      </w:r>
      <w:r>
        <w:rPr>
          <w:rFonts w:hint="eastAsia" w:ascii="宋体" w:hAnsi="宋体" w:cs="楷体"/>
          <w:b/>
          <w:bCs/>
          <w:color w:val="auto"/>
          <w:sz w:val="24"/>
          <w:szCs w:val="24"/>
          <w:highlight w:val="none"/>
          <w:lang w:val="en-US" w:eastAsia="zh-CN"/>
        </w:rPr>
        <w:t>根据《关于推动解决政府采购异常低价问题的通知》（财库〔2026〕2号）的要求，评审委员会应当启动异常低价投标（响应）审查程序的情形包括：</w:t>
      </w:r>
    </w:p>
    <w:p w14:paraId="2E82E07A">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2AD2D72B">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C1627C6">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p>
    <w:p w14:paraId="00BE5758">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p>
    <w:p w14:paraId="136B641C">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2ED4A0C">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C05C86">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7BD0DD4">
      <w:pPr>
        <w:keepNext w:val="0"/>
        <w:keepLines w:val="0"/>
        <w:pageBreakBefore w:val="0"/>
        <w:widowControl w:val="0"/>
        <w:spacing w:line="440" w:lineRule="exact"/>
        <w:ind w:firstLine="480"/>
        <w:rPr>
          <w:rFonts w:hint="eastAsia" w:ascii="宋体" w:hAnsi="宋体"/>
          <w:color w:val="auto"/>
          <w:sz w:val="24"/>
          <w:highlight w:val="none"/>
        </w:rPr>
      </w:pPr>
      <w:r>
        <w:rPr>
          <w:rFonts w:hint="eastAsia" w:ascii="宋体" w:hAnsi="宋体" w:cs="楷体"/>
          <w:b/>
          <w:bCs/>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w:t>
      </w:r>
    </w:p>
    <w:p w14:paraId="0A1584AE">
      <w:pPr>
        <w:keepNext w:val="0"/>
        <w:keepLines w:val="0"/>
        <w:pageBreakBefore w:val="0"/>
        <w:widowControl w:val="0"/>
        <w:spacing w:line="440" w:lineRule="exact"/>
        <w:ind w:firstLine="482"/>
        <w:rPr>
          <w:rFonts w:ascii="宋体" w:hAnsi="宋体"/>
          <w:color w:val="auto"/>
          <w:sz w:val="24"/>
          <w:highlight w:val="none"/>
        </w:rPr>
      </w:pPr>
      <w:r>
        <w:rPr>
          <w:rFonts w:hint="eastAsia" w:ascii="宋体" w:hAnsi="宋体"/>
          <w:color w:val="auto"/>
          <w:sz w:val="24"/>
          <w:highlight w:val="non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4B881821">
      <w:pPr>
        <w:pStyle w:val="189"/>
        <w:spacing w:line="400" w:lineRule="exact"/>
        <w:ind w:firstLine="321"/>
        <w:jc w:val="left"/>
        <w:rPr>
          <w:rFonts w:ascii="宋体" w:hAnsi="宋体" w:eastAsia="宋体"/>
          <w:color w:val="auto"/>
          <w:sz w:val="32"/>
          <w:highlight w:val="none"/>
        </w:rPr>
      </w:pPr>
      <w:bookmarkStart w:id="560" w:name="_Toc73364905"/>
      <w:bookmarkStart w:id="561" w:name="_Toc73365518"/>
      <w:bookmarkStart w:id="562" w:name="_Toc18742"/>
      <w:r>
        <w:rPr>
          <w:rFonts w:hint="eastAsia" w:ascii="宋体" w:hAnsi="宋体" w:eastAsia="宋体"/>
          <w:color w:val="auto"/>
          <w:sz w:val="32"/>
          <w:highlight w:val="none"/>
        </w:rPr>
        <w:t>5．磋商记录</w:t>
      </w:r>
      <w:bookmarkEnd w:id="560"/>
      <w:bookmarkEnd w:id="561"/>
      <w:bookmarkEnd w:id="562"/>
    </w:p>
    <w:p w14:paraId="0E1B9400">
      <w:pPr>
        <w:spacing w:line="360" w:lineRule="auto"/>
        <w:ind w:firstLine="480"/>
        <w:rPr>
          <w:rFonts w:ascii="宋体" w:hAnsi="宋体"/>
          <w:color w:val="auto"/>
          <w:sz w:val="24"/>
          <w:highlight w:val="none"/>
        </w:rPr>
      </w:pPr>
      <w:r>
        <w:rPr>
          <w:rFonts w:hint="eastAsia" w:ascii="宋体" w:hAnsi="宋体"/>
          <w:color w:val="auto"/>
          <w:sz w:val="24"/>
          <w:highlight w:val="none"/>
        </w:rPr>
        <w:t>5.1《磋商记录》包括供应商答复或承诺的内容、磋商文件的变动情况及最后报价等。</w:t>
      </w:r>
    </w:p>
    <w:p w14:paraId="4D9AF9CA">
      <w:pPr>
        <w:pStyle w:val="189"/>
        <w:spacing w:line="400" w:lineRule="exact"/>
        <w:ind w:firstLine="321"/>
        <w:jc w:val="left"/>
        <w:rPr>
          <w:rFonts w:ascii="宋体" w:hAnsi="宋体" w:eastAsia="宋体"/>
          <w:color w:val="auto"/>
          <w:sz w:val="32"/>
          <w:highlight w:val="none"/>
        </w:rPr>
      </w:pPr>
      <w:bookmarkStart w:id="563" w:name="_Toc73365519"/>
      <w:bookmarkStart w:id="564" w:name="_Toc73364906"/>
      <w:bookmarkStart w:id="565" w:name="_Toc6745"/>
      <w:r>
        <w:rPr>
          <w:rFonts w:hint="eastAsia" w:ascii="宋体" w:hAnsi="宋体" w:eastAsia="宋体"/>
          <w:color w:val="auto"/>
          <w:sz w:val="32"/>
          <w:highlight w:val="none"/>
        </w:rPr>
        <w:t>6．综合评分</w:t>
      </w:r>
      <w:bookmarkEnd w:id="563"/>
      <w:bookmarkEnd w:id="564"/>
      <w:bookmarkEnd w:id="565"/>
    </w:p>
    <w:p w14:paraId="0445EFAB">
      <w:pPr>
        <w:widowControl/>
        <w:spacing w:line="360" w:lineRule="auto"/>
        <w:ind w:firstLine="482"/>
        <w:rPr>
          <w:rFonts w:hint="eastAsia" w:ascii="宋体" w:hAnsi="宋体"/>
          <w:b/>
          <w:color w:val="auto"/>
          <w:sz w:val="24"/>
          <w:highlight w:val="none"/>
        </w:rPr>
      </w:pPr>
      <w:r>
        <w:rPr>
          <w:rFonts w:hint="eastAsia" w:ascii="宋体" w:hAnsi="宋体"/>
          <w:b/>
          <w:color w:val="auto"/>
          <w:sz w:val="24"/>
          <w:highlight w:val="none"/>
        </w:rPr>
        <w:t>经磋商确定最终采购需求和提交最后报价的供应商后，磋商小组采用综合评分法对提交最后报价的供应商的磋商响应文件和最后报价进行综合评分，总分100分。</w:t>
      </w:r>
    </w:p>
    <w:p w14:paraId="04B91D63">
      <w:pPr>
        <w:rPr>
          <w:rFonts w:hint="eastAsia"/>
          <w:color w:val="auto"/>
          <w:highlight w:val="none"/>
        </w:rPr>
      </w:pPr>
      <w:bookmarkStart w:id="566" w:name="EBeb38bac6236d407ea758a92f796301c6"/>
    </w:p>
    <w:bookmarkEnd w:id="566"/>
    <w:p w14:paraId="437E2C2C">
      <w:pPr>
        <w:rPr>
          <w:rFonts w:hint="eastAsia"/>
          <w:color w:val="auto"/>
          <w:highlight w:val="none"/>
        </w:rPr>
      </w:pPr>
      <w:bookmarkStart w:id="567" w:name="_Toc73364907"/>
      <w:bookmarkStart w:id="568" w:name="_Toc73365520"/>
      <w:bookmarkStart w:id="569" w:name="_Toc25949"/>
    </w:p>
    <w:tbl>
      <w:tblPr>
        <w:tblStyle w:val="32"/>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430"/>
        <w:gridCol w:w="2514"/>
        <w:gridCol w:w="2514"/>
        <w:gridCol w:w="2515"/>
      </w:tblGrid>
      <w:tr w14:paraId="4BF86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3118" w:type="dxa"/>
            <w:noWrap w:val="0"/>
            <w:tcMar>
              <w:top w:w="100" w:type="dxa"/>
              <w:bottom w:w="100" w:type="dxa"/>
            </w:tcMar>
            <w:vAlign w:val="center"/>
          </w:tcPr>
          <w:p w14:paraId="62A7A395">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评分项目</w:t>
            </w:r>
          </w:p>
        </w:tc>
        <w:tc>
          <w:tcPr>
            <w:tcW w:w="3118" w:type="dxa"/>
            <w:noWrap w:val="0"/>
            <w:tcMar>
              <w:top w:w="100" w:type="dxa"/>
              <w:bottom w:w="100" w:type="dxa"/>
            </w:tcMar>
            <w:vAlign w:val="center"/>
          </w:tcPr>
          <w:p w14:paraId="531DB1C7">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技术评估</w:t>
            </w:r>
          </w:p>
        </w:tc>
        <w:tc>
          <w:tcPr>
            <w:tcW w:w="3118" w:type="dxa"/>
            <w:noWrap w:val="0"/>
            <w:tcMar>
              <w:top w:w="100" w:type="dxa"/>
              <w:bottom w:w="100" w:type="dxa"/>
            </w:tcMar>
            <w:vAlign w:val="center"/>
          </w:tcPr>
          <w:p w14:paraId="22AB0B19">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商务评估</w:t>
            </w:r>
          </w:p>
        </w:tc>
        <w:tc>
          <w:tcPr>
            <w:tcW w:w="3118" w:type="dxa"/>
            <w:noWrap w:val="0"/>
            <w:tcMar>
              <w:top w:w="100" w:type="dxa"/>
              <w:bottom w:w="100" w:type="dxa"/>
            </w:tcMar>
            <w:vAlign w:val="center"/>
          </w:tcPr>
          <w:p w14:paraId="7DF0196E">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价格评估</w:t>
            </w:r>
          </w:p>
        </w:tc>
      </w:tr>
      <w:tr w14:paraId="4DF5A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3118" w:type="dxa"/>
            <w:noWrap w:val="0"/>
            <w:tcMar>
              <w:top w:w="100" w:type="dxa"/>
              <w:bottom w:w="100" w:type="dxa"/>
            </w:tcMar>
            <w:vAlign w:val="center"/>
          </w:tcPr>
          <w:p w14:paraId="3D048101">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分值</w:t>
            </w:r>
          </w:p>
        </w:tc>
        <w:tc>
          <w:tcPr>
            <w:tcW w:w="3118" w:type="dxa"/>
            <w:noWrap w:val="0"/>
            <w:tcMar>
              <w:top w:w="100" w:type="dxa"/>
              <w:bottom w:w="100" w:type="dxa"/>
            </w:tcMar>
            <w:vAlign w:val="center"/>
          </w:tcPr>
          <w:p w14:paraId="408BB95B">
            <w:pPr>
              <w:pStyle w:val="256"/>
              <w:jc w:val="center"/>
              <w:rPr>
                <w:rStyle w:val="192"/>
                <w:rFonts w:hint="default" w:ascii="宋体" w:hAnsi="宋体" w:eastAsia="宋体" w:cs="宋体"/>
                <w:b w:val="0"/>
                <w:color w:val="auto"/>
                <w:sz w:val="22"/>
                <w:szCs w:val="28"/>
                <w:highlight w:val="none"/>
                <w:lang w:val="en-US"/>
              </w:rPr>
            </w:pPr>
            <w:r>
              <w:rPr>
                <w:rStyle w:val="192"/>
                <w:rFonts w:hint="eastAsia" w:ascii="宋体" w:hAnsi="宋体" w:eastAsia="宋体" w:cs="宋体"/>
                <w:b w:val="0"/>
                <w:color w:val="auto"/>
                <w:sz w:val="22"/>
                <w:szCs w:val="28"/>
                <w:highlight w:val="none"/>
                <w:lang w:val="en-US" w:eastAsia="zh-CN"/>
              </w:rPr>
              <w:t>51</w:t>
            </w:r>
            <w:r>
              <w:rPr>
                <w:rStyle w:val="192"/>
                <w:rFonts w:hint="eastAsia" w:ascii="宋体" w:hAnsi="宋体" w:eastAsia="宋体" w:cs="宋体"/>
                <w:b w:val="0"/>
                <w:color w:val="auto"/>
                <w:sz w:val="22"/>
                <w:szCs w:val="28"/>
                <w:highlight w:val="none"/>
              </w:rPr>
              <w:t>.00</w:t>
            </w:r>
          </w:p>
        </w:tc>
        <w:tc>
          <w:tcPr>
            <w:tcW w:w="3118" w:type="dxa"/>
            <w:noWrap w:val="0"/>
            <w:tcMar>
              <w:top w:w="100" w:type="dxa"/>
              <w:bottom w:w="100" w:type="dxa"/>
            </w:tcMar>
            <w:vAlign w:val="center"/>
          </w:tcPr>
          <w:p w14:paraId="6BBBE0CC">
            <w:pPr>
              <w:pStyle w:val="256"/>
              <w:jc w:val="center"/>
              <w:rPr>
                <w:rStyle w:val="192"/>
                <w:rFonts w:hint="default" w:ascii="宋体" w:hAnsi="宋体" w:eastAsia="宋体" w:cs="宋体"/>
                <w:b w:val="0"/>
                <w:color w:val="auto"/>
                <w:sz w:val="22"/>
                <w:szCs w:val="28"/>
                <w:highlight w:val="none"/>
                <w:lang w:val="en-US" w:eastAsia="zh-CN"/>
              </w:rPr>
            </w:pPr>
            <w:r>
              <w:rPr>
                <w:rStyle w:val="192"/>
                <w:rFonts w:hint="eastAsia" w:ascii="宋体" w:hAnsi="宋体" w:eastAsia="宋体" w:cs="宋体"/>
                <w:b w:val="0"/>
                <w:color w:val="auto"/>
                <w:sz w:val="22"/>
                <w:szCs w:val="28"/>
                <w:highlight w:val="none"/>
                <w:lang w:val="en-US" w:eastAsia="zh-CN"/>
              </w:rPr>
              <w:t>29</w:t>
            </w:r>
            <w:r>
              <w:rPr>
                <w:rStyle w:val="192"/>
                <w:rFonts w:hint="eastAsia" w:ascii="宋体" w:hAnsi="宋体" w:eastAsia="宋体" w:cs="宋体"/>
                <w:b w:val="0"/>
                <w:color w:val="auto"/>
                <w:sz w:val="22"/>
                <w:szCs w:val="28"/>
                <w:highlight w:val="none"/>
              </w:rPr>
              <w:t>.00</w:t>
            </w:r>
          </w:p>
        </w:tc>
        <w:tc>
          <w:tcPr>
            <w:tcW w:w="3118" w:type="dxa"/>
            <w:noWrap w:val="0"/>
            <w:tcMar>
              <w:top w:w="100" w:type="dxa"/>
              <w:bottom w:w="100" w:type="dxa"/>
            </w:tcMar>
            <w:vAlign w:val="center"/>
          </w:tcPr>
          <w:p w14:paraId="07C1851B">
            <w:pPr>
              <w:pStyle w:val="256"/>
              <w:jc w:val="center"/>
              <w:rPr>
                <w:rStyle w:val="192"/>
                <w:rFonts w:hint="default" w:ascii="宋体" w:hAnsi="宋体" w:eastAsia="宋体" w:cs="宋体"/>
                <w:b w:val="0"/>
                <w:color w:val="auto"/>
                <w:sz w:val="22"/>
                <w:szCs w:val="28"/>
                <w:highlight w:val="none"/>
                <w:lang w:val="en-US" w:eastAsia="zh-CN"/>
              </w:rPr>
            </w:pPr>
            <w:r>
              <w:rPr>
                <w:rStyle w:val="192"/>
                <w:rFonts w:hint="eastAsia" w:ascii="宋体" w:hAnsi="宋体" w:eastAsia="宋体" w:cs="宋体"/>
                <w:b w:val="0"/>
                <w:color w:val="auto"/>
                <w:sz w:val="22"/>
                <w:szCs w:val="28"/>
                <w:highlight w:val="none"/>
              </w:rPr>
              <w:t>20.00</w:t>
            </w:r>
          </w:p>
        </w:tc>
      </w:tr>
    </w:tbl>
    <w:p w14:paraId="589D3A35">
      <w:pPr>
        <w:keepNext w:val="0"/>
        <w:keepLines w:val="0"/>
        <w:pageBreakBefore w:val="0"/>
        <w:widowControl w:val="0"/>
        <w:spacing w:before="240" w:after="240"/>
        <w:rPr>
          <w:rFonts w:hint="eastAsia" w:ascii="宋体" w:hAnsi="宋体"/>
          <w:b/>
          <w:color w:val="auto"/>
          <w:sz w:val="24"/>
          <w:highlight w:val="none"/>
          <w:lang w:eastAsia="zh-CN"/>
        </w:rPr>
      </w:pPr>
      <w:r>
        <w:rPr>
          <w:rFonts w:hint="eastAsia" w:ascii="宋体" w:hAnsi="宋体"/>
          <w:b/>
          <w:color w:val="auto"/>
          <w:sz w:val="24"/>
          <w:highlight w:val="none"/>
          <w:lang w:eastAsia="zh-CN"/>
        </w:rPr>
        <w:t>（一）技术评估</w:t>
      </w:r>
    </w:p>
    <w:tbl>
      <w:tblPr>
        <w:tblStyle w:val="32"/>
        <w:tblW w:w="52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492"/>
        <w:gridCol w:w="7160"/>
        <w:gridCol w:w="794"/>
      </w:tblGrid>
      <w:tr w14:paraId="3E67F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94DCF5">
            <w:pPr>
              <w:pStyle w:val="256"/>
              <w:jc w:val="center"/>
              <w:rPr>
                <w:rStyle w:val="34"/>
                <w:rFonts w:hint="eastAsia" w:ascii="宋体" w:hAnsi="宋体" w:eastAsia="宋体" w:cs="宋体"/>
                <w:b w:val="0"/>
                <w:color w:val="auto"/>
                <w:sz w:val="22"/>
                <w:szCs w:val="22"/>
                <w:highlight w:val="none"/>
              </w:rPr>
            </w:pPr>
            <w:bookmarkStart w:id="570" w:name="EB6b2e05f244d844eab53af046ecb4a6fe"/>
            <w:r>
              <w:rPr>
                <w:rStyle w:val="34"/>
                <w:rFonts w:hint="eastAsia" w:ascii="宋体" w:hAnsi="宋体" w:eastAsia="宋体" w:cs="宋体"/>
                <w:b w:val="0"/>
                <w:color w:val="auto"/>
                <w:sz w:val="22"/>
                <w:szCs w:val="22"/>
                <w:highlight w:val="none"/>
              </w:rPr>
              <w:t>序号</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B31748">
            <w:pPr>
              <w:pStyle w:val="256"/>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评审因素</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ACA3BA">
            <w:pPr>
              <w:pStyle w:val="256"/>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评审细则</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9D8966">
            <w:pPr>
              <w:pStyle w:val="256"/>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分值</w:t>
            </w:r>
          </w:p>
        </w:tc>
      </w:tr>
      <w:tr w14:paraId="2CB5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1CF658">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1.1</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D66957">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总体概述</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B62B21">
            <w:pPr>
              <w:pStyle w:val="256"/>
              <w:rPr>
                <w:rFonts w:hint="eastAsia" w:ascii="宋体" w:hAnsi="宋体" w:eastAsia="宋体" w:cs="宋体"/>
                <w:color w:val="auto"/>
                <w:sz w:val="22"/>
                <w:szCs w:val="22"/>
                <w:highlight w:val="none"/>
              </w:rPr>
            </w:pPr>
            <w:r>
              <w:rPr>
                <w:rFonts w:hint="eastAsia" w:ascii="宋体" w:hAnsi="宋体" w:eastAsia="宋体" w:cs="宋体"/>
                <w:sz w:val="22"/>
                <w:szCs w:val="22"/>
              </w:rPr>
              <w:t>对各供应商针对本项目总体概述进行评价，考察其是否包含工程概述、总体安排、施工部署及施工段划分，描述完全包含上述要点的，得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分，方案有缺项或无方案的不得分。对总体概述表述详细，总体安排科学合理，加1分。方案考虑周全，有合理化建议的加1分。本项最高得</w:t>
            </w:r>
            <w:r>
              <w:rPr>
                <w:rFonts w:hint="eastAsia" w:ascii="宋体" w:hAnsi="宋体" w:eastAsia="宋体" w:cs="宋体"/>
                <w:sz w:val="22"/>
                <w:szCs w:val="22"/>
                <w:lang w:val="en-US" w:eastAsia="zh-CN"/>
              </w:rPr>
              <w:t>4</w:t>
            </w:r>
            <w:r>
              <w:rPr>
                <w:rFonts w:hint="eastAsia" w:ascii="宋体" w:hAnsi="宋体" w:eastAsia="宋体" w:cs="宋体"/>
                <w:sz w:val="22"/>
                <w:szCs w:val="22"/>
              </w:rPr>
              <w:t>分。（≤5页）</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5CA01F">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4</w:t>
            </w:r>
            <w:r>
              <w:rPr>
                <w:rFonts w:hint="eastAsia" w:ascii="宋体" w:hAnsi="宋体" w:eastAsia="宋体" w:cs="宋体"/>
                <w:sz w:val="22"/>
                <w:szCs w:val="22"/>
              </w:rPr>
              <w:t>.0</w:t>
            </w:r>
          </w:p>
        </w:tc>
      </w:tr>
      <w:tr w14:paraId="5D068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683A44">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1.2</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944C3F">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施工现场平面布置和临时设施、临时道路布置</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9E2165">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对各供应商关于本工程施工现场平面布置和临时设施、临时道路布置进行评价，方案中具有施工现场平面布置和临时设施、临时道路布置的，得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分，方案有缺项或无方案的不得分。布置方案完全符合施工现场条件且布置科学合理切实可行的，加</w:t>
            </w:r>
            <w:r>
              <w:rPr>
                <w:rFonts w:hint="eastAsia" w:ascii="宋体" w:hAnsi="宋体" w:eastAsia="宋体" w:cs="宋体"/>
                <w:sz w:val="22"/>
                <w:szCs w:val="22"/>
                <w:lang w:val="en-US" w:eastAsia="zh-CN"/>
              </w:rPr>
              <w:t>2</w:t>
            </w:r>
            <w:r>
              <w:rPr>
                <w:rFonts w:hint="eastAsia" w:ascii="宋体" w:hAnsi="宋体" w:eastAsia="宋体" w:cs="宋体"/>
                <w:sz w:val="22"/>
                <w:szCs w:val="22"/>
              </w:rPr>
              <w:t>分。本项最高得</w:t>
            </w:r>
            <w:r>
              <w:rPr>
                <w:rFonts w:hint="eastAsia" w:ascii="宋体" w:hAnsi="宋体" w:eastAsia="宋体" w:cs="宋体"/>
                <w:sz w:val="22"/>
                <w:szCs w:val="22"/>
                <w:lang w:val="en-US" w:eastAsia="zh-CN"/>
              </w:rPr>
              <w:t>4</w:t>
            </w:r>
            <w:r>
              <w:rPr>
                <w:rFonts w:hint="eastAsia" w:ascii="宋体" w:hAnsi="宋体" w:eastAsia="宋体" w:cs="宋体"/>
                <w:sz w:val="22"/>
                <w:szCs w:val="22"/>
              </w:rPr>
              <w:t>分。（≤4页）</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CF1BAD">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4</w:t>
            </w:r>
            <w:r>
              <w:rPr>
                <w:rFonts w:hint="eastAsia" w:ascii="宋体" w:hAnsi="宋体" w:eastAsia="宋体" w:cs="宋体"/>
                <w:sz w:val="22"/>
                <w:szCs w:val="22"/>
              </w:rPr>
              <w:t>.0</w:t>
            </w:r>
          </w:p>
        </w:tc>
      </w:tr>
      <w:tr w14:paraId="54760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55B342">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1.3</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93EE9B">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施工进度计划和各阶段进度的保证措施</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4ED1BD">
            <w:pPr>
              <w:pStyle w:val="25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对各供应商关于本工程施工进度计划的描述进行评价，考察其是否包含本项目的施工进度计划、各阶段进度的保证措施，描述完全包含上述要点的，得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分，方案有缺项或无方案的不得分。总进度计划详尽，加</w:t>
            </w:r>
            <w:r>
              <w:rPr>
                <w:rFonts w:hint="eastAsia" w:ascii="宋体" w:hAnsi="宋体" w:eastAsia="宋体" w:cs="宋体"/>
                <w:sz w:val="22"/>
                <w:szCs w:val="22"/>
                <w:lang w:val="en-US" w:eastAsia="zh-CN"/>
              </w:rPr>
              <w:t>2</w:t>
            </w:r>
            <w:r>
              <w:rPr>
                <w:rFonts w:hint="eastAsia" w:ascii="宋体" w:hAnsi="宋体" w:eastAsia="宋体" w:cs="宋体"/>
                <w:sz w:val="22"/>
                <w:szCs w:val="22"/>
              </w:rPr>
              <w:t>分；关键节点等设置清晰准确的，加</w:t>
            </w:r>
            <w:r>
              <w:rPr>
                <w:rFonts w:hint="eastAsia" w:ascii="宋体" w:hAnsi="宋体" w:eastAsia="宋体" w:cs="宋体"/>
                <w:sz w:val="22"/>
                <w:szCs w:val="22"/>
                <w:lang w:val="en-US" w:eastAsia="zh-CN"/>
              </w:rPr>
              <w:t>2</w:t>
            </w:r>
            <w:r>
              <w:rPr>
                <w:rFonts w:hint="eastAsia" w:ascii="宋体" w:hAnsi="宋体" w:eastAsia="宋体" w:cs="宋体"/>
                <w:sz w:val="22"/>
                <w:szCs w:val="22"/>
              </w:rPr>
              <w:t>分。本项最高得</w:t>
            </w:r>
            <w:r>
              <w:rPr>
                <w:rFonts w:hint="eastAsia" w:ascii="宋体" w:hAnsi="宋体" w:eastAsia="宋体" w:cs="宋体"/>
                <w:sz w:val="22"/>
                <w:szCs w:val="22"/>
                <w:lang w:val="en-US" w:eastAsia="zh-CN"/>
              </w:rPr>
              <w:t>6</w:t>
            </w:r>
            <w:r>
              <w:rPr>
                <w:rFonts w:hint="eastAsia" w:ascii="宋体" w:hAnsi="宋体" w:eastAsia="宋体" w:cs="宋体"/>
                <w:sz w:val="22"/>
                <w:szCs w:val="22"/>
              </w:rPr>
              <w:t>分。（≤10页）</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8101CB">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6</w:t>
            </w:r>
            <w:r>
              <w:rPr>
                <w:rFonts w:hint="eastAsia" w:ascii="宋体" w:hAnsi="宋体" w:eastAsia="宋体" w:cs="宋体"/>
                <w:sz w:val="22"/>
                <w:szCs w:val="22"/>
              </w:rPr>
              <w:t>.0</w:t>
            </w:r>
          </w:p>
        </w:tc>
      </w:tr>
      <w:tr w14:paraId="64A7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A97C84">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1.4</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DDF25F">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各分部分项工程的施工方案及质量保证措施</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F95579">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对各供应商关于本工程分部分项工程的施工方案及其质量保证措施进行评价，考察其是否包含本项目涉及的分部分项工程的施工方案及其质量保证措施，描述完全包含上述要点的，得</w:t>
            </w:r>
            <w:r>
              <w:rPr>
                <w:rFonts w:hint="eastAsia" w:ascii="宋体" w:hAnsi="宋体" w:eastAsia="宋体" w:cs="宋体"/>
                <w:sz w:val="22"/>
                <w:szCs w:val="22"/>
                <w:lang w:val="en-US" w:eastAsia="zh-CN"/>
              </w:rPr>
              <w:t>6</w:t>
            </w:r>
            <w:r>
              <w:rPr>
                <w:rFonts w:hint="eastAsia" w:ascii="宋体" w:hAnsi="宋体" w:eastAsia="宋体" w:cs="宋体"/>
                <w:sz w:val="22"/>
                <w:szCs w:val="22"/>
              </w:rPr>
              <w:t>分，方案有缺项或无方案的不得分。针对于本项目的具体施工方案及质量保证措施全面周到的，加2分。具体的施工方案及质量保证措施</w:t>
            </w:r>
            <w:r>
              <w:rPr>
                <w:rFonts w:hint="eastAsia" w:ascii="宋体" w:hAnsi="宋体" w:eastAsia="宋体" w:cs="宋体"/>
                <w:sz w:val="22"/>
                <w:szCs w:val="22"/>
                <w:lang w:eastAsia="zh-CN"/>
              </w:rPr>
              <w:t>措施科学合理、操作性强的</w:t>
            </w:r>
            <w:r>
              <w:rPr>
                <w:rFonts w:hint="eastAsia" w:ascii="宋体" w:hAnsi="宋体" w:eastAsia="宋体" w:cs="宋体"/>
                <w:sz w:val="22"/>
                <w:szCs w:val="22"/>
              </w:rPr>
              <w:t>，加2分。本项最高得</w:t>
            </w:r>
            <w:r>
              <w:rPr>
                <w:rFonts w:hint="eastAsia" w:ascii="宋体" w:hAnsi="宋体" w:eastAsia="宋体" w:cs="宋体"/>
                <w:sz w:val="22"/>
                <w:szCs w:val="22"/>
                <w:lang w:val="en-US" w:eastAsia="zh-CN"/>
              </w:rPr>
              <w:t>10</w:t>
            </w:r>
            <w:r>
              <w:rPr>
                <w:rFonts w:hint="eastAsia" w:ascii="宋体" w:hAnsi="宋体" w:eastAsia="宋体" w:cs="宋体"/>
                <w:sz w:val="22"/>
                <w:szCs w:val="22"/>
              </w:rPr>
              <w:t>分。（≤25页）</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0D1810">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10</w:t>
            </w:r>
            <w:r>
              <w:rPr>
                <w:rFonts w:hint="eastAsia" w:ascii="宋体" w:hAnsi="宋体" w:eastAsia="宋体" w:cs="宋体"/>
                <w:sz w:val="22"/>
                <w:szCs w:val="22"/>
              </w:rPr>
              <w:t>.0</w:t>
            </w:r>
          </w:p>
        </w:tc>
      </w:tr>
      <w:tr w14:paraId="03792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3609D8">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w:t>
            </w:r>
            <w:r>
              <w:rPr>
                <w:rStyle w:val="34"/>
                <w:rFonts w:hint="eastAsia" w:ascii="宋体" w:hAnsi="宋体" w:eastAsia="宋体" w:cs="宋体"/>
                <w:b w:val="0"/>
                <w:color w:val="000000" w:themeColor="text1"/>
                <w:sz w:val="22"/>
                <w:szCs w:val="22"/>
                <w:lang w:val="en-US" w:eastAsia="zh-CN"/>
                <w14:textFill>
                  <w14:solidFill>
                    <w14:schemeClr w14:val="tx1"/>
                  </w14:solidFill>
                </w14:textFill>
              </w:rPr>
              <w:t>5</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C8AA6C">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安全文明施工及环境保护措施</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502529">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对各供应商关于本工程安全文明施工及环境保护措施进行评价，考察其是否包含施工现场扬尘污染防治及环境保护措施，描述完全包含上述要点的，得</w:t>
            </w:r>
            <w:r>
              <w:rPr>
                <w:rFonts w:hint="eastAsia" w:ascii="宋体" w:hAnsi="宋体" w:eastAsia="宋体" w:cs="宋体"/>
                <w:sz w:val="22"/>
                <w:szCs w:val="22"/>
                <w:lang w:val="en-US" w:eastAsia="zh-CN"/>
              </w:rPr>
              <w:t>3</w:t>
            </w:r>
            <w:r>
              <w:rPr>
                <w:rFonts w:hint="eastAsia" w:ascii="宋体" w:hAnsi="宋体" w:eastAsia="宋体" w:cs="宋体"/>
                <w:sz w:val="22"/>
                <w:szCs w:val="22"/>
              </w:rPr>
              <w:t>分，方案有缺项或无方案的不得分。以上措施科学合理，问题解决机制简单有效的，加1分。对项目安全、环保等风险进行分析，给出应对措施且针对性</w:t>
            </w:r>
            <w:r>
              <w:rPr>
                <w:rFonts w:hint="eastAsia" w:ascii="宋体" w:hAnsi="宋体" w:eastAsia="宋体" w:cs="宋体"/>
                <w:sz w:val="22"/>
                <w:szCs w:val="22"/>
                <w:lang w:eastAsia="zh-CN"/>
              </w:rPr>
              <w:t>、操作性强的</w:t>
            </w:r>
            <w:r>
              <w:rPr>
                <w:rFonts w:hint="eastAsia" w:ascii="宋体" w:hAnsi="宋体" w:eastAsia="宋体" w:cs="宋体"/>
                <w:sz w:val="22"/>
                <w:szCs w:val="22"/>
              </w:rPr>
              <w:t>，加1分。本项最高得</w:t>
            </w:r>
            <w:r>
              <w:rPr>
                <w:rFonts w:hint="eastAsia" w:ascii="宋体" w:hAnsi="宋体" w:eastAsia="宋体" w:cs="宋体"/>
                <w:sz w:val="22"/>
                <w:szCs w:val="22"/>
                <w:lang w:val="en-US" w:eastAsia="zh-CN"/>
              </w:rPr>
              <w:t>5</w:t>
            </w:r>
            <w:r>
              <w:rPr>
                <w:rFonts w:hint="eastAsia" w:ascii="宋体" w:hAnsi="宋体" w:eastAsia="宋体" w:cs="宋体"/>
                <w:sz w:val="22"/>
                <w:szCs w:val="22"/>
              </w:rPr>
              <w:t>分。（≤5页）</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D3A7B9">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5</w:t>
            </w:r>
            <w:r>
              <w:rPr>
                <w:rFonts w:hint="eastAsia" w:ascii="宋体" w:hAnsi="宋体" w:eastAsia="宋体" w:cs="宋体"/>
                <w:sz w:val="22"/>
                <w:szCs w:val="22"/>
              </w:rPr>
              <w:t>.0</w:t>
            </w:r>
          </w:p>
        </w:tc>
      </w:tr>
      <w:tr w14:paraId="71BC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36774372">
            <w:pPr>
              <w:pStyle w:val="256"/>
              <w:jc w:val="center"/>
              <w:rPr>
                <w:rFonts w:hint="eastAsia" w:ascii="宋体" w:hAnsi="宋体" w:eastAsia="宋体" w:cs="宋体"/>
                <w:b w:val="0"/>
                <w:color w:val="000000" w:themeColor="text1"/>
                <w:sz w:val="22"/>
                <w:szCs w:val="22"/>
                <w:lang w:val="en-US" w:eastAsia="zh-CN"/>
                <w14:textFill>
                  <w14:solidFill>
                    <w14:schemeClr w14:val="tx1"/>
                  </w14:solidFill>
                </w14:textFill>
              </w:rPr>
            </w:pPr>
            <w:r>
              <w:rPr>
                <w:rStyle w:val="34"/>
                <w:rFonts w:hint="eastAsia" w:ascii="宋体" w:hAnsi="宋体" w:eastAsia="宋体" w:cs="宋体"/>
                <w:b w:val="0"/>
                <w:color w:val="000000" w:themeColor="text1"/>
                <w:sz w:val="22"/>
                <w:szCs w:val="22"/>
                <w:lang w:val="en-US" w:eastAsia="zh-CN"/>
                <w14:textFill>
                  <w14:solidFill>
                    <w14:schemeClr w14:val="tx1"/>
                  </w14:solidFill>
                </w14:textFill>
              </w:rPr>
              <w:t>1.6</w:t>
            </w:r>
          </w:p>
        </w:tc>
        <w:tc>
          <w:tcPr>
            <w:tcW w:w="735"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607AE9E1">
            <w:pPr>
              <w:pStyle w:val="256"/>
              <w:jc w:val="center"/>
              <w:rPr>
                <w:rFonts w:hint="eastAsia" w:ascii="宋体" w:hAnsi="宋体" w:eastAsia="宋体" w:cs="宋体"/>
                <w:sz w:val="22"/>
                <w:szCs w:val="22"/>
              </w:rPr>
            </w:pPr>
            <w:r>
              <w:rPr>
                <w:rFonts w:hint="eastAsia" w:ascii="宋体" w:hAnsi="宋体" w:eastAsia="宋体" w:cs="宋体"/>
                <w:sz w:val="22"/>
                <w:szCs w:val="22"/>
              </w:rPr>
              <w:t>项目管理班子的人员配备、素质及管理经验</w:t>
            </w:r>
          </w:p>
        </w:tc>
        <w:tc>
          <w:tcPr>
            <w:tcW w:w="3528"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1F4F646E">
            <w:pPr>
              <w:pStyle w:val="256"/>
              <w:rPr>
                <w:rFonts w:hint="eastAsia" w:ascii="宋体" w:hAnsi="宋体" w:eastAsia="宋体" w:cs="宋体"/>
                <w:sz w:val="22"/>
                <w:szCs w:val="22"/>
              </w:rPr>
            </w:pPr>
            <w:r>
              <w:rPr>
                <w:rFonts w:hint="eastAsia" w:ascii="宋体" w:hAnsi="宋体" w:eastAsia="宋体" w:cs="宋体"/>
                <w:sz w:val="22"/>
                <w:szCs w:val="22"/>
              </w:rPr>
              <w:t>对供应商提供的项目管理班子的人员配备、素质及管理经验进行评审，方案完全包含上述要点得</w:t>
            </w:r>
            <w:r>
              <w:rPr>
                <w:rFonts w:hint="eastAsia" w:ascii="宋体" w:hAnsi="宋体" w:eastAsia="宋体" w:cs="宋体"/>
                <w:sz w:val="22"/>
                <w:szCs w:val="22"/>
                <w:lang w:val="en-US" w:eastAsia="zh-CN"/>
              </w:rPr>
              <w:t>2</w:t>
            </w:r>
            <w:r>
              <w:rPr>
                <w:rFonts w:hint="eastAsia" w:ascii="宋体" w:hAnsi="宋体" w:eastAsia="宋体" w:cs="宋体"/>
                <w:sz w:val="22"/>
                <w:szCs w:val="22"/>
              </w:rPr>
              <w:t>分，有缺项或未提供方案的不得分，人员配备符合本项目实际情况且针对性强的加1分，人员管理经验强的加1分。本项最高得</w:t>
            </w:r>
            <w:r>
              <w:rPr>
                <w:rFonts w:hint="eastAsia" w:ascii="宋体" w:hAnsi="宋体" w:eastAsia="宋体" w:cs="宋体"/>
                <w:sz w:val="22"/>
                <w:szCs w:val="22"/>
                <w:lang w:val="en-US" w:eastAsia="zh-CN"/>
              </w:rPr>
              <w:t>4</w:t>
            </w:r>
            <w:r>
              <w:rPr>
                <w:rFonts w:hint="eastAsia" w:ascii="宋体" w:hAnsi="宋体" w:eastAsia="宋体" w:cs="宋体"/>
                <w:sz w:val="22"/>
                <w:szCs w:val="22"/>
              </w:rPr>
              <w:t>分。（≤5页）</w:t>
            </w:r>
          </w:p>
        </w:tc>
        <w:tc>
          <w:tcPr>
            <w:tcW w:w="39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16B0DBCD">
            <w:pPr>
              <w:pStyle w:val="256"/>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4.0</w:t>
            </w:r>
          </w:p>
        </w:tc>
      </w:tr>
      <w:tr w14:paraId="0338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6FD03F">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w:t>
            </w:r>
            <w:r>
              <w:rPr>
                <w:rStyle w:val="34"/>
                <w:rFonts w:hint="eastAsia" w:ascii="宋体" w:hAnsi="宋体" w:eastAsia="宋体" w:cs="宋体"/>
                <w:b w:val="0"/>
                <w:color w:val="000000" w:themeColor="text1"/>
                <w:sz w:val="22"/>
                <w:szCs w:val="22"/>
                <w:lang w:val="en-US" w:eastAsia="zh-CN"/>
                <w14:textFill>
                  <w14:solidFill>
                    <w14:schemeClr w14:val="tx1"/>
                  </w14:solidFill>
                </w14:textFill>
              </w:rPr>
              <w:t>7</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22A639">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劳动力、机械设备和材料投入计划</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AEB226">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对各供应商投入的劳动力、机械设备和材料情况进行评价，描述完全包含上述内容的，得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分，方案有缺项或无方案的不得分。投入的劳动力、机械设备和材料情况科学合理的，加</w:t>
            </w:r>
            <w:r>
              <w:rPr>
                <w:rFonts w:hint="eastAsia" w:ascii="宋体" w:hAnsi="宋体" w:eastAsia="宋体" w:cs="宋体"/>
                <w:sz w:val="22"/>
                <w:szCs w:val="22"/>
                <w:lang w:val="en-US" w:eastAsia="zh-CN"/>
              </w:rPr>
              <w:t>1</w:t>
            </w:r>
            <w:r>
              <w:rPr>
                <w:rFonts w:hint="eastAsia" w:ascii="宋体" w:hAnsi="宋体" w:eastAsia="宋体" w:cs="宋体"/>
                <w:sz w:val="22"/>
                <w:szCs w:val="22"/>
              </w:rPr>
              <w:t>分。方案内容详尽周到</w:t>
            </w:r>
            <w:r>
              <w:rPr>
                <w:rFonts w:hint="eastAsia" w:ascii="宋体" w:hAnsi="宋体" w:eastAsia="宋体" w:cs="宋体"/>
                <w:sz w:val="22"/>
                <w:szCs w:val="22"/>
                <w:lang w:eastAsia="zh-CN"/>
              </w:rPr>
              <w:t>、操作性强的</w:t>
            </w:r>
            <w:r>
              <w:rPr>
                <w:rFonts w:hint="eastAsia" w:ascii="宋体" w:hAnsi="宋体" w:eastAsia="宋体" w:cs="宋体"/>
                <w:sz w:val="22"/>
                <w:szCs w:val="22"/>
              </w:rPr>
              <w:t>，加</w:t>
            </w:r>
            <w:r>
              <w:rPr>
                <w:rFonts w:hint="eastAsia" w:ascii="宋体" w:hAnsi="宋体" w:eastAsia="宋体" w:cs="宋体"/>
                <w:sz w:val="22"/>
                <w:szCs w:val="22"/>
                <w:lang w:val="en-US" w:eastAsia="zh-CN"/>
              </w:rPr>
              <w:t>1</w:t>
            </w:r>
            <w:r>
              <w:rPr>
                <w:rFonts w:hint="eastAsia" w:ascii="宋体" w:hAnsi="宋体" w:eastAsia="宋体" w:cs="宋体"/>
                <w:sz w:val="22"/>
                <w:szCs w:val="22"/>
              </w:rPr>
              <w:t>分。本项最高得</w:t>
            </w:r>
            <w:r>
              <w:rPr>
                <w:rFonts w:hint="eastAsia" w:ascii="宋体" w:hAnsi="宋体" w:eastAsia="宋体" w:cs="宋体"/>
                <w:sz w:val="22"/>
                <w:szCs w:val="22"/>
                <w:lang w:val="en-US" w:eastAsia="zh-CN"/>
              </w:rPr>
              <w:t>4</w:t>
            </w:r>
            <w:r>
              <w:rPr>
                <w:rFonts w:hint="eastAsia" w:ascii="宋体" w:hAnsi="宋体" w:eastAsia="宋体" w:cs="宋体"/>
                <w:sz w:val="22"/>
                <w:szCs w:val="22"/>
              </w:rPr>
              <w:t>分。（≤5页）</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A606F0">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4</w:t>
            </w:r>
            <w:r>
              <w:rPr>
                <w:rFonts w:hint="eastAsia" w:ascii="宋体" w:hAnsi="宋体" w:eastAsia="宋体" w:cs="宋体"/>
                <w:sz w:val="22"/>
                <w:szCs w:val="22"/>
              </w:rPr>
              <w:t>.0</w:t>
            </w:r>
          </w:p>
        </w:tc>
      </w:tr>
      <w:tr w14:paraId="0E7A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0BC8EF">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w:t>
            </w:r>
            <w:r>
              <w:rPr>
                <w:rStyle w:val="34"/>
                <w:rFonts w:hint="eastAsia" w:ascii="宋体" w:hAnsi="宋体" w:eastAsia="宋体" w:cs="宋体"/>
                <w:b w:val="0"/>
                <w:color w:val="000000" w:themeColor="text1"/>
                <w:sz w:val="22"/>
                <w:szCs w:val="22"/>
                <w:lang w:val="en-US" w:eastAsia="zh-CN"/>
                <w14:textFill>
                  <w14:solidFill>
                    <w14:schemeClr w14:val="tx1"/>
                  </w14:solidFill>
                </w14:textFill>
              </w:rPr>
              <w:t>8</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0DB3D0">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关键施工技术、工艺及工程项目实施的重点、难点和解决方案</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C7768D">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对各供应商关于本工程关键施工技术、工艺及工程项目实施的重点、难点和解决方案进行评价，具有关键施工技术、工艺及工程项目实施的重点、难点和解决方案的，得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分，方案有缺项或无方案的不得分。针对本项目的关键施工技术、工艺科学先进，可行性强的，加</w:t>
            </w:r>
            <w:r>
              <w:rPr>
                <w:rFonts w:hint="eastAsia" w:ascii="宋体" w:hAnsi="宋体" w:eastAsia="宋体" w:cs="宋体"/>
                <w:sz w:val="22"/>
                <w:szCs w:val="22"/>
                <w:lang w:val="en-US" w:eastAsia="zh-CN"/>
              </w:rPr>
              <w:t>2</w:t>
            </w:r>
            <w:r>
              <w:rPr>
                <w:rFonts w:hint="eastAsia" w:ascii="宋体" w:hAnsi="宋体" w:eastAsia="宋体" w:cs="宋体"/>
                <w:sz w:val="22"/>
                <w:szCs w:val="22"/>
              </w:rPr>
              <w:t>分。本项目实施的重难点分析透彻且解决方案</w:t>
            </w:r>
            <w:r>
              <w:rPr>
                <w:rFonts w:hint="eastAsia" w:ascii="宋体" w:hAnsi="宋体" w:eastAsia="宋体" w:cs="宋体"/>
                <w:sz w:val="22"/>
                <w:szCs w:val="22"/>
                <w:lang w:eastAsia="zh-CN"/>
              </w:rPr>
              <w:t>可操作性强的</w:t>
            </w:r>
            <w:r>
              <w:rPr>
                <w:rFonts w:hint="eastAsia" w:ascii="宋体" w:hAnsi="宋体" w:eastAsia="宋体" w:cs="宋体"/>
                <w:sz w:val="22"/>
                <w:szCs w:val="22"/>
              </w:rPr>
              <w:t>，加</w:t>
            </w:r>
            <w:r>
              <w:rPr>
                <w:rFonts w:hint="eastAsia" w:ascii="宋体" w:hAnsi="宋体" w:eastAsia="宋体" w:cs="宋体"/>
                <w:sz w:val="22"/>
                <w:szCs w:val="22"/>
                <w:lang w:val="en-US" w:eastAsia="zh-CN"/>
              </w:rPr>
              <w:t>2</w:t>
            </w:r>
            <w:r>
              <w:rPr>
                <w:rFonts w:hint="eastAsia" w:ascii="宋体" w:hAnsi="宋体" w:eastAsia="宋体" w:cs="宋体"/>
                <w:sz w:val="22"/>
                <w:szCs w:val="22"/>
              </w:rPr>
              <w:t>分。本项最高得</w:t>
            </w:r>
            <w:r>
              <w:rPr>
                <w:rFonts w:hint="eastAsia" w:ascii="宋体" w:hAnsi="宋体" w:eastAsia="宋体" w:cs="宋体"/>
                <w:sz w:val="22"/>
                <w:szCs w:val="22"/>
                <w:lang w:val="en-US" w:eastAsia="zh-CN"/>
              </w:rPr>
              <w:t>6</w:t>
            </w:r>
            <w:r>
              <w:rPr>
                <w:rFonts w:hint="eastAsia" w:ascii="宋体" w:hAnsi="宋体" w:eastAsia="宋体" w:cs="宋体"/>
                <w:sz w:val="22"/>
                <w:szCs w:val="22"/>
              </w:rPr>
              <w:t>分。（≤20页）</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604450">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6</w:t>
            </w:r>
            <w:r>
              <w:rPr>
                <w:rFonts w:hint="eastAsia" w:ascii="宋体" w:hAnsi="宋体" w:eastAsia="宋体" w:cs="宋体"/>
                <w:sz w:val="22"/>
                <w:szCs w:val="22"/>
              </w:rPr>
              <w:t>.0</w:t>
            </w:r>
          </w:p>
        </w:tc>
      </w:tr>
      <w:tr w14:paraId="584D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2E6982">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w:t>
            </w:r>
            <w:r>
              <w:rPr>
                <w:rStyle w:val="34"/>
                <w:rFonts w:hint="eastAsia" w:ascii="宋体" w:hAnsi="宋体" w:eastAsia="宋体" w:cs="宋体"/>
                <w:b w:val="0"/>
                <w:color w:val="000000" w:themeColor="text1"/>
                <w:sz w:val="22"/>
                <w:szCs w:val="22"/>
                <w:lang w:val="en-US" w:eastAsia="zh-CN"/>
                <w14:textFill>
                  <w14:solidFill>
                    <w14:schemeClr w14:val="tx1"/>
                  </w14:solidFill>
                </w14:textFill>
              </w:rPr>
              <w:t>9</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022DB0">
            <w:pPr>
              <w:pStyle w:val="256"/>
              <w:jc w:val="center"/>
              <w:rPr>
                <w:rFonts w:hint="eastAsia" w:ascii="宋体" w:hAnsi="宋体" w:cs="宋体"/>
                <w:color w:val="auto"/>
                <w:sz w:val="22"/>
                <w:szCs w:val="22"/>
                <w:highlight w:val="none"/>
              </w:rPr>
            </w:pPr>
            <w:r>
              <w:rPr>
                <w:rFonts w:hint="eastAsia" w:ascii="宋体" w:hAnsi="宋体" w:eastAsia="宋体" w:cs="宋体"/>
                <w:sz w:val="22"/>
                <w:szCs w:val="22"/>
              </w:rPr>
              <w:t>冬雨季施工、已有设施、管线的加固、保护等特殊情况下的施工措施</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AF6B14">
            <w:pPr>
              <w:pStyle w:val="256"/>
              <w:rPr>
                <w:rFonts w:hint="eastAsia" w:ascii="宋体" w:hAnsi="宋体" w:cs="宋体"/>
                <w:color w:val="auto"/>
                <w:sz w:val="22"/>
                <w:szCs w:val="22"/>
                <w:highlight w:val="none"/>
              </w:rPr>
            </w:pPr>
            <w:r>
              <w:rPr>
                <w:rFonts w:hint="eastAsia" w:ascii="宋体" w:hAnsi="宋体" w:eastAsia="宋体" w:cs="宋体"/>
                <w:sz w:val="22"/>
                <w:szCs w:val="22"/>
              </w:rPr>
              <w:t>对各供应商关于本工程冬雨季施工、已有设施、管线的加固、保护等特殊情况下的施工措施进行评价，具有冬雨季施工、已有设施、管线的加固、保护等特殊情况下的施工措施的，得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分，方案有缺项或无方案的不得分。施工措施</w:t>
            </w:r>
            <w:r>
              <w:rPr>
                <w:rFonts w:hint="eastAsia" w:ascii="宋体" w:hAnsi="宋体" w:eastAsia="宋体" w:cs="宋体"/>
                <w:sz w:val="22"/>
                <w:szCs w:val="22"/>
                <w:lang w:eastAsia="zh-CN"/>
              </w:rPr>
              <w:t>措施科学合理、操作性强的</w:t>
            </w:r>
            <w:r>
              <w:rPr>
                <w:rFonts w:hint="eastAsia" w:ascii="宋体" w:hAnsi="宋体" w:eastAsia="宋体" w:cs="宋体"/>
                <w:sz w:val="22"/>
                <w:szCs w:val="22"/>
              </w:rPr>
              <w:t>，加1分。针对本项目以上特殊情况下的施工有合理化建议且满足施工需要的，加1分。 本项最高得</w:t>
            </w:r>
            <w:r>
              <w:rPr>
                <w:rFonts w:hint="eastAsia" w:ascii="宋体" w:hAnsi="宋体" w:eastAsia="宋体" w:cs="宋体"/>
                <w:sz w:val="22"/>
                <w:szCs w:val="22"/>
                <w:lang w:val="en-US" w:eastAsia="zh-CN"/>
              </w:rPr>
              <w:t>4</w:t>
            </w:r>
            <w:r>
              <w:rPr>
                <w:rFonts w:hint="eastAsia" w:ascii="宋体" w:hAnsi="宋体" w:eastAsia="宋体" w:cs="宋体"/>
                <w:sz w:val="22"/>
                <w:szCs w:val="22"/>
              </w:rPr>
              <w:t>分。（≤5页）</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D742B1">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lang w:val="en-US" w:eastAsia="zh-CN"/>
              </w:rPr>
              <w:t>4</w:t>
            </w:r>
            <w:r>
              <w:rPr>
                <w:rFonts w:hint="eastAsia" w:ascii="宋体" w:hAnsi="宋体" w:eastAsia="宋体" w:cs="宋体"/>
                <w:sz w:val="22"/>
                <w:szCs w:val="22"/>
              </w:rPr>
              <w:t>.0</w:t>
            </w:r>
          </w:p>
        </w:tc>
      </w:tr>
      <w:tr w14:paraId="71E03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3A006B">
            <w:pPr>
              <w:pStyle w:val="256"/>
              <w:jc w:val="center"/>
              <w:rPr>
                <w:rFonts w:hint="default"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w:t>
            </w:r>
            <w:r>
              <w:rPr>
                <w:rStyle w:val="34"/>
                <w:rFonts w:hint="eastAsia" w:ascii="宋体" w:hAnsi="宋体" w:eastAsia="宋体" w:cs="宋体"/>
                <w:b w:val="0"/>
                <w:color w:val="000000" w:themeColor="text1"/>
                <w:sz w:val="22"/>
                <w:szCs w:val="22"/>
                <w:lang w:val="en-US" w:eastAsia="zh-CN"/>
                <w14:textFill>
                  <w14:solidFill>
                    <w14:schemeClr w14:val="tx1"/>
                  </w14:solidFill>
                </w14:textFill>
              </w:rPr>
              <w:t>10</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59B89C">
            <w:pPr>
              <w:pStyle w:val="256"/>
              <w:jc w:val="center"/>
              <w:rPr>
                <w:rFonts w:hint="eastAsia" w:ascii="宋体" w:hAnsi="宋体" w:cs="宋体"/>
                <w:color w:val="auto"/>
                <w:sz w:val="22"/>
                <w:szCs w:val="22"/>
                <w:highlight w:val="none"/>
              </w:rPr>
            </w:pPr>
            <w:r>
              <w:rPr>
                <w:rFonts w:hint="eastAsia" w:ascii="宋体" w:hAnsi="宋体" w:eastAsia="宋体" w:cs="宋体"/>
                <w:sz w:val="22"/>
                <w:szCs w:val="22"/>
              </w:rPr>
              <w:t>新技术、新产品、新工艺、新材料应用</w:t>
            </w:r>
          </w:p>
        </w:tc>
        <w:tc>
          <w:tcPr>
            <w:tcW w:w="35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FAD04A">
            <w:pPr>
              <w:pStyle w:val="256"/>
              <w:rPr>
                <w:rFonts w:hint="eastAsia" w:ascii="宋体" w:hAnsi="宋体" w:eastAsia="宋体" w:cs="宋体"/>
                <w:sz w:val="22"/>
                <w:szCs w:val="22"/>
              </w:rPr>
            </w:pPr>
            <w:r>
              <w:rPr>
                <w:rFonts w:hint="eastAsia" w:ascii="宋体" w:hAnsi="宋体" w:eastAsia="宋体" w:cs="宋体"/>
                <w:sz w:val="22"/>
                <w:szCs w:val="22"/>
              </w:rPr>
              <w:t>对各供应商关于本工程使用的新技术、新产品、新工艺、新材料应用进行评价，描述完全包含上述内容的得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分，方案有缺项或无方案的不得分。以上方案内容符合本项目具体实施内容且科学合理的，加1分。以上方案内容</w:t>
            </w:r>
            <w:r>
              <w:rPr>
                <w:rFonts w:hint="eastAsia" w:ascii="宋体" w:hAnsi="宋体" w:eastAsia="宋体" w:cs="宋体"/>
                <w:sz w:val="22"/>
                <w:szCs w:val="22"/>
                <w:lang w:eastAsia="zh-CN"/>
              </w:rPr>
              <w:t>可操作性强的</w:t>
            </w:r>
            <w:r>
              <w:rPr>
                <w:rFonts w:hint="eastAsia" w:ascii="宋体" w:hAnsi="宋体" w:eastAsia="宋体" w:cs="宋体"/>
                <w:sz w:val="22"/>
                <w:szCs w:val="22"/>
              </w:rPr>
              <w:t>，加1分。本项最高得</w:t>
            </w:r>
            <w:r>
              <w:rPr>
                <w:rFonts w:hint="eastAsia" w:ascii="宋体" w:hAnsi="宋体" w:eastAsia="宋体" w:cs="宋体"/>
                <w:sz w:val="22"/>
                <w:szCs w:val="22"/>
                <w:lang w:val="en-US" w:eastAsia="zh-CN"/>
              </w:rPr>
              <w:t>4</w:t>
            </w:r>
            <w:r>
              <w:rPr>
                <w:rFonts w:hint="eastAsia" w:ascii="宋体" w:hAnsi="宋体" w:eastAsia="宋体" w:cs="宋体"/>
                <w:sz w:val="22"/>
                <w:szCs w:val="22"/>
              </w:rPr>
              <w:t>分。（≤5页）</w:t>
            </w:r>
          </w:p>
          <w:p w14:paraId="2A887D9E">
            <w:pPr>
              <w:pStyle w:val="256"/>
              <w:rPr>
                <w:rFonts w:hint="eastAsia" w:ascii="宋体" w:hAnsi="宋体" w:eastAsia="宋体" w:cs="宋体"/>
                <w:sz w:val="22"/>
                <w:szCs w:val="22"/>
              </w:rPr>
            </w:pPr>
          </w:p>
          <w:p w14:paraId="571DA820">
            <w:pPr>
              <w:pStyle w:val="256"/>
              <w:rPr>
                <w:rFonts w:hint="eastAsia" w:ascii="宋体" w:hAnsi="宋体" w:eastAsia="宋体" w:cs="宋体"/>
                <w:sz w:val="22"/>
                <w:szCs w:val="22"/>
              </w:rPr>
            </w:pPr>
            <w:bookmarkStart w:id="648" w:name="_GoBack"/>
            <w:bookmarkEnd w:id="648"/>
            <w:r>
              <w:rPr>
                <w:rFonts w:hint="eastAsia" w:ascii="宋体" w:hAnsi="宋体" w:eastAsia="宋体" w:cs="宋体"/>
                <w:sz w:val="22"/>
                <w:szCs w:val="22"/>
              </w:rPr>
              <w:t>注：施工组织设计各评分点篇幅要求如上，每超过1页的，扣0.1分。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B0AF06">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lang w:val="en-US" w:eastAsia="zh-CN"/>
              </w:rPr>
              <w:t>4</w:t>
            </w:r>
            <w:r>
              <w:rPr>
                <w:rFonts w:hint="eastAsia" w:ascii="宋体" w:hAnsi="宋体" w:eastAsia="宋体" w:cs="宋体"/>
                <w:sz w:val="22"/>
                <w:szCs w:val="22"/>
              </w:rPr>
              <w:t>.0</w:t>
            </w:r>
            <w:bookmarkEnd w:id="570"/>
          </w:p>
        </w:tc>
      </w:tr>
    </w:tbl>
    <w:p w14:paraId="0F72BE30">
      <w:pPr>
        <w:keepNext w:val="0"/>
        <w:keepLines w:val="0"/>
        <w:pageBreakBefore w:val="0"/>
        <w:widowControl w:val="0"/>
        <w:spacing w:before="240" w:after="240"/>
        <w:rPr>
          <w:rFonts w:hint="eastAsia"/>
          <w:color w:val="auto"/>
          <w:highlight w:val="none"/>
        </w:rPr>
      </w:pPr>
      <w:r>
        <w:rPr>
          <w:rFonts w:hint="eastAsia" w:ascii="宋体" w:hAnsi="宋体"/>
          <w:b/>
          <w:color w:val="auto"/>
          <w:sz w:val="24"/>
          <w:highlight w:val="none"/>
          <w:lang w:eastAsia="zh-CN"/>
        </w:rPr>
        <w:t>（二）商务评估</w:t>
      </w:r>
      <w:bookmarkStart w:id="571" w:name="EBcc36ae01fb994a918da451ccb0f74e57"/>
    </w:p>
    <w:tbl>
      <w:tblPr>
        <w:tblStyle w:val="32"/>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477"/>
        <w:gridCol w:w="7230"/>
        <w:gridCol w:w="751"/>
      </w:tblGrid>
      <w:tr w14:paraId="66F1E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D9D3DA">
            <w:pPr>
              <w:pStyle w:val="257"/>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序号</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9533AE">
            <w:pPr>
              <w:pStyle w:val="257"/>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评审因素</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0D35DF">
            <w:pPr>
              <w:pStyle w:val="257"/>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评审细则</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5D23E7">
            <w:pPr>
              <w:pStyle w:val="257"/>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分值</w:t>
            </w:r>
          </w:p>
        </w:tc>
      </w:tr>
      <w:tr w14:paraId="06B63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B60B74">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2.1</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47FD10">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投标人体系认证</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B55533">
            <w:pPr>
              <w:pStyle w:val="25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投标</w:t>
            </w:r>
            <w:r>
              <w:rPr>
                <w:rFonts w:hint="eastAsia" w:ascii="宋体" w:hAnsi="宋体" w:eastAsia="宋体" w:cs="宋体"/>
                <w:sz w:val="22"/>
                <w:szCs w:val="22"/>
                <w:lang w:eastAsia="zh-CN"/>
              </w:rPr>
              <w:t>供应商</w:t>
            </w:r>
            <w:r>
              <w:rPr>
                <w:rFonts w:hint="eastAsia" w:ascii="宋体" w:hAnsi="宋体" w:eastAsia="宋体" w:cs="宋体"/>
                <w:sz w:val="22"/>
                <w:szCs w:val="22"/>
              </w:rPr>
              <w:t>通过质量管理体系认证、环境管理体系认证、职业健康安全管理体系认证，每</w:t>
            </w:r>
            <w:r>
              <w:rPr>
                <w:rFonts w:hint="eastAsia" w:ascii="宋体" w:hAnsi="宋体" w:eastAsia="宋体" w:cs="宋体"/>
                <w:sz w:val="22"/>
                <w:szCs w:val="22"/>
                <w:lang w:eastAsia="zh-CN"/>
              </w:rPr>
              <w:t>通过</w:t>
            </w:r>
            <w:r>
              <w:rPr>
                <w:rFonts w:hint="eastAsia" w:ascii="宋体" w:hAnsi="宋体" w:eastAsia="宋体" w:cs="宋体"/>
                <w:sz w:val="22"/>
                <w:szCs w:val="22"/>
              </w:rPr>
              <w:t>以上一种认证证书的得2分，最多6分。注：提供相关证书原件扫描件。上述证书需在“全国认证认可信息公共服务平台”中查询状态为“有效”，否则不予给分。</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65E26D">
            <w:pPr>
              <w:pStyle w:val="257"/>
              <w:jc w:val="center"/>
              <w:rPr>
                <w:rStyle w:val="34"/>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rPr>
              <w:t>6.0</w:t>
            </w:r>
          </w:p>
        </w:tc>
      </w:tr>
      <w:tr w14:paraId="7D65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exact"/>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C2D3D0">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2.2</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D0D62B">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类似</w:t>
            </w:r>
            <w:r>
              <w:rPr>
                <w:rFonts w:hint="eastAsia" w:ascii="宋体" w:hAnsi="宋体" w:eastAsia="宋体" w:cs="宋体"/>
                <w:sz w:val="22"/>
                <w:szCs w:val="22"/>
                <w:lang w:eastAsia="zh-CN"/>
              </w:rPr>
              <w:t>工程</w:t>
            </w:r>
            <w:r>
              <w:rPr>
                <w:rFonts w:hint="eastAsia" w:ascii="宋体" w:hAnsi="宋体" w:eastAsia="宋体" w:cs="宋体"/>
                <w:sz w:val="22"/>
                <w:szCs w:val="22"/>
              </w:rPr>
              <w:t>业绩</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144470">
            <w:pPr>
              <w:pStyle w:val="256"/>
              <w:rPr>
                <w:rFonts w:hint="eastAsia" w:ascii="宋体" w:hAnsi="宋体" w:eastAsia="宋体" w:cs="宋体"/>
                <w:sz w:val="22"/>
                <w:szCs w:val="22"/>
                <w:lang w:val="en-US" w:eastAsia="zh-CN"/>
              </w:rPr>
            </w:pPr>
            <w:r>
              <w:rPr>
                <w:rFonts w:hint="eastAsia" w:ascii="宋体" w:hAnsi="宋体" w:eastAsia="宋体" w:cs="宋体"/>
                <w:sz w:val="22"/>
                <w:szCs w:val="22"/>
                <w:lang w:eastAsia="zh-CN"/>
              </w:rPr>
              <w:t>投标供应商自202</w:t>
            </w:r>
            <w:r>
              <w:rPr>
                <w:rFonts w:hint="eastAsia" w:ascii="宋体" w:hAnsi="宋体" w:eastAsia="宋体" w:cs="宋体"/>
                <w:sz w:val="22"/>
                <w:szCs w:val="22"/>
                <w:lang w:val="en-US" w:eastAsia="zh-CN"/>
              </w:rPr>
              <w:t>1</w:t>
            </w:r>
            <w:r>
              <w:rPr>
                <w:rFonts w:hint="eastAsia" w:ascii="宋体" w:hAnsi="宋体" w:eastAsia="宋体" w:cs="宋体"/>
                <w:sz w:val="22"/>
                <w:szCs w:val="22"/>
                <w:lang w:eastAsia="zh-CN"/>
              </w:rPr>
              <w:t>年</w:t>
            </w:r>
            <w:r>
              <w:rPr>
                <w:rFonts w:hint="eastAsia" w:ascii="宋体" w:hAnsi="宋体" w:eastAsia="宋体" w:cs="宋体"/>
                <w:sz w:val="22"/>
                <w:szCs w:val="22"/>
                <w:lang w:val="en-US" w:eastAsia="zh-CN"/>
              </w:rPr>
              <w:t>01</w:t>
            </w:r>
            <w:r>
              <w:rPr>
                <w:rFonts w:hint="eastAsia" w:ascii="宋体" w:hAnsi="宋体" w:eastAsia="宋体" w:cs="宋体"/>
                <w:sz w:val="22"/>
                <w:szCs w:val="22"/>
                <w:lang w:eastAsia="zh-CN"/>
              </w:rPr>
              <w:t>月</w:t>
            </w:r>
            <w:r>
              <w:rPr>
                <w:rFonts w:hint="eastAsia" w:ascii="宋体" w:hAnsi="宋体" w:eastAsia="宋体" w:cs="宋体"/>
                <w:sz w:val="22"/>
                <w:szCs w:val="22"/>
                <w:lang w:val="en-US" w:eastAsia="zh-CN"/>
              </w:rPr>
              <w:t>0</w:t>
            </w:r>
            <w:r>
              <w:rPr>
                <w:rFonts w:hint="eastAsia" w:ascii="宋体" w:hAnsi="宋体" w:eastAsia="宋体" w:cs="宋体"/>
                <w:sz w:val="22"/>
                <w:szCs w:val="22"/>
                <w:lang w:eastAsia="zh-CN"/>
              </w:rPr>
              <w:t>1日（含）至本项目采购公告发布之日前，承担过类似工程施工的（“类似工程业绩”是指项目的主要施工内容、施工工艺等与本项目类似），有一项得</w:t>
            </w:r>
            <w:r>
              <w:rPr>
                <w:rFonts w:hint="eastAsia" w:ascii="宋体" w:hAnsi="宋体" w:eastAsia="宋体" w:cs="宋体"/>
                <w:sz w:val="22"/>
                <w:szCs w:val="22"/>
                <w:lang w:val="en-US" w:eastAsia="zh-CN"/>
              </w:rPr>
              <w:t>3分，最多得6分。</w:t>
            </w:r>
          </w:p>
          <w:p w14:paraId="19EF8268">
            <w:pPr>
              <w:pStyle w:val="256"/>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说明：①类似工程以工程竣工验收证明上载明的时间为准；②须提供施工合同、工程竣工验收证明，缺一无效；③以上证明材料需原件扫描件上传，否则不予计分。</w:t>
            </w:r>
          </w:p>
          <w:bookmarkEnd w:id="571"/>
          <w:p w14:paraId="34351FD2">
            <w:pPr>
              <w:pStyle w:val="256"/>
              <w:rPr>
                <w:rFonts w:hint="eastAsia" w:ascii="宋体" w:hAnsi="宋体" w:eastAsia="宋体" w:cs="宋体"/>
                <w:color w:val="auto"/>
                <w:sz w:val="22"/>
                <w:szCs w:val="22"/>
                <w:highlight w:val="none"/>
                <w:lang w:val="en-US" w:eastAsia="zh-CN"/>
              </w:rPr>
            </w:pP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08486A">
            <w:pPr>
              <w:pStyle w:val="257"/>
              <w:jc w:val="center"/>
              <w:rPr>
                <w:rStyle w:val="34"/>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6</w:t>
            </w:r>
            <w:r>
              <w:rPr>
                <w:rFonts w:hint="eastAsia" w:ascii="宋体" w:hAnsi="宋体" w:eastAsia="宋体" w:cs="宋体"/>
                <w:sz w:val="22"/>
                <w:szCs w:val="22"/>
              </w:rPr>
              <w:t>.0</w:t>
            </w:r>
          </w:p>
        </w:tc>
      </w:tr>
      <w:tr w14:paraId="0501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C65E7F">
            <w:pPr>
              <w:pStyle w:val="25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2.3</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172068">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项目人员能力</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DFD18B">
            <w:pPr>
              <w:pStyle w:val="256"/>
              <w:rPr>
                <w:rFonts w:hint="eastAsia" w:ascii="宋体" w:hAnsi="宋体" w:eastAsia="宋体" w:cs="宋体"/>
                <w:sz w:val="22"/>
                <w:szCs w:val="22"/>
              </w:rPr>
            </w:pPr>
            <w:r>
              <w:rPr>
                <w:rFonts w:hint="eastAsia" w:ascii="宋体" w:hAnsi="宋体" w:eastAsia="宋体" w:cs="宋体"/>
                <w:sz w:val="22"/>
                <w:szCs w:val="22"/>
              </w:rPr>
              <w:t>（1）拟任项目技术负责人须具备工程类专业技术职称：高级及以上职称得</w:t>
            </w:r>
            <w:r>
              <w:rPr>
                <w:rFonts w:hint="eastAsia" w:ascii="宋体" w:hAnsi="宋体" w:eastAsia="宋体" w:cs="宋体"/>
                <w:sz w:val="22"/>
                <w:szCs w:val="22"/>
                <w:lang w:val="en-US" w:eastAsia="zh-CN"/>
              </w:rPr>
              <w:t>3</w:t>
            </w:r>
            <w:r>
              <w:rPr>
                <w:rFonts w:hint="eastAsia" w:ascii="宋体" w:hAnsi="宋体" w:eastAsia="宋体" w:cs="宋体"/>
                <w:sz w:val="22"/>
                <w:szCs w:val="22"/>
              </w:rPr>
              <w:t>分，中级职称得1分，无相应职称不得分。</w:t>
            </w:r>
          </w:p>
          <w:p w14:paraId="2704E0C2">
            <w:pPr>
              <w:pStyle w:val="256"/>
              <w:rPr>
                <w:rFonts w:hint="eastAsia" w:ascii="宋体" w:hAnsi="宋体" w:eastAsia="宋体" w:cs="宋体"/>
                <w:sz w:val="22"/>
                <w:szCs w:val="22"/>
              </w:rPr>
            </w:pPr>
            <w:r>
              <w:rPr>
                <w:rFonts w:hint="eastAsia" w:ascii="宋体" w:hAnsi="宋体" w:eastAsia="宋体" w:cs="宋体"/>
                <w:sz w:val="22"/>
                <w:szCs w:val="22"/>
              </w:rPr>
              <w:t>（2）项目其他成员（不含项目技术负责人）中具备工程类专业技术职称：每拥有1名高级及以上技术职称人员得</w:t>
            </w:r>
            <w:r>
              <w:rPr>
                <w:rFonts w:hint="eastAsia" w:ascii="宋体" w:hAnsi="宋体" w:eastAsia="宋体" w:cs="宋体"/>
                <w:sz w:val="22"/>
                <w:szCs w:val="22"/>
                <w:lang w:val="en-US" w:eastAsia="zh-CN"/>
              </w:rPr>
              <w:t>3</w:t>
            </w:r>
            <w:r>
              <w:rPr>
                <w:rFonts w:hint="eastAsia" w:ascii="宋体" w:hAnsi="宋体" w:eastAsia="宋体" w:cs="宋体"/>
                <w:sz w:val="22"/>
                <w:szCs w:val="22"/>
              </w:rPr>
              <w:t>分，此项最高</w:t>
            </w:r>
            <w:r>
              <w:rPr>
                <w:rFonts w:hint="eastAsia" w:ascii="宋体" w:hAnsi="宋体" w:eastAsia="宋体" w:cs="宋体"/>
                <w:sz w:val="22"/>
                <w:szCs w:val="22"/>
                <w:lang w:val="en-US" w:eastAsia="zh-CN"/>
              </w:rPr>
              <w:t>3</w:t>
            </w:r>
            <w:r>
              <w:rPr>
                <w:rFonts w:hint="eastAsia" w:ascii="宋体" w:hAnsi="宋体" w:eastAsia="宋体" w:cs="宋体"/>
                <w:sz w:val="22"/>
                <w:szCs w:val="22"/>
              </w:rPr>
              <w:t>分；每拥有1名中级及以上技术职称人员得1分，此项最高</w:t>
            </w:r>
            <w:r>
              <w:rPr>
                <w:rFonts w:hint="eastAsia" w:ascii="宋体" w:hAnsi="宋体" w:eastAsia="宋体" w:cs="宋体"/>
                <w:sz w:val="22"/>
                <w:szCs w:val="22"/>
                <w:lang w:val="en-US" w:eastAsia="zh-CN"/>
              </w:rPr>
              <w:t>3</w:t>
            </w:r>
            <w:r>
              <w:rPr>
                <w:rFonts w:hint="eastAsia" w:ascii="宋体" w:hAnsi="宋体" w:eastAsia="宋体" w:cs="宋体"/>
                <w:sz w:val="22"/>
                <w:szCs w:val="22"/>
              </w:rPr>
              <w:t>分。本项合计最高得分</w:t>
            </w:r>
            <w:r>
              <w:rPr>
                <w:rFonts w:hint="eastAsia" w:ascii="宋体" w:hAnsi="宋体" w:eastAsia="宋体" w:cs="宋体"/>
                <w:sz w:val="22"/>
                <w:szCs w:val="22"/>
                <w:lang w:val="en-US" w:eastAsia="zh-CN"/>
              </w:rPr>
              <w:t>6</w:t>
            </w:r>
            <w:r>
              <w:rPr>
                <w:rFonts w:hint="eastAsia" w:ascii="宋体" w:hAnsi="宋体" w:eastAsia="宋体" w:cs="宋体"/>
                <w:sz w:val="22"/>
                <w:szCs w:val="22"/>
              </w:rPr>
              <w:t>分。</w:t>
            </w:r>
          </w:p>
          <w:p w14:paraId="74B942B7">
            <w:pPr>
              <w:pStyle w:val="25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注：项目负责人与技术负责人不能为同一人，否则仅按一人计分，同一人的证书按照最高分计取；提供职称证书原件扫描件以及投标人为其缴纳的</w:t>
            </w:r>
            <w:r>
              <w:rPr>
                <w:rFonts w:hint="eastAsia" w:ascii="宋体" w:hAnsi="宋体" w:eastAsia="宋体" w:cs="宋体"/>
                <w:sz w:val="22"/>
                <w:szCs w:val="22"/>
                <w:lang w:eastAsia="zh-CN"/>
              </w:rPr>
              <w:t>最近一个月</w:t>
            </w:r>
            <w:r>
              <w:rPr>
                <w:rFonts w:hint="eastAsia" w:ascii="宋体" w:hAnsi="宋体" w:eastAsia="宋体" w:cs="宋体"/>
                <w:sz w:val="22"/>
                <w:szCs w:val="22"/>
              </w:rPr>
              <w:t xml:space="preserve">的社保证明材料。 </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60732F">
            <w:pPr>
              <w:pStyle w:val="257"/>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9</w:t>
            </w:r>
            <w:r>
              <w:rPr>
                <w:rFonts w:hint="eastAsia" w:ascii="宋体" w:hAnsi="宋体" w:eastAsia="宋体" w:cs="宋体"/>
                <w:sz w:val="22"/>
                <w:szCs w:val="22"/>
              </w:rPr>
              <w:t>.0</w:t>
            </w:r>
          </w:p>
        </w:tc>
      </w:tr>
      <w:tr w14:paraId="4A818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9987DC">
            <w:pPr>
              <w:pStyle w:val="25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2.4</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869E2A">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企业荣誉</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E6C930">
            <w:pPr>
              <w:rPr>
                <w:rFonts w:hint="eastAsia" w:ascii="宋体" w:hAnsi="宋体" w:cs="宋体"/>
                <w:sz w:val="22"/>
                <w:szCs w:val="22"/>
                <w:lang w:eastAsia="zh-CN"/>
              </w:rPr>
            </w:pPr>
            <w:r>
              <w:rPr>
                <w:rFonts w:hint="eastAsia" w:ascii="宋体" w:hAnsi="宋体" w:cs="宋体"/>
                <w:sz w:val="22"/>
                <w:szCs w:val="22"/>
                <w:lang w:eastAsia="zh-CN"/>
              </w:rPr>
              <w:t>自</w:t>
            </w:r>
            <w:r>
              <w:rPr>
                <w:rFonts w:hint="eastAsia" w:ascii="宋体" w:hAnsi="宋体" w:cs="宋体"/>
                <w:sz w:val="22"/>
                <w:szCs w:val="22"/>
              </w:rPr>
              <w:t>202</w:t>
            </w:r>
            <w:r>
              <w:rPr>
                <w:rFonts w:hint="eastAsia" w:ascii="宋体" w:hAnsi="宋体" w:cs="宋体"/>
                <w:sz w:val="22"/>
                <w:szCs w:val="22"/>
                <w:lang w:val="en-US" w:eastAsia="zh-CN"/>
              </w:rPr>
              <w:t>0</w:t>
            </w:r>
            <w:r>
              <w:rPr>
                <w:rFonts w:hint="eastAsia" w:ascii="宋体" w:hAnsi="宋体" w:cs="宋体"/>
                <w:sz w:val="22"/>
                <w:szCs w:val="22"/>
              </w:rPr>
              <w:t>年</w:t>
            </w:r>
            <w:r>
              <w:rPr>
                <w:rFonts w:hint="eastAsia" w:ascii="宋体" w:hAnsi="宋体" w:cs="宋体"/>
                <w:sz w:val="22"/>
                <w:szCs w:val="22"/>
                <w:lang w:val="en-US" w:eastAsia="zh-CN"/>
              </w:rPr>
              <w:t>1</w:t>
            </w:r>
            <w:r>
              <w:rPr>
                <w:rFonts w:hint="eastAsia" w:ascii="宋体" w:hAnsi="宋体" w:cs="宋体"/>
                <w:sz w:val="22"/>
                <w:szCs w:val="22"/>
              </w:rPr>
              <w:t>月1日</w:t>
            </w:r>
            <w:r>
              <w:rPr>
                <w:rFonts w:hint="eastAsia" w:ascii="宋体" w:hAnsi="宋体" w:cs="宋体"/>
                <w:sz w:val="22"/>
                <w:szCs w:val="22"/>
                <w:lang w:eastAsia="zh-CN"/>
              </w:rPr>
              <w:t>起，投标人承建的工程项目获得县级市级及以上行政管理部门评优表彰的，每项计</w:t>
            </w:r>
            <w:r>
              <w:rPr>
                <w:rFonts w:hint="eastAsia" w:ascii="宋体" w:hAnsi="宋体" w:cs="宋体"/>
                <w:sz w:val="22"/>
                <w:szCs w:val="22"/>
                <w:lang w:val="en-US" w:eastAsia="zh-CN"/>
              </w:rPr>
              <w:t>2</w:t>
            </w:r>
            <w:r>
              <w:rPr>
                <w:rFonts w:hint="eastAsia" w:ascii="宋体" w:hAnsi="宋体" w:cs="宋体"/>
                <w:sz w:val="22"/>
                <w:szCs w:val="22"/>
                <w:lang w:eastAsia="zh-CN"/>
              </w:rPr>
              <w:t>分，本项满分</w:t>
            </w:r>
            <w:r>
              <w:rPr>
                <w:rFonts w:hint="eastAsia" w:ascii="宋体" w:hAnsi="宋体" w:cs="宋体"/>
                <w:sz w:val="22"/>
                <w:szCs w:val="22"/>
                <w:lang w:val="en-US" w:eastAsia="zh-CN"/>
              </w:rPr>
              <w:t>8</w:t>
            </w:r>
            <w:r>
              <w:rPr>
                <w:rFonts w:hint="eastAsia" w:ascii="宋体" w:hAnsi="宋体" w:cs="宋体"/>
                <w:sz w:val="22"/>
                <w:szCs w:val="22"/>
                <w:lang w:eastAsia="zh-CN"/>
              </w:rPr>
              <w:t>分。</w:t>
            </w:r>
          </w:p>
          <w:p w14:paraId="4FD9DD1A">
            <w:pPr>
              <w:pStyle w:val="25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注：时间以获奖证书或文件注明为准，须提供有效的获奖证书或文件，原件扫描件上传，否则不予计分。</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2AD013">
            <w:pPr>
              <w:pStyle w:val="257"/>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8</w:t>
            </w:r>
            <w:r>
              <w:rPr>
                <w:rFonts w:hint="eastAsia" w:ascii="宋体" w:hAnsi="宋体" w:eastAsia="宋体" w:cs="宋体"/>
                <w:sz w:val="22"/>
                <w:szCs w:val="22"/>
              </w:rPr>
              <w:t>.0</w:t>
            </w:r>
          </w:p>
        </w:tc>
      </w:tr>
    </w:tbl>
    <w:p w14:paraId="7BB16BF3">
      <w:pPr>
        <w:keepNext w:val="0"/>
        <w:keepLines w:val="0"/>
        <w:pageBreakBefore w:val="0"/>
        <w:widowControl w:val="0"/>
        <w:spacing w:before="240" w:after="240"/>
        <w:rPr>
          <w:rFonts w:hint="eastAsia" w:ascii="宋体" w:hAnsi="宋体"/>
          <w:b/>
          <w:color w:val="auto"/>
          <w:sz w:val="24"/>
          <w:highlight w:val="none"/>
          <w:lang w:eastAsia="zh-CN"/>
        </w:rPr>
      </w:pPr>
      <w:r>
        <w:rPr>
          <w:rFonts w:hint="eastAsia" w:ascii="宋体" w:hAnsi="宋体"/>
          <w:b/>
          <w:color w:val="auto"/>
          <w:sz w:val="24"/>
          <w:highlight w:val="none"/>
          <w:lang w:eastAsia="zh-CN"/>
        </w:rPr>
        <w:t>（三）价格评估</w:t>
      </w:r>
    </w:p>
    <w:tbl>
      <w:tblPr>
        <w:tblStyle w:val="32"/>
        <w:tblW w:w="53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84"/>
        <w:gridCol w:w="1478"/>
        <w:gridCol w:w="7299"/>
        <w:gridCol w:w="709"/>
      </w:tblGrid>
      <w:tr w14:paraId="513E7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84" w:type="dxa"/>
            <w:noWrap w:val="0"/>
            <w:tcMar>
              <w:top w:w="100" w:type="dxa"/>
              <w:bottom w:w="100" w:type="dxa"/>
            </w:tcMar>
            <w:vAlign w:val="center"/>
          </w:tcPr>
          <w:p w14:paraId="55D67745">
            <w:pPr>
              <w:pStyle w:val="253"/>
              <w:jc w:val="center"/>
              <w:rPr>
                <w:rStyle w:val="192"/>
                <w:rFonts w:ascii="宋体" w:hAnsi="宋体" w:eastAsia="宋体" w:cs="宋体"/>
                <w:b w:val="0"/>
                <w:color w:val="auto"/>
                <w:sz w:val="22"/>
                <w:szCs w:val="22"/>
                <w:highlight w:val="none"/>
              </w:rPr>
            </w:pPr>
            <w:bookmarkStart w:id="572" w:name="EB00ed059341e447b48aa4c095e09e7fc2"/>
            <w:r>
              <w:rPr>
                <w:rStyle w:val="192"/>
                <w:rFonts w:ascii="宋体" w:hAnsi="宋体" w:eastAsia="宋体" w:cs="宋体"/>
                <w:b w:val="0"/>
                <w:color w:val="auto"/>
                <w:sz w:val="22"/>
                <w:szCs w:val="22"/>
                <w:highlight w:val="none"/>
              </w:rPr>
              <w:t>序号</w:t>
            </w:r>
          </w:p>
        </w:tc>
        <w:tc>
          <w:tcPr>
            <w:tcW w:w="1478" w:type="dxa"/>
            <w:noWrap w:val="0"/>
            <w:tcMar>
              <w:top w:w="100" w:type="dxa"/>
              <w:bottom w:w="100" w:type="dxa"/>
            </w:tcMar>
            <w:vAlign w:val="center"/>
          </w:tcPr>
          <w:p w14:paraId="1DC0C503">
            <w:pPr>
              <w:pStyle w:val="253"/>
              <w:jc w:val="center"/>
              <w:rPr>
                <w:rStyle w:val="192"/>
                <w:rFonts w:ascii="宋体" w:hAnsi="宋体" w:eastAsia="宋体" w:cs="宋体"/>
                <w:b w:val="0"/>
                <w:color w:val="auto"/>
                <w:sz w:val="22"/>
                <w:szCs w:val="22"/>
                <w:highlight w:val="none"/>
              </w:rPr>
            </w:pPr>
            <w:r>
              <w:rPr>
                <w:rStyle w:val="192"/>
                <w:rFonts w:ascii="宋体" w:hAnsi="宋体" w:eastAsia="宋体" w:cs="宋体"/>
                <w:b w:val="0"/>
                <w:color w:val="auto"/>
                <w:sz w:val="22"/>
                <w:szCs w:val="22"/>
                <w:highlight w:val="none"/>
              </w:rPr>
              <w:t>评审因素</w:t>
            </w:r>
          </w:p>
        </w:tc>
        <w:tc>
          <w:tcPr>
            <w:tcW w:w="7301" w:type="dxa"/>
            <w:noWrap w:val="0"/>
            <w:tcMar>
              <w:top w:w="100" w:type="dxa"/>
              <w:bottom w:w="100" w:type="dxa"/>
            </w:tcMar>
            <w:vAlign w:val="center"/>
          </w:tcPr>
          <w:p w14:paraId="643D0692">
            <w:pPr>
              <w:pStyle w:val="253"/>
              <w:jc w:val="center"/>
              <w:rPr>
                <w:rStyle w:val="192"/>
                <w:rFonts w:ascii="宋体" w:hAnsi="宋体" w:eastAsia="宋体" w:cs="宋体"/>
                <w:b w:val="0"/>
                <w:color w:val="auto"/>
                <w:sz w:val="22"/>
                <w:szCs w:val="22"/>
                <w:highlight w:val="none"/>
              </w:rPr>
            </w:pPr>
            <w:r>
              <w:rPr>
                <w:rStyle w:val="192"/>
                <w:rFonts w:ascii="宋体" w:hAnsi="宋体" w:eastAsia="宋体" w:cs="宋体"/>
                <w:b w:val="0"/>
                <w:color w:val="auto"/>
                <w:sz w:val="22"/>
                <w:szCs w:val="22"/>
                <w:highlight w:val="none"/>
              </w:rPr>
              <w:t>评审细则</w:t>
            </w:r>
          </w:p>
        </w:tc>
        <w:tc>
          <w:tcPr>
            <w:tcW w:w="709" w:type="dxa"/>
            <w:noWrap w:val="0"/>
            <w:tcMar>
              <w:top w:w="100" w:type="dxa"/>
              <w:bottom w:w="100" w:type="dxa"/>
            </w:tcMar>
            <w:vAlign w:val="center"/>
          </w:tcPr>
          <w:p w14:paraId="7F144409">
            <w:pPr>
              <w:pStyle w:val="253"/>
              <w:jc w:val="center"/>
              <w:rPr>
                <w:rStyle w:val="192"/>
                <w:rFonts w:ascii="宋体" w:hAnsi="宋体" w:eastAsia="宋体" w:cs="宋体"/>
                <w:b w:val="0"/>
                <w:color w:val="auto"/>
                <w:sz w:val="22"/>
                <w:szCs w:val="22"/>
                <w:highlight w:val="none"/>
              </w:rPr>
            </w:pPr>
            <w:r>
              <w:rPr>
                <w:rStyle w:val="192"/>
                <w:rFonts w:ascii="宋体" w:hAnsi="宋体" w:eastAsia="宋体" w:cs="宋体"/>
                <w:b w:val="0"/>
                <w:color w:val="auto"/>
                <w:sz w:val="22"/>
                <w:szCs w:val="22"/>
                <w:highlight w:val="none"/>
              </w:rPr>
              <w:t>分值</w:t>
            </w:r>
          </w:p>
        </w:tc>
      </w:tr>
      <w:tr w14:paraId="7D340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92" w:hRule="atLeast"/>
          <w:jc w:val="center"/>
        </w:trPr>
        <w:tc>
          <w:tcPr>
            <w:tcW w:w="684" w:type="dxa"/>
            <w:noWrap w:val="0"/>
            <w:tcMar>
              <w:top w:w="100" w:type="dxa"/>
              <w:bottom w:w="100" w:type="dxa"/>
            </w:tcMar>
            <w:vAlign w:val="center"/>
          </w:tcPr>
          <w:p w14:paraId="62764BF5">
            <w:pPr>
              <w:pStyle w:val="253"/>
              <w:jc w:val="center"/>
              <w:rPr>
                <w:rStyle w:val="192"/>
                <w:rFonts w:ascii="宋体" w:hAnsi="宋体" w:eastAsia="宋体" w:cs="宋体"/>
                <w:b w:val="0"/>
                <w:color w:val="auto"/>
                <w:sz w:val="22"/>
                <w:szCs w:val="22"/>
                <w:highlight w:val="none"/>
              </w:rPr>
            </w:pPr>
            <w:r>
              <w:rPr>
                <w:rStyle w:val="192"/>
                <w:rFonts w:hint="eastAsia" w:ascii="宋体" w:hAnsi="宋体" w:eastAsia="宋体" w:cs="宋体"/>
                <w:b w:val="0"/>
                <w:color w:val="auto"/>
                <w:sz w:val="22"/>
                <w:szCs w:val="22"/>
                <w:highlight w:val="none"/>
                <w:lang w:val="en-US" w:eastAsia="zh-CN"/>
              </w:rPr>
              <w:t>3</w:t>
            </w:r>
            <w:r>
              <w:rPr>
                <w:rStyle w:val="192"/>
                <w:rFonts w:ascii="宋体" w:hAnsi="宋体" w:eastAsia="宋体" w:cs="宋体"/>
                <w:b w:val="0"/>
                <w:color w:val="auto"/>
                <w:sz w:val="22"/>
                <w:szCs w:val="22"/>
                <w:highlight w:val="none"/>
              </w:rPr>
              <w:t>.1</w:t>
            </w:r>
          </w:p>
        </w:tc>
        <w:tc>
          <w:tcPr>
            <w:tcW w:w="1478" w:type="dxa"/>
            <w:noWrap w:val="0"/>
            <w:tcMar>
              <w:top w:w="100" w:type="dxa"/>
              <w:bottom w:w="100" w:type="dxa"/>
            </w:tcMar>
            <w:vAlign w:val="center"/>
          </w:tcPr>
          <w:p w14:paraId="0F4F4F85">
            <w:pPr>
              <w:pStyle w:val="253"/>
              <w:jc w:val="center"/>
              <w:rPr>
                <w:rStyle w:val="192"/>
                <w:rFonts w:ascii="宋体" w:hAnsi="宋体" w:eastAsia="宋体" w:cs="宋体"/>
                <w:b w:val="0"/>
                <w:color w:val="auto"/>
                <w:sz w:val="22"/>
                <w:szCs w:val="22"/>
                <w:highlight w:val="none"/>
              </w:rPr>
            </w:pPr>
            <w:r>
              <w:rPr>
                <w:rStyle w:val="192"/>
                <w:rFonts w:ascii="宋体" w:hAnsi="宋体" w:eastAsia="宋体" w:cs="宋体"/>
                <w:b w:val="0"/>
                <w:color w:val="auto"/>
                <w:sz w:val="22"/>
                <w:szCs w:val="22"/>
                <w:highlight w:val="none"/>
              </w:rPr>
              <w:t>报价得分</w:t>
            </w:r>
          </w:p>
        </w:tc>
        <w:tc>
          <w:tcPr>
            <w:tcW w:w="7301" w:type="dxa"/>
            <w:noWrap w:val="0"/>
            <w:tcMar>
              <w:top w:w="100" w:type="dxa"/>
              <w:bottom w:w="100" w:type="dxa"/>
            </w:tcMar>
            <w:vAlign w:val="center"/>
          </w:tcPr>
          <w:p w14:paraId="21179ABF">
            <w:pPr>
              <w:pStyle w:val="253"/>
              <w:jc w:val="left"/>
              <w:rPr>
                <w:rStyle w:val="192"/>
                <w:rFonts w:ascii="宋体" w:hAnsi="宋体" w:eastAsia="宋体" w:cs="宋体"/>
                <w:b w:val="0"/>
                <w:color w:val="auto"/>
                <w:sz w:val="22"/>
                <w:szCs w:val="22"/>
                <w:highlight w:val="none"/>
              </w:rPr>
            </w:pPr>
            <w:r>
              <w:rPr>
                <w:rStyle w:val="192"/>
                <w:rFonts w:hint="eastAsia" w:ascii="宋体" w:hAnsi="宋体" w:eastAsia="宋体" w:cs="宋体"/>
                <w:b w:val="0"/>
                <w:color w:val="auto"/>
                <w:sz w:val="22"/>
                <w:szCs w:val="22"/>
                <w:highlight w:val="none"/>
              </w:rPr>
              <w:t>价格分采用低价优先法计算，即</w:t>
            </w:r>
            <w:r>
              <w:rPr>
                <w:rStyle w:val="192"/>
                <w:rFonts w:ascii="宋体" w:hAnsi="宋体" w:eastAsia="宋体" w:cs="宋体"/>
                <w:b w:val="0"/>
                <w:color w:val="auto"/>
                <w:sz w:val="22"/>
                <w:szCs w:val="22"/>
                <w:highlight w:val="none"/>
              </w:rPr>
              <w:t>满足</w:t>
            </w:r>
            <w:r>
              <w:rPr>
                <w:rStyle w:val="192"/>
                <w:rFonts w:hint="eastAsia" w:ascii="宋体" w:hAnsi="宋体" w:eastAsia="宋体" w:cs="宋体"/>
                <w:b w:val="0"/>
                <w:color w:val="auto"/>
                <w:sz w:val="22"/>
                <w:szCs w:val="22"/>
                <w:highlight w:val="none"/>
                <w:lang w:eastAsia="zh-CN"/>
              </w:rPr>
              <w:t>采购</w:t>
            </w:r>
            <w:r>
              <w:rPr>
                <w:rStyle w:val="192"/>
                <w:rFonts w:ascii="宋体" w:hAnsi="宋体" w:eastAsia="宋体" w:cs="宋体"/>
                <w:b w:val="0"/>
                <w:color w:val="auto"/>
                <w:sz w:val="22"/>
                <w:szCs w:val="22"/>
                <w:highlight w:val="none"/>
              </w:rPr>
              <w:t>文件要求且投标价格最低的投标报价为评定的基准价，其价格分为满分。其他投标人的价格分统一按照下列公式计算：报价得分=（评分基准价/投标报价）×</w:t>
            </w:r>
            <w:r>
              <w:rPr>
                <w:rStyle w:val="192"/>
                <w:rFonts w:hint="eastAsia" w:ascii="宋体" w:hAnsi="宋体" w:eastAsia="宋体" w:cs="宋体"/>
                <w:b w:val="0"/>
                <w:color w:val="auto"/>
                <w:sz w:val="22"/>
                <w:szCs w:val="22"/>
                <w:highlight w:val="none"/>
                <w:lang w:val="en-US" w:eastAsia="zh-CN"/>
              </w:rPr>
              <w:t>20</w:t>
            </w:r>
            <w:r>
              <w:rPr>
                <w:rStyle w:val="192"/>
                <w:rFonts w:ascii="宋体" w:hAnsi="宋体" w:eastAsia="宋体" w:cs="宋体"/>
                <w:b w:val="0"/>
                <w:color w:val="auto"/>
                <w:sz w:val="22"/>
                <w:szCs w:val="22"/>
                <w:highlight w:val="none"/>
              </w:rPr>
              <w:t>分（精确到小数点后2位）</w:t>
            </w:r>
            <w:bookmarkEnd w:id="572"/>
          </w:p>
        </w:tc>
        <w:tc>
          <w:tcPr>
            <w:tcW w:w="709" w:type="dxa"/>
            <w:noWrap w:val="0"/>
            <w:tcMar>
              <w:top w:w="100" w:type="dxa"/>
              <w:bottom w:w="100" w:type="dxa"/>
            </w:tcMar>
            <w:vAlign w:val="center"/>
          </w:tcPr>
          <w:p w14:paraId="12DC6005">
            <w:pPr>
              <w:pStyle w:val="253"/>
              <w:jc w:val="center"/>
              <w:rPr>
                <w:rStyle w:val="192"/>
                <w:rFonts w:hint="default" w:ascii="宋体" w:hAnsi="宋体" w:eastAsia="宋体" w:cs="宋体"/>
                <w:b w:val="0"/>
                <w:color w:val="auto"/>
                <w:sz w:val="22"/>
                <w:szCs w:val="22"/>
                <w:highlight w:val="none"/>
                <w:lang w:val="en-US"/>
              </w:rPr>
            </w:pPr>
            <w:r>
              <w:rPr>
                <w:rStyle w:val="192"/>
                <w:rFonts w:hint="eastAsia" w:ascii="宋体" w:hAnsi="宋体" w:eastAsia="宋体" w:cs="宋体"/>
                <w:b w:val="0"/>
                <w:color w:val="auto"/>
                <w:sz w:val="22"/>
                <w:szCs w:val="22"/>
                <w:highlight w:val="none"/>
                <w:lang w:val="en-US" w:eastAsia="zh-CN"/>
              </w:rPr>
              <w:t>20.0</w:t>
            </w:r>
          </w:p>
        </w:tc>
      </w:tr>
    </w:tbl>
    <w:p w14:paraId="22AC551A">
      <w:pPr>
        <w:pStyle w:val="189"/>
        <w:spacing w:line="400" w:lineRule="exact"/>
        <w:ind w:firstLine="321"/>
        <w:jc w:val="left"/>
        <w:rPr>
          <w:rFonts w:ascii="宋体" w:hAnsi="宋体" w:eastAsia="宋体"/>
          <w:color w:val="auto"/>
          <w:sz w:val="32"/>
          <w:highlight w:val="none"/>
        </w:rPr>
      </w:pPr>
      <w:r>
        <w:rPr>
          <w:rFonts w:hint="eastAsia" w:ascii="宋体" w:hAnsi="宋体" w:eastAsia="宋体"/>
          <w:color w:val="auto"/>
          <w:sz w:val="32"/>
          <w:highlight w:val="none"/>
        </w:rPr>
        <w:t>7．推荐成交供应商</w:t>
      </w:r>
      <w:bookmarkEnd w:id="567"/>
      <w:bookmarkEnd w:id="568"/>
      <w:bookmarkEnd w:id="569"/>
    </w:p>
    <w:p w14:paraId="200B6640">
      <w:pPr>
        <w:spacing w:line="360" w:lineRule="auto"/>
        <w:ind w:firstLine="480"/>
        <w:rPr>
          <w:color w:val="auto"/>
          <w:highlight w:val="none"/>
        </w:rPr>
      </w:pPr>
      <w:bookmarkStart w:id="573" w:name="EBf60c0b78baae4cd4941a83c86b937dfd"/>
      <w:r>
        <w:rPr>
          <w:rFonts w:hint="eastAsia" w:ascii="宋体" w:hAnsi="宋体"/>
          <w:color w:val="auto"/>
          <w:sz w:val="24"/>
          <w:highlight w:val="non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573"/>
      <w:r>
        <w:rPr>
          <w:rFonts w:hint="eastAsia" w:ascii="宋体" w:hAnsi="宋体"/>
          <w:color w:val="auto"/>
          <w:sz w:val="24"/>
          <w:highlight w:val="none"/>
        </w:rPr>
        <w:t>采购人授权评标委员会直接确定中标候选人排序第一的为中标人。</w:t>
      </w:r>
      <w:bookmarkStart w:id="574" w:name="EB33162866c0454b07a982cbc9df098632"/>
      <w:r>
        <w:rPr>
          <w:rFonts w:hint="eastAsia"/>
          <w:color w:val="auto"/>
          <w:sz w:val="20"/>
          <w:highlight w:val="none"/>
        </w:rPr>
        <w:t xml:space="preserve"> </w:t>
      </w:r>
      <w:bookmarkEnd w:id="574"/>
    </w:p>
    <w:p w14:paraId="28388639">
      <w:pPr>
        <w:pStyle w:val="190"/>
        <w:keepNext w:val="0"/>
        <w:keepLines w:val="0"/>
        <w:spacing w:before="200" w:after="200" w:line="360" w:lineRule="auto"/>
        <w:jc w:val="center"/>
        <w:rPr>
          <w:rFonts w:ascii="宋体" w:hAnsi="宋体"/>
          <w:color w:val="auto"/>
          <w:sz w:val="32"/>
          <w:highlight w:val="none"/>
        </w:rPr>
      </w:pPr>
      <w:r>
        <w:rPr>
          <w:rFonts w:ascii="宋体" w:hAnsi="宋体"/>
          <w:i/>
          <w:color w:val="auto"/>
          <w:highlight w:val="none"/>
        </w:rPr>
        <w:br w:type="page" w:clear="all"/>
      </w:r>
      <w:bookmarkStart w:id="575" w:name="_Toc73365521"/>
      <w:bookmarkStart w:id="576" w:name="_Toc73364908"/>
      <w:bookmarkStart w:id="577" w:name="_Toc5621"/>
      <w:r>
        <w:rPr>
          <w:rFonts w:hint="eastAsia" w:ascii="宋体" w:hAnsi="宋体"/>
          <w:color w:val="auto"/>
          <w:sz w:val="32"/>
          <w:highlight w:val="none"/>
        </w:rPr>
        <w:t>第六部分  磋商响应文件（格式）</w:t>
      </w:r>
      <w:bookmarkEnd w:id="575"/>
      <w:bookmarkEnd w:id="576"/>
      <w:bookmarkEnd w:id="577"/>
    </w:p>
    <w:p w14:paraId="279401B4">
      <w:pPr>
        <w:rPr>
          <w:color w:val="auto"/>
          <w:highlight w:val="none"/>
        </w:rPr>
      </w:pPr>
    </w:p>
    <w:p w14:paraId="459798EA">
      <w:pPr>
        <w:pStyle w:val="259"/>
        <w:rPr>
          <w:rStyle w:val="192"/>
          <w:rFonts w:ascii="Times New Roman" w:hAnsi="Times New Roman" w:eastAsia="Times New Roman" w:cs="Times New Roman"/>
          <w:color w:val="auto"/>
          <w:highlight w:val="none"/>
        </w:rPr>
      </w:pPr>
      <w:r>
        <w:rPr>
          <w:rStyle w:val="192"/>
          <w:rFonts w:ascii="宋体" w:hAnsi="宋体" w:eastAsia="宋体" w:cs="宋体"/>
          <w:color w:val="auto"/>
          <w:highlight w:val="none"/>
        </w:rPr>
        <w:t xml:space="preserve">﻿ </w:t>
      </w:r>
    </w:p>
    <w:p w14:paraId="5CD6A2F9">
      <w:pPr>
        <w:pStyle w:val="259"/>
        <w:spacing w:before="540" w:after="540"/>
        <w:jc w:val="center"/>
        <w:rPr>
          <w:rStyle w:val="192"/>
          <w:rFonts w:ascii="宋体" w:hAnsi="宋体" w:eastAsia="宋体" w:cs="宋体"/>
          <w:b/>
          <w:bCs/>
          <w:color w:val="auto"/>
          <w:sz w:val="54"/>
          <w:szCs w:val="54"/>
          <w:highlight w:val="none"/>
        </w:rPr>
      </w:pPr>
      <w:r>
        <w:rPr>
          <w:rStyle w:val="192"/>
          <w:rFonts w:ascii="宋体" w:hAnsi="宋体" w:eastAsia="宋体" w:cs="宋体"/>
          <w:b/>
          <w:bCs/>
          <w:color w:val="auto"/>
          <w:sz w:val="54"/>
          <w:szCs w:val="54"/>
          <w:highlight w:val="none"/>
        </w:rPr>
        <w:t>磋 商 响 应 文 件</w:t>
      </w:r>
    </w:p>
    <w:p w14:paraId="7A75A909">
      <w:pPr>
        <w:pStyle w:val="259"/>
        <w:spacing w:before="240" w:after="24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w:t>
      </w:r>
    </w:p>
    <w:p w14:paraId="6B0E9E16">
      <w:pPr>
        <w:pStyle w:val="259"/>
        <w:keepNext w:val="0"/>
        <w:keepLines w:val="0"/>
        <w:pageBreakBefore w:val="0"/>
        <w:widowControl/>
        <w:spacing w:before="313" w:after="313" w:line="360" w:lineRule="auto"/>
        <w:ind w:firstLine="482"/>
        <w:jc w:val="left"/>
        <w:rPr>
          <w:rStyle w:val="192"/>
          <w:rFonts w:ascii="宋体" w:hAnsi="宋体" w:eastAsia="宋体" w:cs="宋体"/>
          <w:b/>
          <w:bCs/>
          <w:color w:val="auto"/>
          <w:sz w:val="24"/>
          <w:szCs w:val="24"/>
          <w:highlight w:val="none"/>
        </w:rPr>
      </w:pPr>
    </w:p>
    <w:p w14:paraId="5114FAE2">
      <w:pPr>
        <w:pStyle w:val="259"/>
        <w:keepNext w:val="0"/>
        <w:keepLines w:val="0"/>
        <w:pageBreakBefore w:val="0"/>
        <w:widowControl/>
        <w:spacing w:before="313" w:after="313" w:line="360" w:lineRule="auto"/>
        <w:ind w:firstLine="482"/>
        <w:jc w:val="left"/>
        <w:rPr>
          <w:rStyle w:val="192"/>
          <w:rFonts w:hint="eastAsia" w:ascii="宋体" w:hAnsi="宋体" w:eastAsia="宋体" w:cs="宋体"/>
          <w:b/>
          <w:bCs/>
          <w:color w:val="auto"/>
          <w:sz w:val="24"/>
          <w:szCs w:val="24"/>
          <w:highlight w:val="none"/>
        </w:rPr>
      </w:pPr>
    </w:p>
    <w:p w14:paraId="39BAB057">
      <w:pPr>
        <w:pStyle w:val="259"/>
        <w:keepNext w:val="0"/>
        <w:keepLines w:val="0"/>
        <w:pageBreakBefore w:val="0"/>
        <w:widowControl/>
        <w:spacing w:before="313" w:after="313" w:line="360" w:lineRule="auto"/>
        <w:ind w:firstLine="643"/>
        <w:jc w:val="left"/>
        <w:rPr>
          <w:rStyle w:val="192"/>
          <w:rFonts w:hint="eastAsia" w:ascii="宋体" w:hAnsi="宋体" w:eastAsia="宋体" w:cs="宋体"/>
          <w:b/>
          <w:bCs/>
          <w:color w:val="auto"/>
          <w:sz w:val="32"/>
          <w:szCs w:val="32"/>
          <w:highlight w:val="none"/>
        </w:rPr>
      </w:pPr>
    </w:p>
    <w:p w14:paraId="65F3AA10">
      <w:pPr>
        <w:pStyle w:val="259"/>
        <w:keepNext w:val="0"/>
        <w:keepLines w:val="0"/>
        <w:pageBreakBefore w:val="0"/>
        <w:widowControl/>
        <w:spacing w:before="313" w:after="313" w:line="360" w:lineRule="auto"/>
        <w:ind w:firstLine="643"/>
        <w:jc w:val="left"/>
        <w:rPr>
          <w:rStyle w:val="192"/>
          <w:rFonts w:hint="eastAsia" w:ascii="宋体" w:hAnsi="宋体" w:eastAsia="宋体" w:cs="宋体"/>
          <w:b/>
          <w:bCs/>
          <w:color w:val="auto"/>
          <w:sz w:val="32"/>
          <w:szCs w:val="32"/>
          <w:highlight w:val="none"/>
        </w:rPr>
      </w:pPr>
      <w:r>
        <w:rPr>
          <w:rStyle w:val="192"/>
          <w:rFonts w:hint="eastAsia" w:ascii="宋体" w:hAnsi="宋体" w:eastAsia="宋体" w:cs="宋体"/>
          <w:b/>
          <w:bCs/>
          <w:color w:val="auto"/>
          <w:sz w:val="32"/>
          <w:szCs w:val="32"/>
          <w:highlight w:val="none"/>
        </w:rPr>
        <w:t>项目编号：</w:t>
      </w:r>
      <w:r>
        <w:rPr>
          <w:rStyle w:val="192"/>
          <w:rFonts w:hint="eastAsia" w:ascii="宋体" w:hAnsi="宋体" w:eastAsia="宋体" w:cs="宋体"/>
          <w:b/>
          <w:bCs/>
          <w:color w:val="auto"/>
          <w:sz w:val="32"/>
          <w:szCs w:val="32"/>
          <w:highlight w:val="none"/>
          <w:lang w:eastAsia="zh-CN"/>
        </w:rPr>
        <w:t>JSZC-321181-DYWX-C2026-0010</w:t>
      </w:r>
    </w:p>
    <w:p w14:paraId="765E19AF">
      <w:pPr>
        <w:pStyle w:val="259"/>
        <w:keepNext w:val="0"/>
        <w:keepLines w:val="0"/>
        <w:pageBreakBefore w:val="0"/>
        <w:widowControl/>
        <w:spacing w:before="313" w:after="313" w:line="360" w:lineRule="auto"/>
        <w:ind w:firstLine="643"/>
        <w:jc w:val="left"/>
        <w:rPr>
          <w:rStyle w:val="192"/>
          <w:rFonts w:hint="eastAsia" w:ascii="宋体" w:hAnsi="宋体" w:eastAsia="宋体" w:cs="宋体"/>
          <w:b/>
          <w:bCs/>
          <w:color w:val="auto"/>
          <w:sz w:val="32"/>
          <w:szCs w:val="32"/>
          <w:highlight w:val="none"/>
        </w:rPr>
      </w:pPr>
      <w:r>
        <w:rPr>
          <w:rStyle w:val="192"/>
          <w:rFonts w:hint="eastAsia" w:ascii="宋体" w:hAnsi="宋体" w:eastAsia="宋体" w:cs="宋体"/>
          <w:b/>
          <w:bCs/>
          <w:color w:val="auto"/>
          <w:sz w:val="32"/>
          <w:szCs w:val="32"/>
          <w:highlight w:val="none"/>
        </w:rPr>
        <w:t>项目名称：</w:t>
      </w:r>
      <w:r>
        <w:rPr>
          <w:rStyle w:val="192"/>
          <w:rFonts w:hint="eastAsia" w:ascii="宋体" w:hAnsi="宋体" w:eastAsia="宋体" w:cs="宋体"/>
          <w:b/>
          <w:bCs/>
          <w:color w:val="auto"/>
          <w:spacing w:val="-11"/>
          <w:sz w:val="32"/>
          <w:szCs w:val="32"/>
          <w:highlight w:val="none"/>
          <w:lang w:eastAsia="zh-CN"/>
        </w:rPr>
        <w:t>江苏省丹阳高级中学老校区体育馆屋顶修缮项目</w:t>
      </w:r>
    </w:p>
    <w:p w14:paraId="51A92E82">
      <w:pPr>
        <w:pStyle w:val="259"/>
        <w:keepNext w:val="0"/>
        <w:keepLines w:val="0"/>
        <w:pageBreakBefore w:val="0"/>
        <w:widowControl/>
        <w:spacing w:before="313" w:after="313" w:line="360" w:lineRule="auto"/>
        <w:ind w:firstLine="643"/>
        <w:jc w:val="left"/>
        <w:rPr>
          <w:rStyle w:val="192"/>
          <w:rFonts w:hint="eastAsia" w:ascii="宋体" w:hAnsi="宋体" w:eastAsia="宋体" w:cs="宋体"/>
          <w:b/>
          <w:bCs/>
          <w:color w:val="auto"/>
          <w:sz w:val="32"/>
          <w:szCs w:val="32"/>
          <w:highlight w:val="none"/>
        </w:rPr>
      </w:pPr>
      <w:r>
        <w:rPr>
          <w:rStyle w:val="192"/>
          <w:rFonts w:hint="eastAsia" w:ascii="宋体" w:hAnsi="宋体" w:eastAsia="宋体" w:cs="宋体"/>
          <w:b/>
          <w:bCs/>
          <w:color w:val="auto"/>
          <w:sz w:val="32"/>
          <w:szCs w:val="32"/>
          <w:highlight w:val="none"/>
        </w:rPr>
        <w:t>供应商（加盖公章）：</w:t>
      </w:r>
    </w:p>
    <w:p w14:paraId="66B50619">
      <w:pPr>
        <w:pStyle w:val="259"/>
        <w:keepNext w:val="0"/>
        <w:keepLines w:val="0"/>
        <w:pageBreakBefore w:val="0"/>
        <w:widowControl/>
        <w:spacing w:before="313" w:after="313" w:line="360" w:lineRule="auto"/>
        <w:ind w:firstLine="643"/>
        <w:jc w:val="both"/>
        <w:rPr>
          <w:rStyle w:val="192"/>
          <w:rFonts w:ascii="宋体" w:hAnsi="宋体" w:eastAsia="宋体" w:cs="宋体"/>
          <w:color w:val="auto"/>
          <w:sz w:val="32"/>
          <w:szCs w:val="32"/>
          <w:highlight w:val="none"/>
        </w:rPr>
      </w:pPr>
      <w:r>
        <w:rPr>
          <w:rStyle w:val="192"/>
          <w:rFonts w:hint="eastAsia" w:ascii="宋体" w:hAnsi="宋体" w:eastAsia="宋体" w:cs="宋体"/>
          <w:b/>
          <w:bCs/>
          <w:color w:val="auto"/>
          <w:sz w:val="32"/>
          <w:szCs w:val="32"/>
          <w:highlight w:val="none"/>
        </w:rPr>
        <w:t>日</w:t>
      </w:r>
      <w:r>
        <w:rPr>
          <w:rStyle w:val="192"/>
          <w:rFonts w:hint="eastAsia" w:ascii="宋体" w:hAnsi="宋体" w:eastAsia="宋体" w:cs="宋体"/>
          <w:b/>
          <w:bCs/>
          <w:color w:val="auto"/>
          <w:sz w:val="32"/>
          <w:szCs w:val="32"/>
          <w:highlight w:val="none"/>
          <w:lang w:val="en-US" w:eastAsia="zh-CN"/>
        </w:rPr>
        <w:t xml:space="preserve">   </w:t>
      </w:r>
      <w:r>
        <w:rPr>
          <w:rStyle w:val="192"/>
          <w:rFonts w:hint="eastAsia" w:ascii="宋体" w:hAnsi="宋体" w:eastAsia="宋体" w:cs="宋体"/>
          <w:b/>
          <w:bCs/>
          <w:color w:val="auto"/>
          <w:sz w:val="32"/>
          <w:szCs w:val="32"/>
          <w:highlight w:val="none"/>
        </w:rPr>
        <w:t>期：</w:t>
      </w:r>
    </w:p>
    <w:p w14:paraId="124EDBF2">
      <w:pPr>
        <w:pStyle w:val="260"/>
        <w:jc w:val="center"/>
        <w:outlineLvl w:val="1"/>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578" w:name="_Toc10351"/>
      <w:r>
        <w:rPr>
          <w:rStyle w:val="192"/>
          <w:rFonts w:ascii="宋体" w:hAnsi="宋体" w:eastAsia="宋体" w:cs="宋体"/>
          <w:b/>
          <w:bCs/>
          <w:color w:val="auto"/>
          <w:sz w:val="32"/>
          <w:highlight w:val="none"/>
        </w:rPr>
        <w:t>一、资格部分</w:t>
      </w:r>
      <w:bookmarkEnd w:id="578"/>
    </w:p>
    <w:p w14:paraId="78822ADE">
      <w:pPr>
        <w:pStyle w:val="261"/>
        <w:keepNext w:val="0"/>
        <w:keepLines w:val="0"/>
        <w:pageBreakBefore w:val="0"/>
        <w:widowControl/>
        <w:spacing w:before="181" w:after="361"/>
        <w:jc w:val="center"/>
        <w:outlineLvl w:val="2"/>
        <w:rPr>
          <w:rStyle w:val="192"/>
          <w:rFonts w:ascii="Times New Roman" w:hAnsi="Times New Roman" w:eastAsia="Times New Roman" w:cs="Times New Roman"/>
          <w:color w:val="auto"/>
          <w:highlight w:val="none"/>
        </w:rPr>
      </w:pPr>
      <w:bookmarkStart w:id="579" w:name="_Toc14506"/>
      <w:r>
        <w:rPr>
          <w:rStyle w:val="192"/>
          <w:rFonts w:ascii="宋体" w:hAnsi="宋体" w:eastAsia="宋体" w:cs="宋体"/>
          <w:b w:val="0"/>
          <w:color w:val="auto"/>
          <w:sz w:val="28"/>
          <w:highlight w:val="none"/>
        </w:rPr>
        <w:t>(一)磋商承诺函</w:t>
      </w:r>
      <w:bookmarkEnd w:id="579"/>
    </w:p>
    <w:p w14:paraId="3F210D9B">
      <w:pPr>
        <w:pStyle w:val="262"/>
        <w:spacing w:before="240" w:after="240"/>
        <w:rPr>
          <w:rStyle w:val="192"/>
          <w:rFonts w:ascii="宋体" w:hAnsi="宋体" w:eastAsia="宋体" w:cs="宋体"/>
          <w:color w:val="auto"/>
          <w:sz w:val="24"/>
          <w:szCs w:val="24"/>
          <w:highlight w:val="none"/>
          <w:u w:val="single"/>
        </w:rPr>
      </w:pPr>
      <w:r>
        <w:rPr>
          <w:rStyle w:val="192"/>
          <w:rFonts w:ascii="宋体" w:hAnsi="宋体" w:eastAsia="宋体" w:cs="宋体"/>
          <w:color w:val="auto"/>
          <w:highlight w:val="none"/>
        </w:rPr>
        <w:t>致：</w:t>
      </w:r>
      <w:r>
        <w:rPr>
          <w:rStyle w:val="192"/>
          <w:rFonts w:ascii="宋体" w:hAnsi="宋体" w:eastAsia="宋体" w:cs="宋体"/>
          <w:color w:val="auto"/>
          <w:highlight w:val="none"/>
          <w:u w:val="single"/>
        </w:rPr>
        <w:t xml:space="preserve">   （磋商组织方） </w:t>
      </w:r>
    </w:p>
    <w:p w14:paraId="1ED57520">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根据贵方关于</w:t>
      </w:r>
      <w:r>
        <w:rPr>
          <w:rStyle w:val="192"/>
          <w:rFonts w:ascii="宋体" w:hAnsi="宋体" w:eastAsia="宋体" w:cs="宋体"/>
          <w:color w:val="auto"/>
          <w:highlight w:val="none"/>
          <w:u w:val="single"/>
        </w:rPr>
        <w:t>  </w:t>
      </w:r>
      <w:r>
        <w:rPr>
          <w:rStyle w:val="192"/>
          <w:rFonts w:hint="eastAsia" w:ascii="宋体" w:hAnsi="宋体" w:eastAsia="宋体" w:cs="宋体"/>
          <w:color w:val="auto"/>
          <w:highlight w:val="none"/>
          <w:u w:val="single"/>
          <w:lang w:val="en-US" w:eastAsia="zh-CN"/>
        </w:rPr>
        <w:t>（项目名称）</w:t>
      </w:r>
      <w:r>
        <w:rPr>
          <w:rStyle w:val="192"/>
          <w:rFonts w:ascii="宋体" w:hAnsi="宋体" w:eastAsia="宋体" w:cs="宋体"/>
          <w:color w:val="auto"/>
          <w:highlight w:val="none"/>
          <w:u w:val="single"/>
        </w:rPr>
        <w:t> </w:t>
      </w:r>
      <w:r>
        <w:rPr>
          <w:rStyle w:val="192"/>
          <w:rFonts w:hint="eastAsia" w:ascii="宋体" w:hAnsi="宋体" w:eastAsia="宋体" w:cs="宋体"/>
          <w:color w:val="auto"/>
          <w:highlight w:val="none"/>
          <w:u w:val="single"/>
          <w:lang w:eastAsia="zh-CN"/>
        </w:rPr>
        <w:t>（项目编号）</w:t>
      </w:r>
      <w:r>
        <w:rPr>
          <w:rStyle w:val="192"/>
          <w:rFonts w:ascii="宋体" w:hAnsi="宋体" w:eastAsia="宋体" w:cs="宋体"/>
          <w:color w:val="auto"/>
          <w:highlight w:val="none"/>
        </w:rPr>
        <w:t xml:space="preserve">的磋商邀请，我方已完全理解磋商文件的所有内容。 </w:t>
      </w:r>
    </w:p>
    <w:p w14:paraId="72777154">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据此函，我方兹宣布同意如下： </w:t>
      </w:r>
    </w:p>
    <w:p w14:paraId="725BC100">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p>
    <w:p w14:paraId="58EF2F5B">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2.我方承诺：参加本次采购活动前三年内，在经营活动中没有重大违法记录。 </w:t>
      </w:r>
    </w:p>
    <w:p w14:paraId="37ABB80F">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p>
    <w:p w14:paraId="10F5E0D0">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4.我方承诺按磋商文件要求提供的服务及货物的磋商报价见报价一览表。 </w:t>
      </w:r>
    </w:p>
    <w:p w14:paraId="32CE42EB">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5．我方承诺根据磋商文件的规定，完成合同义务，并承担责任（如有偏离，在响应文件中另作说明）。 </w:t>
      </w:r>
    </w:p>
    <w:p w14:paraId="01E52D98">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6．我方已详读全部磋商文件，包括磋商文件书面修改通知（如有），我方完全理解并同意放弃对这方面不明及误解的权利。</w:t>
      </w:r>
    </w:p>
    <w:p w14:paraId="2A4C2070">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7．我方承诺响应文件及所有材料的完整、真实、合法、有效，并对其负责。承诺在磋商期间，如磋商小组对我方提出澄清要求，将及时作出响应，否则自行承担后果。</w:t>
      </w:r>
    </w:p>
    <w:p w14:paraId="1BAB1A4F">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8．我方同意从规定的磋商日期起遵循本磋商文件，并在规定的磋商有效期期满之前均具有约束力。</w:t>
      </w:r>
    </w:p>
    <w:p w14:paraId="4472B8B9">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9．我方同意向贵方提供贵方可能要求的与本磋商有关的任何证据或资料。</w:t>
      </w:r>
    </w:p>
    <w:p w14:paraId="14D1FA24">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10.我方知道如用虚假材料或恶意方式向贵方提出质疑，将承担相应的法律责任。同时承诺：我方如果有上述行为，将无条件承担贵方相关的调查论证费用。</w:t>
      </w:r>
    </w:p>
    <w:p w14:paraId="662043BE">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11．本次响应文件内容与磋商文件内容偏离见磋商偏离表（如果有）。</w:t>
      </w:r>
    </w:p>
    <w:p w14:paraId="3ED26782">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12．遵守磋商文件中要求的收费项目和标准。</w:t>
      </w:r>
    </w:p>
    <w:p w14:paraId="399D3AC5">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13．我方将严格遵守《中华人民共和国政府采购法》，若存在违法违规行为，自愿承担相应的法律后果。</w:t>
      </w:r>
    </w:p>
    <w:p w14:paraId="211693F6">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14．与本磋商有关的一切正式往来通讯请寄：</w:t>
      </w:r>
    </w:p>
    <w:p w14:paraId="2B2378D4">
      <w:pPr>
        <w:pStyle w:val="262"/>
        <w:spacing w:before="240" w:after="240"/>
        <w:ind w:firstLine="3000"/>
        <w:rPr>
          <w:rStyle w:val="192"/>
          <w:rFonts w:ascii="宋体" w:hAnsi="宋体" w:eastAsia="宋体" w:cs="宋体"/>
          <w:color w:val="auto"/>
          <w:highlight w:val="none"/>
        </w:rPr>
      </w:pPr>
      <w:r>
        <w:rPr>
          <w:rStyle w:val="192"/>
          <w:rFonts w:ascii="宋体" w:hAnsi="宋体" w:eastAsia="宋体" w:cs="宋体"/>
          <w:color w:val="auto"/>
          <w:highlight w:val="none"/>
        </w:rPr>
        <w:t>地址：    电话：</w:t>
      </w:r>
    </w:p>
    <w:p w14:paraId="58F1BE1B">
      <w:pPr>
        <w:pStyle w:val="262"/>
        <w:spacing w:before="240" w:after="240"/>
        <w:ind w:firstLine="3000"/>
        <w:rPr>
          <w:rStyle w:val="192"/>
          <w:rFonts w:ascii="宋体" w:hAnsi="宋体" w:eastAsia="宋体" w:cs="宋体"/>
          <w:color w:val="auto"/>
          <w:highlight w:val="none"/>
        </w:rPr>
      </w:pPr>
      <w:r>
        <w:rPr>
          <w:rStyle w:val="192"/>
          <w:rFonts w:ascii="宋体" w:hAnsi="宋体" w:eastAsia="宋体" w:cs="宋体"/>
          <w:color w:val="auto"/>
          <w:highlight w:val="none"/>
        </w:rPr>
        <w:t>传真：    邮政编码：</w:t>
      </w:r>
    </w:p>
    <w:p w14:paraId="1F8DF3F5">
      <w:pPr>
        <w:pStyle w:val="262"/>
        <w:spacing w:before="240" w:after="240"/>
        <w:ind w:firstLine="3000"/>
        <w:rPr>
          <w:rStyle w:val="192"/>
          <w:rFonts w:ascii="宋体" w:hAnsi="宋体" w:eastAsia="宋体" w:cs="宋体"/>
          <w:color w:val="auto"/>
          <w:highlight w:val="none"/>
        </w:rPr>
      </w:pPr>
      <w:r>
        <w:rPr>
          <w:rStyle w:val="192"/>
          <w:rFonts w:ascii="宋体" w:hAnsi="宋体" w:eastAsia="宋体" w:cs="宋体"/>
          <w:color w:val="auto"/>
          <w:highlight w:val="none"/>
        </w:rPr>
        <w:t>供应商（公章）：</w:t>
      </w:r>
    </w:p>
    <w:p w14:paraId="20716B86">
      <w:pPr>
        <w:pStyle w:val="262"/>
        <w:spacing w:before="240" w:after="240"/>
        <w:ind w:firstLine="3000"/>
        <w:rPr>
          <w:rStyle w:val="192"/>
          <w:rFonts w:ascii="宋体" w:hAnsi="宋体" w:eastAsia="宋体" w:cs="宋体"/>
          <w:color w:val="auto"/>
          <w:highlight w:val="none"/>
        </w:rPr>
      </w:pPr>
      <w:r>
        <w:rPr>
          <w:rStyle w:val="192"/>
          <w:rFonts w:ascii="宋体" w:hAnsi="宋体" w:eastAsia="宋体" w:cs="宋体"/>
          <w:color w:val="auto"/>
          <w:highlight w:val="none"/>
        </w:rPr>
        <w:t>法定代表人签章：</w:t>
      </w:r>
    </w:p>
    <w:p w14:paraId="4E4BA20E">
      <w:pPr>
        <w:pStyle w:val="262"/>
        <w:spacing w:before="240" w:after="240"/>
        <w:ind w:firstLine="300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日 期：  </w:t>
      </w:r>
    </w:p>
    <w:p w14:paraId="7117076B">
      <w:pPr>
        <w:pStyle w:val="263"/>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580" w:name="_Toc21424"/>
      <w:r>
        <w:rPr>
          <w:rStyle w:val="192"/>
          <w:rFonts w:ascii="宋体" w:hAnsi="宋体" w:eastAsia="宋体" w:cs="宋体"/>
          <w:b/>
          <w:bCs/>
          <w:color w:val="auto"/>
          <w:sz w:val="28"/>
          <w:szCs w:val="24"/>
          <w:highlight w:val="none"/>
        </w:rPr>
        <w:t>(二)独立承担民事责任的能力</w:t>
      </w:r>
      <w:bookmarkEnd w:id="580"/>
    </w:p>
    <w:p w14:paraId="4DD813DC">
      <w:pPr>
        <w:pStyle w:val="264"/>
        <w:jc w:val="center"/>
        <w:outlineLvl w:val="2"/>
        <w:rPr>
          <w:rStyle w:val="192"/>
          <w:rFonts w:ascii="Times New Roman" w:hAnsi="Times New Roman" w:eastAsia="Times New Roman" w:cs="Times New Roman"/>
          <w:color w:val="auto"/>
          <w:highlight w:val="none"/>
        </w:rPr>
      </w:pPr>
      <w:bookmarkStart w:id="581" w:name="_Toc30575"/>
      <w:bookmarkStart w:id="582" w:name="_Toc23654"/>
      <w:r>
        <w:rPr>
          <w:rStyle w:val="192"/>
          <w:rFonts w:ascii="宋体" w:hAnsi="宋体" w:eastAsia="宋体" w:cs="宋体"/>
          <w:b w:val="0"/>
          <w:color w:val="auto"/>
          <w:sz w:val="24"/>
          <w:szCs w:val="32"/>
          <w:highlight w:val="none"/>
        </w:rPr>
        <w:t>提供法人或者其他组织的营业执照等证明文件；供应商为自然人的，提供其身份证</w:t>
      </w:r>
      <w:r>
        <w:rPr>
          <w:rStyle w:val="192"/>
          <w:rFonts w:hint="eastAsia" w:ascii="宋体" w:hAnsi="宋体" w:eastAsia="宋体" w:cs="宋体"/>
          <w:b w:val="0"/>
          <w:color w:val="auto"/>
          <w:sz w:val="24"/>
          <w:szCs w:val="32"/>
          <w:highlight w:val="none"/>
          <w:lang w:eastAsia="zh-CN"/>
        </w:rPr>
        <w:t>。</w:t>
      </w:r>
      <w:r>
        <w:rPr>
          <w:rStyle w:val="192"/>
          <w:rFonts w:ascii="Times New Roman" w:hAnsi="Times New Roman" w:eastAsia="Times New Roman" w:cs="Times New Roman"/>
          <w:color w:val="auto"/>
          <w:highlight w:val="none"/>
        </w:rPr>
        <w:br w:type="page" w:clear="all"/>
      </w:r>
      <w:r>
        <w:rPr>
          <w:rStyle w:val="192"/>
          <w:rFonts w:ascii="宋体" w:hAnsi="宋体" w:eastAsia="宋体" w:cs="宋体"/>
          <w:b/>
          <w:bCs/>
          <w:color w:val="auto"/>
          <w:sz w:val="28"/>
          <w:szCs w:val="24"/>
          <w:highlight w:val="none"/>
        </w:rPr>
        <w:t>(三)良好的商业信誉和健全的财务会计制度</w:t>
      </w:r>
      <w:bookmarkEnd w:id="581"/>
      <w:bookmarkEnd w:id="582"/>
    </w:p>
    <w:p w14:paraId="5DE24319">
      <w:pPr>
        <w:pStyle w:val="265"/>
        <w:jc w:val="center"/>
        <w:outlineLvl w:val="2"/>
        <w:rPr>
          <w:rStyle w:val="192"/>
          <w:rFonts w:hint="eastAsia" w:ascii="宋体" w:hAnsi="宋体" w:eastAsia="宋体" w:cs="宋体"/>
          <w:b w:val="0"/>
          <w:color w:val="auto"/>
          <w:sz w:val="24"/>
          <w:szCs w:val="32"/>
          <w:highlight w:val="none"/>
        </w:rPr>
      </w:pPr>
      <w:bookmarkStart w:id="583" w:name="_Toc19986"/>
      <w:bookmarkStart w:id="584" w:name="_Toc28952"/>
      <w:bookmarkStart w:id="585" w:name="_Toc26095"/>
      <w:bookmarkStart w:id="586" w:name="_Toc9026"/>
      <w:bookmarkStart w:id="587" w:name="_Toc3280"/>
      <w:r>
        <w:rPr>
          <w:rStyle w:val="192"/>
          <w:rFonts w:hint="eastAsia" w:ascii="宋体" w:hAnsi="宋体" w:eastAsia="宋体" w:cs="宋体"/>
          <w:b w:val="0"/>
          <w:color w:val="auto"/>
          <w:sz w:val="24"/>
          <w:szCs w:val="32"/>
          <w:highlight w:val="none"/>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583"/>
      <w:bookmarkEnd w:id="584"/>
      <w:r>
        <w:rPr>
          <w:rStyle w:val="192"/>
          <w:rFonts w:hint="eastAsia" w:ascii="宋体" w:hAnsi="宋体" w:eastAsia="宋体" w:cs="宋体"/>
          <w:b w:val="0"/>
          <w:color w:val="auto"/>
          <w:sz w:val="24"/>
          <w:szCs w:val="32"/>
          <w:highlight w:val="none"/>
          <w:lang w:eastAsia="zh-CN"/>
        </w:rPr>
        <w:t>。</w:t>
      </w:r>
      <w:bookmarkEnd w:id="585"/>
      <w:bookmarkEnd w:id="586"/>
    </w:p>
    <w:p w14:paraId="5339111E">
      <w:pPr>
        <w:rPr>
          <w:rStyle w:val="192"/>
          <w:rFonts w:ascii="宋体" w:hAnsi="宋体" w:eastAsia="宋体" w:cs="宋体"/>
          <w:b/>
          <w:bCs/>
          <w:color w:val="auto"/>
          <w:sz w:val="28"/>
          <w:szCs w:val="24"/>
          <w:highlight w:val="none"/>
        </w:rPr>
      </w:pPr>
      <w:r>
        <w:rPr>
          <w:rStyle w:val="192"/>
          <w:rFonts w:ascii="宋体" w:hAnsi="宋体" w:eastAsia="宋体" w:cs="宋体"/>
          <w:b/>
          <w:bCs/>
          <w:color w:val="auto"/>
          <w:sz w:val="28"/>
          <w:szCs w:val="24"/>
          <w:highlight w:val="none"/>
        </w:rPr>
        <w:br w:type="page" w:clear="all"/>
      </w:r>
    </w:p>
    <w:p w14:paraId="6DBF8D2C">
      <w:pPr>
        <w:pStyle w:val="265"/>
        <w:jc w:val="center"/>
        <w:outlineLvl w:val="2"/>
        <w:rPr>
          <w:rStyle w:val="192"/>
          <w:rFonts w:ascii="Times New Roman" w:hAnsi="Times New Roman" w:eastAsia="Times New Roman" w:cs="Times New Roman"/>
          <w:color w:val="auto"/>
          <w:highlight w:val="none"/>
        </w:rPr>
      </w:pPr>
      <w:bookmarkStart w:id="588" w:name="_Toc9379"/>
      <w:r>
        <w:rPr>
          <w:rStyle w:val="192"/>
          <w:rFonts w:ascii="宋体" w:hAnsi="宋体" w:eastAsia="宋体" w:cs="宋体"/>
          <w:b/>
          <w:bCs/>
          <w:color w:val="auto"/>
          <w:sz w:val="28"/>
          <w:szCs w:val="24"/>
          <w:highlight w:val="none"/>
        </w:rPr>
        <w:t>(四)履行合同所必需的设备和专业技术能力</w:t>
      </w:r>
      <w:bookmarkEnd w:id="587"/>
      <w:bookmarkEnd w:id="588"/>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6"/>
        <w:gridCol w:w="1458"/>
        <w:gridCol w:w="1897"/>
        <w:gridCol w:w="129"/>
        <w:gridCol w:w="881"/>
        <w:gridCol w:w="120"/>
        <w:gridCol w:w="574"/>
        <w:gridCol w:w="974"/>
        <w:gridCol w:w="222"/>
        <w:gridCol w:w="2340"/>
      </w:tblGrid>
      <w:tr w14:paraId="297F0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964" w:type="dxa"/>
            <w:shd w:val="clear" w:color="auto" w:fill="D9D9D9"/>
            <w:noWrap w:val="0"/>
            <w:vAlign w:val="center"/>
          </w:tcPr>
          <w:p w14:paraId="4C92A001">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一</w:t>
            </w:r>
          </w:p>
        </w:tc>
        <w:tc>
          <w:tcPr>
            <w:tcW w:w="8402" w:type="dxa"/>
            <w:gridSpan w:val="9"/>
            <w:shd w:val="clear" w:color="auto" w:fill="D9D9D9"/>
            <w:noWrap w:val="0"/>
            <w:vAlign w:val="center"/>
          </w:tcPr>
          <w:p w14:paraId="0D341C86">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公司基本信息</w:t>
            </w:r>
          </w:p>
        </w:tc>
      </w:tr>
      <w:tr w14:paraId="1B229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964" w:type="dxa"/>
            <w:noWrap w:val="0"/>
            <w:vAlign w:val="center"/>
          </w:tcPr>
          <w:p w14:paraId="51E60DD4">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1</w:t>
            </w:r>
          </w:p>
        </w:tc>
        <w:tc>
          <w:tcPr>
            <w:tcW w:w="1425" w:type="dxa"/>
            <w:noWrap w:val="0"/>
            <w:vAlign w:val="center"/>
          </w:tcPr>
          <w:p w14:paraId="26B35084">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公司名称</w:t>
            </w:r>
          </w:p>
        </w:tc>
        <w:tc>
          <w:tcPr>
            <w:tcW w:w="6977" w:type="dxa"/>
            <w:gridSpan w:val="8"/>
            <w:noWrap w:val="0"/>
            <w:vAlign w:val="center"/>
          </w:tcPr>
          <w:p w14:paraId="008BFF47">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7C00F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964" w:type="dxa"/>
            <w:noWrap w:val="0"/>
            <w:vAlign w:val="center"/>
          </w:tcPr>
          <w:p w14:paraId="02A2871E">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2</w:t>
            </w:r>
          </w:p>
        </w:tc>
        <w:tc>
          <w:tcPr>
            <w:tcW w:w="1425" w:type="dxa"/>
            <w:noWrap w:val="0"/>
            <w:vAlign w:val="center"/>
          </w:tcPr>
          <w:p w14:paraId="6DE80A9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注册资金</w:t>
            </w:r>
          </w:p>
        </w:tc>
        <w:tc>
          <w:tcPr>
            <w:tcW w:w="1980" w:type="dxa"/>
            <w:gridSpan w:val="2"/>
            <w:noWrap w:val="0"/>
            <w:vAlign w:val="center"/>
          </w:tcPr>
          <w:p w14:paraId="36C43AD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6FB2367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3</w:t>
            </w:r>
          </w:p>
        </w:tc>
        <w:tc>
          <w:tcPr>
            <w:tcW w:w="1631" w:type="dxa"/>
            <w:gridSpan w:val="3"/>
            <w:noWrap w:val="0"/>
            <w:vAlign w:val="center"/>
          </w:tcPr>
          <w:p w14:paraId="3BDCB15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公司地址</w:t>
            </w:r>
          </w:p>
        </w:tc>
        <w:tc>
          <w:tcPr>
            <w:tcW w:w="2504" w:type="dxa"/>
            <w:gridSpan w:val="2"/>
            <w:noWrap w:val="0"/>
            <w:vAlign w:val="center"/>
          </w:tcPr>
          <w:p w14:paraId="409FCAD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522F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964" w:type="dxa"/>
            <w:noWrap w:val="0"/>
            <w:vAlign w:val="center"/>
          </w:tcPr>
          <w:p w14:paraId="12B822D4">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4</w:t>
            </w:r>
          </w:p>
        </w:tc>
        <w:tc>
          <w:tcPr>
            <w:tcW w:w="1425" w:type="dxa"/>
            <w:noWrap w:val="0"/>
            <w:vAlign w:val="center"/>
          </w:tcPr>
          <w:p w14:paraId="6712285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从业人数</w:t>
            </w:r>
          </w:p>
        </w:tc>
        <w:tc>
          <w:tcPr>
            <w:tcW w:w="1980" w:type="dxa"/>
            <w:gridSpan w:val="2"/>
            <w:noWrap w:val="0"/>
            <w:vAlign w:val="center"/>
          </w:tcPr>
          <w:p w14:paraId="006D117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1F09056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5</w:t>
            </w:r>
          </w:p>
        </w:tc>
        <w:tc>
          <w:tcPr>
            <w:tcW w:w="1631" w:type="dxa"/>
            <w:gridSpan w:val="3"/>
            <w:noWrap w:val="0"/>
            <w:vAlign w:val="center"/>
          </w:tcPr>
          <w:p w14:paraId="40CAEE7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法定代表人</w:t>
            </w:r>
          </w:p>
        </w:tc>
        <w:tc>
          <w:tcPr>
            <w:tcW w:w="2504" w:type="dxa"/>
            <w:gridSpan w:val="2"/>
            <w:noWrap w:val="0"/>
            <w:vAlign w:val="center"/>
          </w:tcPr>
          <w:p w14:paraId="69A220DD">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40201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597CCA7F">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6</w:t>
            </w:r>
          </w:p>
        </w:tc>
        <w:tc>
          <w:tcPr>
            <w:tcW w:w="1425" w:type="dxa"/>
            <w:noWrap w:val="0"/>
            <w:vAlign w:val="center"/>
          </w:tcPr>
          <w:p w14:paraId="0E805CE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开户银行</w:t>
            </w:r>
          </w:p>
        </w:tc>
        <w:tc>
          <w:tcPr>
            <w:tcW w:w="1980" w:type="dxa"/>
            <w:gridSpan w:val="2"/>
            <w:noWrap w:val="0"/>
            <w:vAlign w:val="center"/>
          </w:tcPr>
          <w:p w14:paraId="7D5F98BF">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3C15F838">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7</w:t>
            </w:r>
          </w:p>
        </w:tc>
        <w:tc>
          <w:tcPr>
            <w:tcW w:w="1631" w:type="dxa"/>
            <w:gridSpan w:val="3"/>
            <w:noWrap w:val="0"/>
            <w:vAlign w:val="center"/>
          </w:tcPr>
          <w:p w14:paraId="6E9698E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账号</w:t>
            </w:r>
          </w:p>
        </w:tc>
        <w:tc>
          <w:tcPr>
            <w:tcW w:w="2504" w:type="dxa"/>
            <w:gridSpan w:val="2"/>
            <w:noWrap w:val="0"/>
            <w:vAlign w:val="center"/>
          </w:tcPr>
          <w:p w14:paraId="1F61C1F4">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50B8B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5D7202CD">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8</w:t>
            </w:r>
          </w:p>
        </w:tc>
        <w:tc>
          <w:tcPr>
            <w:tcW w:w="1425" w:type="dxa"/>
            <w:noWrap w:val="0"/>
            <w:vAlign w:val="center"/>
          </w:tcPr>
          <w:p w14:paraId="7F4EE35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项目联系人</w:t>
            </w:r>
          </w:p>
        </w:tc>
        <w:tc>
          <w:tcPr>
            <w:tcW w:w="1980" w:type="dxa"/>
            <w:gridSpan w:val="2"/>
            <w:noWrap w:val="0"/>
            <w:vAlign w:val="center"/>
          </w:tcPr>
          <w:p w14:paraId="6C7AB8D7">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5DA3DAAC">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9</w:t>
            </w:r>
          </w:p>
        </w:tc>
        <w:tc>
          <w:tcPr>
            <w:tcW w:w="1631" w:type="dxa"/>
            <w:gridSpan w:val="3"/>
            <w:noWrap w:val="0"/>
            <w:vAlign w:val="center"/>
          </w:tcPr>
          <w:p w14:paraId="2E8C6FF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联系电话</w:t>
            </w:r>
          </w:p>
        </w:tc>
        <w:tc>
          <w:tcPr>
            <w:tcW w:w="2504" w:type="dxa"/>
            <w:gridSpan w:val="2"/>
            <w:noWrap w:val="0"/>
            <w:vAlign w:val="center"/>
          </w:tcPr>
          <w:p w14:paraId="774C410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589BC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shd w:val="clear" w:color="auto" w:fill="D9D9D9"/>
            <w:noWrap w:val="0"/>
            <w:vAlign w:val="center"/>
          </w:tcPr>
          <w:p w14:paraId="4E0ECEA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二</w:t>
            </w:r>
          </w:p>
        </w:tc>
        <w:tc>
          <w:tcPr>
            <w:tcW w:w="8402" w:type="dxa"/>
            <w:gridSpan w:val="9"/>
            <w:shd w:val="clear" w:color="auto" w:fill="D9D9D9"/>
            <w:noWrap w:val="0"/>
            <w:vAlign w:val="center"/>
          </w:tcPr>
          <w:p w14:paraId="62676FB8">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公司财务状况</w:t>
            </w:r>
          </w:p>
        </w:tc>
      </w:tr>
      <w:tr w14:paraId="5B29E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6E63720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（一）</w:t>
            </w:r>
          </w:p>
        </w:tc>
        <w:tc>
          <w:tcPr>
            <w:tcW w:w="8402" w:type="dxa"/>
            <w:gridSpan w:val="9"/>
            <w:noWrap w:val="0"/>
            <w:vAlign w:val="center"/>
          </w:tcPr>
          <w:p w14:paraId="4A6A9C05">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u w:val="single"/>
                <w:lang w:val="en-US" w:eastAsia="zh-CN" w:bidi="ar-SA"/>
              </w:rPr>
              <w:t>××××</w:t>
            </w:r>
            <w:r>
              <w:rPr>
                <w:rStyle w:val="192"/>
                <w:rFonts w:hint="eastAsia" w:ascii="宋体" w:hAnsi="宋体" w:eastAsia="宋体" w:cs="宋体"/>
                <w:b/>
                <w:color w:val="auto"/>
                <w:sz w:val="20"/>
                <w:szCs w:val="20"/>
                <w:highlight w:val="none"/>
                <w:lang w:val="en-US" w:eastAsia="zh-CN" w:bidi="ar-SA"/>
              </w:rPr>
              <w:t>年度财务状况</w:t>
            </w:r>
          </w:p>
        </w:tc>
      </w:tr>
      <w:tr w14:paraId="279FC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964" w:type="dxa"/>
            <w:noWrap w:val="0"/>
            <w:vAlign w:val="center"/>
          </w:tcPr>
          <w:p w14:paraId="54475283">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1</w:t>
            </w:r>
          </w:p>
        </w:tc>
        <w:tc>
          <w:tcPr>
            <w:tcW w:w="1425" w:type="dxa"/>
            <w:noWrap w:val="0"/>
            <w:vAlign w:val="center"/>
          </w:tcPr>
          <w:p w14:paraId="02E38DA7">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营业收入（万）：</w:t>
            </w:r>
          </w:p>
        </w:tc>
        <w:tc>
          <w:tcPr>
            <w:tcW w:w="1980" w:type="dxa"/>
            <w:gridSpan w:val="2"/>
            <w:noWrap w:val="0"/>
            <w:vAlign w:val="center"/>
          </w:tcPr>
          <w:p w14:paraId="220E01F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03AEF6A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2</w:t>
            </w:r>
          </w:p>
        </w:tc>
        <w:tc>
          <w:tcPr>
            <w:tcW w:w="1631" w:type="dxa"/>
            <w:gridSpan w:val="3"/>
            <w:noWrap w:val="0"/>
            <w:vAlign w:val="center"/>
          </w:tcPr>
          <w:p w14:paraId="0EE3084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利润总额（万）</w:t>
            </w:r>
          </w:p>
        </w:tc>
        <w:tc>
          <w:tcPr>
            <w:tcW w:w="2504" w:type="dxa"/>
            <w:gridSpan w:val="2"/>
            <w:noWrap w:val="0"/>
            <w:vAlign w:val="center"/>
          </w:tcPr>
          <w:p w14:paraId="2FBD3CD6">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22B90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jc w:val="center"/>
        </w:trPr>
        <w:tc>
          <w:tcPr>
            <w:tcW w:w="964" w:type="dxa"/>
            <w:noWrap w:val="0"/>
            <w:vAlign w:val="center"/>
          </w:tcPr>
          <w:p w14:paraId="5A0C1D3B">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3</w:t>
            </w:r>
          </w:p>
        </w:tc>
        <w:tc>
          <w:tcPr>
            <w:tcW w:w="1425" w:type="dxa"/>
            <w:noWrap w:val="0"/>
            <w:vAlign w:val="center"/>
          </w:tcPr>
          <w:p w14:paraId="2D838E4E">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年末“固定资产合计”（万）</w:t>
            </w:r>
          </w:p>
        </w:tc>
        <w:tc>
          <w:tcPr>
            <w:tcW w:w="1980" w:type="dxa"/>
            <w:gridSpan w:val="2"/>
            <w:noWrap w:val="0"/>
            <w:vAlign w:val="center"/>
          </w:tcPr>
          <w:p w14:paraId="4797D2B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79EF118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4</w:t>
            </w:r>
          </w:p>
        </w:tc>
        <w:tc>
          <w:tcPr>
            <w:tcW w:w="1631" w:type="dxa"/>
            <w:gridSpan w:val="3"/>
            <w:noWrap w:val="0"/>
            <w:vAlign w:val="center"/>
          </w:tcPr>
          <w:p w14:paraId="31318268">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年末“流动资产”余额（万）</w:t>
            </w:r>
          </w:p>
        </w:tc>
        <w:tc>
          <w:tcPr>
            <w:tcW w:w="2504" w:type="dxa"/>
            <w:gridSpan w:val="2"/>
            <w:noWrap w:val="0"/>
            <w:vAlign w:val="center"/>
          </w:tcPr>
          <w:p w14:paraId="2C6EC57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1F1E6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jc w:val="center"/>
        </w:trPr>
        <w:tc>
          <w:tcPr>
            <w:tcW w:w="964" w:type="dxa"/>
            <w:noWrap w:val="0"/>
            <w:vAlign w:val="center"/>
          </w:tcPr>
          <w:p w14:paraId="5FDEA33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5</w:t>
            </w:r>
          </w:p>
        </w:tc>
        <w:tc>
          <w:tcPr>
            <w:tcW w:w="1425" w:type="dxa"/>
            <w:noWrap w:val="0"/>
            <w:vAlign w:val="center"/>
          </w:tcPr>
          <w:p w14:paraId="0E0A35DC">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年末“短期负债”余额（万）</w:t>
            </w:r>
          </w:p>
        </w:tc>
        <w:tc>
          <w:tcPr>
            <w:tcW w:w="1980" w:type="dxa"/>
            <w:gridSpan w:val="2"/>
            <w:noWrap w:val="0"/>
            <w:vAlign w:val="center"/>
          </w:tcPr>
          <w:p w14:paraId="38C516BF">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387BDBBC">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6</w:t>
            </w:r>
          </w:p>
        </w:tc>
        <w:tc>
          <w:tcPr>
            <w:tcW w:w="1631" w:type="dxa"/>
            <w:gridSpan w:val="3"/>
            <w:noWrap w:val="0"/>
            <w:vAlign w:val="center"/>
          </w:tcPr>
          <w:p w14:paraId="7572A9D6">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年末“长期负债”余额（万）</w:t>
            </w:r>
          </w:p>
        </w:tc>
        <w:tc>
          <w:tcPr>
            <w:tcW w:w="2504" w:type="dxa"/>
            <w:gridSpan w:val="2"/>
            <w:noWrap w:val="0"/>
            <w:vAlign w:val="center"/>
          </w:tcPr>
          <w:p w14:paraId="65E4BC0F">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0DE81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964" w:type="dxa"/>
            <w:noWrap w:val="0"/>
            <w:vAlign w:val="center"/>
          </w:tcPr>
          <w:p w14:paraId="63DF590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7</w:t>
            </w:r>
          </w:p>
        </w:tc>
        <w:tc>
          <w:tcPr>
            <w:tcW w:w="1425" w:type="dxa"/>
            <w:noWrap w:val="0"/>
            <w:vAlign w:val="center"/>
          </w:tcPr>
          <w:p w14:paraId="1CDE0F9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年末“资产总计”余额（万）</w:t>
            </w:r>
          </w:p>
        </w:tc>
        <w:tc>
          <w:tcPr>
            <w:tcW w:w="1980" w:type="dxa"/>
            <w:gridSpan w:val="2"/>
            <w:noWrap w:val="0"/>
            <w:vAlign w:val="center"/>
          </w:tcPr>
          <w:p w14:paraId="5819C50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27BED018">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8</w:t>
            </w:r>
          </w:p>
        </w:tc>
        <w:tc>
          <w:tcPr>
            <w:tcW w:w="1631" w:type="dxa"/>
            <w:gridSpan w:val="3"/>
            <w:noWrap w:val="0"/>
            <w:vAlign w:val="center"/>
          </w:tcPr>
          <w:p w14:paraId="1829EB3D">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年末“货币资金”余额（万）</w:t>
            </w:r>
          </w:p>
        </w:tc>
        <w:tc>
          <w:tcPr>
            <w:tcW w:w="2504" w:type="dxa"/>
            <w:gridSpan w:val="2"/>
            <w:noWrap w:val="0"/>
            <w:vAlign w:val="center"/>
          </w:tcPr>
          <w:p w14:paraId="313DD98B">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58381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964" w:type="dxa"/>
            <w:shd w:val="clear" w:color="auto" w:fill="D9D9D9"/>
            <w:noWrap w:val="0"/>
            <w:vAlign w:val="center"/>
          </w:tcPr>
          <w:p w14:paraId="65FEABD9">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三</w:t>
            </w:r>
          </w:p>
        </w:tc>
        <w:tc>
          <w:tcPr>
            <w:tcW w:w="8402" w:type="dxa"/>
            <w:gridSpan w:val="9"/>
            <w:shd w:val="clear" w:color="auto" w:fill="D9D9D9"/>
            <w:noWrap w:val="0"/>
            <w:vAlign w:val="center"/>
          </w:tcPr>
          <w:p w14:paraId="2F0D7A6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供应商其他信息</w:t>
            </w:r>
          </w:p>
        </w:tc>
      </w:tr>
      <w:tr w14:paraId="48016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964" w:type="dxa"/>
            <w:noWrap w:val="0"/>
            <w:vAlign w:val="center"/>
          </w:tcPr>
          <w:p w14:paraId="1D75DAF5">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（一）</w:t>
            </w:r>
          </w:p>
        </w:tc>
        <w:tc>
          <w:tcPr>
            <w:tcW w:w="1425" w:type="dxa"/>
            <w:noWrap w:val="0"/>
            <w:vAlign w:val="center"/>
          </w:tcPr>
          <w:p w14:paraId="19936EB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公司取得的相关资质及等级：</w:t>
            </w:r>
          </w:p>
        </w:tc>
        <w:tc>
          <w:tcPr>
            <w:tcW w:w="6977" w:type="dxa"/>
            <w:gridSpan w:val="8"/>
            <w:noWrap w:val="0"/>
            <w:vAlign w:val="center"/>
          </w:tcPr>
          <w:p w14:paraId="3757CD87">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7AAFD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jc w:val="center"/>
        </w:trPr>
        <w:tc>
          <w:tcPr>
            <w:tcW w:w="964" w:type="dxa"/>
            <w:noWrap w:val="0"/>
            <w:vAlign w:val="center"/>
          </w:tcPr>
          <w:p w14:paraId="5CDB73B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（二）</w:t>
            </w:r>
          </w:p>
        </w:tc>
        <w:tc>
          <w:tcPr>
            <w:tcW w:w="1425" w:type="dxa"/>
            <w:noWrap w:val="0"/>
            <w:vAlign w:val="center"/>
          </w:tcPr>
          <w:p w14:paraId="0976AA03">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公司</w:t>
            </w:r>
            <w:r>
              <w:rPr>
                <w:rStyle w:val="192"/>
                <w:rFonts w:hint="eastAsia" w:ascii="宋体" w:hAnsi="宋体" w:eastAsia="宋体" w:cs="宋体"/>
                <w:b/>
                <w:color w:val="auto"/>
                <w:sz w:val="20"/>
                <w:szCs w:val="20"/>
                <w:highlight w:val="none"/>
                <w:u w:val="single"/>
                <w:lang w:val="en-US" w:eastAsia="zh-CN" w:bidi="ar-SA"/>
              </w:rPr>
              <w:t>××××</w:t>
            </w:r>
            <w:r>
              <w:rPr>
                <w:rStyle w:val="192"/>
                <w:rFonts w:hint="eastAsia" w:ascii="宋体" w:hAnsi="宋体" w:eastAsia="宋体" w:cs="宋体"/>
                <w:color w:val="auto"/>
                <w:sz w:val="20"/>
                <w:szCs w:val="20"/>
                <w:highlight w:val="none"/>
                <w:lang w:val="en-US" w:eastAsia="zh-CN" w:bidi="ar-SA"/>
              </w:rPr>
              <w:t>年度后获得的荣誉及表彰情况</w:t>
            </w:r>
          </w:p>
        </w:tc>
        <w:tc>
          <w:tcPr>
            <w:tcW w:w="6977" w:type="dxa"/>
            <w:gridSpan w:val="8"/>
            <w:noWrap w:val="0"/>
            <w:vAlign w:val="center"/>
          </w:tcPr>
          <w:p w14:paraId="06CDDD68">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08B8F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964" w:type="dxa"/>
            <w:shd w:val="clear" w:color="auto" w:fill="BFBFBF"/>
            <w:noWrap w:val="0"/>
            <w:vAlign w:val="center"/>
          </w:tcPr>
          <w:p w14:paraId="127B91ED">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四</w:t>
            </w:r>
          </w:p>
        </w:tc>
        <w:tc>
          <w:tcPr>
            <w:tcW w:w="8402" w:type="dxa"/>
            <w:gridSpan w:val="9"/>
            <w:shd w:val="clear" w:color="auto" w:fill="BFBFBF"/>
            <w:noWrap w:val="0"/>
            <w:vAlign w:val="center"/>
          </w:tcPr>
          <w:p w14:paraId="25AEEFFF">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 xml:space="preserve">提供本项目服务所必须的专业设备一览表 </w:t>
            </w:r>
          </w:p>
        </w:tc>
      </w:tr>
      <w:tr w14:paraId="271F3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64" w:type="dxa"/>
            <w:shd w:val="clear" w:color="auto" w:fill="FFFFFF"/>
            <w:noWrap w:val="0"/>
            <w:vAlign w:val="center"/>
          </w:tcPr>
          <w:p w14:paraId="0F448B1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序号</w:t>
            </w:r>
          </w:p>
        </w:tc>
        <w:tc>
          <w:tcPr>
            <w:tcW w:w="3280" w:type="dxa"/>
            <w:gridSpan w:val="2"/>
            <w:shd w:val="clear" w:color="auto" w:fill="FFFFFF"/>
            <w:noWrap w:val="0"/>
            <w:vAlign w:val="center"/>
          </w:tcPr>
          <w:p w14:paraId="7211468E">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品牌、型号及主要参数配置简述</w:t>
            </w:r>
          </w:p>
        </w:tc>
        <w:tc>
          <w:tcPr>
            <w:tcW w:w="1105" w:type="dxa"/>
            <w:gridSpan w:val="3"/>
            <w:shd w:val="clear" w:color="auto" w:fill="FFFFFF"/>
            <w:noWrap w:val="0"/>
            <w:vAlign w:val="center"/>
          </w:tcPr>
          <w:p w14:paraId="4A4F1538">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购置年份</w:t>
            </w:r>
          </w:p>
        </w:tc>
        <w:tc>
          <w:tcPr>
            <w:tcW w:w="561" w:type="dxa"/>
            <w:shd w:val="clear" w:color="auto" w:fill="FFFFFF"/>
            <w:noWrap w:val="0"/>
            <w:vAlign w:val="center"/>
          </w:tcPr>
          <w:p w14:paraId="6C4BBA0F">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价格</w:t>
            </w:r>
          </w:p>
        </w:tc>
        <w:tc>
          <w:tcPr>
            <w:tcW w:w="1169" w:type="dxa"/>
            <w:gridSpan w:val="2"/>
            <w:shd w:val="clear" w:color="auto" w:fill="FFFFFF"/>
            <w:noWrap w:val="0"/>
            <w:vAlign w:val="center"/>
          </w:tcPr>
          <w:p w14:paraId="57E805A5">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数量</w:t>
            </w:r>
          </w:p>
        </w:tc>
        <w:tc>
          <w:tcPr>
            <w:tcW w:w="2287" w:type="dxa"/>
            <w:shd w:val="clear" w:color="auto" w:fill="FFFFFF"/>
            <w:noWrap w:val="0"/>
            <w:vAlign w:val="center"/>
          </w:tcPr>
          <w:p w14:paraId="75DB87F7">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用途</w:t>
            </w:r>
          </w:p>
        </w:tc>
      </w:tr>
      <w:tr w14:paraId="226E7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964" w:type="dxa"/>
            <w:shd w:val="clear" w:color="auto" w:fill="FFFFFF"/>
            <w:noWrap w:val="0"/>
            <w:vAlign w:val="center"/>
          </w:tcPr>
          <w:p w14:paraId="5683E096">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1</w:t>
            </w:r>
          </w:p>
        </w:tc>
        <w:tc>
          <w:tcPr>
            <w:tcW w:w="3280" w:type="dxa"/>
            <w:gridSpan w:val="2"/>
            <w:shd w:val="clear" w:color="auto" w:fill="FFFFFF"/>
            <w:noWrap w:val="0"/>
            <w:vAlign w:val="center"/>
          </w:tcPr>
          <w:p w14:paraId="059FD61B">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277B6A0E">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561" w:type="dxa"/>
            <w:shd w:val="clear" w:color="auto" w:fill="FFFFFF"/>
            <w:noWrap w:val="0"/>
            <w:vAlign w:val="center"/>
          </w:tcPr>
          <w:p w14:paraId="7C3BCD60">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78890DEC">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2287" w:type="dxa"/>
            <w:shd w:val="clear" w:color="auto" w:fill="FFFFFF"/>
            <w:noWrap w:val="0"/>
            <w:vAlign w:val="center"/>
          </w:tcPr>
          <w:p w14:paraId="7B6D8C57">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r w14:paraId="27A92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964" w:type="dxa"/>
            <w:shd w:val="clear" w:color="auto" w:fill="FFFFFF"/>
            <w:noWrap w:val="0"/>
            <w:vAlign w:val="center"/>
          </w:tcPr>
          <w:p w14:paraId="767C05AB">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2</w:t>
            </w:r>
          </w:p>
        </w:tc>
        <w:tc>
          <w:tcPr>
            <w:tcW w:w="3280" w:type="dxa"/>
            <w:gridSpan w:val="2"/>
            <w:shd w:val="clear" w:color="auto" w:fill="FFFFFF"/>
            <w:noWrap w:val="0"/>
            <w:vAlign w:val="center"/>
          </w:tcPr>
          <w:p w14:paraId="0818B67B">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517F8B7F">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561" w:type="dxa"/>
            <w:shd w:val="clear" w:color="auto" w:fill="FFFFFF"/>
            <w:noWrap w:val="0"/>
            <w:vAlign w:val="center"/>
          </w:tcPr>
          <w:p w14:paraId="1CB2844C">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521D47C1">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2287" w:type="dxa"/>
            <w:shd w:val="clear" w:color="auto" w:fill="FFFFFF"/>
            <w:noWrap w:val="0"/>
            <w:vAlign w:val="center"/>
          </w:tcPr>
          <w:p w14:paraId="1CB4D153">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r w14:paraId="563F8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964" w:type="dxa"/>
            <w:shd w:val="clear" w:color="auto" w:fill="FFFFFF"/>
            <w:noWrap w:val="0"/>
            <w:vAlign w:val="center"/>
          </w:tcPr>
          <w:p w14:paraId="12708C8E">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3</w:t>
            </w:r>
          </w:p>
        </w:tc>
        <w:tc>
          <w:tcPr>
            <w:tcW w:w="3280" w:type="dxa"/>
            <w:gridSpan w:val="2"/>
            <w:shd w:val="clear" w:color="auto" w:fill="FFFFFF"/>
            <w:noWrap w:val="0"/>
            <w:vAlign w:val="center"/>
          </w:tcPr>
          <w:p w14:paraId="2D069CE6">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4CD5DC3F">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561" w:type="dxa"/>
            <w:shd w:val="clear" w:color="auto" w:fill="FFFFFF"/>
            <w:noWrap w:val="0"/>
            <w:vAlign w:val="center"/>
          </w:tcPr>
          <w:p w14:paraId="5F3F6EB2">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016BBD6E">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2287" w:type="dxa"/>
            <w:shd w:val="clear" w:color="auto" w:fill="FFFFFF"/>
            <w:noWrap w:val="0"/>
            <w:vAlign w:val="center"/>
          </w:tcPr>
          <w:p w14:paraId="6D0A1254">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r w14:paraId="11081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964" w:type="dxa"/>
            <w:shd w:val="clear" w:color="auto" w:fill="FFFFFF"/>
            <w:noWrap w:val="0"/>
            <w:vAlign w:val="center"/>
          </w:tcPr>
          <w:p w14:paraId="4FF080E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w:t>
            </w:r>
          </w:p>
        </w:tc>
        <w:tc>
          <w:tcPr>
            <w:tcW w:w="3280" w:type="dxa"/>
            <w:gridSpan w:val="2"/>
            <w:shd w:val="clear" w:color="auto" w:fill="FFFFFF"/>
            <w:noWrap w:val="0"/>
            <w:vAlign w:val="center"/>
          </w:tcPr>
          <w:p w14:paraId="5AB6507C">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23969B75">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561" w:type="dxa"/>
            <w:shd w:val="clear" w:color="auto" w:fill="FFFFFF"/>
            <w:noWrap w:val="0"/>
            <w:vAlign w:val="center"/>
          </w:tcPr>
          <w:p w14:paraId="0EC44DCC">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3CB5996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2287" w:type="dxa"/>
            <w:shd w:val="clear" w:color="auto" w:fill="FFFFFF"/>
            <w:noWrap w:val="0"/>
            <w:vAlign w:val="center"/>
          </w:tcPr>
          <w:p w14:paraId="060DE734">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r w14:paraId="03DB6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964" w:type="dxa"/>
            <w:shd w:val="clear" w:color="auto" w:fill="BFBFBF"/>
            <w:noWrap w:val="0"/>
            <w:vAlign w:val="center"/>
          </w:tcPr>
          <w:p w14:paraId="504C4076">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五</w:t>
            </w:r>
          </w:p>
        </w:tc>
        <w:tc>
          <w:tcPr>
            <w:tcW w:w="8402" w:type="dxa"/>
            <w:gridSpan w:val="9"/>
            <w:shd w:val="clear" w:color="auto" w:fill="BFBFBF"/>
            <w:noWrap w:val="0"/>
            <w:vAlign w:val="center"/>
          </w:tcPr>
          <w:p w14:paraId="2AD7351B">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提供本项目服务所必须的专业技术能力</w:t>
            </w:r>
          </w:p>
        </w:tc>
      </w:tr>
      <w:tr w14:paraId="5376E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jc w:val="center"/>
        </w:trPr>
        <w:tc>
          <w:tcPr>
            <w:tcW w:w="9366" w:type="dxa"/>
            <w:gridSpan w:val="10"/>
            <w:shd w:val="clear" w:color="auto" w:fill="FFFFFF"/>
            <w:noWrap w:val="0"/>
            <w:vAlign w:val="center"/>
          </w:tcPr>
          <w:p w14:paraId="5931AE21">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bl>
    <w:p w14:paraId="5EAA8160">
      <w:pPr>
        <w:pStyle w:val="266"/>
        <w:widowControl/>
        <w:spacing w:line="400" w:lineRule="exact"/>
        <w:jc w:val="left"/>
        <w:rPr>
          <w:rStyle w:val="192"/>
          <w:rFonts w:ascii="宋体" w:hAnsi="宋体" w:eastAsia="宋体" w:cs="Times New Roman"/>
          <w:b/>
          <w:bCs/>
          <w:color w:val="auto"/>
          <w:sz w:val="32"/>
          <w:szCs w:val="32"/>
          <w:highlight w:val="none"/>
        </w:rPr>
      </w:pPr>
    </w:p>
    <w:p w14:paraId="6D6F7E5E">
      <w:pPr>
        <w:pStyle w:val="266"/>
        <w:spacing w:line="360" w:lineRule="auto"/>
        <w:rPr>
          <w:rStyle w:val="192"/>
          <w:rFonts w:ascii="宋体" w:hAnsi="宋体" w:eastAsia="宋体" w:cs="Times New Roman"/>
          <w:color w:val="auto"/>
          <w:sz w:val="24"/>
          <w:highlight w:val="none"/>
          <w:u w:val="single"/>
        </w:rPr>
      </w:pPr>
      <w:r>
        <w:rPr>
          <w:rStyle w:val="192"/>
          <w:rFonts w:hint="eastAsia" w:ascii="宋体" w:hAnsi="宋体" w:eastAsia="宋体" w:cs="Times New Roman"/>
          <w:color w:val="auto"/>
          <w:sz w:val="24"/>
          <w:highlight w:val="none"/>
        </w:rPr>
        <w:t>注：1、</w:t>
      </w:r>
      <w:r>
        <w:rPr>
          <w:rStyle w:val="192"/>
          <w:rFonts w:hint="eastAsia" w:ascii="宋体" w:hAnsi="宋体" w:eastAsia="宋体" w:cs="Times New Roman"/>
          <w:color w:val="auto"/>
          <w:sz w:val="24"/>
          <w:highlight w:val="none"/>
          <w:u w:val="single"/>
        </w:rPr>
        <w:t>如行数不够请自行添加。</w:t>
      </w:r>
    </w:p>
    <w:p w14:paraId="76CE7D47">
      <w:pPr>
        <w:pStyle w:val="267"/>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589" w:name="_Toc17312"/>
      <w:r>
        <w:rPr>
          <w:rStyle w:val="192"/>
          <w:rFonts w:ascii="宋体" w:hAnsi="宋体" w:eastAsia="宋体" w:cs="宋体"/>
          <w:b/>
          <w:bCs/>
          <w:color w:val="auto"/>
          <w:sz w:val="28"/>
          <w:szCs w:val="24"/>
          <w:highlight w:val="none"/>
        </w:rPr>
        <w:t>(五)依法缴纳税收和社会保障资金的良好记录</w:t>
      </w:r>
      <w:bookmarkEnd w:id="589"/>
    </w:p>
    <w:p w14:paraId="1BC4186E">
      <w:pPr>
        <w:pStyle w:val="269"/>
        <w:jc w:val="center"/>
        <w:outlineLvl w:val="2"/>
        <w:rPr>
          <w:rStyle w:val="192"/>
          <w:rFonts w:ascii="Times New Roman" w:hAnsi="Times New Roman" w:eastAsia="Times New Roman" w:cs="Times New Roman"/>
          <w:color w:val="auto"/>
          <w:highlight w:val="none"/>
        </w:rPr>
      </w:pPr>
      <w:bookmarkStart w:id="590" w:name="_Toc10320"/>
      <w:r>
        <w:rPr>
          <w:rStyle w:val="192"/>
          <w:rFonts w:ascii="宋体" w:hAnsi="宋体" w:eastAsia="宋体" w:cs="宋体"/>
          <w:b w:val="0"/>
          <w:color w:val="auto"/>
          <w:sz w:val="24"/>
          <w:szCs w:val="32"/>
          <w:highlight w:val="none"/>
        </w:rPr>
        <w:t>提供参加本次政府采购活动前一年内</w:t>
      </w:r>
      <w:r>
        <w:rPr>
          <w:rStyle w:val="192"/>
          <w:rFonts w:hint="eastAsia" w:ascii="宋体" w:hAnsi="宋体" w:eastAsia="宋体" w:cs="宋体"/>
          <w:b w:val="0"/>
          <w:color w:val="auto"/>
          <w:sz w:val="24"/>
          <w:szCs w:val="32"/>
          <w:highlight w:val="none"/>
          <w:lang w:eastAsia="zh-CN"/>
        </w:rPr>
        <w:t>至少一个月依法缴纳税收和社会保险的凭据；或提供采购文件要求提供资格承诺函。</w:t>
      </w:r>
      <w:r>
        <w:rPr>
          <w:rStyle w:val="192"/>
          <w:rFonts w:ascii="Times New Roman" w:hAnsi="Times New Roman" w:eastAsia="Times New Roman" w:cs="Times New Roman"/>
          <w:color w:val="auto"/>
          <w:highlight w:val="none"/>
        </w:rPr>
        <w:br w:type="page" w:clear="all"/>
      </w:r>
      <w:r>
        <w:rPr>
          <w:rStyle w:val="192"/>
          <w:rFonts w:ascii="宋体" w:hAnsi="宋体" w:eastAsia="宋体" w:cs="宋体"/>
          <w:b/>
          <w:bCs/>
          <w:color w:val="auto"/>
          <w:sz w:val="28"/>
          <w:highlight w:val="none"/>
        </w:rPr>
        <w:t>(六)落实政府采购政策需满足的资格要求</w:t>
      </w:r>
      <w:bookmarkEnd w:id="590"/>
    </w:p>
    <w:p w14:paraId="3E009A4A">
      <w:pPr>
        <w:pStyle w:val="307"/>
        <w:keepNext w:val="0"/>
        <w:keepLines w:val="0"/>
        <w:pageBreakBefore w:val="0"/>
        <w:widowControl w:val="0"/>
        <w:spacing w:after="157" w:line="360" w:lineRule="auto"/>
        <w:jc w:val="center"/>
        <w:rPr>
          <w:rStyle w:val="192"/>
          <w:rFonts w:hint="eastAsia" w:ascii="宋体" w:hAnsi="宋体" w:eastAsia="宋体" w:cs="Times New Roman"/>
          <w:color w:val="auto"/>
          <w:sz w:val="22"/>
          <w:szCs w:val="22"/>
          <w:highlight w:val="none"/>
        </w:rPr>
      </w:pPr>
      <w:r>
        <w:rPr>
          <w:rStyle w:val="192"/>
          <w:rFonts w:hint="eastAsia" w:ascii="宋体" w:hAnsi="宋体" w:eastAsia="宋体" w:cs="Times New Roman"/>
          <w:b/>
          <w:bCs/>
          <w:color w:val="auto"/>
          <w:sz w:val="24"/>
          <w:szCs w:val="24"/>
          <w:highlight w:val="none"/>
          <w:lang w:eastAsia="zh-CN"/>
        </w:rPr>
        <w:t>中小企业声明函</w:t>
      </w:r>
    </w:p>
    <w:p w14:paraId="7DF1DCCD">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本公司（联合体）郑重声明，根据《政府采购促进中小企业发展管理办法》（财库﹝2020﹞46号）的规定，本公司 （联合体）参加</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hint="eastAsia" w:ascii="宋体" w:hAnsi="宋体" w:cs="Times New Roman"/>
          <w:color w:val="auto"/>
          <w:sz w:val="22"/>
          <w:szCs w:val="22"/>
          <w:highlight w:val="none"/>
          <w:u w:val="single"/>
          <w:lang w:val="en-US" w:eastAsia="zh-CN"/>
        </w:rPr>
        <w:t>江苏省丹阳高级中学</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的</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hint="eastAsia" w:ascii="宋体" w:hAnsi="宋体" w:cs="Times New Roman"/>
          <w:color w:val="auto"/>
          <w:sz w:val="22"/>
          <w:szCs w:val="22"/>
          <w:highlight w:val="none"/>
          <w:u w:val="single"/>
          <w:lang w:val="en-US" w:eastAsia="zh-CN"/>
        </w:rPr>
        <w:t>江苏省丹阳高级中学老校区体育馆屋顶修缮项目</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采购活动，</w:t>
      </w:r>
      <w:r>
        <w:rPr>
          <w:rStyle w:val="192"/>
          <w:rFonts w:hint="eastAsia" w:ascii="宋体" w:hAnsi="宋体" w:eastAsia="宋体" w:cs="Times New Roman"/>
          <w:color w:val="auto"/>
          <w:sz w:val="22"/>
          <w:szCs w:val="22"/>
          <w:highlight w:val="none"/>
        </w:rPr>
        <w:t>工程的施工单位全部为符合政策要求的中小企业</w:t>
      </w:r>
      <w:r>
        <w:rPr>
          <w:rStyle w:val="192"/>
          <w:rFonts w:ascii="宋体" w:hAnsi="宋体" w:eastAsia="宋体" w:cs="Times New Roman"/>
          <w:color w:val="auto"/>
          <w:sz w:val="22"/>
          <w:szCs w:val="22"/>
          <w:highlight w:val="none"/>
        </w:rPr>
        <w:t>。相关企业（含联合体中的中小企业、签订分包意向协议的中小企业）的具体情况如下：</w:t>
      </w:r>
    </w:p>
    <w:p w14:paraId="52517EFE">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 xml:space="preserve"> 1.</w:t>
      </w:r>
      <w:r>
        <w:rPr>
          <w:rStyle w:val="192"/>
          <w:rFonts w:ascii="宋体" w:hAnsi="宋体" w:eastAsia="宋体" w:cs="Times New Roman"/>
          <w:color w:val="auto"/>
          <w:sz w:val="22"/>
          <w:szCs w:val="22"/>
          <w:highlight w:val="none"/>
          <w:u w:val="single"/>
        </w:rPr>
        <w:t xml:space="preserve"> </w:t>
      </w:r>
      <w:r>
        <w:rPr>
          <w:rStyle w:val="192"/>
          <w:rFonts w:hint="eastAsia" w:ascii="宋体" w:hAnsi="宋体" w:cs="Times New Roman"/>
          <w:color w:val="auto"/>
          <w:sz w:val="22"/>
          <w:szCs w:val="22"/>
          <w:highlight w:val="none"/>
          <w:u w:val="single"/>
          <w:lang w:val="en-US" w:eastAsia="zh-CN"/>
        </w:rPr>
        <w:t>江苏省丹阳高级中学老校区体育馆屋顶修缮项目</w:t>
      </w:r>
      <w:r>
        <w:rPr>
          <w:rStyle w:val="192"/>
          <w:rFonts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，属于</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hint="eastAsia" w:ascii="宋体" w:hAnsi="宋体" w:cs="Times New Roman"/>
          <w:color w:val="auto"/>
          <w:sz w:val="22"/>
          <w:szCs w:val="22"/>
          <w:highlight w:val="none"/>
          <w:u w:val="single"/>
          <w:lang w:eastAsia="zh-CN"/>
        </w:rPr>
        <w:t>建筑业</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；承接企业为</w:t>
      </w:r>
      <w:r>
        <w:rPr>
          <w:rStyle w:val="192"/>
          <w:rFonts w:hint="eastAsia" w:ascii="宋体" w:hAnsi="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（企业名称）</w:t>
      </w:r>
      <w:r>
        <w:rPr>
          <w:rStyle w:val="192"/>
          <w:rFonts w:hint="eastAsia" w:ascii="宋体" w:hAnsi="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，从业人员</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人，营业 收入为</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万元，资产总额为</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万元，属于</w:t>
      </w:r>
      <w:r>
        <w:rPr>
          <w:rStyle w:val="192"/>
          <w:rFonts w:hint="eastAsia" w:ascii="宋体" w:hAnsi="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（中型企业、 小型企业、微型企业）</w:t>
      </w:r>
      <w:r>
        <w:rPr>
          <w:rStyle w:val="192"/>
          <w:rFonts w:hint="eastAsia" w:ascii="宋体" w:hAnsi="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 xml:space="preserve">； </w:t>
      </w:r>
    </w:p>
    <w:p w14:paraId="6F889186">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2.</w:t>
      </w:r>
      <w:r>
        <w:rPr>
          <w:rStyle w:val="192"/>
          <w:rFonts w:ascii="宋体" w:hAnsi="宋体" w:eastAsia="宋体" w:cs="Times New Roman"/>
          <w:color w:val="auto"/>
          <w:sz w:val="22"/>
          <w:szCs w:val="22"/>
          <w:highlight w:val="none"/>
          <w:u w:val="single"/>
        </w:rPr>
        <w:t xml:space="preserve"> </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（标的名称）</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，属于</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（采购文件中明确的所属行业）</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；承接企业为</w:t>
      </w:r>
      <w:r>
        <w:rPr>
          <w:rStyle w:val="192"/>
          <w:rFonts w:ascii="宋体" w:hAnsi="宋体" w:eastAsia="宋体" w:cs="Times New Roman"/>
          <w:color w:val="auto"/>
          <w:sz w:val="22"/>
          <w:szCs w:val="22"/>
          <w:highlight w:val="none"/>
          <w:u w:val="single"/>
        </w:rPr>
        <w:t>（企业名称）</w:t>
      </w:r>
      <w:r>
        <w:rPr>
          <w:rStyle w:val="192"/>
          <w:rFonts w:ascii="宋体" w:hAnsi="宋体" w:eastAsia="宋体" w:cs="Times New Roman"/>
          <w:color w:val="auto"/>
          <w:sz w:val="22"/>
          <w:szCs w:val="22"/>
          <w:highlight w:val="none"/>
        </w:rPr>
        <w:t>，从业人员</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人，营业 收入为</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万元，资产总额为</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万元，属于</w:t>
      </w:r>
      <w:r>
        <w:rPr>
          <w:rStyle w:val="192"/>
          <w:rFonts w:ascii="宋体" w:hAnsi="宋体" w:eastAsia="宋体" w:cs="Times New Roman"/>
          <w:color w:val="auto"/>
          <w:sz w:val="22"/>
          <w:szCs w:val="22"/>
          <w:highlight w:val="none"/>
          <w:u w:val="single"/>
        </w:rPr>
        <w:t>（中型企业、 小型企业、微型企业）</w:t>
      </w:r>
      <w:r>
        <w:rPr>
          <w:rStyle w:val="192"/>
          <w:rFonts w:ascii="宋体" w:hAnsi="宋体" w:eastAsia="宋体" w:cs="Times New Roman"/>
          <w:color w:val="auto"/>
          <w:sz w:val="22"/>
          <w:szCs w:val="22"/>
          <w:highlight w:val="none"/>
        </w:rPr>
        <w:t xml:space="preserve">； </w:t>
      </w:r>
    </w:p>
    <w:p w14:paraId="24FD31D6">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 xml:space="preserve">…… </w:t>
      </w:r>
    </w:p>
    <w:p w14:paraId="28F90453">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p>
    <w:p w14:paraId="1345D2F9">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 xml:space="preserve">本企业对上述声明内容的真实性负责。如有虚假，将依 法承担相应责任。 </w:t>
      </w:r>
    </w:p>
    <w:p w14:paraId="2550766A">
      <w:pPr>
        <w:pStyle w:val="307"/>
        <w:spacing w:line="360" w:lineRule="auto"/>
        <w:ind w:firstLine="440"/>
        <w:jc w:val="left"/>
        <w:rPr>
          <w:rStyle w:val="192"/>
          <w:rFonts w:ascii="宋体" w:hAnsi="宋体" w:eastAsia="宋体" w:cs="Times New Roman"/>
          <w:color w:val="auto"/>
          <w:sz w:val="22"/>
          <w:szCs w:val="22"/>
          <w:highlight w:val="none"/>
        </w:rPr>
      </w:pPr>
    </w:p>
    <w:p w14:paraId="7F624519">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企业名称（盖章）：</w:t>
      </w:r>
    </w:p>
    <w:p w14:paraId="16CA29EA">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日 期：</w:t>
      </w:r>
      <w:r>
        <w:rPr>
          <w:rStyle w:val="192"/>
          <w:rFonts w:hint="eastAsia" w:ascii="宋体" w:hAnsi="宋体" w:eastAsia="宋体" w:cs="Times New Roman"/>
          <w:color w:val="auto"/>
          <w:sz w:val="22"/>
          <w:szCs w:val="22"/>
          <w:highlight w:val="none"/>
        </w:rPr>
        <w:t xml:space="preserve">      </w:t>
      </w:r>
    </w:p>
    <w:p w14:paraId="032E123D">
      <w:pPr>
        <w:pStyle w:val="308"/>
        <w:widowControl/>
        <w:spacing w:line="400" w:lineRule="exact"/>
        <w:jc w:val="left"/>
        <w:rPr>
          <w:rStyle w:val="192"/>
          <w:rFonts w:ascii="宋体" w:hAnsi="宋体" w:eastAsia="宋体" w:cs="Times New Roman"/>
          <w:b/>
          <w:bCs/>
          <w:color w:val="auto"/>
          <w:sz w:val="32"/>
          <w:szCs w:val="32"/>
          <w:highlight w:val="none"/>
        </w:rPr>
      </w:pPr>
      <w:r>
        <w:rPr>
          <w:rStyle w:val="192"/>
          <w:rFonts w:hint="eastAsia" w:ascii="宋体" w:hAnsi="宋体" w:eastAsia="宋体" w:cs="Times New Roman"/>
          <w:color w:val="auto"/>
          <w:spacing w:val="6"/>
          <w:szCs w:val="28"/>
          <w:highlight w:val="none"/>
        </w:rPr>
        <w:t>注：</w:t>
      </w:r>
      <w:r>
        <w:rPr>
          <w:rStyle w:val="192"/>
          <w:rFonts w:ascii="宋体" w:hAnsi="宋体" w:eastAsia="宋体" w:cs="Times New Roman"/>
          <w:color w:val="auto"/>
          <w:spacing w:val="6"/>
          <w:szCs w:val="28"/>
          <w:highlight w:val="none"/>
        </w:rPr>
        <w:t>从业人员、营业收入、资产总额填报上一年度数据，无上一年度数据的新成立企业可不填报。</w:t>
      </w:r>
    </w:p>
    <w:p w14:paraId="54DB6D78">
      <w:pPr>
        <w:pStyle w:val="270"/>
        <w:jc w:val="center"/>
        <w:outlineLvl w:val="2"/>
        <w:rPr>
          <w:rStyle w:val="192"/>
          <w:rFonts w:ascii="Times New Roman" w:hAnsi="Times New Roman" w:eastAsia="Times New Roman" w:cs="Times New Roman"/>
          <w:color w:val="auto"/>
          <w:highlight w:val="none"/>
        </w:rPr>
      </w:pPr>
      <w:r>
        <w:rPr>
          <w:rStyle w:val="192"/>
          <w:rFonts w:hint="eastAsia" w:ascii="宋体" w:hAnsi="宋体" w:eastAsia="宋体" w:cs="Times New Roman"/>
          <w:b/>
          <w:bCs/>
          <w:color w:val="auto"/>
          <w:sz w:val="24"/>
          <w:szCs w:val="24"/>
          <w:highlight w:val="none"/>
          <w:lang w:val="en-US" w:eastAsia="zh-CN" w:bidi="ar-SA"/>
        </w:rPr>
        <w:br w:type="page" w:clear="all"/>
      </w:r>
      <w:bookmarkStart w:id="591" w:name="_Toc11813"/>
      <w:bookmarkStart w:id="592" w:name="_Toc16509"/>
      <w:bookmarkStart w:id="593" w:name="_Toc31864"/>
      <w:bookmarkStart w:id="594" w:name="_Toc28782"/>
      <w:bookmarkStart w:id="595" w:name="_Toc25553"/>
      <w:bookmarkStart w:id="596" w:name="_Toc12514"/>
      <w:r>
        <w:rPr>
          <w:rStyle w:val="192"/>
          <w:rFonts w:hint="eastAsia" w:ascii="宋体" w:hAnsi="宋体" w:eastAsia="宋体" w:cs="Times New Roman"/>
          <w:b/>
          <w:bCs/>
          <w:color w:val="auto"/>
          <w:sz w:val="24"/>
          <w:szCs w:val="24"/>
          <w:highlight w:val="none"/>
          <w:lang w:val="en-US" w:eastAsia="zh-CN" w:bidi="ar-SA"/>
        </w:rPr>
        <w:t>残疾人福利性单位声明函（如有）</w:t>
      </w:r>
      <w:bookmarkEnd w:id="591"/>
      <w:bookmarkEnd w:id="592"/>
      <w:bookmarkEnd w:id="593"/>
      <w:bookmarkEnd w:id="594"/>
      <w:bookmarkEnd w:id="595"/>
      <w:bookmarkEnd w:id="596"/>
    </w:p>
    <w:p w14:paraId="5EAA485E">
      <w:pPr>
        <w:pStyle w:val="270"/>
        <w:jc w:val="center"/>
        <w:outlineLvl w:val="2"/>
        <w:rPr>
          <w:rStyle w:val="192"/>
          <w:rFonts w:ascii="Times New Roman" w:hAnsi="Times New Roman" w:eastAsia="Times New Roman" w:cs="Times New Roman"/>
          <w:color w:val="auto"/>
          <w:highlight w:val="none"/>
        </w:rPr>
      </w:pPr>
    </w:p>
    <w:p w14:paraId="22CBD2CB">
      <w:pPr>
        <w:pStyle w:val="270"/>
        <w:keepNext w:val="0"/>
        <w:keepLines w:val="0"/>
        <w:pageBreakBefore w:val="0"/>
        <w:widowControl/>
        <w:spacing w:line="360" w:lineRule="auto"/>
        <w:ind w:firstLine="440"/>
        <w:jc w:val="left"/>
        <w:outlineLvl w:val="2"/>
        <w:rPr>
          <w:rStyle w:val="192"/>
          <w:rFonts w:ascii="宋体" w:hAnsi="宋体" w:eastAsia="宋体" w:cs="Times New Roman"/>
          <w:color w:val="auto"/>
          <w:sz w:val="22"/>
          <w:szCs w:val="22"/>
          <w:highlight w:val="none"/>
        </w:rPr>
      </w:pPr>
      <w:bookmarkStart w:id="597" w:name="_Toc18950"/>
      <w:bookmarkStart w:id="598" w:name="_Toc9693"/>
      <w:bookmarkStart w:id="599" w:name="_Toc27212"/>
      <w:bookmarkStart w:id="600" w:name="_Toc25545"/>
      <w:bookmarkStart w:id="601" w:name="_Toc32405"/>
      <w:bookmarkStart w:id="602" w:name="_Toc13534"/>
      <w:r>
        <w:rPr>
          <w:rStyle w:val="192"/>
          <w:rFonts w:hint="eastAsia" w:ascii="宋体" w:hAnsi="宋体" w:eastAsia="宋体" w:cs="Times New Roman"/>
          <w:color w:val="auto"/>
          <w:sz w:val="22"/>
          <w:szCs w:val="22"/>
          <w:highlight w:val="none"/>
          <w:lang w:val="en-US" w:eastAsia="zh-CN" w:bidi="ar-S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597"/>
      <w:bookmarkEnd w:id="598"/>
      <w:bookmarkEnd w:id="599"/>
      <w:bookmarkEnd w:id="600"/>
      <w:bookmarkEnd w:id="601"/>
      <w:bookmarkEnd w:id="602"/>
    </w:p>
    <w:p w14:paraId="60324A14">
      <w:pPr>
        <w:pStyle w:val="270"/>
        <w:keepNext w:val="0"/>
        <w:keepLines w:val="0"/>
        <w:pageBreakBefore w:val="0"/>
        <w:widowControl/>
        <w:spacing w:line="360" w:lineRule="auto"/>
        <w:jc w:val="left"/>
        <w:outlineLvl w:val="2"/>
        <w:rPr>
          <w:rStyle w:val="192"/>
          <w:rFonts w:ascii="宋体" w:hAnsi="宋体" w:eastAsia="宋体" w:cs="Times New Roman"/>
          <w:color w:val="auto"/>
          <w:sz w:val="22"/>
          <w:szCs w:val="22"/>
          <w:highlight w:val="none"/>
        </w:rPr>
      </w:pPr>
      <w:bookmarkStart w:id="603" w:name="_Toc26634"/>
      <w:bookmarkStart w:id="604" w:name="_Toc811"/>
      <w:bookmarkStart w:id="605" w:name="_Toc27674"/>
      <w:bookmarkStart w:id="606" w:name="_Toc512"/>
      <w:bookmarkStart w:id="607" w:name="_Toc7650"/>
      <w:bookmarkStart w:id="608" w:name="_Toc13644"/>
      <w:r>
        <w:rPr>
          <w:rStyle w:val="192"/>
          <w:rFonts w:hint="eastAsia" w:ascii="宋体" w:hAnsi="宋体" w:eastAsia="宋体" w:cs="Times New Roman"/>
          <w:color w:val="auto"/>
          <w:sz w:val="22"/>
          <w:szCs w:val="22"/>
          <w:highlight w:val="none"/>
          <w:lang w:val="en-US" w:eastAsia="zh-CN" w:bidi="ar-SA"/>
        </w:rPr>
        <w:t>本单位对上述声明的真实性负责。如有虚假，将依法承担相应责任。</w:t>
      </w:r>
      <w:bookmarkEnd w:id="603"/>
      <w:bookmarkEnd w:id="604"/>
      <w:bookmarkEnd w:id="605"/>
      <w:bookmarkEnd w:id="606"/>
      <w:bookmarkEnd w:id="607"/>
      <w:bookmarkEnd w:id="608"/>
    </w:p>
    <w:p w14:paraId="08930109">
      <w:pPr>
        <w:pStyle w:val="270"/>
        <w:keepNext w:val="0"/>
        <w:keepLines w:val="0"/>
        <w:pageBreakBefore w:val="0"/>
        <w:widowControl/>
        <w:spacing w:line="360" w:lineRule="auto"/>
        <w:jc w:val="left"/>
        <w:outlineLvl w:val="2"/>
        <w:rPr>
          <w:rStyle w:val="192"/>
          <w:rFonts w:ascii="宋体" w:hAnsi="宋体" w:eastAsia="宋体" w:cs="Times New Roman"/>
          <w:color w:val="auto"/>
          <w:sz w:val="22"/>
          <w:szCs w:val="22"/>
          <w:highlight w:val="none"/>
        </w:rPr>
      </w:pPr>
    </w:p>
    <w:p w14:paraId="42FD8348">
      <w:pPr>
        <w:pStyle w:val="270"/>
        <w:keepNext w:val="0"/>
        <w:keepLines w:val="0"/>
        <w:pageBreakBefore w:val="0"/>
        <w:widowControl/>
        <w:spacing w:line="360" w:lineRule="auto"/>
        <w:jc w:val="left"/>
        <w:outlineLvl w:val="2"/>
        <w:rPr>
          <w:rStyle w:val="192"/>
          <w:rFonts w:ascii="宋体" w:hAnsi="宋体" w:eastAsia="宋体" w:cs="Times New Roman"/>
          <w:color w:val="auto"/>
          <w:sz w:val="22"/>
          <w:szCs w:val="22"/>
          <w:highlight w:val="none"/>
        </w:rPr>
      </w:pPr>
    </w:p>
    <w:p w14:paraId="2A3CE1E6">
      <w:pPr>
        <w:pStyle w:val="270"/>
        <w:keepNext w:val="0"/>
        <w:keepLines w:val="0"/>
        <w:pageBreakBefore w:val="0"/>
        <w:widowControl/>
        <w:spacing w:line="360" w:lineRule="auto"/>
        <w:ind w:firstLine="2200"/>
        <w:jc w:val="center"/>
        <w:outlineLvl w:val="2"/>
        <w:rPr>
          <w:rStyle w:val="192"/>
          <w:rFonts w:hint="eastAsia" w:ascii="宋体" w:hAnsi="宋体" w:eastAsia="宋体" w:cs="Times New Roman"/>
          <w:color w:val="auto"/>
          <w:sz w:val="22"/>
          <w:szCs w:val="22"/>
          <w:highlight w:val="none"/>
        </w:rPr>
      </w:pPr>
      <w:bookmarkStart w:id="609" w:name="_Toc16699"/>
      <w:bookmarkStart w:id="610" w:name="_Toc6106"/>
      <w:bookmarkStart w:id="611" w:name="_Toc1390"/>
      <w:bookmarkStart w:id="612" w:name="_Toc25329"/>
      <w:bookmarkStart w:id="613" w:name="_Toc13241"/>
      <w:bookmarkStart w:id="614" w:name="_Toc5065"/>
      <w:r>
        <w:rPr>
          <w:rStyle w:val="192"/>
          <w:rFonts w:hint="eastAsia" w:ascii="宋体" w:hAnsi="宋体" w:eastAsia="宋体" w:cs="Times New Roman"/>
          <w:color w:val="auto"/>
          <w:sz w:val="22"/>
          <w:szCs w:val="22"/>
          <w:highlight w:val="none"/>
          <w:lang w:val="en-US" w:eastAsia="zh-CN" w:bidi="ar-SA"/>
        </w:rPr>
        <w:t>单位名称（盖章）：</w:t>
      </w:r>
      <w:bookmarkEnd w:id="609"/>
      <w:bookmarkEnd w:id="610"/>
      <w:bookmarkEnd w:id="611"/>
      <w:bookmarkEnd w:id="612"/>
      <w:bookmarkEnd w:id="613"/>
      <w:bookmarkEnd w:id="614"/>
    </w:p>
    <w:p w14:paraId="359B65DC">
      <w:pPr>
        <w:pStyle w:val="270"/>
        <w:keepNext w:val="0"/>
        <w:keepLines w:val="0"/>
        <w:pageBreakBefore w:val="0"/>
        <w:widowControl/>
        <w:spacing w:line="360" w:lineRule="auto"/>
        <w:ind w:firstLine="2200"/>
        <w:jc w:val="center"/>
        <w:outlineLvl w:val="2"/>
        <w:rPr>
          <w:rStyle w:val="192"/>
          <w:rFonts w:hint="eastAsia" w:ascii="宋体" w:hAnsi="宋体" w:eastAsia="宋体" w:cs="Times New Roman"/>
          <w:color w:val="auto"/>
          <w:sz w:val="22"/>
          <w:szCs w:val="22"/>
          <w:highlight w:val="none"/>
        </w:rPr>
      </w:pPr>
      <w:bookmarkStart w:id="615" w:name="_Toc19293"/>
      <w:bookmarkStart w:id="616" w:name="_Toc11414"/>
      <w:bookmarkStart w:id="617" w:name="_Toc32239"/>
      <w:bookmarkStart w:id="618" w:name="_Toc22676"/>
      <w:bookmarkStart w:id="619" w:name="_Toc3870"/>
      <w:bookmarkStart w:id="620" w:name="_Toc4109"/>
      <w:r>
        <w:rPr>
          <w:rStyle w:val="192"/>
          <w:rFonts w:hint="eastAsia" w:ascii="宋体" w:hAnsi="宋体" w:eastAsia="宋体" w:cs="Times New Roman"/>
          <w:color w:val="auto"/>
          <w:sz w:val="22"/>
          <w:szCs w:val="22"/>
          <w:highlight w:val="none"/>
          <w:lang w:val="en-US" w:eastAsia="zh-CN" w:bidi="ar-SA"/>
        </w:rPr>
        <w:t>日  期：</w:t>
      </w:r>
      <w:bookmarkEnd w:id="615"/>
      <w:bookmarkEnd w:id="616"/>
      <w:bookmarkEnd w:id="617"/>
      <w:bookmarkEnd w:id="618"/>
      <w:bookmarkEnd w:id="619"/>
      <w:bookmarkEnd w:id="620"/>
    </w:p>
    <w:p w14:paraId="0BC1AF52">
      <w:pPr>
        <w:pStyle w:val="270"/>
        <w:keepNext w:val="0"/>
        <w:keepLines w:val="0"/>
        <w:pageBreakBefore w:val="0"/>
        <w:widowControl/>
        <w:spacing w:line="360" w:lineRule="auto"/>
        <w:jc w:val="center"/>
        <w:outlineLvl w:val="2"/>
        <w:rPr>
          <w:rStyle w:val="192"/>
          <w:rFonts w:ascii="Times New Roman" w:hAnsi="Times New Roman" w:eastAsia="Times New Roman" w:cs="Times New Roman"/>
          <w:color w:val="auto"/>
          <w:highlight w:val="none"/>
        </w:rPr>
      </w:pPr>
      <w:r>
        <w:rPr>
          <w:rStyle w:val="192"/>
          <w:rFonts w:ascii="宋体" w:hAnsi="宋体" w:eastAsia="宋体" w:cs="宋体"/>
          <w:b w:val="0"/>
          <w:color w:val="auto"/>
          <w:sz w:val="28"/>
          <w:highlight w:val="none"/>
        </w:rPr>
        <w:br w:type="page" w:clear="all"/>
      </w:r>
      <w:bookmarkStart w:id="621" w:name="_Toc20707"/>
      <w:r>
        <w:rPr>
          <w:rStyle w:val="192"/>
          <w:rFonts w:ascii="宋体" w:hAnsi="宋体" w:eastAsia="宋体" w:cs="宋体"/>
          <w:b/>
          <w:bCs/>
          <w:color w:val="auto"/>
          <w:sz w:val="28"/>
          <w:highlight w:val="none"/>
        </w:rPr>
        <w:t>(</w:t>
      </w:r>
      <w:r>
        <w:rPr>
          <w:rStyle w:val="192"/>
          <w:rFonts w:hint="eastAsia" w:ascii="宋体" w:hAnsi="宋体" w:eastAsia="宋体" w:cs="宋体"/>
          <w:b/>
          <w:bCs/>
          <w:color w:val="auto"/>
          <w:sz w:val="28"/>
          <w:highlight w:val="none"/>
          <w:lang w:eastAsia="zh-CN"/>
        </w:rPr>
        <w:t>七</w:t>
      </w:r>
      <w:r>
        <w:rPr>
          <w:rStyle w:val="192"/>
          <w:rFonts w:ascii="宋体" w:hAnsi="宋体" w:eastAsia="宋体" w:cs="宋体"/>
          <w:b/>
          <w:bCs/>
          <w:color w:val="auto"/>
          <w:sz w:val="28"/>
          <w:highlight w:val="none"/>
        </w:rPr>
        <w:t>)本项目的特定资格要求</w:t>
      </w:r>
      <w:bookmarkEnd w:id="621"/>
    </w:p>
    <w:p w14:paraId="3F92B4BE">
      <w:pPr>
        <w:pStyle w:val="254"/>
        <w:keepNext w:val="0"/>
        <w:keepLines w:val="0"/>
        <w:pageBreakBefore w:val="0"/>
        <w:widowControl/>
        <w:spacing w:line="360" w:lineRule="auto"/>
        <w:ind w:firstLine="480"/>
        <w:jc w:val="left"/>
        <w:rPr>
          <w:rStyle w:val="192"/>
          <w:rFonts w:hint="eastAsia" w:ascii="宋体" w:hAnsi="宋体" w:eastAsia="宋体" w:cs="宋体"/>
          <w:b w:val="0"/>
          <w:color w:val="auto"/>
          <w:sz w:val="24"/>
          <w:szCs w:val="24"/>
          <w:highlight w:val="none"/>
        </w:rPr>
      </w:pPr>
      <w:r>
        <w:rPr>
          <w:rStyle w:val="192"/>
          <w:rFonts w:ascii="宋体" w:hAnsi="宋体" w:eastAsia="宋体" w:cs="宋体"/>
          <w:b w:val="0"/>
          <w:color w:val="auto"/>
          <w:sz w:val="24"/>
          <w:szCs w:val="24"/>
          <w:highlight w:val="none"/>
        </w:rPr>
        <w:t>（1）提供企业有效的资质证书（原件扫描件）</w:t>
      </w:r>
    </w:p>
    <w:p w14:paraId="6FCB5807">
      <w:pPr>
        <w:pStyle w:val="254"/>
        <w:keepNext w:val="0"/>
        <w:keepLines w:val="0"/>
        <w:pageBreakBefore w:val="0"/>
        <w:widowControl/>
        <w:spacing w:line="360" w:lineRule="auto"/>
        <w:ind w:firstLine="480"/>
        <w:jc w:val="left"/>
        <w:rPr>
          <w:rStyle w:val="192"/>
          <w:rFonts w:ascii="宋体" w:hAnsi="宋体" w:eastAsia="宋体" w:cs="宋体"/>
          <w:b w:val="0"/>
          <w:color w:val="auto"/>
          <w:sz w:val="24"/>
          <w:szCs w:val="24"/>
          <w:highlight w:val="none"/>
        </w:rPr>
      </w:pPr>
      <w:r>
        <w:rPr>
          <w:rStyle w:val="192"/>
          <w:rFonts w:ascii="宋体" w:hAnsi="宋体" w:eastAsia="宋体" w:cs="宋体"/>
          <w:b w:val="0"/>
          <w:color w:val="auto"/>
          <w:sz w:val="24"/>
          <w:szCs w:val="24"/>
          <w:highlight w:val="none"/>
        </w:rPr>
        <w:t>（2）提供企业有效的安全生产许可证（原件扫描件）</w:t>
      </w:r>
    </w:p>
    <w:p w14:paraId="0FD4EF6C">
      <w:pPr>
        <w:pStyle w:val="254"/>
        <w:keepNext w:val="0"/>
        <w:keepLines w:val="0"/>
        <w:pageBreakBefore w:val="0"/>
        <w:widowControl/>
        <w:spacing w:line="360" w:lineRule="auto"/>
        <w:ind w:firstLine="480"/>
        <w:jc w:val="left"/>
        <w:rPr>
          <w:rStyle w:val="192"/>
          <w:rFonts w:hint="eastAsia" w:ascii="宋体" w:hAnsi="宋体" w:eastAsia="宋体" w:cs="宋体"/>
          <w:b w:val="0"/>
          <w:color w:val="auto"/>
          <w:sz w:val="24"/>
          <w:szCs w:val="24"/>
          <w:highlight w:val="none"/>
        </w:rPr>
      </w:pPr>
      <w:r>
        <w:rPr>
          <w:rStyle w:val="192"/>
          <w:rFonts w:ascii="宋体" w:hAnsi="宋体" w:eastAsia="宋体" w:cs="宋体"/>
          <w:b w:val="0"/>
          <w:color w:val="auto"/>
          <w:sz w:val="24"/>
          <w:szCs w:val="24"/>
          <w:highlight w:val="none"/>
        </w:rPr>
        <w:t>（3）提供拟派项目负责人</w:t>
      </w:r>
      <w:r>
        <w:rPr>
          <w:rStyle w:val="192"/>
          <w:rFonts w:hint="eastAsia" w:ascii="宋体" w:hAnsi="宋体" w:eastAsia="宋体" w:cs="宋体"/>
          <w:b w:val="0"/>
          <w:color w:val="auto"/>
          <w:sz w:val="24"/>
          <w:szCs w:val="24"/>
          <w:highlight w:val="none"/>
          <w:lang w:eastAsia="zh-CN"/>
        </w:rPr>
        <w:t>有效的</w:t>
      </w:r>
      <w:r>
        <w:rPr>
          <w:rStyle w:val="192"/>
          <w:rFonts w:ascii="宋体" w:hAnsi="宋体" w:eastAsia="宋体" w:cs="宋体"/>
          <w:b w:val="0"/>
          <w:color w:val="auto"/>
          <w:sz w:val="24"/>
          <w:szCs w:val="24"/>
          <w:highlight w:val="none"/>
        </w:rPr>
        <w:t>建造师注册证书、提供项目负责人有效的安全生产考核合格证（B类证书）（原件扫描件）</w:t>
      </w:r>
    </w:p>
    <w:p w14:paraId="7C91F4A9">
      <w:pPr>
        <w:pStyle w:val="271"/>
        <w:keepNext w:val="0"/>
        <w:keepLines w:val="0"/>
        <w:pageBreakBefore w:val="0"/>
        <w:widowControl/>
        <w:spacing w:line="360" w:lineRule="auto"/>
        <w:ind w:firstLine="480"/>
        <w:jc w:val="left"/>
        <w:outlineLvl w:val="2"/>
        <w:rPr>
          <w:rStyle w:val="192"/>
          <w:rFonts w:ascii="宋体" w:hAnsi="宋体" w:eastAsia="宋体" w:cs="宋体"/>
          <w:b w:val="0"/>
          <w:color w:val="auto"/>
          <w:sz w:val="28"/>
          <w:szCs w:val="28"/>
          <w:highlight w:val="none"/>
        </w:rPr>
      </w:pPr>
      <w:bookmarkStart w:id="622" w:name="_Toc28049"/>
      <w:r>
        <w:rPr>
          <w:rStyle w:val="192"/>
          <w:rFonts w:ascii="宋体" w:hAnsi="宋体" w:eastAsia="宋体" w:cs="宋体"/>
          <w:b w:val="0"/>
          <w:color w:val="auto"/>
          <w:sz w:val="24"/>
          <w:szCs w:val="24"/>
          <w:highlight w:val="none"/>
        </w:rPr>
        <w:t>（4）投标人提供为项目负责人缴纳的</w:t>
      </w:r>
      <w:r>
        <w:rPr>
          <w:rStyle w:val="192"/>
          <w:rFonts w:hint="eastAsia" w:ascii="宋体" w:hAnsi="宋体" w:eastAsia="宋体" w:cs="宋体"/>
          <w:b w:val="0"/>
          <w:color w:val="auto"/>
          <w:sz w:val="24"/>
          <w:szCs w:val="24"/>
          <w:highlight w:val="none"/>
          <w:lang w:val="en-US" w:eastAsia="zh-CN"/>
        </w:rPr>
        <w:t>2026年5月</w:t>
      </w:r>
      <w:r>
        <w:rPr>
          <w:rStyle w:val="192"/>
          <w:rFonts w:ascii="宋体" w:hAnsi="宋体" w:eastAsia="宋体" w:cs="宋体"/>
          <w:b w:val="0"/>
          <w:color w:val="auto"/>
          <w:sz w:val="24"/>
          <w:szCs w:val="24"/>
          <w:highlight w:val="none"/>
        </w:rPr>
        <w:t>的社会保险证明（原件扫描件）</w:t>
      </w:r>
      <w:r>
        <w:rPr>
          <w:rStyle w:val="192"/>
          <w:rFonts w:hint="eastAsia" w:ascii="宋体" w:hAnsi="宋体" w:eastAsia="宋体" w:cs="宋体"/>
          <w:b w:val="0"/>
          <w:color w:val="auto"/>
          <w:sz w:val="24"/>
          <w:szCs w:val="24"/>
          <w:highlight w:val="none"/>
          <w:lang w:eastAsia="zh-CN"/>
        </w:rPr>
        <w:t>（</w:t>
      </w:r>
      <w:r>
        <w:rPr>
          <w:rStyle w:val="192"/>
          <w:rFonts w:hint="eastAsia" w:ascii="宋体" w:hAnsi="宋体" w:eastAsia="宋体" w:cs="宋体"/>
          <w:b w:val="0"/>
          <w:color w:val="auto"/>
          <w:sz w:val="24"/>
          <w:szCs w:val="24"/>
          <w:highlight w:val="none"/>
          <w:lang w:val="en-US" w:eastAsia="zh-CN"/>
        </w:rPr>
        <w:t>项目经理达到国家法定退休年龄的，无需提供社保证明材料；项目经理未达到国家法定退休年龄，但提前退休的，提供人力资源和社会保障部门出具的退休证明材料。</w:t>
      </w:r>
      <w:r>
        <w:rPr>
          <w:rStyle w:val="192"/>
          <w:rFonts w:hint="eastAsia" w:ascii="宋体" w:hAnsi="宋体" w:eastAsia="宋体" w:cs="宋体"/>
          <w:b w:val="0"/>
          <w:color w:val="auto"/>
          <w:sz w:val="24"/>
          <w:szCs w:val="24"/>
          <w:highlight w:val="none"/>
          <w:lang w:eastAsia="zh-CN"/>
        </w:rPr>
        <w:t>）</w:t>
      </w:r>
      <w:bookmarkEnd w:id="622"/>
    </w:p>
    <w:p w14:paraId="7753262E">
      <w:pPr>
        <w:pStyle w:val="271"/>
        <w:keepNext w:val="0"/>
        <w:keepLines w:val="0"/>
        <w:pageBreakBefore w:val="0"/>
        <w:widowControl/>
        <w:spacing w:line="360" w:lineRule="auto"/>
        <w:jc w:val="left"/>
        <w:outlineLvl w:val="2"/>
        <w:rPr>
          <w:rStyle w:val="192"/>
          <w:rFonts w:ascii="宋体" w:hAnsi="宋体" w:eastAsia="宋体" w:cs="宋体"/>
          <w:b w:val="0"/>
          <w:color w:val="auto"/>
          <w:sz w:val="24"/>
          <w:szCs w:val="32"/>
          <w:highlight w:val="none"/>
        </w:rPr>
      </w:pPr>
    </w:p>
    <w:p w14:paraId="7167810C">
      <w:pPr>
        <w:rPr>
          <w:rStyle w:val="192"/>
          <w:rFonts w:ascii="宋体" w:hAnsi="宋体" w:eastAsia="宋体" w:cs="宋体"/>
          <w:b/>
          <w:bCs/>
          <w:color w:val="auto"/>
          <w:sz w:val="28"/>
          <w:highlight w:val="none"/>
        </w:rPr>
      </w:pPr>
      <w:r>
        <w:rPr>
          <w:rStyle w:val="192"/>
          <w:rFonts w:ascii="宋体" w:hAnsi="宋体" w:eastAsia="宋体" w:cs="宋体"/>
          <w:b/>
          <w:bCs/>
          <w:color w:val="auto"/>
          <w:sz w:val="28"/>
          <w:highlight w:val="none"/>
        </w:rPr>
        <w:br w:type="page" w:clear="all"/>
      </w:r>
    </w:p>
    <w:p w14:paraId="44EB771F">
      <w:pPr>
        <w:pStyle w:val="271"/>
        <w:keepNext w:val="0"/>
        <w:keepLines w:val="0"/>
        <w:pageBreakBefore w:val="0"/>
        <w:widowControl/>
        <w:spacing w:line="360" w:lineRule="auto"/>
        <w:jc w:val="center"/>
        <w:outlineLvl w:val="2"/>
        <w:rPr>
          <w:rStyle w:val="192"/>
          <w:rFonts w:ascii="Times New Roman" w:hAnsi="Times New Roman" w:eastAsia="Times New Roman" w:cs="Times New Roman"/>
          <w:color w:val="auto"/>
          <w:highlight w:val="none"/>
        </w:rPr>
      </w:pPr>
      <w:bookmarkStart w:id="623" w:name="_Toc4837"/>
      <w:r>
        <w:rPr>
          <w:rStyle w:val="192"/>
          <w:rFonts w:ascii="宋体" w:hAnsi="宋体" w:eastAsia="宋体" w:cs="宋体"/>
          <w:b/>
          <w:bCs/>
          <w:color w:val="auto"/>
          <w:sz w:val="28"/>
          <w:highlight w:val="none"/>
        </w:rPr>
        <w:t>(</w:t>
      </w:r>
      <w:r>
        <w:rPr>
          <w:rStyle w:val="192"/>
          <w:rFonts w:hint="eastAsia" w:ascii="宋体" w:hAnsi="宋体" w:eastAsia="宋体" w:cs="宋体"/>
          <w:b/>
          <w:bCs/>
          <w:color w:val="auto"/>
          <w:sz w:val="28"/>
          <w:highlight w:val="none"/>
          <w:lang w:eastAsia="zh-CN"/>
        </w:rPr>
        <w:t>八</w:t>
      </w:r>
      <w:r>
        <w:rPr>
          <w:rStyle w:val="192"/>
          <w:rFonts w:ascii="宋体" w:hAnsi="宋体" w:eastAsia="宋体" w:cs="宋体"/>
          <w:b/>
          <w:bCs/>
          <w:color w:val="auto"/>
          <w:sz w:val="28"/>
          <w:highlight w:val="none"/>
        </w:rPr>
        <w:t>)法定代表人（负责人）身份证明书</w:t>
      </w:r>
      <w:bookmarkEnd w:id="623"/>
    </w:p>
    <w:p w14:paraId="758F477B">
      <w:pPr>
        <w:pStyle w:val="272"/>
        <w:spacing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宋体"/>
          <w:color w:val="auto"/>
          <w:sz w:val="28"/>
          <w:szCs w:val="28"/>
          <w:highlight w:val="none"/>
        </w:rPr>
        <w:t>兹</w:t>
      </w:r>
      <w:r>
        <w:rPr>
          <w:rStyle w:val="233"/>
          <w:rFonts w:hint="eastAsia" w:ascii="宋体" w:hAnsi="宋体" w:eastAsia="宋体" w:cs="宋体"/>
          <w:color w:val="auto"/>
          <w:sz w:val="28"/>
          <w:szCs w:val="28"/>
          <w:highlight w:val="none"/>
        </w:rPr>
        <w:t>证明</w:t>
      </w:r>
      <w:r>
        <w:rPr>
          <w:rStyle w:val="233"/>
          <w:rFonts w:hint="eastAsia" w:ascii="宋体" w:hAnsi="宋体" w:eastAsia="宋体" w:cs="宋体"/>
          <w:color w:val="auto"/>
          <w:sz w:val="28"/>
          <w:szCs w:val="28"/>
          <w:highlight w:val="none"/>
          <w:u w:val="single"/>
          <w:lang w:val="en-US" w:eastAsia="zh-CN"/>
        </w:rPr>
        <w:t xml:space="preserve">   </w:t>
      </w:r>
      <w:r>
        <w:rPr>
          <w:rStyle w:val="233"/>
          <w:rFonts w:hint="eastAsia" w:ascii="宋体" w:hAnsi="宋体" w:eastAsia="宋体" w:cs="宋体"/>
          <w:b/>
          <w:color w:val="auto"/>
          <w:sz w:val="24"/>
          <w:highlight w:val="none"/>
          <w:u w:val="single"/>
        </w:rPr>
        <w:t>姓名</w:t>
      </w:r>
      <w:r>
        <w:rPr>
          <w:rStyle w:val="233"/>
          <w:rFonts w:hint="eastAsia" w:ascii="宋体" w:hAnsi="宋体" w:eastAsia="宋体" w:cs="宋体"/>
          <w:b/>
          <w:color w:val="auto"/>
          <w:sz w:val="24"/>
          <w:highlight w:val="none"/>
          <w:u w:val="single"/>
          <w:lang w:val="en-US" w:eastAsia="zh-CN"/>
        </w:rPr>
        <w:t xml:space="preserve">    </w:t>
      </w:r>
      <w:r>
        <w:rPr>
          <w:rStyle w:val="233"/>
          <w:rFonts w:hint="eastAsia" w:ascii="宋体" w:hAnsi="宋体" w:eastAsia="宋体" w:cs="宋体"/>
          <w:color w:val="auto"/>
          <w:sz w:val="28"/>
          <w:szCs w:val="28"/>
          <w:highlight w:val="none"/>
        </w:rPr>
        <w:t>同志，性别</w:t>
      </w:r>
      <w:r>
        <w:rPr>
          <w:rStyle w:val="233"/>
          <w:rFonts w:hint="eastAsia" w:ascii="宋体" w:hAnsi="宋体" w:eastAsia="宋体" w:cs="宋体"/>
          <w:b/>
          <w:color w:val="auto"/>
          <w:sz w:val="24"/>
          <w:highlight w:val="none"/>
          <w:u w:val="single"/>
          <w:lang w:val="en-US" w:eastAsia="zh-CN"/>
        </w:rPr>
        <w:t xml:space="preserve">        </w:t>
      </w:r>
      <w:r>
        <w:rPr>
          <w:rStyle w:val="233"/>
          <w:rFonts w:hint="eastAsia" w:ascii="宋体" w:hAnsi="宋体" w:eastAsia="宋体" w:cs="宋体"/>
          <w:color w:val="auto"/>
          <w:sz w:val="28"/>
          <w:szCs w:val="28"/>
          <w:highlight w:val="none"/>
        </w:rPr>
        <w:t>，</w:t>
      </w:r>
      <w:r>
        <w:rPr>
          <w:rStyle w:val="233"/>
          <w:rFonts w:hint="eastAsia" w:ascii="宋体" w:hAnsi="宋体" w:eastAsia="宋体" w:cs="宋体"/>
          <w:color w:val="auto"/>
          <w:sz w:val="28"/>
          <w:highlight w:val="none"/>
        </w:rPr>
        <w:t>居民身份证号</w:t>
      </w:r>
      <w:r>
        <w:rPr>
          <w:rStyle w:val="233"/>
          <w:rFonts w:hint="eastAsia" w:ascii="宋体" w:hAnsi="宋体" w:eastAsia="宋体" w:cs="宋体"/>
          <w:b/>
          <w:color w:val="auto"/>
          <w:sz w:val="24"/>
          <w:highlight w:val="none"/>
          <w:u w:val="single"/>
          <w:lang w:val="en-US" w:eastAsia="zh-CN"/>
        </w:rPr>
        <w:t xml:space="preserve">        </w:t>
      </w:r>
      <w:r>
        <w:rPr>
          <w:rStyle w:val="233"/>
          <w:rFonts w:hint="eastAsia" w:ascii="宋体" w:hAnsi="宋体" w:eastAsia="宋体" w:cs="宋体"/>
          <w:color w:val="auto"/>
          <w:sz w:val="28"/>
          <w:szCs w:val="28"/>
          <w:highlight w:val="none"/>
        </w:rPr>
        <w:t>，在我单位任</w:t>
      </w:r>
      <w:r>
        <w:rPr>
          <w:rStyle w:val="233"/>
          <w:rFonts w:hint="eastAsia" w:ascii="宋体" w:hAnsi="宋体" w:eastAsia="宋体" w:cs="宋体"/>
          <w:color w:val="auto"/>
          <w:sz w:val="28"/>
          <w:szCs w:val="28"/>
          <w:highlight w:val="none"/>
          <w:u w:val="single"/>
        </w:rPr>
        <w:t xml:space="preserve">               </w:t>
      </w:r>
      <w:r>
        <w:rPr>
          <w:rStyle w:val="233"/>
          <w:rFonts w:hint="eastAsia" w:ascii="宋体" w:hAnsi="宋体" w:eastAsia="宋体" w:cs="宋体"/>
          <w:color w:val="auto"/>
          <w:sz w:val="28"/>
          <w:szCs w:val="28"/>
          <w:highlight w:val="none"/>
        </w:rPr>
        <w:t>职务，系我单位主要负责人即法定代表人。</w:t>
      </w:r>
    </w:p>
    <w:p w14:paraId="7947F61C">
      <w:pPr>
        <w:pStyle w:val="272"/>
        <w:spacing w:line="360" w:lineRule="auto"/>
        <w:ind w:firstLine="560"/>
        <w:rPr>
          <w:rStyle w:val="192"/>
          <w:rFonts w:ascii="宋体" w:hAnsi="宋体" w:eastAsia="宋体" w:cs="Times New Roman"/>
          <w:color w:val="auto"/>
          <w:sz w:val="28"/>
          <w:szCs w:val="28"/>
          <w:highlight w:val="none"/>
        </w:rPr>
      </w:pPr>
    </w:p>
    <w:p w14:paraId="57ACCCC5">
      <w:pPr>
        <w:pStyle w:val="272"/>
        <w:spacing w:line="360" w:lineRule="auto"/>
        <w:ind w:firstLine="560"/>
        <w:rPr>
          <w:rStyle w:val="192"/>
          <w:rFonts w:ascii="宋体" w:hAnsi="宋体" w:eastAsia="宋体" w:cs="Times New Roman"/>
          <w:color w:val="auto"/>
          <w:sz w:val="28"/>
          <w:szCs w:val="28"/>
          <w:highlight w:val="none"/>
        </w:rPr>
      </w:pPr>
    </w:p>
    <w:p w14:paraId="63E631D6">
      <w:pPr>
        <w:pStyle w:val="272"/>
        <w:keepNext w:val="0"/>
        <w:keepLines w:val="0"/>
        <w:pageBreakBefore w:val="0"/>
        <w:widowControl w:val="0"/>
        <w:spacing w:before="313" w:after="313"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单位地址：</w:t>
      </w:r>
      <w:r>
        <w:rPr>
          <w:rStyle w:val="192"/>
          <w:rFonts w:hint="eastAsia" w:ascii="宋体" w:hAnsi="宋体" w:cs="Times New Roman"/>
          <w:b/>
          <w:color w:val="auto"/>
          <w:sz w:val="24"/>
          <w:highlight w:val="none"/>
          <w:u w:val="single"/>
          <w:lang w:val="en-US" w:eastAsia="zh-CN"/>
        </w:rPr>
        <w:t xml:space="preserve">           </w:t>
      </w:r>
    </w:p>
    <w:p w14:paraId="0E7FB9B0">
      <w:pPr>
        <w:pStyle w:val="272"/>
        <w:keepNext w:val="0"/>
        <w:keepLines w:val="0"/>
        <w:pageBreakBefore w:val="0"/>
        <w:widowControl w:val="0"/>
        <w:spacing w:before="313" w:after="313"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电    话：</w:t>
      </w:r>
      <w:r>
        <w:rPr>
          <w:rStyle w:val="192"/>
          <w:rFonts w:hint="eastAsia" w:ascii="宋体" w:hAnsi="宋体" w:cs="Times New Roman"/>
          <w:b/>
          <w:color w:val="auto"/>
          <w:sz w:val="24"/>
          <w:highlight w:val="none"/>
          <w:u w:val="single"/>
          <w:lang w:val="en-US" w:eastAsia="zh-CN"/>
        </w:rPr>
        <w:t xml:space="preserve">           </w:t>
      </w:r>
    </w:p>
    <w:p w14:paraId="5F97B51A">
      <w:pPr>
        <w:pStyle w:val="272"/>
        <w:keepNext w:val="0"/>
        <w:keepLines w:val="0"/>
        <w:pageBreakBefore w:val="0"/>
        <w:widowControl w:val="0"/>
        <w:spacing w:before="313" w:after="313"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单位全称：</w:t>
      </w:r>
      <w:r>
        <w:rPr>
          <w:rStyle w:val="192"/>
          <w:rFonts w:hint="eastAsia" w:ascii="宋体" w:hAnsi="宋体" w:cs="Times New Roman"/>
          <w:b/>
          <w:color w:val="auto"/>
          <w:sz w:val="24"/>
          <w:highlight w:val="none"/>
          <w:u w:val="single"/>
          <w:lang w:val="en-US" w:eastAsia="zh-CN"/>
        </w:rPr>
        <w:t xml:space="preserve">           </w:t>
      </w:r>
    </w:p>
    <w:p w14:paraId="20A15F65">
      <w:pPr>
        <w:pStyle w:val="272"/>
        <w:keepNext w:val="0"/>
        <w:keepLines w:val="0"/>
        <w:pageBreakBefore w:val="0"/>
        <w:widowControl w:val="0"/>
        <w:spacing w:before="313" w:after="313"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单位盖章：</w:t>
      </w:r>
      <w:r>
        <w:rPr>
          <w:rStyle w:val="192"/>
          <w:rFonts w:hint="eastAsia" w:ascii="宋体" w:hAnsi="宋体" w:cs="Times New Roman"/>
          <w:b/>
          <w:color w:val="auto"/>
          <w:sz w:val="24"/>
          <w:highlight w:val="none"/>
          <w:u w:val="single"/>
          <w:lang w:val="en-US" w:eastAsia="zh-CN"/>
        </w:rPr>
        <w:t xml:space="preserve">           </w:t>
      </w:r>
    </w:p>
    <w:p w14:paraId="0C5D5EFA">
      <w:pPr>
        <w:pStyle w:val="272"/>
        <w:tabs>
          <w:tab w:val="left" w:pos="7290"/>
        </w:tabs>
        <w:spacing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 xml:space="preserve">                                 年     月    日</w:t>
      </w:r>
    </w:p>
    <w:p w14:paraId="7AE731BB">
      <w:pPr>
        <w:pStyle w:val="272"/>
        <w:spacing w:line="360" w:lineRule="auto"/>
        <w:ind w:firstLine="560"/>
        <w:rPr>
          <w:rStyle w:val="192"/>
          <w:rFonts w:ascii="宋体" w:hAnsi="宋体" w:eastAsia="宋体" w:cs="Times New Roman"/>
          <w:color w:val="auto"/>
          <w:sz w:val="28"/>
          <w:highlight w:val="none"/>
        </w:rPr>
      </w:pPr>
    </w:p>
    <w:p w14:paraId="2B43DA72">
      <w:pPr>
        <w:pStyle w:val="272"/>
        <w:spacing w:line="360" w:lineRule="auto"/>
        <w:ind w:firstLine="482"/>
        <w:jc w:val="left"/>
        <w:rPr>
          <w:rStyle w:val="192"/>
          <w:rFonts w:ascii="宋体" w:hAnsi="宋体" w:eastAsia="宋体" w:cs="Times New Roman"/>
          <w:b/>
          <w:color w:val="auto"/>
          <w:sz w:val="24"/>
          <w:szCs w:val="24"/>
          <w:highlight w:val="none"/>
        </w:rPr>
      </w:pPr>
      <w:r>
        <w:rPr>
          <w:rStyle w:val="192"/>
          <w:rFonts w:hint="eastAsia" w:ascii="宋体" w:hAnsi="宋体" w:eastAsia="宋体" w:cs="Times New Roman"/>
          <w:b/>
          <w:color w:val="auto"/>
          <w:sz w:val="24"/>
          <w:szCs w:val="24"/>
          <w:highlight w:val="none"/>
        </w:rPr>
        <w:t>附：法定代表人居民身份证扫描件</w:t>
      </w:r>
    </w:p>
    <w:p w14:paraId="79104289">
      <w:pPr>
        <w:pStyle w:val="272"/>
        <w:tabs>
          <w:tab w:val="left" w:pos="7290"/>
        </w:tabs>
        <w:spacing w:line="360" w:lineRule="auto"/>
        <w:ind w:firstLine="440"/>
        <w:rPr>
          <w:rStyle w:val="192"/>
          <w:rFonts w:ascii="宋体" w:hAnsi="宋体" w:eastAsia="宋体" w:cs="Times New Roman"/>
          <w:color w:val="auto"/>
          <w:sz w:val="22"/>
          <w:szCs w:val="20"/>
          <w:highlight w:val="none"/>
        </w:rPr>
      </w:pPr>
      <w:r>
        <w:rPr>
          <w:rStyle w:val="192"/>
          <w:rFonts w:hint="eastAsia" w:ascii="宋体" w:hAnsi="宋体" w:eastAsia="宋体" w:cs="Times New Roman"/>
          <w:color w:val="auto"/>
          <w:sz w:val="22"/>
          <w:szCs w:val="20"/>
          <w:highlight w:val="none"/>
          <w:u w:val="single"/>
        </w:rPr>
        <w:t>注：1.“法定代表人”直接参加磋商响应活动的仅需填写本身份证明</w:t>
      </w:r>
      <w:r>
        <w:rPr>
          <w:rStyle w:val="192"/>
          <w:rFonts w:hint="eastAsia" w:ascii="宋体" w:hAnsi="宋体" w:eastAsia="宋体" w:cs="Times New Roman"/>
          <w:color w:val="auto"/>
          <w:sz w:val="22"/>
          <w:szCs w:val="20"/>
          <w:highlight w:val="none"/>
        </w:rPr>
        <w:t>，</w:t>
      </w:r>
      <w:r>
        <w:rPr>
          <w:rStyle w:val="192"/>
          <w:rFonts w:hint="eastAsia" w:ascii="宋体" w:hAnsi="宋体" w:eastAsia="宋体" w:cs="Times New Roman"/>
          <w:color w:val="auto"/>
          <w:sz w:val="22"/>
          <w:szCs w:val="22"/>
          <w:highlight w:val="none"/>
          <w:u w:val="single"/>
        </w:rPr>
        <w:t>个人居民身份证携带备查</w:t>
      </w:r>
      <w:r>
        <w:rPr>
          <w:rStyle w:val="192"/>
          <w:rFonts w:hint="eastAsia" w:ascii="宋体" w:hAnsi="宋体" w:eastAsia="宋体" w:cs="Times New Roman"/>
          <w:color w:val="auto"/>
          <w:sz w:val="22"/>
          <w:szCs w:val="20"/>
          <w:highlight w:val="none"/>
        </w:rPr>
        <w:t>。</w:t>
      </w:r>
    </w:p>
    <w:p w14:paraId="4389CDB2">
      <w:pPr>
        <w:pStyle w:val="272"/>
        <w:tabs>
          <w:tab w:val="left" w:pos="7290"/>
        </w:tabs>
        <w:spacing w:line="360" w:lineRule="auto"/>
        <w:ind w:firstLine="442"/>
        <w:rPr>
          <w:rStyle w:val="192"/>
          <w:rFonts w:ascii="宋体" w:hAnsi="宋体" w:eastAsia="宋体" w:cs="Times New Roman"/>
          <w:b/>
          <w:color w:val="auto"/>
          <w:sz w:val="22"/>
          <w:szCs w:val="22"/>
          <w:highlight w:val="none"/>
          <w:u w:val="single"/>
        </w:rPr>
      </w:pPr>
      <w:r>
        <w:rPr>
          <w:rStyle w:val="192"/>
          <w:rFonts w:hint="eastAsia" w:ascii="宋体" w:hAnsi="宋体" w:eastAsia="宋体" w:cs="Times New Roman"/>
          <w:b/>
          <w:color w:val="auto"/>
          <w:sz w:val="22"/>
          <w:szCs w:val="22"/>
          <w:highlight w:val="none"/>
          <w:u w:val="single"/>
        </w:rPr>
        <w:t>2.供应商</w:t>
      </w:r>
      <w:r>
        <w:rPr>
          <w:rStyle w:val="192"/>
          <w:rFonts w:ascii="宋体" w:hAnsi="宋体" w:eastAsia="宋体" w:cs="Times New Roman"/>
          <w:b/>
          <w:color w:val="auto"/>
          <w:sz w:val="22"/>
          <w:szCs w:val="22"/>
          <w:highlight w:val="none"/>
          <w:u w:val="single"/>
        </w:rPr>
        <w:t>属于非法人组织的，按照法律、行政法规规定能够对外代表其从事民事活动的主要负责人，如个人独资企业的投资人，代表合伙企业执行合伙企业事务的合伙人等，视同法定代表人。</w:t>
      </w:r>
    </w:p>
    <w:p w14:paraId="22C7F6FD">
      <w:pPr>
        <w:pStyle w:val="273"/>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624" w:name="_Toc9734"/>
      <w:r>
        <w:rPr>
          <w:rStyle w:val="192"/>
          <w:rFonts w:ascii="宋体" w:hAnsi="宋体" w:eastAsia="宋体" w:cs="宋体"/>
          <w:b/>
          <w:bCs/>
          <w:color w:val="auto"/>
          <w:sz w:val="28"/>
          <w:highlight w:val="none"/>
        </w:rPr>
        <w:t>(九)法定代表人（负责人）授权委托书</w:t>
      </w:r>
      <w:bookmarkEnd w:id="624"/>
    </w:p>
    <w:p w14:paraId="1AF99158">
      <w:pPr>
        <w:pStyle w:val="273"/>
        <w:spacing w:line="360" w:lineRule="auto"/>
        <w:ind w:right="420" w:firstLine="560"/>
        <w:rPr>
          <w:rStyle w:val="192"/>
          <w:rFonts w:ascii="宋体" w:hAnsi="宋体" w:eastAsia="宋体" w:cs="Times New Roman"/>
          <w:color w:val="auto"/>
          <w:sz w:val="28"/>
          <w:highlight w:val="none"/>
        </w:rPr>
      </w:pPr>
      <w:r>
        <w:rPr>
          <w:rStyle w:val="233"/>
          <w:rFonts w:hint="eastAsia" w:ascii="宋体" w:hAnsi="宋体"/>
          <w:color w:val="auto"/>
          <w:sz w:val="28"/>
          <w:highlight w:val="none"/>
        </w:rPr>
        <w:t>本授权书声明：</w:t>
      </w:r>
      <w:r>
        <w:rPr>
          <w:rStyle w:val="233"/>
          <w:rFonts w:hint="eastAsia" w:ascii="宋体" w:hAnsi="宋体"/>
          <w:b/>
          <w:color w:val="auto"/>
          <w:sz w:val="24"/>
          <w:highlight w:val="none"/>
          <w:u w:val="single"/>
        </w:rPr>
        <w:t>（投标人名称）</w:t>
      </w:r>
      <w:r>
        <w:rPr>
          <w:rStyle w:val="233"/>
          <w:rFonts w:hint="eastAsia" w:ascii="宋体" w:hAnsi="宋体"/>
          <w:color w:val="auto"/>
          <w:sz w:val="28"/>
          <w:highlight w:val="none"/>
        </w:rPr>
        <w:t>法定代表人</w:t>
      </w:r>
      <w:r>
        <w:rPr>
          <w:rStyle w:val="233"/>
          <w:rFonts w:hint="eastAsia" w:ascii="宋体" w:hAnsi="宋体"/>
          <w:b/>
          <w:color w:val="auto"/>
          <w:sz w:val="24"/>
          <w:highlight w:val="none"/>
          <w:u w:val="single"/>
        </w:rPr>
        <w:t>（姓名）</w:t>
      </w:r>
      <w:r>
        <w:rPr>
          <w:rStyle w:val="233"/>
          <w:rFonts w:hint="eastAsia" w:ascii="宋体" w:hAnsi="宋体"/>
          <w:color w:val="auto"/>
          <w:sz w:val="28"/>
          <w:highlight w:val="none"/>
        </w:rPr>
        <w:t>授权</w:t>
      </w:r>
      <w:r>
        <w:rPr>
          <w:rStyle w:val="233"/>
          <w:rFonts w:hint="eastAsia" w:ascii="宋体" w:hAnsi="宋体"/>
          <w:b/>
          <w:color w:val="auto"/>
          <w:sz w:val="24"/>
          <w:highlight w:val="none"/>
          <w:u w:val="single"/>
        </w:rPr>
        <w:t>（委托代理人的姓名、身份证号）</w:t>
      </w:r>
      <w:r>
        <w:rPr>
          <w:rStyle w:val="233"/>
          <w:rFonts w:hint="eastAsia" w:ascii="宋体" w:hAnsi="宋体"/>
          <w:color w:val="auto"/>
          <w:sz w:val="28"/>
          <w:highlight w:val="none"/>
        </w:rPr>
        <w:t>为我方就</w:t>
      </w:r>
      <w:r>
        <w:rPr>
          <w:rStyle w:val="233"/>
          <w:rFonts w:hint="eastAsia" w:ascii="宋体" w:hAnsi="宋体"/>
          <w:b/>
          <w:color w:val="auto"/>
          <w:sz w:val="24"/>
          <w:highlight w:val="none"/>
          <w:u w:val="single"/>
        </w:rPr>
        <w:t>（代理机构</w:t>
      </w:r>
      <w:r>
        <w:rPr>
          <w:rStyle w:val="233"/>
          <w:rFonts w:hint="eastAsia" w:ascii="宋体" w:hAnsi="宋体"/>
          <w:b/>
          <w:color w:val="auto"/>
          <w:sz w:val="24"/>
          <w:highlight w:val="none"/>
          <w:u w:val="single"/>
          <w:lang w:val="en-US" w:eastAsia="zh-CN"/>
        </w:rPr>
        <w:t>名称</w:t>
      </w:r>
      <w:r>
        <w:rPr>
          <w:rStyle w:val="233"/>
          <w:rFonts w:hint="eastAsia" w:ascii="宋体" w:hAnsi="宋体"/>
          <w:b/>
          <w:color w:val="auto"/>
          <w:sz w:val="24"/>
          <w:highlight w:val="none"/>
          <w:u w:val="single"/>
        </w:rPr>
        <w:t>）代理的（</w:t>
      </w:r>
      <w:r>
        <w:rPr>
          <w:rStyle w:val="233"/>
          <w:rFonts w:hint="eastAsia" w:ascii="宋体" w:hAnsi="宋体"/>
          <w:b/>
          <w:color w:val="auto"/>
          <w:sz w:val="24"/>
          <w:highlight w:val="none"/>
          <w:u w:val="single"/>
          <w:lang w:val="en-US" w:eastAsia="zh-CN"/>
        </w:rPr>
        <w:t>项目名称、</w:t>
      </w:r>
      <w:r>
        <w:rPr>
          <w:rStyle w:val="233"/>
          <w:rFonts w:hint="eastAsia" w:ascii="宋体" w:hAnsi="宋体"/>
          <w:b/>
          <w:color w:val="auto"/>
          <w:sz w:val="24"/>
          <w:highlight w:val="none"/>
          <w:u w:val="single"/>
        </w:rPr>
        <w:t>项目编号）</w:t>
      </w:r>
      <w:r>
        <w:rPr>
          <w:rStyle w:val="233"/>
          <w:rFonts w:hint="eastAsia" w:ascii="宋体" w:hAnsi="宋体"/>
          <w:bCs/>
          <w:color w:val="auto"/>
          <w:sz w:val="28"/>
          <w:highlight w:val="none"/>
        </w:rPr>
        <w:t>项目</w:t>
      </w:r>
      <w:r>
        <w:rPr>
          <w:rStyle w:val="233"/>
          <w:rFonts w:hint="eastAsia" w:ascii="宋体" w:hAnsi="宋体"/>
          <w:color w:val="auto"/>
          <w:sz w:val="28"/>
          <w:highlight w:val="none"/>
        </w:rPr>
        <w:t>的投标活动的合法代理人，以本公司名义全权处理一切与该项目投标有关的事务（含合同签订）。</w:t>
      </w:r>
    </w:p>
    <w:p w14:paraId="1CE52029">
      <w:pPr>
        <w:pStyle w:val="203"/>
        <w:tabs>
          <w:tab w:val="left" w:pos="5560"/>
        </w:tabs>
        <w:spacing w:line="360" w:lineRule="auto"/>
        <w:ind w:firstLine="560"/>
        <w:rPr>
          <w:rStyle w:val="192"/>
          <w:rFonts w:ascii="宋体" w:hAnsi="宋体" w:eastAsia="宋体" w:cs="Times New Roman"/>
          <w:color w:val="auto"/>
          <w:sz w:val="28"/>
          <w:highlight w:val="none"/>
        </w:rPr>
      </w:pPr>
      <w:r>
        <w:rPr>
          <w:rStyle w:val="192"/>
          <w:rFonts w:hint="eastAsia" w:ascii="宋体" w:hAnsi="宋体" w:eastAsia="宋体" w:cs="Times New Roman"/>
          <w:color w:val="auto"/>
          <w:sz w:val="28"/>
          <w:highlight w:val="none"/>
          <w:lang w:val="en-US" w:eastAsia="zh-CN" w:bidi="ar-SA"/>
        </w:rPr>
        <w:tab/>
      </w:r>
    </w:p>
    <w:p w14:paraId="092F5EBA">
      <w:pPr>
        <w:pStyle w:val="202"/>
        <w:ind w:firstLine="560"/>
        <w:rPr>
          <w:rStyle w:val="192"/>
          <w:rFonts w:eastAsia="宋体" w:cs="Times New Roman"/>
          <w:color w:val="auto"/>
          <w:highlight w:val="none"/>
        </w:rPr>
      </w:pPr>
      <w:r>
        <w:rPr>
          <w:rStyle w:val="192"/>
          <w:rFonts w:hint="eastAsia" w:ascii="宋体" w:hAnsi="宋体" w:eastAsia="宋体" w:cs="Times New Roman"/>
          <w:color w:val="auto"/>
          <w:sz w:val="28"/>
          <w:highlight w:val="none"/>
          <w:lang w:val="en-US" w:eastAsia="zh-CN" w:bidi="ar-SA"/>
        </w:rPr>
        <w:t>本授权委托书于</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lang w:val="en-US" w:eastAsia="zh-CN" w:bidi="ar-SA"/>
        </w:rPr>
        <w:t>年</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lang w:val="en-US" w:eastAsia="zh-CN" w:bidi="ar-SA"/>
        </w:rPr>
        <w:t>月</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lang w:val="en-US" w:eastAsia="zh-CN" w:bidi="ar-SA"/>
        </w:rPr>
        <w:t>日在</w:t>
      </w:r>
      <w:r>
        <w:rPr>
          <w:rStyle w:val="192"/>
          <w:rFonts w:ascii="宋体" w:hAnsi="宋体" w:eastAsia="宋体" w:cs="Times New Roman"/>
          <w:color w:val="auto"/>
          <w:sz w:val="28"/>
          <w:highlight w:val="none"/>
          <w:lang w:val="en-US" w:eastAsia="zh-CN" w:bidi="ar-SA"/>
        </w:rPr>
        <w:t>相应位置</w:t>
      </w:r>
      <w:r>
        <w:rPr>
          <w:rStyle w:val="192"/>
          <w:rFonts w:hint="eastAsia" w:ascii="宋体" w:hAnsi="宋体" w:eastAsia="宋体" w:cs="Times New Roman"/>
          <w:color w:val="auto"/>
          <w:sz w:val="28"/>
          <w:highlight w:val="none"/>
          <w:lang w:val="en-US" w:eastAsia="zh-CN" w:bidi="ar-SA"/>
        </w:rPr>
        <w:t>签字或盖章</w:t>
      </w:r>
      <w:r>
        <w:rPr>
          <w:rStyle w:val="192"/>
          <w:rFonts w:ascii="宋体" w:hAnsi="宋体" w:eastAsia="宋体" w:cs="Times New Roman"/>
          <w:color w:val="auto"/>
          <w:sz w:val="28"/>
          <w:highlight w:val="none"/>
          <w:lang w:val="en-US" w:eastAsia="zh-CN" w:bidi="ar-SA"/>
        </w:rPr>
        <w:t>后生效</w:t>
      </w:r>
      <w:r>
        <w:rPr>
          <w:rStyle w:val="192"/>
          <w:rFonts w:hint="eastAsia" w:ascii="宋体" w:hAnsi="宋体" w:eastAsia="宋体" w:cs="Times New Roman"/>
          <w:color w:val="auto"/>
          <w:sz w:val="28"/>
          <w:highlight w:val="none"/>
          <w:lang w:val="en-US" w:eastAsia="zh-CN" w:bidi="ar-SA"/>
        </w:rPr>
        <w:t>，特此声明。</w:t>
      </w:r>
    </w:p>
    <w:p w14:paraId="16F07431">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rPr>
      </w:pPr>
      <w:r>
        <w:rPr>
          <w:rStyle w:val="192"/>
          <w:rFonts w:hint="eastAsia" w:ascii="宋体" w:hAnsi="宋体" w:eastAsia="宋体" w:cs="Times New Roman"/>
          <w:color w:val="auto"/>
          <w:sz w:val="28"/>
          <w:highlight w:val="none"/>
          <w:lang w:val="en-US" w:eastAsia="zh-CN" w:bidi="ar-SA"/>
        </w:rPr>
        <w:t>委托代理人身份证号码：</w:t>
      </w:r>
      <w:r>
        <w:rPr>
          <w:rStyle w:val="192"/>
          <w:rFonts w:hint="eastAsia" w:ascii="宋体" w:hAnsi="宋体" w:eastAsia="宋体" w:cs="Times New Roman"/>
          <w:color w:val="auto"/>
          <w:sz w:val="24"/>
          <w:szCs w:val="24"/>
          <w:highlight w:val="none"/>
          <w:u w:val="single"/>
          <w:lang w:val="en-US" w:eastAsia="zh-CN" w:bidi="ar-SA"/>
        </w:rPr>
        <w:t xml:space="preserve">                              </w:t>
      </w:r>
    </w:p>
    <w:p w14:paraId="70D6ADE0">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rPr>
      </w:pPr>
      <w:r>
        <w:rPr>
          <w:rStyle w:val="192"/>
          <w:rFonts w:hint="eastAsia" w:ascii="宋体" w:hAnsi="宋体" w:eastAsia="宋体" w:cs="Times New Roman"/>
          <w:color w:val="auto"/>
          <w:sz w:val="28"/>
          <w:highlight w:val="none"/>
          <w:lang w:val="en-US" w:eastAsia="zh-CN" w:bidi="ar-SA"/>
        </w:rPr>
        <w:t>委托代理人联系电话：（手机）</w:t>
      </w:r>
      <w:r>
        <w:rPr>
          <w:rStyle w:val="192"/>
          <w:rFonts w:hint="eastAsia" w:ascii="宋体" w:hAnsi="宋体" w:eastAsia="宋体" w:cs="Times New Roman"/>
          <w:color w:val="auto"/>
          <w:sz w:val="24"/>
          <w:szCs w:val="24"/>
          <w:highlight w:val="none"/>
          <w:u w:val="single"/>
          <w:lang w:val="en-US" w:eastAsia="zh-CN" w:bidi="ar-SA"/>
        </w:rPr>
        <w:t xml:space="preserve">                          </w:t>
      </w:r>
    </w:p>
    <w:p w14:paraId="650DECEE">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u w:val="single"/>
        </w:rPr>
      </w:pPr>
      <w:r>
        <w:rPr>
          <w:rStyle w:val="192"/>
          <w:rFonts w:hint="eastAsia" w:ascii="宋体" w:hAnsi="宋体" w:eastAsia="宋体" w:cs="Times New Roman"/>
          <w:color w:val="auto"/>
          <w:sz w:val="28"/>
          <w:highlight w:val="none"/>
          <w:lang w:val="en-US" w:eastAsia="zh-CN" w:bidi="ar-SA"/>
        </w:rPr>
        <w:t>法定代表人（负责人）签章</w:t>
      </w:r>
      <w:r>
        <w:rPr>
          <w:rStyle w:val="192"/>
          <w:rFonts w:hint="eastAsia" w:ascii="宋体" w:hAnsi="宋体" w:eastAsia="宋体" w:cs="Times New Roman"/>
          <w:color w:val="auto"/>
          <w:sz w:val="28"/>
          <w:highlight w:val="none"/>
          <w:u w:val="none"/>
          <w:lang w:val="en-US" w:eastAsia="zh-CN" w:bidi="ar-SA"/>
        </w:rPr>
        <w:t>：</w:t>
      </w:r>
      <w:r>
        <w:rPr>
          <w:rStyle w:val="192"/>
          <w:rFonts w:hint="eastAsia" w:ascii="宋体" w:hAnsi="宋体" w:eastAsia="宋体" w:cs="Times New Roman"/>
          <w:color w:val="auto"/>
          <w:sz w:val="28"/>
          <w:highlight w:val="none"/>
          <w:u w:val="single"/>
          <w:lang w:val="en-US" w:eastAsia="zh-CN" w:bidi="ar-SA"/>
        </w:rPr>
        <w:t xml:space="preserve">                        </w:t>
      </w:r>
    </w:p>
    <w:p w14:paraId="50BE290D">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rPr>
      </w:pPr>
      <w:r>
        <w:rPr>
          <w:rStyle w:val="192"/>
          <w:rFonts w:hint="eastAsia" w:ascii="宋体" w:hAnsi="宋体" w:eastAsia="宋体" w:cs="Times New Roman"/>
          <w:color w:val="auto"/>
          <w:sz w:val="28"/>
          <w:highlight w:val="none"/>
          <w:lang w:val="en-US" w:eastAsia="zh-CN" w:bidi="ar-SA"/>
        </w:rPr>
        <w:t>供应商名称（公章）：</w:t>
      </w:r>
      <w:r>
        <w:rPr>
          <w:rStyle w:val="192"/>
          <w:rFonts w:hint="eastAsia" w:ascii="宋体" w:hAnsi="宋体" w:eastAsia="宋体" w:cs="Times New Roman"/>
          <w:color w:val="auto"/>
          <w:sz w:val="28"/>
          <w:highlight w:val="none"/>
          <w:u w:val="single"/>
          <w:lang w:val="en-US" w:eastAsia="zh-CN" w:bidi="ar-SA"/>
        </w:rPr>
        <w:t xml:space="preserve">                        </w:t>
      </w:r>
    </w:p>
    <w:p w14:paraId="0C197352">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u w:val="single"/>
        </w:rPr>
      </w:pPr>
      <w:r>
        <w:rPr>
          <w:rStyle w:val="192"/>
          <w:rFonts w:hint="eastAsia" w:ascii="宋体" w:hAnsi="宋体" w:eastAsia="宋体" w:cs="Times New Roman"/>
          <w:color w:val="auto"/>
          <w:sz w:val="28"/>
          <w:highlight w:val="none"/>
          <w:lang w:val="en-US" w:eastAsia="zh-CN" w:bidi="ar-SA"/>
        </w:rPr>
        <w:t>日     期：</w:t>
      </w:r>
    </w:p>
    <w:p w14:paraId="29F8C731">
      <w:pPr>
        <w:pStyle w:val="203"/>
        <w:spacing w:line="360" w:lineRule="auto"/>
        <w:ind w:firstLine="562"/>
        <w:rPr>
          <w:rStyle w:val="192"/>
          <w:rFonts w:ascii="宋体" w:hAnsi="宋体" w:eastAsia="宋体" w:cs="Times New Roman"/>
          <w:color w:val="auto"/>
          <w:sz w:val="24"/>
          <w:szCs w:val="21"/>
          <w:highlight w:val="none"/>
          <w:u w:val="single"/>
        </w:rPr>
      </w:pPr>
      <w:r>
        <w:rPr>
          <w:rStyle w:val="192"/>
          <w:rFonts w:hint="eastAsia" w:ascii="宋体" w:hAnsi="宋体" w:eastAsia="宋体" w:cs="Times New Roman"/>
          <w:b/>
          <w:color w:val="auto"/>
          <w:sz w:val="28"/>
          <w:szCs w:val="28"/>
          <w:highlight w:val="none"/>
          <w:lang w:val="en-US" w:eastAsia="zh-CN" w:bidi="ar-SA"/>
        </w:rPr>
        <w:t>附：委托代理人居民身份证扫描件</w:t>
      </w:r>
    </w:p>
    <w:p w14:paraId="21D7ED8D">
      <w:pPr>
        <w:pStyle w:val="202"/>
        <w:ind w:firstLine="480"/>
        <w:rPr>
          <w:rStyle w:val="192"/>
          <w:rFonts w:eastAsia="宋体" w:cs="Times New Roman"/>
          <w:color w:val="auto"/>
          <w:sz w:val="22"/>
          <w:szCs w:val="22"/>
          <w:highlight w:val="none"/>
        </w:rPr>
      </w:pPr>
      <w:r>
        <w:rPr>
          <w:rStyle w:val="192"/>
          <w:rFonts w:hint="eastAsia" w:ascii="宋体" w:hAnsi="宋体" w:eastAsia="宋体" w:cs="Times New Roman"/>
          <w:color w:val="auto"/>
          <w:sz w:val="24"/>
          <w:szCs w:val="24"/>
          <w:highlight w:val="none"/>
          <w:u w:val="single"/>
          <w:lang w:val="en-US" w:eastAsia="zh-CN" w:bidi="ar-SA"/>
        </w:rPr>
        <w:t>注：“法定代表人</w:t>
      </w:r>
      <w:r>
        <w:rPr>
          <w:rStyle w:val="192"/>
          <w:rFonts w:hint="eastAsia" w:ascii="宋体" w:hAnsi="宋体" w:eastAsia="宋体" w:cs="Times New Roman"/>
          <w:color w:val="auto"/>
          <w:sz w:val="24"/>
          <w:szCs w:val="22"/>
          <w:highlight w:val="none"/>
          <w:u w:val="single"/>
          <w:lang w:val="en-US" w:eastAsia="zh-CN" w:bidi="ar-SA"/>
        </w:rPr>
        <w:t>（负责人）</w:t>
      </w:r>
      <w:r>
        <w:rPr>
          <w:rStyle w:val="192"/>
          <w:rFonts w:hint="eastAsia" w:ascii="宋体" w:hAnsi="宋体" w:eastAsia="宋体" w:cs="Times New Roman"/>
          <w:color w:val="auto"/>
          <w:sz w:val="24"/>
          <w:szCs w:val="24"/>
          <w:highlight w:val="none"/>
          <w:u w:val="single"/>
          <w:lang w:val="en-US" w:eastAsia="zh-CN" w:bidi="ar-SA"/>
        </w:rPr>
        <w:t>”授权委托其他人（必须为供应商正式员工，证明材料：</w:t>
      </w:r>
      <w:r>
        <w:rPr>
          <w:rStyle w:val="192"/>
          <w:rFonts w:hint="eastAsia" w:ascii="宋体" w:hAnsi="宋体" w:eastAsia="宋体" w:cs="Times New Roman"/>
          <w:b/>
          <w:bCs/>
          <w:color w:val="auto"/>
          <w:sz w:val="24"/>
          <w:szCs w:val="24"/>
          <w:highlight w:val="none"/>
          <w:u w:val="single"/>
          <w:lang w:val="en-US" w:eastAsia="zh-CN" w:bidi="ar-SA"/>
        </w:rPr>
        <w:t>劳动合同、社保交纳材料附后</w:t>
      </w:r>
      <w:r>
        <w:rPr>
          <w:rStyle w:val="192"/>
          <w:rFonts w:hint="eastAsia" w:ascii="宋体" w:hAnsi="宋体" w:eastAsia="宋体" w:cs="Times New Roman"/>
          <w:color w:val="auto"/>
          <w:sz w:val="24"/>
          <w:szCs w:val="24"/>
          <w:highlight w:val="none"/>
          <w:u w:val="single"/>
          <w:lang w:val="en-US" w:eastAsia="zh-CN" w:bidi="ar-SA"/>
        </w:rPr>
        <w:t>）</w:t>
      </w:r>
      <w:r>
        <w:rPr>
          <w:rStyle w:val="192"/>
          <w:rFonts w:ascii="宋体" w:hAnsi="宋体" w:eastAsia="宋体" w:cs="Times New Roman"/>
          <w:color w:val="auto"/>
          <w:sz w:val="24"/>
          <w:szCs w:val="24"/>
          <w:highlight w:val="none"/>
          <w:u w:val="single"/>
          <w:lang w:val="en-US" w:eastAsia="zh-CN" w:bidi="ar-SA"/>
        </w:rPr>
        <w:t>磋商</w:t>
      </w:r>
      <w:r>
        <w:rPr>
          <w:rStyle w:val="192"/>
          <w:rFonts w:hint="eastAsia" w:ascii="宋体" w:hAnsi="宋体" w:eastAsia="宋体" w:cs="Times New Roman"/>
          <w:color w:val="auto"/>
          <w:sz w:val="24"/>
          <w:szCs w:val="24"/>
          <w:highlight w:val="none"/>
          <w:u w:val="single"/>
          <w:lang w:val="en-US" w:eastAsia="zh-CN" w:bidi="ar-SA"/>
        </w:rPr>
        <w:t>的，须填写法定代表人身份证明书和本授权委托书</w:t>
      </w:r>
      <w:r>
        <w:rPr>
          <w:rStyle w:val="192"/>
          <w:rFonts w:hint="eastAsia" w:ascii="宋体" w:hAnsi="宋体" w:eastAsia="宋体" w:cs="Times New Roman"/>
          <w:color w:val="auto"/>
          <w:sz w:val="24"/>
          <w:szCs w:val="22"/>
          <w:highlight w:val="none"/>
          <w:lang w:val="en-US" w:eastAsia="zh-CN" w:bidi="ar-SA"/>
        </w:rPr>
        <w:t>。</w:t>
      </w:r>
    </w:p>
    <w:p w14:paraId="546E9E76">
      <w:pPr>
        <w:pStyle w:val="274"/>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625" w:name="_Toc17338"/>
      <w:r>
        <w:rPr>
          <w:rStyle w:val="192"/>
          <w:rFonts w:ascii="宋体" w:hAnsi="宋体" w:eastAsia="宋体" w:cs="宋体"/>
          <w:b/>
          <w:bCs/>
          <w:color w:val="auto"/>
          <w:sz w:val="28"/>
          <w:highlight w:val="none"/>
        </w:rPr>
        <w:t>(十)资格承诺函</w:t>
      </w:r>
      <w:bookmarkEnd w:id="625"/>
    </w:p>
    <w:p w14:paraId="2A19E496">
      <w:pPr>
        <w:pStyle w:val="275"/>
        <w:keepNext w:val="0"/>
        <w:keepLines w:val="0"/>
        <w:pageBreakBefore w:val="0"/>
        <w:widowControl w:val="0"/>
        <w:spacing w:after="312"/>
        <w:jc w:val="center"/>
        <w:rPr>
          <w:rStyle w:val="192"/>
          <w:rFonts w:hint="eastAsia" w:ascii="Calibri" w:hAnsi="Calibri" w:eastAsia="宋体" w:cs="Times New Roman"/>
          <w:color w:val="auto"/>
          <w:highlight w:val="none"/>
        </w:rPr>
      </w:pPr>
      <w:bookmarkStart w:id="626" w:name="书签4"/>
      <w:bookmarkEnd w:id="626"/>
      <w:r>
        <w:rPr>
          <w:rStyle w:val="192"/>
          <w:rFonts w:hint="eastAsia" w:ascii="宋体" w:hAnsi="宋体" w:eastAsia="宋体" w:cs="宋体"/>
          <w:b/>
          <w:bCs/>
          <w:color w:val="auto"/>
          <w:sz w:val="36"/>
          <w:szCs w:val="44"/>
          <w:highlight w:val="none"/>
          <w:lang w:eastAsia="zh-CN"/>
        </w:rPr>
        <w:t>资格承诺函</w:t>
      </w:r>
    </w:p>
    <w:p w14:paraId="3F10AA28">
      <w:pPr>
        <w:pStyle w:val="275"/>
        <w:keepNext w:val="0"/>
        <w:keepLines w:val="0"/>
        <w:pageBreakBefore w:val="0"/>
        <w:widowControl w:val="0"/>
        <w:spacing w:before="361" w:after="361" w:line="360" w:lineRule="auto"/>
        <w:rPr>
          <w:rStyle w:val="192"/>
          <w:rFonts w:ascii="仿宋" w:hAnsi="仿宋" w:eastAsia="仿宋" w:cs="仿宋"/>
          <w:color w:val="auto"/>
          <w:sz w:val="28"/>
          <w:szCs w:val="36"/>
          <w:highlight w:val="none"/>
          <w:u w:val="single"/>
        </w:rPr>
      </w:pPr>
      <w:r>
        <w:rPr>
          <w:rStyle w:val="192"/>
          <w:rFonts w:hint="eastAsia" w:ascii="仿宋" w:hAnsi="仿宋" w:eastAsia="仿宋" w:cs="仿宋"/>
          <w:color w:val="auto"/>
          <w:sz w:val="28"/>
          <w:szCs w:val="36"/>
          <w:highlight w:val="none"/>
          <w:lang w:eastAsia="zh-CN"/>
        </w:rPr>
        <w:t>致：</w:t>
      </w:r>
      <w:r>
        <w:rPr>
          <w:rStyle w:val="192"/>
          <w:rFonts w:hint="eastAsia" w:ascii="仿宋" w:hAnsi="仿宋" w:eastAsia="仿宋" w:cs="仿宋"/>
          <w:color w:val="auto"/>
          <w:sz w:val="28"/>
          <w:szCs w:val="36"/>
          <w:highlight w:val="none"/>
          <w:u w:val="single"/>
          <w:lang w:val="en-US" w:eastAsia="zh-CN"/>
        </w:rPr>
        <w:t xml:space="preserve">  （采购人、采购代理机构）  </w:t>
      </w:r>
    </w:p>
    <w:p w14:paraId="65125E2B">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lang w:eastAsia="zh-CN"/>
        </w:rPr>
        <w:t>我单位参与</w:t>
      </w:r>
      <w:r>
        <w:rPr>
          <w:rStyle w:val="192"/>
          <w:rFonts w:hint="eastAsia" w:ascii="仿宋" w:hAnsi="仿宋" w:eastAsia="仿宋" w:cs="仿宋"/>
          <w:color w:val="auto"/>
          <w:sz w:val="28"/>
          <w:szCs w:val="36"/>
          <w:highlight w:val="none"/>
          <w:u w:val="single"/>
          <w:lang w:val="en-US" w:eastAsia="zh-CN"/>
        </w:rPr>
        <w:t xml:space="preserve">   （项目名称）  （项目编号：   ）</w:t>
      </w:r>
      <w:r>
        <w:rPr>
          <w:rStyle w:val="192"/>
          <w:rFonts w:hint="eastAsia" w:ascii="仿宋" w:hAnsi="仿宋" w:eastAsia="仿宋" w:cs="仿宋"/>
          <w:color w:val="auto"/>
          <w:sz w:val="28"/>
          <w:szCs w:val="36"/>
          <w:highlight w:val="none"/>
          <w:u w:val="none"/>
          <w:lang w:val="en-US" w:eastAsia="zh-CN"/>
        </w:rPr>
        <w:t>项目的政府采购活动，现承诺如下：</w:t>
      </w:r>
    </w:p>
    <w:p w14:paraId="24A058F7">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1.我方具有良好的商业信誉和健全的财务会计制度。</w:t>
      </w:r>
    </w:p>
    <w:p w14:paraId="330233C8">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2.我方具有履行合同所必需的设备和专业技术能力。</w:t>
      </w:r>
    </w:p>
    <w:p w14:paraId="610CDD8C">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3.我方具有依法缴纳税收和社会保障资金的良好记录。</w:t>
      </w:r>
    </w:p>
    <w:p w14:paraId="6B1C3B1D">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4.我方参加政府采购活动前三年内，在经营活动中没有重大违法记录。</w:t>
      </w:r>
    </w:p>
    <w:p w14:paraId="053C7E1D">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若我单位承诺不实，自愿承担提供虚假材料谋取中标、成交的法律责任。</w:t>
      </w:r>
    </w:p>
    <w:p w14:paraId="1AFE3EAA">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p>
    <w:p w14:paraId="344588BF">
      <w:pPr>
        <w:pStyle w:val="275"/>
        <w:keepNext w:val="0"/>
        <w:keepLines w:val="0"/>
        <w:pageBreakBefore w:val="0"/>
        <w:widowControl w:val="0"/>
        <w:spacing w:line="360" w:lineRule="auto"/>
        <w:ind w:firstLine="561"/>
        <w:rPr>
          <w:rStyle w:val="192"/>
          <w:rFonts w:ascii="仿宋" w:hAnsi="仿宋" w:eastAsia="仿宋" w:cs="仿宋"/>
          <w:color w:val="auto"/>
          <w:sz w:val="28"/>
          <w:szCs w:val="36"/>
          <w:highlight w:val="none"/>
          <w:u w:val="single"/>
        </w:rPr>
      </w:pPr>
      <w:r>
        <w:rPr>
          <w:rStyle w:val="192"/>
          <w:rFonts w:hint="eastAsia" w:ascii="仿宋" w:hAnsi="仿宋" w:eastAsia="仿宋" w:cs="仿宋"/>
          <w:color w:val="auto"/>
          <w:sz w:val="28"/>
          <w:szCs w:val="36"/>
          <w:highlight w:val="none"/>
          <w:u w:val="none"/>
          <w:lang w:val="en-US" w:eastAsia="zh-CN"/>
        </w:rPr>
        <w:t>投标（响应）供应商（全称并盖章）：</w:t>
      </w:r>
      <w:r>
        <w:rPr>
          <w:rStyle w:val="192"/>
          <w:rFonts w:hint="eastAsia" w:ascii="仿宋" w:hAnsi="仿宋" w:eastAsia="仿宋" w:cs="仿宋"/>
          <w:color w:val="auto"/>
          <w:sz w:val="28"/>
          <w:szCs w:val="36"/>
          <w:highlight w:val="none"/>
          <w:u w:val="single"/>
          <w:lang w:val="en-US" w:eastAsia="zh-CN"/>
        </w:rPr>
        <w:t xml:space="preserve">         </w:t>
      </w:r>
    </w:p>
    <w:p w14:paraId="39104318">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供应商法定代表人或授权代表（签字或签章）：</w:t>
      </w:r>
      <w:r>
        <w:rPr>
          <w:rStyle w:val="192"/>
          <w:rFonts w:hint="eastAsia" w:ascii="仿宋" w:hAnsi="仿宋" w:eastAsia="仿宋" w:cs="仿宋"/>
          <w:color w:val="auto"/>
          <w:sz w:val="28"/>
          <w:szCs w:val="36"/>
          <w:highlight w:val="none"/>
          <w:u w:val="single"/>
          <w:lang w:val="en-US" w:eastAsia="zh-CN"/>
        </w:rPr>
        <w:t xml:space="preserve">         </w:t>
      </w:r>
    </w:p>
    <w:p w14:paraId="45DC0953">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single"/>
        </w:rPr>
      </w:pPr>
      <w:r>
        <w:rPr>
          <w:rStyle w:val="192"/>
          <w:rFonts w:hint="eastAsia" w:ascii="仿宋" w:hAnsi="仿宋" w:eastAsia="仿宋" w:cs="仿宋"/>
          <w:color w:val="auto"/>
          <w:sz w:val="28"/>
          <w:szCs w:val="36"/>
          <w:highlight w:val="none"/>
          <w:u w:val="none"/>
          <w:lang w:val="en-US" w:eastAsia="zh-CN"/>
        </w:rPr>
        <w:t>日期：</w:t>
      </w:r>
      <w:r>
        <w:rPr>
          <w:rStyle w:val="192"/>
          <w:rFonts w:hint="eastAsia" w:ascii="仿宋" w:hAnsi="仿宋" w:eastAsia="仿宋" w:cs="仿宋"/>
          <w:color w:val="auto"/>
          <w:sz w:val="28"/>
          <w:szCs w:val="36"/>
          <w:highlight w:val="none"/>
          <w:u w:val="single"/>
          <w:lang w:val="en-US" w:eastAsia="zh-CN"/>
        </w:rPr>
        <w:t xml:space="preserve">         </w:t>
      </w:r>
    </w:p>
    <w:p w14:paraId="5EC32470">
      <w:pPr>
        <w:pStyle w:val="275"/>
        <w:keepNext w:val="0"/>
        <w:keepLines w:val="0"/>
        <w:pageBreakBefore w:val="0"/>
        <w:widowControl w:val="0"/>
        <w:rPr>
          <w:rStyle w:val="192"/>
          <w:rFonts w:hint="eastAsia" w:ascii="仿宋" w:hAnsi="仿宋" w:eastAsia="仿宋" w:cs="仿宋"/>
          <w:color w:val="auto"/>
          <w:sz w:val="28"/>
          <w:szCs w:val="36"/>
          <w:highlight w:val="none"/>
          <w:u w:val="single"/>
        </w:rPr>
      </w:pPr>
    </w:p>
    <w:p w14:paraId="231A7B17">
      <w:pPr>
        <w:pStyle w:val="275"/>
        <w:keepNext w:val="0"/>
        <w:keepLines w:val="0"/>
        <w:pageBreakBefore w:val="0"/>
        <w:widowControl w:val="0"/>
        <w:rPr>
          <w:rStyle w:val="192"/>
          <w:rFonts w:hint="eastAsia" w:ascii="仿宋" w:hAnsi="仿宋" w:eastAsia="仿宋" w:cs="仿宋"/>
          <w:color w:val="auto"/>
          <w:sz w:val="28"/>
          <w:szCs w:val="36"/>
          <w:highlight w:val="none"/>
          <w:u w:val="single"/>
        </w:rPr>
      </w:pPr>
    </w:p>
    <w:p w14:paraId="0DDD346E">
      <w:pPr>
        <w:pStyle w:val="275"/>
        <w:keepNext w:val="0"/>
        <w:keepLines w:val="0"/>
        <w:pageBreakBefore w:val="0"/>
        <w:widowControl w:val="0"/>
        <w:rPr>
          <w:rStyle w:val="192"/>
          <w:rFonts w:hint="eastAsia" w:ascii="仿宋" w:hAnsi="仿宋" w:eastAsia="仿宋" w:cs="仿宋"/>
          <w:color w:val="auto"/>
          <w:sz w:val="24"/>
          <w:szCs w:val="32"/>
          <w:highlight w:val="none"/>
          <w:u w:val="single"/>
        </w:rPr>
      </w:pPr>
      <w:r>
        <w:rPr>
          <w:color w:val="auto"/>
          <w:sz w:val="24"/>
          <w:szCs w:val="22"/>
          <w:highlight w:val="none"/>
        </w:rPr>
        <mc:AlternateContent>
          <mc:Choice Requires="wps">
            <w:drawing>
              <wp:anchor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5" name="直接连接符 1"/>
                <wp:cNvGraphicFramePr/>
                <a:graphic xmlns:a="http://schemas.openxmlformats.org/drawingml/2006/main">
                  <a:graphicData uri="http://schemas.microsoft.com/office/word/2010/wordprocessingShape">
                    <wps:wsp>
                      <wps:cNvCnPr/>
                      <wps:spPr bwMode="auto">
                        <a:xfrm>
                          <a:off x="0" y="0"/>
                          <a:ext cx="6169025" cy="0"/>
                        </a:xfrm>
                        <a:prstGeom prst="line">
                          <a:avLst/>
                        </a:prstGeom>
                        <a:noFill/>
                        <a:ln w="19050">
                          <a:solidFill>
                            <a:srgbClr val="000000"/>
                          </a:solidFill>
                          <a:prstDash val="dashDot"/>
                        </a:ln>
                      </wps:spPr>
                      <wps:bodyPr rot="0">
                        <a:noAutofit/>
                      </wps:bodyPr>
                    </wps:wsp>
                  </a:graphicData>
                </a:graphic>
              </wp:anchor>
            </w:drawing>
          </mc:Choice>
          <mc:Fallback>
            <w:pict>
              <v:line id="直接连接符 1" o:spid="_x0000_s1026" o:spt="20" style="position:absolute;left:0pt;margin-left:-17.65pt;margin-top:6.4pt;height:0pt;width:485.75pt;z-index:251659264;mso-width-relative:page;mso-height-relative:page;" filled="f" stroked="t" coordsize="21600,21600" o:gfxdata="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dW+OU1QAAAAkBAAAPAAAA&#10;AAAAAAEAIAAAACIAAABkcnMvZG93bnJldi54bWxQSwECFAAUAAAACACHTuJAOW9Xr98BAACsAwAA&#10;DgAAAAAAAAABACAAAAAkAQAAZHJzL2Uyb0RvYy54bWxQSwUGAAAAAAYABgBZAQAAdQUAAAAA&#10;">
                <v:fill on="f" focussize="0,0"/>
                <v:stroke weight="1.5pt" color="#000000" joinstyle="round" dashstyle="dashDot"/>
                <v:imagedata o:title=""/>
                <o:lock v:ext="edit" aspectratio="f"/>
              </v:line>
            </w:pict>
          </mc:Fallback>
        </mc:AlternateContent>
      </w:r>
    </w:p>
    <w:p w14:paraId="46E8587D">
      <w:pPr>
        <w:pStyle w:val="275"/>
        <w:keepNext w:val="0"/>
        <w:keepLines w:val="0"/>
        <w:pageBreakBefore w:val="0"/>
        <w:widowControl w:val="0"/>
        <w:spacing w:line="160" w:lineRule="atLeast"/>
        <w:rPr>
          <w:rStyle w:val="192"/>
          <w:rFonts w:hint="eastAsia" w:ascii="仿宋" w:hAnsi="仿宋" w:eastAsia="仿宋" w:cs="仿宋"/>
          <w:color w:val="auto"/>
          <w:sz w:val="24"/>
          <w:szCs w:val="24"/>
          <w:highlight w:val="none"/>
          <w:u w:val="none"/>
        </w:rPr>
      </w:pPr>
      <w:r>
        <w:rPr>
          <w:rStyle w:val="192"/>
          <w:rFonts w:hint="eastAsia" w:ascii="仿宋" w:hAnsi="仿宋" w:eastAsia="仿宋" w:cs="仿宋"/>
          <w:color w:val="auto"/>
          <w:sz w:val="24"/>
          <w:szCs w:val="24"/>
          <w:highlight w:val="none"/>
          <w:u w:val="none"/>
          <w:lang w:val="en-US" w:eastAsia="zh-CN"/>
        </w:rPr>
        <w:t>说明：1.供应商可自行选择是否提供本承诺函，若不提供本承诺函的，应按采购文件要求提供相应的证明材料。</w:t>
      </w:r>
    </w:p>
    <w:p w14:paraId="629F794D">
      <w:pPr>
        <w:pStyle w:val="275"/>
        <w:keepNext w:val="0"/>
        <w:keepLines w:val="0"/>
        <w:pageBreakBefore w:val="0"/>
        <w:widowControl w:val="0"/>
        <w:spacing w:line="160" w:lineRule="atLeast"/>
        <w:ind w:firstLine="720"/>
        <w:rPr>
          <w:rStyle w:val="192"/>
          <w:rFonts w:ascii="仿宋" w:hAnsi="仿宋" w:eastAsia="仿宋" w:cs="仿宋"/>
          <w:color w:val="auto"/>
          <w:sz w:val="24"/>
          <w:szCs w:val="24"/>
          <w:highlight w:val="none"/>
          <w:u w:val="none"/>
        </w:rPr>
      </w:pPr>
      <w:r>
        <w:rPr>
          <w:rStyle w:val="192"/>
          <w:rFonts w:hint="eastAsia" w:ascii="仿宋" w:hAnsi="仿宋" w:eastAsia="仿宋" w:cs="仿宋"/>
          <w:color w:val="auto"/>
          <w:sz w:val="24"/>
          <w:szCs w:val="24"/>
          <w:highlight w:val="none"/>
          <w:u w:val="none"/>
          <w:lang w:val="en-US" w:eastAsia="zh-CN"/>
        </w:rPr>
        <w:t>2.供应商可删减承诺事项，删减的承诺事项须按采购文件要求提供相应的证明材料。比如删去本承诺函第3项，则应按采购文件要求提供依法缴纳税收和社会保障资金的良好记录。</w:t>
      </w:r>
    </w:p>
    <w:p w14:paraId="38889C54">
      <w:pPr>
        <w:pStyle w:val="276"/>
        <w:jc w:val="center"/>
        <w:outlineLvl w:val="1"/>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627" w:name="_Toc1029"/>
      <w:r>
        <w:rPr>
          <w:rStyle w:val="192"/>
          <w:rFonts w:ascii="宋体" w:hAnsi="宋体" w:eastAsia="宋体" w:cs="宋体"/>
          <w:b/>
          <w:bCs/>
          <w:color w:val="auto"/>
          <w:sz w:val="32"/>
          <w:highlight w:val="none"/>
        </w:rPr>
        <w:t>二、技术部分</w:t>
      </w:r>
      <w:bookmarkEnd w:id="627"/>
    </w:p>
    <w:p w14:paraId="30AF6149">
      <w:pPr>
        <w:pStyle w:val="277"/>
        <w:jc w:val="center"/>
        <w:outlineLvl w:val="2"/>
        <w:rPr>
          <w:rStyle w:val="192"/>
          <w:rFonts w:ascii="宋体" w:hAnsi="宋体" w:eastAsia="宋体" w:cs="宋体"/>
          <w:b w:val="0"/>
          <w:color w:val="auto"/>
          <w:sz w:val="28"/>
          <w:highlight w:val="none"/>
        </w:rPr>
      </w:pPr>
      <w:bookmarkStart w:id="628" w:name="_Toc23259"/>
      <w:r>
        <w:rPr>
          <w:rStyle w:val="192"/>
          <w:rFonts w:ascii="宋体" w:hAnsi="宋体" w:eastAsia="宋体" w:cs="宋体"/>
          <w:b w:val="0"/>
          <w:color w:val="auto"/>
          <w:sz w:val="28"/>
          <w:highlight w:val="none"/>
        </w:rPr>
        <w:t>(一)</w:t>
      </w:r>
      <w:r>
        <w:rPr>
          <w:rStyle w:val="192"/>
          <w:rFonts w:hint="eastAsia" w:ascii="宋体" w:hAnsi="宋体" w:eastAsia="宋体" w:cs="宋体"/>
          <w:b w:val="0"/>
          <w:color w:val="auto"/>
          <w:sz w:val="28"/>
          <w:highlight w:val="none"/>
          <w:lang w:eastAsia="zh-CN"/>
        </w:rPr>
        <w:t>施工</w:t>
      </w:r>
      <w:r>
        <w:rPr>
          <w:rStyle w:val="192"/>
          <w:rFonts w:ascii="宋体" w:hAnsi="宋体" w:eastAsia="宋体" w:cs="宋体"/>
          <w:b w:val="0"/>
          <w:color w:val="auto"/>
          <w:sz w:val="28"/>
          <w:highlight w:val="none"/>
        </w:rPr>
        <w:t>方案</w:t>
      </w:r>
      <w:bookmarkEnd w:id="628"/>
    </w:p>
    <w:p w14:paraId="50E3F5AA">
      <w:pPr>
        <w:pStyle w:val="278"/>
        <w:jc w:val="right"/>
        <w:outlineLvl w:val="1"/>
        <w:rPr>
          <w:rStyle w:val="192"/>
          <w:rFonts w:hint="eastAsia" w:ascii="宋体" w:hAnsi="宋体" w:eastAsia="宋体" w:cs="Times New Roman"/>
          <w:color w:val="auto"/>
          <w:sz w:val="22"/>
          <w:szCs w:val="22"/>
          <w:highlight w:val="none"/>
          <w:u w:val="none"/>
        </w:rPr>
      </w:pPr>
      <w:r>
        <w:rPr>
          <w:rStyle w:val="192"/>
          <w:rFonts w:ascii="宋体" w:hAnsi="宋体" w:eastAsia="宋体" w:cs="宋体"/>
          <w:b w:val="0"/>
          <w:color w:val="auto"/>
          <w:sz w:val="28"/>
          <w:highlight w:val="none"/>
        </w:rPr>
        <w:br w:type="page" w:clear="all"/>
      </w:r>
    </w:p>
    <w:p w14:paraId="1552C0FC">
      <w:pPr>
        <w:pStyle w:val="313"/>
        <w:jc w:val="center"/>
        <w:outlineLvl w:val="2"/>
        <w:rPr>
          <w:rStyle w:val="34"/>
          <w:rFonts w:hint="eastAsia" w:ascii="Times New Roman" w:hAnsi="Times New Roman" w:eastAsia="宋体" w:cs="Times New Roman"/>
          <w:color w:val="auto"/>
          <w:highlight w:val="none"/>
        </w:rPr>
      </w:pPr>
      <w:bookmarkStart w:id="629" w:name="_Toc9059"/>
      <w:r>
        <w:rPr>
          <w:rStyle w:val="192"/>
          <w:rFonts w:ascii="宋体" w:hAnsi="宋体" w:eastAsia="宋体" w:cs="宋体"/>
          <w:b w:val="0"/>
          <w:color w:val="auto"/>
          <w:sz w:val="28"/>
          <w:highlight w:val="none"/>
        </w:rPr>
        <w:t>(</w:t>
      </w:r>
      <w:r>
        <w:rPr>
          <w:rStyle w:val="192"/>
          <w:rFonts w:hint="eastAsia" w:ascii="宋体" w:hAnsi="宋体" w:eastAsia="宋体" w:cs="宋体"/>
          <w:b w:val="0"/>
          <w:color w:val="auto"/>
          <w:sz w:val="28"/>
          <w:highlight w:val="none"/>
          <w:lang w:eastAsia="zh-CN"/>
        </w:rPr>
        <w:t>二</w:t>
      </w:r>
      <w:r>
        <w:rPr>
          <w:rStyle w:val="192"/>
          <w:rFonts w:ascii="宋体" w:hAnsi="宋体" w:eastAsia="宋体" w:cs="宋体"/>
          <w:b w:val="0"/>
          <w:color w:val="auto"/>
          <w:sz w:val="28"/>
          <w:highlight w:val="none"/>
        </w:rPr>
        <w:t>)</w:t>
      </w:r>
      <w:r>
        <w:rPr>
          <w:rStyle w:val="192"/>
          <w:rFonts w:hint="eastAsia" w:ascii="宋体" w:hAnsi="宋体" w:eastAsia="宋体" w:cs="宋体"/>
          <w:b w:val="0"/>
          <w:color w:val="auto"/>
          <w:sz w:val="28"/>
          <w:highlight w:val="none"/>
          <w:lang w:eastAsia="zh-CN"/>
        </w:rPr>
        <w:t>技术（服务）及商务</w:t>
      </w:r>
      <w:r>
        <w:rPr>
          <w:rStyle w:val="34"/>
          <w:rFonts w:ascii="宋体" w:hAnsi="宋体" w:eastAsia="宋体" w:cs="宋体"/>
          <w:b w:val="0"/>
          <w:color w:val="auto"/>
          <w:sz w:val="28"/>
          <w:highlight w:val="none"/>
        </w:rPr>
        <w:t>内容</w:t>
      </w:r>
      <w:r>
        <w:rPr>
          <w:rStyle w:val="34"/>
          <w:rFonts w:hint="eastAsia" w:ascii="宋体" w:hAnsi="宋体" w:eastAsia="宋体" w:cs="宋体"/>
          <w:b w:val="0"/>
          <w:color w:val="auto"/>
          <w:sz w:val="28"/>
          <w:highlight w:val="none"/>
          <w:lang w:eastAsia="zh-CN"/>
        </w:rPr>
        <w:t>响应承诺</w:t>
      </w:r>
      <w:bookmarkEnd w:id="629"/>
    </w:p>
    <w:p w14:paraId="47EBA235">
      <w:pPr>
        <w:pStyle w:val="314"/>
        <w:numPr>
          <w:ilvl w:val="0"/>
          <w:numId w:val="0"/>
        </w:numPr>
        <w:tabs>
          <w:tab w:val="left" w:pos="567"/>
          <w:tab w:val="left" w:pos="709"/>
          <w:tab w:val="left" w:pos="993"/>
        </w:tabs>
        <w:spacing w:line="560" w:lineRule="exact"/>
        <w:jc w:val="both"/>
        <w:rPr>
          <w:rStyle w:val="34"/>
          <w:rFonts w:hint="eastAsia" w:ascii="宋体" w:hAnsi="宋体" w:eastAsia="宋体" w:cs="宋体"/>
          <w:b/>
          <w:bCs/>
          <w:color w:val="auto"/>
          <w:sz w:val="24"/>
          <w:szCs w:val="22"/>
          <w:highlight w:val="none"/>
        </w:rPr>
      </w:pPr>
      <w:bookmarkStart w:id="630" w:name="书签4_0"/>
      <w:bookmarkEnd w:id="630"/>
      <w:r>
        <w:rPr>
          <w:rStyle w:val="34"/>
          <w:rFonts w:hint="eastAsia" w:ascii="宋体" w:hAnsi="宋体" w:cs="宋体"/>
          <w:b/>
          <w:bCs/>
          <w:color w:val="auto"/>
          <w:sz w:val="24"/>
          <w:szCs w:val="22"/>
          <w:highlight w:val="none"/>
          <w:lang w:val="en-US" w:eastAsia="zh-CN" w:bidi="ar-SA"/>
        </w:rPr>
        <w:t>1、</w:t>
      </w:r>
      <w:r>
        <w:rPr>
          <w:rStyle w:val="34"/>
          <w:rFonts w:hint="eastAsia" w:ascii="宋体" w:hAnsi="宋体" w:eastAsia="宋体" w:cs="宋体"/>
          <w:b/>
          <w:bCs/>
          <w:color w:val="auto"/>
          <w:sz w:val="24"/>
          <w:szCs w:val="22"/>
          <w:highlight w:val="none"/>
          <w:lang w:val="en-US" w:eastAsia="zh-CN" w:bidi="ar-SA"/>
        </w:rPr>
        <w:t>针对本项目采购文件“第四部分采购需求”所有条款内容，</w:t>
      </w:r>
      <w:r>
        <w:rPr>
          <w:rStyle w:val="34"/>
          <w:rFonts w:hint="eastAsia" w:ascii="宋体" w:hAnsi="宋体" w:eastAsia="宋体" w:cs="宋体"/>
          <w:b/>
          <w:bCs/>
          <w:color w:val="auto"/>
          <w:sz w:val="24"/>
          <w:szCs w:val="22"/>
          <w:highlight w:val="none"/>
        </w:rPr>
        <w:t>如</w:t>
      </w:r>
      <w:r>
        <w:rPr>
          <w:rStyle w:val="34"/>
          <w:rFonts w:hint="eastAsia" w:ascii="宋体" w:hAnsi="宋体" w:eastAsia="宋体" w:cs="宋体"/>
          <w:b/>
          <w:bCs/>
          <w:color w:val="auto"/>
          <w:sz w:val="24"/>
          <w:szCs w:val="22"/>
          <w:highlight w:val="none"/>
          <w:lang w:eastAsia="zh-CN"/>
        </w:rPr>
        <w:t>供应商</w:t>
      </w:r>
      <w:r>
        <w:rPr>
          <w:rStyle w:val="34"/>
          <w:rFonts w:hint="eastAsia" w:ascii="宋体" w:hAnsi="宋体" w:eastAsia="宋体" w:cs="宋体"/>
          <w:b/>
          <w:bCs/>
          <w:color w:val="auto"/>
          <w:sz w:val="24"/>
          <w:szCs w:val="22"/>
          <w:highlight w:val="none"/>
        </w:rPr>
        <w:t>完全响应，请做</w:t>
      </w:r>
      <w:r>
        <w:rPr>
          <w:rStyle w:val="34"/>
          <w:rFonts w:hint="eastAsia" w:ascii="宋体" w:hAnsi="宋体" w:eastAsia="宋体" w:cs="宋体"/>
          <w:b/>
          <w:bCs/>
          <w:color w:val="auto"/>
          <w:sz w:val="24"/>
          <w:szCs w:val="22"/>
          <w:highlight w:val="none"/>
          <w:lang w:eastAsia="zh-CN"/>
        </w:rPr>
        <w:t>如下</w:t>
      </w:r>
      <w:r>
        <w:rPr>
          <w:rStyle w:val="34"/>
          <w:rFonts w:hint="eastAsia" w:ascii="宋体" w:hAnsi="宋体" w:eastAsia="宋体" w:cs="宋体"/>
          <w:b/>
          <w:bCs/>
          <w:color w:val="auto"/>
          <w:sz w:val="24"/>
          <w:szCs w:val="22"/>
          <w:highlight w:val="none"/>
        </w:rPr>
        <w:t>承诺。</w:t>
      </w:r>
    </w:p>
    <w:p w14:paraId="0FAE91EF">
      <w:pPr>
        <w:pStyle w:val="316"/>
        <w:jc w:val="center"/>
        <w:rPr>
          <w:rFonts w:ascii="宋体" w:hAnsi="宋体"/>
          <w:b/>
          <w:color w:val="auto"/>
          <w:sz w:val="32"/>
          <w:szCs w:val="32"/>
          <w:highlight w:val="none"/>
        </w:rPr>
      </w:pPr>
      <w:r>
        <w:rPr>
          <w:rFonts w:hint="eastAsia" w:ascii="宋体" w:hAnsi="宋体"/>
          <w:b/>
          <w:color w:val="auto"/>
          <w:sz w:val="32"/>
          <w:szCs w:val="32"/>
          <w:highlight w:val="none"/>
        </w:rPr>
        <w:t>响 应 承 诺 函</w:t>
      </w:r>
    </w:p>
    <w:p w14:paraId="25E2805F">
      <w:pPr>
        <w:pStyle w:val="316"/>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w:t>
      </w:r>
    </w:p>
    <w:p w14:paraId="266DAC19">
      <w:pPr>
        <w:pStyle w:val="314"/>
        <w:keepNext w:val="0"/>
        <w:keepLines w:val="0"/>
        <w:pageBreakBefore w:val="0"/>
        <w:widowControl w:val="0"/>
        <w:spacing w:line="480" w:lineRule="atLeast"/>
        <w:ind w:firstLine="480"/>
        <w:jc w:val="both"/>
        <w:rPr>
          <w:rStyle w:val="34"/>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我单位保证：我单位及各方联合体（如有）已完全了解并熟悉</w:t>
      </w:r>
      <w:r>
        <w:rPr>
          <w:rFonts w:hint="eastAsia" w:ascii="宋体" w:hAnsi="宋体"/>
          <w:bCs/>
          <w:color w:val="auto"/>
          <w:sz w:val="24"/>
          <w:szCs w:val="24"/>
          <w:highlight w:val="none"/>
          <w:u w:val="single"/>
          <w:lang w:eastAsia="zh-CN"/>
        </w:rPr>
        <w:t>江苏省丹阳高级中学老校区体育馆屋顶修缮项目</w:t>
      </w:r>
      <w:r>
        <w:rPr>
          <w:rFonts w:hint="eastAsia" w:ascii="宋体" w:hAnsi="宋体"/>
          <w:bCs/>
          <w:color w:val="auto"/>
          <w:sz w:val="24"/>
          <w:szCs w:val="24"/>
          <w:highlight w:val="none"/>
          <w:u w:val="single"/>
        </w:rPr>
        <w:t>（项目编号：</w:t>
      </w:r>
      <w:r>
        <w:rPr>
          <w:rFonts w:hint="eastAsia" w:ascii="宋体" w:hAnsi="宋体"/>
          <w:bCs/>
          <w:color w:val="auto"/>
          <w:sz w:val="24"/>
          <w:szCs w:val="24"/>
          <w:highlight w:val="none"/>
          <w:u w:val="single"/>
          <w:lang w:eastAsia="zh-CN"/>
        </w:rPr>
        <w:t>JSZC-321181-DYWX-C2026-0010</w:t>
      </w:r>
      <w:r>
        <w:rPr>
          <w:rFonts w:hint="eastAsia" w:ascii="宋体" w:hAnsi="宋体"/>
          <w:bCs/>
          <w:color w:val="auto"/>
          <w:sz w:val="24"/>
          <w:szCs w:val="24"/>
          <w:highlight w:val="none"/>
          <w:u w:val="single"/>
        </w:rPr>
        <w:t>）</w:t>
      </w:r>
      <w:r>
        <w:rPr>
          <w:rFonts w:hint="eastAsia" w:ascii="宋体" w:hAnsi="宋体"/>
          <w:bCs/>
          <w:color w:val="auto"/>
          <w:sz w:val="24"/>
          <w:szCs w:val="24"/>
          <w:highlight w:val="none"/>
        </w:rPr>
        <w:t>项目</w:t>
      </w:r>
      <w:r>
        <w:rPr>
          <w:rFonts w:hint="eastAsia" w:ascii="宋体" w:hAnsi="宋体" w:cs="宋体"/>
          <w:bCs/>
          <w:color w:val="auto"/>
          <w:sz w:val="24"/>
          <w:highlight w:val="none"/>
        </w:rPr>
        <w:t>采购文件中“第四部分 采购需求”</w:t>
      </w:r>
      <w:r>
        <w:rPr>
          <w:rStyle w:val="34"/>
          <w:rFonts w:hint="eastAsia" w:ascii="宋体" w:hAnsi="宋体" w:eastAsia="宋体" w:cs="Times New Roman"/>
          <w:b w:val="0"/>
          <w:bCs/>
          <w:color w:val="auto"/>
          <w:sz w:val="24"/>
          <w:szCs w:val="24"/>
          <w:highlight w:val="none"/>
          <w:lang w:eastAsia="zh-CN"/>
        </w:rPr>
        <w:t>中的所有条款内容及要求，并且所有条款</w:t>
      </w:r>
      <w:r>
        <w:rPr>
          <w:rStyle w:val="34"/>
          <w:rFonts w:hint="eastAsia" w:ascii="宋体" w:hAnsi="宋体" w:eastAsia="宋体" w:cs="Times New Roman"/>
          <w:b w:val="0"/>
          <w:bCs/>
          <w:color w:val="auto"/>
          <w:sz w:val="24"/>
          <w:szCs w:val="24"/>
          <w:highlight w:val="none"/>
        </w:rPr>
        <w:t>完全响应，无偏离。</w:t>
      </w:r>
      <w:r>
        <w:rPr>
          <w:rStyle w:val="34"/>
          <w:rFonts w:hint="eastAsia" w:ascii="宋体" w:hAnsi="宋体" w:eastAsia="宋体" w:cs="Times New Roman"/>
          <w:b w:val="0"/>
          <w:bCs/>
          <w:color w:val="auto"/>
          <w:sz w:val="24"/>
          <w:szCs w:val="24"/>
          <w:highlight w:val="none"/>
          <w:lang w:eastAsia="zh-CN"/>
        </w:rPr>
        <w:t>如</w:t>
      </w:r>
      <w:r>
        <w:rPr>
          <w:rStyle w:val="34"/>
          <w:rFonts w:hint="eastAsia" w:ascii="宋体" w:hAnsi="宋体" w:eastAsia="宋体" w:cs="Times New Roman"/>
          <w:b w:val="0"/>
          <w:bCs/>
          <w:color w:val="auto"/>
          <w:sz w:val="24"/>
          <w:szCs w:val="24"/>
          <w:highlight w:val="none"/>
        </w:rPr>
        <w:t>我单位</w:t>
      </w:r>
      <w:r>
        <w:rPr>
          <w:rStyle w:val="34"/>
          <w:rFonts w:hint="eastAsia" w:ascii="宋体" w:hAnsi="宋体" w:eastAsia="宋体" w:cs="Times New Roman"/>
          <w:b w:val="0"/>
          <w:bCs/>
          <w:color w:val="auto"/>
          <w:sz w:val="24"/>
          <w:szCs w:val="24"/>
          <w:highlight w:val="none"/>
          <w:lang w:eastAsia="zh-CN"/>
        </w:rPr>
        <w:t>无法按照采购文件中的条款要求执行，自愿承担一切违约责任。</w:t>
      </w:r>
    </w:p>
    <w:p w14:paraId="5C42B055">
      <w:pPr>
        <w:pStyle w:val="314"/>
        <w:keepNext w:val="0"/>
        <w:keepLines w:val="0"/>
        <w:pageBreakBefore w:val="0"/>
        <w:widowControl w:val="0"/>
        <w:spacing w:line="480" w:lineRule="atLeast"/>
        <w:ind w:firstLine="480"/>
        <w:rPr>
          <w:rStyle w:val="34"/>
          <w:rFonts w:hint="eastAsia" w:ascii="宋体" w:hAnsi="宋体" w:eastAsia="宋体" w:cs="Times New Roman"/>
          <w:b w:val="0"/>
          <w:bCs/>
          <w:color w:val="auto"/>
          <w:sz w:val="24"/>
          <w:szCs w:val="24"/>
          <w:highlight w:val="none"/>
        </w:rPr>
      </w:pPr>
      <w:r>
        <w:rPr>
          <w:rStyle w:val="34"/>
          <w:rFonts w:hint="eastAsia" w:ascii="宋体" w:hAnsi="宋体" w:eastAsia="宋体" w:cs="Times New Roman"/>
          <w:b w:val="0"/>
          <w:bCs/>
          <w:color w:val="auto"/>
          <w:sz w:val="24"/>
          <w:szCs w:val="24"/>
          <w:highlight w:val="none"/>
          <w:lang w:eastAsia="zh-CN"/>
        </w:rPr>
        <w:t>特此承诺！</w:t>
      </w:r>
    </w:p>
    <w:p w14:paraId="36773D7D">
      <w:pPr>
        <w:pStyle w:val="315"/>
        <w:rPr>
          <w:rStyle w:val="34"/>
          <w:rFonts w:hint="eastAsia" w:ascii="宋体" w:hAnsi="宋体" w:cs="Times New Roman"/>
          <w:b/>
          <w:color w:val="auto"/>
          <w:sz w:val="24"/>
          <w:szCs w:val="24"/>
          <w:highlight w:val="none"/>
        </w:rPr>
      </w:pPr>
    </w:p>
    <w:p w14:paraId="16ECE1C0">
      <w:pPr>
        <w:pStyle w:val="314"/>
        <w:keepNext w:val="0"/>
        <w:keepLines w:val="0"/>
        <w:pageBreakBefore w:val="0"/>
        <w:widowControl w:val="0"/>
        <w:spacing w:line="360" w:lineRule="auto"/>
        <w:jc w:val="center"/>
        <w:rPr>
          <w:rStyle w:val="34"/>
          <w:rFonts w:ascii="宋体" w:hAnsi="宋体" w:eastAsia="宋体" w:cs="Times New Roman"/>
          <w:color w:val="auto"/>
          <w:sz w:val="24"/>
          <w:szCs w:val="24"/>
          <w:highlight w:val="none"/>
        </w:rPr>
      </w:pPr>
      <w:r>
        <w:rPr>
          <w:rStyle w:val="34"/>
          <w:rFonts w:hint="eastAsia" w:ascii="宋体" w:hAnsi="宋体" w:eastAsia="宋体" w:cs="Times New Roman"/>
          <w:color w:val="auto"/>
          <w:sz w:val="24"/>
          <w:szCs w:val="24"/>
          <w:highlight w:val="none"/>
          <w:lang w:val="en-US" w:eastAsia="zh-CN"/>
        </w:rPr>
        <w:t xml:space="preserve">                      </w:t>
      </w:r>
      <w:r>
        <w:rPr>
          <w:rStyle w:val="34"/>
          <w:rFonts w:hint="eastAsia" w:ascii="宋体" w:hAnsi="宋体" w:eastAsia="宋体" w:cs="Times New Roman"/>
          <w:color w:val="auto"/>
          <w:sz w:val="24"/>
          <w:szCs w:val="24"/>
          <w:highlight w:val="none"/>
        </w:rPr>
        <w:t>供应商名称（公章）：</w:t>
      </w:r>
    </w:p>
    <w:p w14:paraId="1ADE58FD">
      <w:pPr>
        <w:pStyle w:val="314"/>
        <w:keepNext w:val="0"/>
        <w:keepLines w:val="0"/>
        <w:pageBreakBefore w:val="0"/>
        <w:widowControl w:val="0"/>
        <w:spacing w:line="360" w:lineRule="auto"/>
        <w:jc w:val="center"/>
        <w:rPr>
          <w:rStyle w:val="34"/>
          <w:rFonts w:ascii="宋体" w:hAnsi="宋体" w:eastAsia="宋体" w:cs="Times New Roman"/>
          <w:color w:val="auto"/>
          <w:sz w:val="24"/>
          <w:szCs w:val="24"/>
          <w:highlight w:val="none"/>
        </w:rPr>
      </w:pPr>
      <w:r>
        <w:rPr>
          <w:rStyle w:val="34"/>
          <w:rFonts w:hint="eastAsia" w:ascii="宋体" w:hAnsi="宋体" w:eastAsia="宋体" w:cs="微软雅黑"/>
          <w:color w:val="auto"/>
          <w:spacing w:val="-2"/>
          <w:sz w:val="24"/>
          <w:szCs w:val="24"/>
          <w:highlight w:val="none"/>
        </w:rPr>
        <w:t>法</w:t>
      </w:r>
      <w:r>
        <w:rPr>
          <w:rStyle w:val="34"/>
          <w:rFonts w:hint="eastAsia" w:ascii="宋体" w:hAnsi="宋体" w:eastAsia="宋体" w:cs="微软雅黑"/>
          <w:color w:val="auto"/>
          <w:sz w:val="24"/>
          <w:szCs w:val="24"/>
          <w:highlight w:val="none"/>
        </w:rPr>
        <w:t>定</w:t>
      </w:r>
      <w:r>
        <w:rPr>
          <w:rStyle w:val="34"/>
          <w:rFonts w:hint="eastAsia" w:ascii="宋体" w:hAnsi="宋体" w:eastAsia="宋体" w:cs="微软雅黑"/>
          <w:color w:val="auto"/>
          <w:spacing w:val="-2"/>
          <w:sz w:val="24"/>
          <w:szCs w:val="24"/>
          <w:highlight w:val="none"/>
        </w:rPr>
        <w:t>代</w:t>
      </w:r>
      <w:r>
        <w:rPr>
          <w:rStyle w:val="34"/>
          <w:rFonts w:hint="eastAsia" w:ascii="宋体" w:hAnsi="宋体" w:eastAsia="宋体" w:cs="微软雅黑"/>
          <w:color w:val="auto"/>
          <w:sz w:val="24"/>
          <w:szCs w:val="24"/>
          <w:highlight w:val="none"/>
        </w:rPr>
        <w:t>表</w:t>
      </w:r>
      <w:r>
        <w:rPr>
          <w:rStyle w:val="34"/>
          <w:rFonts w:hint="eastAsia" w:ascii="宋体" w:hAnsi="宋体" w:eastAsia="宋体" w:cs="微软雅黑"/>
          <w:color w:val="auto"/>
          <w:spacing w:val="-2"/>
          <w:sz w:val="24"/>
          <w:szCs w:val="24"/>
          <w:highlight w:val="none"/>
        </w:rPr>
        <w:t>人</w:t>
      </w:r>
      <w:r>
        <w:rPr>
          <w:rStyle w:val="34"/>
          <w:rFonts w:hint="eastAsia" w:ascii="宋体" w:hAnsi="宋体" w:eastAsia="宋体" w:cs="Times New Roman"/>
          <w:color w:val="auto"/>
          <w:sz w:val="24"/>
          <w:szCs w:val="24"/>
          <w:highlight w:val="none"/>
        </w:rPr>
        <w:t>或其授权的代理人（签字或盖章）：</w:t>
      </w:r>
    </w:p>
    <w:p w14:paraId="2E7A841D">
      <w:pPr>
        <w:pStyle w:val="314"/>
        <w:keepNext w:val="0"/>
        <w:keepLines w:val="0"/>
        <w:pageBreakBefore w:val="0"/>
        <w:widowControl w:val="0"/>
        <w:spacing w:line="360" w:lineRule="auto"/>
        <w:jc w:val="right"/>
        <w:rPr>
          <w:rStyle w:val="34"/>
          <w:rFonts w:hint="eastAsia" w:ascii="宋体" w:hAnsi="宋体" w:eastAsia="宋体" w:cs="Times New Roman"/>
          <w:color w:val="auto"/>
          <w:sz w:val="24"/>
          <w:szCs w:val="24"/>
          <w:highlight w:val="none"/>
          <w:u w:val="none"/>
        </w:rPr>
      </w:pPr>
      <w:r>
        <w:rPr>
          <w:rStyle w:val="34"/>
          <w:rFonts w:hint="eastAsia" w:ascii="宋体" w:hAnsi="宋体" w:eastAsia="宋体" w:cs="Times New Roman"/>
          <w:color w:val="auto"/>
          <w:sz w:val="24"/>
          <w:szCs w:val="24"/>
          <w:highlight w:val="none"/>
        </w:rPr>
        <w:t>日      期：</w:t>
      </w:r>
      <w:r>
        <w:rPr>
          <w:rStyle w:val="34"/>
          <w:rFonts w:hint="eastAsia" w:ascii="宋体" w:hAnsi="宋体" w:eastAsia="宋体" w:cs="Times New Roman"/>
          <w:color w:val="auto"/>
          <w:sz w:val="24"/>
          <w:szCs w:val="24"/>
          <w:highlight w:val="none"/>
          <w:lang w:val="en-US" w:eastAsia="zh-CN"/>
        </w:rPr>
        <w:t xml:space="preserve">   </w:t>
      </w:r>
      <w:r>
        <w:rPr>
          <w:rStyle w:val="34"/>
          <w:rFonts w:hint="eastAsia" w:ascii="宋体" w:hAnsi="宋体" w:eastAsia="宋体" w:cs="Times New Roman"/>
          <w:color w:val="auto"/>
          <w:sz w:val="24"/>
          <w:szCs w:val="24"/>
          <w:highlight w:val="none"/>
        </w:rPr>
        <w:t>年</w:t>
      </w:r>
      <w:r>
        <w:rPr>
          <w:rStyle w:val="34"/>
          <w:rFonts w:hint="eastAsia" w:ascii="宋体" w:hAnsi="宋体" w:eastAsia="宋体" w:cs="Times New Roman"/>
          <w:color w:val="auto"/>
          <w:sz w:val="24"/>
          <w:szCs w:val="24"/>
          <w:highlight w:val="none"/>
          <w:lang w:val="en-US" w:eastAsia="zh-CN"/>
        </w:rPr>
        <w:t xml:space="preserve">    </w:t>
      </w:r>
      <w:r>
        <w:rPr>
          <w:rStyle w:val="34"/>
          <w:rFonts w:hint="eastAsia" w:ascii="宋体" w:hAnsi="宋体" w:eastAsia="宋体" w:cs="Times New Roman"/>
          <w:color w:val="auto"/>
          <w:sz w:val="24"/>
          <w:szCs w:val="24"/>
          <w:highlight w:val="none"/>
        </w:rPr>
        <w:t>月</w:t>
      </w:r>
      <w:r>
        <w:rPr>
          <w:rStyle w:val="34"/>
          <w:rFonts w:hint="eastAsia" w:ascii="宋体" w:hAnsi="宋体" w:eastAsia="宋体" w:cs="Times New Roman"/>
          <w:color w:val="auto"/>
          <w:sz w:val="24"/>
          <w:szCs w:val="24"/>
          <w:highlight w:val="none"/>
          <w:lang w:val="en-US" w:eastAsia="zh-CN"/>
        </w:rPr>
        <w:t xml:space="preserve">     </w:t>
      </w:r>
      <w:r>
        <w:rPr>
          <w:rStyle w:val="34"/>
          <w:rFonts w:hint="eastAsia" w:ascii="宋体" w:hAnsi="宋体" w:eastAsia="宋体" w:cs="Times New Roman"/>
          <w:color w:val="auto"/>
          <w:sz w:val="24"/>
          <w:szCs w:val="24"/>
          <w:highlight w:val="none"/>
          <w:u w:val="none"/>
          <w:lang w:eastAsia="zh-CN"/>
        </w:rPr>
        <w:t>日</w:t>
      </w:r>
    </w:p>
    <w:p w14:paraId="6E479794">
      <w:pPr>
        <w:pStyle w:val="314"/>
        <w:rPr>
          <w:rStyle w:val="34"/>
          <w:rFonts w:hint="eastAsia" w:ascii="宋体" w:hAnsi="宋体" w:eastAsia="宋体" w:cs="宋体"/>
          <w:b/>
          <w:bCs/>
          <w:color w:val="auto"/>
          <w:sz w:val="24"/>
          <w:szCs w:val="22"/>
          <w:highlight w:val="none"/>
        </w:rPr>
      </w:pPr>
    </w:p>
    <w:p w14:paraId="6ECBF302">
      <w:pPr>
        <w:pStyle w:val="314"/>
        <w:jc w:val="left"/>
        <w:rPr>
          <w:rStyle w:val="34"/>
          <w:rFonts w:hint="eastAsia" w:ascii="宋体" w:hAnsi="宋体" w:eastAsia="宋体" w:cs="宋体"/>
          <w:b/>
          <w:bCs/>
          <w:color w:val="auto"/>
          <w:sz w:val="24"/>
          <w:szCs w:val="22"/>
          <w:highlight w:val="none"/>
        </w:rPr>
      </w:pPr>
    </w:p>
    <w:p w14:paraId="7704B9FF">
      <w:pPr>
        <w:pStyle w:val="314"/>
        <w:jc w:val="left"/>
        <w:rPr>
          <w:rStyle w:val="34"/>
          <w:rFonts w:hint="eastAsia" w:ascii="宋体" w:hAnsi="宋体" w:eastAsia="宋体" w:cs="宋体"/>
          <w:b/>
          <w:bCs/>
          <w:color w:val="auto"/>
          <w:sz w:val="24"/>
          <w:szCs w:val="22"/>
          <w:highlight w:val="none"/>
        </w:rPr>
      </w:pPr>
      <w:r>
        <w:rPr>
          <w:rStyle w:val="34"/>
          <w:rFonts w:hint="eastAsia" w:ascii="宋体" w:hAnsi="宋体" w:cs="宋体"/>
          <w:b/>
          <w:bCs/>
          <w:color w:val="auto"/>
          <w:sz w:val="24"/>
          <w:szCs w:val="22"/>
          <w:highlight w:val="none"/>
          <w:lang w:val="en-US" w:eastAsia="zh-CN" w:bidi="ar-SA"/>
        </w:rPr>
        <w:t>2、所有</w:t>
      </w:r>
      <w:r>
        <w:rPr>
          <w:rStyle w:val="34"/>
          <w:rFonts w:hint="eastAsia" w:ascii="宋体" w:hAnsi="宋体" w:eastAsia="宋体" w:cs="宋体"/>
          <w:b/>
          <w:bCs/>
          <w:color w:val="auto"/>
          <w:sz w:val="24"/>
          <w:szCs w:val="22"/>
          <w:highlight w:val="none"/>
          <w:lang w:val="en-US" w:eastAsia="zh-CN" w:bidi="ar-SA"/>
        </w:rPr>
        <w:t>条款要求如有负偏离，请如实填写下表（如有）：</w:t>
      </w:r>
    </w:p>
    <w:tbl>
      <w:tblPr>
        <w:tblStyle w:val="32"/>
        <w:tblpPr w:leftFromText="180" w:rightFromText="180" w:vertAnchor="page" w:horzAnchor="page" w:tblpXSpec="center" w:tblpY="8871"/>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16"/>
        <w:gridCol w:w="2774"/>
        <w:gridCol w:w="2725"/>
        <w:gridCol w:w="1821"/>
        <w:gridCol w:w="1486"/>
      </w:tblGrid>
      <w:tr w14:paraId="6553C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jc w:val="center"/>
        </w:trPr>
        <w:tc>
          <w:tcPr>
            <w:tcW w:w="471" w:type="pct"/>
            <w:noWrap w:val="0"/>
            <w:tcMar>
              <w:top w:w="0" w:type="dxa"/>
              <w:left w:w="0" w:type="dxa"/>
              <w:bottom w:w="0" w:type="dxa"/>
              <w:right w:w="0" w:type="dxa"/>
            </w:tcMar>
            <w:vAlign w:val="center"/>
          </w:tcPr>
          <w:p w14:paraId="4BF89085">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rPr>
              <w:t>序号</w:t>
            </w:r>
          </w:p>
        </w:tc>
        <w:tc>
          <w:tcPr>
            <w:tcW w:w="1426" w:type="pct"/>
            <w:noWrap w:val="0"/>
            <w:tcMar>
              <w:top w:w="0" w:type="dxa"/>
              <w:left w:w="0" w:type="dxa"/>
              <w:bottom w:w="0" w:type="dxa"/>
              <w:right w:w="0" w:type="dxa"/>
            </w:tcMar>
            <w:vAlign w:val="center"/>
          </w:tcPr>
          <w:p w14:paraId="49EDB6D3">
            <w:pPr>
              <w:pStyle w:val="280"/>
              <w:jc w:val="center"/>
              <w:rPr>
                <w:rStyle w:val="34"/>
                <w:rFonts w:hint="eastAsia" w:ascii="宋体" w:hAnsi="宋体" w:eastAsia="宋体" w:cs="宋体"/>
                <w:color w:val="auto"/>
                <w:sz w:val="22"/>
                <w:szCs w:val="22"/>
                <w:highlight w:val="none"/>
              </w:rPr>
            </w:pPr>
            <w:r>
              <w:rPr>
                <w:rStyle w:val="34"/>
                <w:rFonts w:hint="eastAsia" w:ascii="宋体" w:hAnsi="宋体" w:cs="宋体"/>
                <w:color w:val="auto"/>
                <w:sz w:val="22"/>
                <w:szCs w:val="22"/>
                <w:highlight w:val="none"/>
                <w:lang w:eastAsia="zh-CN"/>
              </w:rPr>
              <w:t>技术（服务）</w:t>
            </w:r>
            <w:r>
              <w:rPr>
                <w:rStyle w:val="34"/>
                <w:rFonts w:hint="eastAsia" w:ascii="宋体" w:hAnsi="宋体" w:cs="宋体"/>
                <w:color w:val="auto"/>
                <w:sz w:val="22"/>
                <w:szCs w:val="22"/>
                <w:highlight w:val="none"/>
                <w:lang w:val="en-US" w:eastAsia="zh-CN"/>
              </w:rPr>
              <w:t>/商务</w:t>
            </w:r>
            <w:r>
              <w:rPr>
                <w:rStyle w:val="34"/>
                <w:rFonts w:hint="eastAsia" w:ascii="宋体" w:hAnsi="宋体" w:eastAsia="宋体" w:cs="宋体"/>
                <w:color w:val="auto"/>
                <w:sz w:val="22"/>
                <w:szCs w:val="22"/>
                <w:highlight w:val="none"/>
                <w:lang w:eastAsia="zh-CN"/>
              </w:rPr>
              <w:t>要求内容</w:t>
            </w:r>
          </w:p>
        </w:tc>
        <w:tc>
          <w:tcPr>
            <w:tcW w:w="1401" w:type="pct"/>
            <w:noWrap w:val="0"/>
            <w:tcMar>
              <w:top w:w="0" w:type="dxa"/>
              <w:left w:w="0" w:type="dxa"/>
              <w:bottom w:w="0" w:type="dxa"/>
              <w:right w:w="0" w:type="dxa"/>
            </w:tcMar>
            <w:vAlign w:val="center"/>
          </w:tcPr>
          <w:p w14:paraId="1B5ACFF9">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lang w:eastAsia="zh-CN"/>
              </w:rPr>
              <w:t>实际响应情况</w:t>
            </w:r>
          </w:p>
        </w:tc>
        <w:tc>
          <w:tcPr>
            <w:tcW w:w="936" w:type="pct"/>
            <w:noWrap w:val="0"/>
            <w:tcMar>
              <w:top w:w="0" w:type="dxa"/>
              <w:left w:w="0" w:type="dxa"/>
              <w:bottom w:w="0" w:type="dxa"/>
              <w:right w:w="0" w:type="dxa"/>
            </w:tcMar>
            <w:vAlign w:val="center"/>
          </w:tcPr>
          <w:p w14:paraId="772889A7">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rPr>
              <w:t>偏离</w:t>
            </w:r>
            <w:r>
              <w:rPr>
                <w:rStyle w:val="34"/>
                <w:rFonts w:hint="eastAsia" w:ascii="宋体" w:hAnsi="宋体" w:eastAsia="宋体" w:cs="宋体"/>
                <w:color w:val="auto"/>
                <w:sz w:val="22"/>
                <w:szCs w:val="22"/>
                <w:highlight w:val="none"/>
                <w:lang w:eastAsia="zh-CN"/>
              </w:rPr>
              <w:t>内容</w:t>
            </w:r>
          </w:p>
        </w:tc>
        <w:tc>
          <w:tcPr>
            <w:tcW w:w="764" w:type="pct"/>
            <w:noWrap w:val="0"/>
            <w:tcMar>
              <w:top w:w="0" w:type="dxa"/>
              <w:left w:w="0" w:type="dxa"/>
              <w:bottom w:w="0" w:type="dxa"/>
              <w:right w:w="0" w:type="dxa"/>
            </w:tcMar>
            <w:vAlign w:val="center"/>
          </w:tcPr>
          <w:p w14:paraId="6CEDD123">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rPr>
              <w:t>备注</w:t>
            </w:r>
          </w:p>
        </w:tc>
      </w:tr>
      <w:tr w14:paraId="47C5B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5BE6E56B">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rPr>
              <w:t>1</w:t>
            </w:r>
          </w:p>
        </w:tc>
        <w:tc>
          <w:tcPr>
            <w:tcW w:w="1426" w:type="pct"/>
            <w:noWrap w:val="0"/>
            <w:tcMar>
              <w:top w:w="0" w:type="dxa"/>
              <w:left w:w="0" w:type="dxa"/>
              <w:bottom w:w="0" w:type="dxa"/>
              <w:right w:w="0" w:type="dxa"/>
            </w:tcMar>
            <w:vAlign w:val="center"/>
          </w:tcPr>
          <w:p w14:paraId="52EDE0E2">
            <w:pPr>
              <w:pStyle w:val="280"/>
              <w:jc w:val="center"/>
              <w:rPr>
                <w:rStyle w:val="34"/>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75FDB230">
            <w:pPr>
              <w:pStyle w:val="280"/>
              <w:jc w:val="center"/>
              <w:rPr>
                <w:rStyle w:val="34"/>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5DFB28FC">
            <w:pPr>
              <w:pStyle w:val="280"/>
              <w:jc w:val="center"/>
              <w:rPr>
                <w:rStyle w:val="34"/>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0ABE70C3">
            <w:pPr>
              <w:pStyle w:val="280"/>
              <w:jc w:val="center"/>
              <w:rPr>
                <w:rStyle w:val="34"/>
                <w:rFonts w:hint="eastAsia" w:ascii="宋体" w:hAnsi="宋体" w:eastAsia="宋体" w:cs="宋体"/>
                <w:color w:val="auto"/>
                <w:sz w:val="22"/>
                <w:szCs w:val="22"/>
                <w:highlight w:val="none"/>
              </w:rPr>
            </w:pPr>
          </w:p>
        </w:tc>
      </w:tr>
      <w:tr w14:paraId="541EE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1BBD0741">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lang w:val="en-US" w:eastAsia="zh-CN"/>
              </w:rPr>
              <w:t>2</w:t>
            </w:r>
          </w:p>
        </w:tc>
        <w:tc>
          <w:tcPr>
            <w:tcW w:w="1426" w:type="pct"/>
            <w:noWrap w:val="0"/>
            <w:tcMar>
              <w:top w:w="0" w:type="dxa"/>
              <w:left w:w="0" w:type="dxa"/>
              <w:bottom w:w="0" w:type="dxa"/>
              <w:right w:w="0" w:type="dxa"/>
            </w:tcMar>
            <w:vAlign w:val="center"/>
          </w:tcPr>
          <w:p w14:paraId="0CDCA6E0">
            <w:pPr>
              <w:pStyle w:val="280"/>
              <w:jc w:val="center"/>
              <w:rPr>
                <w:rStyle w:val="34"/>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6CC30A22">
            <w:pPr>
              <w:pStyle w:val="280"/>
              <w:jc w:val="center"/>
              <w:rPr>
                <w:rStyle w:val="34"/>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2F796565">
            <w:pPr>
              <w:pStyle w:val="280"/>
              <w:jc w:val="center"/>
              <w:rPr>
                <w:rStyle w:val="34"/>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77E94617">
            <w:pPr>
              <w:pStyle w:val="280"/>
              <w:jc w:val="center"/>
              <w:rPr>
                <w:rStyle w:val="34"/>
                <w:rFonts w:hint="eastAsia" w:ascii="宋体" w:hAnsi="宋体" w:eastAsia="宋体" w:cs="宋体"/>
                <w:color w:val="auto"/>
                <w:sz w:val="22"/>
                <w:szCs w:val="22"/>
                <w:highlight w:val="none"/>
              </w:rPr>
            </w:pPr>
          </w:p>
        </w:tc>
      </w:tr>
      <w:tr w14:paraId="30F8E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686F0F31">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lang w:val="en-US" w:eastAsia="zh-CN"/>
              </w:rPr>
              <w:t>…</w:t>
            </w:r>
          </w:p>
        </w:tc>
        <w:tc>
          <w:tcPr>
            <w:tcW w:w="1426" w:type="pct"/>
            <w:noWrap w:val="0"/>
            <w:tcMar>
              <w:top w:w="0" w:type="dxa"/>
              <w:left w:w="0" w:type="dxa"/>
              <w:bottom w:w="0" w:type="dxa"/>
              <w:right w:w="0" w:type="dxa"/>
            </w:tcMar>
            <w:vAlign w:val="center"/>
          </w:tcPr>
          <w:p w14:paraId="1C1306FF">
            <w:pPr>
              <w:pStyle w:val="280"/>
              <w:jc w:val="center"/>
              <w:rPr>
                <w:rStyle w:val="34"/>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4CEC8218">
            <w:pPr>
              <w:pStyle w:val="280"/>
              <w:jc w:val="center"/>
              <w:rPr>
                <w:rStyle w:val="34"/>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7407AC84">
            <w:pPr>
              <w:pStyle w:val="280"/>
              <w:jc w:val="center"/>
              <w:rPr>
                <w:rStyle w:val="34"/>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4D60116E">
            <w:pPr>
              <w:pStyle w:val="280"/>
              <w:jc w:val="center"/>
              <w:rPr>
                <w:rStyle w:val="34"/>
                <w:rFonts w:hint="eastAsia" w:ascii="宋体" w:hAnsi="宋体" w:eastAsia="宋体" w:cs="宋体"/>
                <w:color w:val="auto"/>
                <w:sz w:val="22"/>
                <w:szCs w:val="22"/>
                <w:highlight w:val="none"/>
              </w:rPr>
            </w:pPr>
          </w:p>
        </w:tc>
      </w:tr>
    </w:tbl>
    <w:p w14:paraId="60B9BBE6">
      <w:pPr>
        <w:pStyle w:val="314"/>
        <w:spacing w:line="300" w:lineRule="exact"/>
        <w:rPr>
          <w:rStyle w:val="34"/>
          <w:rFonts w:hint="eastAsia" w:ascii="宋体" w:hAnsi="宋体" w:eastAsia="宋体" w:cs="宋体"/>
          <w:color w:val="auto"/>
          <w:highlight w:val="none"/>
        </w:rPr>
      </w:pPr>
    </w:p>
    <w:p w14:paraId="445FE460">
      <w:pPr>
        <w:pStyle w:val="278"/>
        <w:jc w:val="left"/>
        <w:outlineLvl w:val="1"/>
        <w:rPr>
          <w:rStyle w:val="192"/>
          <w:rFonts w:hint="eastAsia" w:ascii="宋体" w:hAnsi="宋体" w:eastAsia="宋体" w:cs="Times New Roman"/>
          <w:color w:val="auto"/>
          <w:sz w:val="22"/>
          <w:szCs w:val="22"/>
          <w:highlight w:val="none"/>
          <w:u w:val="none"/>
        </w:rPr>
      </w:pPr>
      <w:bookmarkStart w:id="631" w:name="_Toc8968"/>
      <w:bookmarkStart w:id="632" w:name="_Toc5973"/>
      <w:bookmarkStart w:id="633" w:name="_Toc31768"/>
      <w:bookmarkStart w:id="634" w:name="_Toc26142"/>
      <w:r>
        <w:rPr>
          <w:rStyle w:val="34"/>
          <w:rFonts w:hint="eastAsia" w:ascii="宋体" w:hAnsi="宋体" w:eastAsia="宋体" w:cs="宋体"/>
          <w:color w:val="auto"/>
          <w:highlight w:val="none"/>
        </w:rPr>
        <w:t>说明：投标人应如实填写，如履约时发现不能按上述内容提供服务，采购人有权取消其中标资格，并报政府采购监督管理处。投标人应负相应法律责任</w:t>
      </w:r>
      <w:r>
        <w:rPr>
          <w:rStyle w:val="34"/>
          <w:rFonts w:hint="eastAsia" w:ascii="宋体" w:hAnsi="宋体" w:eastAsia="宋体" w:cs="宋体"/>
          <w:color w:val="auto"/>
          <w:highlight w:val="none"/>
          <w:lang w:eastAsia="zh-CN"/>
        </w:rPr>
        <w:t>及违约责任</w:t>
      </w:r>
      <w:r>
        <w:rPr>
          <w:rStyle w:val="34"/>
          <w:rFonts w:hint="eastAsia" w:ascii="宋体" w:hAnsi="宋体" w:eastAsia="宋体" w:cs="宋体"/>
          <w:color w:val="auto"/>
          <w:highlight w:val="none"/>
        </w:rPr>
        <w:t>。</w:t>
      </w:r>
      <w:bookmarkEnd w:id="631"/>
      <w:bookmarkEnd w:id="632"/>
      <w:bookmarkEnd w:id="633"/>
      <w:bookmarkEnd w:id="634"/>
    </w:p>
    <w:p w14:paraId="4057487A">
      <w:pPr>
        <w:pStyle w:val="278"/>
        <w:jc w:val="center"/>
        <w:outlineLvl w:val="1"/>
        <w:rPr>
          <w:rStyle w:val="192"/>
          <w:rFonts w:ascii="宋体" w:hAnsi="宋体" w:eastAsia="宋体" w:cs="宋体"/>
          <w:b/>
          <w:bCs/>
          <w:color w:val="auto"/>
          <w:sz w:val="32"/>
          <w:highlight w:val="none"/>
        </w:rPr>
      </w:pPr>
    </w:p>
    <w:p w14:paraId="01474FB5">
      <w:pPr>
        <w:rPr>
          <w:rStyle w:val="192"/>
          <w:rFonts w:ascii="宋体" w:hAnsi="宋体" w:eastAsia="宋体" w:cs="宋体"/>
          <w:b/>
          <w:bCs/>
          <w:color w:val="auto"/>
          <w:sz w:val="32"/>
          <w:highlight w:val="none"/>
        </w:rPr>
      </w:pPr>
      <w:r>
        <w:rPr>
          <w:rStyle w:val="192"/>
          <w:rFonts w:ascii="宋体" w:hAnsi="宋体" w:eastAsia="宋体" w:cs="宋体"/>
          <w:b/>
          <w:bCs/>
          <w:color w:val="auto"/>
          <w:sz w:val="32"/>
          <w:highlight w:val="none"/>
        </w:rPr>
        <w:br w:type="page" w:clear="all"/>
      </w:r>
    </w:p>
    <w:p w14:paraId="4C05F3B7">
      <w:pPr>
        <w:pStyle w:val="278"/>
        <w:jc w:val="center"/>
        <w:outlineLvl w:val="1"/>
        <w:rPr>
          <w:rStyle w:val="192"/>
          <w:rFonts w:ascii="Times New Roman" w:hAnsi="Times New Roman" w:eastAsia="Times New Roman" w:cs="Times New Roman"/>
          <w:color w:val="auto"/>
          <w:highlight w:val="none"/>
        </w:rPr>
      </w:pPr>
      <w:bookmarkStart w:id="635" w:name="_Toc32425"/>
      <w:r>
        <w:rPr>
          <w:rStyle w:val="192"/>
          <w:rFonts w:ascii="宋体" w:hAnsi="宋体" w:eastAsia="宋体" w:cs="宋体"/>
          <w:b/>
          <w:bCs/>
          <w:color w:val="auto"/>
          <w:sz w:val="32"/>
          <w:highlight w:val="none"/>
        </w:rPr>
        <w:t>三、商务部分</w:t>
      </w:r>
      <w:bookmarkEnd w:id="635"/>
    </w:p>
    <w:p w14:paraId="21816ABB">
      <w:pPr>
        <w:pStyle w:val="279"/>
        <w:jc w:val="center"/>
        <w:outlineLvl w:val="2"/>
        <w:rPr>
          <w:rStyle w:val="192"/>
          <w:rFonts w:ascii="Times New Roman" w:hAnsi="Times New Roman" w:eastAsia="Times New Roman" w:cs="Times New Roman"/>
          <w:color w:val="auto"/>
          <w:highlight w:val="none"/>
        </w:rPr>
      </w:pPr>
      <w:bookmarkStart w:id="636" w:name="_Toc12742"/>
      <w:r>
        <w:rPr>
          <w:rStyle w:val="192"/>
          <w:rFonts w:ascii="宋体" w:hAnsi="宋体" w:eastAsia="宋体" w:cs="宋体"/>
          <w:b w:val="0"/>
          <w:color w:val="auto"/>
          <w:sz w:val="28"/>
          <w:highlight w:val="none"/>
        </w:rPr>
        <w:t>(一)供应商能力</w:t>
      </w:r>
      <w:bookmarkEnd w:id="636"/>
    </w:p>
    <w:p w14:paraId="45B7E9F7">
      <w:pPr>
        <w:pStyle w:val="288"/>
        <w:jc w:val="center"/>
        <w:outlineLvl w:val="2"/>
        <w:rPr>
          <w:rStyle w:val="192"/>
          <w:rFonts w:hint="eastAsia" w:ascii="Times New Roman" w:hAnsi="Times New Roman" w:eastAsia="宋体" w:cs="Times New Roman"/>
          <w:color w:val="auto"/>
          <w:highlight w:val="none"/>
        </w:rPr>
      </w:pPr>
      <w:bookmarkStart w:id="637" w:name="_Toc1377"/>
      <w:bookmarkStart w:id="638" w:name="_Toc7308"/>
      <w:r>
        <w:rPr>
          <w:rStyle w:val="192"/>
          <w:rFonts w:hint="eastAsia" w:eastAsia="宋体" w:cs="Times New Roman"/>
          <w:color w:val="auto"/>
          <w:highlight w:val="none"/>
          <w:lang w:eastAsia="zh-CN"/>
        </w:rPr>
        <w:t>根据采购文件采购需求及评分办法等提供企业的获奖荣誉、企业证书等</w:t>
      </w:r>
      <w:r>
        <w:rPr>
          <w:rStyle w:val="192"/>
          <w:rFonts w:ascii="Times New Roman" w:hAnsi="Times New Roman" w:eastAsia="Times New Roman" w:cs="Times New Roman"/>
          <w:color w:val="auto"/>
          <w:highlight w:val="none"/>
        </w:rPr>
        <w:br w:type="page" w:clear="all"/>
      </w:r>
      <w:r>
        <w:rPr>
          <w:rStyle w:val="192"/>
          <w:rFonts w:ascii="宋体" w:hAnsi="宋体" w:eastAsia="宋体" w:cs="宋体"/>
          <w:b/>
          <w:bCs/>
          <w:color w:val="auto"/>
          <w:sz w:val="28"/>
          <w:szCs w:val="24"/>
          <w:highlight w:val="none"/>
        </w:rPr>
        <w:t>(二)</w:t>
      </w:r>
      <w:r>
        <w:rPr>
          <w:rStyle w:val="192"/>
          <w:rFonts w:hint="eastAsia" w:ascii="宋体" w:hAnsi="宋体" w:eastAsia="宋体" w:cs="宋体"/>
          <w:b/>
          <w:bCs/>
          <w:color w:val="auto"/>
          <w:sz w:val="28"/>
          <w:szCs w:val="24"/>
          <w:highlight w:val="none"/>
          <w:lang w:eastAsia="zh-CN"/>
        </w:rPr>
        <w:t>类似业绩</w:t>
      </w:r>
      <w:bookmarkEnd w:id="637"/>
      <w:bookmarkEnd w:id="638"/>
    </w:p>
    <w:tbl>
      <w:tblPr>
        <w:tblStyle w:val="32"/>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1"/>
        <w:gridCol w:w="2061"/>
        <w:gridCol w:w="1605"/>
        <w:gridCol w:w="2158"/>
        <w:gridCol w:w="1276"/>
        <w:gridCol w:w="1311"/>
      </w:tblGrid>
      <w:tr w14:paraId="5A607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011" w:type="dxa"/>
            <w:noWrap w:val="0"/>
            <w:vAlign w:val="center"/>
          </w:tcPr>
          <w:p w14:paraId="17AF5D39">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2061" w:type="dxa"/>
            <w:noWrap w:val="0"/>
            <w:vAlign w:val="center"/>
          </w:tcPr>
          <w:p w14:paraId="0C500C0C">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c>
        <w:tc>
          <w:tcPr>
            <w:tcW w:w="1605" w:type="dxa"/>
            <w:noWrap w:val="0"/>
            <w:vAlign w:val="center"/>
          </w:tcPr>
          <w:p w14:paraId="7DC80915">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项目金额</w:t>
            </w:r>
          </w:p>
        </w:tc>
        <w:tc>
          <w:tcPr>
            <w:tcW w:w="2158" w:type="dxa"/>
            <w:noWrap w:val="0"/>
            <w:vAlign w:val="center"/>
          </w:tcPr>
          <w:p w14:paraId="394AD94B">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业主单位</w:t>
            </w:r>
          </w:p>
        </w:tc>
        <w:tc>
          <w:tcPr>
            <w:tcW w:w="1276" w:type="dxa"/>
            <w:noWrap w:val="0"/>
            <w:vAlign w:val="center"/>
          </w:tcPr>
          <w:p w14:paraId="07B396FD">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合同时间</w:t>
            </w:r>
          </w:p>
        </w:tc>
        <w:tc>
          <w:tcPr>
            <w:tcW w:w="1311" w:type="dxa"/>
            <w:noWrap w:val="0"/>
            <w:vAlign w:val="center"/>
          </w:tcPr>
          <w:p w14:paraId="040EB9CA">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合同内容、性质</w:t>
            </w:r>
          </w:p>
        </w:tc>
      </w:tr>
      <w:tr w14:paraId="736FD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1011" w:type="dxa"/>
            <w:noWrap w:val="0"/>
            <w:vAlign w:val="center"/>
          </w:tcPr>
          <w:p w14:paraId="615AB3A0">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61" w:type="dxa"/>
            <w:noWrap w:val="0"/>
            <w:vAlign w:val="center"/>
          </w:tcPr>
          <w:p w14:paraId="7D64B377">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49B8555B">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66868E46">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2A194BE1">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588ED531">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3BA82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1011" w:type="dxa"/>
            <w:noWrap w:val="0"/>
            <w:vAlign w:val="center"/>
          </w:tcPr>
          <w:p w14:paraId="5678CF0B">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61" w:type="dxa"/>
            <w:noWrap w:val="0"/>
            <w:vAlign w:val="center"/>
          </w:tcPr>
          <w:p w14:paraId="06A4181B">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3A88C070">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2AECC1F5">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0F67ECD3">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33D5891F">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3C3B2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1011" w:type="dxa"/>
            <w:noWrap w:val="0"/>
            <w:vAlign w:val="center"/>
          </w:tcPr>
          <w:p w14:paraId="19C3A827">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061" w:type="dxa"/>
            <w:noWrap w:val="0"/>
            <w:vAlign w:val="center"/>
          </w:tcPr>
          <w:p w14:paraId="0475E3A2">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24B035A8">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45189921">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71F09D87">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57530C20">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7ED1C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5860ACE5">
            <w:pPr>
              <w:pStyle w:val="205"/>
              <w:keepNext w:val="0"/>
              <w:keepLines w:val="0"/>
              <w:pageBreakBefore w:val="0"/>
              <w:widowControl w:val="0"/>
              <w:spacing w:line="24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w:t>
            </w:r>
          </w:p>
        </w:tc>
        <w:tc>
          <w:tcPr>
            <w:tcW w:w="2061" w:type="dxa"/>
            <w:noWrap w:val="0"/>
            <w:vAlign w:val="center"/>
          </w:tcPr>
          <w:p w14:paraId="27B31322">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1576EC4E">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21AFA112">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7DA3AF2D">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26B68A6C">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64185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5C609322">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061" w:type="dxa"/>
            <w:noWrap w:val="0"/>
            <w:vAlign w:val="center"/>
          </w:tcPr>
          <w:p w14:paraId="73F0C39F">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51744B89">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5354A8F4">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1F020208">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16E336AC">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bl>
    <w:p w14:paraId="375BE956">
      <w:pPr>
        <w:spacing w:line="360" w:lineRule="auto"/>
        <w:rPr>
          <w:rFonts w:ascii="宋体" w:hAnsi="宋体"/>
          <w:color w:val="auto"/>
          <w:sz w:val="24"/>
          <w:highlight w:val="none"/>
        </w:rPr>
      </w:pPr>
      <w:r>
        <w:rPr>
          <w:rFonts w:hint="eastAsia" w:ascii="宋体" w:hAnsi="宋体"/>
          <w:color w:val="auto"/>
          <w:sz w:val="24"/>
          <w:highlight w:val="none"/>
        </w:rPr>
        <w:t>备注：</w:t>
      </w:r>
    </w:p>
    <w:p w14:paraId="40B2FDFF">
      <w:pPr>
        <w:spacing w:line="480" w:lineRule="exact"/>
        <w:rPr>
          <w:rFonts w:hint="eastAsia" w:ascii="宋体" w:hAnsi="宋体"/>
          <w:color w:val="auto"/>
          <w:highlight w:val="none"/>
        </w:rPr>
      </w:pPr>
      <w:r>
        <w:rPr>
          <w:rFonts w:hint="eastAsia" w:ascii="宋体" w:hAnsi="宋体"/>
          <w:color w:val="auto"/>
          <w:highlight w:val="none"/>
        </w:rPr>
        <w:t>1、</w:t>
      </w:r>
      <w:r>
        <w:rPr>
          <w:rFonts w:hint="eastAsia" w:ascii="宋体" w:hAnsi="宋体"/>
          <w:color w:val="auto"/>
          <w:highlight w:val="none"/>
          <w:lang w:eastAsia="zh-CN"/>
        </w:rPr>
        <w:t>按照采购文件要求提供证明材料附后</w:t>
      </w:r>
      <w:r>
        <w:rPr>
          <w:rFonts w:hint="eastAsia" w:ascii="宋体" w:hAnsi="宋体"/>
          <w:color w:val="auto"/>
          <w:highlight w:val="none"/>
        </w:rPr>
        <w:t>。</w:t>
      </w:r>
    </w:p>
    <w:p w14:paraId="7462D5BD">
      <w:pPr>
        <w:spacing w:line="480" w:lineRule="exact"/>
        <w:rPr>
          <w:rFonts w:hint="eastAsia"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rPr>
        <w:t>、行数不够，请自行添加。</w:t>
      </w:r>
    </w:p>
    <w:p w14:paraId="0C9BFAE5">
      <w:pPr>
        <w:keepNext w:val="0"/>
        <w:keepLines w:val="0"/>
        <w:pageBreakBefore w:val="0"/>
        <w:widowControl w:val="0"/>
        <w:spacing w:line="360" w:lineRule="auto"/>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投标人名称（公章）：</w:t>
      </w:r>
    </w:p>
    <w:p w14:paraId="400C9B50">
      <w:pPr>
        <w:keepNext w:val="0"/>
        <w:keepLines w:val="0"/>
        <w:pageBreakBefore w:val="0"/>
        <w:widowControl w:val="0"/>
        <w:spacing w:line="360" w:lineRule="auto"/>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法定代表人或代理人（</w:t>
      </w:r>
      <w:r>
        <w:rPr>
          <w:rStyle w:val="192"/>
          <w:rFonts w:hint="eastAsia" w:ascii="宋体" w:hAnsi="宋体" w:eastAsia="宋体" w:cs="宋体"/>
          <w:color w:val="auto"/>
          <w:sz w:val="24"/>
          <w:szCs w:val="24"/>
          <w:highlight w:val="none"/>
          <w:lang w:eastAsia="zh-CN"/>
        </w:rPr>
        <w:t>签章</w:t>
      </w:r>
      <w:r>
        <w:rPr>
          <w:rStyle w:val="192"/>
          <w:rFonts w:hint="eastAsia" w:ascii="宋体" w:hAnsi="宋体" w:eastAsia="宋体" w:cs="宋体"/>
          <w:color w:val="auto"/>
          <w:sz w:val="24"/>
          <w:szCs w:val="24"/>
          <w:highlight w:val="none"/>
        </w:rPr>
        <w:t>）：</w:t>
      </w:r>
    </w:p>
    <w:p w14:paraId="1602F020">
      <w:pPr>
        <w:keepNext w:val="0"/>
        <w:keepLines w:val="0"/>
        <w:pageBreakBefore w:val="0"/>
        <w:widowControl w:val="0"/>
        <w:spacing w:line="360" w:lineRule="auto"/>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日期：</w:t>
      </w:r>
      <w:r>
        <w:rPr>
          <w:rStyle w:val="192"/>
          <w:rFonts w:hint="eastAsia" w:ascii="宋体" w:hAnsi="宋体" w:cs="宋体"/>
          <w:color w:val="auto"/>
          <w:sz w:val="24"/>
          <w:szCs w:val="24"/>
          <w:highlight w:val="none"/>
          <w:lang w:eastAsia="zh-CN"/>
        </w:rPr>
        <w:t>2026</w:t>
      </w:r>
      <w:r>
        <w:rPr>
          <w:rStyle w:val="192"/>
          <w:rFonts w:hint="eastAsia" w:ascii="宋体" w:hAnsi="宋体" w:eastAsia="宋体" w:cs="宋体"/>
          <w:color w:val="auto"/>
          <w:sz w:val="24"/>
          <w:szCs w:val="24"/>
          <w:highlight w:val="none"/>
        </w:rPr>
        <w:t>年</w:t>
      </w:r>
      <w:r>
        <w:rPr>
          <w:rStyle w:val="192"/>
          <w:rFonts w:hint="eastAsia" w:ascii="宋体" w:hAnsi="宋体" w:eastAsia="宋体" w:cs="宋体"/>
          <w:color w:val="auto"/>
          <w:sz w:val="24"/>
          <w:szCs w:val="24"/>
          <w:highlight w:val="none"/>
          <w:lang w:val="en-US" w:eastAsia="zh-CN"/>
        </w:rPr>
        <w:t xml:space="preserve">  </w:t>
      </w:r>
      <w:r>
        <w:rPr>
          <w:rStyle w:val="192"/>
          <w:rFonts w:hint="eastAsia" w:ascii="宋体" w:hAnsi="宋体" w:eastAsia="宋体" w:cs="宋体"/>
          <w:color w:val="auto"/>
          <w:sz w:val="24"/>
          <w:szCs w:val="24"/>
          <w:highlight w:val="none"/>
        </w:rPr>
        <w:t xml:space="preserve"> 月 </w:t>
      </w:r>
      <w:r>
        <w:rPr>
          <w:rStyle w:val="192"/>
          <w:rFonts w:hint="eastAsia" w:ascii="宋体" w:hAnsi="宋体" w:eastAsia="宋体" w:cs="宋体"/>
          <w:color w:val="auto"/>
          <w:sz w:val="24"/>
          <w:szCs w:val="24"/>
          <w:highlight w:val="none"/>
          <w:lang w:val="en-US" w:eastAsia="zh-CN"/>
        </w:rPr>
        <w:t xml:space="preserve">  </w:t>
      </w:r>
      <w:r>
        <w:rPr>
          <w:rStyle w:val="192"/>
          <w:rFonts w:hint="eastAsia" w:ascii="宋体" w:hAnsi="宋体" w:eastAsia="宋体" w:cs="宋体"/>
          <w:color w:val="auto"/>
          <w:sz w:val="24"/>
          <w:szCs w:val="24"/>
          <w:highlight w:val="none"/>
        </w:rPr>
        <w:t>日</w:t>
      </w:r>
    </w:p>
    <w:p w14:paraId="29973966">
      <w:pPr>
        <w:pStyle w:val="298"/>
        <w:jc w:val="center"/>
        <w:outlineLvl w:val="2"/>
        <w:rPr>
          <w:rStyle w:val="192"/>
          <w:rFonts w:ascii="宋体" w:hAnsi="宋体" w:eastAsia="宋体" w:cs="宋体"/>
          <w:b/>
          <w:bCs/>
          <w:color w:val="auto"/>
          <w:sz w:val="28"/>
          <w:highlight w:val="none"/>
        </w:rPr>
      </w:pPr>
      <w:r>
        <w:rPr>
          <w:rStyle w:val="192"/>
          <w:rFonts w:ascii="Times New Roman" w:hAnsi="Times New Roman" w:eastAsia="Times New Roman" w:cs="Times New Roman"/>
          <w:color w:val="auto"/>
          <w:highlight w:val="none"/>
        </w:rPr>
        <w:br w:type="page" w:clear="all"/>
      </w:r>
      <w:bookmarkStart w:id="639" w:name="_Toc21283"/>
      <w:bookmarkStart w:id="640" w:name="_Toc23081"/>
      <w:r>
        <w:rPr>
          <w:rStyle w:val="192"/>
          <w:rFonts w:ascii="宋体" w:hAnsi="宋体" w:eastAsia="宋体" w:cs="宋体"/>
          <w:b/>
          <w:bCs/>
          <w:color w:val="auto"/>
          <w:sz w:val="28"/>
          <w:highlight w:val="none"/>
        </w:rPr>
        <w:t>(三)</w:t>
      </w:r>
      <w:bookmarkEnd w:id="639"/>
      <w:r>
        <w:rPr>
          <w:rStyle w:val="192"/>
          <w:rFonts w:ascii="宋体" w:hAnsi="宋体" w:eastAsia="宋体" w:cs="宋体"/>
          <w:b/>
          <w:bCs/>
          <w:color w:val="auto"/>
          <w:sz w:val="28"/>
          <w:highlight w:val="none"/>
        </w:rPr>
        <w:t>项目实施成员能力</w:t>
      </w:r>
      <w:bookmarkEnd w:id="640"/>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1"/>
        <w:gridCol w:w="931"/>
        <w:gridCol w:w="1577"/>
        <w:gridCol w:w="1442"/>
        <w:gridCol w:w="1967"/>
        <w:gridCol w:w="1967"/>
        <w:gridCol w:w="930"/>
      </w:tblGrid>
      <w:tr w14:paraId="05FD0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781" w:type="dxa"/>
            <w:noWrap w:val="0"/>
            <w:vAlign w:val="center"/>
          </w:tcPr>
          <w:p w14:paraId="46ADF65A">
            <w:pPr>
              <w:pStyle w:val="302"/>
              <w:keepNext w:val="0"/>
              <w:keepLines w:val="0"/>
              <w:pageBreakBefore w:val="0"/>
              <w:widowControl w:val="0"/>
              <w:ind w:left="0"/>
              <w:jc w:val="center"/>
              <w:rPr>
                <w:b/>
                <w:color w:val="auto"/>
                <w:sz w:val="24"/>
                <w:highlight w:val="none"/>
              </w:rPr>
            </w:pPr>
            <w:r>
              <w:rPr>
                <w:b/>
                <w:color w:val="auto"/>
                <w:sz w:val="24"/>
                <w:highlight w:val="none"/>
              </w:rPr>
              <w:t>序号</w:t>
            </w:r>
          </w:p>
        </w:tc>
        <w:tc>
          <w:tcPr>
            <w:tcW w:w="931" w:type="dxa"/>
            <w:noWrap w:val="0"/>
            <w:vAlign w:val="center"/>
          </w:tcPr>
          <w:p w14:paraId="4DBCED54">
            <w:pPr>
              <w:pStyle w:val="302"/>
              <w:keepNext w:val="0"/>
              <w:keepLines w:val="0"/>
              <w:pageBreakBefore w:val="0"/>
              <w:widowControl w:val="0"/>
              <w:ind w:left="0"/>
              <w:jc w:val="center"/>
              <w:rPr>
                <w:b/>
                <w:color w:val="auto"/>
                <w:sz w:val="24"/>
                <w:highlight w:val="none"/>
              </w:rPr>
            </w:pPr>
            <w:r>
              <w:rPr>
                <w:b/>
                <w:color w:val="auto"/>
                <w:sz w:val="24"/>
                <w:highlight w:val="none"/>
              </w:rPr>
              <w:t>姓名</w:t>
            </w:r>
          </w:p>
        </w:tc>
        <w:tc>
          <w:tcPr>
            <w:tcW w:w="1577" w:type="dxa"/>
            <w:noWrap w:val="0"/>
            <w:vAlign w:val="center"/>
          </w:tcPr>
          <w:p w14:paraId="2E4F0DEA">
            <w:pPr>
              <w:pStyle w:val="302"/>
              <w:keepNext w:val="0"/>
              <w:keepLines w:val="0"/>
              <w:pageBreakBefore w:val="0"/>
              <w:widowControl w:val="0"/>
              <w:ind w:left="0"/>
              <w:jc w:val="center"/>
              <w:rPr>
                <w:b/>
                <w:color w:val="auto"/>
                <w:sz w:val="24"/>
                <w:highlight w:val="none"/>
              </w:rPr>
            </w:pPr>
            <w:r>
              <w:rPr>
                <w:b/>
                <w:color w:val="auto"/>
                <w:sz w:val="24"/>
                <w:highlight w:val="none"/>
              </w:rPr>
              <w:t>身份证号</w:t>
            </w:r>
          </w:p>
        </w:tc>
        <w:tc>
          <w:tcPr>
            <w:tcW w:w="1442" w:type="dxa"/>
            <w:noWrap w:val="0"/>
            <w:vAlign w:val="center"/>
          </w:tcPr>
          <w:p w14:paraId="6AB35830">
            <w:pPr>
              <w:pStyle w:val="302"/>
              <w:keepNext w:val="0"/>
              <w:keepLines w:val="0"/>
              <w:pageBreakBefore w:val="0"/>
              <w:widowControl w:val="0"/>
              <w:ind w:left="0"/>
              <w:jc w:val="center"/>
              <w:rPr>
                <w:b/>
                <w:color w:val="auto"/>
                <w:sz w:val="24"/>
                <w:highlight w:val="none"/>
              </w:rPr>
            </w:pPr>
            <w:r>
              <w:rPr>
                <w:b/>
                <w:color w:val="auto"/>
                <w:sz w:val="24"/>
                <w:highlight w:val="none"/>
              </w:rPr>
              <w:t>人员类别</w:t>
            </w:r>
          </w:p>
        </w:tc>
        <w:tc>
          <w:tcPr>
            <w:tcW w:w="1967" w:type="dxa"/>
            <w:noWrap w:val="0"/>
            <w:vAlign w:val="center"/>
          </w:tcPr>
          <w:p w14:paraId="4C8993D7">
            <w:pPr>
              <w:pStyle w:val="302"/>
              <w:keepNext w:val="0"/>
              <w:keepLines w:val="0"/>
              <w:pageBreakBefore w:val="0"/>
              <w:widowControl w:val="0"/>
              <w:ind w:left="0"/>
              <w:jc w:val="center"/>
              <w:rPr>
                <w:b/>
                <w:color w:val="auto"/>
                <w:sz w:val="24"/>
                <w:highlight w:val="none"/>
              </w:rPr>
            </w:pPr>
            <w:r>
              <w:rPr>
                <w:b/>
                <w:color w:val="auto"/>
                <w:sz w:val="24"/>
                <w:highlight w:val="none"/>
              </w:rPr>
              <w:t>技术证书、级别</w:t>
            </w:r>
          </w:p>
        </w:tc>
        <w:tc>
          <w:tcPr>
            <w:tcW w:w="1967" w:type="dxa"/>
            <w:noWrap w:val="0"/>
            <w:vAlign w:val="center"/>
          </w:tcPr>
          <w:p w14:paraId="41FE5F35">
            <w:pPr>
              <w:pStyle w:val="302"/>
              <w:keepNext w:val="0"/>
              <w:keepLines w:val="0"/>
              <w:pageBreakBefore w:val="0"/>
              <w:widowControl w:val="0"/>
              <w:ind w:left="0"/>
              <w:jc w:val="center"/>
              <w:rPr>
                <w:b/>
                <w:color w:val="auto"/>
                <w:sz w:val="24"/>
                <w:highlight w:val="none"/>
              </w:rPr>
            </w:pPr>
            <w:r>
              <w:rPr>
                <w:b/>
                <w:color w:val="auto"/>
                <w:sz w:val="24"/>
                <w:highlight w:val="none"/>
              </w:rPr>
              <w:t>相关工作经验</w:t>
            </w:r>
          </w:p>
        </w:tc>
        <w:tc>
          <w:tcPr>
            <w:tcW w:w="930" w:type="dxa"/>
            <w:noWrap w:val="0"/>
            <w:vAlign w:val="center"/>
          </w:tcPr>
          <w:p w14:paraId="6D6B3FBE">
            <w:pPr>
              <w:pStyle w:val="302"/>
              <w:keepNext w:val="0"/>
              <w:keepLines w:val="0"/>
              <w:pageBreakBefore w:val="0"/>
              <w:widowControl w:val="0"/>
              <w:ind w:left="0"/>
              <w:jc w:val="center"/>
              <w:rPr>
                <w:b/>
                <w:color w:val="auto"/>
                <w:sz w:val="24"/>
                <w:highlight w:val="none"/>
              </w:rPr>
            </w:pPr>
            <w:r>
              <w:rPr>
                <w:b/>
                <w:color w:val="auto"/>
                <w:sz w:val="24"/>
                <w:highlight w:val="none"/>
              </w:rPr>
              <w:t>备注</w:t>
            </w:r>
          </w:p>
        </w:tc>
      </w:tr>
      <w:tr w14:paraId="4530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1A0F329D">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3370FC91">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2C8A3B64">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6EDB65B1">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0C5BFE88">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34CD0022">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0892B00E">
            <w:pPr>
              <w:pStyle w:val="302"/>
              <w:keepNext w:val="0"/>
              <w:keepLines w:val="0"/>
              <w:pageBreakBefore w:val="0"/>
              <w:widowControl w:val="0"/>
              <w:ind w:left="0"/>
              <w:jc w:val="center"/>
              <w:rPr>
                <w:rFonts w:ascii="Times New Roman"/>
                <w:color w:val="auto"/>
                <w:sz w:val="24"/>
                <w:highlight w:val="none"/>
              </w:rPr>
            </w:pPr>
          </w:p>
        </w:tc>
      </w:tr>
      <w:tr w14:paraId="5D17F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103934AA">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23BBD26E">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03883103">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6760DC35">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71942ECB">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5DF27707">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051A1030">
            <w:pPr>
              <w:pStyle w:val="302"/>
              <w:keepNext w:val="0"/>
              <w:keepLines w:val="0"/>
              <w:pageBreakBefore w:val="0"/>
              <w:widowControl w:val="0"/>
              <w:ind w:left="0"/>
              <w:jc w:val="center"/>
              <w:rPr>
                <w:rFonts w:ascii="Times New Roman"/>
                <w:color w:val="auto"/>
                <w:sz w:val="24"/>
                <w:highlight w:val="none"/>
              </w:rPr>
            </w:pPr>
          </w:p>
        </w:tc>
      </w:tr>
      <w:tr w14:paraId="11C5B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57E1FC69">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40D76E12">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3E967BDD">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74665513">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44D20C02">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093D3C4F">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51807704">
            <w:pPr>
              <w:pStyle w:val="302"/>
              <w:keepNext w:val="0"/>
              <w:keepLines w:val="0"/>
              <w:pageBreakBefore w:val="0"/>
              <w:widowControl w:val="0"/>
              <w:ind w:left="0"/>
              <w:jc w:val="center"/>
              <w:rPr>
                <w:rFonts w:ascii="Times New Roman"/>
                <w:color w:val="auto"/>
                <w:sz w:val="24"/>
                <w:highlight w:val="none"/>
              </w:rPr>
            </w:pPr>
          </w:p>
        </w:tc>
      </w:tr>
      <w:tr w14:paraId="1DACD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1A9F67C7">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08617D07">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4F668520">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50B37013">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43C26026">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71089794">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0984A546">
            <w:pPr>
              <w:pStyle w:val="302"/>
              <w:keepNext w:val="0"/>
              <w:keepLines w:val="0"/>
              <w:pageBreakBefore w:val="0"/>
              <w:widowControl w:val="0"/>
              <w:ind w:left="0"/>
              <w:jc w:val="center"/>
              <w:rPr>
                <w:rFonts w:ascii="Times New Roman"/>
                <w:color w:val="auto"/>
                <w:sz w:val="24"/>
                <w:highlight w:val="none"/>
              </w:rPr>
            </w:pPr>
          </w:p>
        </w:tc>
      </w:tr>
      <w:tr w14:paraId="5555A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781" w:type="dxa"/>
            <w:noWrap w:val="0"/>
            <w:vAlign w:val="center"/>
          </w:tcPr>
          <w:p w14:paraId="27E59512">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550843DB">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0D53B44F">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402D5609">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743D8786">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6E628477">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6513768A">
            <w:pPr>
              <w:pStyle w:val="302"/>
              <w:keepNext w:val="0"/>
              <w:keepLines w:val="0"/>
              <w:pageBreakBefore w:val="0"/>
              <w:widowControl w:val="0"/>
              <w:ind w:left="0"/>
              <w:jc w:val="center"/>
              <w:rPr>
                <w:rFonts w:ascii="Times New Roman"/>
                <w:color w:val="auto"/>
                <w:sz w:val="24"/>
                <w:highlight w:val="none"/>
              </w:rPr>
            </w:pPr>
          </w:p>
        </w:tc>
      </w:tr>
      <w:tr w14:paraId="3775D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781" w:type="dxa"/>
            <w:noWrap w:val="0"/>
            <w:vAlign w:val="center"/>
          </w:tcPr>
          <w:p w14:paraId="013EA758">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188659F9">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59FEA75B">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5ED153D7">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3A18CA23">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4FB36688">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7211E00E">
            <w:pPr>
              <w:pStyle w:val="302"/>
              <w:keepNext w:val="0"/>
              <w:keepLines w:val="0"/>
              <w:pageBreakBefore w:val="0"/>
              <w:widowControl w:val="0"/>
              <w:ind w:left="0"/>
              <w:jc w:val="center"/>
              <w:rPr>
                <w:rFonts w:ascii="Times New Roman"/>
                <w:color w:val="auto"/>
                <w:sz w:val="24"/>
                <w:highlight w:val="none"/>
              </w:rPr>
            </w:pPr>
          </w:p>
        </w:tc>
      </w:tr>
    </w:tbl>
    <w:p w14:paraId="00EC46BB">
      <w:pPr>
        <w:pStyle w:val="298"/>
        <w:jc w:val="center"/>
        <w:outlineLvl w:val="2"/>
        <w:rPr>
          <w:rStyle w:val="192"/>
          <w:rFonts w:ascii="宋体" w:hAnsi="宋体" w:eastAsia="宋体" w:cs="宋体"/>
          <w:b/>
          <w:bCs/>
          <w:color w:val="auto"/>
          <w:sz w:val="28"/>
          <w:highlight w:val="none"/>
        </w:rPr>
      </w:pPr>
    </w:p>
    <w:p w14:paraId="326DC6E9">
      <w:pPr>
        <w:pStyle w:val="14"/>
        <w:keepNext w:val="0"/>
        <w:keepLines w:val="0"/>
        <w:pageBreakBefore w:val="0"/>
        <w:spacing w:line="360" w:lineRule="auto"/>
        <w:ind w:left="0" w:right="0" w:firstLine="480"/>
        <w:rPr>
          <w:color w:val="auto"/>
          <w:highlight w:val="none"/>
          <w:u w:val="single"/>
        </w:rPr>
      </w:pPr>
      <w:r>
        <w:rPr>
          <w:color w:val="auto"/>
          <w:highlight w:val="none"/>
          <w:u w:val="single"/>
        </w:rPr>
        <w:t>注：1、行数不够，请自行添加。</w:t>
      </w:r>
    </w:p>
    <w:p w14:paraId="1BDFF400">
      <w:pPr>
        <w:pStyle w:val="14"/>
        <w:keepNext w:val="0"/>
        <w:keepLines w:val="0"/>
        <w:pageBreakBefore w:val="0"/>
        <w:spacing w:line="360" w:lineRule="auto"/>
        <w:ind w:left="0" w:right="0" w:firstLine="480"/>
        <w:rPr>
          <w:color w:val="auto"/>
          <w:highlight w:val="none"/>
          <w:u w:val="single"/>
        </w:rPr>
      </w:pPr>
      <w:r>
        <w:rPr>
          <w:color w:val="auto"/>
          <w:highlight w:val="none"/>
          <w:u w:val="single"/>
        </w:rPr>
        <w:t>2、列入本表人员如要更换，须经采购人同意，擅自更换属违约行为。</w:t>
      </w:r>
    </w:p>
    <w:p w14:paraId="554A0467">
      <w:pPr>
        <w:pStyle w:val="14"/>
        <w:keepNext w:val="0"/>
        <w:keepLines w:val="0"/>
        <w:pageBreakBefore w:val="0"/>
        <w:spacing w:line="360" w:lineRule="auto"/>
        <w:ind w:left="0" w:right="0" w:firstLine="480"/>
        <w:rPr>
          <w:color w:val="auto"/>
          <w:highlight w:val="none"/>
          <w:u w:val="single"/>
        </w:rPr>
      </w:pPr>
      <w:r>
        <w:rPr>
          <w:color w:val="auto"/>
          <w:highlight w:val="none"/>
          <w:u w:val="single"/>
        </w:rPr>
        <w:t>3</w:t>
      </w:r>
      <w:r>
        <w:rPr>
          <w:color w:val="auto"/>
          <w:spacing w:val="-1"/>
          <w:highlight w:val="none"/>
          <w:u w:val="single"/>
        </w:rPr>
        <w:t>、列入上表人员须</w:t>
      </w:r>
      <w:r>
        <w:rPr>
          <w:rFonts w:hint="eastAsia"/>
          <w:color w:val="auto"/>
          <w:spacing w:val="-1"/>
          <w:highlight w:val="none"/>
          <w:u w:val="single"/>
          <w:lang w:eastAsia="zh-CN"/>
        </w:rPr>
        <w:t>按采购文件要求</w:t>
      </w:r>
      <w:r>
        <w:rPr>
          <w:color w:val="auto"/>
          <w:spacing w:val="-1"/>
          <w:highlight w:val="none"/>
          <w:u w:val="single"/>
        </w:rPr>
        <w:t>提供供应商为其缴纳社会保险</w:t>
      </w:r>
      <w:r>
        <w:rPr>
          <w:rFonts w:hint="eastAsia"/>
          <w:color w:val="auto"/>
          <w:spacing w:val="-1"/>
          <w:highlight w:val="none"/>
          <w:u w:val="single"/>
          <w:lang w:eastAsia="zh-CN"/>
        </w:rPr>
        <w:t>证明材料</w:t>
      </w:r>
      <w:r>
        <w:rPr>
          <w:color w:val="auto"/>
          <w:highlight w:val="none"/>
          <w:u w:val="single"/>
        </w:rPr>
        <w:t>。</w:t>
      </w:r>
    </w:p>
    <w:p w14:paraId="7BBADB20">
      <w:pPr>
        <w:pStyle w:val="14"/>
        <w:keepNext w:val="0"/>
        <w:keepLines w:val="0"/>
        <w:pageBreakBefore w:val="0"/>
        <w:spacing w:line="360" w:lineRule="auto"/>
        <w:ind w:left="0" w:right="0" w:firstLine="480"/>
        <w:rPr>
          <w:rStyle w:val="192"/>
          <w:rFonts w:ascii="宋体" w:hAnsi="宋体" w:eastAsia="宋体" w:cs="宋体"/>
          <w:b/>
          <w:bCs/>
          <w:color w:val="auto"/>
          <w:sz w:val="28"/>
          <w:highlight w:val="none"/>
        </w:rPr>
      </w:pPr>
      <w:r>
        <w:rPr>
          <w:color w:val="auto"/>
          <w:highlight w:val="none"/>
          <w:u w:val="single"/>
        </w:rPr>
        <w:t>4、列入上表人员具有相关证书、工作经验的，应在本栏目提交相关证明材料扫描件。</w:t>
      </w:r>
    </w:p>
    <w:p w14:paraId="735700F0">
      <w:pPr>
        <w:pStyle w:val="298"/>
        <w:jc w:val="center"/>
        <w:outlineLvl w:val="2"/>
        <w:rPr>
          <w:rStyle w:val="192"/>
          <w:rFonts w:ascii="宋体" w:hAnsi="宋体" w:eastAsia="宋体" w:cs="宋体"/>
          <w:b/>
          <w:bCs/>
          <w:color w:val="auto"/>
          <w:sz w:val="28"/>
          <w:highlight w:val="none"/>
        </w:rPr>
      </w:pPr>
    </w:p>
    <w:p w14:paraId="0BABED07">
      <w:pPr>
        <w:pStyle w:val="14"/>
        <w:keepNext w:val="0"/>
        <w:keepLines w:val="0"/>
        <w:pageBreakBefore w:val="0"/>
        <w:widowControl w:val="0"/>
        <w:spacing w:line="360" w:lineRule="auto"/>
        <w:ind w:right="0"/>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投标人名称（公章）：</w:t>
      </w:r>
    </w:p>
    <w:p w14:paraId="2DB886DF">
      <w:pPr>
        <w:keepNext w:val="0"/>
        <w:keepLines w:val="0"/>
        <w:pageBreakBefore w:val="0"/>
        <w:widowControl w:val="0"/>
        <w:spacing w:line="360" w:lineRule="auto"/>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法定代表人或代理人（</w:t>
      </w:r>
      <w:r>
        <w:rPr>
          <w:rStyle w:val="192"/>
          <w:rFonts w:hint="eastAsia" w:ascii="宋体" w:hAnsi="宋体" w:eastAsia="宋体" w:cs="宋体"/>
          <w:color w:val="auto"/>
          <w:sz w:val="24"/>
          <w:szCs w:val="24"/>
          <w:highlight w:val="none"/>
          <w:lang w:eastAsia="zh-CN"/>
        </w:rPr>
        <w:t>签章</w:t>
      </w:r>
      <w:r>
        <w:rPr>
          <w:rStyle w:val="192"/>
          <w:rFonts w:hint="eastAsia" w:ascii="宋体" w:hAnsi="宋体" w:eastAsia="宋体" w:cs="宋体"/>
          <w:color w:val="auto"/>
          <w:sz w:val="24"/>
          <w:szCs w:val="24"/>
          <w:highlight w:val="none"/>
        </w:rPr>
        <w:t>）：</w:t>
      </w:r>
    </w:p>
    <w:p w14:paraId="1E2608FB">
      <w:pPr>
        <w:pStyle w:val="298"/>
        <w:jc w:val="right"/>
        <w:outlineLvl w:val="2"/>
        <w:rPr>
          <w:rStyle w:val="192"/>
          <w:rFonts w:ascii="宋体" w:hAnsi="宋体" w:eastAsia="宋体" w:cs="宋体"/>
          <w:b/>
          <w:bCs/>
          <w:color w:val="auto"/>
          <w:sz w:val="28"/>
          <w:highlight w:val="none"/>
        </w:rPr>
      </w:pPr>
      <w:bookmarkStart w:id="641" w:name="_Toc22086"/>
      <w:bookmarkStart w:id="642" w:name="_Toc29214"/>
      <w:bookmarkStart w:id="643" w:name="_Toc27065"/>
      <w:bookmarkStart w:id="644" w:name="_Toc13104"/>
      <w:r>
        <w:rPr>
          <w:rStyle w:val="192"/>
          <w:rFonts w:hint="eastAsia" w:ascii="宋体" w:hAnsi="宋体" w:eastAsia="宋体" w:cs="宋体"/>
          <w:color w:val="auto"/>
          <w:sz w:val="24"/>
          <w:szCs w:val="24"/>
          <w:highlight w:val="none"/>
        </w:rPr>
        <w:t>日期：</w:t>
      </w:r>
      <w:r>
        <w:rPr>
          <w:rStyle w:val="192"/>
          <w:rFonts w:hint="eastAsia" w:ascii="宋体" w:hAnsi="宋体" w:eastAsia="宋体" w:cs="宋体"/>
          <w:color w:val="auto"/>
          <w:sz w:val="24"/>
          <w:szCs w:val="24"/>
          <w:highlight w:val="none"/>
          <w:lang w:eastAsia="zh-CN"/>
        </w:rPr>
        <w:t>2026</w:t>
      </w:r>
      <w:r>
        <w:rPr>
          <w:rStyle w:val="192"/>
          <w:rFonts w:hint="eastAsia" w:ascii="宋体" w:hAnsi="宋体" w:eastAsia="宋体" w:cs="宋体"/>
          <w:color w:val="auto"/>
          <w:sz w:val="24"/>
          <w:szCs w:val="24"/>
          <w:highlight w:val="none"/>
        </w:rPr>
        <w:t>年</w:t>
      </w:r>
      <w:r>
        <w:rPr>
          <w:rStyle w:val="192"/>
          <w:rFonts w:hint="eastAsia" w:ascii="宋体" w:hAnsi="宋体" w:eastAsia="宋体" w:cs="宋体"/>
          <w:color w:val="auto"/>
          <w:sz w:val="24"/>
          <w:szCs w:val="24"/>
          <w:highlight w:val="none"/>
          <w:lang w:val="en-US" w:eastAsia="zh-CN"/>
        </w:rPr>
        <w:t xml:space="preserve">  </w:t>
      </w:r>
      <w:r>
        <w:rPr>
          <w:rStyle w:val="192"/>
          <w:rFonts w:hint="eastAsia" w:ascii="宋体" w:hAnsi="宋体" w:eastAsia="宋体" w:cs="宋体"/>
          <w:color w:val="auto"/>
          <w:sz w:val="24"/>
          <w:szCs w:val="24"/>
          <w:highlight w:val="none"/>
        </w:rPr>
        <w:t xml:space="preserve"> 月 </w:t>
      </w:r>
      <w:r>
        <w:rPr>
          <w:rStyle w:val="192"/>
          <w:rFonts w:hint="eastAsia" w:ascii="宋体" w:hAnsi="宋体" w:eastAsia="宋体" w:cs="宋体"/>
          <w:color w:val="auto"/>
          <w:sz w:val="24"/>
          <w:szCs w:val="24"/>
          <w:highlight w:val="none"/>
          <w:lang w:val="en-US" w:eastAsia="zh-CN"/>
        </w:rPr>
        <w:t xml:space="preserve">  </w:t>
      </w:r>
      <w:r>
        <w:rPr>
          <w:rStyle w:val="192"/>
          <w:rFonts w:hint="eastAsia" w:ascii="宋体" w:hAnsi="宋体" w:eastAsia="宋体" w:cs="宋体"/>
          <w:color w:val="auto"/>
          <w:sz w:val="24"/>
          <w:szCs w:val="24"/>
          <w:highlight w:val="none"/>
        </w:rPr>
        <w:t>日</w:t>
      </w:r>
      <w:bookmarkEnd w:id="641"/>
      <w:bookmarkEnd w:id="642"/>
      <w:bookmarkEnd w:id="643"/>
      <w:bookmarkEnd w:id="644"/>
    </w:p>
    <w:p w14:paraId="64CB6DA8">
      <w:pPr>
        <w:pStyle w:val="298"/>
        <w:jc w:val="center"/>
        <w:outlineLvl w:val="2"/>
        <w:rPr>
          <w:rStyle w:val="192"/>
          <w:rFonts w:ascii="宋体" w:hAnsi="宋体" w:eastAsia="宋体" w:cs="宋体"/>
          <w:b/>
          <w:bCs/>
          <w:color w:val="auto"/>
          <w:sz w:val="28"/>
          <w:highlight w:val="none"/>
        </w:rPr>
      </w:pPr>
    </w:p>
    <w:p w14:paraId="2EF133F8">
      <w:pPr>
        <w:pStyle w:val="298"/>
        <w:jc w:val="center"/>
        <w:outlineLvl w:val="2"/>
        <w:rPr>
          <w:rStyle w:val="192"/>
          <w:rFonts w:ascii="宋体" w:hAnsi="宋体" w:eastAsia="宋体" w:cs="宋体"/>
          <w:b/>
          <w:bCs/>
          <w:color w:val="auto"/>
          <w:sz w:val="28"/>
          <w:highlight w:val="none"/>
        </w:rPr>
      </w:pPr>
    </w:p>
    <w:p w14:paraId="4EBC68B0">
      <w:pPr>
        <w:pStyle w:val="298"/>
        <w:jc w:val="center"/>
        <w:outlineLvl w:val="2"/>
        <w:rPr>
          <w:rStyle w:val="192"/>
          <w:rFonts w:ascii="宋体" w:hAnsi="宋体" w:eastAsia="宋体" w:cs="宋体"/>
          <w:b/>
          <w:bCs/>
          <w:color w:val="auto"/>
          <w:sz w:val="28"/>
          <w:highlight w:val="none"/>
        </w:rPr>
      </w:pPr>
    </w:p>
    <w:p w14:paraId="3532D87E">
      <w:pPr>
        <w:pStyle w:val="298"/>
        <w:jc w:val="center"/>
        <w:outlineLvl w:val="2"/>
        <w:rPr>
          <w:rStyle w:val="192"/>
          <w:rFonts w:ascii="宋体" w:hAnsi="宋体" w:eastAsia="宋体" w:cs="宋体"/>
          <w:b/>
          <w:bCs/>
          <w:color w:val="auto"/>
          <w:sz w:val="28"/>
          <w:highlight w:val="none"/>
        </w:rPr>
      </w:pPr>
    </w:p>
    <w:p w14:paraId="65F6A9B6">
      <w:pPr>
        <w:rPr>
          <w:rStyle w:val="192"/>
          <w:rFonts w:ascii="宋体" w:hAnsi="宋体" w:eastAsia="宋体" w:cs="宋体"/>
          <w:b/>
          <w:bCs/>
          <w:color w:val="auto"/>
          <w:sz w:val="28"/>
          <w:highlight w:val="none"/>
        </w:rPr>
      </w:pPr>
      <w:r>
        <w:rPr>
          <w:rStyle w:val="192"/>
          <w:rFonts w:ascii="宋体" w:hAnsi="宋体" w:eastAsia="宋体" w:cs="宋体"/>
          <w:b/>
          <w:bCs/>
          <w:color w:val="auto"/>
          <w:sz w:val="28"/>
          <w:highlight w:val="none"/>
        </w:rPr>
        <w:br w:type="page" w:clear="all"/>
      </w:r>
    </w:p>
    <w:p w14:paraId="5C45579B">
      <w:pPr>
        <w:pStyle w:val="298"/>
        <w:jc w:val="center"/>
        <w:outlineLvl w:val="2"/>
        <w:rPr>
          <w:rStyle w:val="192"/>
          <w:rFonts w:ascii="Times New Roman" w:hAnsi="Times New Roman" w:eastAsia="Times New Roman" w:cs="Times New Roman"/>
          <w:color w:val="auto"/>
          <w:highlight w:val="none"/>
        </w:rPr>
      </w:pPr>
      <w:bookmarkStart w:id="645" w:name="_Toc23356"/>
      <w:r>
        <w:rPr>
          <w:rStyle w:val="192"/>
          <w:rFonts w:ascii="宋体" w:hAnsi="宋体" w:eastAsia="宋体" w:cs="宋体"/>
          <w:b/>
          <w:bCs/>
          <w:color w:val="auto"/>
          <w:sz w:val="28"/>
          <w:highlight w:val="none"/>
        </w:rPr>
        <w:t>(</w:t>
      </w:r>
      <w:r>
        <w:rPr>
          <w:rStyle w:val="192"/>
          <w:rFonts w:hint="eastAsia" w:ascii="宋体" w:hAnsi="宋体" w:eastAsia="宋体" w:cs="宋体"/>
          <w:b/>
          <w:bCs/>
          <w:color w:val="auto"/>
          <w:sz w:val="28"/>
          <w:highlight w:val="none"/>
          <w:lang w:eastAsia="zh-CN"/>
        </w:rPr>
        <w:t>四</w:t>
      </w:r>
      <w:r>
        <w:rPr>
          <w:rStyle w:val="192"/>
          <w:rFonts w:ascii="宋体" w:hAnsi="宋体" w:eastAsia="宋体" w:cs="宋体"/>
          <w:b/>
          <w:bCs/>
          <w:color w:val="auto"/>
          <w:sz w:val="28"/>
          <w:highlight w:val="none"/>
        </w:rPr>
        <w:t>)首次报价一览表</w:t>
      </w:r>
      <w:bookmarkEnd w:id="645"/>
    </w:p>
    <w:p w14:paraId="0F80083A">
      <w:pPr>
        <w:pStyle w:val="299"/>
        <w:rPr>
          <w:rStyle w:val="192"/>
          <w:rFonts w:ascii="Times New Roman" w:hAnsi="Times New Roman" w:eastAsia="Times New Roman" w:cs="Times New Roman"/>
          <w:color w:val="auto"/>
          <w:highlight w:val="none"/>
        </w:rPr>
      </w:pPr>
      <w:r>
        <w:rPr>
          <w:rStyle w:val="192"/>
          <w:rFonts w:ascii="宋体" w:hAnsi="宋体" w:eastAsia="宋体" w:cs="宋体"/>
          <w:color w:val="auto"/>
          <w:highlight w:val="none"/>
        </w:rPr>
        <w:t xml:space="preserve">﻿ </w:t>
      </w:r>
    </w:p>
    <w:p w14:paraId="43FE8B8B">
      <w:pPr>
        <w:pStyle w:val="299"/>
        <w:spacing w:before="320" w:after="320"/>
        <w:jc w:val="center"/>
        <w:rPr>
          <w:rStyle w:val="192"/>
          <w:rFonts w:ascii="宋体" w:hAnsi="宋体" w:eastAsia="宋体" w:cs="宋体"/>
          <w:b w:val="0"/>
          <w:bCs w:val="0"/>
          <w:color w:val="auto"/>
          <w:sz w:val="32"/>
          <w:szCs w:val="32"/>
          <w:highlight w:val="none"/>
        </w:rPr>
      </w:pPr>
      <w:r>
        <w:rPr>
          <w:rStyle w:val="192"/>
          <w:rFonts w:hint="eastAsia" w:ascii="宋体" w:hAnsi="宋体" w:eastAsia="宋体" w:cs="宋体"/>
          <w:b w:val="0"/>
          <w:bCs w:val="0"/>
          <w:color w:val="auto"/>
          <w:sz w:val="32"/>
          <w:szCs w:val="32"/>
          <w:highlight w:val="none"/>
          <w:lang w:eastAsia="zh-CN"/>
        </w:rPr>
        <w:t>磋商报价</w:t>
      </w:r>
      <w:r>
        <w:rPr>
          <w:rStyle w:val="192"/>
          <w:rFonts w:ascii="宋体" w:hAnsi="宋体" w:eastAsia="宋体" w:cs="宋体"/>
          <w:b w:val="0"/>
          <w:bCs w:val="0"/>
          <w:color w:val="auto"/>
          <w:sz w:val="32"/>
          <w:szCs w:val="32"/>
          <w:highlight w:val="none"/>
        </w:rPr>
        <w:t>表</w:t>
      </w:r>
    </w:p>
    <w:p w14:paraId="0F09BB00">
      <w:pPr>
        <w:pStyle w:val="299"/>
        <w:spacing w:before="240" w:after="24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货币单位：人民币元   </w:t>
      </w:r>
    </w:p>
    <w:p w14:paraId="07C5F553">
      <w:pPr>
        <w:pStyle w:val="228"/>
        <w:rPr>
          <w:color w:val="auto"/>
          <w:highlight w:val="none"/>
        </w:rPr>
      </w:pPr>
      <w:r>
        <w:rPr>
          <w:color w:val="auto"/>
          <w:highlight w:val="none"/>
        </w:rPr>
        <w:t>项目编号：</w:t>
      </w:r>
      <w:r>
        <w:rPr>
          <w:rFonts w:hint="eastAsia"/>
          <w:color w:val="auto"/>
          <w:highlight w:val="none"/>
          <w:lang w:eastAsia="zh-CN"/>
        </w:rPr>
        <w:t>JSZC-321181-DYWX-C2026-0010</w:t>
      </w:r>
    </w:p>
    <w:tbl>
      <w:tblPr>
        <w:tblStyle w:val="33"/>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91"/>
        <w:gridCol w:w="2614"/>
        <w:gridCol w:w="3051"/>
      </w:tblGrid>
      <w:tr w14:paraId="0C0A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491" w:type="dxa"/>
            <w:noWrap w:val="0"/>
            <w:vAlign w:val="center"/>
          </w:tcPr>
          <w:p w14:paraId="093AD5BF">
            <w:pPr>
              <w:spacing w:after="0" w:line="240" w:lineRule="auto"/>
              <w:jc w:val="center"/>
              <w:rPr>
                <w:color w:val="auto"/>
                <w:sz w:val="24"/>
                <w:szCs w:val="24"/>
                <w:highlight w:val="none"/>
                <w:vertAlign w:val="baseline"/>
              </w:rPr>
            </w:pPr>
            <w:r>
              <w:rPr>
                <w:color w:val="auto"/>
                <w:sz w:val="24"/>
                <w:szCs w:val="24"/>
                <w:highlight w:val="none"/>
              </w:rPr>
              <w:t>项目名称</w:t>
            </w:r>
          </w:p>
        </w:tc>
        <w:tc>
          <w:tcPr>
            <w:tcW w:w="2614" w:type="dxa"/>
            <w:noWrap w:val="0"/>
            <w:vAlign w:val="center"/>
          </w:tcPr>
          <w:p w14:paraId="25BCF526">
            <w:pPr>
              <w:spacing w:after="0" w:line="240" w:lineRule="auto"/>
              <w:jc w:val="center"/>
              <w:rPr>
                <w:color w:val="auto"/>
                <w:sz w:val="24"/>
                <w:szCs w:val="24"/>
                <w:highlight w:val="none"/>
                <w:vertAlign w:val="baseline"/>
              </w:rPr>
            </w:pPr>
            <w:r>
              <w:rPr>
                <w:color w:val="auto"/>
                <w:sz w:val="24"/>
                <w:szCs w:val="24"/>
                <w:highlight w:val="none"/>
              </w:rPr>
              <w:t>项目内容</w:t>
            </w:r>
          </w:p>
        </w:tc>
        <w:tc>
          <w:tcPr>
            <w:tcW w:w="3051" w:type="dxa"/>
            <w:noWrap w:val="0"/>
            <w:vAlign w:val="center"/>
          </w:tcPr>
          <w:p w14:paraId="70D3718B">
            <w:pPr>
              <w:spacing w:after="0" w:line="240" w:lineRule="auto"/>
              <w:jc w:val="center"/>
              <w:rPr>
                <w:color w:val="auto"/>
                <w:sz w:val="24"/>
                <w:szCs w:val="24"/>
                <w:highlight w:val="none"/>
                <w:vertAlign w:val="baseline"/>
              </w:rPr>
            </w:pPr>
            <w:r>
              <w:rPr>
                <w:color w:val="auto"/>
                <w:sz w:val="24"/>
                <w:szCs w:val="24"/>
                <w:highlight w:val="none"/>
              </w:rPr>
              <w:t>总价（小写）</w:t>
            </w:r>
          </w:p>
        </w:tc>
      </w:tr>
      <w:tr w14:paraId="100C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3491" w:type="dxa"/>
            <w:noWrap w:val="0"/>
            <w:vAlign w:val="center"/>
          </w:tcPr>
          <w:p w14:paraId="38A09277">
            <w:pPr>
              <w:spacing w:after="0" w:line="240" w:lineRule="auto"/>
              <w:jc w:val="center"/>
              <w:rPr>
                <w:color w:val="auto"/>
                <w:sz w:val="24"/>
                <w:szCs w:val="24"/>
                <w:highlight w:val="none"/>
                <w:vertAlign w:val="baseline"/>
              </w:rPr>
            </w:pPr>
            <w:r>
              <w:rPr>
                <w:rFonts w:hint="eastAsia"/>
                <w:color w:val="auto"/>
                <w:sz w:val="24"/>
                <w:szCs w:val="24"/>
                <w:highlight w:val="none"/>
                <w:vertAlign w:val="baseline"/>
                <w:lang w:eastAsia="zh-CN"/>
              </w:rPr>
              <w:t>江苏省丹阳高级中学老校区体育馆屋顶修缮项目</w:t>
            </w:r>
          </w:p>
        </w:tc>
        <w:tc>
          <w:tcPr>
            <w:tcW w:w="2614" w:type="dxa"/>
            <w:noWrap w:val="0"/>
            <w:vAlign w:val="center"/>
          </w:tcPr>
          <w:p w14:paraId="4618A59F">
            <w:pPr>
              <w:spacing w:after="0" w:line="240" w:lineRule="auto"/>
              <w:jc w:val="center"/>
              <w:rPr>
                <w:color w:val="auto"/>
                <w:sz w:val="24"/>
                <w:szCs w:val="24"/>
                <w:highlight w:val="none"/>
                <w:vertAlign w:val="baseline"/>
              </w:rPr>
            </w:pPr>
            <w:r>
              <w:rPr>
                <w:color w:val="auto"/>
                <w:sz w:val="24"/>
                <w:szCs w:val="24"/>
                <w:highlight w:val="none"/>
              </w:rPr>
              <w:t>详见响应文件</w:t>
            </w:r>
          </w:p>
        </w:tc>
        <w:tc>
          <w:tcPr>
            <w:tcW w:w="3051" w:type="dxa"/>
            <w:noWrap w:val="0"/>
            <w:vAlign w:val="center"/>
          </w:tcPr>
          <w:p w14:paraId="1B9B9F58">
            <w:pPr>
              <w:spacing w:after="0" w:line="240" w:lineRule="auto"/>
              <w:jc w:val="center"/>
              <w:rPr>
                <w:rFonts w:hint="eastAsia" w:eastAsia="宋体"/>
                <w:color w:val="auto"/>
                <w:sz w:val="24"/>
                <w:szCs w:val="24"/>
                <w:highlight w:val="none"/>
                <w:vertAlign w:val="baseline"/>
              </w:rPr>
            </w:pPr>
            <w:r>
              <w:rPr>
                <w:rFonts w:hint="eastAsia"/>
                <w:color w:val="auto"/>
                <w:sz w:val="24"/>
                <w:szCs w:val="24"/>
                <w:highlight w:val="none"/>
                <w:vertAlign w:val="baseline"/>
                <w:lang w:eastAsia="zh-CN"/>
              </w:rPr>
              <w:t>元</w:t>
            </w:r>
          </w:p>
        </w:tc>
      </w:tr>
      <w:tr w14:paraId="27D1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3491" w:type="dxa"/>
            <w:noWrap w:val="0"/>
            <w:vAlign w:val="center"/>
          </w:tcPr>
          <w:p w14:paraId="4ADCFB99">
            <w:pPr>
              <w:spacing w:after="0" w:line="240" w:lineRule="auto"/>
              <w:ind w:firstLine="210"/>
              <w:jc w:val="left"/>
              <w:rPr>
                <w:rFonts w:hint="eastAsia" w:eastAsia="宋体"/>
                <w:color w:val="auto"/>
                <w:sz w:val="24"/>
                <w:szCs w:val="24"/>
                <w:highlight w:val="none"/>
                <w:vertAlign w:val="baseline"/>
              </w:rPr>
            </w:pPr>
            <w:r>
              <w:rPr>
                <w:rFonts w:hint="eastAsia"/>
                <w:color w:val="auto"/>
                <w:sz w:val="24"/>
                <w:szCs w:val="24"/>
                <w:highlight w:val="none"/>
                <w:vertAlign w:val="baseline"/>
                <w:lang w:eastAsia="zh-CN"/>
              </w:rPr>
              <w:t>总价（大写）：</w:t>
            </w:r>
          </w:p>
        </w:tc>
        <w:tc>
          <w:tcPr>
            <w:tcW w:w="5665" w:type="dxa"/>
            <w:gridSpan w:val="2"/>
            <w:noWrap w:val="0"/>
            <w:vAlign w:val="center"/>
          </w:tcPr>
          <w:p w14:paraId="19FCF91B">
            <w:pPr>
              <w:spacing w:after="0" w:line="240" w:lineRule="auto"/>
              <w:ind w:firstLine="210"/>
              <w:jc w:val="left"/>
              <w:rPr>
                <w:rFonts w:hint="eastAsia"/>
                <w:color w:val="auto"/>
                <w:sz w:val="24"/>
                <w:szCs w:val="24"/>
                <w:highlight w:val="none"/>
                <w:vertAlign w:val="baseline"/>
                <w:lang w:eastAsia="zh-CN"/>
              </w:rPr>
            </w:pPr>
          </w:p>
        </w:tc>
      </w:tr>
    </w:tbl>
    <w:p w14:paraId="2F4372CC">
      <w:pPr>
        <w:pStyle w:val="299"/>
        <w:keepNext w:val="0"/>
        <w:keepLines w:val="0"/>
        <w:pageBreakBefore w:val="0"/>
        <w:widowControl/>
        <w:spacing w:before="120" w:after="120"/>
        <w:ind w:firstLine="480"/>
        <w:rPr>
          <w:rStyle w:val="192"/>
          <w:rFonts w:ascii="宋体" w:hAnsi="宋体" w:eastAsia="宋体" w:cs="宋体"/>
          <w:color w:val="auto"/>
          <w:highlight w:val="none"/>
        </w:rPr>
      </w:pPr>
    </w:p>
    <w:p w14:paraId="657C3DE2">
      <w:pPr>
        <w:pStyle w:val="299"/>
        <w:keepNext w:val="0"/>
        <w:keepLines w:val="0"/>
        <w:pageBreakBefore w:val="0"/>
        <w:widowControl/>
        <w:spacing w:before="120" w:after="120"/>
        <w:ind w:firstLine="480"/>
        <w:jc w:val="right"/>
        <w:rPr>
          <w:rStyle w:val="192"/>
          <w:rFonts w:ascii="宋体" w:hAnsi="宋体" w:eastAsia="宋体" w:cs="宋体"/>
          <w:color w:val="auto"/>
          <w:highlight w:val="none"/>
        </w:rPr>
      </w:pPr>
    </w:p>
    <w:p w14:paraId="7B5BEE68">
      <w:pPr>
        <w:pStyle w:val="299"/>
        <w:spacing w:before="240" w:after="240"/>
        <w:jc w:val="left"/>
        <w:rPr>
          <w:rStyle w:val="192"/>
          <w:rFonts w:ascii="宋体" w:hAnsi="宋体" w:eastAsia="宋体" w:cs="宋体"/>
          <w:color w:val="auto"/>
          <w:highlight w:val="none"/>
        </w:rPr>
      </w:pPr>
      <w:r>
        <w:rPr>
          <w:rStyle w:val="192"/>
          <w:rFonts w:ascii="宋体" w:hAnsi="宋体" w:eastAsia="宋体" w:cs="宋体"/>
          <w:color w:val="auto"/>
          <w:highlight w:val="none"/>
        </w:rPr>
        <w:t>响应单位（公章）：   </w:t>
      </w:r>
    </w:p>
    <w:p w14:paraId="61188E57">
      <w:pPr>
        <w:pStyle w:val="299"/>
        <w:spacing w:before="240" w:after="240"/>
        <w:jc w:val="left"/>
        <w:rPr>
          <w:rStyle w:val="192"/>
          <w:rFonts w:ascii="宋体" w:hAnsi="宋体" w:eastAsia="宋体" w:cs="宋体"/>
          <w:color w:val="auto"/>
          <w:highlight w:val="none"/>
        </w:rPr>
      </w:pPr>
    </w:p>
    <w:p w14:paraId="16C95320">
      <w:pPr>
        <w:pStyle w:val="299"/>
        <w:spacing w:before="240" w:after="240"/>
        <w:jc w:val="right"/>
        <w:rPr>
          <w:rStyle w:val="192"/>
          <w:rFonts w:hint="default" w:ascii="宋体" w:hAnsi="宋体" w:eastAsia="宋体" w:cs="宋体"/>
          <w:color w:val="auto"/>
          <w:highlight w:val="none"/>
          <w:lang w:val="en-US" w:eastAsia="zh-CN"/>
        </w:rPr>
      </w:pPr>
      <w:r>
        <w:rPr>
          <w:rStyle w:val="192"/>
          <w:rFonts w:hint="eastAsia" w:ascii="宋体" w:hAnsi="宋体" w:eastAsia="宋体" w:cs="宋体"/>
          <w:color w:val="auto"/>
          <w:highlight w:val="none"/>
          <w:lang w:eastAsia="zh-CN"/>
        </w:rPr>
        <w:t>日期：</w:t>
      </w:r>
      <w:r>
        <w:rPr>
          <w:rStyle w:val="192"/>
          <w:rFonts w:hint="eastAsia" w:ascii="宋体" w:hAnsi="宋体" w:eastAsia="宋体" w:cs="宋体"/>
          <w:color w:val="auto"/>
          <w:highlight w:val="none"/>
          <w:lang w:val="en-US" w:eastAsia="zh-CN"/>
        </w:rPr>
        <w:t xml:space="preserve">      年     月    日</w:t>
      </w:r>
    </w:p>
    <w:p w14:paraId="1A115618">
      <w:pPr>
        <w:pStyle w:val="300"/>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646" w:name="_Toc2123"/>
      <w:r>
        <w:rPr>
          <w:rStyle w:val="192"/>
          <w:rFonts w:ascii="宋体" w:hAnsi="宋体" w:eastAsia="宋体" w:cs="宋体"/>
          <w:b/>
          <w:bCs/>
          <w:color w:val="auto"/>
          <w:sz w:val="28"/>
          <w:highlight w:val="none"/>
        </w:rPr>
        <w:t>(</w:t>
      </w:r>
      <w:r>
        <w:rPr>
          <w:rStyle w:val="192"/>
          <w:rFonts w:hint="eastAsia" w:ascii="宋体" w:hAnsi="宋体" w:eastAsia="宋体" w:cs="宋体"/>
          <w:b/>
          <w:bCs/>
          <w:color w:val="auto"/>
          <w:sz w:val="28"/>
          <w:highlight w:val="none"/>
          <w:lang w:eastAsia="zh-CN"/>
        </w:rPr>
        <w:t>五</w:t>
      </w:r>
      <w:r>
        <w:rPr>
          <w:rStyle w:val="192"/>
          <w:rFonts w:ascii="宋体" w:hAnsi="宋体" w:eastAsia="宋体" w:cs="宋体"/>
          <w:b/>
          <w:bCs/>
          <w:color w:val="auto"/>
          <w:sz w:val="28"/>
          <w:highlight w:val="none"/>
        </w:rPr>
        <w:t>)已标价工程量清单</w:t>
      </w:r>
      <w:bookmarkEnd w:id="646"/>
    </w:p>
    <w:p w14:paraId="388E2ABD">
      <w:pPr>
        <w:pStyle w:val="305"/>
        <w:jc w:val="center"/>
        <w:outlineLvl w:val="1"/>
        <w:rPr>
          <w:rFonts w:hint="eastAsia" w:ascii="宋体" w:hAnsi="宋体"/>
          <w:color w:val="auto"/>
          <w:sz w:val="24"/>
          <w:szCs w:val="24"/>
          <w:highlight w:val="none"/>
        </w:rPr>
      </w:pPr>
    </w:p>
    <w:p w14:paraId="47D9BDCD">
      <w:pPr>
        <w:pStyle w:val="305"/>
        <w:jc w:val="center"/>
        <w:outlineLvl w:val="1"/>
        <w:rPr>
          <w:rFonts w:hint="eastAsia"/>
          <w:color w:val="auto"/>
          <w:sz w:val="20"/>
          <w:highlight w:val="none"/>
        </w:rPr>
      </w:pPr>
      <w:bookmarkStart w:id="647" w:name="_Toc5576"/>
      <w:r>
        <w:rPr>
          <w:rStyle w:val="192"/>
          <w:rFonts w:hint="eastAsia" w:ascii="宋体" w:hAnsi="宋体" w:eastAsia="宋体" w:cs="宋体"/>
          <w:b w:val="0"/>
          <w:color w:val="auto"/>
          <w:sz w:val="24"/>
          <w:szCs w:val="32"/>
          <w:highlight w:val="none"/>
          <w:lang w:eastAsia="zh-CN"/>
        </w:rPr>
        <w:t>根据采购人提供的工程量清单格式进行投标报价，按表式要求盖章签字后上传，否则其投标响应无效。</w:t>
      </w:r>
      <w:r>
        <w:rPr>
          <w:rStyle w:val="192"/>
          <w:rFonts w:ascii="Times New Roman" w:hAnsi="Times New Roman" w:eastAsia="Times New Roman" w:cs="Times New Roman"/>
          <w:color w:val="auto"/>
          <w:highlight w:val="none"/>
        </w:rPr>
        <w:br w:type="page" w:clear="all"/>
      </w:r>
      <w:r>
        <w:rPr>
          <w:rStyle w:val="192"/>
          <w:rFonts w:ascii="宋体" w:hAnsi="宋体" w:eastAsia="宋体" w:cs="宋体"/>
          <w:b/>
          <w:bCs/>
          <w:color w:val="auto"/>
          <w:sz w:val="32"/>
          <w:highlight w:val="none"/>
        </w:rPr>
        <w:t>四、按磋商文件要求供应商所能提供的其他文件</w:t>
      </w:r>
      <w:bookmarkEnd w:id="647"/>
      <w:r>
        <w:rPr>
          <w:rFonts w:hint="eastAsia"/>
          <w:color w:val="auto"/>
          <w:sz w:val="20"/>
          <w:highlight w:val="none"/>
        </w:rPr>
        <w:t xml:space="preserve"> </w:t>
      </w:r>
    </w:p>
    <w:sectPr>
      <w:footerReference r:id="rId9" w:type="first"/>
      <w:headerReference r:id="rId7" w:type="default"/>
      <w:footerReference r:id="rId8" w:type="default"/>
      <w:pgSz w:w="11906" w:h="16838"/>
      <w:pgMar w:top="1440" w:right="1270" w:bottom="1440" w:left="127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等线">
    <w:altName w:val="Arial Unicode MS"/>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华文仿宋">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7DCE1">
    <w:pPr>
      <w:pStyle w:val="20"/>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B7B99">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tdV9M7AgAAcA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1X0zsCAABwBAAADgAAAAAAAAABACAAAAAfAQAAZHJzL2Uyb0Rv&#10;Yy54bWxQSwUGAAAAAAYABgBZAQAAzAUAAAAA&#10;">
              <v:fill on="f" focussize="0,0"/>
              <v:stroke on="f" weight="0.5pt"/>
              <v:imagedata o:title=""/>
              <o:lock v:ext="edit" aspectratio="f"/>
              <v:textbox inset="0mm,0mm,0mm,0mm" style="mso-fit-shape-to-text:t;">
                <w:txbxContent>
                  <w:p w14:paraId="58FB7B99">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CC4FB">
    <w:pPr>
      <w:pStyle w:val="20"/>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AC4C0">
                          <w:pPr>
                            <w:pStyle w:val="2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jfPw9AgAAcA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LI3z8PQIAAHAEAAAOAAAAAAAAAAEAIAAAAB8BAABkcnMvZTJv&#10;RG9jLnhtbFBLBQYAAAAABgAGAFkBAADOBQAAAAA=&#10;">
              <v:fill on="f" focussize="0,0"/>
              <v:stroke on="f" weight="0.5pt"/>
              <v:imagedata o:title=""/>
              <o:lock v:ext="edit" aspectratio="f"/>
              <v:textbox inset="0mm,0mm,0mm,0mm" style="mso-fit-shape-to-text:t;">
                <w:txbxContent>
                  <w:p w14:paraId="2D7AC4C0">
                    <w:pPr>
                      <w:pStyle w:val="2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7E420">
    <w:pPr>
      <w:pStyle w:val="2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43254">
                          <w:pPr>
                            <w:pStyle w:val="21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b5bQ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rm+W0PQIAAG8EAAAOAAAAAAAAAAEAIAAAAB8BAABkcnMvZTJv&#10;RG9jLnhtbFBLBQYAAAAABgAGAFkBAADOBQAAAAA=&#10;">
              <v:fill on="f" focussize="0,0"/>
              <v:stroke on="f" weight="0.5pt"/>
              <v:imagedata o:title=""/>
              <o:lock v:ext="edit" aspectratio="f"/>
              <v:textbox inset="0mm,0mm,0mm,0mm" style="mso-fit-shape-to-text:t;">
                <w:txbxContent>
                  <w:p w14:paraId="13043254">
                    <w:pPr>
                      <w:pStyle w:val="21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74</w:t>
                    </w:r>
                    <w:r>
                      <w:rPr>
                        <w:lang w:val="zh-CN"/>
                      </w:rPr>
                      <w:fldChar w:fldCharType="end"/>
                    </w:r>
                  </w:p>
                </w:txbxContent>
              </v:textbox>
            </v:shape>
          </w:pict>
        </mc:Fallback>
      </mc:AlternateContent>
    </w:r>
  </w:p>
  <w:p w14:paraId="1E703726">
    <w:pPr>
      <w:pStyle w:val="2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E31AC">
    <w:pPr>
      <w:pStyle w:val="2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38993">
                          <w:pPr>
                            <w:pStyle w:val="219"/>
                            <w:jc w:val="center"/>
                          </w:pPr>
                          <w:r>
                            <w:fldChar w:fldCharType="begin"/>
                          </w:r>
                          <w:r>
                            <w:rPr>
                              <w:rStyle w:val="231"/>
                              <w:highlight w:val="white"/>
                            </w:rPr>
                            <w:instrText xml:space="preserve"> PAGE </w:instrText>
                          </w:r>
                          <w:r>
                            <w:fldChar w:fldCharType="separate"/>
                          </w:r>
                          <w:r>
                            <w:rPr>
                              <w:rStyle w:val="231"/>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idLQU8AgAAbwQAAA4AAAAAAAAAAQAgAAAAHwEAAGRycy9lMm9E&#10;b2MueG1sUEsFBgAAAAAGAAYAWQEAAM0FAAAAAA==&#10;">
              <v:fill on="f" focussize="0,0"/>
              <v:stroke on="f" weight="0.5pt"/>
              <v:imagedata o:title=""/>
              <o:lock v:ext="edit" aspectratio="f"/>
              <v:textbox inset="0mm,0mm,0mm,0mm" style="mso-fit-shape-to-text:t;">
                <w:txbxContent>
                  <w:p w14:paraId="4BF38993">
                    <w:pPr>
                      <w:pStyle w:val="219"/>
                      <w:jc w:val="center"/>
                    </w:pPr>
                    <w:r>
                      <w:fldChar w:fldCharType="begin"/>
                    </w:r>
                    <w:r>
                      <w:rPr>
                        <w:rStyle w:val="231"/>
                        <w:highlight w:val="white"/>
                      </w:rPr>
                      <w:instrText xml:space="preserve"> PAGE </w:instrText>
                    </w:r>
                    <w:r>
                      <w:fldChar w:fldCharType="separate"/>
                    </w:r>
                    <w:r>
                      <w:rPr>
                        <w:rStyle w:val="231"/>
                        <w:highlight w:val="white"/>
                      </w:rP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D6EB2">
    <w:pPr>
      <w:pStyle w:val="21"/>
      <w:tabs>
        <w:tab w:val="center" w:pos="4153"/>
        <w:tab w:val="right" w:pos="8306"/>
        <w:tab w:val="clear" w:pos="7143"/>
        <w:tab w:val="clear" w:pos="14287"/>
      </w:tabs>
      <w:jc w:val="center"/>
      <w:rPr>
        <w:rFonts w:hint="eastAsia" w:ascii="华文仿宋" w:hAnsi="华文仿宋" w:eastAsia="华文仿宋" w:cs="华文仿宋"/>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B67CD">
    <w:pPr>
      <w:pStyle w:val="21"/>
      <w:pBdr>
        <w:bottom w:val="none" w:color="auto" w:sz="0" w:space="1"/>
      </w:pBdr>
      <w:tabs>
        <w:tab w:val="center" w:pos="4153"/>
        <w:tab w:val="right" w:pos="8306"/>
        <w:tab w:val="clear" w:pos="7143"/>
        <w:tab w:val="clear" w:pos="142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5E4C0">
    <w:pPr>
      <w:pStyle w:val="221"/>
      <w:pBdr>
        <w:bottom w:val="none" w:color="000000" w:sz="0" w:space="1"/>
      </w:pBdr>
      <w:jc w:val="left"/>
      <w:rPr>
        <w:rFonts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425"/>
        </w:tabs>
        <w:ind w:left="425" w:hanging="425"/>
      </w:pPr>
    </w:lvl>
    <w:lvl w:ilvl="1" w:tentative="0">
      <w:start w:val="1"/>
      <w:numFmt w:val="decimal"/>
      <w:pStyle w:val="242"/>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CF092B84"/>
    <w:multiLevelType w:val="multilevel"/>
    <w:tmpl w:val="CF092B84"/>
    <w:lvl w:ilvl="0" w:tentative="0">
      <w:start w:val="1"/>
      <w:numFmt w:val="decimal"/>
      <w:pStyle w:val="241"/>
      <w:lvlText w:val="%1."/>
      <w:lvlJc w:val="left"/>
      <w:pPr>
        <w:tabs>
          <w:tab w:val="left" w:pos="709"/>
        </w:tabs>
        <w:ind w:left="709" w:hanging="709"/>
      </w:pPr>
      <w:rPr>
        <w:color w:val="000000"/>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0053208E"/>
    <w:multiLevelType w:val="multilevel"/>
    <w:tmpl w:val="0053208E"/>
    <w:lvl w:ilvl="0" w:tentative="0">
      <w:start w:val="1"/>
      <w:numFmt w:val="upperLetter"/>
      <w:pStyle w:val="23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F7F27"/>
    <w:rsid w:val="07BC2556"/>
    <w:rsid w:val="093A7BD7"/>
    <w:rsid w:val="0F824086"/>
    <w:rsid w:val="11693B75"/>
    <w:rsid w:val="1BB92BDD"/>
    <w:rsid w:val="21A1039B"/>
    <w:rsid w:val="220A6B20"/>
    <w:rsid w:val="2A070B95"/>
    <w:rsid w:val="2F4B3175"/>
    <w:rsid w:val="315947EF"/>
    <w:rsid w:val="377011EF"/>
    <w:rsid w:val="3D16440C"/>
    <w:rsid w:val="420C765B"/>
    <w:rsid w:val="53B351DF"/>
    <w:rsid w:val="5458228C"/>
    <w:rsid w:val="578F62E8"/>
    <w:rsid w:val="586B6A32"/>
    <w:rsid w:val="5B1400AB"/>
    <w:rsid w:val="5B8878FB"/>
    <w:rsid w:val="60C4468E"/>
    <w:rsid w:val="628A21AA"/>
    <w:rsid w:val="635B5541"/>
    <w:rsid w:val="66C427FA"/>
    <w:rsid w:val="66F24777"/>
    <w:rsid w:val="685B5B85"/>
    <w:rsid w:val="6A157A98"/>
    <w:rsid w:val="7C662EE9"/>
    <w:rsid w:val="7CD73D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spacing w:line="240" w:lineRule="auto"/>
      <w:ind w:firstLine="420"/>
    </w:pPr>
    <w:rPr>
      <w:rFonts w:ascii="Times New Roman" w:hAnsi="Times New Roman" w:eastAsia="宋体" w:cs="Times New Roman"/>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1"/>
    <w:rPr>
      <w:rFonts w:ascii="宋体" w:hAnsi="宋体" w:eastAsia="宋体" w:cs="宋体"/>
      <w:sz w:val="24"/>
      <w:szCs w:val="24"/>
      <w:lang w:val="zh-CN" w:eastAsia="zh-CN" w:bidi="zh-CN"/>
    </w:rPr>
  </w:style>
  <w:style w:type="paragraph" w:styleId="15">
    <w:name w:val="Body Text Indent"/>
    <w:basedOn w:val="1"/>
    <w:qFormat/>
    <w:uiPriority w:val="0"/>
    <w:pPr>
      <w:widowControl w:val="0"/>
      <w:ind w:firstLine="645"/>
      <w:jc w:val="both"/>
    </w:pPr>
    <w:rPr>
      <w:rFonts w:hint="default" w:ascii="楷体_GB2312" w:hAnsi="Times New Roman" w:eastAsia="楷体_GB2312" w:cs="Times New Roman"/>
      <w:sz w:val="32"/>
      <w:szCs w:val="20"/>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link w:val="59"/>
    <w:unhideWhenUsed/>
    <w:qFormat/>
    <w:uiPriority w:val="99"/>
    <w:pPr>
      <w:tabs>
        <w:tab w:val="center" w:pos="7143"/>
        <w:tab w:val="right" w:pos="14287"/>
      </w:tabs>
      <w:spacing w:after="0" w:line="240" w:lineRule="auto"/>
    </w:pPr>
  </w:style>
  <w:style w:type="paragraph" w:styleId="21">
    <w:name w:val="header"/>
    <w:basedOn w:val="1"/>
    <w:link w:val="57"/>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1">
    <w:name w:val="Title"/>
    <w:basedOn w:val="1"/>
    <w:next w:val="1"/>
    <w:link w:val="5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FollowedHyperlink"/>
    <w:basedOn w:val="34"/>
    <w:semiHidden/>
    <w:unhideWhenUsed/>
    <w:qFormat/>
    <w:uiPriority w:val="99"/>
    <w:rPr>
      <w:color w:val="333333"/>
      <w:u w:val="none"/>
    </w:rPr>
  </w:style>
  <w:style w:type="character" w:styleId="37">
    <w:name w:val="Emphasis"/>
    <w:basedOn w:val="34"/>
    <w:qFormat/>
    <w:uiPriority w:val="20"/>
    <w:rPr>
      <w:i/>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1"/>
    <w:qFormat/>
    <w:uiPriority w:val="10"/>
    <w:rPr>
      <w:sz w:val="48"/>
      <w:szCs w:val="48"/>
    </w:rPr>
  </w:style>
  <w:style w:type="character" w:customStyle="1" w:styleId="52">
    <w:name w:val="Subtitle Char"/>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1"/>
    <w:qFormat/>
    <w:uiPriority w:val="99"/>
  </w:style>
  <w:style w:type="character" w:customStyle="1" w:styleId="58">
    <w:name w:val="Footer Char"/>
    <w:link w:val="20"/>
    <w:qFormat/>
    <w:uiPriority w:val="99"/>
  </w:style>
  <w:style w:type="character" w:customStyle="1" w:styleId="59">
    <w:name w:val="Caption Char"/>
    <w:link w:val="20"/>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194"/>
    <w:qFormat/>
    <w:uiPriority w:val="9"/>
    <w:pPr>
      <w:keepNext/>
      <w:keepLines/>
      <w:spacing w:before="340" w:after="330" w:line="578" w:lineRule="atLeast"/>
      <w:outlineLvl w:val="0"/>
    </w:pPr>
    <w:rPr>
      <w:b/>
      <w:bCs/>
      <w:sz w:val="44"/>
      <w:szCs w:val="44"/>
    </w:rPr>
  </w:style>
  <w:style w:type="paragraph" w:customStyle="1" w:styleId="189">
    <w:name w:val="标题 21"/>
    <w:basedOn w:val="1"/>
    <w:next w:val="1"/>
    <w:link w:val="195"/>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customStyle="1" w:styleId="190">
    <w:name w:val="标题 31"/>
    <w:basedOn w:val="1"/>
    <w:next w:val="1"/>
    <w:link w:val="196"/>
    <w:unhideWhenUsed/>
    <w:qFormat/>
    <w:uiPriority w:val="9"/>
    <w:pPr>
      <w:keepNext/>
      <w:keepLines/>
      <w:spacing w:before="260" w:after="260" w:line="416" w:lineRule="atLeast"/>
      <w:outlineLvl w:val="2"/>
    </w:pPr>
    <w:rPr>
      <w:b/>
      <w:bCs/>
      <w:sz w:val="32"/>
      <w:szCs w:val="32"/>
    </w:rPr>
  </w:style>
  <w:style w:type="paragraph" w:customStyle="1" w:styleId="191">
    <w:name w:val="标题 71"/>
    <w:basedOn w:val="1"/>
    <w:next w:val="1"/>
    <w:link w:val="197"/>
    <w:unhideWhenUsed/>
    <w:qFormat/>
    <w:uiPriority w:val="9"/>
    <w:pPr>
      <w:keepNext/>
      <w:keepLines/>
      <w:spacing w:before="240" w:after="64" w:line="320" w:lineRule="atLeast"/>
      <w:outlineLvl w:val="6"/>
    </w:pPr>
    <w:rPr>
      <w:b/>
      <w:bCs/>
      <w:sz w:val="24"/>
      <w:szCs w:val="24"/>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link w:val="188"/>
    <w:qFormat/>
    <w:uiPriority w:val="9"/>
    <w:rPr>
      <w:b/>
      <w:bCs/>
      <w:sz w:val="44"/>
      <w:szCs w:val="44"/>
    </w:rPr>
  </w:style>
  <w:style w:type="character" w:customStyle="1" w:styleId="195">
    <w:name w:val="标题 2 Char"/>
    <w:link w:val="189"/>
    <w:qFormat/>
    <w:uiPriority w:val="9"/>
    <w:rPr>
      <w:rFonts w:ascii="幼圆" w:hAnsi="Arial" w:eastAsia="楷体_GB2312" w:cs="Times New Roman"/>
      <w:b/>
      <w:sz w:val="24"/>
      <w:szCs w:val="20"/>
    </w:rPr>
  </w:style>
  <w:style w:type="character" w:customStyle="1" w:styleId="196">
    <w:name w:val="标题 3 Char"/>
    <w:link w:val="190"/>
    <w:qFormat/>
    <w:uiPriority w:val="9"/>
    <w:rPr>
      <w:b/>
      <w:bCs/>
      <w:sz w:val="32"/>
      <w:szCs w:val="32"/>
    </w:rPr>
  </w:style>
  <w:style w:type="character" w:customStyle="1" w:styleId="197">
    <w:name w:val="标题 7 Char"/>
    <w:link w:val="191"/>
    <w:semiHidden/>
    <w:qFormat/>
    <w:uiPriority w:val="9"/>
    <w:rPr>
      <w:b/>
      <w:bCs/>
      <w:sz w:val="24"/>
      <w:szCs w:val="24"/>
    </w:rPr>
  </w:style>
  <w:style w:type="paragraph" w:customStyle="1" w:styleId="198">
    <w:name w:val="列表 31"/>
    <w:basedOn w:val="1"/>
    <w:qFormat/>
    <w:uiPriority w:val="0"/>
    <w:pPr>
      <w:spacing w:line="240" w:lineRule="auto"/>
      <w:ind w:left="100" w:hanging="200"/>
    </w:pPr>
    <w:rPr>
      <w:rFonts w:ascii="Times New Roman" w:hAnsi="Times New Roman" w:eastAsia="宋体" w:cs="Times New Roman"/>
      <w:szCs w:val="21"/>
    </w:rPr>
  </w:style>
  <w:style w:type="paragraph" w:customStyle="1" w:styleId="199">
    <w:name w:val="目录 71"/>
    <w:basedOn w:val="1"/>
    <w:next w:val="1"/>
    <w:semiHidden/>
    <w:qFormat/>
    <w:uiPriority w:val="0"/>
    <w:pPr>
      <w:ind w:left="1260"/>
      <w:jc w:val="left"/>
    </w:pPr>
  </w:style>
  <w:style w:type="paragraph" w:customStyle="1" w:styleId="200">
    <w:name w:val="正文缩进1"/>
    <w:basedOn w:val="1"/>
    <w:link w:val="201"/>
    <w:qFormat/>
    <w:uiPriority w:val="0"/>
    <w:pPr>
      <w:spacing w:line="240" w:lineRule="auto"/>
      <w:ind w:firstLine="420"/>
    </w:pPr>
    <w:rPr>
      <w:rFonts w:ascii="Times New Roman" w:hAnsi="Times New Roman" w:eastAsia="宋体" w:cs="Times New Roman"/>
      <w:szCs w:val="20"/>
    </w:rPr>
  </w:style>
  <w:style w:type="character" w:customStyle="1" w:styleId="201">
    <w:name w:val="正文缩进 Char"/>
    <w:link w:val="200"/>
    <w:qFormat/>
    <w:uiPriority w:val="0"/>
    <w:rPr>
      <w:rFonts w:ascii="Times New Roman" w:hAnsi="Times New Roman" w:eastAsia="宋体" w:cs="Times New Roman"/>
      <w:szCs w:val="20"/>
    </w:rPr>
  </w:style>
  <w:style w:type="paragraph" w:customStyle="1" w:styleId="202">
    <w:name w:val="批注文字1"/>
    <w:basedOn w:val="203"/>
    <w:link w:val="204"/>
    <w:unhideWhenUsed/>
    <w:qFormat/>
    <w:uiPriority w:val="99"/>
    <w:pPr>
      <w:spacing w:line="360" w:lineRule="auto"/>
      <w:jc w:val="left"/>
    </w:pPr>
    <w:rPr>
      <w:rFonts w:ascii="Times New Roman" w:hAnsi="Times New Roman"/>
      <w:sz w:val="24"/>
      <w:szCs w:val="24"/>
    </w:rPr>
  </w:style>
  <w:style w:type="paragraph" w:customStyle="1" w:styleId="203">
    <w:name w:val="Normal_13"/>
    <w:qFormat/>
    <w:uiPriority w:val="0"/>
    <w:pPr>
      <w:widowControl w:val="0"/>
      <w:jc w:val="both"/>
    </w:pPr>
    <w:rPr>
      <w:rFonts w:hint="default" w:ascii="Calibri" w:hAnsi="Calibri" w:eastAsia="宋体" w:cs="Times New Roman"/>
      <w:sz w:val="21"/>
      <w:szCs w:val="22"/>
    </w:rPr>
  </w:style>
  <w:style w:type="character" w:customStyle="1" w:styleId="204">
    <w:name w:val="批注文字 Char"/>
    <w:link w:val="202"/>
    <w:qFormat/>
    <w:uiPriority w:val="99"/>
    <w:rPr>
      <w:rFonts w:ascii="Times New Roman" w:hAnsi="Times New Roman"/>
      <w:sz w:val="24"/>
      <w:szCs w:val="24"/>
    </w:rPr>
  </w:style>
  <w:style w:type="paragraph" w:customStyle="1" w:styleId="205">
    <w:name w:val="正文文本1"/>
    <w:basedOn w:val="1"/>
    <w:next w:val="206"/>
    <w:link w:val="207"/>
    <w:qFormat/>
    <w:uiPriority w:val="0"/>
    <w:pPr>
      <w:spacing w:line="240" w:lineRule="auto"/>
    </w:pPr>
    <w:rPr>
      <w:rFonts w:ascii="楷体_GB2312" w:hAnsi="Arial" w:eastAsia="楷体_GB2312" w:cs="Times New Roman"/>
      <w:sz w:val="28"/>
      <w:szCs w:val="20"/>
    </w:rPr>
  </w:style>
  <w:style w:type="paragraph" w:customStyle="1" w:styleId="206">
    <w:name w:val="正文首行缩进1"/>
    <w:basedOn w:val="205"/>
    <w:qFormat/>
    <w:uiPriority w:val="0"/>
    <w:pPr>
      <w:spacing w:line="360" w:lineRule="auto"/>
      <w:ind w:firstLine="200"/>
    </w:pPr>
    <w:rPr>
      <w:rFonts w:ascii="仿宋_GB2312" w:eastAsia="仿宋_GB2312"/>
      <w:sz w:val="30"/>
      <w:szCs w:val="30"/>
    </w:rPr>
  </w:style>
  <w:style w:type="character" w:customStyle="1" w:styleId="207">
    <w:name w:val="正文文本 Char"/>
    <w:link w:val="205"/>
    <w:qFormat/>
    <w:uiPriority w:val="0"/>
    <w:rPr>
      <w:rFonts w:ascii="楷体_GB2312" w:hAnsi="Arial" w:eastAsia="楷体_GB2312" w:cs="Times New Roman"/>
      <w:sz w:val="28"/>
      <w:szCs w:val="20"/>
    </w:rPr>
  </w:style>
  <w:style w:type="paragraph" w:customStyle="1" w:styleId="208">
    <w:name w:val="正文文本缩进1"/>
    <w:basedOn w:val="1"/>
    <w:next w:val="199"/>
    <w:link w:val="209"/>
    <w:unhideWhenUsed/>
    <w:qFormat/>
    <w:uiPriority w:val="99"/>
    <w:pPr>
      <w:spacing w:after="120"/>
      <w:ind w:left="420"/>
    </w:pPr>
  </w:style>
  <w:style w:type="character" w:customStyle="1" w:styleId="209">
    <w:name w:val="正文文本缩进 Char"/>
    <w:basedOn w:val="192"/>
    <w:link w:val="208"/>
    <w:semiHidden/>
    <w:qFormat/>
    <w:uiPriority w:val="99"/>
  </w:style>
  <w:style w:type="paragraph" w:customStyle="1" w:styleId="210">
    <w:name w:val="列表接续1"/>
    <w:basedOn w:val="1"/>
    <w:unhideWhenUsed/>
    <w:qFormat/>
    <w:uiPriority w:val="99"/>
    <w:pPr>
      <w:spacing w:after="120"/>
      <w:ind w:left="420"/>
      <w:contextualSpacing/>
    </w:pPr>
  </w:style>
  <w:style w:type="paragraph" w:customStyle="1" w:styleId="211">
    <w:name w:val="文本块1"/>
    <w:basedOn w:val="1"/>
    <w:qFormat/>
    <w:uiPriority w:val="0"/>
    <w:pPr>
      <w:spacing w:line="240" w:lineRule="auto"/>
      <w:ind w:left="630" w:right="630"/>
      <w:jc w:val="center"/>
    </w:pPr>
    <w:rPr>
      <w:rFonts w:ascii="宋体" w:hAnsi="Times New Roman" w:eastAsia="宋体" w:cs="Times New Roman"/>
      <w:b/>
      <w:sz w:val="32"/>
      <w:szCs w:val="24"/>
    </w:rPr>
  </w:style>
  <w:style w:type="paragraph" w:customStyle="1" w:styleId="212">
    <w:name w:val="目录 31"/>
    <w:basedOn w:val="1"/>
    <w:next w:val="1"/>
    <w:qFormat/>
    <w:uiPriority w:val="39"/>
    <w:pPr>
      <w:spacing w:line="240" w:lineRule="auto"/>
      <w:ind w:left="420"/>
      <w:jc w:val="left"/>
    </w:pPr>
    <w:rPr>
      <w:rFonts w:ascii="Times New Roman" w:hAnsi="Times New Roman" w:eastAsia="宋体" w:cs="Times New Roman"/>
      <w:iCs/>
      <w:szCs w:val="24"/>
    </w:rPr>
  </w:style>
  <w:style w:type="paragraph" w:customStyle="1" w:styleId="213">
    <w:name w:val="纯文本1"/>
    <w:basedOn w:val="1"/>
    <w:link w:val="214"/>
    <w:qFormat/>
    <w:uiPriority w:val="0"/>
    <w:pPr>
      <w:spacing w:line="240" w:lineRule="auto"/>
    </w:pPr>
    <w:rPr>
      <w:rFonts w:ascii="宋体" w:hAnsi="Courier New" w:cs="Courier New"/>
      <w:szCs w:val="21"/>
    </w:rPr>
  </w:style>
  <w:style w:type="character" w:customStyle="1" w:styleId="214">
    <w:name w:val="纯文本 Char1"/>
    <w:link w:val="213"/>
    <w:qFormat/>
    <w:uiPriority w:val="0"/>
    <w:rPr>
      <w:rFonts w:ascii="宋体" w:hAnsi="Courier New" w:cs="Courier New"/>
      <w:szCs w:val="21"/>
    </w:rPr>
  </w:style>
  <w:style w:type="paragraph" w:customStyle="1" w:styleId="215">
    <w:name w:val="日期1"/>
    <w:basedOn w:val="1"/>
    <w:next w:val="1"/>
    <w:link w:val="216"/>
    <w:qFormat/>
    <w:uiPriority w:val="0"/>
    <w:pPr>
      <w:spacing w:line="240" w:lineRule="auto"/>
      <w:ind w:left="100"/>
    </w:pPr>
    <w:rPr>
      <w:rFonts w:ascii="仿宋_GB2312" w:hAnsi="Times New Roman" w:eastAsia="仿宋_GB2312" w:cs="Times New Roman"/>
      <w:b/>
      <w:sz w:val="36"/>
      <w:szCs w:val="24"/>
    </w:rPr>
  </w:style>
  <w:style w:type="character" w:customStyle="1" w:styleId="216">
    <w:name w:val="日期 Char"/>
    <w:link w:val="215"/>
    <w:qFormat/>
    <w:uiPriority w:val="0"/>
    <w:rPr>
      <w:rFonts w:ascii="仿宋_GB2312" w:hAnsi="Times New Roman" w:eastAsia="仿宋_GB2312" w:cs="Times New Roman"/>
      <w:b/>
      <w:sz w:val="36"/>
      <w:szCs w:val="24"/>
    </w:rPr>
  </w:style>
  <w:style w:type="paragraph" w:customStyle="1" w:styleId="217">
    <w:name w:val="批注框文本1"/>
    <w:basedOn w:val="1"/>
    <w:link w:val="218"/>
    <w:unhideWhenUsed/>
    <w:qFormat/>
    <w:uiPriority w:val="99"/>
    <w:pPr>
      <w:spacing w:line="240" w:lineRule="auto"/>
    </w:pPr>
    <w:rPr>
      <w:sz w:val="18"/>
      <w:szCs w:val="18"/>
    </w:rPr>
  </w:style>
  <w:style w:type="character" w:customStyle="1" w:styleId="218">
    <w:name w:val="批注框文本 Char"/>
    <w:link w:val="217"/>
    <w:semiHidden/>
    <w:qFormat/>
    <w:uiPriority w:val="99"/>
    <w:rPr>
      <w:sz w:val="18"/>
      <w:szCs w:val="18"/>
    </w:rPr>
  </w:style>
  <w:style w:type="paragraph" w:customStyle="1" w:styleId="219">
    <w:name w:val="页脚1"/>
    <w:basedOn w:val="1"/>
    <w:link w:val="220"/>
    <w:unhideWhenUsed/>
    <w:qFormat/>
    <w:uiPriority w:val="99"/>
    <w:pPr>
      <w:tabs>
        <w:tab w:val="center" w:pos="4153"/>
        <w:tab w:val="right" w:pos="8306"/>
      </w:tabs>
      <w:spacing w:line="240" w:lineRule="atLeast"/>
      <w:jc w:val="left"/>
    </w:pPr>
    <w:rPr>
      <w:sz w:val="18"/>
      <w:szCs w:val="18"/>
    </w:rPr>
  </w:style>
  <w:style w:type="character" w:customStyle="1" w:styleId="220">
    <w:name w:val="页脚 Char"/>
    <w:link w:val="219"/>
    <w:qFormat/>
    <w:uiPriority w:val="99"/>
    <w:rPr>
      <w:sz w:val="18"/>
      <w:szCs w:val="18"/>
    </w:rPr>
  </w:style>
  <w:style w:type="paragraph" w:customStyle="1" w:styleId="221">
    <w:name w:val="页眉1"/>
    <w:basedOn w:val="1"/>
    <w:link w:val="222"/>
    <w:unhideWhenUsed/>
    <w:qFormat/>
    <w:uiPriority w:val="99"/>
    <w:pPr>
      <w:pBdr>
        <w:bottom w:val="single" w:color="000000" w:sz="6" w:space="1"/>
      </w:pBdr>
      <w:tabs>
        <w:tab w:val="center" w:pos="4153"/>
        <w:tab w:val="right" w:pos="8306"/>
      </w:tabs>
      <w:spacing w:line="240" w:lineRule="atLeast"/>
      <w:jc w:val="center"/>
    </w:pPr>
    <w:rPr>
      <w:sz w:val="18"/>
      <w:szCs w:val="18"/>
    </w:rPr>
  </w:style>
  <w:style w:type="character" w:customStyle="1" w:styleId="222">
    <w:name w:val="页眉 Char"/>
    <w:link w:val="221"/>
    <w:qFormat/>
    <w:uiPriority w:val="99"/>
    <w:rPr>
      <w:sz w:val="18"/>
      <w:szCs w:val="18"/>
    </w:rPr>
  </w:style>
  <w:style w:type="paragraph" w:customStyle="1" w:styleId="223">
    <w:name w:val="目录 11"/>
    <w:basedOn w:val="1"/>
    <w:next w:val="1"/>
    <w:qFormat/>
    <w:uiPriority w:val="39"/>
    <w:pPr>
      <w:spacing w:before="120" w:after="120"/>
      <w:jc w:val="left"/>
    </w:pPr>
    <w:rPr>
      <w:rFonts w:ascii="楷体_GB2312" w:hAnsi="Times New Roman" w:eastAsia="宋体" w:cs="Times New Roman"/>
      <w:b/>
      <w:bCs/>
      <w:caps/>
      <w:sz w:val="44"/>
      <w:szCs w:val="44"/>
    </w:rPr>
  </w:style>
  <w:style w:type="paragraph" w:customStyle="1" w:styleId="224">
    <w:name w:val="副标题1"/>
    <w:basedOn w:val="1"/>
    <w:next w:val="1"/>
    <w:qFormat/>
    <w:uiPriority w:val="0"/>
    <w:pPr>
      <w:spacing w:line="400" w:lineRule="exact"/>
      <w:ind w:firstLine="200"/>
      <w:jc w:val="left"/>
      <w:outlineLvl w:val="1"/>
    </w:pPr>
    <w:rPr>
      <w:rFonts w:ascii="Cambria" w:hAnsi="Cambria" w:eastAsia="黑体"/>
      <w:b/>
      <w:bCs/>
      <w:szCs w:val="32"/>
    </w:rPr>
  </w:style>
  <w:style w:type="paragraph" w:customStyle="1" w:styleId="225">
    <w:name w:val="正文文本缩进 31"/>
    <w:basedOn w:val="1"/>
    <w:link w:val="226"/>
    <w:unhideWhenUsed/>
    <w:qFormat/>
    <w:uiPriority w:val="99"/>
    <w:pPr>
      <w:spacing w:after="120"/>
      <w:ind w:left="420"/>
    </w:pPr>
    <w:rPr>
      <w:sz w:val="16"/>
      <w:szCs w:val="16"/>
    </w:rPr>
  </w:style>
  <w:style w:type="character" w:customStyle="1" w:styleId="226">
    <w:name w:val="正文文本缩进 3 Char"/>
    <w:link w:val="225"/>
    <w:semiHidden/>
    <w:qFormat/>
    <w:uiPriority w:val="99"/>
    <w:rPr>
      <w:sz w:val="16"/>
      <w:szCs w:val="16"/>
    </w:rPr>
  </w:style>
  <w:style w:type="paragraph" w:customStyle="1" w:styleId="227">
    <w:name w:val="目录 21"/>
    <w:basedOn w:val="1"/>
    <w:next w:val="1"/>
    <w:unhideWhenUsed/>
    <w:qFormat/>
    <w:uiPriority w:val="39"/>
    <w:pPr>
      <w:ind w:left="200"/>
    </w:pPr>
  </w:style>
  <w:style w:type="paragraph" w:customStyle="1" w:styleId="228">
    <w:name w:val="普通(网站)1"/>
    <w:basedOn w:val="1"/>
    <w:link w:val="229"/>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character" w:customStyle="1" w:styleId="229">
    <w:name w:val="普通(网站) Char"/>
    <w:link w:val="228"/>
    <w:qFormat/>
    <w:uiPriority w:val="0"/>
    <w:rPr>
      <w:rFonts w:ascii="宋体" w:hAnsi="宋体" w:eastAsia="宋体" w:cs="宋体"/>
      <w:color w:val="000000"/>
      <w:sz w:val="24"/>
      <w:szCs w:val="24"/>
    </w:rPr>
  </w:style>
  <w:style w:type="table" w:customStyle="1" w:styleId="230">
    <w:name w:val="网格型1"/>
    <w:basedOn w:val="193"/>
    <w:qFormat/>
    <w:uiPriority w:val="59"/>
    <w:pPr>
      <w:spacing w:line="240" w:lineRule="auto"/>
    </w:pPr>
  </w:style>
  <w:style w:type="character" w:customStyle="1" w:styleId="231">
    <w:name w:val="页码1"/>
    <w:basedOn w:val="192"/>
    <w:link w:val="1"/>
    <w:qFormat/>
    <w:uiPriority w:val="0"/>
  </w:style>
  <w:style w:type="character" w:customStyle="1" w:styleId="232">
    <w:name w:val="超链接1"/>
    <w:link w:val="1"/>
    <w:qFormat/>
    <w:uiPriority w:val="99"/>
    <w:rPr>
      <w:color w:val="0000FF"/>
      <w:u w:val="single"/>
    </w:rPr>
  </w:style>
  <w:style w:type="character" w:customStyle="1" w:styleId="233">
    <w:name w:val="默认段落字体11"/>
    <w:link w:val="1"/>
    <w:unhideWhenUsed/>
    <w:qFormat/>
    <w:uiPriority w:val="1"/>
    <w:rPr>
      <w:sz w:val="21"/>
      <w:szCs w:val="22"/>
      <w:lang w:val="en-US" w:eastAsia="zh-CN" w:bidi="ar-SA"/>
    </w:rPr>
  </w:style>
  <w:style w:type="paragraph" w:customStyle="1" w:styleId="234">
    <w:name w:val="列出段落"/>
    <w:basedOn w:val="1"/>
    <w:qFormat/>
    <w:uiPriority w:val="34"/>
    <w:pPr>
      <w:spacing w:line="240" w:lineRule="auto"/>
      <w:ind w:firstLine="420"/>
    </w:pPr>
    <w:rPr>
      <w:rFonts w:ascii="等线" w:hAnsi="等线" w:eastAsia="等线" w:cs="宋体"/>
    </w:rPr>
  </w:style>
  <w:style w:type="character" w:customStyle="1" w:styleId="235">
    <w:name w:val="htd0"/>
    <w:basedOn w:val="192"/>
    <w:link w:val="1"/>
    <w:qFormat/>
    <w:uiPriority w:val="0"/>
  </w:style>
  <w:style w:type="paragraph" w:customStyle="1" w:styleId="236">
    <w:name w:val="附录1"/>
    <w:qFormat/>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customStyle="1" w:styleId="237">
    <w:name w:val="正文缩进 Char3"/>
    <w:link w:val="1"/>
    <w:qFormat/>
    <w:uiPriority w:val="0"/>
    <w:rPr>
      <w:rFonts w:ascii="Times New Roman" w:hAnsi="Times New Roman" w:eastAsia="宋体" w:cs="Times New Roman"/>
      <w:szCs w:val="24"/>
    </w:rPr>
  </w:style>
  <w:style w:type="character" w:customStyle="1" w:styleId="238">
    <w:name w:val="纯文本 Char"/>
    <w:link w:val="1"/>
    <w:semiHidden/>
    <w:qFormat/>
    <w:uiPriority w:val="99"/>
    <w:rPr>
      <w:rFonts w:ascii="宋体" w:hAnsi="Courier New" w:eastAsia="宋体" w:cs="Courier New"/>
      <w:szCs w:val="21"/>
    </w:rPr>
  </w:style>
  <w:style w:type="paragraph" w:customStyle="1" w:styleId="239">
    <w:name w:val="Andy_正文格式"/>
    <w:basedOn w:val="1"/>
    <w:qFormat/>
    <w:uiPriority w:val="0"/>
    <w:pPr>
      <w:spacing w:line="240" w:lineRule="auto"/>
      <w:ind w:firstLine="560"/>
      <w:jc w:val="left"/>
    </w:pPr>
    <w:rPr>
      <w:rFonts w:ascii="仿宋_GB2312" w:hAnsi="Times New Roman" w:eastAsia="仿宋_GB2312" w:cs="Times New Roman"/>
      <w:sz w:val="28"/>
      <w:szCs w:val="28"/>
    </w:rPr>
  </w:style>
  <w:style w:type="character" w:customStyle="1" w:styleId="240">
    <w:name w:val="p141"/>
    <w:link w:val="1"/>
    <w:qFormat/>
    <w:uiPriority w:val="0"/>
    <w:rPr>
      <w:rFonts w:ascii="Calibri" w:hAnsi="Calibri" w:eastAsia="宋体" w:cs="宋体"/>
      <w:sz w:val="21"/>
      <w:szCs w:val="21"/>
      <w:lang w:val="en-US" w:eastAsia="zh-CN" w:bidi="ar-SA"/>
    </w:rPr>
  </w:style>
  <w:style w:type="paragraph" w:customStyle="1" w:styleId="241">
    <w:name w:val="样式 宋体 五号 两端对齐 行距: 单倍行距"/>
    <w:basedOn w:val="1"/>
    <w:qFormat/>
    <w:uiPriority w:val="0"/>
    <w:pPr>
      <w:numPr>
        <w:ilvl w:val="0"/>
        <w:numId w:val="2"/>
      </w:numPr>
      <w:spacing w:line="240" w:lineRule="auto"/>
      <w:ind w:left="0" w:firstLine="0"/>
    </w:pPr>
    <w:rPr>
      <w:rFonts w:ascii="宋体" w:hAnsi="宋体" w:eastAsia="宋体" w:cs="宋体"/>
      <w:szCs w:val="20"/>
    </w:rPr>
  </w:style>
  <w:style w:type="paragraph" w:customStyle="1" w:styleId="242">
    <w:name w:val="样式1"/>
    <w:basedOn w:val="1"/>
    <w:qFormat/>
    <w:uiPriority w:val="0"/>
    <w:pPr>
      <w:numPr>
        <w:ilvl w:val="1"/>
        <w:numId w:val="3"/>
      </w:numPr>
      <w:spacing w:line="240" w:lineRule="auto"/>
    </w:pPr>
    <w:rPr>
      <w:rFonts w:ascii="宋体" w:hAnsi="宋体" w:eastAsia="宋体" w:cs="Times New Roman"/>
      <w:szCs w:val="21"/>
    </w:rPr>
  </w:style>
  <w:style w:type="paragraph" w:customStyle="1" w:styleId="243">
    <w:name w:val="Char"/>
    <w:basedOn w:val="1"/>
    <w:qFormat/>
    <w:uiPriority w:val="0"/>
    <w:pPr>
      <w:tabs>
        <w:tab w:val="left" w:pos="360"/>
      </w:tabs>
      <w:spacing w:line="240" w:lineRule="auto"/>
      <w:ind w:firstLine="200"/>
    </w:pPr>
    <w:rPr>
      <w:rFonts w:ascii="Times New Roman" w:hAnsi="Times New Roman" w:eastAsia="宋体" w:cs="Times New Roman"/>
      <w:sz w:val="28"/>
      <w:szCs w:val="30"/>
    </w:rPr>
  </w:style>
  <w:style w:type="paragraph" w:customStyle="1" w:styleId="244">
    <w:name w:val="列出段落3"/>
    <w:basedOn w:val="1"/>
    <w:qFormat/>
    <w:uiPriority w:val="99"/>
    <w:pPr>
      <w:spacing w:line="240" w:lineRule="auto"/>
      <w:ind w:firstLine="420"/>
    </w:pPr>
    <w:rPr>
      <w:rFonts w:ascii="Calibri" w:hAnsi="Calibri" w:eastAsia="宋体" w:cs="Times New Roman"/>
    </w:rPr>
  </w:style>
  <w:style w:type="paragraph" w:customStyle="1" w:styleId="245">
    <w:name w:val="列出段落1"/>
    <w:basedOn w:val="1"/>
    <w:qFormat/>
    <w:uiPriority w:val="0"/>
    <w:pPr>
      <w:spacing w:line="240" w:lineRule="auto"/>
      <w:ind w:firstLine="420"/>
    </w:pPr>
    <w:rPr>
      <w:rFonts w:ascii="Times New Roman" w:hAnsi="Times New Roman" w:eastAsia="宋体" w:cs="Times New Roman"/>
      <w:szCs w:val="24"/>
    </w:rPr>
  </w:style>
  <w:style w:type="paragraph" w:customStyle="1" w:styleId="246">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7">
    <w:name w:val="TOC 标题1"/>
    <w:basedOn w:val="188"/>
    <w:next w:val="1"/>
    <w:unhideWhenUsed/>
    <w:qFormat/>
    <w:uiPriority w:val="39"/>
    <w:pPr>
      <w:widowControl/>
      <w:spacing w:before="240" w:after="0" w:line="259" w:lineRule="auto"/>
      <w:jc w:val="left"/>
      <w:outlineLvl w:val="9"/>
    </w:pPr>
    <w:rPr>
      <w:rFonts w:ascii="Cambria" w:hAnsi="Cambria" w:eastAsia="宋体" w:cs="Times New Roman"/>
      <w:b w:val="0"/>
      <w:bCs w:val="0"/>
      <w:color w:val="365F91"/>
      <w:sz w:val="32"/>
      <w:szCs w:val="32"/>
    </w:rPr>
  </w:style>
  <w:style w:type="paragraph" w:customStyle="1" w:styleId="24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9">
    <w:name w:val="正文文本缩进_0"/>
    <w:basedOn w:val="248"/>
    <w:unhideWhenUsed/>
    <w:qFormat/>
    <w:uiPriority w:val="99"/>
    <w:pPr>
      <w:spacing w:after="120"/>
      <w:ind w:left="420"/>
    </w:pPr>
  </w:style>
  <w:style w:type="paragraph" w:customStyle="1" w:styleId="250">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51">
    <w:name w:val="titlebody"/>
    <w:basedOn w:val="34"/>
    <w:link w:val="1"/>
    <w:qFormat/>
    <w:uiPriority w:val="0"/>
    <w:rPr>
      <w:rFonts w:ascii="宋体" w:hAnsi="宋体" w:eastAsia="宋体" w:cs="宋体"/>
      <w:b/>
      <w:bCs/>
      <w:color w:val="000000"/>
      <w:sz w:val="24"/>
      <w:szCs w:val="24"/>
    </w:rPr>
  </w:style>
  <w:style w:type="paragraph" w:customStyle="1" w:styleId="252">
    <w:name w:val="Normal_0"/>
    <w:qFormat/>
    <w:uiPriority w:val="0"/>
    <w:rPr>
      <w:rFonts w:hint="default" w:ascii="Times New Roman" w:hAnsi="Times New Roman" w:eastAsia="Times New Roman" w:cs="Times New Roman"/>
      <w:sz w:val="24"/>
      <w:szCs w:val="24"/>
    </w:rPr>
  </w:style>
  <w:style w:type="paragraph" w:customStyle="1" w:styleId="253">
    <w:name w:val="Normal_1"/>
    <w:qFormat/>
    <w:uiPriority w:val="0"/>
    <w:rPr>
      <w:rFonts w:hint="default" w:ascii="Times New Roman" w:hAnsi="Times New Roman" w:eastAsia="Times New Roman" w:cs="Times New Roman"/>
      <w:sz w:val="24"/>
      <w:szCs w:val="24"/>
    </w:rPr>
  </w:style>
  <w:style w:type="paragraph" w:customStyle="1" w:styleId="254">
    <w:name w:val="Normal_2"/>
    <w:qFormat/>
    <w:uiPriority w:val="0"/>
    <w:rPr>
      <w:rFonts w:hint="default" w:ascii="Times New Roman" w:hAnsi="Times New Roman" w:eastAsia="Times New Roman" w:cs="Times New Roman"/>
      <w:sz w:val="24"/>
      <w:szCs w:val="24"/>
    </w:rPr>
  </w:style>
  <w:style w:type="paragraph" w:customStyle="1" w:styleId="255">
    <w:name w:val="Normal_3"/>
    <w:qFormat/>
    <w:uiPriority w:val="0"/>
    <w:rPr>
      <w:rFonts w:hint="default" w:ascii="Times New Roman" w:hAnsi="Times New Roman" w:eastAsia="Times New Roman" w:cs="Times New Roman"/>
      <w:sz w:val="24"/>
      <w:szCs w:val="24"/>
    </w:rPr>
  </w:style>
  <w:style w:type="paragraph" w:customStyle="1" w:styleId="256">
    <w:name w:val="Normal_4"/>
    <w:qFormat/>
    <w:uiPriority w:val="0"/>
    <w:rPr>
      <w:rFonts w:hint="default" w:ascii="Times New Roman" w:hAnsi="Times New Roman" w:eastAsia="Times New Roman" w:cs="Times New Roman"/>
      <w:sz w:val="24"/>
      <w:szCs w:val="24"/>
    </w:rPr>
  </w:style>
  <w:style w:type="paragraph" w:customStyle="1" w:styleId="257">
    <w:name w:val="Normal_5"/>
    <w:qFormat/>
    <w:uiPriority w:val="0"/>
    <w:rPr>
      <w:rFonts w:hint="default" w:ascii="Times New Roman" w:hAnsi="Times New Roman" w:eastAsia="Times New Roman" w:cs="Times New Roman"/>
      <w:sz w:val="24"/>
      <w:szCs w:val="24"/>
    </w:rPr>
  </w:style>
  <w:style w:type="paragraph" w:customStyle="1" w:styleId="258">
    <w:name w:val="Normal_6"/>
    <w:qFormat/>
    <w:uiPriority w:val="0"/>
    <w:rPr>
      <w:rFonts w:hint="default" w:ascii="Times New Roman" w:hAnsi="Times New Roman" w:eastAsia="Times New Roman" w:cs="Times New Roman"/>
      <w:sz w:val="24"/>
      <w:szCs w:val="24"/>
    </w:rPr>
  </w:style>
  <w:style w:type="paragraph" w:customStyle="1" w:styleId="259">
    <w:name w:val="Normal_0_0"/>
    <w:qFormat/>
    <w:uiPriority w:val="0"/>
    <w:rPr>
      <w:rFonts w:hint="default" w:ascii="Times New Roman" w:hAnsi="Times New Roman" w:eastAsia="Times New Roman" w:cs="Times New Roman"/>
      <w:sz w:val="24"/>
      <w:szCs w:val="24"/>
    </w:rPr>
  </w:style>
  <w:style w:type="paragraph" w:customStyle="1" w:styleId="260">
    <w:name w:val="Normal_1_0"/>
    <w:qFormat/>
    <w:uiPriority w:val="0"/>
    <w:rPr>
      <w:rFonts w:hint="default" w:ascii="Times New Roman" w:hAnsi="Times New Roman" w:eastAsia="Times New Roman" w:cs="Times New Roman"/>
      <w:sz w:val="24"/>
      <w:szCs w:val="24"/>
    </w:rPr>
  </w:style>
  <w:style w:type="paragraph" w:customStyle="1" w:styleId="261">
    <w:name w:val="Normal_2_0"/>
    <w:qFormat/>
    <w:uiPriority w:val="0"/>
    <w:rPr>
      <w:rFonts w:hint="default" w:ascii="Times New Roman" w:hAnsi="Times New Roman" w:eastAsia="Times New Roman" w:cs="Times New Roman"/>
      <w:sz w:val="24"/>
      <w:szCs w:val="24"/>
    </w:rPr>
  </w:style>
  <w:style w:type="paragraph" w:customStyle="1" w:styleId="262">
    <w:name w:val="Normal_3_0"/>
    <w:qFormat/>
    <w:uiPriority w:val="0"/>
    <w:rPr>
      <w:rFonts w:hint="default" w:ascii="Times New Roman" w:hAnsi="Times New Roman" w:eastAsia="Times New Roman" w:cs="Times New Roman"/>
      <w:sz w:val="24"/>
      <w:szCs w:val="24"/>
    </w:rPr>
  </w:style>
  <w:style w:type="paragraph" w:customStyle="1" w:styleId="263">
    <w:name w:val="Normal_4_0"/>
    <w:qFormat/>
    <w:uiPriority w:val="0"/>
    <w:rPr>
      <w:rFonts w:hint="default" w:ascii="Times New Roman" w:hAnsi="Times New Roman" w:eastAsia="Times New Roman" w:cs="Times New Roman"/>
      <w:sz w:val="24"/>
      <w:szCs w:val="24"/>
    </w:rPr>
  </w:style>
  <w:style w:type="paragraph" w:customStyle="1" w:styleId="264">
    <w:name w:val="Normal_5_0"/>
    <w:qFormat/>
    <w:uiPriority w:val="0"/>
    <w:rPr>
      <w:rFonts w:hint="default" w:ascii="Times New Roman" w:hAnsi="Times New Roman" w:eastAsia="Times New Roman" w:cs="Times New Roman"/>
      <w:sz w:val="24"/>
      <w:szCs w:val="24"/>
    </w:rPr>
  </w:style>
  <w:style w:type="paragraph" w:customStyle="1" w:styleId="265">
    <w:name w:val="Normal_6_0"/>
    <w:qFormat/>
    <w:uiPriority w:val="0"/>
    <w:rPr>
      <w:rFonts w:hint="default" w:ascii="Times New Roman" w:hAnsi="Times New Roman" w:eastAsia="Times New Roman" w:cs="Times New Roman"/>
      <w:sz w:val="24"/>
      <w:szCs w:val="24"/>
    </w:rPr>
  </w:style>
  <w:style w:type="paragraph" w:customStyle="1" w:styleId="266">
    <w:name w:val="正文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7">
    <w:name w:val="Normal_7"/>
    <w:qFormat/>
    <w:uiPriority w:val="0"/>
    <w:rPr>
      <w:rFonts w:hint="default" w:ascii="Times New Roman" w:hAnsi="Times New Roman" w:eastAsia="Times New Roman" w:cs="Times New Roman"/>
      <w:sz w:val="24"/>
      <w:szCs w:val="24"/>
    </w:rPr>
  </w:style>
  <w:style w:type="paragraph" w:customStyle="1" w:styleId="268">
    <w:name w:val="Normal_8"/>
    <w:qFormat/>
    <w:uiPriority w:val="0"/>
    <w:rPr>
      <w:rFonts w:hint="default" w:ascii="Times New Roman" w:hAnsi="Times New Roman" w:eastAsia="Times New Roman" w:cs="Times New Roman"/>
      <w:sz w:val="24"/>
      <w:szCs w:val="24"/>
    </w:rPr>
  </w:style>
  <w:style w:type="paragraph" w:customStyle="1" w:styleId="269">
    <w:name w:val="Normal_9"/>
    <w:qFormat/>
    <w:uiPriority w:val="0"/>
    <w:rPr>
      <w:rFonts w:hint="default" w:ascii="Times New Roman" w:hAnsi="Times New Roman" w:eastAsia="Times New Roman" w:cs="Times New Roman"/>
      <w:sz w:val="24"/>
      <w:szCs w:val="24"/>
    </w:rPr>
  </w:style>
  <w:style w:type="paragraph" w:customStyle="1" w:styleId="270">
    <w:name w:val="Normal_10"/>
    <w:qFormat/>
    <w:uiPriority w:val="0"/>
    <w:rPr>
      <w:rFonts w:hint="default" w:ascii="Times New Roman" w:hAnsi="Times New Roman" w:eastAsia="Times New Roman" w:cs="Times New Roman"/>
      <w:sz w:val="24"/>
      <w:szCs w:val="24"/>
    </w:rPr>
  </w:style>
  <w:style w:type="paragraph" w:customStyle="1" w:styleId="271">
    <w:name w:val="Normal_11"/>
    <w:qFormat/>
    <w:uiPriority w:val="0"/>
    <w:rPr>
      <w:rFonts w:hint="default" w:ascii="Times New Roman" w:hAnsi="Times New Roman" w:eastAsia="Times New Roman" w:cs="Times New Roman"/>
      <w:sz w:val="24"/>
      <w:szCs w:val="24"/>
    </w:rPr>
  </w:style>
  <w:style w:type="paragraph" w:customStyle="1" w:styleId="272">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3">
    <w:name w:val="Normal_12"/>
    <w:qFormat/>
    <w:uiPriority w:val="0"/>
    <w:rPr>
      <w:rFonts w:hint="default" w:ascii="Times New Roman" w:hAnsi="Times New Roman" w:eastAsia="Times New Roman" w:cs="Times New Roman"/>
      <w:sz w:val="24"/>
      <w:szCs w:val="24"/>
    </w:rPr>
  </w:style>
  <w:style w:type="paragraph" w:customStyle="1" w:styleId="274">
    <w:name w:val="Normal_14"/>
    <w:qFormat/>
    <w:uiPriority w:val="0"/>
    <w:rPr>
      <w:rFonts w:hint="default" w:ascii="Times New Roman" w:hAnsi="Times New Roman" w:eastAsia="Times New Roman" w:cs="Times New Roman"/>
      <w:sz w:val="24"/>
      <w:szCs w:val="24"/>
    </w:rPr>
  </w:style>
  <w:style w:type="paragraph" w:customStyle="1" w:styleId="275">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6">
    <w:name w:val="Normal_15"/>
    <w:qFormat/>
    <w:uiPriority w:val="0"/>
    <w:rPr>
      <w:rFonts w:hint="default" w:ascii="Times New Roman" w:hAnsi="Times New Roman" w:eastAsia="Times New Roman" w:cs="Times New Roman"/>
      <w:sz w:val="24"/>
      <w:szCs w:val="24"/>
    </w:rPr>
  </w:style>
  <w:style w:type="paragraph" w:customStyle="1" w:styleId="277">
    <w:name w:val="Normal_16"/>
    <w:qFormat/>
    <w:uiPriority w:val="0"/>
    <w:rPr>
      <w:rFonts w:hint="default" w:ascii="Times New Roman" w:hAnsi="Times New Roman" w:eastAsia="Times New Roman" w:cs="Times New Roman"/>
      <w:sz w:val="24"/>
      <w:szCs w:val="24"/>
    </w:rPr>
  </w:style>
  <w:style w:type="paragraph" w:customStyle="1" w:styleId="278">
    <w:name w:val="Normal_17"/>
    <w:qFormat/>
    <w:uiPriority w:val="0"/>
    <w:rPr>
      <w:rFonts w:hint="default" w:ascii="Times New Roman" w:hAnsi="Times New Roman" w:eastAsia="Times New Roman" w:cs="Times New Roman"/>
      <w:sz w:val="24"/>
      <w:szCs w:val="24"/>
    </w:rPr>
  </w:style>
  <w:style w:type="paragraph" w:customStyle="1" w:styleId="279">
    <w:name w:val="Normal_18"/>
    <w:qFormat/>
    <w:uiPriority w:val="0"/>
    <w:rPr>
      <w:rFonts w:hint="default" w:ascii="Times New Roman" w:hAnsi="Times New Roman" w:eastAsia="Times New Roman" w:cs="Times New Roman"/>
      <w:sz w:val="24"/>
      <w:szCs w:val="24"/>
    </w:rPr>
  </w:style>
  <w:style w:type="paragraph" w:customStyle="1" w:styleId="280">
    <w:name w:val="正文_8"/>
    <w:next w:val="28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1">
    <w:name w:val="正文1_0"/>
    <w:basedOn w:val="282"/>
    <w:next w:val="283"/>
    <w:qFormat/>
    <w:uiPriority w:val="0"/>
    <w:pPr>
      <w:spacing w:line="360" w:lineRule="auto"/>
      <w:ind w:firstLine="482"/>
    </w:pPr>
    <w:rPr>
      <w:sz w:val="24"/>
    </w:rPr>
  </w:style>
  <w:style w:type="paragraph" w:customStyle="1" w:styleId="282">
    <w:name w:val="正文111_0"/>
    <w:next w:val="28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3">
    <w:name w:val="正文文本1_1"/>
    <w:next w:val="284"/>
    <w:qFormat/>
    <w:uiPriority w:val="0"/>
    <w:pPr>
      <w:keepLines/>
      <w:spacing w:after="120" w:line="220" w:lineRule="atLeast"/>
    </w:pPr>
    <w:rPr>
      <w:rFonts w:hint="default" w:ascii="宋体" w:hAnsi="Times New Roman" w:eastAsia="宋体" w:cs="Times New Roman"/>
      <w:lang w:val="en-GB" w:eastAsia="zh-CN" w:bidi="ar-SA"/>
    </w:rPr>
  </w:style>
  <w:style w:type="paragraph" w:customStyle="1" w:styleId="284">
    <w:name w:val="一级条标题_1"/>
    <w:basedOn w:val="285"/>
    <w:next w:val="28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85">
    <w:name w:val="章标题_1"/>
    <w:next w:val="28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86">
    <w:name w:val="段_1"/>
    <w:basedOn w:val="287"/>
    <w:next w:val="281"/>
    <w:qFormat/>
    <w:uiPriority w:val="0"/>
    <w:pPr>
      <w:widowControl/>
      <w:ind w:firstLine="200"/>
    </w:pPr>
    <w:rPr>
      <w:rFonts w:hint="eastAsia" w:ascii="宋体"/>
      <w:sz w:val="20"/>
      <w:szCs w:val="20"/>
    </w:rPr>
  </w:style>
  <w:style w:type="paragraph" w:customStyle="1" w:styleId="287">
    <w:name w:val="正文_8_0"/>
    <w:next w:val="281"/>
    <w:qFormat/>
    <w:uiPriority w:val="0"/>
    <w:rPr>
      <w:rFonts w:hint="default" w:ascii="Times New Roman" w:hAnsi="Times New Roman" w:eastAsia="宋体" w:cs="Times New Roman"/>
      <w:sz w:val="24"/>
      <w:szCs w:val="24"/>
      <w:lang w:val="en-US" w:eastAsia="zh-CN" w:bidi="ar-SA"/>
    </w:rPr>
  </w:style>
  <w:style w:type="paragraph" w:customStyle="1" w:styleId="288">
    <w:name w:val="Normal_19"/>
    <w:qFormat/>
    <w:uiPriority w:val="0"/>
    <w:rPr>
      <w:rFonts w:hint="default" w:ascii="Times New Roman" w:hAnsi="Times New Roman" w:eastAsia="Times New Roman" w:cs="Times New Roman"/>
      <w:sz w:val="24"/>
      <w:szCs w:val="24"/>
    </w:rPr>
  </w:style>
  <w:style w:type="paragraph" w:customStyle="1" w:styleId="289">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0">
    <w:name w:val="Normal_20"/>
    <w:qFormat/>
    <w:uiPriority w:val="0"/>
    <w:rPr>
      <w:rFonts w:hint="default" w:ascii="Times New Roman" w:hAnsi="Times New Roman" w:eastAsia="Times New Roman" w:cs="Times New Roman"/>
      <w:sz w:val="24"/>
      <w:szCs w:val="24"/>
    </w:rPr>
  </w:style>
  <w:style w:type="paragraph" w:customStyle="1" w:styleId="291">
    <w:name w:val="正文_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2">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3">
    <w:name w:val="Normal_21"/>
    <w:qFormat/>
    <w:uiPriority w:val="0"/>
    <w:rPr>
      <w:rFonts w:hint="default" w:ascii="Times New Roman" w:hAnsi="Times New Roman" w:eastAsia="Times New Roman" w:cs="Times New Roman"/>
      <w:sz w:val="24"/>
      <w:szCs w:val="24"/>
    </w:rPr>
  </w:style>
  <w:style w:type="paragraph" w:customStyle="1" w:styleId="294">
    <w:name w:val="正文_1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5">
    <w:name w:val="正文_1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6">
    <w:name w:val="Normal_22"/>
    <w:qFormat/>
    <w:uiPriority w:val="0"/>
    <w:rPr>
      <w:rFonts w:hint="default" w:ascii="Times New Roman" w:hAnsi="Times New Roman" w:eastAsia="Times New Roman" w:cs="Times New Roman"/>
      <w:sz w:val="24"/>
      <w:szCs w:val="24"/>
    </w:rPr>
  </w:style>
  <w:style w:type="paragraph" w:customStyle="1" w:styleId="297">
    <w:name w:val="正文_1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8">
    <w:name w:val="Normal_23"/>
    <w:qFormat/>
    <w:uiPriority w:val="0"/>
    <w:rPr>
      <w:rFonts w:hint="default" w:ascii="Times New Roman" w:hAnsi="Times New Roman" w:eastAsia="Times New Roman" w:cs="Times New Roman"/>
      <w:sz w:val="24"/>
      <w:szCs w:val="24"/>
    </w:rPr>
  </w:style>
  <w:style w:type="paragraph" w:customStyle="1" w:styleId="299">
    <w:name w:val="Normal_24"/>
    <w:qFormat/>
    <w:uiPriority w:val="0"/>
    <w:rPr>
      <w:rFonts w:hint="default" w:ascii="Times New Roman" w:hAnsi="Times New Roman" w:eastAsia="Times New Roman" w:cs="Times New Roman"/>
      <w:sz w:val="24"/>
      <w:szCs w:val="24"/>
    </w:rPr>
  </w:style>
  <w:style w:type="paragraph" w:customStyle="1" w:styleId="300">
    <w:name w:val="Normal_25"/>
    <w:qFormat/>
    <w:uiPriority w:val="0"/>
    <w:rPr>
      <w:rFonts w:hint="default" w:ascii="Times New Roman" w:hAnsi="Times New Roman" w:eastAsia="Times New Roman" w:cs="Times New Roman"/>
      <w:sz w:val="24"/>
      <w:szCs w:val="24"/>
    </w:rPr>
  </w:style>
  <w:style w:type="paragraph" w:customStyle="1" w:styleId="301">
    <w:name w:val="Normal_25_0"/>
    <w:qFormat/>
    <w:uiPriority w:val="0"/>
    <w:rPr>
      <w:rFonts w:hint="default" w:ascii="Times New Roman" w:hAnsi="Times New Roman" w:eastAsia="Times New Roman" w:cs="Times New Roman"/>
      <w:sz w:val="24"/>
      <w:szCs w:val="24"/>
    </w:rPr>
  </w:style>
  <w:style w:type="paragraph" w:customStyle="1" w:styleId="302">
    <w:name w:val="Table Paragraph"/>
    <w:basedOn w:val="303"/>
    <w:qFormat/>
    <w:uiPriority w:val="1"/>
    <w:rPr>
      <w:rFonts w:ascii="宋体" w:hAnsi="宋体" w:eastAsia="宋体" w:cs="宋体"/>
      <w:lang w:val="zh-CN" w:eastAsia="zh-CN" w:bidi="zh-CN"/>
    </w:rPr>
  </w:style>
  <w:style w:type="paragraph" w:customStyle="1" w:styleId="303">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4">
    <w:name w:val="正文_1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5">
    <w:name w:val="Normal_26"/>
    <w:qFormat/>
    <w:uiPriority w:val="0"/>
    <w:rPr>
      <w:rFonts w:hint="default" w:ascii="Times New Roman" w:hAnsi="Times New Roman" w:eastAsia="Times New Roman" w:cs="Times New Roman"/>
      <w:sz w:val="24"/>
      <w:szCs w:val="24"/>
    </w:rPr>
  </w:style>
  <w:style w:type="paragraph" w:customStyle="1" w:styleId="306">
    <w:name w:val="Normal_27"/>
    <w:qFormat/>
    <w:uiPriority w:val="0"/>
    <w:rPr>
      <w:rFonts w:hint="default" w:ascii="Times New Roman" w:hAnsi="Times New Roman" w:eastAsia="Times New Roman" w:cs="Times New Roman"/>
      <w:sz w:val="24"/>
      <w:szCs w:val="24"/>
    </w:rPr>
  </w:style>
  <w:style w:type="paragraph" w:customStyle="1" w:styleId="307">
    <w:name w:val="正文_1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8">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9">
    <w:name w:val="Normal_28"/>
    <w:qFormat/>
    <w:uiPriority w:val="0"/>
    <w:rPr>
      <w:rFonts w:hint="default" w:ascii="Times New Roman" w:hAnsi="Times New Roman" w:eastAsia="Times New Roman" w:cs="Times New Roman"/>
      <w:sz w:val="24"/>
      <w:szCs w:val="24"/>
    </w:rPr>
  </w:style>
  <w:style w:type="paragraph" w:customStyle="1" w:styleId="310">
    <w:name w:val="样式2"/>
    <w:basedOn w:val="1"/>
    <w:next w:val="1"/>
    <w:qFormat/>
    <w:uiPriority w:val="0"/>
    <w:pPr>
      <w:keepNext/>
      <w:keepLines/>
      <w:spacing w:before="50" w:after="50" w:line="360" w:lineRule="auto"/>
      <w:jc w:val="left"/>
      <w:outlineLvl w:val="1"/>
    </w:pPr>
    <w:rPr>
      <w:rFonts w:hint="eastAsia" w:ascii="宋体" w:hAnsi="宋体" w:eastAsia="宋体" w:cs="Times New Roman"/>
      <w:color w:val="000000"/>
      <w:sz w:val="24"/>
      <w:szCs w:val="20"/>
    </w:rPr>
  </w:style>
  <w:style w:type="character" w:customStyle="1" w:styleId="311">
    <w:name w:val="titlebody_0"/>
    <w:basedOn w:val="192"/>
    <w:link w:val="1"/>
    <w:qFormat/>
    <w:uiPriority w:val="0"/>
    <w:rPr>
      <w:rFonts w:ascii="宋体" w:hAnsi="宋体" w:eastAsia="宋体" w:cs="宋体"/>
      <w:b/>
      <w:bCs/>
      <w:color w:val="000000"/>
      <w:sz w:val="24"/>
      <w:szCs w:val="24"/>
    </w:rPr>
  </w:style>
  <w:style w:type="paragraph" w:customStyle="1" w:styleId="312">
    <w:name w:val="正文文本_2"/>
    <w:basedOn w:val="280"/>
    <w:next w:val="280"/>
    <w:qFormat/>
    <w:uiPriority w:val="99"/>
    <w:rPr>
      <w:rFonts w:ascii="楷体_GB2312" w:hAnsi="Arial" w:eastAsia="楷体_GB2312"/>
      <w:sz w:val="28"/>
      <w:szCs w:val="28"/>
    </w:rPr>
  </w:style>
  <w:style w:type="paragraph" w:customStyle="1" w:styleId="313">
    <w:name w:val="Normal_29"/>
    <w:qFormat/>
    <w:uiPriority w:val="0"/>
    <w:rPr>
      <w:rFonts w:hint="default" w:ascii="Times New Roman" w:hAnsi="Times New Roman" w:eastAsia="Times New Roman" w:cs="Times New Roman"/>
      <w:sz w:val="24"/>
      <w:szCs w:val="24"/>
    </w:rPr>
  </w:style>
  <w:style w:type="paragraph" w:customStyle="1" w:styleId="314">
    <w:name w:val="正文_0_0"/>
    <w:next w:val="3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正文文本_0"/>
    <w:basedOn w:val="248"/>
    <w:next w:val="316"/>
    <w:qFormat/>
    <w:uiPriority w:val="99"/>
    <w:rPr>
      <w:rFonts w:ascii="楷体_GB2312" w:hAnsi="Arial" w:eastAsia="楷体_GB2312"/>
      <w:sz w:val="28"/>
      <w:szCs w:val="28"/>
    </w:rPr>
  </w:style>
  <w:style w:type="paragraph" w:customStyle="1" w:styleId="316">
    <w:name w:val="正文_6_0"/>
    <w:next w:val="3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Table Text"/>
    <w:basedOn w:val="1"/>
    <w:semiHidden/>
    <w:qFormat/>
    <w:uiPriority w:val="0"/>
    <w:rPr>
      <w:rFonts w:ascii="宋体" w:hAnsi="宋体" w:eastAsia="宋体" w:cs="宋体"/>
      <w:sz w:val="21"/>
      <w:szCs w:val="21"/>
      <w:lang w:val="en-US" w:eastAsia="en-US" w:bidi="ar-SA"/>
    </w:rPr>
  </w:style>
  <w:style w:type="table" w:customStyle="1" w:styleId="318">
    <w:name w:val="Table Normal"/>
    <w:semiHidden/>
    <w:unhideWhenUsed/>
    <w:qFormat/>
    <w:uiPriority w:val="0"/>
    <w:tblPr>
      <w:tblCellMar>
        <w:top w:w="0" w:type="dxa"/>
        <w:left w:w="0" w:type="dxa"/>
        <w:bottom w:w="0" w:type="dxa"/>
        <w:right w:w="0" w:type="dxa"/>
      </w:tblCellMar>
    </w:tblPr>
  </w:style>
  <w:style w:type="paragraph" w:customStyle="1" w:styleId="319">
    <w:name w:val="_Style 5"/>
    <w:basedOn w:val="2"/>
    <w:next w:val="1"/>
    <w:qFormat/>
    <w:uiPriority w:val="0"/>
    <w:pPr>
      <w:outlineLvl w:val="9"/>
    </w:pPr>
  </w:style>
  <w:style w:type="paragraph" w:customStyle="1" w:styleId="320">
    <w:name w:val="Heading 2"/>
    <w:basedOn w:val="252"/>
    <w:next w:val="252"/>
    <w:qFormat/>
    <w:uiPriority w:val="99"/>
    <w:pPr>
      <w:keepNext/>
      <w:keepLines/>
      <w:spacing w:before="260" w:after="260" w:line="416" w:lineRule="auto"/>
      <w:jc w:val="center"/>
      <w:outlineLvl w:val="1"/>
    </w:pPr>
    <w:rPr>
      <w:rFonts w:ascii="幼圆" w:hAnsi="Arial" w:eastAsia="楷体_GB2312"/>
      <w:b/>
      <w:sz w:val="24"/>
      <w:szCs w:val="20"/>
    </w:rPr>
  </w:style>
  <w:style w:type="character" w:customStyle="1" w:styleId="321">
    <w:name w:val="active15"/>
    <w:basedOn w:val="34"/>
    <w:qFormat/>
    <w:uiPriority w:val="0"/>
    <w:rPr>
      <w:color w:val="FFFFFF"/>
      <w:shd w:val="clear" w:color="auto" w:fill="0F5BB9"/>
    </w:rPr>
  </w:style>
  <w:style w:type="paragraph" w:customStyle="1" w:styleId="322">
    <w:name w:val="正文文本 21"/>
    <w:basedOn w:val="1"/>
    <w:qFormat/>
    <w:uiPriority w:val="99"/>
    <w:pPr>
      <w:widowControl/>
      <w:jc w:val="center"/>
    </w:pPr>
    <w:rPr>
      <w:sz w:val="20"/>
    </w:rPr>
  </w:style>
  <w:style w:type="character" w:customStyle="1" w:styleId="323">
    <w:name w:val="active16"/>
    <w:basedOn w:val="34"/>
    <w:qFormat/>
    <w:uiPriority w:val="0"/>
    <w:rPr>
      <w:color w:val="FFFFFF"/>
      <w:shd w:val="clear" w:color="auto" w:fill="0F5BB9"/>
    </w:rPr>
  </w:style>
  <w:style w:type="paragraph" w:customStyle="1" w:styleId="324">
    <w:name w:val="样式 标题 2 + Times New Roman 四号 非加粗 段前: 5 磅 段后: 0 磅 行距: 固定值 20..."/>
    <w:basedOn w:val="3"/>
    <w:qFormat/>
    <w:uiPriority w:val="0"/>
    <w:pPr>
      <w:spacing w:before="100" w:after="0" w:line="400" w:lineRule="exact"/>
    </w:pPr>
    <w:rPr>
      <w:rFonts w:ascii="Times New Roman" w:hAnsi="Times New Roman" w:cs="宋体"/>
      <w:sz w:val="28"/>
      <w:szCs w:val="20"/>
    </w:rPr>
  </w:style>
  <w:style w:type="paragraph" w:customStyle="1" w:styleId="325">
    <w:name w:val="Heading 3"/>
    <w:basedOn w:val="1"/>
    <w:next w:val="1"/>
    <w:qFormat/>
    <w:uiPriority w:val="0"/>
    <w:pPr>
      <w:keepNext/>
      <w:keepLines/>
      <w:spacing w:before="260" w:after="260" w:line="416" w:lineRule="auto"/>
      <w:outlineLvl w:val="2"/>
    </w:pPr>
    <w:rPr>
      <w:b/>
      <w:sz w:val="32"/>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Company>
  <Pages>82</Pages>
  <Words>14354</Words>
  <Characters>15326</Characters>
  <TotalTime>0</TotalTime>
  <ScaleCrop>false</ScaleCrop>
  <LinksUpToDate>false</LinksUpToDate>
  <CharactersWithSpaces>15591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2022-05-06T02:12:00Z</dcterms:created>
  <dc:creator>12</dc:creator>
  <cp:lastModifiedBy>小邓</cp:lastModifiedBy>
  <dcterms:modified xsi:type="dcterms:W3CDTF">2026-06-05T01:56:27Z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9C1D45F636DD43BDA70C84ED6BA4A94D_13</vt:lpwstr>
  </property>
  <property fmtid="{D5CDD505-2E9C-101B-9397-08002B2CF9AE}" pid="4" name="KSOTemplateDocerSaveRecord">
    <vt:lpwstr>eyJoZGlkIjoiYmQ3OWRhYTcyOTI5MWY4NmFhOTg1YjlmMGNjZmYzMGEiLCJ1c2VySWQiOiIxMTUwNzEzNjc1In0=</vt:lpwstr>
  </property>
</Properties>
</file>