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78"/>
        <w:rPr>
          <w:rFonts w:hint="eastAsia"/>
        </w:rPr>
      </w:pPr>
      <w:r>
        <w:rPr>
          <w:rFonts w:hint="eastAsia"/>
        </w:rPr>
      </w:r>
      <w:r/>
    </w:p>
    <w:p>
      <w:pPr>
        <w:pStyle w:val="91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1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：南通市启秀中学滨江校区报告厅设备采购项目</w:t>
      </w:r>
      <w:r>
        <w:rPr>
          <w:rFonts w:hint="eastAsia" w:ascii="Arial" w:hAnsi="Arial" w:eastAsia="宋体" w:cs="Times New Roman"/>
          <w:b/>
          <w:bCs/>
          <w:color w:val="000000"/>
          <w:sz w:val="32"/>
          <w:szCs w:val="24"/>
        </w:rPr>
      </w:r>
      <w:r/>
    </w:p>
    <w:p>
      <w:pPr>
        <w:pStyle w:val="91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rPr>
        <w:t xml:space="preserve">JSZC-320600-JZCG-G2026-0053</w:t>
      </w:r>
      <w:r>
        <w:rPr>
          <w:rFonts w:hint="eastAsia" w:ascii="Arial" w:hAnsi="Arial" w:eastAsia="宋体" w:cs="Times New Roman"/>
          <w:b/>
          <w:bCs/>
          <w:color w:val="000000"/>
          <w:sz w:val="32"/>
          <w:szCs w:val="24"/>
        </w:rPr>
      </w:r>
      <w:r/>
    </w:p>
    <w:p>
      <w:pPr>
        <w:pStyle w:val="91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91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1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1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1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1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1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color w:val="000000"/>
          <w:sz w:val="28"/>
          <w:szCs w:val="28"/>
        </w:rPr>
        <w:t xml:space="preserve">[南通市启秀中学]</w:t>
      </w:r>
      <w:r>
        <w:rPr>
          <w:rFonts w:ascii="Times New Roman" w:hAnsi="Times New Roman" w:eastAsia="方正仿宋_GBK" w:cs="Times New Roman"/>
          <w:color w:val="000000"/>
          <w:sz w:val="28"/>
          <w:szCs w:val="28"/>
        </w:rPr>
        <w:t xml:space="preserve">的委托，南通市</w:t>
      </w:r>
      <w:r>
        <w:rPr>
          <w:rFonts w:ascii="Times New Roman" w:hAnsi="Times New Roman" w:eastAsia="方正仿宋_GBK" w:cs="Times New Roman"/>
          <w:color w:val="000000"/>
          <w:sz w:val="28"/>
          <w:szCs w:val="28"/>
          <w:lang w:val="en-US" w:eastAsia="zh-CN"/>
        </w:rPr>
        <w:t xml:space="preserve">公共资源交易中心</w:t>
      </w:r>
      <w:r>
        <w:rPr>
          <w:rFonts w:ascii="Times New Roman" w:hAnsi="Times New Roman" w:eastAsia="方正仿宋_GBK" w:cs="Times New Roman"/>
          <w:color w:val="000000"/>
          <w:sz w:val="28"/>
          <w:szCs w:val="28"/>
        </w:rPr>
        <w:t xml:space="preserve">就</w:t>
      </w:r>
      <w:r>
        <w:rPr>
          <w:rFonts w:ascii="Times New Roman" w:hAnsi="Times New Roman" w:eastAsia="方正仿宋_GBK" w:cs="Times New Roman"/>
          <w:i/>
          <w:color w:val="000000"/>
          <w:sz w:val="28"/>
          <w:szCs w:val="28"/>
        </w:rPr>
        <w:t xml:space="preserve">[南通市启秀中学滨江校区报告厅设备采购项目]([JSZC-320600-JZCG-G2026-0053])</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color w:val="000000"/>
          <w:sz w:val="28"/>
          <w:szCs w:val="28"/>
          <w:u w:val="single"/>
        </w:rPr>
        <w:t xml:space="preserve">南通市启秀中学滨江校区报告厅设备采购项目</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  </w:t>
      </w:r>
      <w:r>
        <w:rPr>
          <w:rFonts w:hint="eastAsia" w:ascii="Times New Roman" w:hAnsi="Times New Roman" w:eastAsia="方正仿宋_GBK" w:cs="Times New Roman"/>
          <w:bCs/>
          <w:color w:val="000000" w:themeColor="text1"/>
          <w:sz w:val="28"/>
          <w:szCs w:val="28"/>
          <w:u w:val="single"/>
          <w:lang w:val="en-US" w:eastAsia="zh-CN"/>
        </w:rPr>
        <w:t xml:space="preserve">7</w:t>
      </w:r>
      <w:r>
        <w:rPr>
          <w:rFonts w:ascii="Times New Roman" w:hAnsi="Times New Roman" w:eastAsia="方正仿宋_GBK" w:cs="Times New Roman"/>
          <w:bCs/>
          <w:color w:val="000000" w:themeColor="text1"/>
          <w:sz w:val="28"/>
          <w:szCs w:val="28"/>
          <w:u w:val="single"/>
        </w:rPr>
        <w:t xml:space="preserve">月15日</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sz w:val="28"/>
          <w:szCs w:val="28"/>
          <w:u w:val="single"/>
        </w:rPr>
        <w:t xml:space="preserve">（</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35393621"/>
      <w:r/>
      <w:bookmarkStart w:id="7" w:name="_Toc38985263"/>
      <w:r/>
      <w:bookmarkStart w:id="8" w:name="_Toc28359079"/>
      <w:r/>
      <w:bookmarkStart w:id="9" w:name="_Toc35393790"/>
      <w:r/>
      <w:bookmarkStart w:id="10" w:name="_Toc28359002"/>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1.项目编号：JSZC-320600-JZCG-G2026-0053</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2.项目名称：南通市启秀中学滨江校区报告厅设备采购项目</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lang w:val="en-US" w:eastAsia="zh-CN"/>
        </w:rPr>
      </w:pPr>
      <w:r/>
      <w:bookmarkEnd w:id="11"/>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218万</w:t>
      </w:r>
      <w:r>
        <w:rPr>
          <w:rFonts w:ascii="Times New Roman" w:hAnsi="Times New Roman" w:eastAsia="方正仿宋_GBK" w:cs="Times New Roman"/>
          <w:color w:val="000000"/>
          <w:sz w:val="28"/>
          <w:szCs w:val="28"/>
          <w:lang w:val="en-US" w:eastAsia="zh-CN"/>
        </w:rPr>
      </w:r>
      <w:r/>
    </w:p>
    <w:p>
      <w:pPr>
        <w:pStyle w:val="911"/>
        <w:ind w:firstLine="560"/>
        <w:spacing w:line="480" w:lineRule="exact"/>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4.最高限价：</w:t>
      </w:r>
      <w:r>
        <w:rPr>
          <w:rFonts w:hint="eastAsia" w:ascii="Times New Roman" w:hAnsi="Times New Roman" w:eastAsia="方正仿宋_GBK" w:cs="Times New Roman"/>
          <w:color w:val="000000"/>
          <w:sz w:val="28"/>
          <w:szCs w:val="28"/>
          <w:lang w:val="en-US" w:eastAsia="zh-CN"/>
        </w:rPr>
        <w:t xml:space="preserve">218万</w:t>
      </w:r>
      <w:r>
        <w:rPr>
          <w:rFonts w:ascii="Times New Roman" w:hAnsi="Times New Roman" w:eastAsia="方正仿宋_GBK" w:cs="Times New Roman"/>
          <w:color w:val="000000"/>
          <w:sz w:val="28"/>
          <w:szCs w:val="28"/>
          <w:lang w:val="en-US" w:eastAsia="zh-CN"/>
        </w:rPr>
      </w:r>
      <w:r/>
    </w:p>
    <w:p>
      <w:pPr>
        <w:pStyle w:val="91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6.合同履行期限：</w:t>
      </w:r>
      <w:r>
        <w:rPr>
          <w:rFonts w:hint="eastAsia" w:ascii="Times New Roman" w:hAnsi="Times New Roman" w:eastAsia="方正仿宋_GBK" w:cs="Times New Roman"/>
          <w:color w:val="000000"/>
          <w:sz w:val="28"/>
          <w:szCs w:val="28"/>
        </w:rPr>
        <w:t xml:space="preserve">合同签订后60个日历天内完成交付，并通过验收。</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8985264"/>
      <w:r/>
      <w:bookmarkStart w:id="13" w:name="_Toc35393622"/>
      <w:r/>
      <w:bookmarkStart w:id="14" w:name="_Toc28359080"/>
      <w:r/>
      <w:bookmarkStart w:id="15" w:name="_Toc35393791"/>
      <w:r/>
      <w:bookmarkStart w:id="16" w:name="_Toc28359003"/>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bookmarkStart w:id="17" w:name="_Toc28359081"/>
      <w:r/>
      <w:bookmarkStart w:id="18" w:name="_Toc35393792"/>
      <w:r/>
      <w:bookmarkStart w:id="19" w:name="_Toc35393623"/>
      <w:r/>
      <w:bookmarkStart w:id="20" w:name="_Toc28359004"/>
      <w:r/>
      <w:bookmarkStart w:id="21" w:name="_Toc38985265"/>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3.落实政府采购政策需满足的资格要求：</w:t>
      </w:r>
      <w:r>
        <w:rPr>
          <w:rFonts w:ascii="Times New Roman" w:hAnsi="Times New Roman" w:eastAsia="方正仿宋_GBK" w:cs="Times New Roman"/>
          <w:color w:val="000000"/>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color w:val="000000"/>
          <w:sz w:val="28"/>
          <w:szCs w:val="28"/>
        </w:rPr>
        <w:t xml:space="preserve">4.</w:t>
      </w:r>
      <w:r>
        <w:rPr>
          <w:rFonts w:hint="eastAsia" w:ascii="Times New Roman" w:hAnsi="Times New Roman" w:eastAsia="方正仿宋_GBK" w:cs="Times New Roman"/>
          <w:color w:val="000000"/>
          <w:sz w:val="28"/>
          <w:szCs w:val="28"/>
          <w:lang w:val="en-US" w:eastAsia="zh-CN"/>
        </w:rPr>
        <w:t xml:space="preserve">本项目不接受</w:t>
      </w:r>
      <w:r>
        <w:rPr>
          <w:rFonts w:ascii="Times New Roman" w:hAnsi="Times New Roman" w:eastAsia="方正仿宋_GBK" w:cs="Times New Roman"/>
          <w:color w:val="000000"/>
          <w:sz w:val="28"/>
          <w:szCs w:val="28"/>
        </w:rPr>
        <w:t xml:space="preserve">联合体投标。</w:t>
      </w:r>
      <w:r>
        <w:rPr>
          <w:rFonts w:ascii="Times New Roman" w:hAnsi="Times New Roman" w:eastAsia="方正仿宋_GBK" w:cs="Times New Roman"/>
          <w:i/>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5.本项目不接受分包。</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911"/>
        <w:ind w:firstLine="540"/>
        <w:spacing w:line="480" w:lineRule="exact"/>
        <w:rPr>
          <w:rFonts w:ascii="Times New Roman" w:hAnsi="Times New Roman" w:eastAsia="方正仿宋_GBK" w:cs="Times New Roman"/>
          <w:color w:val="000000"/>
          <w:sz w:val="28"/>
          <w:szCs w:val="28"/>
        </w:rPr>
      </w:pPr>
      <w:r/>
      <w:bookmarkStart w:id="22" w:name="_Toc28359005"/>
      <w:r/>
      <w:bookmarkStart w:id="23" w:name="_Toc28359082"/>
      <w:r/>
      <w:bookmarkStart w:id="24" w:name="_Toc35393793"/>
      <w:r/>
      <w:bookmarkStart w:id="25" w:name="_Toc38985266"/>
      <w:r/>
      <w:bookmarkStart w:id="26" w:name="_Toc35393624"/>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91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bCs/>
          <w:color w:val="000000"/>
          <w:sz w:val="28"/>
          <w:szCs w:val="28"/>
          <w:u w:val="single"/>
        </w:rPr>
        <w:t xml:space="preserve">1. </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0</w:t>
      </w:r>
      <w:r>
        <w:rPr>
          <w:rFonts w:hint="eastAsia" w:ascii="Times New Roman" w:hAnsi="Times New Roman" w:eastAsia="方正仿宋_GBK" w:cs="Times New Roman"/>
          <w:bCs/>
          <w:color w:val="000000" w:themeColor="text1"/>
          <w:sz w:val="28"/>
          <w:szCs w:val="28"/>
          <w:u w:val="single"/>
          <w:lang w:val="en-US" w:eastAsia="zh-CN"/>
        </w:rPr>
        <w:t xml:space="preserve">26</w:t>
      </w:r>
      <w:r>
        <w:rPr>
          <w:rFonts w:ascii="Times New Roman" w:hAnsi="Times New Roman" w:eastAsia="方正仿宋_GBK" w:cs="Times New Roman"/>
          <w:bCs/>
          <w:color w:val="000000" w:themeColor="text1"/>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7</w:t>
      </w:r>
      <w:r>
        <w:rPr>
          <w:rFonts w:ascii="Times New Roman" w:hAnsi="Times New Roman" w:eastAsia="方正仿宋_GBK" w:cs="Times New Roman"/>
          <w:bCs/>
          <w:color w:val="000000" w:themeColor="text1"/>
          <w:sz w:val="28"/>
          <w:szCs w:val="28"/>
          <w:u w:val="single"/>
        </w:rPr>
        <w:t xml:space="preserve">月15日</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themeColor="text1"/>
          <w:sz w:val="28"/>
          <w:szCs w:val="28"/>
        </w:rPr>
        <w:t xml:space="preserve">（北京时间）。</w:t>
      </w:r>
      <w:r>
        <w:rPr>
          <w:rFonts w:ascii="Times New Roman" w:hAnsi="Times New Roman" w:eastAsia="方正仿宋_GBK" w:cs="Times New Roman"/>
          <w:i/>
          <w:color w:val="000000" w:themeColor="text1"/>
          <w:sz w:val="28"/>
          <w:szCs w:val="28"/>
        </w:rPr>
      </w:r>
      <w:r/>
    </w:p>
    <w:p>
      <w:pPr>
        <w:pStyle w:val="91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35393625"/>
      <w:r/>
      <w:bookmarkStart w:id="28" w:name="_Toc28359084"/>
      <w:r/>
      <w:bookmarkStart w:id="29" w:name="_Toc38985267"/>
      <w:r/>
      <w:bookmarkStart w:id="30" w:name="_Toc28359007"/>
      <w:r/>
      <w:bookmarkStart w:id="31" w:name="_Toc35393794"/>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bookmarkStart w:id="32" w:name="_Toc35393795"/>
      <w:r/>
      <w:bookmarkStart w:id="33" w:name="_Toc35393626"/>
      <w:r/>
      <w:bookmarkStart w:id="34" w:name="_Toc38985268"/>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color w:val="000000"/>
          <w:sz w:val="28"/>
          <w:szCs w:val="28"/>
          <w:highlight w:val="none"/>
        </w:rPr>
        <w:t xml:space="preserve">1.</w:t>
      </w:r>
      <w:r>
        <w:rPr>
          <w:rFonts w:ascii="Times New Roman" w:hAnsi="Times New Roman" w:eastAsia="方正仿宋_GBK" w:cs="Times New Roman"/>
          <w:sz w:val="28"/>
          <w:szCs w:val="28"/>
          <w:highlight w:val="none"/>
        </w:rPr>
        <w:t xml:space="preserve"> 投标保证金：免收</w:t>
      </w:r>
      <w:r>
        <w:rPr>
          <w:rFonts w:ascii="Times New Roman" w:hAnsi="Times New Roman" w:eastAsia="方正仿宋_GBK" w:cs="Times New Roman"/>
          <w:sz w:val="28"/>
          <w:szCs w:val="28"/>
          <w:highlight w:val="none"/>
        </w:rPr>
      </w:r>
      <w:r/>
    </w:p>
    <w:p>
      <w:pPr>
        <w:pStyle w:val="911"/>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2. 项目演示、样品、答辩等：</w:t>
      </w:r>
      <w:r>
        <w:rPr>
          <w:rFonts w:hint="eastAsia" w:ascii="Times New Roman" w:hAnsi="Times New Roman" w:eastAsia="方正仿宋_GBK" w:cs="Times New Roman"/>
          <w:sz w:val="28"/>
          <w:szCs w:val="28"/>
          <w:highlight w:val="none"/>
          <w:lang w:val="en-US" w:eastAsia="zh-CN"/>
        </w:rPr>
        <w:t xml:space="preserve">详见采购文件。</w:t>
      </w:r>
      <w:r>
        <w:rPr>
          <w:rFonts w:ascii="Times New Roman" w:hAnsi="Times New Roman" w:eastAsia="方正仿宋_GBK" w:cs="Times New Roman"/>
          <w:sz w:val="28"/>
          <w:szCs w:val="28"/>
          <w:highlight w:val="none"/>
          <w:lang w:val="en-US" w:eastAsia="zh-CN"/>
        </w:rPr>
      </w:r>
      <w:r/>
    </w:p>
    <w:p>
      <w:pPr>
        <w:pStyle w:val="911"/>
        <w:ind w:firstLine="560"/>
        <w:spacing w:line="48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3. </w:t>
      </w:r>
      <w:r>
        <w:rPr>
          <w:rFonts w:hint="eastAsia" w:ascii="Times New Roman" w:hAnsi="Times New Roman" w:eastAsia="方正仿宋_GBK" w:cs="Times New Roman"/>
          <w:color w:val="000000"/>
          <w:sz w:val="28"/>
          <w:szCs w:val="28"/>
          <w:highlight w:val="none"/>
        </w:rPr>
        <w:t xml:space="preserve">供应商（含潜在供应商）对与本项目有关的所有询问、质疑均请向采购人提出，由采购人负责答复。</w:t>
      </w:r>
      <w:r>
        <w:rPr>
          <w:rFonts w:ascii="Times New Roman" w:hAnsi="Times New Roman" w:eastAsia="方正仿宋_GBK" w:cs="Times New Roman"/>
          <w:color w:val="000000"/>
          <w:sz w:val="28"/>
          <w:szCs w:val="28"/>
          <w:highlight w:val="none"/>
        </w:rPr>
      </w:r>
      <w:r/>
    </w:p>
    <w:p>
      <w:pPr>
        <w:pStyle w:val="911"/>
        <w:ind w:firstLine="560"/>
        <w:spacing w:line="480" w:lineRule="exact"/>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yellow"/>
          <w:lang w:val="en-US" w:eastAsia="zh-CN"/>
        </w:rPr>
      </w:r>
      <w:r/>
    </w:p>
    <w:p>
      <w:pPr>
        <w:pStyle w:val="911"/>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91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911"/>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911"/>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911"/>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8985269"/>
      <w:r/>
      <w:bookmarkStart w:id="36" w:name="_Toc28359085"/>
      <w:r/>
      <w:bookmarkStart w:id="37" w:name="_Toc28359008"/>
      <w:r/>
      <w:bookmarkStart w:id="38" w:name="_Toc35393627"/>
      <w:r/>
      <w:bookmarkStart w:id="39" w:name="_Toc35393796"/>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1.采购人信息</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bookmarkStart w:id="40" w:name="_Toc28359009"/>
      <w:r/>
      <w:bookmarkStart w:id="41" w:name="_Toc28359086"/>
      <w:r>
        <w:rPr>
          <w:rFonts w:hint="eastAsia" w:ascii="Times New Roman" w:hAnsi="Times New Roman" w:eastAsia="方正仿宋_GBK" w:cs="Times New Roman"/>
          <w:sz w:val="28"/>
          <w:szCs w:val="28"/>
        </w:rPr>
        <w:t xml:space="preserve">名    称：南通市启秀中学</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地    址：南通市跃龙路74号</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 系 人：殷老师</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联系方式：</w:t>
      </w:r>
      <w:r>
        <w:rPr>
          <w:rFonts w:ascii="Times New Roman" w:hAnsi="Times New Roman" w:eastAsia="方正仿宋_GBK" w:cs="Times New Roman"/>
          <w:sz w:val="28"/>
          <w:szCs w:val="28"/>
        </w:rPr>
        <w:t xml:space="preserve">0513-81125570</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2.采购代理机构信息</w:t>
      </w:r>
      <w:bookmarkEnd w:id="40"/>
      <w:r/>
      <w:bookmarkEnd w:id="41"/>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名    称：南通市公共资源交易中心</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地    址：</w:t>
      </w:r>
      <w:r>
        <w:rPr>
          <w:rFonts w:ascii="Times New Roman" w:hAnsi="Times New Roman" w:eastAsia="方正仿宋_GBK" w:cs="Times New Roman"/>
          <w:sz w:val="28"/>
          <w:szCs w:val="28"/>
        </w:rPr>
        <w:t xml:space="preserve">南通市崇川区工农南路</w:t>
      </w:r>
      <w:r>
        <w:rPr>
          <w:rFonts w:hint="eastAsia" w:ascii="Times New Roman" w:hAnsi="Times New Roman" w:eastAsia="方正仿宋_GBK" w:cs="Times New Roman"/>
          <w:sz w:val="28"/>
          <w:szCs w:val="28"/>
        </w:rPr>
        <w:t xml:space="preserve">150</w:t>
      </w:r>
      <w:r>
        <w:rPr>
          <w:rFonts w:ascii="Times New Roman" w:hAnsi="Times New Roman" w:eastAsia="方正仿宋_GBK" w:cs="Times New Roman"/>
          <w:sz w:val="28"/>
          <w:szCs w:val="28"/>
        </w:rPr>
        <w:t xml:space="preserve">号</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 系 人：</w:t>
      </w:r>
      <w:r>
        <w:rPr>
          <w:rFonts w:hint="eastAsia" w:ascii="Times New Roman" w:hAnsi="Times New Roman" w:eastAsia="方正仿宋_GBK" w:cs="Times New Roman"/>
          <w:sz w:val="28"/>
          <w:szCs w:val="28"/>
          <w:lang w:val="en-US" w:eastAsia="zh-CN"/>
        </w:rPr>
        <w:t xml:space="preserve">陈</w:t>
      </w:r>
      <w:r>
        <w:rPr>
          <w:rFonts w:hint="eastAsia" w:ascii="Times New Roman" w:hAnsi="Times New Roman" w:eastAsia="方正仿宋_GBK" w:cs="Times New Roman"/>
          <w:sz w:val="28"/>
          <w:szCs w:val="28"/>
        </w:rPr>
        <w:t xml:space="preserve">女士</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联系方式：0513-</w:t>
      </w:r>
      <w:r>
        <w:rPr>
          <w:rFonts w:ascii="Times New Roman" w:hAnsi="Times New Roman" w:eastAsia="方正仿宋_GBK" w:cs="Times New Roman"/>
          <w:sz w:val="28"/>
          <w:szCs w:val="28"/>
        </w:rPr>
        <w:t xml:space="preserve">59001986　　　　　　　　　</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3.软件技术支持：运维客服：0519-86722801、0519-86722806 </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那工：0513-59001950</w:t>
      </w:r>
      <w:r>
        <w:rPr>
          <w:rFonts w:ascii="Times New Roman" w:hAnsi="Times New Roman" w:eastAsia="方正仿宋_GBK" w:cs="Times New Roman"/>
          <w:sz w:val="28"/>
          <w:szCs w:val="28"/>
        </w:rPr>
      </w:r>
      <w:r/>
    </w:p>
    <w:p>
      <w:pPr>
        <w:pStyle w:val="91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11"/>
        <w:ind w:firstLine="281"/>
        <w:keepLines/>
        <w:keepNext/>
        <w:spacing w:before="145" w:after="145" w:line="480" w:lineRule="exact"/>
        <w:rPr>
          <w:rFonts w:ascii="仿宋" w:hAnsi="仿宋" w:eastAsia="仿宋"/>
          <w:b/>
          <w:bCs/>
          <w:sz w:val="28"/>
          <w:szCs w:val="28"/>
        </w:rPr>
        <w:outlineLvl w:val="2"/>
      </w:pPr>
      <w:r/>
      <w:bookmarkStart w:id="47" w:name="_Toc120614214"/>
      <w:r/>
      <w:bookmarkStart w:id="48" w:name="_Toc513029203"/>
      <w:r/>
      <w:bookmarkStart w:id="49" w:name="_Toc16938519"/>
      <w:r/>
      <w:bookmarkStart w:id="50" w:name="_Toc20823275"/>
      <w:r>
        <w:rPr>
          <w:rFonts w:hint="eastAsia" w:ascii="仿宋" w:hAnsi="仿宋" w:eastAsia="仿宋"/>
          <w:b/>
          <w:bCs/>
          <w:sz w:val="28"/>
          <w:szCs w:val="28"/>
          <w:lang w:val="en-US" w:eastAsia="zh-CN"/>
        </w:rPr>
        <w:t xml:space="preserve">一、</w:t>
      </w:r>
      <w:r>
        <w:rPr>
          <w:rFonts w:ascii="仿宋" w:hAnsi="仿宋" w:eastAsia="仿宋"/>
          <w:b/>
          <w:bCs/>
          <w:sz w:val="28"/>
          <w:szCs w:val="28"/>
        </w:rPr>
        <w:t xml:space="preserve">总则</w:t>
      </w:r>
      <w:bookmarkEnd w:id="47"/>
      <w:r/>
      <w:bookmarkEnd w:id="48"/>
      <w:r/>
      <w:bookmarkEnd w:id="49"/>
      <w:r/>
      <w:bookmarkEnd w:id="50"/>
      <w:r>
        <w:rPr>
          <w:rFonts w:ascii="仿宋" w:hAnsi="仿宋" w:eastAsia="仿宋"/>
          <w:b/>
          <w:bCs/>
          <w:sz w:val="28"/>
          <w:szCs w:val="28"/>
        </w:rPr>
      </w:r>
      <w:r/>
    </w:p>
    <w:p>
      <w:pPr>
        <w:pStyle w:val="91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911"/>
        <w:keepNext/>
        <w:spacing w:line="480" w:lineRule="exact"/>
        <w:rPr>
          <w:rFonts w:ascii="仿宋" w:hAnsi="仿宋" w:eastAsia="仿宋"/>
          <w:b/>
          <w:bCs/>
          <w:sz w:val="28"/>
          <w:szCs w:val="28"/>
        </w:rPr>
        <w:outlineLvl w:val="3"/>
      </w:pPr>
      <w:r/>
      <w:bookmarkStart w:id="56" w:name="_Toc513029205"/>
      <w:r/>
      <w:bookmarkStart w:id="57" w:name="_Toc20823277"/>
      <w:r/>
      <w:bookmarkStart w:id="58" w:name="_Toc16938521"/>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lang w:val="en-US" w:eastAsia="zh-CN"/>
        </w:rPr>
        <w:t xml:space="preserve"> </w:t>
      </w:r>
      <w:r>
        <w:rPr>
          <w:rFonts w:ascii="仿宋" w:hAnsi="仿宋" w:eastAsia="仿宋"/>
          <w:sz w:val="28"/>
          <w:szCs w:val="28"/>
        </w:rPr>
        <w:t xml:space="preserve">满足招标公告中供应商的资格要求的规定。</w:t>
      </w:r>
      <w:r>
        <w:rPr>
          <w:rFonts w:ascii="仿宋" w:hAnsi="仿宋" w:eastAsia="仿宋"/>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911"/>
        <w:keepNext/>
        <w:spacing w:line="480" w:lineRule="exact"/>
        <w:rPr>
          <w:rFonts w:ascii="仿宋" w:hAnsi="仿宋" w:eastAsia="仿宋" w:cs="Times New Roman"/>
          <w:b/>
          <w:bCs/>
          <w:sz w:val="28"/>
          <w:szCs w:val="28"/>
          <w:lang w:val="en-US" w:eastAsia="zh-CN"/>
        </w:rPr>
        <w:outlineLvl w:val="3"/>
      </w:pPr>
      <w:r/>
      <w:bookmarkStart w:id="59" w:name="_Toc20823278"/>
      <w:r/>
      <w:bookmarkStart w:id="60" w:name="_Toc16938522"/>
      <w:r/>
      <w:bookmarkStart w:id="61" w:name="_Toc513029206"/>
      <w:r>
        <w:rPr>
          <w:rFonts w:ascii="仿宋" w:hAnsi="仿宋" w:eastAsia="仿宋" w:cs="Times New Roman"/>
          <w:b/>
          <w:bCs/>
          <w:sz w:val="28"/>
          <w:szCs w:val="28"/>
        </w:rPr>
        <w:t xml:space="preserve">3.适用法律</w:t>
      </w:r>
      <w:bookmarkEnd w:id="59"/>
      <w:r/>
      <w:bookmarkEnd w:id="60"/>
      <w:r/>
      <w:bookmarkEnd w:id="61"/>
      <w:r>
        <w:rPr>
          <w:rFonts w:hint="eastAsia" w:ascii="仿宋" w:hAnsi="仿宋" w:eastAsia="仿宋" w:cs="Times New Roman"/>
          <w:b/>
          <w:bCs/>
          <w:sz w:val="28"/>
          <w:szCs w:val="28"/>
          <w:lang w:val="en-US" w:eastAsia="zh-CN"/>
        </w:rPr>
        <w:t xml:space="preserve">和标准</w:t>
      </w:r>
      <w:r>
        <w:rPr>
          <w:rFonts w:ascii="仿宋" w:hAnsi="仿宋" w:eastAsia="仿宋" w:cs="Times New Roman"/>
          <w:b/>
          <w:bCs/>
          <w:sz w:val="28"/>
          <w:szCs w:val="28"/>
          <w:lang w:val="en-US" w:eastAsia="zh-CN"/>
        </w:rPr>
      </w:r>
      <w:r/>
    </w:p>
    <w:p>
      <w:pPr>
        <w:pStyle w:val="911"/>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911"/>
        <w:ind w:firstLine="490"/>
        <w:spacing w:line="480" w:lineRule="exact"/>
        <w:rPr>
          <w:rFonts w:ascii="仿宋" w:hAnsi="仿宋" w:eastAsia="仿宋" w:cs="Times New Roman"/>
          <w:sz w:val="28"/>
          <w:szCs w:val="28"/>
          <w:u w:val="none"/>
          <w:lang w:val="en-US" w:eastAsia="zh-CN"/>
        </w:rPr>
      </w:pPr>
      <w:r>
        <w:rPr>
          <w:rFonts w:hint="eastAsia" w:ascii="仿宋" w:hAnsi="仿宋" w:eastAsia="仿宋" w:cs="Times New Roman"/>
          <w:sz w:val="28"/>
          <w:szCs w:val="28"/>
          <w:u w:val="none"/>
          <w:lang w:val="en-US" w:eastAsia="zh-CN"/>
        </w:rPr>
        <w:t xml:space="preserve">3.2 在本项目政府采购活动过程中，如果所执行的标准有更新的，按照最新标准执行。</w:t>
      </w:r>
      <w:r>
        <w:rPr>
          <w:rFonts w:ascii="仿宋" w:hAnsi="仿宋" w:eastAsia="仿宋" w:cs="Times New Roman"/>
          <w:sz w:val="28"/>
          <w:szCs w:val="28"/>
          <w:u w:val="none"/>
          <w:lang w:val="en-US" w:eastAsia="zh-CN"/>
        </w:rPr>
      </w:r>
      <w:r/>
    </w:p>
    <w:p>
      <w:pPr>
        <w:pStyle w:val="911"/>
        <w:keepNext/>
        <w:spacing w:line="480" w:lineRule="exact"/>
        <w:rPr>
          <w:rFonts w:ascii="仿宋" w:hAnsi="仿宋" w:eastAsia="仿宋"/>
          <w:b/>
          <w:bCs/>
          <w:sz w:val="28"/>
          <w:szCs w:val="28"/>
        </w:rPr>
        <w:outlineLvl w:val="3"/>
      </w:pPr>
      <w:r/>
      <w:bookmarkStart w:id="62" w:name="_Toc462564067"/>
      <w:r/>
      <w:bookmarkStart w:id="63" w:name="_Toc513029207"/>
      <w:r/>
      <w:bookmarkStart w:id="64" w:name="_Toc20823279"/>
      <w:r/>
      <w:bookmarkStart w:id="65" w:name="_Toc16938523"/>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91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911"/>
        <w:ind w:firstLine="281"/>
        <w:keepLines/>
        <w:keepNext/>
        <w:spacing w:before="145" w:after="145" w:line="480" w:lineRule="exact"/>
        <w:rPr>
          <w:rFonts w:hint="eastAsia" w:ascii="仿宋" w:hAnsi="仿宋" w:eastAsia="仿宋"/>
          <w:b/>
          <w:bCs/>
          <w:color w:val="000000"/>
          <w:sz w:val="28"/>
          <w:szCs w:val="28"/>
        </w:rPr>
        <w:outlineLvl w:val="2"/>
      </w:pPr>
      <w:r/>
      <w:bookmarkStart w:id="66" w:name="_Toc20823281"/>
      <w:r/>
      <w:bookmarkStart w:id="67" w:name="_Toc120614215"/>
      <w:r/>
      <w:bookmarkStart w:id="68" w:name="_Toc513029209"/>
      <w:r/>
      <w:bookmarkStart w:id="69" w:name="_Toc1693852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70" w:name="_Toc20823282"/>
      <w:r/>
      <w:bookmarkStart w:id="71" w:name="_Toc16938526"/>
      <w:r/>
      <w:bookmarkStart w:id="72" w:name="_Toc513029210"/>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73" w:name="_Toc462564070"/>
      <w:r/>
      <w:bookmarkStart w:id="74" w:name="_Toc513029211"/>
      <w:r/>
      <w:bookmarkStart w:id="75" w:name="_Toc16938527"/>
      <w:r/>
      <w:bookmarkStart w:id="76" w:name="_Toc20823283"/>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911"/>
        <w:keepLines/>
        <w:keepNext/>
        <w:spacing w:line="480" w:lineRule="exact"/>
        <w:rPr>
          <w:rFonts w:hint="eastAsia" w:ascii="仿宋" w:hAnsi="仿宋" w:eastAsia="仿宋" w:cs="Arial"/>
          <w:b/>
          <w:bCs/>
          <w:color w:val="000000"/>
          <w:sz w:val="28"/>
          <w:szCs w:val="28"/>
        </w:rPr>
        <w:outlineLvl w:val="3"/>
      </w:pPr>
      <w:r/>
      <w:bookmarkStart w:id="77" w:name="_Toc462564071"/>
      <w:r/>
      <w:bookmarkStart w:id="78" w:name="_Toc20823284"/>
      <w:r/>
      <w:bookmarkStart w:id="79" w:name="_Toc16938528"/>
      <w:r/>
      <w:bookmarkStart w:id="80" w:name="_Toc513029212"/>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81" w:name="_Toc462564072"/>
      <w:r/>
      <w:bookmarkStart w:id="82" w:name="_Toc20823285"/>
      <w:r/>
      <w:bookmarkStart w:id="83" w:name="_Toc513029213"/>
      <w:r/>
      <w:bookmarkStart w:id="84" w:name="_Toc16938529"/>
      <w:r/>
      <w:bookmarkStart w:id="85" w:name="_Toc120614216"/>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86" w:name="_Toc20823286"/>
      <w:r/>
      <w:bookmarkStart w:id="87" w:name="_Toc16938530"/>
      <w:r/>
      <w:bookmarkStart w:id="88" w:name="_Toc513029214"/>
      <w:r/>
      <w:bookmarkStart w:id="89" w:name="_Toc462564073"/>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90" w:name="_Toc20823287"/>
      <w:r/>
      <w:bookmarkStart w:id="91" w:name="_Toc16938531"/>
      <w:r/>
      <w:bookmarkStart w:id="92" w:name="_Toc513029215"/>
      <w:r/>
      <w:bookmarkStart w:id="93" w:name="_Toc462564074"/>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94" w:name="_Hlt26954838"/>
      <w:r/>
      <w:bookmarkEnd w:id="94"/>
      <w:r/>
      <w:bookmarkStart w:id="95" w:name="_Hlt26668975"/>
      <w:r/>
      <w:bookmarkEnd w:id="95"/>
      <w:r/>
      <w:bookmarkStart w:id="96" w:name="_Hlt26670360"/>
      <w:r/>
      <w:bookmarkEnd w:id="96"/>
      <w:r/>
      <w:bookmarkStart w:id="97" w:name="_Toc49090509"/>
      <w:r/>
      <w:bookmarkStart w:id="98" w:name="_Toc513029219"/>
      <w:r/>
      <w:bookmarkStart w:id="99" w:name="_Toc14577357"/>
      <w:r/>
      <w:bookmarkStart w:id="100" w:name="_Toc49090507"/>
      <w:r/>
      <w:bookmarkStart w:id="101" w:name="_Toc14577354"/>
      <w:r/>
      <w:bookmarkStart w:id="102" w:name="_Toc513029216"/>
      <w:r/>
      <w:bookmarkStart w:id="103" w:name="_Toc49090508"/>
      <w:r/>
      <w:bookmarkStart w:id="104" w:name="_Toc14577355"/>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91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05" w:name="_Hlt26670482"/>
      <w:r/>
      <w:bookmarkEnd w:id="105"/>
      <w:r/>
      <w:bookmarkStart w:id="106" w:name="_Hlt26954846"/>
      <w:r/>
      <w:bookmarkEnd w:id="106"/>
      <w:r/>
      <w:bookmarkStart w:id="107" w:name="_Hlt26954731"/>
      <w:r/>
      <w:bookmarkEnd w:id="107"/>
      <w:r/>
      <w:bookmarkStart w:id="108" w:name="_Hlt26954848"/>
      <w:r/>
      <w:bookmarkEnd w:id="108"/>
      <w:r/>
      <w:bookmarkStart w:id="109" w:name="_Hlt26670486"/>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91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91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49090511"/>
      <w:r/>
      <w:bookmarkStart w:id="113" w:name="_Toc14577360"/>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14" w:name="_Hlt26954852"/>
      <w:r/>
      <w:bookmarkEnd w:id="114"/>
      <w:r/>
      <w:bookmarkStart w:id="115" w:name="_Hlt26954739"/>
      <w:r/>
      <w:bookmarkEnd w:id="115"/>
      <w:r/>
      <w:bookmarkStart w:id="116" w:name="_Toc20823296"/>
      <w:r/>
      <w:bookmarkStart w:id="117" w:name="_Toc16938540"/>
      <w:r/>
      <w:bookmarkStart w:id="118" w:name="_Toc513029224"/>
      <w:r/>
      <w:bookmarkStart w:id="119" w:name="_Toc120614217"/>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20" w:name="_Toc20823297"/>
      <w:r/>
      <w:bookmarkStart w:id="121" w:name="_Toc462564084"/>
      <w:r/>
      <w:bookmarkStart w:id="122" w:name="_Toc513029225"/>
      <w:r/>
      <w:bookmarkStart w:id="123" w:name="_Toc16938541"/>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91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16938542"/>
      <w:r/>
      <w:bookmarkStart w:id="125" w:name="_Toc513029226"/>
      <w:r/>
      <w:bookmarkStart w:id="126" w:name="_Toc20823298"/>
      <w:r>
        <w:rPr>
          <w:rFonts w:hint="eastAsia" w:ascii="仿宋" w:hAnsi="仿宋" w:eastAsia="仿宋" w:cs="Arial"/>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91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27" w:name="_Toc513029227"/>
      <w:r/>
      <w:bookmarkStart w:id="128" w:name="_Toc20823299"/>
      <w:r/>
      <w:bookmarkStart w:id="129" w:name="_Toc1693854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30" w:name="_Toc513029228"/>
      <w:r/>
      <w:bookmarkStart w:id="131" w:name="_Toc16938544"/>
      <w:r/>
      <w:bookmarkStart w:id="132" w:name="_Toc20823300"/>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33" w:name="_Toc120614218"/>
      <w:r/>
      <w:bookmarkStart w:id="134" w:name="_Toc20823301"/>
      <w:r/>
      <w:bookmarkStart w:id="135" w:name="_Toc16938545"/>
      <w:r/>
      <w:bookmarkStart w:id="136" w:name="_Toc513029229"/>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37" w:name="_Toc16938546"/>
      <w:r/>
      <w:bookmarkStart w:id="138" w:name="_Toc20823302"/>
      <w:r/>
      <w:bookmarkStart w:id="139" w:name="_Toc513029230"/>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91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91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91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91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40" w:name="_Toc20823303"/>
      <w:r/>
      <w:bookmarkStart w:id="141" w:name="_Toc513029231"/>
      <w:r/>
      <w:bookmarkStart w:id="142" w:name="_Toc16938547"/>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w:t>
      </w:r>
      <w:r>
        <w:rPr>
          <w:rFonts w:hint="eastAsia" w:ascii="仿宋" w:hAnsi="仿宋" w:eastAsia="仿宋"/>
          <w:color w:val="000000"/>
          <w:sz w:val="28"/>
          <w:szCs w:val="28"/>
          <w:lang w:val="en-US" w:eastAsia="zh-CN"/>
        </w:rPr>
        <w:t xml:space="preserve">中标候选人</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91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91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43" w:name="_Toc20823304"/>
      <w:r/>
      <w:bookmarkStart w:id="144" w:name="_Toc513029232"/>
      <w:r/>
      <w:bookmarkStart w:id="145" w:name="_Toc1693854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911"/>
        <w:ind w:firstLine="560"/>
        <w:spacing w:line="480" w:lineRule="exact"/>
        <w:rPr>
          <w:rFonts w:ascii="仿宋" w:hAnsi="仿宋" w:eastAsia="仿宋"/>
          <w:color w:val="000000"/>
          <w:sz w:val="28"/>
          <w:szCs w:val="28"/>
        </w:rPr>
      </w:pPr>
      <w:r/>
      <w:bookmarkStart w:id="146" w:name="_Toc20823305"/>
      <w:r/>
      <w:bookmarkStart w:id="147" w:name="_Toc16938549"/>
      <w:r/>
      <w:bookmarkStart w:id="148"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91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91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911"/>
        <w:ind w:firstLine="560"/>
        <w:spacing w:line="480" w:lineRule="exact"/>
        <w:rPr>
          <w:rFonts w:ascii="仿宋" w:hAnsi="仿宋" w:eastAsia="仿宋"/>
          <w:color w:val="000000"/>
          <w:sz w:val="28"/>
          <w:szCs w:val="28"/>
        </w:rPr>
      </w:pPr>
      <w:r/>
      <w:bookmarkStart w:id="149" w:name="_Toc20823306"/>
      <w:r/>
      <w:bookmarkStart w:id="150" w:name="_Toc16938550"/>
      <w:r/>
      <w:bookmarkStart w:id="151"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911"/>
        <w:keepLines/>
        <w:keepNext/>
        <w:spacing w:line="480" w:lineRule="exact"/>
        <w:rPr>
          <w:rFonts w:hint="eastAsia" w:ascii="仿宋" w:hAnsi="仿宋" w:eastAsia="仿宋" w:cs="Arial"/>
          <w:b/>
          <w:bCs/>
          <w:color w:val="000000"/>
          <w:sz w:val="28"/>
          <w:szCs w:val="28"/>
          <w:highlight w:val="none"/>
          <w:lang w:val="en-US" w:eastAsia="zh-CN"/>
        </w:rPr>
        <w:outlineLvl w:val="3"/>
      </w:pPr>
      <w:r>
        <w:rPr>
          <w:rFonts w:hint="eastAsia" w:ascii="仿宋" w:hAnsi="仿宋" w:eastAsia="仿宋" w:cs="Arial"/>
          <w:b/>
          <w:bCs/>
          <w:color w:val="000000"/>
          <w:sz w:val="28"/>
          <w:szCs w:val="28"/>
          <w:highlight w:val="none"/>
          <w:lang w:val="en-US" w:eastAsia="zh-CN"/>
        </w:rPr>
        <w:t xml:space="preserve">27、异常低价审查</w:t>
      </w:r>
      <w:r>
        <w:rPr>
          <w:rFonts w:hint="eastAsia" w:ascii="仿宋" w:hAnsi="仿宋" w:eastAsia="仿宋" w:cs="Arial"/>
          <w:b/>
          <w:bCs/>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投标(响应)报价低于采购项目预算50%的，即投标(响应)报价&lt;采购项目预算×50%;</w:t>
      </w:r>
      <w:r>
        <w:rPr>
          <w:rFonts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highlight w:val="none"/>
          <w:lang w:val="en-US" w:eastAsia="zh-CN"/>
        </w:rPr>
      </w:r>
      <w:r/>
    </w:p>
    <w:p>
      <w:pPr>
        <w:pStyle w:val="98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highlight w:val="none"/>
          <w:lang w:val="en-US" w:eastAsia="zh-CN"/>
        </w:rPr>
      </w:r>
      <w:r/>
    </w:p>
    <w:p>
      <w:pPr>
        <w:pStyle w:val="98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highlight w:val="none"/>
          <w:lang w:val="en-US" w:eastAsia="zh-CN"/>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bookmarkStart w:id="152" w:name="_Toc513029235"/>
      <w:r/>
      <w:bookmarkStart w:id="153" w:name="_Toc16938551"/>
      <w:r/>
      <w:bookmarkStart w:id="154" w:name="_Toc20823307"/>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w:t>
      </w: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highlight w:val="none"/>
        </w:rPr>
      </w:r>
      <w:r/>
    </w:p>
    <w:p>
      <w:pPr>
        <w:pStyle w:val="911"/>
        <w:ind w:firstLine="560"/>
        <w:spacing w:line="400" w:lineRule="exact"/>
        <w:rPr>
          <w:rFonts w:eastAsia="仿宋"/>
          <w:highlight w:val="none"/>
          <w:lang w:val="en-US" w:eastAsia="zh-CN"/>
        </w:rPr>
      </w:pPr>
      <w:r>
        <w:rPr>
          <w:rFonts w:hint="eastAsia" w:ascii="仿宋" w:hAnsi="仿宋" w:eastAsia="仿宋"/>
          <w:bCs/>
          <w:color w:val="000000"/>
          <w:sz w:val="28"/>
          <w:szCs w:val="28"/>
          <w:highlight w:val="none"/>
          <w:lang w:val="en-US" w:eastAsia="zh-CN"/>
        </w:rPr>
        <w:t xml:space="preserve">2</w:t>
      </w:r>
      <w:r>
        <w:rPr>
          <w:rFonts w:hint="eastAsia" w:ascii="仿宋" w:hAnsi="仿宋" w:eastAsia="仿宋"/>
          <w:bCs/>
          <w:color w:val="000000"/>
          <w:sz w:val="28"/>
          <w:szCs w:val="28"/>
          <w:highlight w:val="none"/>
          <w:lang w:val="en-US" w:eastAsia="zh-CN"/>
        </w:rPr>
        <w:t xml:space="preserve">8.1.12 </w:t>
      </w:r>
      <w:r>
        <w:rPr>
          <w:rFonts w:hint="eastAsia" w:ascii="仿宋" w:hAnsi="仿宋" w:eastAsia="仿宋" w:cs="Times New Roman"/>
          <w:bCs/>
          <w:color w:val="000000"/>
          <w:sz w:val="28"/>
          <w:szCs w:val="28"/>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eastAsia="仿宋"/>
          <w:highlight w:val="none"/>
          <w:lang w:val="en-US" w:eastAsia="zh-CN"/>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28.1.14启动异常低价投标审查后,投标人不提供书面说明、证明材料，或者提供的书面说明、证明材料不能证明其报价合理性的。</w:t>
      </w:r>
      <w:r>
        <w:rPr>
          <w:rFonts w:hint="eastAsia" w:ascii="仿宋" w:hAnsi="仿宋" w:eastAsia="仿宋" w:cs="Times New Roman"/>
          <w:bCs/>
          <w:color w:val="000000"/>
          <w:sz w:val="28"/>
          <w:szCs w:val="28"/>
          <w:highlight w:val="none"/>
          <w:lang w:val="en-US" w:eastAsia="zh-CN"/>
        </w:rPr>
      </w:r>
      <w:r/>
    </w:p>
    <w:p>
      <w:pPr>
        <w:pStyle w:val="91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Times New Roman" w:hAnsi="Times New Roman" w:eastAsia="方正仿宋_GBK" w:cs="Times New Roman"/>
          <w:bCs/>
          <w:color w:val="0000ff"/>
          <w:sz w:val="28"/>
          <w:szCs w:val="28"/>
          <w:highlight w:val="yellow"/>
          <w:lang w:val="en-US" w:eastAsia="zh-CN"/>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91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91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
          <w:color w:val="000000"/>
          <w:sz w:val="28"/>
          <w:szCs w:val="28"/>
          <w:highlight w:val="yellow"/>
        </w:rPr>
      </w:pP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.4 供应商（含潜在供应商）对与本项目有关的所有询问、质疑均请向采购人提出，由采购人负责答复。</w:t>
      </w:r>
      <w:r>
        <w:rPr>
          <w:rFonts w:hint="eastAsia" w:ascii="仿宋" w:hAnsi="仿宋" w:eastAsia="仿宋"/>
          <w:b/>
          <w:color w:val="000000"/>
          <w:sz w:val="28"/>
          <w:szCs w:val="28"/>
          <w:highlight w:val="yellow"/>
        </w:rPr>
      </w:r>
      <w:r/>
    </w:p>
    <w:p>
      <w:pPr>
        <w:pStyle w:val="91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采购人及</w:t>
      </w: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中心只接收以纸质原件形式送达的质疑,建议供应商尽量通过邮寄方式提交质疑（采购人和</w:t>
      </w:r>
      <w:r>
        <w:rPr>
          <w:rFonts w:hint="eastAsia" w:ascii="仿宋" w:hAnsi="仿宋" w:eastAsia="仿宋"/>
          <w:color w:val="000000"/>
          <w:sz w:val="28"/>
          <w:szCs w:val="28"/>
          <w:highlight w:val="none"/>
          <w:lang w:val="en-US" w:eastAsia="zh-CN"/>
        </w:rPr>
        <w:t xml:space="preserve">交易中心</w:t>
      </w:r>
      <w:r>
        <w:rPr>
          <w:rFonts w:hint="eastAsia" w:ascii="仿宋" w:hAnsi="仿宋" w:eastAsia="仿宋"/>
          <w:color w:val="000000"/>
          <w:sz w:val="28"/>
          <w:szCs w:val="28"/>
          <w:highlight w:val="none"/>
        </w:rPr>
        <w:t xml:space="preserve">不接受无快递运</w:t>
      </w:r>
      <w:r>
        <w:rPr>
          <w:rFonts w:ascii="仿宋" w:hAnsi="仿宋" w:eastAsia="仿宋"/>
          <w:color w:val="000000"/>
          <w:sz w:val="28"/>
          <w:szCs w:val="28"/>
          <w:highlight w:val="none"/>
        </w:rPr>
        <w:t xml:space="preserve">单号</w:t>
      </w:r>
      <w:r>
        <w:rPr>
          <w:rFonts w:hint="eastAsia" w:ascii="仿宋" w:hAnsi="仿宋" w:eastAsia="仿宋"/>
          <w:color w:val="000000"/>
          <w:sz w:val="28"/>
          <w:szCs w:val="28"/>
          <w:highlight w:val="none"/>
        </w:rPr>
        <w:t xml:space="preserve">的快递）。</w:t>
      </w:r>
      <w:r>
        <w:rPr>
          <w:rFonts w:hint="eastAsia" w:ascii="仿宋" w:hAnsi="仿宋" w:eastAsia="仿宋"/>
          <w:color w:val="000000"/>
          <w:sz w:val="28"/>
          <w:szCs w:val="28"/>
          <w:highlight w:val="none"/>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中心质</w:t>
      </w:r>
      <w:r>
        <w:rPr>
          <w:rFonts w:hint="eastAsia" w:ascii="仿宋" w:hAnsi="仿宋" w:eastAsia="仿宋"/>
          <w:color w:val="000000"/>
          <w:sz w:val="28"/>
          <w:szCs w:val="28"/>
        </w:rPr>
        <w:t xml:space="preserve">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91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91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513029236"/>
      <w:r/>
      <w:bookmarkStart w:id="162" w:name="_Toc20823308"/>
      <w:r/>
      <w:bookmarkStart w:id="163" w:name="_Toc16938552"/>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20823309"/>
      <w:r/>
      <w:bookmarkStart w:id="165" w:name="_Toc16938553"/>
      <w:r/>
      <w:bookmarkStart w:id="166" w:name="_Toc51302923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91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120614221"/>
      <w:r/>
      <w:bookmarkStart w:id="168" w:name="_Toc20823314"/>
      <w:r/>
      <w:bookmarkStart w:id="169" w:name="_Toc16938558"/>
      <w:r/>
      <w:bookmarkStart w:id="170" w:name="_Toc513029242"/>
      <w:r/>
      <w:bookmarkStart w:id="171" w:name="_Toc47975720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91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91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911"/>
        <w:ind w:firstLine="1760"/>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11"/>
        <w:ind w:firstLine="560"/>
        <w:spacing w:line="480" w:lineRule="exact"/>
        <w:rPr>
          <w:rFonts w:hint="eastAsia" w:ascii="仿宋" w:hAnsi="仿宋" w:eastAsia="仿宋"/>
          <w:bCs/>
          <w:color w:val="000000"/>
          <w:sz w:val="28"/>
          <w:szCs w:val="28"/>
        </w:rPr>
      </w:pPr>
      <w:r/>
      <w:bookmarkStart w:id="172" w:name="_Toc16938559"/>
      <w:r/>
      <w:bookmarkStart w:id="173" w:name="_Toc20823315"/>
      <w:r/>
      <w:bookmarkStart w:id="174" w:name="_Toc513029243"/>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42"/>
        <w:jc w:val="center"/>
        <w:spacing w:after="0"/>
        <w:rPr>
          <w:rFonts w:hint="eastAsia" w:ascii="宋体" w:hAnsi="宋体" w:cs="宋体"/>
          <w:b/>
          <w:bCs/>
          <w:spacing w:val="-20"/>
          <w:sz w:val="48"/>
          <w:szCs w:val="48"/>
        </w:rPr>
      </w:pPr>
      <w:r/>
      <w:bookmarkEnd w:id="172"/>
      <w:r/>
      <w:bookmarkEnd w:id="173"/>
      <w:r/>
      <w:bookmarkEnd w:id="174"/>
      <w:r/>
      <w:bookmarkStart w:id="175" w:name="_Hlt16619350"/>
      <w:r/>
      <w:bookmarkStart w:id="176" w:name="_Toc20823346"/>
      <w:r/>
      <w:bookmarkStart w:id="177" w:name="_Toc16938590"/>
      <w:r/>
      <w:bookmarkStart w:id="178" w:name="_Toc120614244"/>
      <w:r/>
      <w:bookmarkStart w:id="179" w:name="_Toc462564139"/>
      <w:r/>
      <w:bookmarkStart w:id="180" w:name="_Toc479757211"/>
      <w:r>
        <w:rPr>
          <w:rFonts w:hint="eastAsia" w:ascii="宋体" w:hAnsi="宋体" w:cs="宋体"/>
          <w:b/>
          <w:bCs/>
          <w:spacing w:val="-20"/>
          <w:sz w:val="48"/>
          <w:szCs w:val="48"/>
        </w:rPr>
      </w:r>
      <w:r/>
    </w:p>
    <w:p>
      <w:pPr>
        <w:pStyle w:val="94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942"/>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rPr>
          <w:rFonts w:hint="eastAsia" w:ascii="宋体" w:hAnsi="宋体" w:eastAsia="宋体" w:cs="宋体"/>
          <w:b/>
          <w:bCs/>
          <w:spacing w:val="-20"/>
          <w:sz w:val="48"/>
          <w:szCs w:val="48"/>
          <w:lang w:eastAsia="zh-CN"/>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11"/>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11"/>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11"/>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11"/>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11"/>
      </w:pPr>
      <w:r/>
      <w:r/>
    </w:p>
    <w:p>
      <w:pPr>
        <w:pStyle w:val="911"/>
        <w:jc w:val="center"/>
        <w:keepLines w:val="0"/>
        <w:keepNext w:val="0"/>
        <w:pageBreakBefore/>
        <w:widowControl w:val="off"/>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rPr>
          <w:rFonts w:hint="eastAsia" w:eastAsia="黑体"/>
          <w:sz w:val="44"/>
          <w:szCs w:val="44"/>
          <w:lang w:eastAsia="zh-CN"/>
        </w:rPr>
      </w:r>
      <w:r/>
    </w:p>
    <w:p>
      <w:pPr>
        <w:pStyle w:val="911"/>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911"/>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911"/>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sz w:val="44"/>
          <w:szCs w:val="44"/>
          <w:lang w:val="en-US" w:eastAsia="zh-CN"/>
        </w:rPr>
      </w:r>
      <w:r/>
    </w:p>
    <w:p>
      <w:pPr>
        <w:pStyle w:val="911"/>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911"/>
        <w:ind w:firstLine="880"/>
        <w:jc w:val="both"/>
        <w:rPr>
          <w:rFonts w:eastAsia="黑体"/>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913"/>
        <w:jc w:val="center"/>
        <w:keepLines/>
        <w:keepNext/>
        <w:pageBreakBefore/>
        <w:spacing w:line="400" w:lineRule="exact"/>
        <w:widowControl w:val="off"/>
        <w:rPr>
          <w:rFonts w:hint="eastAsia" w:ascii="黑体" w:hAnsi="华文中宋" w:eastAsia="黑体"/>
          <w:b w:val="0"/>
          <w:bCs w:val="0"/>
          <w:sz w:val="28"/>
          <w:szCs w:val="28"/>
        </w:rPr>
      </w:pPr>
      <w:r/>
      <w:bookmarkStart w:id="181"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81"/>
      <w:r>
        <w:rPr>
          <w:rFonts w:hint="eastAsia" w:ascii="黑体" w:hAnsi="华文中宋" w:eastAsia="黑体"/>
          <w:b w:val="0"/>
          <w:bCs w:val="0"/>
          <w:sz w:val="28"/>
          <w:szCs w:val="28"/>
        </w:rPr>
      </w:r>
      <w:r/>
    </w:p>
    <w:p>
      <w:pPr>
        <w:pStyle w:val="913"/>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pStyle w:val="911"/>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rPr>
          <w:rFonts w:ascii="宋体" w:hAnsi="宋体"/>
          <w:szCs w:val="21"/>
        </w:rPr>
      </w:r>
      <w:r/>
    </w:p>
    <w:p>
      <w:pPr>
        <w:pStyle w:val="911"/>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11"/>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911"/>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911"/>
        <w:spacing w:line="400" w:lineRule="exact"/>
        <w:rPr>
          <w:rFonts w:eastAsia="宋体"/>
          <w:lang w:val="en-US" w:eastAsia="zh-CN"/>
        </w:rPr>
      </w:pPr>
      <w:r>
        <w:rPr>
          <w:rFonts w:eastAsia="宋体"/>
          <w:lang w:val="en-US" w:eastAsia="zh-CN"/>
        </w:rPr>
      </w:r>
      <w:r/>
    </w:p>
    <w:p>
      <w:pPr>
        <w:pStyle w:val="944"/>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911"/>
        <w:numPr>
          <w:ilvl w:val="0"/>
          <w:numId w:val="6"/>
        </w:numPr>
        <w:ind w:firstLine="422"/>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4"/>
        <w:numPr>
          <w:ilvl w:val="0"/>
          <w:numId w:val="7"/>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44"/>
        <w:numPr>
          <w:ilvl w:val="0"/>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944"/>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11"/>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911"/>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911"/>
        <w:numPr>
          <w:ilvl w:val="0"/>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911"/>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911"/>
        <w:numPr>
          <w:ilvl w:val="0"/>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911"/>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911"/>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102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102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1028"/>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1028"/>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rPr>
          <w:rFonts w:hint="eastAsia" w:ascii="宋体" w:hAnsi="宋体" w:eastAsia="宋体" w:cs="宋体"/>
          <w:sz w:val="21"/>
          <w:szCs w:val="21"/>
          <w:lang w:val="en-US" w:eastAsia="zh-CN"/>
        </w:rPr>
      </w:r>
      <w:r/>
    </w:p>
    <w:p>
      <w:pPr>
        <w:pStyle w:val="1028"/>
        <w:numPr>
          <w:ilvl w:val="0"/>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US" w:eastAsia="zh-CN"/>
        </w:rPr>
      </w:r>
      <w:r/>
    </w:p>
    <w:p>
      <w:pPr>
        <w:pStyle w:val="1028"/>
        <w:numPr>
          <w:ilvl w:val="0"/>
          <w:numId w:val="0"/>
        </w:numPr>
        <w:ind w:firstLine="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1028"/>
        <w:numPr>
          <w:ilvl w:val="0"/>
          <w:numId w:val="0"/>
        </w:numPr>
        <w:ind w:left="0"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1028"/>
        <w:numPr>
          <w:ilvl w:val="0"/>
          <w:numId w:val="0"/>
        </w:numPr>
        <w:ind w:left="0"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1028"/>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1028"/>
        <w:numPr>
          <w:ilvl w:val="0"/>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1028"/>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911"/>
        <w:numPr>
          <w:ilvl w:val="0"/>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11"/>
        <w:numPr>
          <w:ilvl w:val="0"/>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11"/>
        <w:numPr>
          <w:ilvl w:val="0"/>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11"/>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911"/>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11"/>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911"/>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911"/>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911"/>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911"/>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911"/>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911"/>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1028"/>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911"/>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911"/>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911"/>
        <w:numPr>
          <w:ilvl w:val="0"/>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911"/>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911"/>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911"/>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911"/>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911"/>
        <w:numPr>
          <w:ilvl w:val="0"/>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911"/>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911"/>
        <w:numPr>
          <w:ilvl w:val="0"/>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911"/>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911"/>
        <w:numPr>
          <w:ilvl w:val="0"/>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1028"/>
        <w:numPr>
          <w:ilvl w:val="0"/>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1028"/>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911"/>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1028"/>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911"/>
        <w:numPr>
          <w:ilvl w:val="0"/>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911"/>
        <w:numPr>
          <w:ilvl w:val="0"/>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911"/>
        <w:numPr>
          <w:ilvl w:val="0"/>
          <w:numId w:val="6"/>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911"/>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911"/>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911"/>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911"/>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911"/>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911"/>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911"/>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995"/>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911"/>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rPr>
          <w:rFonts w:ascii="宋体" w:hAnsi="宋体"/>
          <w:szCs w:val="21"/>
          <w:u w:val="single"/>
        </w:rPr>
      </w:r>
      <w:r/>
    </w:p>
    <w:p>
      <w:pPr>
        <w:pStyle w:val="911"/>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pStyle w:val="911"/>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11"/>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911"/>
        <w:numPr>
          <w:ilvl w:val="0"/>
          <w:numId w:val="6"/>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911"/>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911"/>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911"/>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1028"/>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1028"/>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911"/>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911"/>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911"/>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911"/>
        <w:numPr>
          <w:ilvl w:val="0"/>
          <w:numId w:val="6"/>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11"/>
        <w:numPr>
          <w:ilvl w:val="0"/>
          <w:numId w:val="8"/>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911"/>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911"/>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11"/>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11"/>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11"/>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11"/>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911"/>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911"/>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rPr>
          <w:rFonts w:hint="eastAsia" w:ascii="宋体" w:hAnsi="宋体" w:eastAsia="宋体"/>
          <w:bCs/>
          <w:szCs w:val="21"/>
          <w:lang w:eastAsia="zh-CN"/>
        </w:rPr>
      </w:r>
      <w:r/>
    </w:p>
    <w:p>
      <w:pPr>
        <w:pStyle w:val="911"/>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911"/>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911"/>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911"/>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911"/>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11"/>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911"/>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1028"/>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911"/>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rPr>
          <w:rFonts w:hint="eastAsia" w:ascii="宋体" w:hAnsi="宋体" w:cs="宋体"/>
          <w:bCs/>
          <w:szCs w:val="21"/>
          <w:u w:val="single"/>
        </w:rPr>
      </w:r>
      <w:r/>
    </w:p>
    <w:p>
      <w:pPr>
        <w:pStyle w:val="911"/>
        <w:numPr>
          <w:ilvl w:val="0"/>
          <w:numId w:val="6"/>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911"/>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11"/>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911"/>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911"/>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911"/>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28"/>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911"/>
        <w:numPr>
          <w:ilvl w:val="0"/>
          <w:numId w:val="6"/>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911"/>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11"/>
        <w:numPr>
          <w:ilvl w:val="0"/>
          <w:numId w:val="6"/>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911"/>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11"/>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995"/>
        <w:spacing w:line="400" w:lineRule="exact"/>
      </w:pPr>
      <w:r/>
      <w:r/>
    </w:p>
    <w:p>
      <w:pPr>
        <w:pStyle w:val="913"/>
        <w:spacing w:line="400" w:lineRule="exact"/>
        <w:rPr>
          <w:rFonts w:hint="eastAsia" w:ascii="宋体" w:hAnsi="宋体" w:cs="Times New Roman"/>
          <w:b w:val="0"/>
          <w:bCs w:val="0"/>
          <w:sz w:val="21"/>
          <w:szCs w:val="21"/>
          <w:highlight w:val="none"/>
          <w:lang w:val="en-US" w:eastAsia="zh-CN"/>
        </w:rPr>
      </w:pPr>
      <w:r>
        <w:rPr>
          <w:lang w:val="en"/>
        </w:rPr>
        <w:t xml:space="preserve">   </w:t>
      </w:r>
      <w:r>
        <w:rPr>
          <w:rFonts w:hint="eastAsia" w:ascii="宋体" w:hAnsi="宋体" w:cs="Times New Roman"/>
          <w:b w:val="0"/>
          <w:bCs w:val="0"/>
          <w:sz w:val="21"/>
          <w:szCs w:val="21"/>
          <w:highlight w:val="none"/>
          <w:lang w:val="en-US" w:eastAsia="zh-CN"/>
        </w:rPr>
      </w:r>
      <w:r/>
    </w:p>
    <w:p>
      <w:pPr>
        <w:pStyle w:val="911"/>
        <w:rPr>
          <w:rFonts w:hint="eastAsia"/>
        </w:rPr>
      </w:pPr>
      <w:r>
        <w:rPr>
          <w:rFonts w:hint="eastAsia"/>
        </w:rPr>
        <w:br w:type="page" w:clear="all"/>
      </w:r>
      <w:r>
        <w:rPr>
          <w:rFonts w:hint="eastAsia"/>
        </w:rPr>
      </w:r>
      <w:r/>
    </w:p>
    <w:p>
      <w:pPr>
        <w:pStyle w:val="995"/>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W w:w="5030" w:type="dxa"/>
            <w:vAlign w:val="center"/>
            <w:textDirection w:val="lrTb"/>
            <w:noWrap w:val="false"/>
          </w:tcPr>
          <w:p>
            <w:pPr>
              <w:pStyle w:val="911"/>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787" w:type="dxa"/>
            <w:vAlign w:val="center"/>
            <w:textDirection w:val="lrTb"/>
            <w:noWrap w:val="false"/>
          </w:tcPr>
          <w:p>
            <w:pPr>
              <w:pStyle w:val="911"/>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11"/>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11"/>
              <w:jc w:val="center"/>
              <w:spacing w:line="300" w:lineRule="exact"/>
              <w:rPr>
                <w:szCs w:val="21"/>
              </w:rPr>
            </w:pPr>
            <w:r>
              <w:rPr>
                <w:szCs w:val="21"/>
              </w:rPr>
              <w:t xml:space="preserve">法定代表人</w:t>
            </w:r>
            <w:r>
              <w:rPr>
                <w:szCs w:val="21"/>
              </w:rPr>
            </w:r>
            <w:r/>
          </w:p>
          <w:p>
            <w:pPr>
              <w:pStyle w:val="911"/>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法定代表人</w:t>
            </w:r>
            <w:r>
              <w:rPr>
                <w:szCs w:val="21"/>
              </w:rPr>
            </w:r>
            <w:r/>
          </w:p>
          <w:p>
            <w:pPr>
              <w:pStyle w:val="91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11"/>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11"/>
              <w:jc w:val="center"/>
              <w:spacing w:line="300" w:lineRule="exact"/>
              <w:rPr>
                <w:szCs w:val="21"/>
              </w:rPr>
            </w:pPr>
            <w:r>
              <w:rPr>
                <w:szCs w:val="21"/>
              </w:rPr>
            </w:r>
            <w:r/>
          </w:p>
        </w:tc>
        <w:tc>
          <w:tcPr>
            <w:tcW w:w="1436" w:type="dxa"/>
            <w:vAlign w:val="center"/>
            <w:vMerge w:val="continue"/>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586"/>
        </w:trPr>
        <w:tc>
          <w:tcPr>
            <w:gridSpan w:val="4"/>
            <w:tcW w:w="9817" w:type="dxa"/>
            <w:vAlign w:val="center"/>
            <w:textDirection w:val="lrTb"/>
            <w:noWrap w:val="false"/>
          </w:tcPr>
          <w:p>
            <w:pPr>
              <w:pStyle w:val="94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13"/>
        <w:jc w:val="center"/>
        <w:spacing w:before="156"/>
        <w:rPr>
          <w:rFonts w:ascii="黑体" w:hAnsi="黑体" w:eastAsia="黑体"/>
          <w:sz w:val="28"/>
          <w:szCs w:val="28"/>
        </w:rPr>
      </w:pPr>
      <w:r>
        <w:rPr>
          <w:rFonts w:ascii="宋体" w:hAnsi="宋体"/>
          <w:sz w:val="21"/>
          <w:szCs w:val="21"/>
          <w:u w:val="single"/>
        </w:rPr>
        <w:br w:type="page" w:clear="all"/>
      </w:r>
      <w:bookmarkStart w:id="182" w:name="_Toc27624"/>
      <w:r>
        <w:rPr>
          <w:rFonts w:hint="eastAsia" w:ascii="黑体" w:hAnsi="黑体" w:eastAsia="黑体"/>
          <w:b w:val="0"/>
          <w:bCs w:val="0"/>
          <w:sz w:val="28"/>
          <w:szCs w:val="28"/>
        </w:rPr>
        <w:t xml:space="preserve">第二节 政府采购合同通用条款</w:t>
      </w:r>
      <w:bookmarkEnd w:id="182"/>
      <w:r>
        <w:rPr>
          <w:rFonts w:ascii="黑体" w:hAnsi="黑体" w:eastAsia="黑体"/>
          <w:sz w:val="28"/>
          <w:szCs w:val="28"/>
        </w:rPr>
      </w:r>
      <w:r/>
    </w:p>
    <w:p>
      <w:pPr>
        <w:pStyle w:val="911"/>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911"/>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911"/>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911"/>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91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11"/>
        <w:numPr>
          <w:ilvl w:val="0"/>
          <w:numId w:val="9"/>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911"/>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911"/>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911"/>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911"/>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942"/>
        <w:ind w:firstLine="49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2"/>
        <w:ind w:firstLine="49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911"/>
        <w:numPr>
          <w:ilvl w:val="0"/>
          <w:numId w:val="10"/>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911"/>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1028"/>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911"/>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949"/>
        <w:ind w:firstLine="40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949"/>
        <w:ind w:firstLine="40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bookmarkStart w:id="18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83"/>
      <w:r>
        <w:rPr>
          <w:rFonts w:hint="eastAsia" w:ascii="宋体" w:hAnsi="宋体"/>
          <w:color w:val="000000"/>
          <w:szCs w:val="21"/>
          <w:highlight w:val="none"/>
        </w:rPr>
        <w:t xml:space="preserve">。</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911"/>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911"/>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w:t>
      </w:r>
      <w:r>
        <w:rPr>
          <w:rFonts w:hint="eastAsia" w:ascii="宋体" w:hAnsi="宋体"/>
          <w:color w:val="000000"/>
          <w:szCs w:val="21"/>
          <w:highlight w:val="none"/>
          <w:lang w:eastAsia="zh-CN"/>
        </w:rPr>
        <w:t xml:space="preserve">合同价款支付</w:t>
      </w:r>
      <w:r>
        <w:rPr>
          <w:rFonts w:hint="eastAsia" w:ascii="宋体" w:hAnsi="宋体"/>
          <w:color w:val="000000"/>
          <w:szCs w:val="21"/>
          <w:highlight w:val="none"/>
        </w:rPr>
        <w:t xml:space="preserve">按照国库集中支付</w:t>
      </w:r>
      <w:r>
        <w:rPr>
          <w:rFonts w:hint="eastAsia" w:ascii="宋体" w:hAnsi="宋体"/>
          <w:color w:val="000000"/>
          <w:szCs w:val="21"/>
          <w:highlight w:val="none"/>
          <w:lang w:eastAsia="zh-CN"/>
        </w:rPr>
        <w:t xml:space="preserve">制度及财政管理相关</w:t>
      </w:r>
      <w:r>
        <w:rPr>
          <w:rFonts w:hint="eastAsia" w:ascii="宋体" w:hAnsi="宋体"/>
          <w:color w:val="000000"/>
          <w:szCs w:val="21"/>
          <w:highlight w:val="none"/>
        </w:rPr>
        <w:t xml:space="preserve">规定执行。</w:t>
      </w:r>
      <w:r>
        <w:rPr>
          <w:rFonts w:hint="eastAsia" w:ascii="宋体" w:hAnsi="宋体" w:eastAsia="宋体"/>
          <w:color w:val="000000"/>
          <w:szCs w:val="21"/>
          <w:highlight w:val="none"/>
          <w:lang w:eastAsia="zh-CN"/>
        </w:rPr>
      </w:r>
      <w:r/>
    </w:p>
    <w:p>
      <w:pPr>
        <w:pStyle w:val="913"/>
        <w:ind w:firstLine="420"/>
        <w:spacing w:line="400" w:lineRule="exact"/>
        <w:rPr>
          <w:rFonts w:hint="eastAsia" w:eastAsia="宋体"/>
          <w:color w:val="000000"/>
          <w:highlight w:val="none"/>
          <w:lang w:eastAsia="zh-CN"/>
        </w:rPr>
      </w:pPr>
      <w:r>
        <w:rPr>
          <w:rFonts w:hint="eastAsia" w:ascii="宋体" w:hAnsi="宋体" w:cs="Times New Roman"/>
          <w:b w:val="0"/>
          <w:bCs w:val="0"/>
          <w:color w:val="000000"/>
          <w:sz w:val="21"/>
          <w:szCs w:val="21"/>
          <w:highlight w:val="none"/>
          <w:lang w:val="en-US" w:eastAsia="zh-CN"/>
        </w:rPr>
        <w:t xml:space="preserve">12.2 </w:t>
      </w:r>
      <w:r>
        <w:rPr>
          <w:rFonts w:hint="eastAsia" w:ascii="宋体" w:hAnsi="宋体" w:eastAsia="宋体" w:cs="Times New Roman"/>
          <w:b w:val="0"/>
          <w:bCs w:val="0"/>
          <w:color w:val="000000"/>
          <w:sz w:val="21"/>
          <w:szCs w:val="21"/>
          <w:highlight w:val="none"/>
        </w:rPr>
        <w:t xml:space="preserve">对于满足合同约定支付条件的，</w:t>
      </w:r>
      <w:r>
        <w:rPr>
          <w:rFonts w:hint="eastAsia" w:ascii="宋体" w:hAnsi="宋体" w:eastAsia="宋体" w:cs="Times New Roman"/>
          <w:b w:val="0"/>
          <w:bCs w:val="0"/>
          <w:color w:val="000000"/>
          <w:sz w:val="21"/>
          <w:szCs w:val="21"/>
          <w:highlight w:val="none"/>
          <w:lang w:val="en-US" w:eastAsia="zh-CN"/>
        </w:rPr>
        <w:t xml:space="preserve">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1"/>
          <w:szCs w:val="21"/>
          <w:highlight w:val="none"/>
        </w:rPr>
        <w:t xml:space="preserve">将资金支付到合同约定的</w:t>
      </w:r>
      <w:r>
        <w:rPr>
          <w:rFonts w:hint="eastAsia" w:ascii="宋体" w:hAnsi="宋体" w:cs="Times New Roman"/>
          <w:b w:val="0"/>
          <w:bCs w:val="0"/>
          <w:color w:val="000000"/>
          <w:sz w:val="21"/>
          <w:szCs w:val="21"/>
          <w:highlight w:val="none"/>
          <w:lang w:eastAsia="zh-CN"/>
        </w:rPr>
        <w:t xml:space="preserve">乙方</w:t>
      </w:r>
      <w:r>
        <w:rPr>
          <w:rFonts w:hint="eastAsia" w:ascii="宋体" w:hAnsi="宋体" w:eastAsia="宋体" w:cs="Times New Roman"/>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1"/>
          <w:szCs w:val="21"/>
          <w:highlight w:val="none"/>
          <w:lang w:val="en-US" w:eastAsia="zh-CN"/>
        </w:rPr>
        <w:t xml:space="preserve">乙方</w:t>
      </w:r>
      <w:r>
        <w:rPr>
          <w:rFonts w:hint="eastAsia" w:ascii="宋体" w:hAnsi="宋体" w:eastAsia="宋体" w:cs="Times New Roman"/>
          <w:b w:val="0"/>
          <w:bCs w:val="0"/>
          <w:color w:val="000000"/>
          <w:sz w:val="21"/>
          <w:szCs w:val="21"/>
          <w:highlight w:val="none"/>
        </w:rPr>
        <w:t xml:space="preserve">付款的条件。具体合同价款支付时间在【</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】中</w:t>
      </w:r>
      <w:r>
        <w:rPr>
          <w:rFonts w:hint="eastAsia" w:ascii="宋体" w:hAnsi="宋体" w:cs="Times New Roman"/>
          <w:b w:val="0"/>
          <w:bCs w:val="0"/>
          <w:color w:val="000000"/>
          <w:sz w:val="21"/>
          <w:szCs w:val="21"/>
          <w:highlight w:val="none"/>
          <w:lang w:eastAsia="zh-CN"/>
        </w:rPr>
        <w:t xml:space="preserve">约</w:t>
      </w:r>
      <w:r>
        <w:rPr>
          <w:rFonts w:hint="eastAsia" w:ascii="宋体" w:hAnsi="宋体" w:eastAsia="宋体" w:cs="Times New Roman"/>
          <w:b w:val="0"/>
          <w:bCs w:val="0"/>
          <w:color w:val="000000"/>
          <w:sz w:val="21"/>
          <w:szCs w:val="21"/>
          <w:highlight w:val="none"/>
        </w:rPr>
        <w:t xml:space="preserve">定。</w:t>
      </w:r>
      <w:r>
        <w:rPr>
          <w:rFonts w:hint="eastAsia" w:eastAsia="宋体"/>
          <w:color w:val="000000"/>
          <w:highlight w:val="none"/>
          <w:lang w:eastAsia="zh-CN"/>
        </w:rPr>
      </w:r>
      <w:r/>
    </w:p>
    <w:p>
      <w:pPr>
        <w:pStyle w:val="942"/>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911"/>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911"/>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1028"/>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911"/>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11"/>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911"/>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911"/>
        <w:numPr>
          <w:ilvl w:val="0"/>
          <w:numId w:val="11"/>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911"/>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28"/>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911"/>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911"/>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1028"/>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1028"/>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911"/>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102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102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02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911"/>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911"/>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911"/>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942"/>
        <w:ind w:firstLine="56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911"/>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102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102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911"/>
        <w:numPr>
          <w:ilvl w:val="0"/>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102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028"/>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911"/>
        <w:numPr>
          <w:ilvl w:val="0"/>
          <w:numId w:val="12"/>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911"/>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11"/>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bookmarkStart w:id="184" w:name="_Toc20313"/>
      <w:r>
        <w:rPr>
          <w:rFonts w:ascii="黑体" w:hAnsi="华文中宋" w:eastAsia="黑体"/>
          <w:color w:val="000000"/>
          <w:sz w:val="28"/>
          <w:szCs w:val="28"/>
        </w:rPr>
      </w:r>
      <w:r/>
    </w:p>
    <w:p>
      <w:pPr>
        <w:pStyle w:val="911"/>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r>
      <w:r/>
    </w:p>
    <w:p>
      <w:pPr>
        <w:pStyle w:val="1029"/>
        <w:rPr>
          <w:rFonts w:ascii="方正仿宋_GBK" w:hAnsi="方正仿宋_GBK" w:eastAsia="方正仿宋_GBK" w:cs="方正仿宋_GBK"/>
          <w:b w:val="0"/>
          <w:bCs w:val="0"/>
          <w:sz w:val="32"/>
          <w:szCs w:val="32"/>
          <w:lang w:eastAsia="zh-CN"/>
        </w:rPr>
      </w:pPr>
      <w:r/>
      <w:bookmarkEnd w:id="184"/>
      <w:r>
        <w:rPr>
          <w:rFonts w:hint="eastAsia" w:ascii="方正仿宋_GBK" w:hAnsi="方正仿宋_GBK" w:eastAsia="方正仿宋_GBK" w:cs="方正仿宋_GBK"/>
          <w:b w:val="0"/>
          <w:bCs w:val="0"/>
          <w:sz w:val="32"/>
          <w:szCs w:val="32"/>
          <w:lang w:eastAsia="zh-CN"/>
        </w:rPr>
        <w:t xml:space="preserve">第三节 政府采购合同专用条款</w:t>
      </w:r>
      <w:r>
        <w:rPr>
          <w:rFonts w:ascii="方正仿宋_GBK" w:hAnsi="方正仿宋_GBK" w:eastAsia="方正仿宋_GBK" w:cs="方正仿宋_GBK"/>
          <w:b w:val="0"/>
          <w:bCs w:val="0"/>
          <w:sz w:val="32"/>
          <w:szCs w:val="32"/>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16"/>
      </w:tblGrid>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第1.2（6）项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联合体具体要求</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hint="eastAsia" w:eastAsia="方正仿宋_GBK"/>
                <w:sz w:val="24"/>
                <w:szCs w:val="24"/>
              </w:rPr>
              <w:t xml:space="preserve">无</w:t>
            </w:r>
            <w:r>
              <w:rPr>
                <w:rFonts w:eastAsia="方正仿宋_GBK"/>
                <w:sz w:val="24"/>
                <w:szCs w:val="24"/>
              </w:rPr>
            </w:r>
            <w:r/>
          </w:p>
        </w:tc>
      </w:tr>
      <w:tr>
        <w:trPr>
          <w:trHeight w:val="604"/>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第1.2（7）项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其他术语解释</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第4.4款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履约验收中甲方提出异议或作出说明的期限</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自乙方交付之日起60天</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第4.6款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约定甲方承担的其他义务和责任</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提供相应的施工安装图纸，为乙方履行合同提供必要且合理的配合和协助。</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第5.4款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约定乙方承担的其他义务和责任</w:t>
            </w:r>
            <w:r>
              <w:rPr>
                <w:rFonts w:eastAsia="方正仿宋_GBK"/>
                <w:sz w:val="24"/>
                <w:szCs w:val="24"/>
              </w:rPr>
            </w:r>
            <w:r/>
          </w:p>
        </w:tc>
        <w:tc>
          <w:tcPr>
            <w:tcW w:w="6516" w:type="dxa"/>
            <w:vAlign w:val="center"/>
            <w:textDirection w:val="lrTb"/>
            <w:noWrap w:val="false"/>
          </w:tcPr>
          <w:p>
            <w:pPr>
              <w:pStyle w:val="944"/>
              <w:numPr>
                <w:ilvl w:val="0"/>
                <w:numId w:val="0"/>
              </w:numPr>
              <w:spacing w:line="400" w:lineRule="exact"/>
              <w:rPr>
                <w:rFonts w:eastAsia="方正仿宋_GBK"/>
                <w:sz w:val="24"/>
                <w:szCs w:val="24"/>
              </w:rPr>
            </w:pPr>
            <w:r>
              <w:rPr>
                <w:rFonts w:eastAsia="方正仿宋_GBK"/>
                <w:sz w:val="24"/>
                <w:szCs w:val="24"/>
              </w:rPr>
              <w:t xml:space="preserve">1.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eastAsia="方正仿宋_GBK"/>
                <w:sz w:val="24"/>
                <w:szCs w:val="24"/>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eastAsia="方正仿宋_GBK"/>
                <w:sz w:val="24"/>
                <w:szCs w:val="24"/>
              </w:rPr>
            </w:r>
            <w:r/>
          </w:p>
          <w:p>
            <w:pPr>
              <w:pStyle w:val="944"/>
              <w:numPr>
                <w:ilvl w:val="0"/>
                <w:numId w:val="0"/>
              </w:numPr>
              <w:spacing w:line="400" w:lineRule="exact"/>
              <w:rPr>
                <w:rFonts w:eastAsia="方正仿宋_GBK"/>
                <w:sz w:val="24"/>
                <w:szCs w:val="24"/>
              </w:rPr>
            </w:pPr>
            <w:r>
              <w:rPr>
                <w:rFonts w:eastAsia="方正仿宋_GBK"/>
                <w:sz w:val="24"/>
                <w:szCs w:val="24"/>
              </w:rPr>
              <w:t xml:space="preserve">2.乙方应根据甲方的要求（包括招标文件和本合同约定的要求）</w:t>
            </w:r>
            <w:r>
              <w:rPr>
                <w:rFonts w:hint="eastAsia" w:eastAsia="方正仿宋_GBK"/>
                <w:sz w:val="24"/>
                <w:szCs w:val="24"/>
              </w:rPr>
              <w:t xml:space="preserve">供货安装调试</w:t>
            </w:r>
            <w:r>
              <w:rPr>
                <w:rFonts w:eastAsia="方正仿宋_GBK"/>
                <w:sz w:val="24"/>
                <w:szCs w:val="24"/>
              </w:rPr>
              <w:t xml:space="preserve">，并应在安装</w:t>
            </w:r>
            <w:r>
              <w:rPr>
                <w:rFonts w:hint="eastAsia" w:eastAsia="方正仿宋_GBK"/>
                <w:sz w:val="24"/>
                <w:szCs w:val="24"/>
              </w:rPr>
              <w:t xml:space="preserve">调试</w:t>
            </w:r>
            <w:r>
              <w:rPr>
                <w:rFonts w:eastAsia="方正仿宋_GBK"/>
                <w:sz w:val="24"/>
                <w:szCs w:val="24"/>
              </w:rPr>
              <w:t xml:space="preserve">过程中严格执行施工规范、安全操作规程、防火安全规定、环境保护规定和乙方投标响应文件承诺的项目实施方案等。同时要配合室内装饰装修公司做好相关工序对接实施工作，乙方在作业过程中出现的安全事故，由乙方承担全部责任。安装调试过程中，乙方应无条件负责对现场的一切设施和工程成品进行保护，</w:t>
            </w:r>
            <w:r>
              <w:rPr>
                <w:rFonts w:eastAsia="方正仿宋_GBK"/>
                <w:sz w:val="24"/>
                <w:szCs w:val="24"/>
              </w:rPr>
              <w:t xml:space="preserve">在不影响安装进度的前提下，无条件配合甲方关于安装时间等安排，在约定时间内文明规范施工，避免对施工区域内正常办公等的不良影响，如因乙方安装、施工不规范或其他违反法律法规的行为造成甲方、或其他方财产损失或人身伤害的，则由乙方承担全部损失赔偿责任及其他相关法律责任。安装调试结束后，乙方必须及时完成安装现场及周边环境的恢复清理，确保完工后安装现场及周边环境的整洁美观且无安全隐患，乙方进场施工应遵守行政中心物业相关管理规定办理入场施工手续，缴纳物业配合费500元，相关费用已包含在本合同总价款中，甲方不再额外支付费用。</w:t>
            </w:r>
            <w:r>
              <w:rPr>
                <w:rFonts w:eastAsia="方正仿宋_GBK"/>
                <w:sz w:val="24"/>
                <w:szCs w:val="24"/>
              </w:rPr>
            </w:r>
            <w:r/>
          </w:p>
          <w:p>
            <w:pPr>
              <w:pStyle w:val="944"/>
              <w:ind w:left="0"/>
              <w:spacing w:line="400" w:lineRule="exact"/>
              <w:rPr>
                <w:rFonts w:eastAsia="方正仿宋_GBK"/>
                <w:sz w:val="24"/>
                <w:szCs w:val="24"/>
              </w:rPr>
            </w:pPr>
            <w:r>
              <w:rPr>
                <w:rFonts w:eastAsia="方正仿宋_GBK"/>
                <w:sz w:val="24"/>
                <w:szCs w:val="24"/>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20%违约金。</w:t>
            </w:r>
            <w:r>
              <w:rPr>
                <w:rFonts w:eastAsia="方正仿宋_GBK"/>
                <w:sz w:val="24"/>
                <w:szCs w:val="24"/>
              </w:rPr>
            </w:r>
            <w:r/>
          </w:p>
          <w:p>
            <w:pPr>
              <w:pStyle w:val="944"/>
              <w:ind w:left="0"/>
              <w:spacing w:line="400" w:lineRule="exact"/>
              <w:rPr>
                <w:rFonts w:eastAsia="方正仿宋_GBK"/>
                <w:sz w:val="24"/>
                <w:szCs w:val="24"/>
              </w:rPr>
            </w:pPr>
            <w:r>
              <w:rPr>
                <w:rFonts w:eastAsia="方正仿宋_GBK"/>
                <w:sz w:val="24"/>
                <w:szCs w:val="24"/>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eastAsia="方正仿宋_GBK"/>
                <w:sz w:val="24"/>
                <w:szCs w:val="24"/>
              </w:rPr>
            </w:r>
            <w:r/>
          </w:p>
          <w:p>
            <w:pPr>
              <w:pStyle w:val="944"/>
              <w:ind w:left="0"/>
              <w:spacing w:line="400" w:lineRule="exact"/>
              <w:rPr>
                <w:rFonts w:eastAsia="方正仿宋_GBK"/>
                <w:sz w:val="24"/>
                <w:szCs w:val="24"/>
              </w:rPr>
            </w:pPr>
            <w:r>
              <w:rPr>
                <w:rFonts w:eastAsia="方正仿宋_GBK"/>
                <w:sz w:val="24"/>
                <w:szCs w:val="24"/>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 20 %的违约金。若乙方支付的违约金不足以弥补甲方损失的，乙方还须继续承担损失赔偿责任。  </w:t>
            </w:r>
            <w:r>
              <w:rPr>
                <w:rFonts w:eastAsia="方正仿宋_GBK"/>
                <w:sz w:val="24"/>
                <w:szCs w:val="24"/>
              </w:rPr>
            </w:r>
            <w:r/>
          </w:p>
          <w:p>
            <w:pPr>
              <w:pStyle w:val="944"/>
              <w:ind w:left="0"/>
              <w:spacing w:line="400" w:lineRule="exact"/>
              <w:rPr>
                <w:rFonts w:eastAsia="方正仿宋_GBK"/>
                <w:sz w:val="24"/>
                <w:szCs w:val="24"/>
              </w:rPr>
            </w:pPr>
            <w:r>
              <w:rPr>
                <w:rFonts w:eastAsia="方正仿宋_GBK"/>
                <w:sz w:val="24"/>
                <w:szCs w:val="24"/>
              </w:rPr>
              <w:t xml:space="preserve">以上条款中乙方的责任承担期限不受甲方已收货且出具验收确认书的限制。</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8.乙方应按投标文件列明的项目实施质量安全保障措施进行项目实施，相关措施应确保安装质量、安全、环境保护、文明施</w:t>
            </w:r>
            <w:r>
              <w:rPr>
                <w:rFonts w:eastAsia="方正仿宋_GBK"/>
                <w:sz w:val="24"/>
                <w:szCs w:val="24"/>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第6.1款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履行合同义务的顺序</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乙方履行合同义务在先，甲方履行合同义务在后。</w:t>
            </w:r>
            <w:r>
              <w:rPr>
                <w:rFonts w:eastAsia="方正仿宋_GBK"/>
                <w:sz w:val="24"/>
                <w:szCs w:val="24"/>
              </w:rPr>
            </w:r>
            <w:r/>
          </w:p>
        </w:tc>
      </w:tr>
      <w:tr>
        <w:trPr>
          <w:cantSplit/>
          <w:trHeight w:val="667"/>
        </w:trPr>
        <w:tc>
          <w:tcPr>
            <w:tcW w:w="1607" w:type="dxa"/>
            <w:vAlign w:val="center"/>
            <w:vMerge w:val="restart"/>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第7.1款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包装特殊要求</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r>
            <w:r/>
          </w:p>
        </w:tc>
      </w:tr>
      <w:tr>
        <w:trPr>
          <w:cantSplit/>
          <w:trHeight w:val="667"/>
        </w:trPr>
        <w:tc>
          <w:tcPr>
            <w:tcW w:w="1607" w:type="dxa"/>
            <w:vAlign w:val="center"/>
            <w:vMerge w:val="continue"/>
            <w:textDirection w:val="lrTb"/>
            <w:noWrap w:val="false"/>
          </w:tcPr>
          <w:p>
            <w:pPr>
              <w:pStyle w:val="911"/>
              <w:jc w:val="center"/>
              <w:rPr>
                <w:rFonts w:eastAsia="方正仿宋_GBK"/>
                <w:sz w:val="24"/>
                <w:szCs w:val="24"/>
              </w:rPr>
            </w:pP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指定现场</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t xml:space="preserve">运送至南通市</w:t>
            </w:r>
            <w:r>
              <w:rPr>
                <w:rFonts w:hint="eastAsia" w:eastAsia="方正仿宋_GBK"/>
                <w:sz w:val="24"/>
                <w:szCs w:val="24"/>
                <w:lang w:val="en-US" w:eastAsia="zh-CN"/>
              </w:rPr>
              <w:t xml:space="preserve">启秀中学滨江校区</w:t>
            </w:r>
            <w:r>
              <w:rPr>
                <w:rFonts w:eastAsia="方正仿宋_GBK"/>
                <w:sz w:val="24"/>
                <w:szCs w:val="24"/>
              </w:rPr>
              <w:t xml:space="preserve">指定位置。</w:t>
            </w:r>
            <w:r>
              <w:rPr>
                <w:rFonts w:eastAsia="方正仿宋_GBK"/>
                <w:sz w:val="24"/>
                <w:szCs w:val="24"/>
              </w:rPr>
            </w:r>
            <w:r/>
          </w:p>
        </w:tc>
      </w:tr>
      <w:tr>
        <w:trPr>
          <w:trHeight w:val="772"/>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第7.2款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运输特殊要求</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r>
            <w:r/>
          </w:p>
        </w:tc>
      </w:tr>
      <w:tr>
        <w:trPr>
          <w:trHeight w:val="667"/>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第7.3款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保险要求</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t xml:space="preserve">由乙方自行承担，已包含在合同价款中，甲方不再另行支付。</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第8.2（1）项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质量保证期</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自该项目竣工验收合格之日起算</w:t>
            </w:r>
            <w:r>
              <w:rPr>
                <w:rFonts w:eastAsia="方正仿宋_GBK"/>
                <w:sz w:val="24"/>
                <w:szCs w:val="24"/>
                <w:u w:val="single"/>
              </w:rPr>
              <w:t xml:space="preserve">    </w:t>
            </w:r>
            <w:r>
              <w:rPr>
                <w:rFonts w:eastAsia="方正仿宋_GBK"/>
                <w:sz w:val="24"/>
                <w:szCs w:val="24"/>
              </w:rPr>
              <w:t xml:space="preserve">个月（招标要求不少于叁年，具体以中标供应商投标承诺为准）。</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第8.2（3）项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货物质量缺陷</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响应时间</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设备质保期从项目验收合格通过、采购单位接受并签字认可之日起计算。质保期内，采购人向中标供应商发出故障通知后，一般故障须在8小时内解决，重大故障须在48小时内解决。具体响应时间以承包人投标承诺为准。</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1028"/>
              <w:ind w:firstLine="0"/>
              <w:jc w:val="center"/>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第11.1款</w:t>
            </w:r>
            <w:r>
              <w:rPr>
                <w:rFonts w:ascii="Times New Roman" w:hAnsi="Times New Roman" w:eastAsia="方正仿宋_GBK" w:cs="Times New Roman"/>
                <w:sz w:val="24"/>
                <w:szCs w:val="24"/>
              </w:rPr>
            </w:r>
            <w:r/>
          </w:p>
        </w:tc>
        <w:tc>
          <w:tcPr>
            <w:tcW w:w="1742" w:type="dxa"/>
            <w:vAlign w:val="center"/>
            <w:textDirection w:val="lrTb"/>
            <w:noWrap w:val="false"/>
          </w:tcPr>
          <w:p>
            <w:pPr>
              <w:pStyle w:val="911"/>
              <w:rPr>
                <w:rFonts w:eastAsia="方正仿宋_GBK"/>
                <w:sz w:val="24"/>
                <w:szCs w:val="24"/>
              </w:rPr>
            </w:pPr>
            <w:r>
              <w:rPr>
                <w:rFonts w:eastAsia="方正仿宋_GBK"/>
                <w:sz w:val="24"/>
                <w:szCs w:val="24"/>
              </w:rPr>
              <w:t xml:space="preserve">其他应当保密的信息</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rPr>
                <w:rFonts w:eastAsia="方正仿宋_GBK"/>
                <w:sz w:val="24"/>
                <w:szCs w:val="24"/>
              </w:rPr>
            </w:r>
            <w:r/>
          </w:p>
        </w:tc>
      </w:tr>
      <w:tr>
        <w:trPr>
          <w:trHeight w:val="697"/>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第12.2款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合同价款支付时间</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hint="eastAsia" w:eastAsia="方正仿宋_GBK"/>
                <w:sz w:val="24"/>
                <w:szCs w:val="24"/>
                <w:highlight w:val="none"/>
                <w:lang w:val="en-US" w:eastAsia="zh-CN"/>
              </w:rPr>
              <w:t xml:space="preserve">货物进场安装调试完毕</w:t>
            </w:r>
            <w:r>
              <w:rPr>
                <w:rFonts w:hint="eastAsia" w:eastAsia="方正仿宋_GBK"/>
                <w:sz w:val="24"/>
                <w:szCs w:val="24"/>
                <w:highlight w:val="none"/>
              </w:rPr>
              <w:t xml:space="preserve">，</w:t>
            </w:r>
            <w:r>
              <w:rPr>
                <w:rFonts w:hint="eastAsia" w:eastAsia="方正仿宋_GBK"/>
                <w:sz w:val="24"/>
                <w:szCs w:val="24"/>
                <w:highlight w:val="none"/>
                <w:lang w:val="en-US" w:eastAsia="zh-CN"/>
              </w:rPr>
              <w:t xml:space="preserve">达到履约验收条件，采购方将于10日内组织专家进行验收。验收合格后，60天内按合同支付全部货款。</w:t>
            </w:r>
            <w:r>
              <w:rPr>
                <w:rFonts w:eastAsia="方正仿宋_GBK"/>
                <w:sz w:val="24"/>
                <w:szCs w:val="24"/>
              </w:rPr>
            </w:r>
            <w:r/>
          </w:p>
        </w:tc>
      </w:tr>
      <w:tr>
        <w:trPr>
          <w:trHeight w:val="697"/>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第13.2款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履约保证金不予退还的情形</w:t>
            </w:r>
            <w:r>
              <w:rPr>
                <w:rFonts w:eastAsia="方正仿宋_GBK"/>
                <w:sz w:val="24"/>
                <w:szCs w:val="24"/>
              </w:rPr>
            </w:r>
            <w:r/>
          </w:p>
        </w:tc>
        <w:tc>
          <w:tcPr>
            <w:tcW w:w="6516" w:type="dxa"/>
            <w:vAlign w:val="center"/>
            <w:textDirection w:val="lrTb"/>
            <w:noWrap w:val="false"/>
          </w:tcPr>
          <w:p>
            <w:pPr>
              <w:pStyle w:val="911"/>
              <w:spacing w:line="400" w:lineRule="exact"/>
              <w:rPr>
                <w:rFonts w:eastAsia="方正仿宋_GBK"/>
                <w:sz w:val="24"/>
                <w:szCs w:val="24"/>
              </w:rPr>
            </w:pPr>
            <w:r>
              <w:rPr>
                <w:rFonts w:hint="eastAsia" w:eastAsia="方正仿宋_GBK"/>
                <w:sz w:val="24"/>
                <w:szCs w:val="24"/>
              </w:rPr>
              <w:t xml:space="preserve">1.未经甲方书面认可，逾期交货；</w:t>
            </w:r>
            <w:r>
              <w:rPr>
                <w:rFonts w:eastAsia="方正仿宋_GBK"/>
                <w:sz w:val="24"/>
                <w:szCs w:val="24"/>
              </w:rPr>
            </w:r>
            <w:r/>
          </w:p>
          <w:p>
            <w:pPr>
              <w:pStyle w:val="911"/>
              <w:spacing w:line="400" w:lineRule="exact"/>
              <w:rPr>
                <w:rFonts w:eastAsia="方正仿宋_GBK"/>
                <w:sz w:val="24"/>
                <w:szCs w:val="24"/>
              </w:rPr>
            </w:pPr>
            <w:r>
              <w:rPr>
                <w:rFonts w:hint="eastAsia" w:eastAsia="方正仿宋_GBK"/>
                <w:sz w:val="24"/>
                <w:szCs w:val="24"/>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rPr>
                <w:rFonts w:eastAsia="方正仿宋_GBK"/>
                <w:sz w:val="24"/>
                <w:szCs w:val="24"/>
              </w:rPr>
            </w:r>
            <w:r/>
          </w:p>
          <w:p>
            <w:pPr>
              <w:pStyle w:val="911"/>
              <w:spacing w:line="400" w:lineRule="exact"/>
              <w:rPr>
                <w:rFonts w:eastAsia="方正仿宋_GBK"/>
                <w:sz w:val="24"/>
                <w:szCs w:val="24"/>
              </w:rPr>
            </w:pPr>
            <w:r>
              <w:rPr>
                <w:rFonts w:hint="eastAsia" w:eastAsia="方正仿宋_GBK"/>
                <w:sz w:val="24"/>
                <w:szCs w:val="24"/>
              </w:rPr>
              <w:t xml:space="preserve">3.乙方不参与验收、故意拖延验收，货物验收不合格。</w:t>
            </w:r>
            <w:r>
              <w:rPr>
                <w:rFonts w:eastAsia="方正仿宋_GBK"/>
                <w:sz w:val="24"/>
                <w:szCs w:val="24"/>
              </w:rPr>
            </w:r>
            <w:r/>
          </w:p>
          <w:p>
            <w:pPr>
              <w:pStyle w:val="911"/>
              <w:spacing w:line="400" w:lineRule="exact"/>
              <w:rPr>
                <w:rFonts w:ascii="宋体" w:hAnsi="宋体"/>
                <w:szCs w:val="21"/>
              </w:rPr>
            </w:pPr>
            <w:r>
              <w:rPr>
                <w:rFonts w:hint="eastAsia" w:eastAsia="方正仿宋_GBK"/>
                <w:sz w:val="24"/>
                <w:szCs w:val="24"/>
              </w:rPr>
              <w:t xml:space="preserve">4.乙方未及时按招标文件、投标文件和合同约定提供货物质保服务。</w:t>
            </w:r>
            <w:r>
              <w:rPr>
                <w:rFonts w:ascii="宋体" w:hAnsi="宋体"/>
                <w:szCs w:val="21"/>
              </w:rPr>
            </w:r>
            <w:r/>
          </w:p>
        </w:tc>
      </w:tr>
      <w:tr>
        <w:trPr>
          <w:trHeight w:val="934"/>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第13.3款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履约保证金退还时间及逾期退还的违约金</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自甲方最终书面确认验收合格之日起15日内，甲方书面确认无质量问题且乙方无违约情形后将履约保证金一次性无息退还给乙方。</w:t>
            </w:r>
            <w:r>
              <w:rPr>
                <w:rFonts w:eastAsia="方正仿宋_GBK"/>
                <w:sz w:val="24"/>
                <w:szCs w:val="24"/>
              </w:rPr>
            </w:r>
            <w:r/>
          </w:p>
        </w:tc>
      </w:tr>
      <w:tr>
        <w:trPr>
          <w:trHeight w:val="784"/>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第14.1（3）项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运行监督、维修期限</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按招标文件的要求和乙方投标响应执行，具体如下：</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     】</w:t>
            </w:r>
            <w:r>
              <w:rPr>
                <w:rFonts w:eastAsia="方正仿宋_GBK"/>
                <w:sz w:val="24"/>
                <w:szCs w:val="24"/>
              </w:rPr>
            </w:r>
            <w:r/>
          </w:p>
        </w:tc>
      </w:tr>
      <w:tr>
        <w:trPr>
          <w:trHeight w:val="784"/>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第14.1（5）项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货物回收的约定</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按相关法律法规执行。</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第14.1（6）项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乙方提供的其他服务</w:t>
            </w:r>
            <w:r>
              <w:rPr>
                <w:rFonts w:eastAsia="方正仿宋_GBK"/>
                <w:sz w:val="24"/>
                <w:szCs w:val="24"/>
              </w:rPr>
            </w:r>
            <w:r/>
          </w:p>
        </w:tc>
        <w:tc>
          <w:tcPr>
            <w:tcW w:w="6516" w:type="dxa"/>
            <w:vAlign w:val="center"/>
            <w:textDirection w:val="lrTb"/>
            <w:noWrap w:val="false"/>
          </w:tcPr>
          <w:p>
            <w:pPr>
              <w:pStyle w:val="911"/>
              <w:jc w:val="left"/>
              <w:spacing w:line="378" w:lineRule="exact"/>
              <w:rPr>
                <w:rFonts w:eastAsia="方正仿宋_GBK"/>
                <w:sz w:val="24"/>
                <w:szCs w:val="24"/>
              </w:rPr>
            </w:pPr>
            <w:r>
              <w:rPr>
                <w:rFonts w:eastAsia="方正仿宋_GBK"/>
                <w:sz w:val="24"/>
                <w:szCs w:val="24"/>
              </w:rPr>
              <w:t xml:space="preserve">1.乙方对本合同约定货物提供终身维保服务，提供备品备件，以保证质保到期后及时维修和更换，乙方必按成本价供应备品备件，且不再另外收取人工费。</w:t>
            </w:r>
            <w:r>
              <w:rPr>
                <w:rFonts w:eastAsia="方正仿宋_GBK"/>
                <w:sz w:val="24"/>
                <w:szCs w:val="24"/>
              </w:rPr>
            </w:r>
            <w:r/>
          </w:p>
          <w:p>
            <w:pPr>
              <w:pStyle w:val="911"/>
              <w:jc w:val="left"/>
              <w:spacing w:line="378" w:lineRule="exact"/>
              <w:rPr>
                <w:rFonts w:eastAsia="方正仿宋_GBK"/>
                <w:sz w:val="24"/>
                <w:szCs w:val="24"/>
              </w:rPr>
            </w:pPr>
            <w:r>
              <w:rPr>
                <w:rFonts w:eastAsia="方正仿宋_GBK"/>
                <w:sz w:val="24"/>
                <w:szCs w:val="24"/>
              </w:rPr>
              <w:t xml:space="preserve">2.乙方能提供及时、有效的售后服务。乙方须终身提供免费的应用咨询及技术帮助。如提供的货物及安装出现问题，乙方须投标文件响应的时间内上门维修。乙方提供针对本项目的售后服务方案，配备相应的售后服务人员，售后人员姓名【 】联系方式【 】，确保项目要求的各项售后服务的实现。</w:t>
            </w:r>
            <w:r>
              <w:rPr>
                <w:rFonts w:eastAsia="方正仿宋_GBK"/>
                <w:sz w:val="24"/>
                <w:szCs w:val="24"/>
              </w:rPr>
            </w:r>
            <w:r/>
          </w:p>
          <w:p>
            <w:pPr>
              <w:pStyle w:val="911"/>
              <w:jc w:val="left"/>
              <w:spacing w:line="378" w:lineRule="exact"/>
              <w:rPr>
                <w:rFonts w:eastAsia="方正仿宋_GBK"/>
                <w:sz w:val="24"/>
                <w:szCs w:val="24"/>
              </w:rPr>
            </w:pPr>
            <w:r>
              <w:rPr>
                <w:rFonts w:eastAsia="方正仿宋_GBK"/>
                <w:sz w:val="24"/>
                <w:szCs w:val="24"/>
              </w:rPr>
              <w:t xml:space="preserve">3.本合同约定的货物质保期内发生的一切质量问题由乙方负责免费处理，如所购货物和安装有重大质量问题，由乙方负责包换、包退。</w:t>
            </w:r>
            <w:r>
              <w:rPr>
                <w:rFonts w:eastAsia="方正仿宋_GBK"/>
                <w:sz w:val="24"/>
                <w:szCs w:val="24"/>
              </w:rPr>
            </w:r>
            <w:r/>
          </w:p>
          <w:p>
            <w:pPr>
              <w:pStyle w:val="911"/>
              <w:jc w:val="left"/>
              <w:spacing w:line="378" w:lineRule="exact"/>
              <w:rPr>
                <w:rFonts w:eastAsia="方正仿宋_GBK"/>
                <w:sz w:val="24"/>
                <w:szCs w:val="24"/>
              </w:rPr>
            </w:pPr>
            <w:r>
              <w:rPr>
                <w:rFonts w:eastAsia="方正仿宋_GBK"/>
                <w:sz w:val="24"/>
                <w:szCs w:val="24"/>
              </w:rPr>
              <w:t xml:space="preserve">4.质保期结束后，乙方继续免费提供各项技术支持和咨询，乙方必按成本价供应备品备件，且不另外收取人工费。</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第15.1款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修理、重作、更换相关具体规定</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t xml:space="preserve">乙方提供的货物在质量期内因货物本身的质量问题发生故障，乙方应负责免费更换。对达不到技术要求者，根据实际情况，经双方协商，可按以下办法处理：</w:t>
            </w:r>
            <w:r>
              <w:rPr>
                <w:rFonts w:eastAsia="方正仿宋_GBK"/>
                <w:sz w:val="24"/>
                <w:szCs w:val="24"/>
              </w:rPr>
            </w:r>
            <w:r/>
          </w:p>
          <w:p>
            <w:pPr>
              <w:pStyle w:val="911"/>
              <w:rPr>
                <w:rFonts w:eastAsia="方正仿宋_GBK"/>
                <w:sz w:val="24"/>
                <w:szCs w:val="24"/>
              </w:rPr>
            </w:pPr>
            <w:r>
              <w:rPr>
                <w:rFonts w:eastAsia="方正仿宋_GBK"/>
                <w:sz w:val="24"/>
                <w:szCs w:val="24"/>
              </w:rPr>
              <w:t xml:space="preserve">（1）更换：由乙方承担所发生的全部费用。</w:t>
            </w:r>
            <w:r>
              <w:rPr>
                <w:rFonts w:eastAsia="方正仿宋_GBK"/>
                <w:sz w:val="24"/>
                <w:szCs w:val="24"/>
              </w:rPr>
            </w:r>
            <w:r/>
          </w:p>
          <w:p>
            <w:pPr>
              <w:pStyle w:val="911"/>
              <w:rPr>
                <w:rFonts w:eastAsia="方正仿宋_GBK"/>
                <w:sz w:val="24"/>
                <w:szCs w:val="24"/>
              </w:rPr>
            </w:pPr>
            <w:r>
              <w:rPr>
                <w:rFonts w:eastAsia="方正仿宋_GBK"/>
                <w:sz w:val="24"/>
                <w:szCs w:val="24"/>
              </w:rPr>
              <w:t xml:space="preserve">（2）贬值处理：由甲乙双方合议定价。</w:t>
            </w:r>
            <w:r>
              <w:rPr>
                <w:rFonts w:eastAsia="方正仿宋_GBK"/>
                <w:sz w:val="24"/>
                <w:szCs w:val="24"/>
              </w:rPr>
            </w:r>
            <w:r/>
          </w:p>
          <w:p>
            <w:pPr>
              <w:pStyle w:val="911"/>
              <w:rPr>
                <w:rFonts w:eastAsia="方正仿宋_GBK"/>
                <w:sz w:val="24"/>
                <w:szCs w:val="24"/>
              </w:rPr>
            </w:pPr>
            <w:r>
              <w:rPr>
                <w:rFonts w:eastAsia="方正仿宋_GBK"/>
                <w:sz w:val="24"/>
                <w:szCs w:val="24"/>
              </w:rPr>
              <w:t xml:space="preserve">（3）退货处理：乙方应退还甲方支付的合同款，同时应承担该货物的直接费用（运输、保险、检验、货款利息及银行手续费等）。</w:t>
            </w:r>
            <w:r>
              <w:rPr>
                <w:rFonts w:eastAsia="方正仿宋_GBK"/>
                <w:sz w:val="24"/>
                <w:szCs w:val="24"/>
              </w:rPr>
            </w:r>
            <w:r/>
          </w:p>
        </w:tc>
      </w:tr>
      <w:tr>
        <w:trPr>
          <w:trHeight w:val="3600"/>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第15.2（2）项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迟延交货赔偿费</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t xml:space="preserve">（1）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r>
              <w:rPr>
                <w:rFonts w:eastAsia="方正仿宋_GBK"/>
                <w:sz w:val="24"/>
                <w:szCs w:val="24"/>
              </w:rPr>
            </w:r>
            <w:r/>
          </w:p>
          <w:p>
            <w:pPr>
              <w:pStyle w:val="911"/>
              <w:rPr>
                <w:rFonts w:eastAsia="方正仿宋_GBK"/>
                <w:sz w:val="24"/>
                <w:szCs w:val="24"/>
                <w:u w:val="single"/>
              </w:rPr>
            </w:pPr>
            <w:r>
              <w:rPr>
                <w:rFonts w:eastAsia="方正仿宋_GBK"/>
                <w:sz w:val="24"/>
                <w:szCs w:val="24"/>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eastAsia="方正仿宋_GBK"/>
                <w:sz w:val="24"/>
                <w:szCs w:val="24"/>
                <w:u w:val="single"/>
              </w:rPr>
            </w:r>
            <w:r/>
          </w:p>
        </w:tc>
      </w:tr>
      <w:tr>
        <w:trPr>
          <w:trHeight w:val="736"/>
        </w:trPr>
        <w:tc>
          <w:tcPr>
            <w:tcW w:w="1607" w:type="dxa"/>
            <w:vAlign w:val="center"/>
            <w:textDirection w:val="lrTb"/>
            <w:noWrap w:val="false"/>
          </w:tcPr>
          <w:p>
            <w:pPr>
              <w:pStyle w:val="911"/>
              <w:ind w:firstLine="420"/>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第15.3</w:t>
            </w:r>
            <w:r>
              <w:rPr>
                <w:rFonts w:hint="eastAsia" w:eastAsia="方正仿宋_GBK"/>
                <w:sz w:val="24"/>
                <w:szCs w:val="24"/>
              </w:rPr>
              <w:t xml:space="preserve">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逾期付款利息</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u w:val="single"/>
              </w:rPr>
            </w:pPr>
            <w:r>
              <w:rPr>
                <w:rFonts w:eastAsia="方正仿宋_GBK"/>
                <w:sz w:val="24"/>
                <w:szCs w:val="24"/>
              </w:rPr>
              <w:t xml:space="preserve">乙方理解甲方财务制度的特殊性，自愿放弃向甲方主张逾期付款利息。</w:t>
            </w:r>
            <w:r>
              <w:rPr>
                <w:rFonts w:eastAsia="方正仿宋_GBK"/>
                <w:sz w:val="24"/>
                <w:szCs w:val="24"/>
                <w:u w:val="single"/>
              </w:rPr>
            </w:r>
            <w:r/>
          </w:p>
        </w:tc>
      </w:tr>
      <w:tr>
        <w:trPr>
          <w:trHeight w:val="87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第15.4款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其他违约责任</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hint="eastAsia" w:eastAsia="方正仿宋_GBK"/>
                <w:sz w:val="24"/>
                <w:szCs w:val="24"/>
              </w:rPr>
              <w:t xml:space="preserve">（</w:t>
            </w:r>
            <w:r>
              <w:rPr>
                <w:rFonts w:eastAsia="方正仿宋_GBK"/>
                <w:sz w:val="24"/>
                <w:szCs w:val="24"/>
              </w:rPr>
              <w:t xml:space="preserve">1）乙方如有转包或未经甲方同意的分包行为，则构成乙方违约，甲方有权单方解除合同，并没收乙方履约保证金。</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履约保证金不足扣除或已退还乙方的，甲方有权要求乙方继续支付。</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（4）如因产品质量问题，致使设备不能有效使用运转时长超过48小时，则构成乙方违约，乙方自设备不能有效使用运转之日起，乙方应按每日2000.00元向甲方支付违约金，直至设备恢复正常使用之日。</w:t>
            </w:r>
            <w:r>
              <w:rPr>
                <w:rFonts w:eastAsia="方正仿宋_GBK"/>
                <w:sz w:val="24"/>
                <w:szCs w:val="24"/>
              </w:rPr>
            </w:r>
            <w:r/>
          </w:p>
          <w:p>
            <w:pPr>
              <w:pStyle w:val="911"/>
              <w:jc w:val="left"/>
              <w:rPr>
                <w:rFonts w:eastAsia="方正仿宋_GBK"/>
                <w:sz w:val="24"/>
                <w:szCs w:val="24"/>
                <w:u w:val="single"/>
              </w:rPr>
            </w:pPr>
            <w:r>
              <w:rPr>
                <w:rFonts w:eastAsia="方正仿宋_GBK"/>
                <w:sz w:val="24"/>
                <w:szCs w:val="24"/>
              </w:rPr>
              <w:t xml:space="preserve">（5）乙方未能按照本合同要求提供相应质保服务的，甲方有权将乙方列入采购黑名单，以后将不予合作。</w:t>
            </w:r>
            <w:r>
              <w:rPr>
                <w:rFonts w:eastAsia="方正仿宋_GBK"/>
                <w:sz w:val="24"/>
                <w:szCs w:val="24"/>
                <w:u w:val="single"/>
              </w:rPr>
            </w:r>
            <w:r/>
          </w:p>
        </w:tc>
      </w:tr>
      <w:tr>
        <w:trPr>
          <w:trHeight w:val="90"/>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第19.2款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解决争议的方法</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因本合同及合同有关事项发生的争议，按下列第（1）种方式解决：</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（1）向</w:t>
            </w:r>
            <w:r>
              <w:rPr>
                <w:rFonts w:eastAsia="方正仿宋_GBK"/>
                <w:sz w:val="24"/>
                <w:szCs w:val="24"/>
                <w:u w:val="single"/>
              </w:rPr>
              <w:t xml:space="preserve">南通</w:t>
            </w:r>
            <w:r>
              <w:rPr>
                <w:rFonts w:eastAsia="方正仿宋_GBK"/>
                <w:sz w:val="24"/>
                <w:szCs w:val="24"/>
              </w:rPr>
              <w:t xml:space="preserve">仲裁委员会申请仲裁，仲裁地点为</w:t>
            </w:r>
            <w:r>
              <w:rPr>
                <w:rFonts w:eastAsia="方正仿宋_GBK"/>
                <w:sz w:val="24"/>
                <w:szCs w:val="24"/>
                <w:u w:val="single"/>
              </w:rPr>
              <w:t xml:space="preserve">南通市崇文路2号 </w:t>
            </w:r>
            <w:r>
              <w:rPr>
                <w:rFonts w:eastAsia="方正仿宋_GBK"/>
                <w:sz w:val="24"/>
                <w:szCs w:val="24"/>
              </w:rPr>
              <w:t xml:space="preserve">；</w:t>
            </w:r>
            <w:r>
              <w:rPr>
                <w:rFonts w:eastAsia="方正仿宋_GBK"/>
                <w:sz w:val="24"/>
                <w:szCs w:val="24"/>
              </w:rPr>
            </w:r>
            <w:r/>
          </w:p>
          <w:p>
            <w:pPr>
              <w:pStyle w:val="911"/>
              <w:jc w:val="left"/>
              <w:rPr>
                <w:rFonts w:eastAsia="方正仿宋_GBK"/>
                <w:sz w:val="24"/>
                <w:szCs w:val="24"/>
                <w:u w:val="single"/>
              </w:rPr>
            </w:pPr>
            <w:r>
              <w:rPr>
                <w:rFonts w:eastAsia="方正仿宋_GBK"/>
                <w:sz w:val="24"/>
                <w:szCs w:val="24"/>
              </w:rPr>
              <w:t xml:space="preserve">（2）向</w:t>
            </w:r>
            <w:r>
              <w:rPr>
                <w:rFonts w:eastAsia="方正仿宋_GBK"/>
                <w:sz w:val="24"/>
                <w:szCs w:val="24"/>
                <w:u w:val="single"/>
              </w:rPr>
              <w:t xml:space="preserve">          /          </w:t>
            </w:r>
            <w:r>
              <w:rPr>
                <w:rFonts w:eastAsia="方正仿宋_GBK"/>
                <w:sz w:val="24"/>
                <w:szCs w:val="24"/>
              </w:rPr>
              <w:t xml:space="preserve">人民法院起诉。</w:t>
            </w:r>
            <w:r>
              <w:rPr>
                <w:rFonts w:eastAsia="方正仿宋_GBK"/>
                <w:sz w:val="24"/>
                <w:szCs w:val="24"/>
                <w:u w:val="single"/>
              </w:rPr>
            </w:r>
            <w:r/>
          </w:p>
        </w:tc>
      </w:tr>
      <w:tr>
        <w:trPr>
          <w:trHeight w:val="770"/>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第23.1款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bCs/>
                <w:sz w:val="24"/>
                <w:szCs w:val="24"/>
              </w:rPr>
              <w:t xml:space="preserve">其他专用条款</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乙方须确保自合同签订之日起60个日历天内送货至甲方书面指定地点并完成安装调试和交付。乙方应充分考虑装饰装修工程进度等情况对本次货物安装造成的影响，并配备充足的人力、物力，不得以工程现场交叉施工为由拖延安装时间，甲方为中标供应商现场安装提供必要的协调。否则乙方须按照本合同第15.2（2）款向甲方支付违约金。</w:t>
            </w:r>
            <w:r>
              <w:rPr>
                <w:rFonts w:eastAsia="方正仿宋_GBK"/>
                <w:sz w:val="24"/>
                <w:szCs w:val="24"/>
              </w:rPr>
            </w:r>
            <w:r/>
          </w:p>
        </w:tc>
      </w:tr>
    </w:tbl>
    <w:p>
      <w:pPr>
        <w:pStyle w:val="911"/>
        <w:rPr>
          <w:rFonts w:ascii="方正仿宋_GBK" w:hAnsi="方正仿宋_GBK" w:eastAsia="方正仿宋_GBK" w:cs="方正仿宋_GBK"/>
          <w:szCs w:val="21"/>
        </w:rPr>
        <w:sectPr>
          <w:footnotePr/>
          <w:endnotePr/>
          <w:type w:val="nextPage"/>
          <w:pgSz w:w="11906" w:h="16838" w:orient="portrait"/>
          <w:pgMar w:top="1327" w:right="1080" w:bottom="1327" w:left="1080" w:header="851" w:footer="992" w:gutter="0"/>
          <w:cols w:num="1" w:sep="0" w:space="1701" w:equalWidth="1"/>
          <w:docGrid w:linePitch="360"/>
        </w:sectPr>
      </w:pPr>
      <w:r>
        <w:rPr>
          <w:rFonts w:ascii="方正仿宋_GBK" w:hAnsi="方正仿宋_GBK" w:eastAsia="方正仿宋_GBK" w:cs="方正仿宋_GBK"/>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四章 采购需求</w:t>
      </w:r>
      <w:bookmarkEnd w:id="176"/>
      <w:r/>
      <w:bookmarkEnd w:id="177"/>
      <w:r/>
      <w:bookmarkEnd w:id="178"/>
      <w:r>
        <w:rPr>
          <w:rFonts w:hint="eastAsia" w:ascii="宋体" w:hAnsi="宋体" w:cs="Courier New"/>
          <w:color w:val="000000"/>
          <w:sz w:val="24"/>
          <w:szCs w:val="24"/>
        </w:rPr>
      </w:r>
      <w:r/>
    </w:p>
    <w:p>
      <w:pPr>
        <w:pStyle w:val="911"/>
        <w:spacing w:line="480" w:lineRule="exact"/>
        <w:rPr>
          <w:rFonts w:hint="eastAsia" w:ascii="仿宋" w:hAnsi="仿宋" w:eastAsia="仿宋"/>
          <w:color w:val="000000"/>
          <w:sz w:val="28"/>
          <w:szCs w:val="28"/>
          <w:highlight w:val="none"/>
        </w:rPr>
      </w:pPr>
      <w:r/>
      <w:bookmarkStart w:id="185" w:name="_Toc49090575"/>
      <w:r/>
      <w:bookmarkStart w:id="186" w:name="_Toc26554093"/>
      <w:r>
        <w:rPr>
          <w:rFonts w:hint="eastAsia" w:ascii="仿宋" w:hAnsi="仿宋" w:eastAsia="仿宋"/>
          <w:color w:val="000000"/>
          <w:sz w:val="28"/>
          <w:szCs w:val="28"/>
          <w:highlight w:val="none"/>
        </w:rPr>
        <w:t xml:space="preserve">项目属性:货物类项目。</w:t>
      </w:r>
      <w:r>
        <w:rPr>
          <w:rFonts w:hint="eastAsia" w:ascii="仿宋" w:hAnsi="仿宋" w:eastAsia="仿宋"/>
          <w:color w:val="000000"/>
          <w:sz w:val="28"/>
          <w:szCs w:val="28"/>
          <w:highlight w:val="none"/>
        </w:rPr>
      </w:r>
      <w:r/>
    </w:p>
    <w:p>
      <w:pPr>
        <w:pStyle w:val="911"/>
        <w:spacing w:line="480" w:lineRule="exact"/>
        <w:rPr>
          <w:rFonts w:hint="eastAsia" w:ascii="仿宋" w:hAnsi="仿宋" w:eastAsia="仿宋"/>
          <w:b/>
          <w:color w:val="000000"/>
          <w:sz w:val="28"/>
          <w:szCs w:val="28"/>
          <w:highlight w:val="cyan"/>
        </w:rPr>
      </w:pPr>
      <w:r>
        <w:rPr>
          <w:rFonts w:hint="eastAsia" w:ascii="仿宋" w:hAnsi="仿宋" w:eastAsia="仿宋"/>
          <w:b/>
          <w:color w:val="000000"/>
          <w:sz w:val="28"/>
          <w:szCs w:val="28"/>
          <w:highlight w:val="cyan"/>
        </w:rPr>
      </w:r>
      <w:r/>
    </w:p>
    <w:p>
      <w:pPr>
        <w:pStyle w:val="911"/>
        <w:numPr>
          <w:ilvl w:val="0"/>
          <w:numId w:val="13"/>
        </w:numPr>
        <w:spacing w:line="48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采购</w:t>
      </w:r>
      <w:r>
        <w:rPr>
          <w:rFonts w:ascii="仿宋" w:hAnsi="仿宋" w:eastAsia="仿宋"/>
          <w:b/>
          <w:color w:val="000000"/>
          <w:sz w:val="28"/>
          <w:szCs w:val="28"/>
          <w:highlight w:val="none"/>
        </w:rPr>
        <w:t xml:space="preserve">标的清单</w:t>
      </w:r>
      <w:r>
        <w:rPr>
          <w:rFonts w:ascii="仿宋" w:hAnsi="仿宋" w:eastAsia="仿宋"/>
          <w:b/>
          <w:color w:val="000000"/>
          <w:sz w:val="28"/>
          <w:szCs w:val="28"/>
          <w:highlight w:val="none"/>
        </w:rPr>
      </w:r>
      <w:r/>
    </w:p>
    <w:tbl>
      <w:tblPr>
        <w:tblW w:w="89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40"/>
        <w:gridCol w:w="1240"/>
        <w:gridCol w:w="1240"/>
        <w:gridCol w:w="1240"/>
        <w:gridCol w:w="1240"/>
        <w:gridCol w:w="1240"/>
      </w:tblGrid>
      <w:tr>
        <w:trPr>
          <w:trHeight w:val="576"/>
        </w:trPr>
        <w:tc>
          <w:tcPr>
            <w:tcW w:w="823"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序号</w:t>
            </w:r>
            <w:r>
              <w:rPr>
                <w:rFonts w:ascii="仿宋" w:hAnsi="仿宋" w:eastAsia="仿宋" w:cs="宋体"/>
                <w:b/>
                <w:bCs/>
                <w:color w:val="000000"/>
                <w:sz w:val="22"/>
              </w:rPr>
            </w:r>
            <w:r/>
          </w:p>
        </w:tc>
        <w:tc>
          <w:tcPr>
            <w:tcW w:w="19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采购标的</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对应中小企业划分标准所属行业</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是否为主要标的</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是否为核心产品</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是否为强制节能产品</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备注</w:t>
            </w:r>
            <w:r>
              <w:rPr>
                <w:rFonts w:ascii="仿宋" w:hAnsi="仿宋" w:eastAsia="仿宋" w:cs="宋体"/>
                <w:b/>
                <w:bCs/>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左、中、右声道主扩声线阵列扬声器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主要标的</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拉声像点声源扬声器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舞台超低频扬声器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流动返听全频扬声器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固定返听全频扬声器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台唇全频扬声器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辅助全频扬声器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左、中、右声道主扩声扬声器功率放大器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拉声像点声源扬声器功率放大器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舞台超低频扬声器功率放大器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返听全频扬声器功率放大器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台唇扬声器功率放大器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辅助扬声器功率放大器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数字调音台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音频处理器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时序电源</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反馈抑制器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会议系统控制器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无线会议发言主席单元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无线会议发言代表单元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无线会议单元专用充电箱</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无线会议基站</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主席台演讲话筒</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无线手持话筒</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无线领夹话筒</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无线头戴话筒</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分路器主机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有源定向天线</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天线放大器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控制设备机柜</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舞台返显电视移动架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头戴监听耳机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监听音箱</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音频隔离器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智能用电监测管理云平台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智能总回路模块</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智能分回路模块</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智能防浪涌模块</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智能通讯模块</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智能模块箱体</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线阵田字架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手动葫芦</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多媒体显示系统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核心产品</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接收卡1</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视频处理器1</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定制结构1</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多媒体辅助显示系统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核心产品</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接收卡2</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视频处理器2</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定制结构2</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会标显示系统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网络控制卡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定制结构3</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视频防护系统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管理电脑</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强制节能</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智能配电柜</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移动视频采集主机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强制节能</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主机导播系统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主机互动系统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主机视频处理系统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无线机械云台摄像机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云台摄像机图像处理系统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无线麦克风</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麦克风音频处理系统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移动设备箱</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三脚架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中控控制器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集中控制软件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中控扩展器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16路混合矩阵(触摸屏)</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HDMI无缝切换输入板卡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70米HDBT有缝输入板卡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HDMI跨分辨率无缝切换输出板卡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70米HDBT跨分辨率无缝输出板卡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HDBT 4K60 HDMI+Audio墙插发射</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HDBT 70米HDMI 墙插网传接收器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舞台机械控制系统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电动会标幕吊杆</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对开大幕</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电动灯光吊杆</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横侧幕吊杆</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对开底幕</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固定耳光架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钢丝绳</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马道式钢结构设备转换层</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大幕幕布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大幕幕布衬里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横条幕幕布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横条幕幕布衬里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侧条幕幕布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侧条幕幕布衬里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底幕幕布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底幕幕布衬里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面光LED聚光灯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左右耳光LED成像灯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一顶光LED三基色灯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一顶光LED四合一帕灯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二顶光LED三基色灯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二顶光LED四合一帕灯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三顶光LED四合一帕灯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三顶光摇头光束灯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四顶光摇头光束灯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四顶光LED四合一帕灯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触摸灯控台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电源直通箱</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信号放大器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双雾机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双雾油</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灯钩保险绳</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专业机柜</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礼堂椅</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主席椅</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演讲台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操作台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操作椅</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线材、辅材、插座及接插件1</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线材、辅材、插座及接插件2</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线材、辅材、插座及接插件3</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线材、辅材、插座及接插件4</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线材、辅材、插座及接插件5</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bl>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rPr>
          <w:rFonts w:hint="eastAsia" w:ascii="仿宋" w:hAnsi="仿宋" w:eastAsia="仿宋"/>
          <w:b/>
          <w:color w:val="000000"/>
          <w:sz w:val="28"/>
          <w:szCs w:val="28"/>
          <w:highlight w:val="none"/>
        </w:rPr>
      </w:r>
      <w:r/>
    </w:p>
    <w:p>
      <w:pPr>
        <w:pStyle w:val="91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1.本项目对采购本国产品给予政策支持，具体内容见招标文件“第五章 评标方法与评标标准”。</w:t>
      </w:r>
      <w:r>
        <w:rPr>
          <w:rFonts w:hint="eastAsia" w:ascii="仿宋" w:hAnsi="仿宋" w:eastAsia="仿宋"/>
          <w:b w:val="0"/>
          <w:bCs/>
          <w:color w:val="000000"/>
          <w:sz w:val="28"/>
          <w:szCs w:val="28"/>
          <w:highlight w:val="none"/>
        </w:rPr>
      </w:r>
      <w:r/>
    </w:p>
    <w:p>
      <w:pPr>
        <w:pStyle w:val="91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 w:val="0"/>
          <w:bCs/>
          <w:color w:val="000000"/>
          <w:sz w:val="28"/>
          <w:szCs w:val="28"/>
          <w:highlight w:val="none"/>
        </w:rPr>
      </w:r>
      <w:r/>
    </w:p>
    <w:p>
      <w:pPr>
        <w:pStyle w:val="91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 w:val="0"/>
          <w:bCs/>
          <w:color w:val="000000"/>
          <w:sz w:val="28"/>
          <w:szCs w:val="28"/>
          <w:highlight w:val="none"/>
        </w:rPr>
      </w:r>
      <w:r/>
    </w:p>
    <w:p>
      <w:pPr>
        <w:pStyle w:val="911"/>
        <w:spacing w:line="480" w:lineRule="exact"/>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911"/>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911"/>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91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91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911"/>
        <w:ind w:firstLine="562"/>
        <w:spacing w:line="480" w:lineRule="exact"/>
        <w:rPr>
          <w:rFonts w:ascii="仿宋" w:hAnsi="仿宋" w:eastAsia="仿宋" w:cs="仿宋"/>
          <w:b/>
          <w:color w:val="000000"/>
          <w:sz w:val="28"/>
          <w:szCs w:val="28"/>
        </w:rPr>
      </w:pPr>
      <w:r>
        <w:rPr>
          <w:rFonts w:hint="eastAsia" w:ascii="仿宋" w:hAnsi="仿宋" w:eastAsia="仿宋"/>
          <w:b/>
          <w:bCs/>
          <w:color w:val="000000"/>
          <w:sz w:val="28"/>
          <w:szCs w:val="28"/>
        </w:rPr>
        <w:t xml:space="preserve">（一）采购标的需实现的功能或者目标，以及为落实政府采购政策需满足的要求</w:t>
      </w:r>
      <w:r>
        <w:rPr>
          <w:rFonts w:ascii="仿宋" w:hAnsi="仿宋" w:eastAsia="仿宋" w:cs="仿宋"/>
          <w:b/>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南通市启秀中学滨江校区报告厅为学校核心公共活动空间与重要办学载体，总建筑面积约560㎡，设计固定座位约600座，是集大型会议、教学教研、信息宣传、文化展示、文艺活动等功能于一体的综合性、多功能、现代化校园场馆。</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项目建成后，将进一步丰富校园文化生活，提升教育教学交流质量，强化校园宣传与形象展示能力，助力学校打造高品质、现代化、示范性校园公共活动空间，为学校教育教学事业与校园文化建设提供坚实可靠的硬件支撑与保障。</w:t>
      </w:r>
      <w:r>
        <w:rPr>
          <w:rFonts w:ascii="仿宋" w:hAnsi="仿宋" w:eastAsia="仿宋"/>
          <w:bCs/>
          <w:color w:val="000000"/>
          <w:sz w:val="28"/>
          <w:szCs w:val="28"/>
        </w:rPr>
      </w:r>
      <w:r/>
    </w:p>
    <w:p>
      <w:pPr>
        <w:pStyle w:val="91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（二）采购标的需执行的国家相关标准、行业标准、地方标准或者其他标准、规范</w:t>
      </w:r>
      <w:r>
        <w:rPr>
          <w:rFonts w:ascii="仿宋" w:hAnsi="仿宋" w:eastAsia="仿宋"/>
          <w:b/>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2）项目提供的技术要求(规格)只是对产品的一些原则性要求，并不是最详尽的描述和要求，投标人有责任依据相关设计技术规范和有关行业国家标准执行。</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3）投标人应保证提供的产品不得侵犯第三方专利权、商标权和设计权、版权等。否则，投标人应负全部责任，并承担由此引起的一切后果。</w:t>
      </w:r>
      <w:r>
        <w:rPr>
          <w:rFonts w:ascii="仿宋" w:hAnsi="仿宋" w:eastAsia="仿宋"/>
          <w:bCs/>
          <w:color w:val="000000"/>
          <w:sz w:val="28"/>
          <w:szCs w:val="28"/>
        </w:rPr>
      </w:r>
      <w:r/>
    </w:p>
    <w:p>
      <w:pPr>
        <w:pStyle w:val="911"/>
        <w:numPr>
          <w:ilvl w:val="0"/>
          <w:numId w:val="14"/>
        </w:numPr>
        <w:ind w:firstLine="643"/>
        <w:spacing w:line="480" w:lineRule="exact"/>
        <w:rPr>
          <w:rFonts w:ascii="仿宋" w:hAnsi="仿宋" w:eastAsia="仿宋"/>
          <w:bCs/>
          <w:color w:val="000000"/>
          <w:sz w:val="28"/>
          <w:szCs w:val="28"/>
        </w:rPr>
      </w:pPr>
      <w:r>
        <w:rPr>
          <w:rFonts w:hint="eastAsia" w:ascii="仿宋" w:hAnsi="仿宋" w:eastAsia="仿宋" w:cs="仿宋"/>
          <w:b/>
          <w:sz w:val="32"/>
          <w:szCs w:val="32"/>
        </w:rPr>
        <w:t xml:space="preserve">采购标的需满足的质量、安全、技术规格、物理特性等要求</w:t>
      </w:r>
      <w:r>
        <w:rPr>
          <w:rFonts w:hint="eastAsia" w:ascii="仿宋" w:hAnsi="仿宋" w:eastAsia="仿宋" w:cs="仿宋"/>
          <w:b/>
          <w:sz w:val="28"/>
          <w:szCs w:val="28"/>
        </w:rPr>
        <w:t xml:space="preserve">；</w:t>
      </w:r>
      <w:r>
        <w:rPr>
          <w:rFonts w:ascii="仿宋" w:hAnsi="仿宋" w:eastAsia="仿宋"/>
          <w:bCs/>
          <w:color w:val="000000"/>
          <w:sz w:val="28"/>
          <w:szCs w:val="28"/>
        </w:rPr>
      </w:r>
      <w:r/>
    </w:p>
    <w:p>
      <w:pPr>
        <w:pStyle w:val="911"/>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本项目主要设备的技术参数要求如下：</w:t>
      </w:r>
      <w:r>
        <w:rPr>
          <w:rFonts w:ascii="仿宋" w:hAnsi="仿宋" w:eastAsia="仿宋"/>
          <w:bCs/>
          <w:color w:val="000000"/>
          <w:sz w:val="28"/>
          <w:szCs w:val="28"/>
        </w:rPr>
      </w:r>
      <w:r/>
    </w:p>
    <w:tbl>
      <w:tblPr>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434"/>
        <w:gridCol w:w="7224"/>
      </w:tblGrid>
      <w:tr>
        <w:trPr>
          <w:trHeight w:val="576"/>
        </w:trPr>
        <w:tc>
          <w:tcPr>
            <w:tcW w:w="693"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序号</w:t>
            </w:r>
            <w:r>
              <w:rPr>
                <w:rFonts w:ascii="仿宋" w:hAnsi="仿宋" w:eastAsia="仿宋" w:cs="宋体"/>
                <w:b/>
                <w:bCs/>
                <w:color w:val="000000"/>
                <w:sz w:val="22"/>
              </w:rPr>
            </w:r>
            <w:r/>
          </w:p>
        </w:tc>
        <w:tc>
          <w:tcPr>
            <w:tcW w:w="1434"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采购标的</w:t>
            </w:r>
            <w:r>
              <w:rPr>
                <w:rFonts w:ascii="仿宋" w:hAnsi="仿宋" w:eastAsia="仿宋" w:cs="宋体"/>
                <w:b/>
                <w:bCs/>
                <w:color w:val="000000"/>
                <w:sz w:val="22"/>
              </w:rPr>
            </w:r>
            <w:r/>
          </w:p>
        </w:tc>
        <w:tc>
          <w:tcPr>
            <w:tcW w:w="7224"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配置参数要求</w:t>
            </w:r>
            <w:r>
              <w:rPr>
                <w:rFonts w:ascii="仿宋" w:hAnsi="仿宋" w:eastAsia="仿宋" w:cs="宋体"/>
                <w:b/>
                <w:bCs/>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左、中、右声道主扩声线阵列扬声器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1）低频单元≥8"x2，高频单元≥75mm（3"）压缩驱动器x1；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2）水平覆盖角(-6dB)≥110°；垂直覆盖角(-6dB)≥10°；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3）额定功率≥500W，标称阻抗≤8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4）频率响应范围等同或优于60Hz-20kHz；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5）最大声压级≥129dB（连续），灵敏度≥101dB（@1W/1m）；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6）采用标准的四芯音箱插座，确保良好的电气接触；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highlight w:val="none"/>
              </w:rPr>
              <w:t xml:space="preserve">▲7）针对2-5项提供满足或优于以上参数的具有CMA标识的权威第三方检测机构出具的检测报告复印件并加盖投标人公章。</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拉声像点声源扬声器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1）低音单元≥12"x1个，高频单元≥1.75"x1个，内置两分频；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2）频率响应范围等同或优于100Hz-20kHz；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3）灵敏度≥96dB（@1W/1m），最大声压级≥123dB（连续）；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4）额定功率≥400W，标称阻抗≤8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5）水平覆盖角(-6dB)≥80°，垂直覆盖角(-6dB)≥50°；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舞台超低频扬声器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1）低音单元≥2*18英寸倒相式超低音；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2）频率响应范围等同或优于40Hz-400Hz；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3）灵敏度≥104dB（@1W/1m），最大声压级≥136dB（连续）；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4）额定功率≥1600W，标称阻抗≤4</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流动返听全频扬声器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1）低音单元≥12"x1个，高频单元≥3"x1个，同轴设计，内置两分频；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2）频率响应范围等同或优于100Hz-20kHz；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3）灵敏度≥98dB（@1W/1m），最大声压级≥124dB（连续）；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4）额定功率≥400W，标称阻抗≤8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5）水平覆盖角(-6dB)≥100°，垂直覆盖角(-6dB)≥80°；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固定返听全频扬声器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1）低音单元≥12"x1个，高频单元≥1.7"x1个，内置两分频；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2）频率响应范围等同或优于80Hz-20kHz；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3）灵敏度≥97dB（@1W/1m），最大声压级≥123dB（连续）；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4）额定功率≥400W，标称阻抗≤8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5）水平覆盖角(-6dB)≥80°，垂直覆盖角(-6dB)≥50°；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台唇全频扬声器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1）低音单元≥8"x1个，高频单元≥1.3"x1个，内置两分频；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2）频率响应范围等同或优于100Hz-20kHz；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3）灵敏度≥95dB（@1W/1m），最大声压级≥117dB（连续）；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4）额定功率≥150W，标称阻抗≤8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5）水平覆盖角(-6dB)≥90°，垂直覆盖角(-6dB)≥60°；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辅助全频扬声器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1）低音单元≥12"x1个，高频单元≥1.7"x1个，内置两分频；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2）频率响应范围等同或优于80Hz-20kHz；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3）灵敏度≥97dB（@1W/1m），最大声压级≥123dB（连续）；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4）额定功率≥400W，标称阻抗≤8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5）水平覆盖角(-6dB)≥80°，垂直覆盖角(-6dB)≥50°；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左、中、右声道主扩声扬声器功率放大器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2）具有自动休眠功能，无信号输入时自动进入休眠模式；具有自动噪声抑制功能，当输入音源停止输出后，功放可自动压抑扩声系统设备本底噪声；具备完善的保护功能，包括软启动、直流、高频、过压、欠压、过载、短路、压限、过热等；（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3）输出功率：≥700W*2@8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6）信噪比：＞100dB(A）；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7）总谐波失真：＜0.05% @1KHz1/3功率输出。</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拉声像点声源扬声器功率放大器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具有自动休眠功能，无信号输入时自动进入休眠模式；具有自动噪声抑制功能，当输入音源停止输出后，功放可自动压抑扩声系统设备本底噪声；具备完善的保护功能，包括软启动、直流、高频、过压、欠压、过载、短路、压限、过热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3）输出功率：≥700W*2@8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6）信噪比：＞100dB(A）；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7）总谐波失真：＜0.05% @1KHz1/3功率输出。</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舞台超低频扬声器功率放大器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1）立体声输出功率：≥1600W*2@8</w:t>
            </w:r>
            <w:r>
              <w:rPr>
                <w:rFonts w:ascii="Calibri" w:hAnsi="Calibri" w:eastAsia="仿宋" w:cs="Calibri"/>
                <w:color w:val="000000"/>
                <w:sz w:val="22"/>
              </w:rPr>
              <w:t xml:space="preserve">Ω</w:t>
            </w:r>
            <w:r>
              <w:rPr>
                <w:rFonts w:hint="eastAsia" w:ascii="仿宋" w:hAnsi="仿宋" w:eastAsia="仿宋" w:cs="宋体"/>
                <w:color w:val="000000"/>
                <w:sz w:val="22"/>
              </w:rPr>
              <w:t xml:space="preserve">，≥2850W*2@4</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2）输入灵敏度：0.775V/1V/1.4V；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3）总谐波失真：＜0.05%（20Hz-20kHz，1W）；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4）信噪比：＞112dBA；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5）阻尼系数：＞200@8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6）频率响应：20Hz-20KHz(±0.3dB)；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7）每通道独立的LED指示灯反馈电源、信号、削波、故障状态；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8）支持直流、过热、过载、限幅、过压、欠压保护。</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返听全频扬声器功率放大器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2）具有自动休眠功能，无信号输入时自动进入休眠模式；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3）支持直流、高频、过压、欠压、过载、短路、压限、过热保护；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4）输出功率：≥700W*2@8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7）信噪比：＞100dB(A）；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8）总谐波失真：＜0.05% @1KHz1/3功率输出。</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▲9）不少于3路RJ45网口，兼容DANTE、AES67网络音频传输，支持模拟音频与网络音频双备份；（提供产品实拍图片或软件功能界面截图并加盖投标人公章）</w:t>
            </w:r>
            <w:r>
              <w:rPr>
                <w:rFonts w:ascii="仿宋" w:hAnsi="仿宋" w:eastAsia="仿宋" w:cs="宋体"/>
                <w:color w:val="000000"/>
                <w:sz w:val="22"/>
                <w:highlight w:val="none"/>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10）支持远程监控在线、温度等状态，支持矩阵路由、DSP调节、压限功能等。</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both"/>
              <w:widowControl/>
              <w:rPr>
                <w:rFonts w:ascii="仿宋" w:hAnsi="仿宋" w:eastAsia="仿宋" w:cs="宋体"/>
                <w:color w:val="000000"/>
                <w:sz w:val="22"/>
              </w:rPr>
            </w:pP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台唇扬声器功率放大器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2）内置峰值电平限制器以保护扬声器，同时通过削波指示灯提醒；</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3）具有自动噪声抑制功能，当输入音源停止输出后，功放可自动压抑扩声系统设备本底噪声；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4）具备完善的保护功能，包括软启动、直流、高频、过压、欠压、过载、短路、压限、过热等；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5）浪涌防护：电源输入支持差模≥1KV，共模≥2KV防护；功率输出支持共模≥2KV防护；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6）立体声输出功率：≥350W*2@8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8）输入灵敏度：≥0.775V/1.414Vrms；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9）输入阻抗：平衡20K</w:t>
            </w:r>
            <w:r>
              <w:rPr>
                <w:rFonts w:ascii="Calibri" w:hAnsi="Calibri" w:eastAsia="仿宋" w:cs="Calibri"/>
                <w:color w:val="000000"/>
                <w:sz w:val="22"/>
              </w:rPr>
              <w:t xml:space="preserve">Ω</w:t>
            </w:r>
            <w:r>
              <w:rPr>
                <w:rFonts w:hint="eastAsia" w:ascii="仿宋" w:hAnsi="仿宋" w:eastAsia="仿宋" w:cs="宋体"/>
                <w:color w:val="000000"/>
                <w:sz w:val="22"/>
              </w:rPr>
              <w:t xml:space="preserve">/非平衡10K</w:t>
            </w:r>
            <w:r>
              <w:rPr>
                <w:rFonts w:ascii="Calibri" w:hAnsi="Calibri" w:eastAsia="仿宋" w:cs="Calibri"/>
                <w:color w:val="000000"/>
                <w:sz w:val="22"/>
              </w:rPr>
              <w:t xml:space="preserve">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11）信噪比：＞100dB(A计权）；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12）总谐波失真：＜0.05% @1KHz 1/3功率输出；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13）电源适应范围：AC100V-240V/50Hz-60Hz；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14）接口：≥2路线路输入、≥2路线路输出、≥2路功率输出。</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▲15）不少于3路RJ45网口，兼容DANTE、AES67网络音频传输，支持模拟音频与网络音频双备份；（提供产品实拍图片或软件功能界面截图并加盖投标人公章）</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16）支持远程监控在线、温度等状态，支持矩阵路由、DSP调节、压限功能等。</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both"/>
              <w:widowControl/>
              <w:rPr>
                <w:rFonts w:hint="eastAsia" w:ascii="仿宋" w:hAnsi="仿宋" w:eastAsia="仿宋" w:cs="宋体"/>
                <w:color w:val="000000"/>
                <w:sz w:val="22"/>
                <w:lang w:eastAsia="zh-CN"/>
              </w:rPr>
            </w:pPr>
            <w:r>
              <w:rPr>
                <w:rFonts w:hint="eastAsia" w:ascii="仿宋" w:hAnsi="仿宋" w:eastAsia="仿宋" w:cs="宋体"/>
                <w:color w:val="000000"/>
                <w:sz w:val="22"/>
                <w:lang w:eastAsia="zh-CN"/>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辅助扬声器功率放大器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具有自动休眠功能，无信号输入时自动进入休眠模式；具有自动噪声抑制功能，当输入音源停止输出后，功放可自动压抑扩声系统设备本底噪声；具备完善的保护功能，包括软启动、直流、高频、过压、欠压、过载、短路、压限、过热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3）输出功率：≥700W*2@8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6）信噪比：＞100dB(A）；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7）总谐波失真：＜0.05% @1KHz1/3功率输出。</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数字调音台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1、配置≥10"彩色触摸屏用于设备交互，支持面板密码锁定，防止误操作；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2、输入通道≥32路平衡卡侬接口，每路均支持+48V幻象电源；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3、输出通道≥12路母线输出+1组L/R监听输出+1组L/R录音输出接口；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4、具有USB接口，内置USB录音、放音功能，支持外接USB设备；</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输入通道支持反馈抑制器、噪声门、压缩、反相、高低通滤波器、参量均衡等信号处理功能；支持移动端APP进行音频处理和调音。（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6、输出通道支持参量均衡、压缩器、高通/低通、延时等信号处理功能；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7、支持播放APE、FLAC、MP3、WAV等音频格式文件；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8、内置≥2路独立效果器母线，每路效果总线预设不少于6个效果类型；</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9、内置信号发生器支持正弦波、粉红噪声、白噪声；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10、支持≥20组场景预设存储，数据可导出备份；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11、支持通道参数拷贝快速设置，所有通道名称可自定义；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12、支持一键系统静音、通道编组静音。</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音频处理器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1、≥16路可切换式平衡话筒/线路输入，≥16路平衡线路输出；≥16*16DANTE音频通道；≥8路可自定义GPIO接口；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2、内置USB声卡,支持音乐播放、录制和软视频会议(如腾讯会议、钉钉会议等)；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3、输出通道不少于12段PEQ，且提供≥5种滤波器类型选择；</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4、DSP功能包括但不限于AFC、AEC、ANS、ANC、AM、AGC、Ducker、PEQ、GEQ、延时、分频等；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5、具备≥16个场景模式存储，可导入、导出场景预设，设备受控方式多样化，包含RS232、TCP/IP、RS485；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6、具备智能中控功能，支持定制化控制界面，可通过处理器实现对会议室的电源、信号切换、环境控制、音频等整体控制；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7、提供终端用户定制操作界面，支持≥30台设备同一个界面管理；</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▲8、支持双机数据备份功能，可自定义设置主机/从机；支持备份和恢复功能，断电记忆功能，备份信息可下载保存备份；（提供具有CMA标识的权威第三方检测机构出具的检测报告复印件并加盖投标人公章）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9、支持前面板LED屏显示设备IP地址，方便维护；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10、每通道具有独立的LED指示灯显示工作状态；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11、输入灵敏度可调档位不少于0-48dBu（3dBu）；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12、音频采样率支持48K/24bit。</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时序电源</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1、后置≥12通道带独立滤波器时序控制插座，其中不少于6路16A电源插座；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2、前面板具有≥2个直通电源插座；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3、总控制采用不低于100A空气开关，具有电压指示，超压报警；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4、支持自定义调整通道开机及关机的延时时间；</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5、内置定时开关机功能，最长可达12个月的定时时间设置，在控制软件内自由编辑；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6、具有TCP/IP网络接口，支持通过网络实现远程控制，分布式布局，集中控制；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7、面板按键支持锁定，防止误触。</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反馈抑制器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1、具有全自动检测啸叫点功能，通过DSP系统对声音进行过滤，有效的抑制啸叫，提升本地扩音声压和清晰度；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2、提供Peak峰值电平表，监测当前音频信号幅度；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3、支持自动增益控制功能；支持多麦克风智能混音、具备话筒优选功能；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4、信号处理模块包括反馈抑制、自适应降噪、高/低通滤波器、参量均衡、压缩器、增益调节功能；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5、具有输入电平选择开关，支持3档输入增益调节。</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会议系统控制器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1、具有≥4.3寸全彩触控屏可查看并设置系统参数；</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2、具有≥8路会议连接网口，支持有线会议单元环型链路连接；≥1路LAN网络接口并支持POE供电，可供无线会议AP发射器直连接入；≥1路WAN网络接口；≥2路Dante/AES67数字音频网口；≥1路EXTENSION扩展接口，可用于连接交换机、会议扩展主机、角色分离主机等设备；（提供设备实拍接口图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3、音频输入≥1路3P凤凰端子接口，可接入视频会议音频、背景音乐或消防警报声等外部音源；音频输出≥1路3P凤凰端子接口，≥1组RCA音频接口，≥1路卡侬接口，可配置有线/无线会议单元独立输出；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4、支持有线、无线话筒单元混合接入，单台会议主机支持≥80个有线或无线会议单元，系统最大发言数量≥10支有线/无线话筒；</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5、具有≥1路USB Type-A接口，≥1路USB Type-C接口，支持U盘录音及连接电脑音频传输；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6、具有≥16通道音频输入凤凰端子接口，≥16通道音频输出凤凰端子接口，支持≥16*16音频矩阵功能；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7、支持≥16通道角色分离输出模式，可使有线或无线单元根据ID号独立输出，供录音、监听或对接语音转写系统使用；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8、支持≥16通道同传输出模式，可使同传音频根据通道号独立输出，供录音、监听或对接红外无线同传系统使用；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9、具有RS485摄像机控制接口，支持VISCA、Pelco-D、Pelco-P协议，可同时连接≥8台摄像机进行预置位发言跟踪；</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10、具有RS232控制接口，支持对接摄像跟踪主机或中控系统；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11、具有ALARM消防报警联动触发接口，当报警信号触发时，会议主机自动切断话筒发言，播放警告音，会议单元显示屏界面同步显示消防警报提示信息；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12、支持查看所有有线/无线话筒单元的在线状态、身份属性、坐席名称、AP信号、电量、信道、AP密码、AP名称、充电状态、IP地址、音量增益等信息；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13、支持TCP/IP网络控制协议，同时支持B/S、C/S架构，可通过WEB软件与PC软件进行会议控制；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14、支持对系统内每个发言单元增益、EQ、AGC等音频参数独立调节；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15、具备会议签到、投票表决、茶水服务等功能；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16、具备双机热备份功能，支持两台主机环形手拉手连接互为备份。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无线会议发言主席单元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1、≥4寸全彩触摸显示屏，分辨率≥480*480,刷新率≥60Hz;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2、不低于双核1.0G HZ处理器，256M SPI Flash；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3、双14mm镀金拾音咪头阵列；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4、全IP网络架构，支持5G/6G Wi-Fi连接，全数字化信号传输，抗干扰能力强；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5、支持会议签到、投票表决、茶水服务(需会议主机支持)；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highlight w:val="none"/>
              </w:rPr>
              <w:t xml:space="preserve">6</w:t>
            </w:r>
            <w:r>
              <w:rPr>
                <w:rFonts w:hint="eastAsia" w:ascii="仿宋" w:hAnsi="仿宋" w:eastAsia="仿宋" w:cs="宋体"/>
                <w:color w:val="000000"/>
                <w:sz w:val="22"/>
              </w:rPr>
              <w:t xml:space="preserve">、可在每一只话筒本机对自身增益、AGC单独调节；</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7、主席单元可发起会议签到、投票表决议程，签到和投票表决结果实时显示；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8、主席单元具有批准和禁止代表单元发言的权限；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9、可自定义待机图片和背景图片；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10、当会议主机接收到消防告警信号时，发言单元自动弹窗告警信息，警报解除自动取消弹窗；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11、支持磁吸底座快充和USB-TypeCPD快充协议；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12、可本地切换语言也可通过会议主机统一设置语言。</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无线会议发言代表单元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1、≥4寸全彩触摸显示屏，分辨率≥480*480,刷新率≥60Hz；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2、不低于双核1.0G HZ处理器，256M SPI Flash；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3、双14mm镀金拾音咪头阵列；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4、全IP网络架构，支持5G/6G Wi-Fi连接，全数字化信号传输，抗干扰能力强；</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5、支持会议签到、投票表决、茶水服务(需会议主机支持)；</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6、可在每一只话筒本机对自身增益、AGC单独调节；</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7、可实时显示当前发言人员姓名、坐席编号以及发言人员列表；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8、可自定义待机图片和背景图片；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9、当会议主机接收到消防告警信号时，发言单元自动弹窗告警信息，警报解除自动取消弹窗；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10、支持磁吸底座快充和USB-TypeCPD快充协议；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11、可本地切换语言也可通过会议主机统一设置语言。</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无线会议单元专用充电箱</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1、单台设备支持≥10台无线会议单元同时充电；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2、支持磁吸触点充电。</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无线会议基站</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1、支持2.4GHz/5.8GHz双频无线；</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2、支持硬件看门狗功能，设备异常自动恢复，免维护；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3、支持吸顶安装；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4、无线数字会议基站支持48VPoE、DC 12V两种供电方式；</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主席台演讲话筒</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1、全金属双咪杆设计，咪芯部分具有避震设计；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2、收音头：25mm直径镀金电容式*2；</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3、指向特性：超心型；</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4、拾音距离：80~100cm；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5、频率响应：60Hz-18kHz（±3db）；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6、灵敏度：-36dB；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7、最大承受声压：136dB（1% T.H.D.@1kHz）；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8、输出：话筒出线*2。</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无线手持话筒</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1、有效工作频率为UHF 630MHz-698MHz，占用带宽＜200KHz，信噪比≥105dB，失真度THD＜0.05%（@1KHz），传输距离可达70~100米，传输时延＜4ms；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2、接收主机LCD液晶屏可同时显示RF/AF信号强度，自动选讯，可设定频道/频率；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3、无线工作方式必须为真分集、锁相环频率合成；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4、具备干扰检测和规避功能；</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▲5、具有不少于2路RJ45网络接口，兼容Dante、AES67网络音频传输，支持模拟音频与网络音频双备份；（提供产品实拍图片或软件功能界面截图并加盖投标人公章）</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6、具有扫频功能，可以查看无线干扰情况，自动搜寻干净频点；支持远程管理，远程调整话筒频率、查看电量、自动扫频；支持反馈抑制、扩展器、噪声门、压缩器、PEQ参量均衡等DSP处理功能。</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left"/>
              <w:widowControl/>
              <w:rPr>
                <w:rFonts w:ascii="仿宋" w:hAnsi="仿宋" w:eastAsia="仿宋" w:cs="宋体"/>
                <w:color w:val="000000"/>
                <w:sz w:val="22"/>
              </w:rPr>
            </w:pP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无线领夹话筒</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1、有效工作频率为UHF 630MHz-698MHz，占用带宽＜200KHz，信噪比≥105dB，失真度THD＜0.05%（@1KHz），传输距离可达70~100米，传输时延＜4ms；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2、接收主机LCD液晶屏可同时显示RF/AF信号强度，自动选讯，可设定频道/频率；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3、无线工作方式必须为真分集、锁相环频率合成；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4、具备干扰检测和规避功能；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5、具有不少于2路RJ45网络接口，兼容Dante、AES67网络音频传输，支持模拟音频与网络音频双备份；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6、具有扫频功能，可以查看无线干扰情况，自动搜寻干净频点；支持远程管理，远程调整话筒频率、查看电量、自动扫频；支持反馈抑制、扩展器、噪声门、压缩器、PEQ参量均衡等DSP处理功能。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无线头戴话筒</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1、有效工作频率为UHF 630MHz-698MHz，占用带宽＜200KHz，信噪比≥105dB，失真度THD＜0.05%（@1KHz），传输距离可达70~100米，传输时延＜4ms；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2、接收主机LCD液晶屏可同时显示RF/AF信号强度，自动选讯，可设定频道/频率；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3、无线工作方式必须为真分集、锁相环频率合成；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4、具备干扰检测和规避功能；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5、具有不少于2路RJ45网络接口，兼容Dante、AES67网络音频传输，支持模拟音频与网络音频双备份；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6、具有扫频功能，可以查看无线干扰情况，自动搜寻干净频点；支持远程管理，远程调整话筒频率、查看电量、自动扫频；支持反馈抑制、扩展器、噪声门、压缩器、PEQ参量均衡等DSP处理功能。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分路器主机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1、天线分配：4路双通道输出；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2、适用频宽范围：500MHz-850MHz；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3、输入截断点：+15dBm；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4、输出/输入增益：+1dB±1dB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5、输出端隔离度：＞18dB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6、输出/输入阻抗：50</w:t>
            </w:r>
            <w:r>
              <w:rPr>
                <w:rFonts w:ascii="Calibri" w:hAnsi="Calibri" w:eastAsia="仿宋" w:cs="Calibri"/>
                <w:color w:val="000000"/>
                <w:sz w:val="22"/>
              </w:rPr>
              <w:t xml:space="preserve">Ω</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有源定向天线</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1、类型：外接延长天线；</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2、频段范围：500MHz-850MHz；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3、步进增益总增益量：0~+18dB±2dB，步进量：±1dB；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4、步进衰减总衰减量：0~-9dB±2dB，步进量：±1dB；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5、天线阻抗：50</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6、天线增益：3-5dB；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7、驻波比：≤2.5:1；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8、接收模式(3dB波束宽度)：65°(垂直角),120°(水平面)</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天线放大器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1、频段范围：500MHz-850MHz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2、步进增益总增益量：0~+18dB±2dB 步进量：±1dB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3、步进衰减总衰减量：0~-9dB±2dB 步进量：±1dB</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控制设备机柜</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42U标准网络机柜，600*600*2000mm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舞台返显电视移动架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32-70落地升降款</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舞台返显电视落地矮推车架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承重范围50kg</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带锁可移动万向轮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倾仰角度0-90度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可伸缩高度512mm-777mm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头戴监听耳机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3.5mm插头，头戴式，频响范围:15-22000Hz，灵敏度≥96dB</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监听音箱</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1、信号输入：支持XLR/TRS；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2、高音单元：不小于25mm球顶软膜高音；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3、中低音：不小于5.25英寸高强度碳纤维复合编织振膜；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4、输出通道：2CH；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5、输出功率：不低于低音40W，高音30W；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6、最大SPL：≥100dB（@1m）；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7、频率响应：≤56Hz-≥22KHz(-3dB)；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8、LED指示灯：有；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9、材质：ABS塑料箱体</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音频隔离器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1、信号输入≥2路XLR/TRS复合接口，信号输出≥2路XLR接口；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2、隔离滤波音频信号传输距离≥500米；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3、支持即插即用，支持热插拨，无需电源，无需软件设置和维护；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4、内置瞬态、浪涌抑制、抗静电保护电路；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5、频率响应：20Hz-20Hz±0.5dBu；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6、失真度：≤0.002%(20dBu1KHz)</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智能用电监测管理云平台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1）支持多种客户端应用，包含Web端、手机APP。</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2）系统功能</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①具备Web端的平台显示、具备实时数据查看、远程控制、报警弹窗提示、参数设置修改等；</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②手机APP，具备实时数据查看、远程控制、定时控制、功率最大设定、报警弹窗提示、电量计量及漏电自检等功能；</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③并发用户数与系统性能：性能设计满足项目针对该系统在用户数，响应速度，系统在线并发等性能的需要：</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平均响应速度：全系统按照在标准软硬件环境下允许至少200用户操作，50人并发访问流量；</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业务操作交易平均响应时间小于3秒钟；</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复杂查询类平均响应时间小于5秒；</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统计分析类平均响应时间小于1分钟；</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容量和吞吐量：系统应支持每个子系统至少50用户的同时并发；</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④需稳定、可靠、安全、实用。信息传递灵活快捷，人机界面友好，图表生成灵活美观，输出、输入方便，检索、查询简单快捷。</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3）安全与身份认证</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①文件存取和系统功能要进行权限控制；</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②提供从系统级安全到应用层安全的各级防护措施，最大限度地防止非法入侵和操作，保证数据安全；</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③系统必须针对不同岗位实现相关业务内容的权限管理，包括数据的收集、修改、查询、统计等操作；</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④具备用户行为的安全审计和防抵赖能力，提供帮助系统安全管理的安全报表。</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4）系统稳定性</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①避免由于单点故障或系统的升级而影响整个系统的正常运行；</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②支持7*24小时不间断服务。单次系统故障响应时间，严重故障不得超过1小时，一般故障不超过2小时；</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③满足网络不稳定、后台压力较大等特殊情况下，保证软件正常运行。因软件系统自身原因宕机次数每年需少于2次；</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④在系统发生失效的情况下，系统应容易重建规定的性能级别并恢复受直接影响的数据；</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⑤当系统在高负荷运转或出现故障，进入异步工作模式时，必须采用可靠的机制，保证数据的零丢失。</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▲5）产品</w:t>
            </w:r>
            <w:r>
              <w:rPr>
                <w:rFonts w:hint="eastAsia" w:ascii="仿宋" w:hAnsi="仿宋" w:eastAsia="仿宋" w:cs="宋体"/>
                <w:color w:val="000000"/>
                <w:sz w:val="22"/>
                <w:highlight w:val="none"/>
                <w:lang w:val="en-US" w:eastAsia="zh-CN"/>
              </w:rPr>
              <w:t xml:space="preserve">需支持</w:t>
            </w:r>
            <w:r>
              <w:rPr>
                <w:rFonts w:hint="eastAsia" w:ascii="仿宋" w:hAnsi="仿宋" w:eastAsia="仿宋" w:cs="宋体"/>
                <w:color w:val="000000"/>
                <w:sz w:val="22"/>
                <w:highlight w:val="none"/>
              </w:rPr>
              <w:t xml:space="preserve">移动端和PC端</w:t>
            </w:r>
            <w:r>
              <w:rPr>
                <w:rFonts w:hint="eastAsia" w:ascii="仿宋" w:hAnsi="仿宋" w:eastAsia="仿宋" w:cs="宋体"/>
                <w:color w:val="000000"/>
                <w:sz w:val="22"/>
                <w:highlight w:val="none"/>
                <w:lang w:val="en-US" w:eastAsia="zh-CN"/>
              </w:rPr>
              <w:t xml:space="preserve">使用</w:t>
            </w:r>
            <w:r>
              <w:rPr>
                <w:rFonts w:hint="eastAsia" w:ascii="仿宋" w:hAnsi="仿宋" w:eastAsia="仿宋" w:cs="宋体"/>
                <w:color w:val="000000"/>
                <w:sz w:val="22"/>
                <w:highlight w:val="none"/>
              </w:rPr>
              <w:t xml:space="preserve">，提供</w:t>
            </w:r>
            <w:r>
              <w:rPr>
                <w:rFonts w:hint="eastAsia" w:ascii="仿宋" w:hAnsi="仿宋" w:eastAsia="仿宋" w:cs="宋体"/>
                <w:color w:val="000000"/>
                <w:sz w:val="22"/>
                <w:highlight w:val="none"/>
                <w:lang w:val="en-US" w:eastAsia="zh-CN"/>
              </w:rPr>
              <w:t xml:space="preserve">由具备</w:t>
            </w:r>
            <w:r>
              <w:rPr>
                <w:rFonts w:hint="eastAsia" w:ascii="仿宋" w:hAnsi="仿宋" w:eastAsia="仿宋" w:cs="宋体"/>
                <w:color w:val="000000"/>
                <w:sz w:val="22"/>
                <w:highlight w:val="none"/>
              </w:rPr>
              <w:t xml:space="preserve">CMA标识第三方检测机构出具软件测试报告</w:t>
            </w:r>
            <w:r>
              <w:rPr>
                <w:rFonts w:hint="eastAsia" w:ascii="仿宋" w:hAnsi="仿宋" w:eastAsia="仿宋" w:cs="宋体"/>
                <w:color w:val="000000"/>
                <w:sz w:val="22"/>
                <w:highlight w:val="none"/>
                <w:lang w:val="en-US" w:eastAsia="zh-CN"/>
              </w:rPr>
              <w:t xml:space="preserve">或产品功能截图</w:t>
            </w:r>
            <w:r>
              <w:rPr>
                <w:rFonts w:hint="eastAsia" w:ascii="仿宋" w:hAnsi="仿宋" w:eastAsia="仿宋" w:cs="宋体"/>
                <w:color w:val="000000"/>
                <w:sz w:val="22"/>
                <w:highlight w:val="none"/>
              </w:rPr>
              <w:t xml:space="preserve">复印件并加盖投标人公章</w:t>
            </w:r>
            <w:r>
              <w:rPr>
                <w:rFonts w:hint="eastAsia" w:ascii="仿宋" w:hAnsi="仿宋" w:eastAsia="仿宋" w:cs="宋体"/>
                <w:color w:val="ff0000"/>
                <w:sz w:val="22"/>
                <w:highlight w:val="none"/>
              </w:rPr>
              <w:t xml:space="preserve">。</w:t>
            </w:r>
            <w:r>
              <w:rPr>
                <w:rFonts w:ascii="仿宋" w:hAnsi="仿宋" w:eastAsia="仿宋" w:cs="宋体"/>
                <w:color w:val="000000"/>
                <w:sz w:val="22"/>
                <w:highlight w:val="none"/>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智能总回路模块</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1.额定电流：≥63A；带功率因数检测。</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2.额定电压AC230V</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3.分断能力Icn：≥10000A</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4.用电安全保护功能：电气寿命：操作循环次数不少于20000次；机械寿命：操作循环次数不少于30000次；支持电压补偿告警：设备加载电压超过或低于设定值时，设备触发补偿告警，该告警不断开断路器；支持电流补偿告警：设备加载电流超过或低于设定值时，设备触发补偿告警，该告警不断开断路器；支持使能开启及关闭：设备具备安全保护功能，除国标强制要求保护外，其余保护功能均可关闭，也可设置仅报警不保护。（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5.手自一体控制：手机遥控，可以按键自动控制，也可通过手动推杆控制通断；</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6.运维管控功能：检修功能：设备在手动分闸后，无需进行“加锁”设置，设备无法通过远程控制进行合闸操作。具有远程/本地断路器锁定功能：断路器无论是远程还是本地执行了断路器锁定程序，本地及远程均无法合闸。（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7.外壳防火等级：智能断路器外壳采用不低于PA66+玻璃纤维等高规格防火阻燃材料、防火等级不低于V0级；</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8.工作环境温度：-20℃~70℃；</w:t>
            </w:r>
            <w:r>
              <w:rPr>
                <w:rFonts w:ascii="仿宋" w:hAnsi="仿宋" w:eastAsia="仿宋" w:cs="宋体"/>
                <w:color w:val="000000"/>
                <w:sz w:val="22"/>
                <w:highlight w:val="none"/>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智能分回路模块</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1.额定电流：≥20A；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2.额定电压：AC230V；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3分断能力Icn：≥10000A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用电安全保护功能：电气寿命：操作循环次数不少于20000次；机械寿命：操作循环次数不少于30000次；支持电流补偿告警：设备加载电流超过或低于设定值时，设备触发补偿告警，该告警不断开断路器；支持使能开启及关闭：设备具备安全保护功能，除国标强制要求保护外，其余保护功能均可关闭，也可设置仅报警不保护；电弧报警:当负载线路因接触不良发生连续电弧现象，并在一定时间内达到设定报警阀值时，设备可以推送报警信息；恶性负载告警：设备应具备负载类型识别的功能，当检测到恶性负载时，可以推送报警信息，并可根据设定切断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5.手自一体控制：手机遥控，可以按键自动控制，也可通过手动推杆控制通断；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运维管控功能：检修功能：设备在手动分闸后，无需进行“加锁”设置，设备无法通过远程控制进行合闸操作。具有远程/本地断路器锁定功能：断路器无论是远程还是本地执行了断路器锁定程序，本地及远程均无法合闸。</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7.外壳防火等级：智能断路器外壳采用不低于PA66+玻璃纤维等高规格防火阻燃材料、防火等级不低于V0级；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8.工作环境温度：-20℃~70℃；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智能防浪涌模块</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1.输入电压：AC100V-250V；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2.输入电流：100mA;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3.额定输出电压：DC12V；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4.额定输出电流MAX DC2A；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5.防雷击浪涌保护最大泄放电流：≥20kA；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6.工作环境温度：-20℃~70℃；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7.安装方式：导轨卡口。</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智能通讯模块</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1）支持双向互联网通讯；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2）可支持以太网、WIFI、2G、4G、NB-IoT、RS485等多种通信方式；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3）支持向下串口通讯功能、数据计算分析存储功能；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4）定时控制功能：内置时钟芯片，脱网状态下可保证时间的精准性，真正实现各线路定时开关变得轻松、准确；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5）工作电压：DC12V；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6）工作环境温度：-20℃~70℃；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7）安装方式：导轨卡口。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8）设备外壳材料应采用高规格防火阻燃材料、防火等级达到V0级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9）具有工信部入网许可证；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10）内置4G物联网流量卡，包含不少于5年流量。</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智能模块箱体</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3U定制箱体，含导轨、零线汇流排和地线汇流排</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线阵田字架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1、与线阵音箱配套；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2、配套两条不低于2吨绑带和四个专用U型扣；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3、可单点吊挂整串线阵。</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手动葫芦</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线阵音箱吊装</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多媒体显示系统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★1）尺寸≥10.88m*≥5.12m，显示分辨率不低于4352点×2048点，显示面积不低于55平米；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2）像数物理间距≤2.5mm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3）像素密度≥160000点/平方；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4）对比度≥5000:1；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5）白平衡亮度≥500nits；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6）视角：水平视角≥160°，垂直视角≥140°；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7）换帧频率：50&amp;60Hz；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8）模组亮度均匀性≥97%；</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9）低亮高灰：100%亮度时，18bit灰度，20%亮度时，≥14bit灰度；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10）峰值功耗≤460W/㎡、平均功耗≤145W/㎡；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11）使用寿命≥100000小时；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12）IP等级符合IP6X；</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13）PCB防火等级达V-0级；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14）校正功能：支持模块校正和数据储存及回读。支持单点亮度校正，支持单点色度校正，支持灰度校正；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15）一体化驱动主板控制设计，拥有自带驱动控制的LED显示单元技术，灯驱合一，多层PCB设计，具备独特的抗消隐、节能设计，无毛毛虫、鬼影跟随现象；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16）色度均匀性：±0.002Cx，Cy之内；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17）驱动方式：恒流驱动；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18）支持自动对位设计；具有拼缝微调功能；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19）发光点中心距偏差≤2%；</w:t>
            </w:r>
            <w:r>
              <w:rPr>
                <w:rFonts w:ascii="仿宋" w:hAnsi="仿宋" w:eastAsia="仿宋" w:cs="宋体"/>
                <w:color w:val="000000"/>
                <w:sz w:val="22"/>
              </w:rPr>
            </w:r>
            <w:r/>
          </w:p>
          <w:p>
            <w:pPr>
              <w:pStyle w:val="911"/>
              <w:jc w:val="left"/>
              <w:widowControl/>
              <w:rPr>
                <w:rFonts w:hint="eastAsia" w:ascii="仿宋" w:hAnsi="仿宋" w:eastAsia="仿宋" w:cs="宋体"/>
                <w:color w:val="000000"/>
                <w:sz w:val="22"/>
                <w:lang w:eastAsia="zh-CN"/>
              </w:rPr>
            </w:pPr>
            <w:r>
              <w:rPr>
                <w:rFonts w:hint="eastAsia" w:ascii="仿宋" w:hAnsi="仿宋" w:eastAsia="仿宋" w:cs="宋体"/>
                <w:color w:val="000000"/>
                <w:sz w:val="22"/>
                <w:highlight w:val="none"/>
              </w:rPr>
              <w:t xml:space="preserve">▲20）针对4-13项提供满足或优于以上参数的具有CMA标识的权威第三方检测机构出具的检测报告复印件并加盖投标人公章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lang w:eastAsia="zh-CN"/>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接收卡1</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1、最大带载不低于512x384，最多支持32组并行数据；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2、无需转接板，单卡自带HUB75接口；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3、支持逐点亮度校正；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4、快速亮暗线调节；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5、支持3D功能；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6、支持Mapping功能；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视频处理器1</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1、采用标准19英寸金属结构机箱，机箱为后挂耳结构，上盖无螺钉安装:外壳防护等级不低于IP20;采用纯硬件FPGA架构设计、运行稳定、可靠、高效。</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2、输入接口至少包含2路HDMI2.0,1路DP1.2+HDMI2.0二选一,4路HDMI13,1路USB3.0,支持选配1路3G-SDI(IN+LOOP)，最大支持3路4096*2160@60HZ信号同时输入</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3、视频输出支持≥24路千兆网口输出，≥4路10G-OPT光口，最大带载≥1560万像素，最宽支持≥16384,最高≥8192。</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4、音频输入支持视频口伴随音频输入及独立输入两种模式，音频输出支持网口扩展输出及3.5mm独立音频口输出；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5、支持输入源备份功能，主源丢失下，无需人为操作可自动切换至备源显示，切换过程无黑屏；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6、可支持≥144HZ高帧率输入输出，输出支持插帧、抽帧、倍频（不少于2倍频、3倍频、4倍频）功能，可将30Hz信号，倍频至120Hz输出；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7、图层能力：支持不少于12个2K图层或6个4K*1K图层或3个4K*2K图层，全部图层大小和位置可单独调节。4K接口输入2K信号，按2K图层计算图层资源；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U盘即插即播功能，最大支持≥4K级（3840*2160@60fps）图片和视频的流畅播放，播放列表计切换效果支持自定义编排，支持不少于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10、设备标配全彩液晶，搭配实体按键，方便对设备整体状态的监控及设备功能的控制:设备功能按键及丝印信息采用全中文提示；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11、支持不少于2种用户模式设置，满足不同角色对显示屏的分权管理，使用更加放心；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12、支持微信小程序快捷控制，包括但不限于亮度调节、输出画质调节、待机模式、画面冻结、场景切换、U盘播放等功能；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13、支持平板对控制器进行快捷控制，包括但不限于亮度调节、图层布局调节、画面冻结、黑屏、场景切换、音量大小、OSD开关等功能；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14、支持创建设备还原点，将当前设备的相关参数存储为还原点，当系统工作异常时，可根据还原点一键快速还原；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15、支持控制设备白名单，可通过MAC地址限制控制设备，非白名单内设备无法控制设备，不允许对设备进行操作；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16、MTBF≥150000小时，MTTR平均修复小于10分钟 可用度大于 99%，整机寿命不小于150000小时。产品稳定性高、性能卓越、纯硬件结构，上电即可正常工作，无需做任何其它设置。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17、设备控制支持BS架构，可兼容多种操作系统包括但不限于：Windows、MAC OS、深度Linux、银河麒麟、统信 UOS中标麒麟(NeoKylin)、优麒麟(UbuntuKylin)、凝思磐石、红旗 Linux 等;</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定制结构1</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1.产品型号：室内支架；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2.产品配置：四周不低于304不锈钢包边，钢结构支架，带底座；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3.材质：国标钢材；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4.颜色：黑色包边；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5.厚度：≥250mm；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6.表面处理：焊接或铆接节点喷涂防锈漆；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多媒体辅助显示系统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★1）单屏尺寸≥3.2m*≥2.08m，单屏显示分辨率不低于1600点×1040点，单屏显示面积不低于6平米；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2）像数物理间距≤2mm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3）像素密度≥250000点/平方；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4）对比度≥5000:1；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5）白平衡亮度≥500nits；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6）视角：水平视角≥160°，垂直视角≥140°；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7）换帧频率：50&amp;60Hz；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8）模组亮度均匀性≥97%；</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9）低亮高灰：100%亮度时，18bit灰度，20%亮度时，≥14bit灰度；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10）峰值功耗≤460W/㎡、平均功耗≤145W/㎡；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11）使用寿命≥100000小时；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12）IP等级符合IP6X；</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13）PCB防火等级达V-0级；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14）校正功能：支持模块校正和数据储存及回读。支持单点亮度校正，支持单点色度校正，支持灰度校正；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15）一体化驱动主板控制设计，拥有自带驱动控制的LED显示单元技术，灯驱合一，多层PCB设计，具备独特的抗消隐、节能设计，无毛毛虫、鬼影跟随现象；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16）色度均匀性：±0.002Cx，Cy之内；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17）驱动方式：恒流驱动；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18）支持自动对位设计；具有拼缝微调功能；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19）发光点中心距偏差≤2%；</w:t>
            </w:r>
            <w:r>
              <w:rPr>
                <w:rFonts w:ascii="仿宋" w:hAnsi="仿宋" w:eastAsia="仿宋" w:cs="宋体"/>
                <w:color w:val="000000"/>
                <w:sz w:val="22"/>
              </w:rPr>
            </w:r>
            <w:r/>
          </w:p>
          <w:p>
            <w:pPr>
              <w:pStyle w:val="911"/>
              <w:jc w:val="left"/>
              <w:widowControl/>
              <w:rPr>
                <w:rFonts w:hint="eastAsia" w:ascii="仿宋" w:hAnsi="仿宋" w:eastAsia="仿宋" w:cs="宋体"/>
                <w:color w:val="000000"/>
                <w:sz w:val="22"/>
                <w:lang w:eastAsia="zh-CN"/>
              </w:rPr>
            </w:pPr>
            <w:r>
              <w:rPr>
                <w:rFonts w:hint="eastAsia" w:ascii="仿宋" w:hAnsi="仿宋" w:eastAsia="仿宋" w:cs="宋体"/>
                <w:color w:val="000000"/>
                <w:sz w:val="22"/>
                <w:highlight w:val="none"/>
              </w:rPr>
              <w:t xml:space="preserve">▲20）针对14-19项提供满足或优于以上参数的具有CMA标识的权威第三方检测机构出具的检测报告复印件并加盖投标人公章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lang w:eastAsia="zh-CN"/>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接收卡2</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1、最大带载不低于512x384，最多支持32组并行数据；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2、无需转接板，单卡自带HUB75接口；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3、支持逐点亮度校正；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4、快速亮暗线调节；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5、支持3D功能；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6、支持Mapping功能；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视频处理器2</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1.支持≥5路输入接口，包括不少于1路DVI，1路HDMI1.3，1路VGA，1路USB播放，1路CVBS，1路选配扩展子卡。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2.支持窗口位置、大小调整及窗口截取功能。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3.投屏输入子卡安装后支持使用鼠标或键盘进行控制和手机电脑等无线投屏和U盘播放。</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4.支持输入源一键切换。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5.支持外置独立音频。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6.支持DVI、HDMI的输入分辨率预设及自定义调节。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7.支持画面一键全屏缩放、点对点显示、自定义缩放三种缩放模式。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8.支持快捷点屏，简单操作即可完成屏体配置。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9.支持≥4个网口输出，带载≥260万像素，最大宽度≥3840像素，最大高度≥1920像素。</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10.支持创建不少于6个用户场景作为模板保存，可直接调用，方便使用。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11.支持通过RS232协议连接中控设备。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12.支持屏体参数调整，例如亮度、Gamma等。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13.前面板直观的LCD显示界面，清晰的按键灯提示，简化了系统的控制操作。</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定制结构2</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标准定制；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1.产品型号：室内支架，嵌入式安装；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2.产品配置：四周不低于304不锈钢包边，钢结构支架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3.材质：国标钢材；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4.颜色：黑色包边；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5.厚度：≥100mm；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6.表面处理：焊接或铆接节点喷涂防锈漆；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会标显示系统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★显示净尺寸：长≥15.2m*高≥0.456m；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显示分辨率：长≥3200点*高≥96点；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1、点间距：≤4.75mm；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2、像素密度：≥44321点/㎡；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3、像素构成：1R（红）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4、刷新频率：≥960Hz；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5、亮度：≥300cd/m</w:t>
            </w:r>
            <w:r>
              <w:rPr>
                <w:rFonts w:ascii="Calibri" w:hAnsi="Calibri" w:eastAsia="仿宋" w:cs="Calibri"/>
                <w:color w:val="000000"/>
                <w:sz w:val="22"/>
              </w:rPr>
              <w:t xml:space="preserve">²</w:t>
            </w:r>
            <w:r>
              <w:rPr>
                <w:rFonts w:hint="eastAsia" w:ascii="仿宋" w:hAnsi="仿宋" w:eastAsia="仿宋" w:cs="仿宋"/>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6、对比度：≥500：1；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7、水平/垂直视角：≥150°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8、换帧频率：≥50Hz&amp;60Hz；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9、模组物理拼缝精度测量值：≤0.1mm；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网络控制卡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1、板载不低于100M网口+RS232+RS485+USB接口；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2、板载各类传感器接口，板载继电器开关，板载节目选择接口；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3、支持超长、超高、超大带载：单色1024K/双色512K/三基色320K点;宽度≤8192</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定制结构3</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标准定制；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1.产品型号：室内支架，嵌入式安装；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2.产品配置：四周不低于304不锈钢包边，钢结构支架；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3.材质：国标钢材；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4.颜色：黑色包边；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5.厚度：≥100mm；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6.表面处理：焊接或铆接节点喷涂防锈漆；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视频防护系统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1）桌面式，≥1路HDMI输入，≥1路HDMI输出，工业级：-25~55℃，无风扇自然散热。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2）实时防护，输出视频连续无卡顿、拖尾、黑屏等现象。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3）支持视频输入不低于4K@30fps，支持视频输出不低于4K@30fps。</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4）系统需实时在线防护，基于图像识别和深度机器学习的人工智能（AI）技术，针对输入的视频图像、图片、网页内容进行全自动智能检测，一旦发现不良内容，无须人工干预，及时自动屏蔽画面，避免不良内容扩散。识别范围应包含但不限于：涉黄、涉暴等方面，范围包括色情、火灾、车祸等，支持模型调优。（</w:t>
            </w:r>
            <w:r>
              <w:rPr>
                <w:rFonts w:hint="eastAsia" w:ascii="仿宋" w:hAnsi="仿宋" w:eastAsia="仿宋" w:cs="宋体"/>
                <w:color w:val="000000"/>
                <w:sz w:val="22"/>
                <w:highlight w:val="none"/>
                <w:lang w:val="en-US" w:eastAsia="zh-CN"/>
              </w:rPr>
              <w:t xml:space="preserve">提供</w:t>
            </w:r>
            <w:r>
              <w:rPr>
                <w:rFonts w:hint="eastAsia" w:ascii="仿宋" w:hAnsi="仿宋" w:eastAsia="仿宋" w:cs="宋体"/>
                <w:color w:val="000000"/>
                <w:sz w:val="22"/>
                <w:highlight w:val="none"/>
              </w:rPr>
              <w:t xml:space="preserve">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系统需全面精准过滤视频、图片、网页中的涉黄图像信息，发现涉黄内容时可阻断该视频画面的输出，当检测到内容恢复正常时，视频画面可恢复正常输出；系统需全面精准过滤视频图像、图片、网页中的敏感词内容，包括视频字幕、弹幕或者图片中嵌入的文字，当检测到敏感内容时可阻断该视频画面的输出，当检测到内容恢复正常时，视频画面可恢复正常输出；</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6）支持日志留存功能，可支持日志搜索，报警日志可显示：事件源、告警类型、报警时间、处理情况、操作、事件处理情况等内容。支持模型升级管理，模型升级管理需至少包含模型列表和版本列表两个部分，模型列表支持包括但不限于：色情识别、暴恐识别、特殊旗帜识别、人物库识别及敏感词识别等；版本列表支持新增、编辑、删除以及启用/禁用等操作。（提供功能截图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highlight w:val="none"/>
              </w:rPr>
              <w:t xml:space="preserve">▲7）设备无需联网，可在本机进行不良内容的检测识别，有效保护数据隐私及安全，不被网络病毒攻击，保证产品自身安全；（</w:t>
            </w:r>
            <w:r>
              <w:rPr>
                <w:rFonts w:hint="eastAsia" w:ascii="仿宋" w:hAnsi="仿宋" w:eastAsia="仿宋" w:cs="宋体"/>
                <w:color w:val="000000"/>
                <w:sz w:val="22"/>
                <w:highlight w:val="none"/>
                <w:lang w:val="en-US" w:eastAsia="zh-CN"/>
              </w:rPr>
              <w:t xml:space="preserve">提供</w:t>
            </w:r>
            <w:r>
              <w:rPr>
                <w:rFonts w:hint="eastAsia" w:ascii="仿宋" w:hAnsi="仿宋" w:eastAsia="仿宋" w:cs="宋体"/>
                <w:color w:val="000000"/>
                <w:sz w:val="22"/>
                <w:highlight w:val="none"/>
              </w:rPr>
              <w:t xml:space="preserve">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管理电脑</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CPU不低于10核16线程,最大加速频率≥4.7 GHz，制程工艺等同或优于14nm,兼容X86架构/内存≥16G/固态硬盘≥512G/不低于2G独立显卡/显示器≥23.8吋，分辨率≥1920*1080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智能配电柜</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1、定制大屏专用配电柜，三相五线制，额定负载不小于60kW，内含接触器、空气开关、时序器等，支持分区逐级上电，避免浪涌对电路的冲击。</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2、配电系统按照标准网络机房供电标准设计安装供电，为考虑峰值电流影响，需考虑分路供电，时序控制（分路供电及相关设施等由厂家根据所投产品自行计算配置，确保正常运行）。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3、电源供电需考虑二级防雷，设备、保护地分开，整个大屏接地系统需接入大楼接地系统，应考虑关键信息设备端口防雷措施；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4、防护功能：具有防静电、抗震动、防电磁干扰、抗雷击等功能，具有电源过压、过流、断电保护、分布上电措施，具有实时监控温度、故障报警功能。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移动视频采集主机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1.主机需采用ARM架构处理器，具备≥6核CPU，主机系统内存≥8GB。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2.主机采用SSD硬盘，存储容量≥500GB</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3.支持通过主机一体化屏幕对电池电量进行可视化监测，以百分比方式显示电量，充电状态、低电量状态、充满完成均有对应的状态提示。主机内置电池模组，电池容量≥16000mAH，可支持≥6小时续航。（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4.无需外接无线网卡即可连接WIFI网络实现直播。</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5.支持多网互备，有线网络和WIFI网络可以相互备份使用，两个网络链路可以实现动态切换。</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6.主机内置无线视频接入模块，支持≥4路无线视频信号输入。</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▲7.支持标准USB音视频信号输出，通过主机Type-C接口可以实现图像和声</w:t>
            </w:r>
            <w:r>
              <w:rPr>
                <w:rFonts w:hint="eastAsia" w:ascii="仿宋" w:hAnsi="仿宋" w:eastAsia="仿宋" w:cs="宋体"/>
                <w:color w:val="000000"/>
                <w:sz w:val="22"/>
                <w:highlight w:val="none"/>
              </w:rPr>
              <w:t xml:space="preserve">音同步输出，输出音频可通过主机控制软件实现混音，兼容主流视频会议软件，支持不小于4K图像输出；支持≥4路高清视频输出，视频输出可同一时间输出不同视频源，且输出最大分辨率均可达到4K，其中HDMI信号输出≥3路，UVC信号输出≥1路；支持≥32路1080p@30fps编/解码。支持通过互联网，实现对设备的远程配置，支持关机、重启、参数配置操作；支持通过IOT物联平台实现主机的远程升级，可查看不同版本的占比，可按照行政区域进行分区升级。（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8.主机能够独立完成视频采集、音频采集、音频编码、视频编码、音频处理、视频处理、直播、录制、互动、导播、远程运维参数设置功能。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内置音频接收模块。无需外接无线音频接收模块，即可完成无线音频采集，支持同时≥2个无线麦克风接入，且同时支持≥2种对频模式。麦克风连接成功后，主机会显示无线麦克风连接成功图标，可通过麦表动态查看声音采集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10.支持≥2个HDMI高清采集接口，支持≥5个RJ45接口。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11.支持≥2个线路立体声音频输入；≥2个线路立体声音频输出。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1个阵列麦克风输入接口，可在不接入音频处理器的情况下，通过一根网线就可以完成≥2个阵列麦克风接入主机，通过一根网线可以实现≥2个麦克风的供电、音频信号传输、音频参数设置，支持数字音频传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 H.264(BP/MP/HP)视频编码与解码，可扩展支持H.265 编码/解码。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14.主机内置扬声器，支持音频检测，通过主机内置扬声器可以播放测试音频，通过主机一体化屏幕进行视频预览时能够同步播放音频，且可控制播放音频音量大小。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15.支持通过主机一体化屏幕，调用系统内置输入法，对录制文件的名称进行重命名。</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主机导播系统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1.支持多种画面模式，支持单画面、2种画中画、左右等分、三画面、四画面6种画面合成模式。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2.支持云台摄像机控制，支持PTZ（对云台全方位移动及镜头变倍、变焦控制），≥8个预置位设置及调用；同时支持通过鼠标点击画面进行云台摄像机跟踪，可通过鼠标滑轮实现镜头画面放大缩小。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3.在导播界面的预览窗口可实时观看≥5路画面，点击可进行画面切换。预监画面可实时推流给资源平台，实现平台直播。</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4.支持≥7种导播切换特效，可通过主机的一体化触摸屏可以实现转场特</w:t>
            </w:r>
            <w:r>
              <w:rPr>
                <w:rFonts w:hint="eastAsia" w:ascii="仿宋" w:hAnsi="仿宋" w:eastAsia="仿宋" w:cs="宋体"/>
                <w:color w:val="000000"/>
                <w:sz w:val="22"/>
              </w:rPr>
              <w:t xml:space="preserve">效类型选择设置；特效保持时间支持自定义。</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5.支持通过U盘导入视频、图片作为片头片尾素材，不少于3种格式；支持单个视频文件≥200MB，单个图片文件≥20MB，可保存≥10个素材；支持设定片头片尾保持时间，保持时间在5s~10s之间可选，片头片尾素材可直接在主机一体化屏幕上进行删除。支持通过主机一体化屏幕进行云台摄像机控制，可任意转动云台方向，实现步进控制、连续控制。</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6.支持多种格式的字幕，可输入中文、英文、数字、特殊符号；支持调节文字大小。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7.支持通过主机一体化触控幕的虚拟摇杆拖动幅度实现云台摄像机的变速控制；支持≥3种云台转动灵敏度设置。</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主机互动系统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同时支持自动连线和手动连线；自动连线模式下，听课端会自动接通来自授课端的互动请求，可选择设置关闭；手动连线模式下，当授课端发出呼叫请求后，听课端的主机一体化触控屏上会出现呼叫提醒，用户可选择接听或者挂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2.支持标准SIP音视频互动协议，支持1080P@60fps视频互动。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3.支持双流自动发送，设置自动发送后，建立呼叫，授课端自动发送双流。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4.支持课程预约功能，主机的一体化触控屏能接收平台下发的互动课表，并显示于主机的一体化触控屏上，用户点击课表即可立即加入课堂，进行实时互动。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5.支持微信扫码登录，无需单独输入账号，使用微信扫描主机一体化触控屏上显示的二维码即可登录互动系统，登陆后显示用户头像和用户名；</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highlight w:val="none"/>
              </w:rPr>
              <w:t xml:space="preserve">6</w:t>
            </w:r>
            <w:r>
              <w:rPr>
                <w:rFonts w:hint="eastAsia" w:ascii="仿宋" w:hAnsi="仿宋" w:eastAsia="仿宋" w:cs="宋体"/>
                <w:color w:val="000000"/>
                <w:sz w:val="22"/>
              </w:rPr>
              <w:t xml:space="preserve">.支持进行网络检测，无需通过第三方软件，可在主机的一体化触控屏上主机网络状态；实现对网络联通性、网络稳定性、上行速度、下行速度、网络追踪性、网卡信息实时检测；在一段时间内，支持以折线图方式实时呈现网络稳定性、上行速度和下行速度；</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▲7.互动过程中，可在主机的一体化触控屏调出累计视频卡顿次数、累计音频卡顿次数和当前视频参数。（提供具有CMA标识的权威第三方检测机构出具的检测报告复印件并加盖投标人公章）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8.互动过程中支持随时邀请新的听课端加入，支持拨号呼叫，用户可通过主机的一体化触控屏的拨号键盘实现拨号呼叫；支持互动通讯录功能，通讯录可显示最近呼叫的账号信息，可通过通讯录实现一键呼叫。</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9.支持一键结束互动，用户通过互动录播电脑主机一体化触控屏一键结束互动。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10.支持在开始授课前可根据主机的一体化触控屏检查设备是否正常，包括：在预监画面查看各个视频画面是否正常；在预监画面进行音量调节和查看声音是否正常。</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11.支持课堂互动功能，授课过程中可在主机的一体化触控屏单击听课端画面切换听课端为主画面，并支持与听课端主机实时连麦对讲，进行异地互动。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12.设备双向互动过程中，在系统总丢包率50%的网络环境下，视频清晰流畅无卡顿，语音连贯。</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主机视频处理系统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1.支持合成4K PGM画面，≥5个画面可调。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2.支持多种类型视频信号接入，可接入网络视频信号、高速数字信号HDMI。</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3.支持通过rtsp协议接入第三方摄像机视频流。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4.支持≥3种编码复杂度设置。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5.支持≥2种码率控制方式设置。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6.主机支持通过网络对接入摄像机的设备信息检索。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7.支持接入POE摄像机。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8.HDMI采集通道支持画面缩放，可完成3840×2160p图像采集。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无线机械云台摄像机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1.支持≥1路RJ45网络接口，10M/100M/自适应以太网。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2.支持≥1路HDMI OUT接口，支持≥1路3.5mm Line in接口，≥1路USB Type-C接口。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3.支持硬件复位功能，可通过Reset复位键实现整机复位。</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4.传感器尺寸≥CMOS 1/1.8英寸，有效像素≥800万。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5.支持最大水平视场角≥60°，最大垂直视场角≥35°。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6.镜头光圈：F1.58 ~ F3.95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7.快门速度：1/30s ~ 1/10000s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8.低照度支持&lt;0.1Lux @ (F1.8,AGC ON)</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9.支持不少于40倍变焦，支持自动对焦/手动对焦。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10.支持水平翻转、垂直翻转，水平转动范围：±170°，垂直转动范围：-30°~+90°。</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11.支持标准USB音视频信号输出，可以同时支持UVC和UAC协议，通过主机Type-C接口可以实现图像和声音同步输出，最大支持1920×1080@30fps输出，兼容主流视频会议软件。机身配备≥1英寸显示屏，支持显示信号强度、连接状态、电量信息、IP地址、音频工作状态。（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12.支持AAC音频编码方式，音频采样率32kHz，音频采样精度16bit。</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13.空旷环境下无遮挡可靠传输实时4K超清视频距离≥100m，空旷环境下无遮挡可靠传输实时1080高清视频距离≥250m。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14.支持通过无线网络实现电量信息、无线信号强度、摄像机参数、版本信息的显示，并进行设备升级。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15.不外接电源或移动电源时，电池续航时间≥8h</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云台摄像机图像处理系统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1.支持畸变矫正功能。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2.支持H.264、H.265、MJPG编码协议。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3.网络视频编码输出格式：3840*2160@30fps、3840*2160@25fps、1920*1080@60fps、1920*1080@30fps、1920*1080@25fps并向下兼容。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4.HDMI视频编码输出格式：3840*2160@30fps、3840*2160@25fps、1920*1080@30fps、1920*1080@25fps。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5.支持CBR、VBR码率控制。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6.支持自动白平衡，背光补偿，强光抑制，图像冻结。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7.支持≥3种编码等级。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8.支持基于不同使用场景的摄像机模式选择，包括室内模式、室外模式和专业模式。</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9.支持人员检测，当开启跟踪时，即可实现对人员的跟踪拍摄，无需借助其他定位摄像机。</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10.支持通过录播主机手动划定跟踪目标，摄像机可对目标进行单人跟踪。</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无线麦克风</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1.麦克风支持≥1个Pogo pin接口，支持通过Pogo pin接口进行充电。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2.麦克风支持≥1个三合一按键，可控制麦克风的开关机、静音和配对。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3.麦克风支持≥2个音量控制按钮，可通过音量“+”“-”按钮控制麦克风输出音量。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4.麦克风充电仓支持电量指示，通过灯珠亮灭数量充电仓剩余电量及充电状态。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5.麦克风支持≥4种佩戴方式。麦克风支持通过音量调节按钮调节输出音量；音量调节过程中通过麦克风一体化屏幕动态提示当前音量等级。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6.麦克风领夹角度支持调节，调节角度≥±90°；麦克风与领夹夹角相对0°位置具备限位功能。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7整机标配两个无线麦克风，且两个麦克风支持同时工作。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8.麦克风支持一键开启静音模式。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9.麦克风采用心型指向，信噪比≥95dB，音频采样率≥48kHz，音频采样精度≥16bit。</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10.麦克风工作频段为2.4G。</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11.支持抗干扰能力，支持自动跳频技术，避免同频干扰问题，同一空间内有多个无线麦克风不会产生相互干扰。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12.支持红外和无线同时配对。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13.支持在空旷环境下，有效传输距离≥100m。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麦克风音频处理系统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1.麦克风音频编码方式采用LC3 plus。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2.支持啸叫抑制算法，本地扩声时不产生啸叫现象。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3.支持降噪功能设置。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4.支持多通道输入混音。</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移动设备箱</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1.采用高强度聚丙烯复合材料，箱体承重≥50KG。</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2.箱体可抗紫外线辐射，耐强力冲击。</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3.支持IP67防护等级。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4.采用PU加尼龙双排静音轮。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5.具备可伸缩拉杆，人体工学把手，采用包胶设计。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6.配备金属防割锁孔，防剪防盗。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7.内衬采用XPE材质，环保无刺激性气味。</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三脚架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1.材质：铝合金；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2.管径：14~26mm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3.升高：≥150cm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4.最低高度：≥32cm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5.收合高度：≤45cm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6.载重：≥5kg</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中控控制器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1.物联网边缘计算主机内置了一系列可独立运行的本地版系统，可脱离服务器及云端独立运行；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2.内置双电源备份，保证电源的安全稳定；</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3.CPU：不低于1.5 GHz，64-bit，4核心；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4.RAM：不低于2GB LPDDR4-3200 RAM；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5.支持TCP/IP、UDP、RS485、RS232、RS422、IR，I0 等接口协议；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6.支持USB数据读取USB小电流供电；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7.连接云端，通过云端实现统一控制运维及数据采集；</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8.支持RJ45千兆网口，支持TCP/IP、UDP、HTTP等网络通讯协议，可同时支持大于500个设备节点；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9.支持远程故障诊断、日志记录、故障预警报警，远程升级等。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10.可触控主机显示屏，可显示信息:Logo，产品信息，IP地址，联网状态等，可设置参数:COM口协议，波特率，授权二维码等；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11.支持≥2路24V电源输出供电；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12.≥1路RJ45千兆网口，≥1路专用RS485接口，≥8路多功能COM口，≥8路多功能红外发射口，≥1路多功能红外学习口，≥4路继电器接口，≥8路I0口，≥2路USB2.0接口，≥2路USB3.0接口；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13.支持TCP/IP、UDP、HTTP等网络通讯协议；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14.≥8路多功能COM口，可切换RS485/RS422/RS232，支持600~400000波特率。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15.配套外设：控制平板1台及无线路由器1台。</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集中控制软件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设备包括单不限于内置物联网设备控制系统，物联网电源管理系统，物联网PAD控制系统，物联网智能面板控制系统，在线脚本开发系统等：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一、物联网设备控制系统：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1）支持预设场景的一键控制，支持场景分类显示。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2）支持各类设备的物联控制，支持设备自定义排序。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3）支持场馆多区域模式，自定义区域所属的场景与设备。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4）支持物联空开电源的单独管理，支持一键全开全关。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二、物联网电源管理系统：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1）支持对所有电源空开的单独开关控制。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2）支持一键全开与一键全关。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3）支持所有电源空开的实时数据查看，包括：继电器状态，合闸状态，历史电量，实时电压，实时电流，实时功率，实时温度，最大电流，短路次数，本次用电量等数据。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三、物联网PAD控制系统：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1）支持环境各类空气数据的实时读取与展示。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2）支持预设场景的一键控制。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3）支持各类设备的物联控制。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4）支持系统界面自定义配置。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四、物联网智能面板控制系统：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1）支持1-14键的面板按键控制，可实现控制单个设备，也可控制单个预设场景。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2）支持智能面板的自定义个性化的界面设计。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3）支持面板界面自定义开发与配置。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五、主机配置管理系统：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1）系统配置模块：支持系统升级，实时运行日志查看，重启设备，设置管理密码，运行命令行模式，出厂设置，WI-FI等功能。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2）中控配置模块：支持设备配置，电源管理，指令配置，区域配置，主题配置，IO口配置，PAD系统界面配置，红外学习配置，自定义控制界面，TCP/UDP连接配置等，支持服务器配置，IP 配置，支持所有配置数据的导入与导出功能。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六、在线脚本开发系统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1）支持包括但不限于在线自定义编程开发设备数据解析的JS脚本。</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2）支持在线调试与运行脚本，输入即输出，调试结果一目了然。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3）支持设备的运行状态解析开发，包含未知状态，离线状态，在线状态，关机状态以及开机状态。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4）支持设备的详细数据的解析开发，并结合简单的系统配置后，即可将解析后的内容同步到系统上。</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中控扩展器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支持≥4路RS232/422/485;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支持≥4路IR和单向RS232复用端口；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支持≥4路RELAY；</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支持≥4路IO；</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支持≥2路12V1A外输出电压；</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支持POE供电。</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16路混合矩阵(触摸屏)</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1、全模块化设计，输入输出的音视频信号，控制信号，电源和风扇全都采用模块化设计，均支持插拔，采用双电源冗余备份；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2、音视频输入输出采用不低于一卡四路设计，可支持CVBS/VGA/YPBPR/DVI/HDMI/HDSDI/3GSDI/HDBaseT/Fiber信号的混合输入和混合输出；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3、支持各种信号的快速无缝切换，切换过程无黑屏，蓝屏，碎屏；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4、支持不低于4K60 444信号输入输出以及无缝切换，支持HDCP2.2；</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5、强大信号交换处理能力，采用不低于四核四链路核心芯片≥32 Gbps处理速率；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6、广电专业带灯按键设计，可对混合矩阵进行切换、设置等功能；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7、支持各种视频信号的立体声音频的解析，分配，切换；</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▲8、支持不低于双网络，双控制备份功能，实现大规模集成化网络管理功能；（提供具有CMA标识的权威第三方检测机构出具的检测报告复印件并加盖投标人公章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9、支持视频信号接口卡即插即用功能；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10、支持HDBaseT高清视频信号的网络转换和传输功能，传输距离不低于70/100米，网络输入输出传输带宽速率不低于10Gbps；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11、支持光纤传输距离可从550米~10公里，最远不低于80公里；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12、内置强大WEB服务器，可实现网络远程管理控制；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13、支持强大的网络集中控制功能，单一控制界面可以控制≥254台设备；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14、支持拼接功能，可以通过PC端系统及移动端系统对拼接系统进行配置，可以内建不少于6组的拼接组；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15、支持不低于4K60的开窗功能，单路输出可以开不低于四个窗口；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16、支持音视频编码和解码功能，可以直接对接市面上常见IP摄像头；</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17、输入分辨率不低于7680*1080，通过多路输入可以实现不低于16K信号的输入并输出显示；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18、支持环境控制功能，可以对灯光/窗帘/空调等进行控制，控制界面可以自由定义。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19、配套外设：2台55吋4K分辨率舞台返显电视。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HDMI无缝切换输入板卡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支持≥4路HDMI 4K60输入，支持HDCP2.2</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支持4K60 分辨率，向下兼容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支持音频解嵌功能，支持无缝快速切换</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70米HDBT有缝输入板卡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支持≥4路HDBaseT信号输入，通过CAT5E/6/7类网线最远可传输≥70米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支持1080P分辨率和4K60分辨率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支持双向IR，双向RS232串口控制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支持POC功能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和DRS输出板卡配合可需要和AEL网传搭配，分辨率最大支持4K30 </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HDMI跨分辨率无缝切换输出板卡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支持≥4路HDMI 4K60信号输出，支持4K60分辨率以及向下兼容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支持音频解嵌功能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支持跨分辨率无缝切换，支持拼接功能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70米HDBT跨分辨率无缝输出板卡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支持≥4路HDBaseT信号输出，通过CAT5E/6/7类网线最远可传输70米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支持1080P分辨率和4K60分辨率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支持双向IR，双向RS232串口控制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支持POC功能，支持无缝切换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可以和HDBaseT网线传输器配套使用</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HDBT 4K60 HDMI+Audio墙插发射</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HDMI+Audio HDBaseT，≥70米(1080P和4K30 ), ≥35米(4K60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墙面式安装，标准英规1GANG，国标86面板，支持POC供电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支持HDMI2.0，HDCP2.2，HDR</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HDBT 70米HDMI 墙插网传接收器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HDMI HDBaseT，≥70米（1080P）, ≥35米4K60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墙面式安装，标准英规1GANG，国标86面板</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支持POC供电和POE供电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支持HDMI2.0，HDCP2.2，HDR</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舞台机械控制系统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控制任意一道吊杆的上限到位和下限到位，具有点控、急停控制，防冲顶保护等功能，设有电锁，电源指示等设施。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电动会标幕吊杆</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1、杆体结构为H型吊杆，包含限位开关、防冲顶装置、滑轮组;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2、载荷:≥6KN;杆体长度:定制不低于18米;吊点数:不少于5个；</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3、钢丝绳:不小于直径5.1mm镀锌；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4、速度≤0.3m/s;运行噪音:≤45dB(A)；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5、可控制杆体安全措施:上下限位保护、防冲顶保护、断电保护、过载保护下冲保护,防跳槽保护装置；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6、不小于直径48mm无缝钢管（防锈处理），壁厚≥3mm；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7、层绕式卷扬机：电机功率:不低于4KW,采用航空钢丝绳,双重上下机械限位,可以自由调节设定,限位精度士1mm; 切断 380V 总电源,防冲顶保护装置；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8、带收线框,收线口自带约60°敞口:敞口钢板厚度:不小于1.5mm;安装方式:双抱箍安装。</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对开大幕</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1、对开速度：0.1-1.0m/s；功率≥1.1kw；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2、噪音：观众厅第一排检测≤48dB；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3、保护装置：水平限位开关、极限开关；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4、拉力（牵引力）等于或大于800N；</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5、具有开闭限位开关和开闭极限开关；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6、含滑轮组，撞车，对开传动轮，对开导轨，滑车挂钩等。</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电动灯光吊杆</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1、杆体结构为H型吊杆，包含限位开关、防冲顶装置、滑轮组；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2、载荷:≥6KN;杆体长度:定制不低于18米;吊点数:不少于5个；</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3、钢丝绳:直径不小于5.1mm镀锌；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4、速度≤0.3m/s;运行噪音:≤45dB(A)；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5、可控制杆体安全措施:上下限位保护、防冲顶保护、断电保护、过载保护下冲保护,防跳槽保护装置；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6、直径不小于48mm 无缝钢管，壁厚≥3mm；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7、层绕式卷扬机：电机功率:不低于4KW,采用航空钢丝绳,双重上下机械限位,可以自由调节设定,限位精度士1mm; 切断 380V 总电源,防冲顶保护装置；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8、带收线框,收线口自带 60°敞口:敞口钢板厚度:不低于1.5mm; 安装方式: 双抱箍安装。</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横侧幕吊杆</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1、杆体结构：钢管/H形或者单杆体结构，不低于</w:t>
            </w:r>
            <w:r>
              <w:rPr>
                <w:rFonts w:ascii="Calibri" w:hAnsi="Calibri" w:eastAsia="仿宋" w:cs="Calibri"/>
                <w:color w:val="000000"/>
                <w:sz w:val="22"/>
              </w:rPr>
              <w:t xml:space="preserve">Φ</w:t>
            </w:r>
            <w:r>
              <w:rPr>
                <w:rFonts w:hint="eastAsia" w:ascii="仿宋" w:hAnsi="仿宋" w:eastAsia="仿宋" w:cs="宋体"/>
                <w:color w:val="000000"/>
                <w:sz w:val="22"/>
              </w:rPr>
              <w:t xml:space="preserve">48焊管，按照实际米长采用直径不低于</w:t>
            </w:r>
            <w:r>
              <w:rPr>
                <w:rFonts w:ascii="Calibri" w:hAnsi="Calibri" w:eastAsia="仿宋" w:cs="Calibri"/>
                <w:color w:val="000000"/>
                <w:sz w:val="22"/>
              </w:rPr>
              <w:t xml:space="preserve">Φ</w:t>
            </w:r>
            <w:r>
              <w:rPr>
                <w:rFonts w:hint="eastAsia" w:ascii="仿宋" w:hAnsi="仿宋" w:eastAsia="仿宋" w:cs="宋体"/>
                <w:color w:val="000000"/>
                <w:sz w:val="22"/>
              </w:rPr>
              <w:t xml:space="preserve">48焊管定制单层平行杆体；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2、杆体长度：不低于18米；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3、表面处理：哑光黑色漆处理/防锈处理2层；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4、吊点：不少于5个；</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5、钢丝绳：不低于国标</w:t>
            </w:r>
            <w:r>
              <w:rPr>
                <w:rFonts w:ascii="Calibri" w:hAnsi="Calibri" w:eastAsia="仿宋" w:cs="Calibri"/>
                <w:color w:val="000000"/>
                <w:sz w:val="22"/>
              </w:rPr>
              <w:t xml:space="preserve">φ</w:t>
            </w:r>
            <w:r>
              <w:rPr>
                <w:rFonts w:hint="eastAsia" w:ascii="仿宋" w:hAnsi="仿宋" w:eastAsia="仿宋" w:cs="宋体"/>
                <w:color w:val="000000"/>
                <w:sz w:val="22"/>
              </w:rPr>
              <w:t xml:space="preserve">5.1MM。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对开底幕</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1、对开方式：匀速；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2、单边布幕宽度范围：11.5m；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3、对开电机功率：0.75kw；电压：380V；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4、噪音：观众厅第一排中间位置检测不大于48dB。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5、含对开轨道、限位开关、滑轮组、撞车、挂钩。</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固定耳光架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现场定制，满足使用需求</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钢丝绳</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航空钢丝绳5.1mm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马道式钢结构设备转换层</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1、设备安装层钢架现场定制，设置在屋盖下弦合理的位置，舞台机械安装基础钢结构；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定制承重梁，钢结构检修道式，悬挂于屋顶下，舞台纵深方向不少于5道检修道,左右不少于2道设备层，以不低于14号槽钢和不低于12号槽钢为主，舞台横向不少于1道检修道，检修道宽不低于700mm，底部不低于40X40方钢+25圆管加固，护栏高不低于800mm,40X40方钢+25圆管制作，承重梁根据现场制作，栅顶具体结构形式视屋顶结构而定，栅顶层施工参照最终施工实施，制作完毕刷防锈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规格：20×2×3×1（长×高×折比3×块)丝绒，B1级防火阻燃处理；（材质、颜色需由校方确认样品）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规格：20×2×1×1（长×高×折比1×块)棉布，B1级防火阻燃处理；（材质、颜色需由校方确认样品）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大幕幕布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规格：11×7.5×3×2(长×高×折比3×块)丝绒，B1级防火阻燃处理；（材质、颜色需由校方确认样品）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大幕幕布衬里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规格：11×7.5×1×2(长×高×折比1×块)棉布，B1级防火阻燃处理；（材质、颜色需由校方确认样品）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横条幕幕布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规格：20×2×3×2（长×高×折比3×块)丝绒，B1级防火阻燃处理；（材质、颜色需由校方确认样品）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横条幕幕布衬里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规格：20×2×1×2（长×高×折比1×块)棉布，B1级防火阻燃处理；（材质、颜色需由校方确认样品）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侧条幕幕布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规格：3×8×3×4（长×高×折比3×块)丝绒，B1级防火阻燃处理；（材质、颜色需由校方确认样品）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侧条幕幕布衬里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规格：3×8×1×4（长×高×折比1×块)棉布，B1级防火阻燃处理；（材质、颜色需由校方确认样品）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底幕幕布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规格：11×7.5×3×2(长×高×折比3×块)丝绒，B1级防火阻燃处理；（材质、颜色需由校方确认样品）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底幕幕布衬里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规格：11×7.5×1×2(长×高×折比1×块)棉布，B1级防火阻燃处理；（材质、颜色需由校方确认样品）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面光LED聚光灯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光源：≥230W LED集成芯片模组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光束角度：≥12°～40°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调焦方式：DMX电动变焦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显色指数：≥95；蓝光危害等级：≥RG0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色温：3200K/5600K</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调光：线性调光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协议：具备旋钮，DMX协议，RDM协议。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通道：（3200K/5600K）3CH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电源/信号线：标配3米长的手拉手电源/信号</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品牌商标：灯体应有明显的品牌烙印模具商标，杜绝贴牌仿制产品。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左右耳光LED成像灯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光源：≥230W LED集成芯片模组；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透镜角度（固焦）：≥19°/26°/36°/50°可选；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显色指数：≥95，噪音：≤40db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色温：3200K/5600K</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调光：线性调光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通道：（3200K/5600K）2CH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中心照度：≥17100LUX/3米（19°）</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显示：1.8英寸TFT液晶显示屏带有5个按键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电源/信号线：标配3米长的手拉手电源/信号</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品牌商标：灯体应有明显的品牌烙印模具商标，杜绝贴牌仿制产品。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一顶光LED三基色灯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光源：≥802颗0.5W灯珠</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色温：3200K～5600K色温可调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光源寿命：≥20000小时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透镜角度（固焦）：120°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显色指数：≥95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控制通道：2CH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品牌商标：灯体应有明显的品牌烙印模具商标，杜绝贴牌仿制产品。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协议：具备旋钮，DMX协议，RDM协议。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散热系统：无风机设计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电源/信号线：标配3米长的手拉手电源/信号</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外观材料：型材铝</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一顶光LED四合一帕灯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灯珠：≥54颗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通道：≥4/8通道可切换。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显色指数：Ra&gt;90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静音风机设计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安装方式：手拉手1.5米电源/信号连接安装。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远程控制：灯具需自带RDM远程智能控制，可通过控制系统修改灯具参数。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外观材料：整机外壳机箱为压铸铝成形，箱体需带有明显的品牌LOGO铸印，防止假冒贴牌。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二顶光LED三基色灯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光源：≥802颗0.5W灯珠</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色温：3200K～5600K色温可调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光源寿命：≥20000小时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透镜角度（固焦）：120°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显色指数：≥95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控制通道：2CH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品牌商标：灯体应有明显的品牌烙印模具商标，杜绝贴牌仿制产品。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协议：具备旋钮，DMX协议，RDM协议。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散热系统：无风机设计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电源/信号线：标配3米长的手拉手电源/信号</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外观材料：型材铝</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二顶光LED四合一帕灯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灯珠：≥54颗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通道：≥4/8通道可切换。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显色指数：Ra&gt;90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静音风机设计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安装方式：手拉手1.5米电源/信号连接安装。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远程控制：灯具需自带RDM远程智能控制，可通过控制系统修改灯具参数。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外观材料：整机外壳机箱为压铸铝成形，箱体需带有明显的品牌LOGO铸印，防止假冒贴牌。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三顶光LED四合一帕灯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灯珠：≥54颗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通道：≥4/8通道可切换。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显色指数：Ra&gt;90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静音风机设计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安装方式：手拉手1.5米电源/信号连接安装。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远程控制：灯具需自带RDM远程智能控制，可通过控制系统修改灯具参数。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外观材料：整机外壳机箱为压铸铝成形，箱体需带有明显的品牌LOGO铸印，防止假冒贴牌。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三顶光摇头光束灯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 : ≥300W LED模组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DMX通道：双通道工作模式，16个国际DMX通道可切换为16通道模式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图案盘：1个固定图案盘，13个固定图案+白光，每个图案都有抖动效果，图案盘带正反向快慢流水效果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颜色盘：1个颜色盘，12色+白光，每个颜色片均可与相邻的颜色片做半色效果、均可双向快慢流动。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彩虹盘：内置不低于七彩颜色盘，可营制出炫丽的彩虹效果。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双棱镜：8+16+24蜂窝棱镜组合+8棱镜，独特的双棱镜设计，均可相互组合叠加或单独快慢旋转变化，生成奇异特殊多光束效果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自动纠错：水平垂直均采用光电复位系统，偶碰出错可自动检索复位</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智能风机调速：灯具在未点泡或频闪闭光状态时，风机自动降速运行，降低风机噪音，营造良好的演出环境。当风机出现故障时，显示屏将提示风机故障，60S内灯具自动灭泡保护,有效防止因风机故障而引起的烧泡或炸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EMC：辐射骚扰，传导骚扰符合GB/T17743-2021的限值要求；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电池兼容：符合GB17625.1-2022 电池兼容C类设备限值要求；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品牌防伪商标：灯体应有明显的防伪二维码标签（单灯单码不重复），杜绝贴牌仿制伪劣产品；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外观材料:ABS+阻燃，塑料外壳必须是采用符合UL94V-1防火等级级别的工程阻燃形材质；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四顶光摇头光束灯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光源:≥300W LED模组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DMX通道：双通道工作模式，16个国际DMX通道可切换为16通道模式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图案盘：1个固定图案盘，≥10固定图案+白光，每个图案都有抖动效果，图案盘支持正反向快慢流水效果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颜色盘：1个颜色盘，不少于12色+白光，每个颜色片均可与相邻的颜色片做半色效果、均可双向快慢流动。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彩虹盘：内置不低于七彩颜色盘，可营制出炫丽的彩虹效果。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双棱镜：8+16+24蜂窝棱镜组合+8棱镜，独特的双棱镜设计，均可相互组合叠加或单独快慢旋转变化，生成奇异特殊多光束效果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自动纠错：水平垂直均采用光电复位系统，偶碰出错可自动检索复位</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智能风机调速：灯具在未点泡或频闪闭光状态时，风机自动降速运行，降低风机噪音，营造良好的演出环境。当风机出现故障时，显示屏将提示风机故障，60S内灯具自动灭泡保护,有效防止因风机故障而引起的烧泡或炸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EMC：辐射骚扰，传导骚扰符合GB/T17743-2021的限值要求；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电池兼容：符合GB7625.1-2022 电池兼容C类设备限值要求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品牌防伪商标：灯体应有明显的防伪二维码标签（单灯单码不重复），杜绝贴牌仿制伪劣产品；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外观材料:ABS+阻燃，塑料外壳必须是采用符合UL94V-1防火等级级别的工程阻燃形材质；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四顶光LED四合一帕灯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灯珠：≥54颗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通道：≥4/8通道可切换。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显色指数：Ra&gt;90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静音风机设计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安装方式：手拉手1.5米电源/信号连接安装。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远程控制：灯具需自带RDM远程智能控制，可通过控制系统修改灯具参数。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外观材料：整机外壳机箱为压铸铝成形，箱体需带有明显的品牌LOGO铸印，防止假冒贴牌。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触摸灯控台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处理器：不低于双核处理器，128G固态硬盘，4G内存；</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信号输出：≥8个标准DMX512输出端口，4096个DMX通道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操作界面：配置1块≥15.6吋高分辩率宽屏触摸屏，支持Artnet网络功能。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系统运行：≥10个宏功能按键，≥20个重放推杆，支持≥1000个虚拟程序重放，具有单独的总控推杆和按键，支持涂鸦式手写命名功能，支持CITP协议，可在控台上直接看到媒体服务器里媒体片段的图像缩略图；支持wi-fi接入,可使用Ipod Touch 和iphone等无线控灯，移动设备远程控制灯具；支持视频，支持MIDI时间码声光同步功能，断电保护：内置不间断UPS电源，可意外断电保护，防止数据丢失。</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19510.1-2023、GB/T 19510.213-2023、GB/T 2423.1-2008标准。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电源直通箱</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输出功率:≥14路×3KW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显示面板：产品面板需配置有LED数显直读式电压表；可实时查看设备电压使用情况。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主要配置：断路器，三芯插座，电缆线</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7000.1-2023、GB/T 13582-1992、GB/T 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信号放大器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路数：≥8路三芯输出，≥8路独立的变压器供电设计，每路输入/输出均带光电隔离，信号放大功能。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面板设计：输入/输出端口后置设计，前面板带有信号指示灯。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安装要求：标准型网络机柜安装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产品符合GB/T19510.1-2023、GB/T19510.213-2023标准。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双雾机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功耗：≥600W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输出量：3000cuft/min</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预热方式：无需预热，开机即用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最大油桶容量：≥3.6升，耗油量：≥25小时/升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控制方式：DMX512，遥控、手控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DMX通道：2个DMX通道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内置控制器：LCD定时控制器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具有开关机及周期循环定时系统，让操作更随心；</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双雾油</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双雾机专用油，1L/瓶，6瓶/箱</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灯钩保险绳</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灯具挂钩，承重≥35KG</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安全绳，承重≥35KG</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专业机柜</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42U标准网络机柜，600*600*2000mm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礼堂椅</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详细参数：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1.尺寸：中心距约550mm（含一个扶手）；总高约1000mm；座展开总长约700mm；座内宽约495mm；座净深约415mm；座展开离地高约450mm；写字板打开总长约860mm；靠背到扶手前端约610mm；扶手宽约55mm；站脚总高约660mm。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背/座外壳：采用优质全新料PP多元素复合材料经模具压铸成型，表面磨砂质感，具有强大的承托力和高硬度，能抵抗变形，耐磨耐用。座壳设计独特具有蜂窝式吸音气孔。背壳尺寸：760*450*60±5mm，座壳尺寸：525*450*75±5mm，壁厚≥3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3.背/座内板：采用多层板经模具高压成型，曲线符合人体工学原理。背内板尺寸：700*480*10±5mm，座内板尺寸：500*430*10±5mm。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4.背/座海绵:采用≥40kg/m</w:t>
            </w:r>
            <w:r>
              <w:rPr>
                <w:rFonts w:ascii="Calibri" w:hAnsi="Calibri" w:eastAsia="仿宋" w:cs="Calibri"/>
                <w:color w:val="000000"/>
                <w:sz w:val="22"/>
              </w:rPr>
              <w:t xml:space="preserve">³</w:t>
            </w:r>
            <w:r>
              <w:rPr>
                <w:rFonts w:hint="eastAsia" w:ascii="仿宋" w:hAnsi="仿宋" w:eastAsia="仿宋" w:cs="仿宋"/>
                <w:color w:val="000000"/>
                <w:sz w:val="22"/>
              </w:rPr>
              <w:t xml:space="preserve">高密度冷发泡一次定型绵。背海绵尺寸：</w:t>
            </w:r>
            <w:r>
              <w:rPr>
                <w:rFonts w:hint="eastAsia" w:ascii="仿宋" w:hAnsi="仿宋" w:eastAsia="仿宋" w:cs="宋体"/>
                <w:color w:val="000000"/>
                <w:sz w:val="22"/>
              </w:rPr>
              <w:t xml:space="preserve">700*460*120±5mm，座海绵尺寸：515*430*75±5mm。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脚架：采用厚度≥1.6mm优质冷轧钢板脚管为约80x40方管，经模具冲压焊接组合成型表面经防锈磷化处理、静电喷涂再高温烤漆处理。靠过道侧面挡板采用内多层板外置护板，材质为≥12mm厚的多层板，过道护板的尺寸560*350*12mm±5mm。底脚尺寸：310*25*76±5mm。冷轧钢拉伸强度需达到300MPa以上，中性盐雾试验</w:t>
            </w:r>
            <w:r>
              <w:rPr>
                <w:rFonts w:hint="eastAsia" w:ascii="仿宋" w:hAnsi="仿宋" w:eastAsia="仿宋" w:cs="宋体"/>
                <w:color w:val="000000"/>
                <w:sz w:val="22"/>
              </w:rPr>
              <w:t xml:space="preserve">（18h）中镀层的耐蚀等级达到9级及以上，镀层对基体的保护等级达到9级或以上。铝合金材料的中性盐雾试验（18h）中镀层的耐蚀等级达到10级及以上，镀层对基体的保护等级达到10级或以上，强度和耐久性检测项目中，应符合椅腿前向静载荷试验（620N，10次）、椅腿侧向静载荷试验（490N,10次），a)所有零部件无断裂或豁裂；b)用手揿压某些应为牢固的部件，应无永久性松动；c)所以零部件应无影响使用功能的磨损或变形；d)五金连接件应无松动；e)活动部件（门、抽屉等）开关应灵便；f)零部件无明显位移变化的技术要求。</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rPr>
              <w:t xml:space="preserve">6.扶手:采用进口实木经加工成型后进行烤漆处理。扶手尺寸：390*55*35±5mm。扶手的抗弯强度实验中应满足：所用木材在含水率为12％时的抗</w:t>
            </w:r>
            <w:r>
              <w:rPr>
                <w:rFonts w:hint="eastAsia" w:ascii="仿宋" w:hAnsi="仿宋" w:eastAsia="仿宋" w:cs="宋体"/>
                <w:color w:val="000000"/>
                <w:sz w:val="22"/>
                <w:highlight w:val="none"/>
              </w:rPr>
              <w:t xml:space="preserve">弯强度达到60MPa以上。</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▲7.布料:选用优质耐磨麻布面料，触感舒适。面料其耐干/湿摩擦色牢度均达到4级及以上，面料所用缝线的单纱断裂强度需大于38cN/tex，面料阻燃性能测试中续燃时间直向/横向均为：</w:t>
            </w:r>
            <w:r>
              <w:rPr>
                <w:rFonts w:hint="eastAsia" w:ascii="仿宋" w:hAnsi="仿宋" w:eastAsia="仿宋" w:cs="宋体"/>
                <w:color w:val="000000"/>
                <w:sz w:val="22"/>
                <w:highlight w:val="none"/>
                <w:lang w:val="en-US" w:eastAsia="zh-CN"/>
              </w:rPr>
              <w:t xml:space="preserve">小于0.1S</w:t>
            </w:r>
            <w:r>
              <w:rPr>
                <w:rFonts w:hint="eastAsia" w:ascii="仿宋" w:hAnsi="仿宋" w:eastAsia="仿宋" w:cs="宋体"/>
                <w:color w:val="000000"/>
                <w:sz w:val="22"/>
                <w:highlight w:val="none"/>
              </w:rPr>
              <w:t xml:space="preserve">。（提供具有CMA标识的权威第三方检测机构出具的检测报告复印件并加盖投标人公章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8.回复机构:采用双弹簧自动回复装置，确保椅座准确自动复位。弹簧金属电镀层-抗盐雾检测项目中，应满足：18h,直径1.5mm以下锈点≤20点/dm</w:t>
            </w:r>
            <w:r>
              <w:rPr>
                <w:rFonts w:ascii="Calibri" w:hAnsi="Calibri" w:eastAsia="仿宋" w:cs="Calibri"/>
                <w:color w:val="000000"/>
                <w:sz w:val="22"/>
                <w:highlight w:val="none"/>
              </w:rPr>
              <w:t xml:space="preserve">²</w:t>
            </w:r>
            <w:r>
              <w:rPr>
                <w:rFonts w:hint="eastAsia" w:ascii="仿宋" w:hAnsi="仿宋" w:eastAsia="仿宋" w:cs="仿宋"/>
                <w:color w:val="000000"/>
                <w:sz w:val="22"/>
                <w:highlight w:val="none"/>
              </w:rPr>
              <w:t xml:space="preserve">，其中直径≥</w:t>
            </w:r>
            <w:r>
              <w:rPr>
                <w:rFonts w:hint="eastAsia" w:ascii="仿宋" w:hAnsi="仿宋" w:eastAsia="仿宋" w:cs="宋体"/>
                <w:color w:val="000000"/>
                <w:sz w:val="22"/>
                <w:highlight w:val="none"/>
              </w:rPr>
              <w:t xml:space="preserve">1.0mm锈点不超过5点（距边缘棱角2mm以内的不计）的技术要求。</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9.固定方式：采用经过防锈静电喷涂的内六角膨胀螺丝，固定孔覆盖防尘用的塑料盖。螺丝的中性盐雾试验（18h）中镀层的耐蚀等级达到9级或以上，镀层对基体的保护等级达到9级及以上。</w:t>
            </w:r>
            <w:r>
              <w:rPr>
                <w:rFonts w:ascii="仿宋" w:hAnsi="仿宋" w:eastAsia="仿宋" w:cs="宋体"/>
                <w:color w:val="000000"/>
                <w:sz w:val="22"/>
                <w:highlight w:val="none"/>
              </w:rPr>
            </w:r>
            <w:r/>
          </w:p>
          <w:p>
            <w:pPr>
              <w:pStyle w:val="911"/>
              <w:jc w:val="left"/>
              <w:widowControl/>
              <w:rPr>
                <w:rFonts w:hint="eastAsia" w:ascii="仿宋" w:hAnsi="仿宋" w:eastAsia="仿宋" w:cs="宋体"/>
                <w:color w:val="000000"/>
                <w:sz w:val="22"/>
                <w:highlight w:val="none"/>
              </w:rPr>
            </w:pPr>
            <w:r>
              <w:rPr>
                <w:rFonts w:hint="eastAsia" w:ascii="仿宋" w:hAnsi="仿宋" w:eastAsia="仿宋" w:cs="宋体"/>
                <w:color w:val="000000"/>
                <w:sz w:val="22"/>
                <w:highlight w:val="none"/>
              </w:rPr>
              <w:t xml:space="preserve">10.写字板:写字板板面采用高强度铝合金压铸成型，表面经过阳极氧化再喷塑处理，兼具美观性与耐用性。板面设计包含160mm±3mm加长笔槽、72mm±3mm标准杯槽以及便捷的瓶挂槽，可轻松收纳书写工具、水杯和矿泉水瓶。产品尺寸约303×398×11mm（长×宽×厚）±2mm，经过结构优化，承重能力显著提升，同时边缘采用流线型设计，确保使用安全舒适。写字板与脚架之间固定方式为机械原理高强度螺栓，使写字板连接部位越用越结实，不会出现松弛现象。</w:t>
            </w:r>
            <w:r>
              <w:rPr>
                <w:rFonts w:hint="eastAsia"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highlight w:val="none"/>
              </w:rPr>
              <w:t xml:space="preserve">▲</w:t>
            </w:r>
            <w:r>
              <w:rPr>
                <w:rFonts w:hint="eastAsia" w:ascii="仿宋" w:hAnsi="仿宋" w:eastAsia="仿宋" w:cs="宋体"/>
                <w:color w:val="000000"/>
                <w:sz w:val="22"/>
                <w:highlight w:val="none"/>
                <w:lang w:val="en-US" w:eastAsia="zh-CN"/>
              </w:rPr>
              <w:t xml:space="preserve">11.写字板：</w:t>
            </w:r>
            <w:r>
              <w:rPr>
                <w:rFonts w:hint="eastAsia" w:ascii="仿宋" w:hAnsi="仿宋" w:eastAsia="仿宋" w:cs="宋体"/>
                <w:color w:val="000000"/>
                <w:sz w:val="22"/>
                <w:highlight w:val="none"/>
              </w:rPr>
              <w:t xml:space="preserve">铝合金材料的中性盐雾试验（18h）中镀层的耐蚀等级达到10级及以上。（提供具有CMA标识的权威第三方检测机构出具的检测报告复印件并加盖投标人公章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1.尺寸：1400*600*760mm±5mm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2.贴面材料：采用优等木皮贴面，厚度≥0.6mm,经过防虫防腐处理，纹理清晰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3.封边用材：贴面相同的实木木材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4.基材：采用密度板，经防潮、防虫、防腐处理，抗弯力强，不易变形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 油漆：采用聚酯哑光漆，色泽美观。不变色，光滑耐磨手感好。采用五底三面工艺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6.胶粘剂：采用环保胶粘剂，符合GB18586-2001标准和国际环保标准</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7.五金配件：采用品牌五金配件，所有五金件作防锈、防腐处理</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8.颜色采购方指定</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主席椅</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1.尺寸：600*550*1010mm±5mm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2.面料：选用优质西皮，皮面光泽度好，厚度适中，且手感良好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3.辅料：采用高弹力聚氨酯阻燃海绵，无污染、无刺激性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气味，软硬适中，回弹性能好，不变形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4.脚架：采用实木制作，木纹清晰无明显木眼，质地坚</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实，结构牢固，力学强度高，具有耐磨损，触摸表面有着良好的质感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5.油漆：采用环保油漆，色泽美观不变色，光滑耐磨，手感好，采用五底三面工艺</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演讲台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1.尺寸：500*700*1150mm±5mm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2.贴面材料：采用优等木皮贴面，厚度≥0.6mm,经过防虫防腐处理，纹理清晰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3.封边用材：贴面相同的实木木材；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4.基材：采用密度板，经防潮、防虫、防腐处理，抗弯力强，不易变形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5.油漆：采用聚酯哑光漆，色泽美观。不变色，光滑耐磨手感好。采用五底三面工艺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6.胶粘剂：采用环保胶粘剂，符合GB18586-2001标准和国际环保标准</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7.五金配件：采用品牌五金配件，所有五金件作防锈、防腐处理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操作台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尺寸：1850*900*750±5mm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基材：采用优质冷轧钢板，金属喷漆（塑）涂层(硬度、冲击强度、耐腐蚀、附着力）均检测合格，化学成分(碳、硅、锰、硫）均检测合格，力学性能（抗拉强度、断后伸长率）检测合格，中性盐雾试验（NSS）连续喷雾≥500h，镀（涂）层对基体的保护等级达到10级，镀（涂）层本身耐腐蚀等级达到10级；符合QB/T3826-1999《轻工产品金属镀层和化学处理层的耐腐蚀试验方法中性盐雾试验（NSS）法》；GB/T11253-2019《碳素结构钢冷轧钢板及钢带》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操作椅</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1.尺寸：600*550*1010mm±5mm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2.面料：选用优质西皮，皮面光泽度好，厚度适中，且手感良好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3.辅料：采用高弹力聚氨酯阻燃海绵，无污染、无刺激性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气味，软硬适中，回弹性能好，不变形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4.脚架：采用实木制作，木纹清晰无明显木眼，质地坚</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实，结构牢固，力学强度高，具有耐磨损，触摸表面有着良好的质感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5.油漆：采用环保油漆，色泽美观不变色，光滑耐磨，手感好，采用五底三面工艺</w:t>
            </w:r>
            <w:r>
              <w:rPr>
                <w:rFonts w:ascii="仿宋" w:hAnsi="仿宋" w:eastAsia="仿宋" w:cs="宋体"/>
                <w:color w:val="000000"/>
                <w:sz w:val="22"/>
              </w:rPr>
            </w:r>
            <w:r/>
          </w:p>
        </w:tc>
      </w:tr>
    </w:tbl>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重要说明：</w:t>
      </w:r>
      <w:r>
        <w:rPr>
          <w:rFonts w:ascii="仿宋" w:hAnsi="仿宋" w:eastAsia="仿宋" w:cs="仿宋"/>
          <w:bCs/>
          <w:color w:val="000000"/>
          <w:sz w:val="28"/>
          <w:szCs w:val="28"/>
        </w:rPr>
      </w:r>
      <w:r/>
    </w:p>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1）带“★”项为重要技术指标不接受负偏离，不能满足则视为未能实质性响应招标文件，作无效标处理。投标时提供承诺函（格式自拟）。</w:t>
      </w:r>
      <w:r>
        <w:rPr>
          <w:rFonts w:ascii="仿宋" w:hAnsi="仿宋" w:eastAsia="仿宋" w:cs="仿宋"/>
          <w:bCs/>
          <w:color w:val="000000"/>
          <w:sz w:val="28"/>
          <w:szCs w:val="28"/>
        </w:rPr>
      </w:r>
      <w:r/>
    </w:p>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2）要求提供的所有佐证材料（包含但不限于技术白皮书、检测报告、认证文件、截图、各类承诺函等）</w:t>
      </w:r>
      <w:r>
        <w:rPr>
          <w:rFonts w:hint="eastAsia" w:ascii="仿宋" w:hAnsi="仿宋" w:eastAsia="仿宋" w:cs="仿宋"/>
          <w:b w:val="0"/>
          <w:bCs/>
          <w:color w:val="000000"/>
          <w:sz w:val="28"/>
          <w:szCs w:val="28"/>
          <w:highlight w:val="none"/>
        </w:rPr>
        <w:t xml:space="preserve">，在</w:t>
      </w:r>
      <w:r>
        <w:rPr>
          <w:rFonts w:hint="eastAsia" w:ascii="仿宋" w:hAnsi="仿宋" w:eastAsia="仿宋" w:cs="仿宋"/>
          <w:b/>
          <w:color w:val="000000"/>
          <w:sz w:val="28"/>
          <w:szCs w:val="28"/>
          <w:highlight w:val="none"/>
        </w:rPr>
        <w:t xml:space="preserve">供货验收前</w:t>
      </w:r>
      <w:r>
        <w:rPr>
          <w:rFonts w:hint="eastAsia" w:ascii="仿宋" w:hAnsi="仿宋" w:eastAsia="仿宋" w:cs="仿宋"/>
          <w:b w:val="0"/>
          <w:bCs/>
          <w:color w:val="000000"/>
          <w:sz w:val="28"/>
          <w:szCs w:val="28"/>
          <w:highlight w:val="none"/>
        </w:rPr>
        <w:t xml:space="preserve">由成交供</w:t>
      </w:r>
      <w:r>
        <w:rPr>
          <w:rFonts w:hint="eastAsia" w:ascii="仿宋" w:hAnsi="仿宋" w:eastAsia="仿宋" w:cs="仿宋"/>
          <w:bCs/>
          <w:color w:val="000000"/>
          <w:sz w:val="28"/>
          <w:szCs w:val="28"/>
        </w:rPr>
        <w:t xml:space="preserve">应商提交招标人确认，不能提供或故意拖延的，招标人有权</w:t>
      </w:r>
      <w:r>
        <w:rPr>
          <w:rFonts w:hint="eastAsia" w:ascii="仿宋" w:hAnsi="仿宋" w:eastAsia="仿宋" w:cs="仿宋"/>
          <w:bCs/>
          <w:color w:val="000000"/>
          <w:sz w:val="28"/>
          <w:szCs w:val="28"/>
          <w:lang w:val="en-US" w:eastAsia="zh-CN"/>
        </w:rPr>
        <w:t xml:space="preserve">解除签订的合同</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相关损失由成交供应商承担</w:t>
      </w:r>
      <w:r>
        <w:rPr>
          <w:rFonts w:hint="eastAsia" w:ascii="仿宋" w:hAnsi="仿宋" w:eastAsia="仿宋" w:cs="仿宋"/>
          <w:bCs/>
          <w:color w:val="000000"/>
          <w:sz w:val="28"/>
          <w:szCs w:val="28"/>
        </w:rPr>
        <w:t xml:space="preserve">。（提供承诺书，格式自拟）</w:t>
      </w:r>
      <w:r>
        <w:rPr>
          <w:rFonts w:ascii="仿宋" w:hAnsi="仿宋" w:eastAsia="仿宋" w:cs="仿宋"/>
          <w:bCs/>
          <w:color w:val="000000"/>
          <w:sz w:val="28"/>
          <w:szCs w:val="28"/>
        </w:rPr>
      </w:r>
      <w:r/>
    </w:p>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3）投标人须承诺</w:t>
      </w:r>
      <w:r>
        <w:rPr>
          <w:rFonts w:hint="eastAsia" w:ascii="仿宋" w:hAnsi="仿宋" w:eastAsia="仿宋" w:cs="仿宋"/>
          <w:b/>
          <w:color w:val="000000"/>
          <w:sz w:val="28"/>
          <w:szCs w:val="28"/>
          <w:highlight w:val="none"/>
        </w:rPr>
        <w:t xml:space="preserve">供货验收前</w:t>
      </w:r>
      <w:r>
        <w:rPr>
          <w:rFonts w:hint="eastAsia" w:ascii="仿宋" w:hAnsi="仿宋" w:eastAsia="仿宋" w:cs="仿宋"/>
          <w:bCs/>
          <w:color w:val="000000"/>
          <w:sz w:val="28"/>
          <w:szCs w:val="28"/>
        </w:rPr>
        <w:t xml:space="preserve">提供扬声器、功率放大器、数字调音台、音频处理器、时序电源、反馈抑制器、会议系统控制器、无线会议发言单元、无线会议基站、无线话筒、分路器主机、音频隔离器、智能用电监测管理云平台、智能回路模块、智能防浪涌模块、智能通讯模块、多媒体显示系统、多媒体辅助显示系统、接收卡、视频处理器、会标显示系统、视频防护系统、移动视频采集主机、无线机械云台摄像机、无线麦克风、中控控制器、集中控制软件、16路混合矩阵(触摸屏)、聚光灯、成像灯、三基色灯、帕灯、摇头光束灯、触摸灯控台、电源直通箱、信号放大器、礼堂椅的</w:t>
      </w:r>
      <w:r>
        <w:rPr>
          <w:rFonts w:hint="eastAsia" w:ascii="仿宋" w:hAnsi="仿宋" w:eastAsia="仿宋" w:cs="仿宋"/>
          <w:b/>
          <w:color w:val="000000"/>
          <w:sz w:val="28"/>
          <w:szCs w:val="28"/>
          <w:highlight w:val="none"/>
        </w:rPr>
        <w:t xml:space="preserve">针对本项目的参数符合承诺函及不少于三年的质保服务承诺函加盖成交供应商公章</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rPr>
        <w:t xml:space="preserve">不能提供或故意拖延的，招标人有权</w:t>
      </w:r>
      <w:r>
        <w:rPr>
          <w:rFonts w:hint="eastAsia" w:ascii="仿宋" w:hAnsi="仿宋" w:eastAsia="仿宋" w:cs="仿宋"/>
          <w:bCs/>
          <w:color w:val="000000"/>
          <w:sz w:val="28"/>
          <w:szCs w:val="28"/>
          <w:lang w:val="en-US" w:eastAsia="zh-CN"/>
        </w:rPr>
        <w:t xml:space="preserve">解除签订的合同</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相关损失由成交供应商承担</w:t>
      </w:r>
      <w:r>
        <w:rPr>
          <w:rFonts w:hint="eastAsia" w:ascii="仿宋" w:hAnsi="仿宋" w:eastAsia="仿宋" w:cs="仿宋"/>
          <w:bCs/>
          <w:color w:val="000000"/>
          <w:sz w:val="28"/>
          <w:szCs w:val="28"/>
        </w:rPr>
        <w:t xml:space="preserve">。（提供承诺书，格式自拟）</w:t>
      </w:r>
      <w:r>
        <w:rPr>
          <w:rFonts w:ascii="仿宋" w:hAnsi="仿宋" w:eastAsia="仿宋" w:cs="仿宋"/>
          <w:bCs/>
          <w:color w:val="000000"/>
          <w:sz w:val="28"/>
          <w:szCs w:val="28"/>
        </w:rPr>
      </w:r>
      <w:r/>
    </w:p>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）本次项目清单中的数量为预估数量仅供参考，</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en-US" w:eastAsia="zh-CN"/>
        </w:rPr>
        <w:t xml:space="preserve">应</w:t>
      </w:r>
      <w:r>
        <w:rPr>
          <w:rFonts w:hint="eastAsia" w:ascii="仿宋" w:hAnsi="仿宋" w:eastAsia="仿宋" w:cs="仿宋"/>
          <w:bCs/>
          <w:color w:val="000000"/>
          <w:sz w:val="28"/>
          <w:szCs w:val="28"/>
          <w:highlight w:val="none"/>
        </w:rPr>
        <w:t xml:space="preserve">对项目现场情况进行充分勘察及了解</w:t>
      </w:r>
      <w:r>
        <w:rPr>
          <w:rFonts w:hint="eastAsia" w:ascii="仿宋" w:hAnsi="仿宋" w:eastAsia="仿宋" w:cs="仿宋"/>
          <w:bCs/>
          <w:color w:val="000000"/>
          <w:sz w:val="28"/>
          <w:szCs w:val="28"/>
        </w:rPr>
        <w:t xml:space="preserve">，由于招标人在清单中未列明或描述不全，但投标人为满足招标人的要求而必须完成的工作，投标人应计入投标报价中，招标人不为此类项目另外支付。如有数量变更请在投标时体现在报价清单中（变更后数量不得低于清单建议数量），由于投标人投标前现场勘查不到位或不详细而导致的相关责任由投标人自行负责。（提供承诺书，格式自拟）</w:t>
      </w:r>
      <w:r>
        <w:rPr>
          <w:rFonts w:ascii="仿宋" w:hAnsi="仿宋" w:eastAsia="仿宋" w:cs="仿宋"/>
          <w:bCs/>
          <w:color w:val="000000"/>
          <w:sz w:val="28"/>
          <w:szCs w:val="28"/>
        </w:rPr>
      </w:r>
      <w:r/>
    </w:p>
    <w:p>
      <w:pPr>
        <w:pStyle w:val="911"/>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911"/>
        <w:ind w:firstLine="562"/>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（一）采购标的的数量、采购项目交付或者实施的时间和地点</w:t>
      </w:r>
      <w:r>
        <w:rPr>
          <w:rFonts w:ascii="仿宋" w:hAnsi="仿宋" w:eastAsia="仿宋"/>
          <w:b/>
          <w:bCs/>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1、采购标的的数量</w:t>
      </w:r>
      <w:r>
        <w:rPr>
          <w:rFonts w:ascii="仿宋" w:hAnsi="仿宋" w:eastAsia="仿宋"/>
          <w:color w:val="000000"/>
          <w:sz w:val="28"/>
          <w:szCs w:val="28"/>
        </w:rPr>
      </w:r>
      <w:r/>
    </w:p>
    <w:tbl>
      <w:tblPr>
        <w:tblW w:w="89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5880"/>
        <w:gridCol w:w="1093"/>
        <w:gridCol w:w="993"/>
      </w:tblGrid>
      <w:tr>
        <w:trPr>
          <w:trHeight w:val="567"/>
        </w:trPr>
        <w:tc>
          <w:tcPr>
            <w:tcW w:w="96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序号</w:t>
            </w:r>
            <w:r>
              <w:rPr>
                <w:rFonts w:ascii="仿宋" w:hAnsi="仿宋" w:eastAsia="仿宋" w:cs="宋体"/>
                <w:b/>
                <w:bCs/>
                <w:color w:val="000000"/>
                <w:sz w:val="22"/>
              </w:rPr>
            </w:r>
            <w:r/>
          </w:p>
        </w:tc>
        <w:tc>
          <w:tcPr>
            <w:tcW w:w="588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设备名称</w:t>
            </w:r>
            <w:r>
              <w:rPr>
                <w:rFonts w:hint="eastAsia" w:ascii="仿宋" w:hAnsi="仿宋" w:eastAsia="仿宋" w:cs="宋体"/>
                <w:b/>
                <w:bCs/>
                <w:color w:val="000000"/>
                <w:sz w:val="22"/>
              </w:rPr>
            </w:r>
            <w:r/>
          </w:p>
        </w:tc>
        <w:tc>
          <w:tcPr>
            <w:tcW w:w="1093"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数量</w:t>
            </w:r>
            <w:r>
              <w:rPr>
                <w:rFonts w:hint="eastAsia" w:ascii="仿宋" w:hAnsi="仿宋" w:eastAsia="仿宋" w:cs="宋体"/>
                <w:b/>
                <w:bCs/>
                <w:color w:val="000000"/>
                <w:sz w:val="22"/>
              </w:rPr>
            </w:r>
            <w:r/>
          </w:p>
        </w:tc>
        <w:tc>
          <w:tcPr>
            <w:tcW w:w="993"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单位</w:t>
            </w:r>
            <w:r>
              <w:rPr>
                <w:rFonts w:hint="eastAsia" w:ascii="仿宋" w:hAnsi="仿宋" w:eastAsia="仿宋" w:cs="宋体"/>
                <w:b/>
                <w:bCs/>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一、</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扩声系统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1）</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扬声器设备</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左、中、右声道主扩声线阵列扬声器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拉声像点声源扬声器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舞台超低频扬声器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流动返听全频扬声器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固定返听全频扬声器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台唇全频扬声器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辅助全频扬声器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左、中、右声道主扩声扬声器功率放大器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拉声像点声源扬声器功率放大器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舞台超低频扬声器功率放大器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返听全频扬声器功率放大器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台唇扬声器功率放大器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辅助扬声器功率放大器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2）</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音频处理设备</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数字调音台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音频处理器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时序电源</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反馈抑制器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3）</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全数字会议系统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会议系统控制器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无线会议发言主席单元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无线会议发言代表单元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无线会议单元专用充电箱</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无线会议基站</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4）</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拾音系统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主席台演讲话筒</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无线手持话筒</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无线领夹话筒</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无线头戴话筒</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分路器主机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有源定向天线</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天线放大器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4）</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周边设备</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控制设备机柜</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舞台返显电视移动架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头戴监听耳机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副</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监听音箱</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音频隔离器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智能用电监测管理云平台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智能总回路模块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智能分回路模块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智能防浪涌模块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智能通讯模块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智能模块箱体</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5）</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线材辅材及接插件</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线阵田字架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手动葫芦</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线材、辅材、插座及接插件1：</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双芯屏蔽话筒线RVPE2x0.3，1000米；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音箱线EVJV2x4.0，2300米；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六类非屏蔽双绞线，300米；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同轴馈线SYV50-5-1（纯铜128编50欧姆），140米；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电源线RVV3*1.5，180米；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多媒体插座（含HDMI、网口、电源、两个卡龙接口），2个；</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音箱地插（一个音箱插头），4个；</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合唱话筒地插（一个卡龙插头），5个；</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桥架（200*100，符合国标），60米；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信号接插件（四芯音箱插头、XLR、TRS、RCA、BNC插头等），1套；</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其他安装调试所需的辅材及接插件，1套；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二、</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多媒体显示系统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1）</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多媒体显示系统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多媒体显示系统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55.7</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接收卡1</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68</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视频处理器1</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定制结构1</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55.7</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2）</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多媒体辅助显示系统（2套）</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多媒体辅助显示系统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13.312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接收卡2</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视频处理器2</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定制结构2</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13.312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3）</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会标显示系统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会标显示系统</w:t>
            </w:r>
            <w:r>
              <w:rPr>
                <w:rFonts w:hint="eastAsia" w:ascii="仿宋" w:hAnsi="仿宋" w:eastAsia="仿宋" w:cs="宋体"/>
                <w:color w:val="000000"/>
                <w:sz w:val="22"/>
              </w:rPr>
            </w:r>
            <w:r/>
          </w:p>
        </w:tc>
        <w:tc>
          <w:tcPr>
            <w:tcW w:w="10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6.93</w:t>
            </w:r>
            <w:r>
              <w:rPr>
                <w:rFonts w:hint="eastAsia" w:ascii="仿宋" w:hAnsi="仿宋" w:eastAsia="仿宋" w:cs="宋体"/>
                <w:color w:val="000000"/>
                <w:sz w:val="22"/>
              </w:rPr>
            </w:r>
            <w:r/>
          </w:p>
        </w:tc>
        <w:tc>
          <w:tcPr>
            <w:tcW w:w="9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网络控制卡</w:t>
            </w:r>
            <w:r>
              <w:rPr>
                <w:rFonts w:hint="eastAsia" w:ascii="仿宋" w:hAnsi="仿宋" w:eastAsia="仿宋" w:cs="宋体"/>
                <w:color w:val="000000"/>
                <w:sz w:val="22"/>
              </w:rPr>
            </w:r>
            <w:r/>
          </w:p>
        </w:tc>
        <w:tc>
          <w:tcPr>
            <w:tcW w:w="10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定制结构3</w:t>
            </w:r>
            <w:r>
              <w:rPr>
                <w:rFonts w:hint="eastAsia" w:ascii="仿宋" w:hAnsi="仿宋" w:eastAsia="仿宋" w:cs="宋体"/>
                <w:color w:val="000000"/>
                <w:sz w:val="22"/>
              </w:rPr>
            </w:r>
            <w:r/>
          </w:p>
        </w:tc>
        <w:tc>
          <w:tcPr>
            <w:tcW w:w="10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6.93</w:t>
            </w:r>
            <w:r>
              <w:rPr>
                <w:rFonts w:hint="eastAsia" w:ascii="仿宋" w:hAnsi="仿宋" w:eastAsia="仿宋" w:cs="宋体"/>
                <w:color w:val="000000"/>
                <w:sz w:val="22"/>
              </w:rPr>
            </w:r>
            <w:r/>
          </w:p>
        </w:tc>
        <w:tc>
          <w:tcPr>
            <w:tcW w:w="9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4）</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公共大屏安全系统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视频防护系统</w:t>
            </w:r>
            <w:r>
              <w:rPr>
                <w:rFonts w:hint="eastAsia" w:ascii="仿宋" w:hAnsi="仿宋" w:eastAsia="仿宋" w:cs="宋体"/>
                <w:color w:val="000000"/>
                <w:sz w:val="22"/>
              </w:rPr>
            </w:r>
            <w:r/>
          </w:p>
        </w:tc>
        <w:tc>
          <w:tcPr>
            <w:tcW w:w="10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5）</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其他</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管理电脑</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智能配电柜</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线材、辅材、插座及接插件2：</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一）电源线</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1）配电间至大屏配电箱总电源电缆为三相五线制五芯电缆,线径不低于国标YJV4*25+1*16mm</w:t>
            </w:r>
            <w:r>
              <w:rPr>
                <w:rFonts w:ascii="Calibri" w:hAnsi="Calibri" w:eastAsia="仿宋" w:cs="Calibri"/>
                <w:color w:val="000000"/>
                <w:sz w:val="22"/>
              </w:rPr>
              <w:t xml:space="preserve">²</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2）大屏配电箱分不少于12路RVV3*2.5mm</w:t>
            </w:r>
            <w:r>
              <w:rPr>
                <w:rFonts w:ascii="Calibri" w:hAnsi="Calibri" w:eastAsia="仿宋" w:cs="Calibri"/>
                <w:color w:val="000000"/>
                <w:sz w:val="22"/>
              </w:rPr>
              <w:t xml:space="preserve">²</w:t>
            </w:r>
            <w:r>
              <w:rPr>
                <w:rFonts w:hint="eastAsia" w:ascii="仿宋" w:hAnsi="仿宋" w:eastAsia="仿宋" w:cs="仿宋"/>
                <w:color w:val="000000"/>
                <w:sz w:val="22"/>
              </w:rPr>
              <w:t xml:space="preserve">至主显示屏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3）大屏配电箱分不少于2路RVV3*2.5mm</w:t>
            </w:r>
            <w:r>
              <w:rPr>
                <w:rFonts w:ascii="Calibri" w:hAnsi="Calibri" w:eastAsia="仿宋" w:cs="Calibri"/>
                <w:color w:val="000000"/>
                <w:sz w:val="22"/>
              </w:rPr>
              <w:t xml:space="preserve">²</w:t>
            </w:r>
            <w:r>
              <w:rPr>
                <w:rFonts w:hint="eastAsia" w:ascii="仿宋" w:hAnsi="仿宋" w:eastAsia="仿宋" w:cs="仿宋"/>
                <w:color w:val="000000"/>
                <w:sz w:val="22"/>
              </w:rPr>
              <w:t xml:space="preserve">至副显示屏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4）大屏配电箱分不少于1路RVV3*2.5mm</w:t>
            </w:r>
            <w:r>
              <w:rPr>
                <w:rFonts w:ascii="Calibri" w:hAnsi="Calibri" w:eastAsia="仿宋" w:cs="Calibri"/>
                <w:color w:val="000000"/>
                <w:sz w:val="22"/>
              </w:rPr>
              <w:t xml:space="preserve">²</w:t>
            </w:r>
            <w:r>
              <w:rPr>
                <w:rFonts w:hint="eastAsia" w:ascii="仿宋" w:hAnsi="仿宋" w:eastAsia="仿宋" w:cs="仿宋"/>
                <w:color w:val="000000"/>
                <w:sz w:val="22"/>
              </w:rPr>
              <w:t xml:space="preserve">至会标屏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二）网络线</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1）控制设备机柜分不少于22路六类双绞线至主显示屏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2）控制设备机柜分不少于5路六类双绞线至副显示屏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3）控制设备机柜分不少于1路六类双绞线至会标屏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三）其他安装调试所需的跳线、辅材及接插件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三、</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视频资源采集系统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移动视频采集主机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主机导播系统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主机互动系统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主机视频处理系统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无线机械云台摄像机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云台摄像机图像处理系统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无线麦克风</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麦克风音频处理系统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移动设备箱</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三脚架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副</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四、</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集中控制系统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中控控制器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集中控制软件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中控扩展器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16路混合矩阵(触摸屏)</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4K60 HDMI无缝切换输入板卡</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4K60 70米HDBT有缝输入板卡</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4K60 HDMI跨分辨率无缝切换输出板卡</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4K60 70米HDBT跨分辨率无缝输出板卡</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HDBT 4K60 HDMI+Audio墙插发射</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HDBT 70米HDMI 墙插网传接收器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线材、辅材、插座及接插件3：</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控制线、网线、其他安装调试所需的跳线、辅材及接插件。控制线、网线、其他安装调试所需的跳线、辅材及接插件。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五、</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舞台机械系统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舞台机械控制系统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电动会标幕吊杆</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对开大幕</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电动灯光吊杆</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横侧幕吊杆</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对开底幕</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固定耳光架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钢丝绳</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1500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m</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马道式钢结构设备转换层</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230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会标幕幕布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120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会标幕幕布衬里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大幕幕布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495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大幕幕布衬里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横条幕幕布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240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横条幕幕布衬里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侧条幕幕布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288</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侧条幕幕布衬里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96</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底幕幕布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495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底幕幕布衬里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线材、辅材、插座及接插件4：</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电源线RVV3*2.5mm，500米；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限位线RVV3*0.5mm，500米；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焊条、劳保用品、油漆、五金件等；</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其他安装调试所需的跳线、辅材及接插件。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六、</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舞台灯光系统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面光LED聚光灯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左右耳光LED成像灯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一顶光LED三基色灯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一顶光LED四合一帕灯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二顶光LED三基色灯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二顶光LED四合一帕灯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三顶光LED四合一帕灯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三顶光摇头光束灯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四顶光摇头光束灯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四顶光LED四合一帕灯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触摸灯控台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电源直通箱</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信号放大器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双雾机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双雾油</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箱</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灯钩保险绳</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专业机柜</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线材、辅材、插座及接插件5：</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电源线缆、信号线、其他安装调试所需的跳线、辅材及接插件。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七、</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桌椅配套设备</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礼堂椅</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600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主席台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主席椅</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演讲台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操作台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操作椅</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bl>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2、项目交付时间：自合同签订之日起</w:t>
      </w:r>
      <w:r>
        <w:rPr>
          <w:rFonts w:hint="eastAsia" w:ascii="仿宋" w:hAnsi="仿宋" w:eastAsia="仿宋"/>
          <w:color w:val="000000"/>
          <w:sz w:val="28"/>
          <w:szCs w:val="28"/>
          <w:highlight w:val="none"/>
        </w:rPr>
        <w:t xml:space="preserve">60个</w:t>
      </w:r>
      <w:r>
        <w:rPr>
          <w:rFonts w:hint="eastAsia" w:ascii="仿宋" w:hAnsi="仿宋" w:eastAsia="仿宋"/>
          <w:color w:val="000000"/>
          <w:sz w:val="28"/>
          <w:szCs w:val="28"/>
        </w:rPr>
        <w:t xml:space="preserve">日历天内。</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3、项目交付地点：南通市启秀中学滨江校区，具体按采购人指定地点送货、安装。</w:t>
      </w:r>
      <w:r>
        <w:rPr>
          <w:rFonts w:ascii="仿宋" w:hAnsi="仿宋" w:eastAsia="仿宋"/>
          <w:color w:val="000000"/>
          <w:sz w:val="28"/>
          <w:szCs w:val="28"/>
        </w:rPr>
      </w:r>
      <w:r/>
    </w:p>
    <w:p>
      <w:pPr>
        <w:pStyle w:val="911"/>
        <w:ind w:firstLine="562"/>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（二）采购标的需满足的服务标准、期限、效率等要求</w:t>
      </w:r>
      <w:r>
        <w:rPr>
          <w:rFonts w:ascii="仿宋" w:hAnsi="仿宋" w:eastAsia="仿宋"/>
          <w:b/>
          <w:bCs/>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1、安装要求</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（1）中标供应商必须按供货计划安排，派出专业技术人员到安装现场进行安装和调试工作。</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（2）中标供应商应严格按国家及行业安全生产的有关管理规定，采取安全措施组织安装施工。若发生安全事故，一切责任由供应商承担。</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（3）安装、调试及保修全过程中，中标供应商负责及时清理垃圾，并将包装物及垃圾清运出场，清理标准达到采购人要求。费用包含在总价中。</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2、售后服务要求</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（1）质保期要求</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中标供应商须提供至少叁年设备免费质保服务，设备质保期从项目验收合格通过、采购单位接受并签字认可之日起计算。质保期内，采购人向中标供应商发出故障通知后，一般故障须在8小时内解决，重大故障须在48小时内解决。</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2</w:t>
      </w:r>
      <w:r>
        <w:rPr>
          <w:rFonts w:hint="eastAsia" w:ascii="仿宋" w:hAnsi="仿宋" w:eastAsia="仿宋"/>
          <w:color w:val="000000"/>
          <w:sz w:val="28"/>
          <w:szCs w:val="28"/>
        </w:rPr>
        <w:t xml:space="preserve">）培训</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中标供应商负责提供设备软硬件操作、运行、维护的免费现场培训。</w:t>
      </w:r>
      <w:r>
        <w:rPr>
          <w:rFonts w:ascii="仿宋" w:hAnsi="仿宋" w:eastAsia="仿宋"/>
          <w:color w:val="000000"/>
          <w:sz w:val="28"/>
          <w:szCs w:val="28"/>
        </w:rPr>
      </w:r>
      <w:r/>
    </w:p>
    <w:p>
      <w:pPr>
        <w:pStyle w:val="911"/>
        <w:ind w:firstLine="562"/>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（三）采购标的的验收标准</w:t>
      </w:r>
      <w:r>
        <w:rPr>
          <w:rFonts w:ascii="仿宋" w:hAnsi="仿宋" w:eastAsia="仿宋"/>
          <w:b/>
          <w:bCs/>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在接到中标供应商以书面形式提出验收申请后，在</w:t>
      </w:r>
      <w:r>
        <w:rPr>
          <w:rFonts w:ascii="仿宋" w:hAnsi="仿宋" w:eastAsia="仿宋"/>
          <w:color w:val="000000"/>
          <w:sz w:val="28"/>
          <w:szCs w:val="28"/>
        </w:rPr>
        <w:t xml:space="preserve">5</w:t>
      </w:r>
      <w:r>
        <w:rPr>
          <w:rFonts w:hint="eastAsia" w:ascii="仿宋" w:hAnsi="仿宋" w:eastAsia="仿宋"/>
          <w:color w:val="000000"/>
          <w:sz w:val="28"/>
          <w:szCs w:val="28"/>
        </w:rPr>
        <w:t xml:space="preserve">个工作日内及时组织相关专业技术人员参与验收，并出具验收报告，作为支付货款的依据。</w:t>
      </w:r>
      <w:r>
        <w:rPr>
          <w:rFonts w:ascii="仿宋" w:hAnsi="仿宋" w:eastAsia="仿宋"/>
          <w:color w:val="000000"/>
          <w:sz w:val="28"/>
          <w:szCs w:val="28"/>
        </w:rPr>
      </w:r>
      <w:r/>
    </w:p>
    <w:p>
      <w:pPr>
        <w:pStyle w:val="911"/>
        <w:ind w:firstLine="562"/>
        <w:spacing w:line="480" w:lineRule="exact"/>
        <w:rPr>
          <w:rFonts w:ascii="仿宋" w:hAnsi="仿宋" w:eastAsia="仿宋"/>
          <w:b/>
          <w:bCs/>
          <w:sz w:val="28"/>
          <w:szCs w:val="28"/>
        </w:rPr>
      </w:pPr>
      <w:r>
        <w:rPr>
          <w:rFonts w:hint="eastAsia" w:ascii="仿宋" w:hAnsi="仿宋" w:eastAsia="仿宋"/>
          <w:b/>
          <w:bCs/>
          <w:color w:val="000000"/>
          <w:sz w:val="28"/>
          <w:szCs w:val="28"/>
        </w:rPr>
        <w:t xml:space="preserve">（四）</w:t>
      </w:r>
      <w:r>
        <w:rPr>
          <w:rFonts w:hint="eastAsia" w:ascii="仿宋" w:hAnsi="仿宋" w:eastAsia="仿宋"/>
          <w:b/>
          <w:bCs/>
          <w:sz w:val="28"/>
          <w:szCs w:val="28"/>
        </w:rPr>
        <w:t xml:space="preserve">采购标的的其他技术、服务等要求</w:t>
      </w:r>
      <w:r>
        <w:rPr>
          <w:rFonts w:ascii="仿宋" w:hAnsi="仿宋" w:eastAsia="仿宋"/>
          <w:b/>
          <w:bCs/>
          <w:sz w:val="28"/>
          <w:szCs w:val="28"/>
        </w:rPr>
      </w:r>
      <w:r/>
    </w:p>
    <w:p>
      <w:pPr>
        <w:pStyle w:val="911"/>
        <w:ind w:firstLine="560"/>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投标供应商</w:t>
      </w:r>
      <w:r>
        <w:rPr>
          <w:rFonts w:hint="eastAsia" w:ascii="仿宋" w:hAnsi="仿宋" w:eastAsia="仿宋"/>
          <w:sz w:val="28"/>
          <w:szCs w:val="28"/>
          <w:highlight w:val="none"/>
          <w:lang w:val="en-US" w:eastAsia="zh-CN"/>
        </w:rPr>
        <w:t xml:space="preserve">可</w:t>
      </w:r>
      <w:r>
        <w:rPr>
          <w:rFonts w:hint="eastAsia" w:ascii="仿宋" w:hAnsi="仿宋" w:eastAsia="仿宋"/>
          <w:sz w:val="28"/>
          <w:szCs w:val="28"/>
          <w:highlight w:val="none"/>
        </w:rPr>
        <w:t xml:space="preserve">在投标前委派专业技术人员进行现场踏勘。</w:t>
      </w:r>
      <w:r>
        <w:rPr>
          <w:rFonts w:ascii="仿宋" w:hAnsi="仿宋" w:eastAsia="仿宋"/>
          <w:sz w:val="28"/>
          <w:szCs w:val="28"/>
          <w:highlight w:val="none"/>
        </w:rPr>
      </w:r>
      <w:r/>
    </w:p>
    <w:p>
      <w:pPr>
        <w:pStyle w:val="911"/>
        <w:ind w:firstLine="560"/>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踏勘时间：本公告发布之日起7日内（8:30-11:00,14:30-17:00），踏勘地点：南通市启秀中学滨江校区。</w:t>
      </w:r>
      <w:r>
        <w:rPr>
          <w:rFonts w:ascii="仿宋" w:hAnsi="仿宋" w:eastAsia="仿宋"/>
          <w:sz w:val="28"/>
          <w:szCs w:val="28"/>
          <w:highlight w:val="none"/>
        </w:rPr>
      </w:r>
      <w:r/>
    </w:p>
    <w:p>
      <w:pPr>
        <w:pStyle w:val="911"/>
        <w:ind w:firstLine="560"/>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踏勘联系人：谢先生，联系电话：051389109707。</w:t>
      </w:r>
      <w:r>
        <w:rPr>
          <w:rFonts w:ascii="仿宋" w:hAnsi="仿宋" w:eastAsia="仿宋"/>
          <w:sz w:val="28"/>
          <w:szCs w:val="28"/>
          <w:highlight w:val="none"/>
        </w:rPr>
      </w:r>
      <w:r/>
    </w:p>
    <w:p>
      <w:pPr>
        <w:pStyle w:val="911"/>
        <w:ind w:firstLine="562"/>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（五）非单一产品采购项目，采购标的中的核心产品。</w:t>
      </w:r>
      <w:r>
        <w:rPr>
          <w:rFonts w:ascii="仿宋" w:hAnsi="仿宋" w:eastAsia="仿宋"/>
          <w:b/>
          <w:bCs/>
          <w:color w:val="000000"/>
          <w:sz w:val="28"/>
          <w:szCs w:val="28"/>
        </w:rPr>
      </w:r>
      <w:r/>
    </w:p>
    <w:tbl>
      <w:tblPr>
        <w:tblW w:w="6237" w:type="dxa"/>
        <w:tblInd w:w="9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序号</w:t>
            </w:r>
            <w:r>
              <w:rPr>
                <w:rFonts w:ascii="仿宋" w:hAnsi="仿宋" w:eastAsia="仿宋"/>
                <w:color w:val="000000"/>
                <w:sz w:val="28"/>
                <w:szCs w:val="28"/>
              </w:rPr>
            </w:r>
            <w:r/>
          </w:p>
        </w:tc>
        <w:tc>
          <w:tcPr>
            <w:tcW w:w="5021"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核心产品</w:t>
            </w:r>
            <w:r>
              <w:rPr>
                <w:rFonts w:ascii="仿宋" w:hAnsi="仿宋" w:eastAsia="仿宋"/>
                <w:color w:val="000000"/>
                <w:sz w:val="28"/>
                <w:szCs w:val="28"/>
              </w:rPr>
            </w:r>
            <w:r/>
          </w:p>
        </w:tc>
      </w:tr>
      <w:tr>
        <w:trPr/>
        <w:tc>
          <w:tcPr>
            <w:tcW w:w="1216"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021"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多媒体显示系统</w:t>
            </w:r>
            <w:r>
              <w:rPr>
                <w:rFonts w:ascii="仿宋" w:hAnsi="仿宋" w:eastAsia="仿宋"/>
                <w:color w:val="000000"/>
                <w:sz w:val="28"/>
                <w:szCs w:val="28"/>
              </w:rPr>
            </w:r>
            <w:r/>
          </w:p>
        </w:tc>
      </w:tr>
      <w:tr>
        <w:trPr/>
        <w:tc>
          <w:tcPr>
            <w:tcW w:w="1216"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W w:w="5021"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多媒体辅助显示系统</w:t>
            </w:r>
            <w:r>
              <w:rPr>
                <w:rFonts w:ascii="仿宋" w:hAnsi="仿宋" w:eastAsia="仿宋"/>
                <w:color w:val="000000"/>
                <w:sz w:val="28"/>
                <w:szCs w:val="28"/>
              </w:rPr>
            </w:r>
            <w:r/>
          </w:p>
        </w:tc>
      </w:tr>
    </w:tbl>
    <w:p>
      <w:pPr>
        <w:pStyle w:val="911"/>
        <w:ind w:firstLine="562"/>
        <w:spacing w:line="480" w:lineRule="exact"/>
        <w:rPr>
          <w:rFonts w:ascii="仿宋" w:hAnsi="仿宋" w:eastAsia="仿宋"/>
          <w:color w:val="000000"/>
          <w:sz w:val="28"/>
          <w:szCs w:val="28"/>
        </w:rPr>
      </w:pPr>
      <w:r>
        <w:rPr>
          <w:rFonts w:hint="eastAsia" w:ascii="仿宋" w:hAnsi="仿宋" w:eastAsia="仿宋"/>
          <w:b/>
          <w:bCs/>
          <w:iCs/>
          <w:color w:val="000000"/>
          <w:sz w:val="28"/>
          <w:szCs w:val="28"/>
        </w:rPr>
        <w:t xml:space="preserve">（六）</w:t>
      </w:r>
      <w:r>
        <w:rPr>
          <w:rFonts w:hint="eastAsia" w:ascii="仿宋" w:hAnsi="仿宋" w:eastAsia="仿宋"/>
          <w:b/>
          <w:bCs/>
          <w:color w:val="000000"/>
          <w:sz w:val="28"/>
          <w:szCs w:val="28"/>
        </w:rPr>
        <w:t xml:space="preserve">演示要求</w:t>
      </w:r>
      <w:r>
        <w:rPr>
          <w:rFonts w:ascii="仿宋" w:hAnsi="仿宋" w:eastAsia="仿宋"/>
          <w:color w:val="000000"/>
          <w:sz w:val="28"/>
          <w:szCs w:val="28"/>
        </w:rPr>
      </w:r>
      <w:r/>
    </w:p>
    <w:p>
      <w:pPr>
        <w:pStyle w:val="911"/>
        <w:ind w:firstLine="560"/>
        <w:spacing w:line="48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仿宋" w:hAnsi="仿宋" w:eastAsia="仿宋" w:cs="Times New Roman"/>
          <w:sz w:val="28"/>
          <w:szCs w:val="28"/>
          <w:highlight w:val="none"/>
          <w:lang w:val="en-US" w:eastAsia="zh-CN"/>
        </w:rPr>
        <w:t xml:space="preserve">20</w:t>
      </w:r>
      <w:r>
        <w:rPr>
          <w:rFonts w:hint="eastAsia" w:ascii="仿宋" w:hAnsi="仿宋" w:eastAsia="仿宋" w:cs="Times New Roman"/>
          <w:sz w:val="28"/>
          <w:szCs w:val="28"/>
          <w:highlight w:val="none"/>
        </w:rPr>
        <w:t xml:space="preserve">分钟。</w:t>
      </w:r>
      <w:r>
        <w:rPr>
          <w:rFonts w:hint="eastAsia" w:ascii="仿宋" w:hAnsi="仿宋" w:eastAsia="仿宋" w:cs="Times New Roman"/>
          <w:sz w:val="28"/>
          <w:szCs w:val="28"/>
          <w:highlight w:val="none"/>
        </w:rPr>
      </w:r>
      <w:r/>
    </w:p>
    <w:p>
      <w:pPr>
        <w:pStyle w:val="911"/>
        <w:ind w:firstLine="560"/>
        <w:spacing w:line="48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2.投标人</w:t>
      </w:r>
      <w:r>
        <w:rPr>
          <w:rFonts w:hint="eastAsia" w:ascii="仿宋" w:hAnsi="仿宋" w:eastAsia="仿宋" w:cs="Times New Roman"/>
          <w:sz w:val="28"/>
          <w:szCs w:val="28"/>
          <w:highlight w:val="none"/>
          <w:lang w:eastAsia="zh-CN"/>
        </w:rPr>
        <w:t xml:space="preserve">可按照演示内容分段制作演示视频</w:t>
      </w:r>
      <w:r>
        <w:rPr>
          <w:rFonts w:hint="eastAsia" w:ascii="仿宋" w:hAnsi="仿宋" w:eastAsia="仿宋" w:cs="Times New Roman"/>
          <w:sz w:val="28"/>
          <w:szCs w:val="28"/>
          <w:highlight w:val="none"/>
        </w:rPr>
        <w:t xml:space="preserve">。不接受动画、PPT或者口头讲解等非真实设备的演示形式。演示中需采用的设备包括返听全频扬声器功率放大器、台唇扬声器功率放大器</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无线会议发言主席及代表单元</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无线手持话筒</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移动视频采集主机</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辅助测试设备</w:t>
      </w:r>
      <w:r>
        <w:rPr>
          <w:rFonts w:hint="eastAsia" w:ascii="仿宋" w:hAnsi="仿宋" w:eastAsia="仿宋" w:cs="Times New Roman"/>
          <w:sz w:val="28"/>
          <w:szCs w:val="28"/>
          <w:highlight w:val="none"/>
          <w:lang w:val="en-US" w:eastAsia="zh-CN"/>
        </w:rPr>
        <w:t xml:space="preserve">等</w:t>
      </w:r>
      <w:r>
        <w:rPr>
          <w:rFonts w:hint="eastAsia" w:ascii="仿宋" w:hAnsi="仿宋" w:eastAsia="仿宋" w:cs="Times New Roman"/>
          <w:sz w:val="28"/>
          <w:szCs w:val="28"/>
          <w:highlight w:val="none"/>
        </w:rPr>
        <w:t xml:space="preserve">，所演示参数、功能必须在</w:t>
      </w:r>
      <w:r>
        <w:rPr>
          <w:rFonts w:hint="eastAsia" w:ascii="仿宋" w:hAnsi="仿宋" w:eastAsia="仿宋" w:cs="Times New Roman"/>
          <w:sz w:val="28"/>
          <w:szCs w:val="28"/>
          <w:highlight w:val="none"/>
          <w:lang w:val="en-US" w:eastAsia="zh-CN"/>
        </w:rPr>
        <w:t xml:space="preserve">录制视频中真实、直观的</w:t>
      </w:r>
      <w:r>
        <w:rPr>
          <w:rFonts w:hint="eastAsia" w:ascii="仿宋" w:hAnsi="仿宋" w:eastAsia="仿宋" w:cs="Times New Roman"/>
          <w:sz w:val="28"/>
          <w:szCs w:val="28"/>
          <w:highlight w:val="none"/>
        </w:rPr>
        <w:t xml:space="preserve">展现出来</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911"/>
        <w:ind w:firstLine="560"/>
        <w:spacing w:line="48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3.演示内容：</w:t>
      </w:r>
      <w:r>
        <w:rPr>
          <w:rFonts w:hint="eastAsia" w:ascii="仿宋" w:hAnsi="仿宋" w:eastAsia="仿宋" w:cs="Times New Roman"/>
          <w:sz w:val="28"/>
          <w:szCs w:val="28"/>
          <w:highlight w:val="none"/>
          <w:lang w:val="en-US" w:eastAsia="zh-CN"/>
        </w:rPr>
        <w:t xml:space="preserve">详见《评标方法与评标标准》</w:t>
      </w:r>
      <w:r>
        <w:rPr>
          <w:rFonts w:ascii="仿宋" w:hAnsi="仿宋" w:eastAsia="仿宋" w:cs="Times New Roman"/>
          <w:sz w:val="28"/>
          <w:szCs w:val="28"/>
          <w:highlight w:val="none"/>
          <w:lang w:val="en-US" w:eastAsia="zh-CN"/>
        </w:rPr>
      </w:r>
      <w:r/>
    </w:p>
    <w:p>
      <w:pPr>
        <w:pStyle w:val="911"/>
        <w:ind w:firstLine="562"/>
        <w:spacing w:line="480" w:lineRule="exact"/>
        <w:rPr>
          <w:rFonts w:hint="eastAsia" w:ascii="仿宋" w:hAnsi="仿宋" w:eastAsia="仿宋"/>
          <w:b/>
          <w:bCs/>
          <w:iCs/>
          <w:color w:val="000000"/>
          <w:sz w:val="28"/>
          <w:szCs w:val="28"/>
          <w:lang w:eastAsia="zh-CN"/>
        </w:rPr>
      </w:pPr>
      <w:r>
        <w:rPr>
          <w:rFonts w:hint="eastAsia" w:ascii="仿宋" w:hAnsi="仿宋" w:eastAsia="仿宋"/>
          <w:b/>
          <w:bCs/>
          <w:iCs/>
          <w:color w:val="000000"/>
          <w:sz w:val="28"/>
          <w:szCs w:val="28"/>
        </w:rPr>
        <w:t xml:space="preserve">（七）本项目不接受进口产品投标</w:t>
      </w:r>
      <w:r>
        <w:rPr>
          <w:rFonts w:hint="eastAsia" w:ascii="仿宋" w:hAnsi="仿宋" w:eastAsia="仿宋"/>
          <w:b/>
          <w:bCs/>
          <w:iCs/>
          <w:color w:val="000000"/>
          <w:sz w:val="28"/>
          <w:szCs w:val="28"/>
          <w:lang w:eastAsia="zh-CN"/>
        </w:rPr>
        <w:t xml:space="preserve">。</w:t>
      </w:r>
      <w:r>
        <w:rPr>
          <w:rFonts w:hint="eastAsia" w:ascii="仿宋" w:hAnsi="仿宋" w:eastAsia="仿宋"/>
          <w:b/>
          <w:bCs/>
          <w:iCs/>
          <w:color w:val="000000"/>
          <w:sz w:val="28"/>
          <w:szCs w:val="28"/>
          <w:lang w:eastAsia="zh-CN"/>
        </w:rPr>
      </w:r>
      <w:r/>
    </w:p>
    <w:p>
      <w:pPr>
        <w:pStyle w:val="911"/>
        <w:ind w:firstLine="562"/>
        <w:spacing w:line="480" w:lineRule="exact"/>
        <w:rPr>
          <w:rFonts w:ascii="仿宋" w:hAnsi="仿宋" w:eastAsia="仿宋"/>
          <w:b/>
          <w:bCs/>
          <w:iCs/>
          <w:color w:val="000000"/>
          <w:sz w:val="28"/>
          <w:szCs w:val="28"/>
        </w:rPr>
      </w:pPr>
      <w:r>
        <w:rPr>
          <w:rFonts w:hint="eastAsia" w:ascii="仿宋" w:hAnsi="仿宋" w:eastAsia="仿宋"/>
          <w:b/>
          <w:bCs/>
          <w:iCs/>
          <w:color w:val="000000"/>
          <w:sz w:val="28"/>
          <w:szCs w:val="28"/>
        </w:rPr>
        <w:t xml:space="preserve">（八）付款方式</w:t>
      </w:r>
      <w:r>
        <w:rPr>
          <w:rFonts w:ascii="仿宋" w:hAnsi="仿宋" w:eastAsia="仿宋"/>
          <w:b/>
          <w:bCs/>
          <w:iCs/>
          <w:color w:val="000000"/>
          <w:sz w:val="28"/>
          <w:szCs w:val="28"/>
        </w:rPr>
      </w:r>
      <w:r/>
    </w:p>
    <w:p>
      <w:pPr>
        <w:pStyle w:val="91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货物进场安装调试完毕</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达到履约验收条件，采购方将于10日内组织专家进行验收。验收合格后，60天内按合同支付全部货款。</w:t>
      </w:r>
      <w:r>
        <w:rPr>
          <w:rFonts w:hint="eastAsia" w:ascii="仿宋" w:hAnsi="仿宋" w:eastAsia="仿宋"/>
          <w:color w:val="000000"/>
          <w:sz w:val="28"/>
          <w:szCs w:val="28"/>
          <w:highlight w:val="none"/>
        </w:rPr>
      </w:r>
      <w:r/>
    </w:p>
    <w:p>
      <w:pPr>
        <w:pStyle w:val="911"/>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）当采购数量与实际使用数量不一致时，乙方应根据实际使用量供货，合同的最终结算金额按实际使用量乘以成交单价进行计算。</w:t>
      </w:r>
      <w:r>
        <w:rPr>
          <w:rFonts w:ascii="仿宋" w:hAnsi="仿宋" w:eastAsia="仿宋"/>
          <w:color w:val="000000"/>
          <w:sz w:val="28"/>
          <w:szCs w:val="28"/>
          <w:highlight w:val="none"/>
        </w:rPr>
      </w:r>
      <w:r/>
    </w:p>
    <w:p>
      <w:pPr>
        <w:pStyle w:val="911"/>
        <w:ind w:firstLine="562"/>
        <w:spacing w:line="480" w:lineRule="exact"/>
        <w:rPr>
          <w:rFonts w:ascii="仿宋" w:hAnsi="仿宋" w:eastAsia="仿宋"/>
          <w:b/>
          <w:bCs/>
          <w:iCs/>
          <w:color w:val="000000"/>
          <w:sz w:val="28"/>
          <w:szCs w:val="28"/>
        </w:rPr>
      </w:pPr>
      <w:r>
        <w:rPr>
          <w:rFonts w:hint="eastAsia" w:ascii="仿宋" w:hAnsi="仿宋" w:eastAsia="仿宋"/>
          <w:b/>
          <w:bCs/>
          <w:iCs/>
          <w:color w:val="000000"/>
          <w:sz w:val="28"/>
          <w:szCs w:val="28"/>
        </w:rPr>
        <w:t xml:space="preserve">（九）履约保证金要求</w:t>
      </w:r>
      <w:r>
        <w:rPr>
          <w:rFonts w:ascii="仿宋" w:hAnsi="仿宋" w:eastAsia="仿宋"/>
          <w:b/>
          <w:bCs/>
          <w:iCs/>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1、</w:t>
      </w:r>
      <w:r>
        <w:rPr>
          <w:rFonts w:hint="eastAsia" w:ascii="仿宋" w:hAnsi="仿宋" w:eastAsia="仿宋" w:cs="Times New Roman"/>
          <w:color w:val="000000"/>
          <w:sz w:val="28"/>
          <w:szCs w:val="28"/>
        </w:rPr>
        <w:t xml:space="preserve">本项目成交后的履约保证金为项目成交价</w:t>
      </w:r>
      <w:r>
        <w:rPr>
          <w:rFonts w:hint="eastAsia" w:ascii="仿宋" w:hAnsi="仿宋" w:eastAsia="仿宋" w:cs="Times New Roman"/>
          <w:color w:val="000000"/>
          <w:sz w:val="28"/>
          <w:szCs w:val="28"/>
          <w:highlight w:val="none"/>
        </w:rPr>
        <w:t xml:space="preserve">的</w:t>
      </w:r>
      <w:r>
        <w:rPr>
          <w:rFonts w:hint="eastAsia" w:ascii="仿宋" w:hAnsi="仿宋" w:eastAsia="仿宋" w:cs="Times New Roman"/>
          <w:color w:val="000000"/>
          <w:sz w:val="28"/>
          <w:szCs w:val="28"/>
          <w:highlight w:val="none"/>
          <w:lang w:val="en-US" w:eastAsia="zh-CN"/>
        </w:rPr>
        <w:t xml:space="preserve">10</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3、发生以下情况的，履约保证金不予退还或部分退还：</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Times New Roman"/>
          <w:color w:val="000000"/>
          <w:sz w:val="28"/>
          <w:szCs w:val="28"/>
        </w:rPr>
      </w:r>
      <w:r/>
    </w:p>
    <w:p>
      <w:pPr>
        <w:pStyle w:val="91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w:t>
      </w:r>
      <w:r>
        <w:rPr>
          <w:rFonts w:hint="eastAsia" w:ascii="仿宋" w:hAnsi="仿宋" w:eastAsia="仿宋" w:cs="Times New Roman"/>
          <w:color w:val="000000"/>
          <w:sz w:val="28"/>
          <w:szCs w:val="28"/>
        </w:rPr>
        <w:t xml:space="preserve">以履约保函（保险）形式向采购人缴纳的，按照《关于在全省政府采购领域推行电子履约保函（保险）的通知》，登录</w:t>
      </w:r>
      <w:r>
        <w:rPr>
          <w:rFonts w:hint="eastAsia" w:ascii="仿宋" w:hAnsi="仿宋" w:eastAsia="仿宋" w:cs="Times New Roman"/>
          <w:color w:val="000000"/>
          <w:sz w:val="28"/>
          <w:szCs w:val="28"/>
          <w:lang w:eastAsia="zh-CN"/>
        </w:rPr>
        <w:t xml:space="preserve">江苏政府采购网，选择“保险保函”模块，进行相关操作。供应商可登录江苏政府采购网“资料下载”栏目下载“政府采购电子履约（保函）保险操作手册”</w:t>
      </w:r>
      <w:r>
        <w:rPr>
          <w:rFonts w:hint="eastAsia" w:ascii="仿宋" w:hAnsi="仿宋" w:eastAsia="仿宋" w:cs="Times New Roman"/>
          <w:color w:val="000000"/>
          <w:sz w:val="28"/>
          <w:szCs w:val="28"/>
          <w:lang w:val="en-US" w:eastAsia="zh-CN"/>
        </w:rPr>
        <w:t xml:space="preserve">。</w:t>
      </w:r>
      <w:r>
        <w:rPr>
          <w:rFonts w:ascii="仿宋" w:hAnsi="仿宋" w:eastAsia="仿宋" w:cs="Times New Roman"/>
          <w:color w:val="000000"/>
          <w:sz w:val="28"/>
          <w:szCs w:val="28"/>
          <w:lang w:val="en-US" w:eastAsia="zh-CN"/>
        </w:rPr>
      </w:r>
      <w:r/>
    </w:p>
    <w:p>
      <w:pPr>
        <w:pStyle w:val="978"/>
        <w:ind w:firstLine="600"/>
        <w:spacing w:line="480" w:lineRule="exact"/>
        <w:rPr>
          <w:rFonts w:eastAsia="仿宋"/>
        </w:rPr>
      </w:pPr>
      <w:r>
        <w:rPr>
          <w:rFonts w:eastAsia="仿宋"/>
        </w:rPr>
      </w:r>
      <w:r/>
    </w:p>
    <w:p>
      <w:pPr>
        <w:pStyle w:val="911"/>
        <w:ind w:firstLine="562"/>
        <w:spacing w:line="480" w:lineRule="exact"/>
        <w:rPr>
          <w:rFonts w:ascii="仿宋" w:hAnsi="仿宋" w:eastAsia="仿宋"/>
          <w:b/>
          <w:i/>
          <w:color w:val="000000"/>
          <w:sz w:val="28"/>
          <w:szCs w:val="28"/>
          <w:u w:val="single"/>
        </w:rPr>
      </w:pPr>
      <w:r>
        <w:rPr>
          <w:rFonts w:hint="eastAsia" w:ascii="仿宋" w:hAnsi="仿宋" w:eastAsia="仿宋"/>
          <w:b/>
          <w:bCs/>
          <w:color w:val="000000"/>
          <w:sz w:val="28"/>
          <w:szCs w:val="28"/>
          <w:lang w:val="en-US" w:eastAsia="zh-CN"/>
        </w:rPr>
        <w:t xml:space="preserve">五</w:t>
      </w:r>
      <w:r>
        <w:rPr>
          <w:rFonts w:hint="eastAsia" w:ascii="仿宋" w:hAnsi="仿宋" w:eastAsia="仿宋"/>
          <w:b/>
          <w:bCs/>
          <w:color w:val="000000"/>
          <w:sz w:val="28"/>
          <w:szCs w:val="28"/>
        </w:rPr>
        <w:t xml:space="preserve">、</w:t>
      </w:r>
      <w:r>
        <w:rPr>
          <w:rFonts w:hint="eastAsia" w:ascii="仿宋" w:hAnsi="仿宋" w:eastAsia="仿宋"/>
          <w:b/>
          <w:i/>
          <w:color w:val="000000"/>
          <w:sz w:val="28"/>
          <w:szCs w:val="28"/>
          <w:u w:val="single"/>
        </w:rPr>
        <w:t xml:space="preserve">采购需求中必须满足的实质性要求。</w:t>
      </w:r>
      <w:r>
        <w:rPr>
          <w:rFonts w:ascii="仿宋" w:hAnsi="仿宋" w:eastAsia="仿宋"/>
          <w:b/>
          <w:i/>
          <w:color w:val="000000"/>
          <w:sz w:val="28"/>
          <w:szCs w:val="28"/>
          <w:u w:val="single"/>
        </w:rPr>
      </w:r>
      <w:r/>
    </w:p>
    <w:p>
      <w:pPr>
        <w:pStyle w:val="911"/>
        <w:ind w:firstLine="560"/>
        <w:spacing w:line="480" w:lineRule="exact"/>
        <w:rPr>
          <w:rFonts w:ascii="仿宋" w:hAnsi="仿宋" w:eastAsia="仿宋"/>
          <w:i/>
          <w:sz w:val="28"/>
          <w:szCs w:val="28"/>
          <w:u w:val="single"/>
        </w:rPr>
      </w:pPr>
      <w:r>
        <w:rPr>
          <w:rFonts w:hint="eastAsia" w:ascii="仿宋" w:hAnsi="仿宋" w:eastAsia="仿宋"/>
          <w:i/>
          <w:sz w:val="28"/>
          <w:szCs w:val="28"/>
          <w:u w:val="single"/>
        </w:rPr>
        <w:t xml:space="preserve">（一）技术部分实质性要求</w:t>
      </w:r>
      <w:r>
        <w:rPr>
          <w:rFonts w:ascii="仿宋" w:hAnsi="仿宋" w:eastAsia="仿宋"/>
          <w:i/>
          <w:sz w:val="28"/>
          <w:szCs w:val="28"/>
          <w:u w:val="single"/>
        </w:rPr>
      </w:r>
      <w:r/>
    </w:p>
    <w:p>
      <w:pPr>
        <w:pStyle w:val="911"/>
        <w:ind w:firstLine="560"/>
        <w:spacing w:line="480" w:lineRule="exact"/>
        <w:rPr>
          <w:rFonts w:ascii="仿宋" w:hAnsi="仿宋" w:eastAsia="仿宋"/>
          <w:i/>
          <w:color w:val="000000"/>
          <w:sz w:val="28"/>
          <w:szCs w:val="28"/>
          <w:u w:val="single"/>
        </w:rPr>
      </w:pPr>
      <w:r>
        <w:rPr>
          <w:rFonts w:ascii="仿宋" w:hAnsi="仿宋" w:eastAsia="仿宋"/>
          <w:i/>
          <w:color w:val="000000"/>
          <w:sz w:val="28"/>
          <w:szCs w:val="28"/>
          <w:u w:val="single"/>
        </w:rPr>
        <w:t xml:space="preserve">1.1</w:t>
      </w:r>
      <w:r>
        <w:rPr>
          <w:rFonts w:hint="eastAsia" w:ascii="仿宋" w:hAnsi="仿宋" w:eastAsia="仿宋"/>
          <w:i/>
          <w:color w:val="000000"/>
          <w:sz w:val="28"/>
          <w:szCs w:val="28"/>
          <w:u w:val="single"/>
        </w:rPr>
        <w:t xml:space="preserve">）带“★”项为重要技术指标不接受负偏离，不能满足则视为未能实质性响应招标文件，作无效标处理。投标时提供承诺函（格式自拟）。</w:t>
      </w:r>
      <w:r>
        <w:rPr>
          <w:rFonts w:ascii="仿宋" w:hAnsi="仿宋" w:eastAsia="仿宋"/>
          <w:i/>
          <w:color w:val="000000"/>
          <w:sz w:val="28"/>
          <w:szCs w:val="28"/>
          <w:u w:val="single"/>
        </w:rPr>
      </w:r>
      <w:r/>
    </w:p>
    <w:p>
      <w:pPr>
        <w:pStyle w:val="911"/>
        <w:ind w:firstLine="560"/>
        <w:spacing w:line="480" w:lineRule="exact"/>
        <w:rPr>
          <w:rFonts w:ascii="仿宋" w:hAnsi="仿宋" w:eastAsia="仿宋"/>
          <w:i/>
          <w:color w:val="000000"/>
          <w:sz w:val="28"/>
          <w:szCs w:val="28"/>
          <w:highlight w:val="none"/>
          <w:u w:val="single"/>
        </w:rPr>
      </w:pPr>
      <w:r>
        <w:rPr>
          <w:rFonts w:hint="eastAsia" w:ascii="仿宋" w:hAnsi="仿宋" w:eastAsia="仿宋"/>
          <w:i/>
          <w:color w:val="000000"/>
          <w:sz w:val="28"/>
          <w:szCs w:val="28"/>
          <w:u w:val="single"/>
        </w:rPr>
        <w:t xml:space="preserve">1.2要求提供的所有佐证材料（包含但不限于技术白皮书、检测报告、认证文件、截图、各类承诺函等）</w:t>
      </w:r>
      <w:r>
        <w:rPr>
          <w:rFonts w:hint="eastAsia" w:ascii="仿宋" w:hAnsi="仿宋" w:eastAsia="仿宋"/>
          <w:i/>
          <w:color w:val="000000"/>
          <w:sz w:val="28"/>
          <w:szCs w:val="28"/>
          <w:highlight w:val="none"/>
          <w:u w:val="single"/>
        </w:rPr>
        <w:t xml:space="preserve">，</w:t>
      </w:r>
      <w:r>
        <w:rPr>
          <w:rFonts w:hint="eastAsia" w:ascii="仿宋" w:hAnsi="仿宋" w:eastAsia="仿宋"/>
          <w:b/>
          <w:bCs/>
          <w:i/>
          <w:color w:val="000000"/>
          <w:sz w:val="28"/>
          <w:szCs w:val="28"/>
          <w:highlight w:val="none"/>
          <w:u w:val="single"/>
        </w:rPr>
        <w:t xml:space="preserve">在供货验收前由成交供应商</w:t>
      </w:r>
      <w:r>
        <w:rPr>
          <w:rFonts w:hint="eastAsia" w:ascii="仿宋" w:hAnsi="仿宋" w:eastAsia="仿宋" w:cs="Times New Roman"/>
          <w:b/>
          <w:bCs/>
          <w:i/>
          <w:color w:val="000000"/>
          <w:sz w:val="28"/>
          <w:szCs w:val="28"/>
          <w:highlight w:val="none"/>
          <w:u w:val="single"/>
        </w:rPr>
        <w:t xml:space="preserve">盖章后</w:t>
      </w:r>
      <w:r>
        <w:rPr>
          <w:rFonts w:hint="eastAsia" w:ascii="仿宋" w:hAnsi="仿宋" w:eastAsia="仿宋"/>
          <w:b/>
          <w:bCs/>
          <w:i/>
          <w:color w:val="000000"/>
          <w:sz w:val="28"/>
          <w:szCs w:val="28"/>
          <w:highlight w:val="none"/>
          <w:u w:val="single"/>
        </w:rPr>
        <w:t xml:space="preserve">提交招标人确认</w:t>
      </w:r>
      <w:r>
        <w:rPr>
          <w:rFonts w:hint="eastAsia" w:ascii="仿宋" w:hAnsi="仿宋" w:eastAsia="仿宋"/>
          <w:i/>
          <w:color w:val="000000"/>
          <w:sz w:val="28"/>
          <w:szCs w:val="28"/>
          <w:highlight w:val="none"/>
          <w:u w:val="single"/>
        </w:rPr>
        <w:t xml:space="preserve">，不能提供或故意拖延的，招标人有权</w:t>
      </w:r>
      <w:r>
        <w:rPr>
          <w:rFonts w:hint="eastAsia" w:ascii="仿宋" w:hAnsi="仿宋" w:eastAsia="仿宋"/>
          <w:i/>
          <w:color w:val="000000"/>
          <w:sz w:val="28"/>
          <w:szCs w:val="28"/>
          <w:highlight w:val="none"/>
          <w:u w:val="single"/>
          <w:lang w:val="en-US" w:eastAsia="zh-CN"/>
        </w:rPr>
        <w:t xml:space="preserve">解除签订的合同</w:t>
      </w:r>
      <w:r>
        <w:rPr>
          <w:rFonts w:hint="eastAsia" w:ascii="仿宋" w:hAnsi="仿宋" w:eastAsia="仿宋"/>
          <w:i/>
          <w:color w:val="000000"/>
          <w:sz w:val="28"/>
          <w:szCs w:val="28"/>
          <w:highlight w:val="none"/>
          <w:u w:val="single"/>
        </w:rPr>
        <w:t xml:space="preserve">，</w:t>
      </w:r>
      <w:r>
        <w:rPr>
          <w:rFonts w:hint="eastAsia" w:ascii="仿宋" w:hAnsi="仿宋" w:eastAsia="仿宋"/>
          <w:i/>
          <w:color w:val="000000"/>
          <w:sz w:val="28"/>
          <w:szCs w:val="28"/>
          <w:highlight w:val="none"/>
          <w:u w:val="single"/>
          <w:lang w:val="en-US" w:eastAsia="zh-CN"/>
        </w:rPr>
        <w:t xml:space="preserve">相关损失由成交供应商承担</w:t>
      </w:r>
      <w:r>
        <w:rPr>
          <w:rFonts w:hint="eastAsia" w:ascii="仿宋" w:hAnsi="仿宋" w:eastAsia="仿宋"/>
          <w:i/>
          <w:color w:val="000000"/>
          <w:sz w:val="28"/>
          <w:szCs w:val="28"/>
          <w:highlight w:val="none"/>
          <w:u w:val="single"/>
        </w:rPr>
        <w:t xml:space="preserve">。（提供承诺书，格式自拟）</w:t>
      </w:r>
      <w:r>
        <w:rPr>
          <w:rFonts w:ascii="仿宋" w:hAnsi="仿宋" w:eastAsia="仿宋"/>
          <w:i/>
          <w:color w:val="000000"/>
          <w:sz w:val="28"/>
          <w:szCs w:val="28"/>
          <w:highlight w:val="none"/>
          <w:u w:val="single"/>
        </w:rPr>
      </w:r>
      <w:r/>
    </w:p>
    <w:p>
      <w:pPr>
        <w:pStyle w:val="911"/>
        <w:ind w:firstLine="560"/>
        <w:spacing w:line="480" w:lineRule="exact"/>
        <w:rPr>
          <w:rFonts w:ascii="仿宋" w:hAnsi="仿宋" w:eastAsia="仿宋"/>
          <w:i/>
          <w:color w:val="000000"/>
          <w:sz w:val="28"/>
          <w:szCs w:val="28"/>
          <w:u w:val="single"/>
        </w:rPr>
      </w:pPr>
      <w:r>
        <w:rPr>
          <w:rFonts w:hint="eastAsia" w:ascii="仿宋" w:hAnsi="仿宋" w:eastAsia="仿宋"/>
          <w:i/>
          <w:color w:val="000000"/>
          <w:sz w:val="28"/>
          <w:szCs w:val="28"/>
          <w:highlight w:val="none"/>
          <w:u w:val="single"/>
        </w:rPr>
        <w:t xml:space="preserve">1.3投标人须承诺</w:t>
      </w:r>
      <w:r>
        <w:rPr>
          <w:rFonts w:hint="eastAsia" w:ascii="仿宋" w:hAnsi="仿宋" w:eastAsia="仿宋"/>
          <w:b/>
          <w:bCs/>
          <w:i/>
          <w:color w:val="000000"/>
          <w:sz w:val="28"/>
          <w:szCs w:val="28"/>
          <w:highlight w:val="none"/>
          <w:u w:val="single"/>
        </w:rPr>
        <w:t xml:space="preserve">供货验收前</w:t>
      </w:r>
      <w:r>
        <w:rPr>
          <w:rFonts w:hint="eastAsia" w:ascii="仿宋" w:hAnsi="仿宋" w:eastAsia="仿宋"/>
          <w:i/>
          <w:color w:val="000000"/>
          <w:sz w:val="28"/>
          <w:szCs w:val="28"/>
          <w:highlight w:val="none"/>
          <w:u w:val="single"/>
        </w:rPr>
        <w:t xml:space="preserve">提供</w:t>
      </w:r>
      <w:r>
        <w:rPr>
          <w:rFonts w:hint="eastAsia" w:ascii="仿宋" w:hAnsi="仿宋" w:eastAsia="仿宋"/>
          <w:i/>
          <w:color w:val="000000"/>
          <w:sz w:val="28"/>
          <w:szCs w:val="28"/>
          <w:u w:val="single"/>
        </w:rPr>
        <w:t xml:space="preserve">扬声器、功率放大器、数字调音台、音频处理器、时序电源、反馈抑制器、会议系统控制器、无线会议发言单元、无线会议基站、无线话筒、分路器主机、音频隔离器、智能用电监测管理云平台、智能回路模块、智能防浪涌模块、智能通讯模块、多媒体显示系统、多媒体辅助显示系统、接收卡、视频处理器、会标显示系统、视频防护系统、移动视频采集主机、无线机械云台摄像机、无线麦克风、中控控制器、集中控制软件、16路混合矩阵(触摸屏)、聚光灯、成像灯、三基色灯</w:t>
      </w:r>
      <w:r>
        <w:rPr>
          <w:rFonts w:hint="eastAsia" w:ascii="仿宋" w:hAnsi="仿宋" w:eastAsia="仿宋"/>
          <w:i/>
          <w:color w:val="000000"/>
          <w:sz w:val="28"/>
          <w:szCs w:val="28"/>
          <w:highlight w:val="none"/>
          <w:u w:val="single"/>
        </w:rPr>
        <w:t xml:space="preserve">、帕灯、摇头光束灯、触摸灯控台、电源直通箱、信号放大器、礼堂椅的</w:t>
      </w:r>
      <w:r>
        <w:rPr>
          <w:rFonts w:hint="eastAsia" w:ascii="仿宋" w:hAnsi="仿宋" w:eastAsia="仿宋"/>
          <w:b/>
          <w:bCs/>
          <w:i/>
          <w:color w:val="000000"/>
          <w:sz w:val="28"/>
          <w:szCs w:val="28"/>
          <w:highlight w:val="none"/>
          <w:u w:val="single"/>
        </w:rPr>
        <w:t xml:space="preserve">针对本项目的参数符合承诺函及不少于三年的质保服务承诺函加盖成交供应商</w:t>
      </w:r>
      <w:r>
        <w:rPr>
          <w:rFonts w:hint="eastAsia" w:ascii="仿宋" w:hAnsi="仿宋" w:eastAsia="仿宋" w:cs="Times New Roman"/>
          <w:b/>
          <w:bCs/>
          <w:i/>
          <w:color w:val="000000"/>
          <w:sz w:val="28"/>
          <w:szCs w:val="28"/>
          <w:highlight w:val="none"/>
          <w:u w:val="single"/>
        </w:rPr>
        <w:t xml:space="preserve">公章</w:t>
      </w:r>
      <w:r>
        <w:rPr>
          <w:rFonts w:hint="eastAsia" w:ascii="仿宋" w:hAnsi="仿宋" w:eastAsia="仿宋"/>
          <w:i/>
          <w:color w:val="000000"/>
          <w:sz w:val="28"/>
          <w:szCs w:val="28"/>
          <w:highlight w:val="none"/>
          <w:u w:val="single"/>
        </w:rPr>
        <w:t xml:space="preserve">，不能提供或故意拖延的，招标人有权</w:t>
      </w:r>
      <w:r>
        <w:rPr>
          <w:rFonts w:hint="eastAsia" w:ascii="仿宋" w:hAnsi="仿宋" w:eastAsia="仿宋"/>
          <w:i/>
          <w:color w:val="000000"/>
          <w:sz w:val="28"/>
          <w:szCs w:val="28"/>
          <w:highlight w:val="none"/>
          <w:u w:val="single"/>
          <w:lang w:val="en-US" w:eastAsia="zh-CN"/>
        </w:rPr>
        <w:t xml:space="preserve">解除签订的合同</w:t>
      </w:r>
      <w:r>
        <w:rPr>
          <w:rFonts w:hint="eastAsia" w:ascii="仿宋" w:hAnsi="仿宋" w:eastAsia="仿宋"/>
          <w:i/>
          <w:color w:val="000000"/>
          <w:sz w:val="28"/>
          <w:szCs w:val="28"/>
          <w:highlight w:val="none"/>
          <w:u w:val="single"/>
        </w:rPr>
        <w:t xml:space="preserve">，</w:t>
      </w:r>
      <w:r>
        <w:rPr>
          <w:rFonts w:hint="eastAsia" w:ascii="仿宋" w:hAnsi="仿宋" w:eastAsia="仿宋"/>
          <w:i/>
          <w:color w:val="000000"/>
          <w:sz w:val="28"/>
          <w:szCs w:val="28"/>
          <w:highlight w:val="none"/>
          <w:u w:val="single"/>
          <w:lang w:val="en-US" w:eastAsia="zh-CN"/>
        </w:rPr>
        <w:t xml:space="preserve">相关损失由成交供应商承担</w:t>
      </w:r>
      <w:r>
        <w:rPr>
          <w:rFonts w:hint="eastAsia" w:ascii="仿宋" w:hAnsi="仿宋" w:eastAsia="仿宋"/>
          <w:i/>
          <w:color w:val="000000"/>
          <w:sz w:val="28"/>
          <w:szCs w:val="28"/>
          <w:highlight w:val="none"/>
          <w:u w:val="single"/>
        </w:rPr>
        <w:t xml:space="preserve">。（</w:t>
      </w:r>
      <w:r>
        <w:rPr>
          <w:rFonts w:hint="eastAsia" w:ascii="仿宋" w:hAnsi="仿宋" w:eastAsia="仿宋"/>
          <w:i/>
          <w:color w:val="000000"/>
          <w:sz w:val="28"/>
          <w:szCs w:val="28"/>
          <w:u w:val="single"/>
        </w:rPr>
        <w:t xml:space="preserve">提供承诺书，格式自拟）</w:t>
      </w:r>
      <w:r>
        <w:rPr>
          <w:rFonts w:hint="eastAsia" w:ascii="仿宋" w:hAnsi="仿宋" w:eastAsia="仿宋"/>
          <w:i/>
          <w:color w:val="000000"/>
          <w:sz w:val="28"/>
          <w:szCs w:val="28"/>
          <w:u w:val="single"/>
        </w:rPr>
        <w:t xml:space="preserve">。</w:t>
      </w:r>
      <w:r>
        <w:rPr>
          <w:rFonts w:ascii="仿宋" w:hAnsi="仿宋" w:eastAsia="仿宋"/>
          <w:i/>
          <w:color w:val="000000"/>
          <w:sz w:val="28"/>
          <w:szCs w:val="28"/>
          <w:u w:val="single"/>
        </w:rPr>
      </w:r>
      <w:r/>
    </w:p>
    <w:p>
      <w:pPr>
        <w:pStyle w:val="911"/>
        <w:ind w:firstLine="560"/>
        <w:spacing w:line="480" w:lineRule="exact"/>
        <w:rPr>
          <w:rFonts w:ascii="仿宋" w:hAnsi="仿宋" w:eastAsia="仿宋"/>
          <w:i/>
          <w:sz w:val="28"/>
          <w:szCs w:val="28"/>
          <w:u w:val="single"/>
        </w:rPr>
      </w:pPr>
      <w:r>
        <w:rPr>
          <w:rFonts w:hint="eastAsia" w:ascii="仿宋" w:hAnsi="仿宋" w:eastAsia="仿宋"/>
          <w:i/>
          <w:sz w:val="28"/>
          <w:szCs w:val="28"/>
          <w:u w:val="single"/>
        </w:rPr>
        <w:t xml:space="preserve">（二）商务部分实质性要求</w:t>
      </w:r>
      <w:r>
        <w:rPr>
          <w:rFonts w:ascii="仿宋" w:hAnsi="仿宋" w:eastAsia="仿宋"/>
          <w:i/>
          <w:sz w:val="28"/>
          <w:szCs w:val="28"/>
          <w:u w:val="single"/>
        </w:rPr>
      </w:r>
      <w:r/>
    </w:p>
    <w:p>
      <w:pPr>
        <w:pStyle w:val="911"/>
        <w:ind w:firstLine="560"/>
        <w:spacing w:line="560" w:lineRule="exact"/>
        <w:rPr>
          <w:rFonts w:hint="eastAsia" w:ascii="仿宋" w:hAnsi="仿宋" w:eastAsia="仿宋"/>
          <w:i/>
          <w:sz w:val="28"/>
          <w:szCs w:val="28"/>
          <w:u w:val="single"/>
        </w:rPr>
      </w:pPr>
      <w:r>
        <w:rPr>
          <w:rFonts w:hint="eastAsia" w:ascii="仿宋" w:hAnsi="仿宋" w:eastAsia="仿宋"/>
          <w:i/>
          <w:sz w:val="28"/>
          <w:szCs w:val="28"/>
          <w:u w:val="single"/>
        </w:rPr>
        <w:t xml:space="preserve">4.2.1投标人必须不低于本采购文件所提出的商务要求进行响应（《商务要求响应及偏离表》必须列明供货的数量、产地、交付时间、交付地点、财务和服务要求，包括交付（实施）的数量、时间（期限）、地点（范围），付款条件（进度和方法），包装和运输，验收、售后服务内容。投标人应逐条响应商务要求，响应内容不明确或不满足要求的视为未实质性响应。</w:t>
      </w:r>
      <w:r>
        <w:rPr>
          <w:rFonts w:hint="eastAsia" w:ascii="仿宋" w:hAnsi="仿宋" w:eastAsia="仿宋"/>
          <w:i/>
          <w:sz w:val="28"/>
          <w:szCs w:val="28"/>
          <w:u w:val="single"/>
        </w:rPr>
      </w:r>
      <w:r/>
    </w:p>
    <w:p>
      <w:pPr>
        <w:pStyle w:val="911"/>
        <w:ind w:firstLine="560"/>
        <w:spacing w:line="560" w:lineRule="exact"/>
        <w:rPr>
          <w:rFonts w:hint="eastAsia" w:ascii="仿宋" w:hAnsi="仿宋" w:eastAsia="仿宋"/>
          <w:i/>
          <w:sz w:val="28"/>
          <w:szCs w:val="28"/>
          <w:u w:val="single"/>
        </w:rPr>
      </w:pPr>
      <w:r>
        <w:rPr>
          <w:rFonts w:hint="eastAsia" w:ascii="仿宋" w:hAnsi="仿宋" w:eastAsia="仿宋"/>
          <w:i/>
          <w:sz w:val="28"/>
          <w:szCs w:val="28"/>
          <w:u w:val="single"/>
        </w:rPr>
        <w:t xml:space="preserve">4.2.2本次项目清单中的数量为预估数量仅供参考，投标人须对项目现场情况进行充分勘察及了解，由于招标人在清单中未列明或描述不全，但投标人为满足招标人的要求而必须完成的工作，投标人应计入投标报价中，招标人不为此类项目另外支付。如有数量变更请在投标时体现在报价清单中（变更后数量不得低于清单建议数量），由于投标人投标前现场勘查不到位或不详细而导致的相关责任由投标人自行负责。（提供承诺书，格式自拟）。</w:t>
      </w:r>
      <w:r>
        <w:rPr>
          <w:rFonts w:hint="eastAsia" w:ascii="仿宋" w:hAnsi="仿宋" w:eastAsia="仿宋"/>
          <w:i/>
          <w:sz w:val="28"/>
          <w:szCs w:val="28"/>
          <w:u w:val="single"/>
        </w:rPr>
      </w:r>
      <w:r/>
    </w:p>
    <w:p>
      <w:pPr>
        <w:pStyle w:val="911"/>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r>
      <w:r/>
    </w:p>
    <w:p>
      <w:pPr>
        <w:pStyle w:val="911"/>
        <w:ind w:firstLine="480"/>
        <w:rPr>
          <w:rFonts w:hint="eastAsia" w:ascii="宋体" w:hAnsi="宋体"/>
          <w:color w:val="000000"/>
          <w:sz w:val="24"/>
          <w:szCs w:val="24"/>
        </w:rPr>
      </w:pPr>
      <w:r>
        <w:rPr>
          <w:rFonts w:hint="eastAsia" w:ascii="宋体" w:hAnsi="宋体"/>
          <w:color w:val="000000"/>
          <w:sz w:val="24"/>
          <w:szCs w:val="24"/>
        </w:rPr>
      </w:r>
      <w:r/>
    </w:p>
    <w:p>
      <w:pPr>
        <w:pStyle w:val="1028"/>
        <w:rPr>
          <w:rFonts w:hint="eastAsia" w:ascii="黑体" w:hAnsi="Times New Roman" w:eastAsia="黑体"/>
          <w:bCs/>
          <w:color w:val="000000"/>
          <w:sz w:val="44"/>
          <w:szCs w:val="28"/>
        </w:rPr>
      </w:pPr>
      <w:r/>
      <w:bookmarkStart w:id="187" w:name="_Toc120614281"/>
      <w:r>
        <w:rPr>
          <w:rFonts w:hint="eastAsia" w:ascii="黑体" w:hAnsi="Times New Roman" w:eastAsia="黑体"/>
          <w:bCs/>
          <w:color w:val="000000"/>
          <w:sz w:val="44"/>
          <w:szCs w:val="28"/>
        </w:rPr>
      </w:r>
      <w:r/>
    </w:p>
    <w:p>
      <w:pPr>
        <w:pStyle w:val="91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911"/>
        <w:ind w:firstLine="514"/>
        <w:jc w:val="left"/>
        <w:spacing w:before="120" w:after="120"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政府采购政策功能落实</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本</w:t>
      </w:r>
      <w:r>
        <w:rPr>
          <w:rFonts w:hint="eastAsia" w:ascii="仿宋" w:hAnsi="仿宋" w:eastAsia="仿宋"/>
          <w:color w:val="000000"/>
          <w:sz w:val="28"/>
          <w:szCs w:val="28"/>
          <w:highlight w:val="none"/>
        </w:rPr>
        <w:t xml:space="preserve">项目专门</w:t>
      </w:r>
      <w:r>
        <w:rPr>
          <w:rFonts w:ascii="仿宋" w:hAnsi="仿宋" w:eastAsia="仿宋"/>
          <w:color w:val="000000"/>
          <w:sz w:val="28"/>
          <w:szCs w:val="28"/>
          <w:highlight w:val="none"/>
        </w:rPr>
        <w:t xml:space="preserve">面向中小微</w:t>
      </w:r>
      <w:r>
        <w:rPr>
          <w:rFonts w:hint="eastAsia" w:ascii="仿宋" w:hAnsi="仿宋" w:eastAsia="仿宋"/>
          <w:color w:val="000000"/>
          <w:sz w:val="28"/>
          <w:szCs w:val="28"/>
          <w:highlight w:val="none"/>
        </w:rPr>
        <w:t xml:space="preserve">型企业</w:t>
      </w:r>
      <w:r>
        <w:rPr>
          <w:rFonts w:ascii="仿宋" w:hAnsi="仿宋" w:eastAsia="仿宋"/>
          <w:color w:val="000000"/>
          <w:sz w:val="28"/>
          <w:szCs w:val="28"/>
          <w:highlight w:val="none"/>
        </w:rPr>
        <w:t xml:space="preserve">采购，</w:t>
      </w:r>
      <w:r>
        <w:rPr>
          <w:rFonts w:hint="eastAsia" w:ascii="仿宋" w:hAnsi="仿宋" w:eastAsia="仿宋"/>
          <w:color w:val="000000"/>
          <w:sz w:val="28"/>
          <w:szCs w:val="28"/>
          <w:highlight w:val="none"/>
          <w:lang w:val="en-US" w:eastAsia="zh-CN"/>
        </w:rPr>
        <w:t xml:space="preserve">价格评审不再执行优惠折扣</w:t>
      </w:r>
      <w:r>
        <w:rPr>
          <w:rFonts w:hint="eastAsia" w:ascii="仿宋" w:hAnsi="仿宋" w:eastAsia="仿宋" w:cs="Arial"/>
          <w:color w:val="000000"/>
          <w:sz w:val="28"/>
          <w:szCs w:val="28"/>
          <w:highlight w:val="none"/>
        </w:rPr>
        <w:t xml:space="preserve">。</w:t>
      </w:r>
      <w:r>
        <w:rPr>
          <w:rFonts w:hint="eastAsia" w:ascii="仿宋" w:hAnsi="仿宋" w:eastAsia="仿宋"/>
          <w:b/>
          <w:color w:val="000000"/>
          <w:sz w:val="28"/>
          <w:szCs w:val="28"/>
          <w:highlight w:val="none"/>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采购本国产品的支持政策</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3、供应商需按照招标文件的要求提供《关于符合本国产品标准的声明函》（以下简称《声明函》），如不提供将不享受本国产品价格评审优惠。</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Times New Roman"/>
          <w:color w:val="0000ff"/>
          <w:sz w:val="28"/>
          <w:szCs w:val="28"/>
          <w:highlight w:val="none"/>
          <w:lang w:val="en-US" w:eastAsia="zh-CN" w:bidi="ar-SA"/>
        </w:rPr>
      </w:pPr>
      <w:r>
        <w:rPr>
          <w:rFonts w:hint="eastAsia" w:ascii="仿宋" w:hAnsi="仿宋" w:eastAsia="仿宋" w:cs="Arial"/>
          <w:color w:val="000000"/>
          <w:sz w:val="28"/>
          <w:szCs w:val="28"/>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ff"/>
          <w:sz w:val="28"/>
          <w:szCs w:val="28"/>
          <w:highlight w:val="none"/>
          <w:lang w:val="en-US" w:eastAsia="zh-CN" w:bidi="ar-SA"/>
        </w:rPr>
      </w:r>
      <w:r/>
    </w:p>
    <w:p>
      <w:pPr>
        <w:pStyle w:val="911"/>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1001"/>
        <w:numPr>
          <w:ilvl w:val="0"/>
          <w:numId w:val="15"/>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11"/>
        <w:ind w:firstLine="562"/>
        <w:spacing w:line="500" w:lineRule="exact"/>
        <w:rPr>
          <w:rFonts w:eastAsia="方正仿宋_GBK"/>
          <w:sz w:val="28"/>
          <w:szCs w:val="28"/>
        </w:rPr>
      </w:pPr>
      <w:r>
        <w:rPr>
          <w:rFonts w:hint="eastAsia" w:ascii="仿宋" w:hAnsi="仿宋" w:eastAsia="仿宋"/>
          <w:b/>
          <w:sz w:val="28"/>
          <w:szCs w:val="28"/>
          <w:highlight w:val="none"/>
          <w:lang w:val="en-US" w:eastAsia="zh-CN"/>
        </w:rPr>
        <w:t xml:space="preserve"> </w:t>
      </w:r>
      <w:r>
        <w:rPr>
          <w:rFonts w:hint="eastAsia" w:ascii="仿宋" w:hAnsi="仿宋" w:eastAsia="仿宋"/>
          <w:b/>
          <w:sz w:val="28"/>
          <w:szCs w:val="28"/>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1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11"/>
        <w:numPr>
          <w:ilvl w:val="0"/>
          <w:numId w:val="15"/>
        </w:numPr>
        <w:ind w:firstLine="562"/>
        <w:jc w:val="left"/>
        <w:spacing w:before="120" w:after="120" w:line="480" w:lineRule="exact"/>
        <w:tabs>
          <w:tab w:val="left" w:pos="312" w:leader="none"/>
        </w:tabs>
        <w:rPr>
          <w:rFonts w:ascii="仿宋" w:hAnsi="仿宋" w:eastAsia="仿宋"/>
          <w:b/>
          <w:sz w:val="28"/>
          <w:szCs w:val="28"/>
          <w:highlight w:val="none"/>
        </w:rPr>
      </w:pP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6</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93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320"/>
        <w:gridCol w:w="4985"/>
        <w:gridCol w:w="708"/>
        <w:gridCol w:w="709"/>
        <w:gridCol w:w="838"/>
      </w:tblGrid>
      <w:tr>
        <w:trPr>
          <w:trHeight w:val="567"/>
        </w:trPr>
        <w:tc>
          <w:tcPr>
            <w:tcW w:w="783"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序号</w:t>
            </w:r>
            <w:r>
              <w:rPr>
                <w:rFonts w:ascii="仿宋" w:hAnsi="仿宋" w:eastAsia="仿宋" w:cs="宋体"/>
                <w:b/>
                <w:bCs/>
                <w:color w:val="000000"/>
                <w:sz w:val="24"/>
                <w:szCs w:val="24"/>
              </w:rPr>
            </w:r>
            <w:r/>
          </w:p>
        </w:tc>
        <w:tc>
          <w:tcPr>
            <w:tcW w:w="1320"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评分点名称</w:t>
            </w:r>
            <w:r>
              <w:rPr>
                <w:rFonts w:ascii="仿宋" w:hAnsi="仿宋" w:eastAsia="仿宋" w:cs="宋体"/>
                <w:b/>
                <w:bCs/>
                <w:color w:val="000000"/>
                <w:sz w:val="24"/>
                <w:szCs w:val="24"/>
              </w:rPr>
            </w:r>
            <w:r/>
          </w:p>
        </w:tc>
        <w:tc>
          <w:tcPr>
            <w:tcW w:w="4985"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评审标准</w:t>
            </w:r>
            <w:r>
              <w:rPr>
                <w:rFonts w:ascii="仿宋" w:hAnsi="仿宋" w:eastAsia="仿宋" w:cs="宋体"/>
                <w:b/>
                <w:bCs/>
                <w:color w:val="000000"/>
                <w:sz w:val="24"/>
                <w:szCs w:val="24"/>
              </w:rPr>
            </w:r>
            <w:r/>
          </w:p>
        </w:tc>
        <w:tc>
          <w:tcPr>
            <w:tcW w:w="708"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最高分</w:t>
            </w:r>
            <w:r>
              <w:rPr>
                <w:rFonts w:ascii="仿宋" w:hAnsi="仿宋" w:eastAsia="仿宋" w:cs="宋体"/>
                <w:b/>
                <w:bCs/>
                <w:color w:val="000000"/>
                <w:sz w:val="24"/>
                <w:szCs w:val="24"/>
              </w:rPr>
            </w:r>
            <w:r/>
          </w:p>
        </w:tc>
        <w:tc>
          <w:tcPr>
            <w:tcW w:w="709"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最低分</w:t>
            </w:r>
            <w:r>
              <w:rPr>
                <w:rFonts w:ascii="仿宋" w:hAnsi="仿宋" w:eastAsia="仿宋" w:cs="宋体"/>
                <w:b/>
                <w:bCs/>
                <w:color w:val="000000"/>
                <w:sz w:val="24"/>
                <w:szCs w:val="24"/>
              </w:rPr>
            </w:r>
            <w:r/>
          </w:p>
        </w:tc>
        <w:tc>
          <w:tcPr>
            <w:tcW w:w="838" w:type="dxa"/>
            <w:vAlign w:val="center"/>
            <w:textDirection w:val="lrTb"/>
            <w:noWrap w:val="false"/>
          </w:tcPr>
          <w:p>
            <w:pPr>
              <w:pStyle w:val="911"/>
              <w:jc w:val="left"/>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主/客观分</w:t>
            </w:r>
            <w:r>
              <w:rPr>
                <w:rFonts w:ascii="仿宋" w:hAnsi="仿宋" w:eastAsia="仿宋" w:cs="宋体"/>
                <w:b/>
                <w:bCs/>
                <w:color w:val="000000"/>
                <w:sz w:val="24"/>
                <w:szCs w:val="24"/>
              </w:rPr>
            </w:r>
            <w:r/>
          </w:p>
        </w:tc>
      </w:tr>
      <w:tr>
        <w:trPr>
          <w:trHeight w:val="56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产品性能</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1.标“★”项技术参数为核心技术参数，如有负偏离将作为无效投标。</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2.标“▲”项技术参数为重要指标，投标人提供满足或优于招标文件要求的相关证明材料并加盖投标人公章，每提供1项加1分，最多得2</w:t>
            </w:r>
            <w:r>
              <w:rPr>
                <w:rFonts w:hint="eastAsia"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rPr>
              <w:t xml:space="preserve">分；未按要求提供相关证明材料的视作负偏离，该项不得分；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3.标“★”或“▲”项以外的技术参数为一般指标，投标人提供一般指标全部响应承诺函及逐条响应的《技术规格偏离表》并加盖投标人公章，提供得</w:t>
            </w:r>
            <w:r>
              <w:rPr>
                <w:rFonts w:hint="eastAsia"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rPr>
              <w:t xml:space="preserve">分，不提供不得分。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26</w:t>
            </w:r>
            <w:r>
              <w:rPr>
                <w:rFonts w:ascii="仿宋" w:hAnsi="仿宋" w:eastAsia="仿宋" w:cs="宋体"/>
                <w:color w:val="000000"/>
                <w:sz w:val="24"/>
                <w:szCs w:val="24"/>
                <w:lang w:val="en-US"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785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lang w:val="en-US" w:eastAsia="zh-CN"/>
              </w:rPr>
              <w:t xml:space="preserve">视频</w:t>
            </w:r>
            <w:r>
              <w:rPr>
                <w:rFonts w:hint="eastAsia" w:ascii="仿宋" w:hAnsi="仿宋" w:eastAsia="仿宋" w:cs="宋体"/>
                <w:color w:val="000000"/>
                <w:sz w:val="24"/>
                <w:szCs w:val="24"/>
              </w:rPr>
              <w:t xml:space="preserve">演示</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投标人上传视频演示所投“扩声系统”和“视频采集系统”的部分指标，具体内容如下：</w:t>
            </w:r>
            <w:r>
              <w:rPr>
                <w:rFonts w:hint="eastAsia" w:ascii="仿宋" w:hAnsi="仿宋" w:eastAsia="仿宋" w:cs="宋体"/>
                <w:color w:val="000000"/>
                <w:sz w:val="24"/>
                <w:szCs w:val="24"/>
                <w:lang w:val="en-US" w:eastAsia="zh-CN"/>
              </w:rPr>
            </w:r>
            <w:r/>
          </w:p>
          <w:p>
            <w:pPr>
              <w:pStyle w:val="911"/>
              <w:jc w:val="left"/>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一）扩声系统：返听全频扬声器功率放大器（1台）、台唇扬声器功率放大器（1台）、无线会议发言主席单元（1台）、无线会议发言代表单元（1台）、无线手持话筒（1套）及其他为完成演示所必须的辅助测试设备，演示内容要求如下：</w:t>
            </w:r>
            <w:r>
              <w:rPr>
                <w:rFonts w:ascii="仿宋" w:hAnsi="仿宋" w:eastAsia="仿宋" w:cs="宋体"/>
                <w:b/>
                <w:bCs/>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①返听全频及台唇扬声器功率放大器：支持支持远程监控在线、温度等状态，支持矩阵路由、DSP调节、压限功能；</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②无线会议发言主席及代表单元：可在每一只话筒本机对自身增益、AGC单独调节；</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③无线手持话筒演示内容：具有扫频功能，可以查看无线干扰情况，自动搜寻干净频点；支持远程管理，远程调整话筒频率、查看电量、自动扫频；支持反馈抑制、扩展器、噪声门、压缩器、PEQ参量均衡等DSP处理功能。</w:t>
            </w:r>
            <w:r>
              <w:rPr>
                <w:rFonts w:ascii="仿宋" w:hAnsi="仿宋" w:eastAsia="仿宋" w:cs="宋体"/>
                <w:color w:val="000000"/>
                <w:sz w:val="24"/>
                <w:szCs w:val="24"/>
              </w:rPr>
            </w:r>
            <w:r/>
          </w:p>
          <w:p>
            <w:pPr>
              <w:pStyle w:val="911"/>
              <w:jc w:val="left"/>
              <w:widowControl/>
              <w:rPr>
                <w:rFonts w:ascii="仿宋" w:hAnsi="仿宋" w:eastAsia="仿宋" w:cs="宋体"/>
                <w:b/>
                <w:bCs/>
                <w:color w:val="000000"/>
                <w:sz w:val="24"/>
                <w:szCs w:val="24"/>
              </w:rPr>
            </w:pPr>
            <w:r>
              <w:rPr>
                <w:rFonts w:hint="eastAsia" w:ascii="仿宋" w:hAnsi="仿宋" w:eastAsia="仿宋" w:cs="宋体"/>
                <w:b/>
                <w:bCs/>
                <w:color w:val="000000"/>
                <w:sz w:val="24"/>
                <w:szCs w:val="24"/>
                <w:lang w:val="en-US" w:eastAsia="zh-CN"/>
              </w:rPr>
              <w:t xml:space="preserve">二</w:t>
            </w:r>
            <w:r>
              <w:rPr>
                <w:rFonts w:hint="eastAsia" w:ascii="仿宋" w:hAnsi="仿宋" w:eastAsia="仿宋" w:cs="宋体"/>
                <w:b/>
                <w:bCs/>
                <w:color w:val="000000"/>
                <w:sz w:val="24"/>
                <w:szCs w:val="24"/>
              </w:rPr>
              <w:t xml:space="preserve">）视频资源采集系统：移动视频采集主机（1台）及其他为完成演示所必须的辅助测试设备，演示内容要求如下：</w:t>
            </w:r>
            <w:r>
              <w:rPr>
                <w:rFonts w:ascii="仿宋" w:hAnsi="仿宋" w:eastAsia="仿宋" w:cs="宋体"/>
                <w:b/>
                <w:bCs/>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highlight w:val="none"/>
              </w:rPr>
              <w:t xml:space="preserve">④</w:t>
            </w:r>
            <w:r>
              <w:rPr>
                <w:rFonts w:hint="eastAsia" w:ascii="仿宋" w:hAnsi="仿宋" w:eastAsia="仿宋" w:cs="宋体"/>
                <w:color w:val="000000"/>
                <w:sz w:val="24"/>
                <w:szCs w:val="24"/>
              </w:rPr>
              <w:t xml:space="preserve">主机导播系统：支持通过U盘导入视频、图片作为片头片尾素材，不少于3种格式；支持单个视频文件≥200MB，单个图片文件≥20MB，可保存≥10个素材；支持设定片头片尾保持时间，保持时间在5s~10s之间可选，片头片尾素材可直接在主机一体化屏幕上进行删除。支持通过主机一体化屏幕进行云台摄像机控制，可任意转动云台方向，实现步进控制、连续控制。</w:t>
            </w:r>
            <w:r>
              <w:rPr>
                <w:rFonts w:ascii="仿宋" w:hAnsi="仿宋" w:eastAsia="仿宋" w:cs="宋体"/>
                <w:color w:val="000000"/>
                <w:sz w:val="24"/>
                <w:szCs w:val="24"/>
              </w:rPr>
            </w:r>
            <w:r/>
          </w:p>
          <w:p>
            <w:pPr>
              <w:pStyle w:val="911"/>
              <w:jc w:val="left"/>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rPr>
              <w:t xml:space="preserve">⑤主机互动系统：支持进行网络检测，无需通过第三方软件，可在主机的一体化触控屏上主机网络状态；实现对网络联通性、网络稳定性、上行速度、下行速度、网络追踪性、网卡信息实时检测；在一段时间内，支持以折线图方式实时呈现网络稳定性、上行速度和下行速度</w:t>
            </w:r>
            <w:r>
              <w:rPr>
                <w:rFonts w:hint="eastAsia" w:ascii="仿宋" w:hAnsi="仿宋" w:eastAsia="仿宋" w:cs="宋体"/>
                <w:color w:val="000000"/>
                <w:sz w:val="24"/>
                <w:szCs w:val="24"/>
                <w:lang w:eastAsia="zh-CN"/>
              </w:rPr>
              <w:t xml:space="preserve">。</w:t>
            </w:r>
            <w:r>
              <w:rPr>
                <w:rFonts w:hint="eastAsia" w:ascii="仿宋" w:hAnsi="仿宋" w:eastAsia="仿宋" w:cs="宋体"/>
                <w:color w:val="000000"/>
                <w:sz w:val="24"/>
                <w:szCs w:val="24"/>
                <w:lang w:eastAsia="zh-CN"/>
              </w:rPr>
            </w:r>
            <w:r/>
          </w:p>
          <w:p>
            <w:pPr>
              <w:pStyle w:val="911"/>
              <w:jc w:val="left"/>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评委根据投标人提交的</w:t>
            </w:r>
            <w:r>
              <w:rPr>
                <w:rFonts w:hint="eastAsia" w:ascii="仿宋" w:hAnsi="仿宋" w:eastAsia="仿宋" w:cs="宋体"/>
                <w:b/>
                <w:bCs/>
                <w:color w:val="000000"/>
                <w:sz w:val="24"/>
                <w:szCs w:val="24"/>
                <w:lang w:val="en-US" w:eastAsia="zh-CN"/>
              </w:rPr>
              <w:t xml:space="preserve">视频内容</w:t>
            </w:r>
            <w:r>
              <w:rPr>
                <w:rFonts w:hint="eastAsia" w:ascii="仿宋" w:hAnsi="仿宋" w:eastAsia="仿宋" w:cs="宋体"/>
                <w:b/>
                <w:bCs/>
                <w:color w:val="000000"/>
                <w:sz w:val="24"/>
                <w:szCs w:val="24"/>
              </w:rPr>
              <w:t xml:space="preserve">进行评分，每满足一项演示要求得2分，本项最多得1</w:t>
            </w:r>
            <w:r>
              <w:rPr>
                <w:rFonts w:hint="eastAsia" w:ascii="仿宋" w:hAnsi="仿宋" w:eastAsia="仿宋" w:cs="宋体"/>
                <w:b/>
                <w:bCs/>
                <w:color w:val="000000"/>
                <w:sz w:val="24"/>
                <w:szCs w:val="24"/>
                <w:lang w:val="en-US" w:eastAsia="zh-CN"/>
              </w:rPr>
              <w:t xml:space="preserve">0</w:t>
            </w:r>
            <w:r>
              <w:rPr>
                <w:rFonts w:hint="eastAsia" w:ascii="仿宋" w:hAnsi="仿宋" w:eastAsia="仿宋" w:cs="宋体"/>
                <w:b/>
                <w:bCs/>
                <w:color w:val="000000"/>
                <w:sz w:val="24"/>
                <w:szCs w:val="24"/>
              </w:rPr>
              <w:t xml:space="preserve">分。</w:t>
            </w:r>
            <w:r>
              <w:rPr>
                <w:rFonts w:ascii="仿宋" w:hAnsi="仿宋" w:eastAsia="仿宋" w:cs="宋体"/>
                <w:b/>
                <w:bCs/>
                <w:color w:val="000000"/>
                <w:sz w:val="24"/>
                <w:szCs w:val="24"/>
              </w:rPr>
            </w:r>
            <w:r/>
          </w:p>
          <w:p>
            <w:pPr>
              <w:pStyle w:val="911"/>
              <w:jc w:val="left"/>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eastAsia="zh-CN"/>
              </w:rPr>
            </w:r>
            <w:r/>
          </w:p>
        </w:tc>
        <w:tc>
          <w:tcPr>
            <w:tcW w:w="708" w:type="dxa"/>
            <w:vAlign w:val="center"/>
            <w:textDirection w:val="lrTb"/>
            <w:noWrap w:val="false"/>
          </w:tcPr>
          <w:p>
            <w:pPr>
              <w:pStyle w:val="911"/>
              <w:jc w:val="center"/>
              <w:widowControl/>
              <w:rPr>
                <w:rFonts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10</w:t>
            </w:r>
            <w:r>
              <w:rPr>
                <w:rFonts w:ascii="仿宋" w:hAnsi="仿宋" w:eastAsia="仿宋" w:cs="宋体"/>
                <w:color w:val="000000"/>
                <w:sz w:val="24"/>
                <w:szCs w:val="24"/>
                <w:lang w:val="en-US"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技术方案</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结合招标文件需求，制定出详细、合理的满足用户需求的设计方案，方案内容包括但不限于需求分析、建设目标、系统详细设计、设备摆位图、系统拓扑图等，评委根据设计方案进行综合评审：</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1.方案内容全面、合理、规范、相关图纸完整齐全，设计效果好，高度符合现场实际情况，细节考虑周全的得</w:t>
            </w:r>
            <w:r>
              <w:rPr>
                <w:rFonts w:hint="eastAsia" w:ascii="仿宋" w:hAnsi="仿宋" w:eastAsia="仿宋" w:cs="宋体"/>
                <w:color w:val="000000"/>
                <w:sz w:val="24"/>
                <w:szCs w:val="24"/>
                <w:lang w:val="en-US" w:eastAsia="zh-CN"/>
              </w:rPr>
              <w:t xml:space="preserve">6</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2.方案内容较全面、较合理、较规范、相关图纸较齐全、虽设计不够新颖，但较符合现场实际情况的得</w:t>
            </w: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3.方案内容基本全面、基本合理、基本规范、相关图纸基本齐全、对现场设计一般，基本符合现场实际情况的得</w:t>
            </w: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4.设计方案不全面、不合理、不规范、不符合现场实际情况或未提供的不得分。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6</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主观分</w:t>
            </w:r>
            <w:r>
              <w:rPr>
                <w:rFonts w:ascii="仿宋" w:hAnsi="仿宋" w:eastAsia="仿宋" w:cs="宋体"/>
                <w:color w:val="000000"/>
                <w:sz w:val="24"/>
                <w:szCs w:val="24"/>
              </w:rPr>
            </w:r>
            <w:r/>
          </w:p>
        </w:tc>
      </w:tr>
      <w:tr>
        <w:trPr>
          <w:trHeight w:val="56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实施方案</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提供完整、详细、可行的工程实施和保障方案，包含但不限于项目周期与进度规划，拟投入实施人员组织与分工安排、项目实施管理、质量保障措施等内容，评委根据实施技术方案的科学性、合理性、针对性进行综合评审：</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1）方案内容完善、进度安排科学契合项目需求、人员分工得当、质量保障周全得</w:t>
            </w:r>
            <w:r>
              <w:rPr>
                <w:rFonts w:hint="eastAsia"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2）方案内容较完善、进度安排科学较契合项目需求、人员分工较得当、质量保障较周全得</w:t>
            </w: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3）方案内容欠缺、进度安排无法满足项目需求、人员分工复杂得1分；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4）未提供本项不得分。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主观分</w:t>
            </w:r>
            <w:r>
              <w:rPr>
                <w:rFonts w:ascii="仿宋" w:hAnsi="仿宋" w:eastAsia="仿宋" w:cs="宋体"/>
                <w:color w:val="000000"/>
                <w:sz w:val="24"/>
                <w:szCs w:val="24"/>
              </w:rPr>
            </w:r>
            <w:r/>
          </w:p>
        </w:tc>
      </w:tr>
      <w:tr>
        <w:trPr>
          <w:trHeight w:val="56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声场分析方案</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声场分析：要求报告厅最大声压级(dB)、语音清晰度、语言快速传输指数、混响时间满足或者优于厅堂扩声系统设计规范GB50371-2006(2024)多用途厅堂扩声系统声学特性指标一级标准，投标人每提供一个达到一级标准的声场分析加</w:t>
            </w:r>
            <w:r>
              <w:rPr>
                <w:rFonts w:hint="eastAsia" w:ascii="仿宋" w:hAnsi="仿宋" w:eastAsia="仿宋" w:cs="宋体"/>
                <w:color w:val="000000"/>
                <w:sz w:val="24"/>
                <w:szCs w:val="24"/>
                <w:lang w:val="en-US" w:eastAsia="zh-CN"/>
              </w:rPr>
              <w:t xml:space="preserve">0.5</w:t>
            </w:r>
            <w:r>
              <w:rPr>
                <w:rFonts w:hint="eastAsia" w:ascii="仿宋" w:hAnsi="仿宋" w:eastAsia="仿宋" w:cs="宋体"/>
                <w:color w:val="000000"/>
                <w:sz w:val="24"/>
                <w:szCs w:val="24"/>
              </w:rPr>
              <w:t xml:space="preserve">分，最多得</w:t>
            </w:r>
            <w:r>
              <w:rPr>
                <w:rFonts w:hint="eastAsia" w:ascii="仿宋" w:hAnsi="仿宋" w:eastAsia="仿宋" w:cs="宋体"/>
                <w:color w:val="000000"/>
                <w:sz w:val="24"/>
                <w:szCs w:val="24"/>
                <w:lang w:val="en-US" w:eastAsia="zh-CN"/>
              </w:rPr>
              <w:t xml:space="preserve">1</w:t>
            </w:r>
            <w:r>
              <w:rPr>
                <w:rFonts w:hint="eastAsia" w:ascii="仿宋" w:hAnsi="仿宋" w:eastAsia="仿宋" w:cs="宋体"/>
                <w:color w:val="000000"/>
                <w:sz w:val="24"/>
                <w:szCs w:val="24"/>
              </w:rPr>
              <w:t xml:space="preserve">分。需提供声场分析软件截图，否则此项不得分。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1</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rPr>
              <w:t xml:space="preserve">客</w:t>
            </w:r>
            <w:r>
              <w:rPr>
                <w:rFonts w:hint="eastAsia" w:ascii="仿宋" w:hAnsi="仿宋" w:eastAsia="仿宋" w:cs="宋体"/>
                <w:color w:val="000000"/>
                <w:sz w:val="24"/>
                <w:szCs w:val="24"/>
              </w:rPr>
              <w:t xml:space="preserve">观分</w:t>
            </w:r>
            <w:r>
              <w:rPr>
                <w:rFonts w:ascii="仿宋" w:hAnsi="仿宋" w:eastAsia="仿宋" w:cs="宋体"/>
                <w:color w:val="000000"/>
                <w:sz w:val="24"/>
                <w:szCs w:val="24"/>
                <w:lang w:val="en-US" w:eastAsia="zh-CN" w:bidi="ar-SA"/>
              </w:rPr>
            </w:r>
            <w:r/>
          </w:p>
        </w:tc>
      </w:tr>
    </w:tbl>
    <w:p>
      <w:pPr>
        <w:pStyle w:val="911"/>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911"/>
        <w:numPr>
          <w:ilvl w:val="0"/>
          <w:numId w:val="15"/>
        </w:numPr>
        <w:ind w:firstLine="562"/>
        <w:jc w:val="left"/>
        <w:spacing w:before="120" w:after="120" w:line="480" w:lineRule="exact"/>
        <w:tabs>
          <w:tab w:val="left" w:pos="312" w:leader="none"/>
        </w:tabs>
        <w:rPr>
          <w:rFonts w:hint="eastAsia" w:ascii="仿宋" w:hAnsi="仿宋" w:eastAsia="仿宋"/>
          <w:sz w:val="28"/>
          <w:szCs w:val="28"/>
          <w:highlight w:val="none"/>
        </w:rPr>
      </w:pP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1320"/>
        <w:gridCol w:w="4985"/>
        <w:gridCol w:w="708"/>
        <w:gridCol w:w="709"/>
        <w:gridCol w:w="838"/>
      </w:tblGrid>
      <w:tr>
        <w:trPr>
          <w:trHeight w:val="567"/>
        </w:trPr>
        <w:tc>
          <w:tcPr>
            <w:tcW w:w="920"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序号</w:t>
            </w:r>
            <w:r>
              <w:rPr>
                <w:rFonts w:ascii="仿宋" w:hAnsi="仿宋" w:eastAsia="仿宋" w:cs="宋体"/>
                <w:b/>
                <w:bCs/>
                <w:color w:val="000000"/>
                <w:sz w:val="24"/>
                <w:szCs w:val="24"/>
              </w:rPr>
            </w:r>
            <w:r/>
          </w:p>
        </w:tc>
        <w:tc>
          <w:tcPr>
            <w:tcW w:w="1320"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评分点名称</w:t>
            </w:r>
            <w:r>
              <w:rPr>
                <w:rFonts w:ascii="仿宋" w:hAnsi="仿宋" w:eastAsia="仿宋" w:cs="宋体"/>
                <w:b/>
                <w:bCs/>
                <w:color w:val="000000"/>
                <w:sz w:val="24"/>
                <w:szCs w:val="24"/>
              </w:rPr>
            </w:r>
            <w:r/>
          </w:p>
        </w:tc>
        <w:tc>
          <w:tcPr>
            <w:tcW w:w="4985"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评审标准</w:t>
            </w:r>
            <w:r>
              <w:rPr>
                <w:rFonts w:ascii="仿宋" w:hAnsi="仿宋" w:eastAsia="仿宋" w:cs="宋体"/>
                <w:b/>
                <w:bCs/>
                <w:color w:val="000000"/>
                <w:sz w:val="24"/>
                <w:szCs w:val="24"/>
              </w:rPr>
            </w:r>
            <w:r/>
          </w:p>
        </w:tc>
        <w:tc>
          <w:tcPr>
            <w:tcW w:w="708"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最高分</w:t>
            </w:r>
            <w:r>
              <w:rPr>
                <w:rFonts w:ascii="仿宋" w:hAnsi="仿宋" w:eastAsia="仿宋" w:cs="宋体"/>
                <w:b/>
                <w:bCs/>
                <w:color w:val="000000"/>
                <w:sz w:val="24"/>
                <w:szCs w:val="24"/>
              </w:rPr>
            </w:r>
            <w:r/>
          </w:p>
        </w:tc>
        <w:tc>
          <w:tcPr>
            <w:tcW w:w="709"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最低分</w:t>
            </w:r>
            <w:r>
              <w:rPr>
                <w:rFonts w:ascii="仿宋" w:hAnsi="仿宋" w:eastAsia="仿宋" w:cs="宋体"/>
                <w:b/>
                <w:bCs/>
                <w:color w:val="000000"/>
                <w:sz w:val="24"/>
                <w:szCs w:val="24"/>
              </w:rPr>
            </w:r>
            <w:r/>
          </w:p>
        </w:tc>
        <w:tc>
          <w:tcPr>
            <w:tcW w:w="838"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主/客观分</w:t>
            </w:r>
            <w:r>
              <w:rPr>
                <w:rFonts w:ascii="仿宋" w:hAnsi="仿宋" w:eastAsia="仿宋" w:cs="宋体"/>
                <w:b/>
                <w:bCs/>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企业综合实力</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1）投标人具有有效期内的ISO27001信息安全管理体系认证证书，能提供证书复印件并加盖投标人公章的，得1分。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2）投标人具有有效期内的ISO20000信息技术服务管理体系认证证书，能提供证书复印件并加盖投标人公章的，得1分。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3）投标人具有有效期内的ISO</w:t>
            </w:r>
            <w:r>
              <w:rPr>
                <w:rFonts w:hint="eastAsia" w:ascii="仿宋" w:hAnsi="仿宋" w:eastAsia="仿宋" w:cs="宋体"/>
                <w:color w:val="000000"/>
                <w:sz w:val="24"/>
                <w:szCs w:val="24"/>
                <w:lang w:val="en-US" w:eastAsia="zh-CN"/>
              </w:rPr>
              <w:t xml:space="preserve">9001质量管理体系认证证书，</w:t>
            </w:r>
            <w:r>
              <w:rPr>
                <w:rFonts w:hint="eastAsia" w:ascii="仿宋" w:hAnsi="仿宋" w:eastAsia="仿宋" w:cs="宋体"/>
                <w:color w:val="000000"/>
                <w:sz w:val="24"/>
                <w:szCs w:val="24"/>
              </w:rPr>
              <w:t xml:space="preserve">提供证书复印件并加盖投标人公章的，得1分。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rPr>
                <w:rFonts w:ascii="仿宋" w:hAnsi="仿宋" w:eastAsia="仿宋" w:cs="宋体"/>
                <w:color w:val="000000"/>
                <w:sz w:val="24"/>
                <w:szCs w:val="24"/>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服务能力1</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投标人拟投入本项目的项目负责人具有机电专业</w:t>
            </w:r>
            <w:r>
              <w:rPr>
                <w:rFonts w:hint="eastAsia" w:ascii="仿宋" w:hAnsi="仿宋" w:eastAsia="仿宋" w:cs="宋体"/>
                <w:color w:val="000000"/>
                <w:sz w:val="24"/>
                <w:szCs w:val="24"/>
                <w:lang w:val="en-US" w:eastAsia="zh-CN"/>
              </w:rPr>
              <w:t xml:space="preserve">二</w:t>
            </w:r>
            <w:r>
              <w:rPr>
                <w:rFonts w:hint="eastAsia" w:ascii="仿宋" w:hAnsi="仿宋" w:eastAsia="仿宋" w:cs="宋体"/>
                <w:color w:val="000000"/>
                <w:sz w:val="24"/>
                <w:szCs w:val="24"/>
              </w:rPr>
              <w:t xml:space="preserve">级</w:t>
            </w:r>
            <w:r>
              <w:rPr>
                <w:rFonts w:hint="eastAsia" w:ascii="仿宋" w:hAnsi="仿宋" w:eastAsia="仿宋" w:cs="宋体"/>
                <w:color w:val="000000"/>
                <w:sz w:val="24"/>
                <w:szCs w:val="24"/>
                <w:lang w:val="en-US" w:eastAsia="zh-CN"/>
              </w:rPr>
              <w:t xml:space="preserve">及以上</w:t>
            </w:r>
            <w:r>
              <w:rPr>
                <w:rFonts w:hint="eastAsia" w:ascii="仿宋" w:hAnsi="仿宋" w:eastAsia="仿宋" w:cs="宋体"/>
                <w:color w:val="000000"/>
                <w:sz w:val="24"/>
                <w:szCs w:val="24"/>
              </w:rPr>
              <w:t xml:space="preserve">建造师证书、</w:t>
            </w:r>
            <w:r>
              <w:rPr>
                <w:rFonts w:hint="eastAsia" w:ascii="仿宋" w:hAnsi="仿宋" w:eastAsia="仿宋" w:cs="宋体"/>
                <w:color w:val="000000"/>
                <w:sz w:val="24"/>
                <w:szCs w:val="24"/>
                <w:lang w:val="en-US" w:eastAsia="zh-CN"/>
              </w:rPr>
              <w:t xml:space="preserve">中级及以上</w:t>
            </w:r>
            <w:r>
              <w:rPr>
                <w:rFonts w:hint="eastAsia" w:ascii="仿宋" w:hAnsi="仿宋" w:eastAsia="仿宋" w:cs="宋体"/>
                <w:color w:val="000000"/>
                <w:sz w:val="24"/>
                <w:szCs w:val="24"/>
              </w:rPr>
              <w:t xml:space="preserve">工程师证书，每提供1项得1分，本项最高得</w:t>
            </w: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证明材料：</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1.提供拟派人员名单以及效期内的以上相关证明材料电子扫描件并加盖投标人公章；</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2.拟派人员为投标供应商正式员工，提供社保机构出具的由投标人为拟派人员缴纳的近六个月（2026年1月-2026年6月）中任意一个月的社保缴费证明材料并加盖投标人公章。</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服务能力2</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拟投入本项目服务团队专业技术服务人员具有ITSS服务工程师证书、IT运维工程师证书、系统集成项目管理工程师证书、高处作业证、电工作业证、设备安装施工员证书、安全员证书，每提供1类得1分，本项最多得</w:t>
            </w: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证明材料：</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1.提供拟派人员名单以及效期内的以上相关证明材料电子扫描件并加盖投标人公章；</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2.拟派人员为投标供应商正式员工，提供社保机构出具的由投标人为拟派人员缴纳的近六个月（2026年1月-2026年6月）中任意一个月的社保缴费证明材料并加盖投标人公章。</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类似业绩</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投标人承担过类似项目（包含但不限于大屏显示系统、扩声系统等），每提供一个2022年12月以来的类似业绩得</w:t>
            </w: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rPr>
              <w:t xml:space="preserve">分，该项最多得</w:t>
            </w: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（相关业绩要求提供合同复印件及结算发票（部分）并加盖投标人公章。业绩时间以施工合同中签订时间为准。以上材料缺一不可。）</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节能环保</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投标产品属于财政部、生态环境部公布的“环境标志产品品目清单”范围内的，投标人提供国家确定的认证机构出具的、处于有效期内的该环保产品认证证书复印件的，有1个得0.5分，最多得1分。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bl>
    <w:p>
      <w:pPr>
        <w:pStyle w:val="911"/>
        <w:ind w:firstLine="1806"/>
        <w:jc w:val="left"/>
        <w:spacing w:before="120" w:after="120" w:line="480" w:lineRule="exact"/>
        <w:rPr>
          <w:rFonts w:hint="eastAsia" w:ascii="仿宋" w:hAnsi="仿宋" w:eastAsia="仿宋"/>
          <w:sz w:val="28"/>
          <w:szCs w:val="28"/>
          <w:highlight w:val="green"/>
        </w:rPr>
      </w:pPr>
      <w:r>
        <w:rPr>
          <w:rFonts w:hint="eastAsia" w:ascii="仿宋" w:hAnsi="仿宋" w:eastAsia="仿宋"/>
          <w:sz w:val="28"/>
          <w:szCs w:val="28"/>
          <w:highlight w:val="green"/>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5"/>
      <w:r/>
      <w:bookmarkEnd w:id="186"/>
      <w:r/>
      <w:bookmarkEnd w:id="187"/>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11"/>
        <w:jc w:val="center"/>
        <w:rPr>
          <w:rFonts w:hint="eastAsia" w:ascii="宋体" w:hAnsi="宋体"/>
          <w:b/>
          <w:color w:val="000000"/>
          <w:sz w:val="72"/>
          <w:szCs w:val="21"/>
        </w:rPr>
      </w:pPr>
      <w:r/>
      <w:bookmarkStart w:id="188" w:name="_Hlt26671244"/>
      <w:r/>
      <w:bookmarkEnd w:id="188"/>
      <w:r/>
      <w:bookmarkStart w:id="189" w:name="_Hlt26955039"/>
      <w:r/>
      <w:bookmarkEnd w:id="189"/>
      <w:r/>
      <w:bookmarkStart w:id="190" w:name="_Toc120614282"/>
      <w:r/>
      <w:bookmarkStart w:id="191" w:name="_Toc26554094"/>
      <w:r/>
      <w:bookmarkStart w:id="192" w:name="_Toc49090576"/>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1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1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1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spacing w:line="440" w:lineRule="exact"/>
        <w:rPr>
          <w:rFonts w:ascii="宋体" w:hAnsi="宋体"/>
          <w:color w:val="000000"/>
          <w:szCs w:val="21"/>
        </w:rPr>
      </w:pPr>
      <w:r>
        <w:rPr>
          <w:rFonts w:ascii="宋体" w:hAnsi="宋体"/>
          <w:color w:val="000000"/>
          <w:szCs w:val="21"/>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1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1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highlight w:val="yellow"/>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条投标人必须在投标文件中提供相关材料，否则作无效投标处理；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91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1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91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1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3.关于符合本国产品标准的声明函（格式见附件11）</w:t>
      </w:r>
      <w:r>
        <w:rPr>
          <w:rFonts w:hint="eastAsia" w:ascii="仿宋" w:hAnsi="仿宋" w:eastAsia="仿宋" w:cs="Times New Roman"/>
          <w:color w:val="000000"/>
          <w:sz w:val="28"/>
          <w:szCs w:val="28"/>
          <w:highlight w:val="none"/>
          <w:lang w:val="en-US" w:eastAsia="zh-CN" w:bidi="ar-SA"/>
        </w:rPr>
      </w:r>
      <w:r/>
    </w:p>
    <w:p>
      <w:pPr>
        <w:pStyle w:val="91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91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1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91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91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91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911"/>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投标分项报价表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1"/>
        <w:gridCol w:w="1441"/>
        <w:gridCol w:w="586"/>
        <w:gridCol w:w="608"/>
        <w:gridCol w:w="609"/>
        <w:gridCol w:w="604"/>
        <w:gridCol w:w="595"/>
        <w:gridCol w:w="745"/>
        <w:gridCol w:w="724"/>
        <w:gridCol w:w="726"/>
        <w:gridCol w:w="58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分项单价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分项总价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一、</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扬声器设备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左、中、右声道主扩声线阵列扬声器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拉声像点声源扬声器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舞台超低频扬声器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流动返听全频扬声器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固定返听全频扬声器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台唇全频扬声器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辅助全频扬声器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左、中、右声道主扩声扬声器功率放大器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拉声像点声源扬声器功率放大器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舞台超低频扬声器功率放大器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返听全频扬声器功率放大器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台唇扬声器功率放大器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辅助扬声器功率放大器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音频处理设备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时序电源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反馈抑制器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全数字会议系统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会议系统控制器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无线会议发言主席单元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无线会议发言代表单元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无线会议单元专用充电箱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无线会议基站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拾音系统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主席台演讲话筒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无线手持话筒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无线领夹话筒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无线头戴话筒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分路器主机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有源定向天线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天线放大器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周边设备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控制设备机柜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舞台返显电视移动架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头戴监听耳机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监听音箱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音频隔离器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智能用电监测管理云平台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智能总回路模块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智能分回路模块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智能防浪涌模块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智能通讯模块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智能模块箱体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5）</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线材辅材及接插件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线阵田字架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手动葫芦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二、</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多媒体显示系统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多媒体显示系统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多媒体显示系统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55.7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接收卡1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视频处理器1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定制结构1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多媒体辅助显示系统（2套）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多媒体辅助显示系统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接收卡2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视频处理器2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定制结构2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13.312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会标显示系统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会标显示系统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6.93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网络控制卡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定制结构3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公共大屏安全系统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视频防护系统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5）</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管理电脑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智能配电柜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三、</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视频资源采集系统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移动视频采集主机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主机导播系统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主机互动系统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主机视频处理系统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无线机械云台摄像机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云台摄像机图像处理系统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无线麦克风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麦克风音频处理系统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移动设备箱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三脚架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四、</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集中控制系统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中控控制器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集中控制软件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中控扩展器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16路混合矩阵(触摸屏)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4K60 HDMI无缝切换输入板卡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4K60 70米HDBT有缝输入板卡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4K60 HDMI跨分辨率无缝切换输出板卡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4K60 70米HDBT跨分辨率无缝输出板卡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HDBT 4K60 HDMI+Audio墙插发射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HDBT 70米HDMI 墙插网传接收器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五、</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舞台机械系统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舞台机械控制系统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电动会标幕吊杆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对开大幕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电动灯光吊杆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横侧幕吊杆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对开底幕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固定耳光架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钢丝绳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马道式钢结构设备转换层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会标幕幕布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会标幕幕布衬里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横条幕幕布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横条幕幕布衬里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侧条幕幕布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侧条幕幕布衬里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底幕幕布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底幕幕布衬里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六、</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舞台灯光系统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面光LED聚光灯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左右耳光LED成像灯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一顶光LED三基色灯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一顶光LED四合一帕灯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二顶光LED三基色灯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二顶光LED四合一帕灯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三顶光LED四合一帕灯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三顶光摇头光束灯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四顶光摇头光束灯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四顶光LED四合一帕灯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触摸灯控台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电源直通箱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信号放大器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双雾机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双雾油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灯钩保险绳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专业机柜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七、</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桌椅配套设备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礼堂椅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主席椅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演讲台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操作台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操作椅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投标总报价（人民币：元）</w:t>
            </w:r>
            <w:r/>
          </w:p>
          <w:p>
            <w:pPr>
              <w:spacing w:before="0" w:after="0" w:line="57" w:lineRule="atLeast"/>
            </w:pPr>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8"/>
              </w:rPr>
              <w:t xml:space="preserve">本采购包中提供的符合本国产品标准的产品成本之和占该采购包提供的全部产品成本之和的比例为</w:t>
            </w:r>
            <w:r>
              <w:rPr>
                <w:rFonts w:ascii="FangSong" w:hAnsi="FangSong" w:eastAsia="FangSong" w:cs="FangSong"/>
                <w:color w:val="0000ff"/>
                <w:sz w:val="28"/>
                <w:u w:val="single"/>
              </w:rPr>
              <w:t xml:space="preserve">***</w:t>
            </w:r>
            <w:r>
              <w:rPr>
                <w:rFonts w:ascii="FangSong" w:hAnsi="FangSong" w:eastAsia="FangSong" w:cs="FangSong"/>
                <w:color w:val="0000ff"/>
                <w:sz w:val="2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1.以上交付期均为自合同签订之日起60个日历天内。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3.“投标分项报价表”中“投标总报价”数额应当与“开标一览表”中“投标总报价”数额一致。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8"/>
        </w:rPr>
        <w:t xml:space="preserve">4.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5.投标人需认真填写本报价表，尤其注意规格型号的准确填写。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6.项目经办人可以根据项目实际需要对表格结构进行调整。</w:t>
      </w:r>
      <w:r/>
    </w:p>
    <w:p>
      <w:pPr>
        <w:pStyle w:val="91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ind w:left="482"/>
        <w:keepLines w:val="0"/>
        <w:keepNext w:val="0"/>
        <w:pageBreakBefore/>
        <w:spacing w:line="480" w:lineRule="exact"/>
        <w:widowControl w:val="off"/>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91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91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1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1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11"/>
        <w:ind w:firstLine="482"/>
        <w:spacing w:line="500" w:lineRule="exact"/>
        <w:rPr>
          <w:rFonts w:hint="eastAsia" w:ascii="宋体" w:hAnsi="宋体"/>
          <w:color w:val="000000"/>
          <w:sz w:val="24"/>
        </w:rPr>
      </w:pPr>
      <w:r>
        <w:rPr>
          <w:rFonts w:hint="eastAsia" w:ascii="宋体" w:hAnsi="宋体"/>
          <w:color w:val="000000"/>
          <w:sz w:val="24"/>
        </w:rPr>
      </w:r>
      <w:r/>
    </w:p>
    <w:p>
      <w:pPr>
        <w:pStyle w:val="911"/>
        <w:spacing w:line="500" w:lineRule="exact"/>
        <w:rPr>
          <w:rFonts w:hint="eastAsia" w:ascii="宋体" w:hAnsi="宋体"/>
          <w:color w:val="000000"/>
          <w:sz w:val="24"/>
        </w:rPr>
      </w:pPr>
      <w:r>
        <w:rPr>
          <w:rFonts w:hint="eastAsia" w:ascii="宋体" w:hAnsi="宋体"/>
          <w:color w:val="000000"/>
          <w:sz w:val="24"/>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1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1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1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ind w:firstLine="482"/>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1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91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11"/>
        <w:keepLines/>
        <w:keepNext/>
        <w:pageBreakBefore/>
        <w:spacing w:before="260" w:after="260" w:line="480" w:lineRule="exact"/>
        <w:widowControl w:val="off"/>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91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91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1"/>
        <w:jc w:val="left"/>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1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w:t>
      </w:r>
      <w:r>
        <w:rPr>
          <w:rFonts w:hint="eastAsia" w:ascii="宋体" w:hAnsi="宋体"/>
          <w:sz w:val="24"/>
          <w:szCs w:val="24"/>
        </w:rPr>
        <w:t xml:space="preserve">〔</w:t>
      </w:r>
      <w:r>
        <w:rPr>
          <w:rFonts w:hint="eastAsia" w:ascii="仿宋" w:hAnsi="仿宋" w:eastAsia="仿宋"/>
          <w:color w:val="000000"/>
          <w:sz w:val="28"/>
          <w:szCs w:val="28"/>
        </w:rPr>
        <w:t xml:space="preserve">2020</w:t>
      </w:r>
      <w:r>
        <w:rPr>
          <w:rFonts w:hint="eastAsia" w:ascii="宋体" w:hAnsi="宋体"/>
          <w:sz w:val="24"/>
          <w:szCs w:val="24"/>
        </w:rPr>
        <w:t xml:space="preserve">〕</w:t>
      </w:r>
      <w:r>
        <w:rPr>
          <w:rFonts w:hint="eastAsia" w:ascii="仿宋" w:hAnsi="仿宋" w:eastAsia="仿宋"/>
          <w:color w:val="000000"/>
          <w:sz w:val="28"/>
          <w:szCs w:val="28"/>
        </w:rPr>
        <w:t xml:space="preserve">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w:t>
      </w:r>
      <w:r>
        <w:rPr>
          <w:rFonts w:hint="eastAsia" w:ascii="仿宋" w:hAnsi="仿宋" w:eastAsia="仿宋"/>
          <w:color w:val="000000"/>
          <w:sz w:val="28"/>
          <w:szCs w:val="28"/>
          <w:u w:val="single"/>
        </w:rPr>
        <w:t xml:space="preserve">JSZC</w:t>
      </w:r>
      <w:r>
        <w:rPr>
          <w:rFonts w:ascii="仿宋" w:hAnsi="仿宋" w:eastAsia="仿宋"/>
          <w:color w:val="000000"/>
          <w:sz w:val="28"/>
          <w:szCs w:val="28"/>
          <w:u w:val="single"/>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sz w:val="24"/>
          <w:szCs w:val="24"/>
        </w:rPr>
        <w:t xml:space="preserve">〔</w:t>
      </w:r>
      <w:r>
        <w:rPr>
          <w:rFonts w:hint="eastAsia" w:ascii="仿宋" w:hAnsi="仿宋" w:eastAsia="仿宋"/>
          <w:color w:val="000000"/>
          <w:sz w:val="28"/>
          <w:szCs w:val="28"/>
        </w:rPr>
        <w:t xml:space="preserve">2011</w:t>
      </w:r>
      <w:r>
        <w:rPr>
          <w:rFonts w:hint="eastAsia" w:ascii="宋体" w:hAnsi="宋体"/>
          <w:sz w:val="24"/>
          <w:szCs w:val="24"/>
        </w:rPr>
        <w:t xml:space="preserve">〕</w:t>
      </w:r>
      <w:r>
        <w:rPr>
          <w:rFonts w:hint="eastAsia" w:ascii="仿宋" w:hAnsi="仿宋" w:eastAsia="仿宋"/>
          <w:color w:val="000000"/>
          <w:sz w:val="28"/>
          <w:szCs w:val="28"/>
        </w:rPr>
        <w:t xml:space="preserve">300号)的规定，相关企业（含联合体中的中小微企业、签订分包意向协议的中小微企业）的具体情况如下：</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1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91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91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91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911"/>
        <w:ind w:firstLine="562"/>
        <w:spacing w:line="480" w:lineRule="exact"/>
        <w:rPr>
          <w:rFonts w:hint="eastAsia" w:ascii="仿宋" w:hAnsi="仿宋" w:eastAsia="仿宋" w:cs="Times New Roman"/>
          <w:b/>
          <w:color w:val="000000"/>
          <w:sz w:val="28"/>
          <w:szCs w:val="28"/>
          <w:highlight w:val="none"/>
        </w:rPr>
      </w:pPr>
      <w:r>
        <w:rPr>
          <w:rFonts w:hint="eastAsia" w:ascii="仿宋" w:hAnsi="仿宋" w:eastAsia="仿宋" w:cs="Times New Roman"/>
          <w:b/>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color w:val="000000"/>
          <w:sz w:val="28"/>
          <w:szCs w:val="28"/>
          <w:highlight w:val="non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附：中小企业划型标准规定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（十四）物业管理。从业人员1000人以下或营业收入5000万元以下的为中小微型企业。其中，从业人员</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cyan"/>
          <w:u w:val="single"/>
        </w:rPr>
      </w:pPr>
      <w:r>
        <w:rPr>
          <w:rFonts w:hint="eastAsia" w:ascii="仿宋" w:hAnsi="仿宋" w:eastAsia="仿宋" w:cs="Times New Roman"/>
          <w:b/>
          <w:bCs/>
          <w:i/>
          <w:iCs/>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cyan"/>
          <w:u w:val="single"/>
        </w:rPr>
      </w:r>
      <w:r/>
    </w:p>
    <w:p>
      <w:pPr>
        <w:pStyle w:val="91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11"/>
        <w:keepLines w:val="0"/>
        <w:keepNext w:val="0"/>
        <w:pageBreakBefore/>
        <w:spacing w:line="480" w:lineRule="exact"/>
        <w:widowControl w:val="off"/>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91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1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91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1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91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both"/>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000000" w:sz="0" w:space="0"/>
          <w:left w:val="none" w:color="000000" w:sz="0" w:space="0"/>
          <w:bottom w:val="none" w:color="000000" w:sz="0" w:space="0"/>
          <w:right w:val="none" w:color="000000" w:sz="0" w:space="0"/>
        </w:pBdr>
        <w:suppressLineNumbers w:val="0"/>
      </w:pPr>
      <w:r>
        <w:rPr>
          <w:rStyle w:val="983"/>
          <w:rFonts w:hint="eastAsia" w:ascii="宋体" w:hAnsi="宋体" w:eastAsia="宋体" w:cs="宋体"/>
          <w:i w:val="0"/>
          <w:iCs w:val="0"/>
          <w:caps w:val="0"/>
          <w:color w:val="333333"/>
          <w:spacing w:val="0"/>
          <w:sz w:val="30"/>
          <w:szCs w:val="30"/>
          <w:shd w:val="clear" w:color="auto" w:fill="ffffff"/>
        </w:rPr>
        <w:t xml:space="preserve">附件1</w:t>
      </w:r>
      <w:r>
        <w:rPr>
          <w:rStyle w:val="983"/>
          <w:rFonts w:hint="eastAsia" w:ascii="宋体" w:hAnsi="宋体" w:eastAsia="宋体" w:cs="宋体"/>
          <w:i w:val="0"/>
          <w:iCs w:val="0"/>
          <w:caps w:val="0"/>
          <w:color w:val="333333"/>
          <w:spacing w:val="0"/>
          <w:sz w:val="30"/>
          <w:szCs w:val="30"/>
          <w:shd w:val="clear" w:color="auto" w:fill="ffffff"/>
          <w:lang w:val="en-US" w:eastAsia="zh-CN"/>
        </w:rPr>
        <w:t xml:space="preserve">1</w:t>
      </w:r>
      <w:r>
        <w:rPr>
          <w:rStyle w:val="983"/>
          <w:rFonts w:hint="eastAsia" w:ascii="宋体" w:hAnsi="宋体" w:eastAsia="宋体" w:cs="宋体"/>
          <w:i w:val="0"/>
          <w:iCs w:val="0"/>
          <w:caps w:val="0"/>
          <w:color w:val="333333"/>
          <w:spacing w:val="0"/>
          <w:sz w:val="30"/>
          <w:szCs w:val="30"/>
          <w:shd w:val="clear" w:color="auto" w:fill="ffffff"/>
        </w:rPr>
        <w:t xml:space="preserve"> </w:t>
      </w:r>
      <w:r>
        <w:rPr>
          <w:rFonts w:hint="eastAsia" w:ascii="仿宋" w:hAnsi="仿宋" w:eastAsia="仿宋" w:cs="仿宋"/>
          <w:b/>
          <w:color w:val="ff0000"/>
          <w:sz w:val="28"/>
          <w:szCs w:val="28"/>
          <w:highlight w:val="none"/>
        </w:rPr>
        <w:t xml:space="preserve"> </w:t>
      </w:r>
      <w:r>
        <w:rPr>
          <w:rStyle w:val="983"/>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974"/>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p>
    <w:p>
      <w:pPr>
        <w:pStyle w:val="974"/>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8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7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4"/>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4"/>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rPr>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11"/>
      </w:pPr>
      <w:r/>
      <w:r/>
    </w:p>
    <w:p>
      <w:pPr>
        <w:pStyle w:val="974"/>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pStyle w:val="91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1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11"/>
        <w:ind w:firstLine="645"/>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jc w:val="center"/>
        <w:keepLines w:val="0"/>
        <w:keepNext w:val="0"/>
        <w:pageBreakBefore/>
        <w:spacing w:line="480" w:lineRule="exact"/>
        <w:widowControl w:val="off"/>
        <w:rPr>
          <w:rFonts w:ascii="仿宋" w:hAnsi="仿宋" w:eastAsia="仿宋" w:cs="仿宋"/>
          <w:b/>
          <w:bCs/>
          <w:color w:val="000000"/>
          <w:sz w:val="28"/>
          <w:szCs w:val="28"/>
        </w:rPr>
      </w:pPr>
      <w:r/>
      <w:bookmarkEnd w:id="179"/>
      <w:r/>
      <w:bookmarkEnd w:id="180"/>
      <w:r/>
      <w:bookmarkEnd w:id="190"/>
      <w:r/>
      <w:bookmarkEnd w:id="191"/>
      <w:r/>
      <w:bookmarkEnd w:id="192"/>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91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91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91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11"/>
        <w:ind w:firstLine="420"/>
        <w:rPr>
          <w:rFonts w:ascii="Times New Roman" w:hAnsi="Times New Roman"/>
          <w:color w:val="000000"/>
          <w:sz w:val="24"/>
          <w:szCs w:val="24"/>
        </w:rPr>
      </w:pPr>
      <w:r>
        <w:rPr>
          <w:rFonts w:ascii="Times New Roman" w:hAnsi="Times New Roman"/>
          <w:color w:val="000000"/>
          <w:sz w:val="24"/>
          <w:szCs w:val="24"/>
        </w:rPr>
      </w:r>
      <w:r/>
    </w:p>
    <w:p>
      <w:pPr>
        <w:pStyle w:val="911"/>
        <w:rPr>
          <w:color w:val="000000"/>
        </w:rPr>
      </w:pPr>
      <w:r>
        <w:rPr>
          <w:color w:val="000000"/>
        </w:rPr>
      </w:r>
      <w:r/>
    </w:p>
    <w:p>
      <w:pPr>
        <w:pStyle w:val="1028"/>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911"/>
        <w:jc w:val="center"/>
        <w:keepLines w:val="0"/>
        <w:keepNext w:val="0"/>
        <w:pageBreakBefore/>
        <w:widowControl w:val="off"/>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1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1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b/>
          <w:bCs/>
          <w:sz w:val="30"/>
          <w:szCs w:val="30"/>
          <w:u w:val="single"/>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Times New Roman" w:hAnsi="Times New Roman" w:eastAsia="方正仿宋_GBK" w:cs="Times New Roman"/>
          <w:sz w:val="30"/>
          <w:szCs w:val="30"/>
          <w:lang w:val="en-US" w:eastAsia="zh-CN"/>
        </w:rPr>
        <w:t xml:space="preserve">，</w:t>
      </w:r>
      <w:r>
        <w:rPr>
          <w:rFonts w:hint="eastAsia" w:ascii="Times New Roman" w:hAnsi="Times New Roman" w:eastAsia="方正仿宋_GBK" w:cs="Times New Roman"/>
          <w:b/>
          <w:bCs/>
          <w:sz w:val="30"/>
          <w:szCs w:val="30"/>
          <w:u w:val="single"/>
          <w:lang w:val="en-US" w:eastAsia="zh-CN"/>
        </w:rPr>
        <w:t xml:space="preserve">投标文件中不得出现涉密、敏感信息。</w:t>
      </w:r>
      <w:r>
        <w:rPr>
          <w:rFonts w:ascii="Times New Roman" w:hAnsi="Times New Roman" w:eastAsia="方正仿宋_GBK" w:cs="Times New Roman"/>
          <w:b/>
          <w:bCs/>
          <w:sz w:val="30"/>
          <w:szCs w:val="30"/>
          <w:u w:val="single"/>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（3）投标(响应)报价低于采购项目预算50%的，即投标(响应)报价&lt;采购项目预算×50%;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1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sectPr>
      <w:headerReference w:type="default" r:id="rId10"/>
      <w:footerReference w:type="default" r:id="rId12"/>
      <w:footerReference w:type="even" r:id="rId13"/>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汉仪书宋二S">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１７</w:t>
    </w:r>
    <w:r>
      <w:rPr>
        <w:rFonts w:ascii="宋体" w:hAnsi="宋体"/>
      </w:rPr>
      <w:fldChar w:fldCharType="end"/>
    </w:r>
    <w:r>
      <w:rPr>
        <w:rStyle w:val="984"/>
        <w:rFonts w:ascii="宋体" w:hAnsi="宋体"/>
      </w:rPr>
    </w:r>
    <w:r/>
  </w:p>
  <w:p>
    <w:pPr>
      <w:pStyle w:val="95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93"/>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911"/>
      </w:pPr>
      <w:rPr>
        <w:rFonts w:hint="eastAsia"/>
      </w:rPr>
    </w:lvl>
    <w:lvl w:ilvl="1">
      <w:start w:val="1"/>
      <w:numFmt w:val="bullet"/>
      <w:isLgl w:val="false"/>
      <w:suff w:val="tab"/>
      <w:lvlText w:val="o"/>
      <w:lvlJc w:val="left"/>
      <w:pPr>
        <w:pStyle w:val="911"/>
        <w:ind w:left="1440" w:hanging="360"/>
      </w:pPr>
      <w:rPr>
        <w:rFonts w:ascii="Courier New" w:hAnsi="Courier New" w:eastAsia="Courier New" w:cs="Courier New"/>
      </w:rPr>
    </w:lvl>
    <w:lvl w:ilvl="2">
      <w:start w:val="1"/>
      <w:numFmt w:val="bullet"/>
      <w:isLgl w:val="false"/>
      <w:suff w:val="tab"/>
      <w:lvlText w:val="§"/>
      <w:lvlJc w:val="left"/>
      <w:pPr>
        <w:pStyle w:val="911"/>
        <w:ind w:left="2160" w:hanging="360"/>
      </w:pPr>
      <w:rPr>
        <w:rFonts w:ascii="Wingdings" w:hAnsi="Wingdings" w:eastAsia="Wingdings" w:cs="Wingdings"/>
      </w:rPr>
    </w:lvl>
    <w:lvl w:ilvl="3">
      <w:start w:val="1"/>
      <w:numFmt w:val="bullet"/>
      <w:isLgl w:val="false"/>
      <w:suff w:val="tab"/>
      <w:lvlText w:val="·"/>
      <w:lvlJc w:val="left"/>
      <w:pPr>
        <w:pStyle w:val="911"/>
        <w:ind w:left="2880" w:hanging="360"/>
      </w:pPr>
      <w:rPr>
        <w:rFonts w:ascii="Symbol" w:hAnsi="Symbol" w:eastAsia="Symbol" w:cs="Symbol"/>
      </w:rPr>
    </w:lvl>
    <w:lvl w:ilvl="4">
      <w:start w:val="1"/>
      <w:numFmt w:val="bullet"/>
      <w:isLgl w:val="false"/>
      <w:suff w:val="tab"/>
      <w:lvlText w:val="o"/>
      <w:lvlJc w:val="left"/>
      <w:pPr>
        <w:pStyle w:val="911"/>
        <w:ind w:left="3600" w:hanging="360"/>
      </w:pPr>
      <w:rPr>
        <w:rFonts w:ascii="Courier New" w:hAnsi="Courier New" w:eastAsia="Courier New" w:cs="Courier New"/>
      </w:rPr>
    </w:lvl>
    <w:lvl w:ilvl="5">
      <w:start w:val="1"/>
      <w:numFmt w:val="bullet"/>
      <w:isLgl w:val="false"/>
      <w:suff w:val="tab"/>
      <w:lvlText w:val="§"/>
      <w:lvlJc w:val="left"/>
      <w:pPr>
        <w:pStyle w:val="911"/>
        <w:ind w:left="4320" w:hanging="360"/>
      </w:pPr>
      <w:rPr>
        <w:rFonts w:ascii="Wingdings" w:hAnsi="Wingdings" w:eastAsia="Wingdings" w:cs="Wingdings"/>
      </w:rPr>
    </w:lvl>
    <w:lvl w:ilvl="6">
      <w:start w:val="1"/>
      <w:numFmt w:val="bullet"/>
      <w:isLgl w:val="false"/>
      <w:suff w:val="tab"/>
      <w:lvlText w:val="·"/>
      <w:lvlJc w:val="left"/>
      <w:pPr>
        <w:pStyle w:val="911"/>
        <w:ind w:left="5040" w:hanging="360"/>
      </w:pPr>
      <w:rPr>
        <w:rFonts w:ascii="Symbol" w:hAnsi="Symbol" w:eastAsia="Symbol" w:cs="Symbol"/>
      </w:rPr>
    </w:lvl>
    <w:lvl w:ilvl="7">
      <w:start w:val="1"/>
      <w:numFmt w:val="bullet"/>
      <w:isLgl w:val="false"/>
      <w:suff w:val="tab"/>
      <w:lvlText w:val="o"/>
      <w:lvlJc w:val="left"/>
      <w:pPr>
        <w:pStyle w:val="911"/>
        <w:ind w:left="5760" w:hanging="360"/>
      </w:pPr>
      <w:rPr>
        <w:rFonts w:ascii="Courier New" w:hAnsi="Courier New" w:eastAsia="Courier New" w:cs="Courier New"/>
      </w:rPr>
    </w:lvl>
    <w:lvl w:ilvl="8">
      <w:start w:val="1"/>
      <w:numFmt w:val="bullet"/>
      <w:isLgl w:val="false"/>
      <w:suff w:val="tab"/>
      <w:lvlText w:val="§"/>
      <w:lvlJc w:val="left"/>
      <w:pPr>
        <w:pStyle w:val="911"/>
        <w:ind w:left="6480" w:hanging="360"/>
      </w:pPr>
      <w:rPr>
        <w:rFonts w:ascii="Wingdings" w:hAnsi="Wingdings" w:eastAsia="Wingdings" w:cs="Wingdings"/>
      </w:rPr>
    </w:lvl>
  </w:abstractNum>
  <w:abstractNum w:abstractNumId="10">
    <w:multiLevelType w:val="hybridMultilevel"/>
    <w:lvl w:ilvl="0">
      <w:start w:val="1"/>
      <w:numFmt w:val="decimal"/>
      <w:pStyle w:val="1010"/>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6"/>
  </w:num>
  <w:num w:numId="6">
    <w:abstractNumId w:val="14"/>
  </w:num>
  <w:num w:numId="7">
    <w:abstractNumId w:val="2"/>
  </w:num>
  <w:num w:numId="8">
    <w:abstractNumId w:val="7"/>
  </w:num>
  <w:num w:numId="9">
    <w:abstractNumId w:val="4"/>
  </w:num>
  <w:num w:numId="10">
    <w:abstractNumId w:val="3"/>
  </w:num>
  <w:num w:numId="11">
    <w:abstractNumId w:val="1"/>
  </w:num>
  <w:num w:numId="12">
    <w:abstractNumId w:val="5"/>
  </w:num>
  <w:num w:numId="13">
    <w:abstractNumId w:val="13"/>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2"/>
      <w:lang w:val="en-US" w:eastAsia="zh-CN" w:bidi="ar-SA"/>
    </w:rPr>
  </w:style>
  <w:style w:type="paragraph" w:styleId="912">
    <w:name w:val="标题 1"/>
    <w:basedOn w:val="911"/>
    <w:next w:val="911"/>
    <w:link w:val="923"/>
    <w:qFormat/>
    <w:pPr>
      <w:jc w:val="center"/>
      <w:keepNext/>
      <w:outlineLvl w:val="0"/>
    </w:pPr>
    <w:rPr>
      <w:rFonts w:ascii="楷体_GB2312" w:hAnsi="Times New Roman" w:eastAsia="楷体_GB2312"/>
      <w:sz w:val="28"/>
      <w:szCs w:val="28"/>
    </w:rPr>
  </w:style>
  <w:style w:type="paragraph" w:styleId="913">
    <w:name w:val="标题 2"/>
    <w:basedOn w:val="911"/>
    <w:next w:val="911"/>
    <w:link w:val="924"/>
    <w:qFormat/>
    <w:pPr>
      <w:jc w:val="center"/>
      <w:keepLines/>
      <w:keepNext/>
      <w:spacing w:before="260" w:after="260" w:line="416" w:lineRule="auto"/>
      <w:outlineLvl w:val="1"/>
    </w:pPr>
    <w:rPr>
      <w:rFonts w:ascii="Arial" w:hAnsi="Arial" w:eastAsia="幼圆"/>
      <w:b/>
      <w:bCs/>
      <w:sz w:val="44"/>
      <w:szCs w:val="44"/>
    </w:rPr>
  </w:style>
  <w:style w:type="paragraph" w:styleId="914">
    <w:name w:val="标题 3"/>
    <w:basedOn w:val="911"/>
    <w:next w:val="926"/>
    <w:link w:val="925"/>
    <w:qFormat/>
    <w:pPr>
      <w:keepLines/>
      <w:keepNext/>
      <w:spacing w:before="260" w:after="260" w:line="416" w:lineRule="auto"/>
      <w:outlineLvl w:val="2"/>
    </w:pPr>
    <w:rPr>
      <w:rFonts w:ascii="Times New Roman" w:hAnsi="Times New Roman"/>
      <w:b/>
      <w:bCs/>
      <w:sz w:val="32"/>
      <w:szCs w:val="32"/>
    </w:rPr>
  </w:style>
  <w:style w:type="paragraph" w:styleId="915">
    <w:name w:val="标题 4"/>
    <w:basedOn w:val="911"/>
    <w:next w:val="926"/>
    <w:link w:val="928"/>
    <w:qFormat/>
    <w:pPr>
      <w:keepLines/>
      <w:keepNext/>
      <w:spacing w:before="280" w:after="290" w:line="376" w:lineRule="auto"/>
      <w:outlineLvl w:val="3"/>
    </w:pPr>
    <w:rPr>
      <w:rFonts w:ascii="Arial" w:hAnsi="Arial" w:eastAsia="黑体"/>
      <w:b/>
      <w:bCs/>
      <w:sz w:val="28"/>
      <w:szCs w:val="28"/>
    </w:rPr>
  </w:style>
  <w:style w:type="paragraph" w:styleId="916">
    <w:name w:val="标题 5"/>
    <w:basedOn w:val="911"/>
    <w:next w:val="926"/>
    <w:link w:val="929"/>
    <w:qFormat/>
    <w:pPr>
      <w:keepNext/>
      <w:outlineLvl w:val="4"/>
    </w:pPr>
    <w:rPr>
      <w:rFonts w:ascii="宋体" w:hAnsi="Times New Roman"/>
      <w:color w:val="000000"/>
      <w:sz w:val="28"/>
      <w:szCs w:val="28"/>
    </w:rPr>
  </w:style>
  <w:style w:type="paragraph" w:styleId="917">
    <w:name w:val="标题 6"/>
    <w:basedOn w:val="911"/>
    <w:next w:val="911"/>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9">
    <w:name w:val="标题 8"/>
    <w:basedOn w:val="911"/>
    <w:next w:val="911"/>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3"/>
    <w:qFormat/>
    <w:pPr>
      <w:numPr>
        <w:ilvl w:val="8"/>
        <w:numId w:val="1"/>
      </w:numPr>
      <w:keepLines/>
      <w:keepNext/>
      <w:spacing w:before="240" w:after="64" w:line="320" w:lineRule="auto"/>
      <w:outlineLvl w:val="8"/>
    </w:pPr>
    <w:rPr>
      <w:rFonts w:ascii="Arial" w:hAnsi="Arial" w:eastAsia="黑体"/>
      <w:sz w:val="20"/>
      <w:szCs w:val="21"/>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character" w:styleId="923">
    <w:name w:val="标题 1 Char"/>
    <w:next w:val="923"/>
    <w:link w:val="912"/>
    <w:rPr>
      <w:rFonts w:ascii="楷体_GB2312" w:hAnsi="Times New Roman" w:eastAsia="楷体_GB2312" w:cs="Times New Roman"/>
      <w:sz w:val="28"/>
      <w:szCs w:val="28"/>
    </w:rPr>
  </w:style>
  <w:style w:type="character" w:styleId="924">
    <w:name w:val="标题 2 Char"/>
    <w:next w:val="924"/>
    <w:link w:val="913"/>
    <w:rPr>
      <w:rFonts w:ascii="Arial" w:hAnsi="Arial" w:eastAsia="幼圆" w:cs="Arial"/>
      <w:b/>
      <w:bCs/>
      <w:sz w:val="44"/>
      <w:szCs w:val="44"/>
    </w:rPr>
  </w:style>
  <w:style w:type="character" w:styleId="925">
    <w:name w:val="标题 3 Char"/>
    <w:next w:val="925"/>
    <w:link w:val="914"/>
    <w:rPr>
      <w:rFonts w:ascii="Times New Roman" w:hAnsi="Times New Roman" w:eastAsia="宋体" w:cs="Times New Roman"/>
      <w:b/>
      <w:bCs/>
      <w:sz w:val="32"/>
      <w:szCs w:val="32"/>
    </w:rPr>
  </w:style>
  <w:style w:type="paragraph" w:styleId="926">
    <w:name w:val="正文缩进"/>
    <w:basedOn w:val="911"/>
    <w:next w:val="926"/>
    <w:link w:val="927"/>
    <w:pPr>
      <w:ind w:firstLine="420"/>
    </w:pPr>
    <w:rPr>
      <w:sz w:val="20"/>
      <w:szCs w:val="21"/>
    </w:rPr>
  </w:style>
  <w:style w:type="character" w:styleId="927">
    <w:name w:val="正文缩进 Char"/>
    <w:next w:val="927"/>
    <w:link w:val="926"/>
    <w:rPr>
      <w:szCs w:val="21"/>
    </w:rPr>
  </w:style>
  <w:style w:type="character" w:styleId="928">
    <w:name w:val="标题 4 Char"/>
    <w:next w:val="928"/>
    <w:link w:val="915"/>
    <w:rPr>
      <w:rFonts w:ascii="Arial" w:hAnsi="Arial" w:eastAsia="黑体" w:cs="Arial"/>
      <w:b/>
      <w:bCs/>
      <w:sz w:val="28"/>
      <w:szCs w:val="28"/>
    </w:rPr>
  </w:style>
  <w:style w:type="character" w:styleId="929">
    <w:name w:val="标题 5 Char"/>
    <w:next w:val="929"/>
    <w:link w:val="916"/>
    <w:rPr>
      <w:rFonts w:ascii="宋体" w:hAnsi="Times New Roman" w:eastAsia="宋体" w:cs="Times New Roman"/>
      <w:color w:val="000000"/>
      <w:sz w:val="28"/>
      <w:szCs w:val="28"/>
    </w:rPr>
  </w:style>
  <w:style w:type="character" w:styleId="930">
    <w:name w:val="标题 6 Char"/>
    <w:next w:val="930"/>
    <w:link w:val="917"/>
    <w:rPr>
      <w:rFonts w:ascii="Arial" w:hAnsi="Arial" w:eastAsia="黑体" w:cs="Times New Roman"/>
      <w:b/>
      <w:bCs/>
      <w:sz w:val="24"/>
      <w:szCs w:val="24"/>
    </w:rPr>
  </w:style>
  <w:style w:type="character" w:styleId="931">
    <w:name w:val="标题 7 Char"/>
    <w:next w:val="931"/>
    <w:link w:val="918"/>
    <w:rPr>
      <w:rFonts w:ascii="Times New Roman" w:hAnsi="Times New Roman" w:eastAsia="宋体" w:cs="Times New Roman"/>
      <w:b/>
      <w:bCs/>
      <w:sz w:val="24"/>
      <w:szCs w:val="24"/>
    </w:rPr>
  </w:style>
  <w:style w:type="character" w:styleId="932">
    <w:name w:val="标题 8 Char"/>
    <w:next w:val="932"/>
    <w:link w:val="919"/>
    <w:rPr>
      <w:rFonts w:ascii="Arial" w:hAnsi="Arial" w:eastAsia="黑体" w:cs="Times New Roman"/>
      <w:sz w:val="24"/>
      <w:szCs w:val="24"/>
    </w:rPr>
  </w:style>
  <w:style w:type="character" w:styleId="933">
    <w:name w:val="标题 9 Char"/>
    <w:next w:val="933"/>
    <w:link w:val="920"/>
    <w:rPr>
      <w:rFonts w:ascii="Arial" w:hAnsi="Arial" w:eastAsia="黑体" w:cs="Times New Roman"/>
      <w:szCs w:val="21"/>
    </w:rPr>
  </w:style>
  <w:style w:type="paragraph" w:styleId="934">
    <w:name w:val="列表 3"/>
    <w:basedOn w:val="911"/>
    <w:next w:val="934"/>
    <w:link w:val="911"/>
    <w:pPr>
      <w:ind w:left="100" w:hanging="200"/>
    </w:pPr>
    <w:rPr>
      <w:rFonts w:ascii="Times New Roman" w:hAnsi="Times New Roman" w:eastAsia="宋体" w:cs="Times New Roman"/>
      <w:szCs w:val="21"/>
    </w:rPr>
  </w:style>
  <w:style w:type="paragraph" w:styleId="935">
    <w:name w:val="目录 7"/>
    <w:basedOn w:val="911"/>
    <w:next w:val="911"/>
    <w:link w:val="911"/>
    <w:semiHidden/>
    <w:pPr>
      <w:ind w:left="1260"/>
      <w:jc w:val="left"/>
    </w:pPr>
    <w:rPr>
      <w:rFonts w:ascii="Times New Roman" w:hAnsi="Times New Roman" w:eastAsia="宋体" w:cs="Times New Roman"/>
      <w:szCs w:val="21"/>
    </w:rPr>
  </w:style>
  <w:style w:type="paragraph" w:styleId="936">
    <w:name w:val="文档结构图"/>
    <w:basedOn w:val="911"/>
    <w:next w:val="936"/>
    <w:link w:val="937"/>
    <w:semiHidden/>
    <w:pPr>
      <w:shd w:val="clear" w:color="auto" w:fill="000080"/>
    </w:pPr>
    <w:rPr>
      <w:rFonts w:ascii="Times New Roman" w:hAnsi="Times New Roman"/>
      <w:sz w:val="20"/>
      <w:szCs w:val="21"/>
    </w:rPr>
  </w:style>
  <w:style w:type="character" w:styleId="937">
    <w:name w:val="文档结构图 Char"/>
    <w:next w:val="937"/>
    <w:link w:val="936"/>
    <w:semiHidden/>
    <w:rPr>
      <w:rFonts w:ascii="Times New Roman" w:hAnsi="Times New Roman" w:eastAsia="宋体" w:cs="Times New Roman"/>
      <w:szCs w:val="21"/>
      <w:shd w:val="clear" w:color="auto" w:fill="000080"/>
    </w:rPr>
  </w:style>
  <w:style w:type="paragraph" w:styleId="938">
    <w:name w:val="批注文字"/>
    <w:basedOn w:val="911"/>
    <w:next w:val="938"/>
    <w:link w:val="939"/>
    <w:unhideWhenUsed/>
    <w:pPr>
      <w:jc w:val="left"/>
    </w:pPr>
  </w:style>
  <w:style w:type="character" w:styleId="939">
    <w:name w:val="批注文字 Char"/>
    <w:basedOn w:val="921"/>
    <w:next w:val="939"/>
    <w:link w:val="938"/>
    <w:uiPriority w:val="99"/>
    <w:semiHidden/>
  </w:style>
  <w:style w:type="paragraph" w:styleId="940">
    <w:name w:val="正文文本 3"/>
    <w:basedOn w:val="911"/>
    <w:next w:val="940"/>
    <w:link w:val="941"/>
    <w:rPr>
      <w:rFonts w:ascii="仿宋_GB2312" w:hAnsi="Arial" w:eastAsia="仿宋_GB2312"/>
      <w:sz w:val="32"/>
      <w:szCs w:val="32"/>
    </w:rPr>
  </w:style>
  <w:style w:type="character" w:styleId="941">
    <w:name w:val="正文文本 3 Char"/>
    <w:next w:val="941"/>
    <w:link w:val="940"/>
    <w:rPr>
      <w:rFonts w:ascii="仿宋_GB2312" w:hAnsi="Arial" w:eastAsia="仿宋_GB2312" w:cs="Times New Roman"/>
      <w:sz w:val="32"/>
      <w:szCs w:val="32"/>
    </w:rPr>
  </w:style>
  <w:style w:type="paragraph" w:styleId="942">
    <w:name w:val="正文文本"/>
    <w:basedOn w:val="911"/>
    <w:next w:val="911"/>
    <w:link w:val="943"/>
    <w:rPr>
      <w:rFonts w:ascii="楷体_GB2312" w:hAnsi="Arial" w:eastAsia="楷体_GB2312"/>
      <w:sz w:val="28"/>
      <w:szCs w:val="28"/>
    </w:rPr>
  </w:style>
  <w:style w:type="character" w:styleId="943">
    <w:name w:val="正文文本 Char"/>
    <w:next w:val="943"/>
    <w:link w:val="942"/>
    <w:rPr>
      <w:rFonts w:ascii="楷体_GB2312" w:hAnsi="Arial" w:eastAsia="楷体_GB2312" w:cs="Times New Roman"/>
      <w:sz w:val="28"/>
      <w:szCs w:val="28"/>
    </w:rPr>
  </w:style>
  <w:style w:type="paragraph" w:styleId="944">
    <w:name w:val="正文文本缩进"/>
    <w:basedOn w:val="911"/>
    <w:next w:val="944"/>
    <w:link w:val="945"/>
    <w:unhideWhenUsed/>
    <w:pPr>
      <w:ind w:left="420"/>
      <w:spacing w:after="120"/>
    </w:pPr>
  </w:style>
  <w:style w:type="character" w:styleId="945">
    <w:name w:val="正文文本缩进 Char"/>
    <w:basedOn w:val="921"/>
    <w:next w:val="945"/>
    <w:link w:val="944"/>
    <w:uiPriority w:val="99"/>
    <w:semiHidden/>
  </w:style>
  <w:style w:type="paragraph" w:styleId="946">
    <w:name w:val="列表 2"/>
    <w:basedOn w:val="911"/>
    <w:next w:val="946"/>
    <w:link w:val="911"/>
    <w:pPr>
      <w:ind w:left="100" w:hanging="200"/>
    </w:pPr>
    <w:rPr>
      <w:rFonts w:ascii="Times New Roman" w:hAnsi="Times New Roman" w:eastAsia="宋体" w:cs="Times New Roman"/>
      <w:szCs w:val="21"/>
    </w:rPr>
  </w:style>
  <w:style w:type="paragraph" w:styleId="947">
    <w:name w:val="目录 5"/>
    <w:basedOn w:val="911"/>
    <w:next w:val="911"/>
    <w:link w:val="911"/>
    <w:semiHidden/>
    <w:pPr>
      <w:ind w:left="840"/>
      <w:jc w:val="left"/>
    </w:pPr>
    <w:rPr>
      <w:rFonts w:ascii="Times New Roman" w:hAnsi="Times New Roman" w:eastAsia="宋体" w:cs="Times New Roman"/>
      <w:szCs w:val="21"/>
    </w:rPr>
  </w:style>
  <w:style w:type="paragraph" w:styleId="948">
    <w:name w:val="目录 3"/>
    <w:basedOn w:val="911"/>
    <w:next w:val="911"/>
    <w:link w:val="911"/>
    <w:semiHidden/>
    <w:pPr>
      <w:ind w:left="420"/>
      <w:jc w:val="left"/>
    </w:pPr>
    <w:rPr>
      <w:rFonts w:ascii="Times New Roman" w:hAnsi="Times New Roman" w:eastAsia="宋体" w:cs="Times New Roman"/>
      <w:i/>
      <w:iCs/>
      <w:szCs w:val="24"/>
    </w:rPr>
  </w:style>
  <w:style w:type="paragraph" w:styleId="949">
    <w:name w:val="纯文本"/>
    <w:basedOn w:val="911"/>
    <w:next w:val="949"/>
    <w:link w:val="950"/>
    <w:rPr>
      <w:rFonts w:ascii="宋体" w:hAnsi="Courier New"/>
      <w:sz w:val="20"/>
      <w:szCs w:val="21"/>
    </w:rPr>
  </w:style>
  <w:style w:type="character" w:styleId="950">
    <w:name w:val="纯文本 Char"/>
    <w:next w:val="950"/>
    <w:link w:val="949"/>
    <w:rPr>
      <w:rFonts w:ascii="宋体" w:hAnsi="Courier New" w:eastAsia="宋体" w:cs="Courier New"/>
      <w:szCs w:val="21"/>
    </w:rPr>
  </w:style>
  <w:style w:type="paragraph" w:styleId="951">
    <w:name w:val="目录 8"/>
    <w:basedOn w:val="911"/>
    <w:next w:val="911"/>
    <w:link w:val="911"/>
    <w:semiHidden/>
    <w:pPr>
      <w:ind w:left="1470"/>
      <w:jc w:val="left"/>
    </w:pPr>
    <w:rPr>
      <w:rFonts w:ascii="Times New Roman" w:hAnsi="Times New Roman" w:eastAsia="宋体" w:cs="Times New Roman"/>
      <w:szCs w:val="21"/>
    </w:rPr>
  </w:style>
  <w:style w:type="paragraph" w:styleId="952">
    <w:name w:val="日期"/>
    <w:basedOn w:val="911"/>
    <w:next w:val="911"/>
    <w:link w:val="953"/>
    <w:rPr>
      <w:rFonts w:ascii="Times New Roman" w:hAnsi="Times New Roman"/>
      <w:sz w:val="24"/>
      <w:szCs w:val="24"/>
    </w:rPr>
  </w:style>
  <w:style w:type="character" w:styleId="953">
    <w:name w:val="日期 Char"/>
    <w:next w:val="953"/>
    <w:link w:val="952"/>
    <w:rPr>
      <w:rFonts w:ascii="Times New Roman" w:hAnsi="Times New Roman" w:eastAsia="宋体" w:cs="Times New Roman"/>
      <w:sz w:val="24"/>
      <w:szCs w:val="24"/>
    </w:rPr>
  </w:style>
  <w:style w:type="paragraph" w:styleId="954">
    <w:name w:val="正文文本缩进 2"/>
    <w:basedOn w:val="911"/>
    <w:next w:val="954"/>
    <w:link w:val="955"/>
    <w:pPr>
      <w:ind w:left="630" w:firstLine="645"/>
    </w:pPr>
    <w:rPr>
      <w:rFonts w:ascii="Arial" w:hAnsi="Arial" w:eastAsia="仿宋_GB2312"/>
      <w:sz w:val="32"/>
      <w:szCs w:val="32"/>
    </w:rPr>
  </w:style>
  <w:style w:type="character" w:styleId="955">
    <w:name w:val="正文文本缩进 2 Char"/>
    <w:next w:val="955"/>
    <w:link w:val="954"/>
    <w:rPr>
      <w:rFonts w:ascii="Arial" w:hAnsi="Arial" w:eastAsia="仿宋_GB2312" w:cs="Arial"/>
      <w:sz w:val="32"/>
      <w:szCs w:val="32"/>
    </w:rPr>
  </w:style>
  <w:style w:type="paragraph" w:styleId="956">
    <w:name w:val="批注框文本"/>
    <w:basedOn w:val="911"/>
    <w:next w:val="956"/>
    <w:link w:val="957"/>
    <w:semiHidden/>
    <w:rPr>
      <w:rFonts w:ascii="Times New Roman" w:hAnsi="Times New Roman"/>
      <w:sz w:val="18"/>
      <w:szCs w:val="18"/>
    </w:rPr>
  </w:style>
  <w:style w:type="character" w:styleId="957">
    <w:name w:val="批注框文本 Char"/>
    <w:next w:val="957"/>
    <w:link w:val="956"/>
    <w:semiHidden/>
    <w:rPr>
      <w:rFonts w:ascii="Times New Roman" w:hAnsi="Times New Roman" w:eastAsia="宋体" w:cs="Times New Roman"/>
      <w:sz w:val="18"/>
      <w:szCs w:val="18"/>
    </w:rPr>
  </w:style>
  <w:style w:type="paragraph" w:styleId="958">
    <w:name w:val="页脚"/>
    <w:basedOn w:val="911"/>
    <w:next w:val="958"/>
    <w:link w:val="959"/>
    <w:pPr>
      <w:jc w:val="left"/>
      <w:tabs>
        <w:tab w:val="center" w:pos="4153" w:leader="none"/>
        <w:tab w:val="right" w:pos="8306" w:leader="none"/>
      </w:tabs>
    </w:pPr>
    <w:rPr>
      <w:rFonts w:ascii="Times New Roman" w:hAnsi="Times New Roman"/>
      <w:sz w:val="18"/>
      <w:szCs w:val="18"/>
    </w:rPr>
  </w:style>
  <w:style w:type="character" w:styleId="959">
    <w:name w:val="页脚 Char"/>
    <w:next w:val="959"/>
    <w:link w:val="958"/>
    <w:rPr>
      <w:rFonts w:ascii="Times New Roman" w:hAnsi="Times New Roman" w:eastAsia="宋体" w:cs="Times New Roman"/>
      <w:sz w:val="18"/>
      <w:szCs w:val="18"/>
    </w:rPr>
  </w:style>
  <w:style w:type="paragraph" w:styleId="960">
    <w:name w:val="寄信人地址"/>
    <w:basedOn w:val="911"/>
    <w:next w:val="960"/>
    <w:link w:val="911"/>
    <w:qFormat/>
    <w:rPr>
      <w:rFonts w:ascii="Arial" w:hAnsi="Arial"/>
    </w:rPr>
  </w:style>
  <w:style w:type="paragraph" w:styleId="961">
    <w:name w:val="页眉"/>
    <w:basedOn w:val="911"/>
    <w:next w:val="961"/>
    <w:link w:val="96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2">
    <w:name w:val="页眉 Char"/>
    <w:next w:val="962"/>
    <w:link w:val="961"/>
    <w:rPr>
      <w:rFonts w:ascii="Times New Roman" w:hAnsi="Times New Roman" w:eastAsia="宋体" w:cs="Times New Roman"/>
      <w:sz w:val="18"/>
      <w:szCs w:val="18"/>
    </w:rPr>
  </w:style>
  <w:style w:type="paragraph" w:styleId="963">
    <w:name w:val="目录 1"/>
    <w:basedOn w:val="911"/>
    <w:next w:val="911"/>
    <w:link w:val="91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4">
    <w:name w:val="目录 4"/>
    <w:basedOn w:val="911"/>
    <w:next w:val="911"/>
    <w:link w:val="911"/>
    <w:semiHidden/>
    <w:pPr>
      <w:ind w:left="630"/>
      <w:jc w:val="left"/>
    </w:pPr>
    <w:rPr>
      <w:rFonts w:ascii="Times New Roman" w:hAnsi="Times New Roman" w:eastAsia="宋体" w:cs="Times New Roman"/>
      <w:szCs w:val="21"/>
    </w:rPr>
  </w:style>
  <w:style w:type="paragraph" w:styleId="965">
    <w:name w:val="列表"/>
    <w:basedOn w:val="911"/>
    <w:next w:val="965"/>
    <w:link w:val="911"/>
    <w:pPr>
      <w:ind w:left="200" w:hanging="200"/>
    </w:pPr>
    <w:rPr>
      <w:rFonts w:ascii="Times New Roman" w:hAnsi="Times New Roman" w:eastAsia="宋体" w:cs="Times New Roman"/>
      <w:szCs w:val="21"/>
    </w:rPr>
  </w:style>
  <w:style w:type="paragraph" w:styleId="966">
    <w:name w:val="目录 6"/>
    <w:basedOn w:val="911"/>
    <w:next w:val="911"/>
    <w:link w:val="911"/>
    <w:semiHidden/>
    <w:pPr>
      <w:ind w:left="1050"/>
      <w:jc w:val="left"/>
    </w:pPr>
    <w:rPr>
      <w:rFonts w:ascii="Times New Roman" w:hAnsi="Times New Roman" w:eastAsia="宋体" w:cs="Times New Roman"/>
      <w:szCs w:val="21"/>
    </w:rPr>
  </w:style>
  <w:style w:type="paragraph" w:styleId="967">
    <w:name w:val="正文文本缩进 3"/>
    <w:basedOn w:val="911"/>
    <w:next w:val="967"/>
    <w:link w:val="968"/>
    <w:pPr>
      <w:ind w:left="645" w:firstLine="645"/>
    </w:pPr>
    <w:rPr>
      <w:rFonts w:ascii="Arial" w:hAnsi="Arial" w:eastAsia="仿宋_GB2312"/>
      <w:color w:val="ffff00"/>
      <w:sz w:val="32"/>
      <w:szCs w:val="32"/>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rPr>
      <w:rFonts w:ascii="Times New Roman" w:hAnsi="Times New Roman" w:eastAsia="宋体" w:cs="Times New Roman"/>
      <w:szCs w:val="21"/>
    </w:rPr>
  </w:style>
  <w:style w:type="paragraph" w:styleId="970">
    <w:name w:val="目录 2"/>
    <w:basedOn w:val="911"/>
    <w:next w:val="911"/>
    <w:link w:val="911"/>
    <w:semiHidden/>
    <w:pPr>
      <w:ind w:left="210"/>
      <w:jc w:val="left"/>
    </w:pPr>
    <w:rPr>
      <w:rFonts w:ascii="Times New Roman" w:hAnsi="Times New Roman" w:eastAsia="宋体" w:cs="Times New Roman"/>
      <w:smallCaps/>
      <w:szCs w:val="24"/>
    </w:rPr>
  </w:style>
  <w:style w:type="paragraph" w:styleId="971">
    <w:name w:val="目录 9"/>
    <w:basedOn w:val="911"/>
    <w:next w:val="911"/>
    <w:link w:val="911"/>
    <w:semiHidden/>
    <w:pPr>
      <w:ind w:left="1680"/>
      <w:jc w:val="left"/>
    </w:pPr>
    <w:rPr>
      <w:rFonts w:ascii="Times New Roman" w:hAnsi="Times New Roman" w:eastAsia="宋体" w:cs="Times New Roman"/>
      <w:szCs w:val="21"/>
    </w:rPr>
  </w:style>
  <w:style w:type="paragraph" w:styleId="972">
    <w:name w:val="正文文本 2"/>
    <w:basedOn w:val="911"/>
    <w:next w:val="972"/>
    <w:link w:val="973"/>
    <w:pPr>
      <w:jc w:val="center"/>
      <w:widowControl/>
    </w:pPr>
    <w:rPr>
      <w:rFonts w:ascii="楷体_GB2312" w:hAnsi="Times New Roman" w:eastAsia="楷体_GB2312"/>
      <w:sz w:val="28"/>
      <w:szCs w:val="28"/>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eastAsia="宋体" w:cs="宋体"/>
      <w:sz w:val="24"/>
      <w:szCs w:val="24"/>
    </w:rPr>
  </w:style>
  <w:style w:type="paragraph" w:styleId="975">
    <w:name w:val="索引 1"/>
    <w:basedOn w:val="911"/>
    <w:next w:val="911"/>
    <w:link w:val="911"/>
    <w:semiHidden/>
    <w:pPr>
      <w:spacing w:line="240" w:lineRule="atLeast"/>
    </w:pPr>
    <w:rPr>
      <w:rFonts w:ascii="Times New Roman" w:hAnsi="Times New Roman" w:eastAsia="宋体" w:cs="Times New Roman"/>
      <w:b/>
      <w:bCs/>
      <w:szCs w:val="21"/>
    </w:rPr>
  </w:style>
  <w:style w:type="paragraph" w:styleId="976">
    <w:name w:val="批注主题"/>
    <w:basedOn w:val="938"/>
    <w:next w:val="938"/>
    <w:link w:val="977"/>
    <w:semiHidden/>
    <w:rPr>
      <w:rFonts w:ascii="Times New Roman" w:hAnsi="Times New Roman"/>
      <w:b/>
      <w:bCs/>
      <w:sz w:val="20"/>
      <w:szCs w:val="21"/>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42"/>
    <w:next w:val="978"/>
    <w:link w:val="979"/>
    <w:pPr>
      <w:ind w:firstLine="200"/>
      <w:spacing w:line="360" w:lineRule="auto"/>
    </w:pPr>
    <w:rPr>
      <w:rFonts w:ascii="仿宋_GB2312" w:hAnsi="Times New Roman" w:eastAsia="仿宋_GB2312"/>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4"/>
    <w:next w:val="967"/>
    <w:link w:val="981"/>
    <w:pPr>
      <w:ind w:left="0" w:firstLine="420"/>
      <w:spacing w:after="0" w:line="360" w:lineRule="auto"/>
    </w:pPr>
    <w:rPr>
      <w:rFonts w:ascii="宋体" w:hAnsi="宋体"/>
      <w:sz w:val="20"/>
      <w:szCs w:val="20"/>
    </w:rPr>
  </w:style>
  <w:style w:type="character" w:styleId="981">
    <w:name w:val="正文首行缩进 2 Char"/>
    <w:next w:val="981"/>
    <w:link w:val="980"/>
    <w:rPr>
      <w:rFonts w:ascii="宋体" w:hAnsi="宋体" w:eastAsia="宋体" w:cs="Times New Roman"/>
      <w:szCs w:val="20"/>
    </w:rPr>
  </w:style>
  <w:style w:type="table" w:styleId="982">
    <w:name w:val="网格型"/>
    <w:basedOn w:val="922"/>
    <w:next w:val="982"/>
    <w:link w:val="911"/>
    <w:pPr>
      <w:jc w:val="both"/>
      <w:widowControl w:val="off"/>
    </w:pPr>
    <w:rPr>
      <w:rFonts w:ascii="Times New Roman" w:hAnsi="Times New Roman" w:eastAsia="宋体" w:cs="Times New Roman"/>
      <w:sz w:val="20"/>
      <w:szCs w:val="20"/>
    </w:rPr>
    <w:tblPr/>
  </w:style>
  <w:style w:type="character" w:styleId="983">
    <w:name w:val="要点"/>
    <w:basedOn w:val="921"/>
    <w:next w:val="983"/>
    <w:link w:val="911"/>
    <w:qFormat/>
    <w:rPr>
      <w:b/>
      <w:bCs/>
    </w:rPr>
  </w:style>
  <w:style w:type="character" w:styleId="984">
    <w:name w:val="页码"/>
    <w:next w:val="984"/>
    <w:link w:val="911"/>
  </w:style>
  <w:style w:type="character" w:styleId="985">
    <w:name w:val="已访问的超链接"/>
    <w:next w:val="985"/>
    <w:link w:val="911"/>
    <w:rPr>
      <w:color w:val="800080"/>
      <w:u w:val="single"/>
    </w:rPr>
  </w:style>
  <w:style w:type="character" w:styleId="986">
    <w:name w:val="强调"/>
    <w:basedOn w:val="921"/>
    <w:next w:val="986"/>
    <w:link w:val="911"/>
    <w:qFormat/>
    <w:rPr>
      <w:i/>
    </w:rPr>
  </w:style>
  <w:style w:type="character" w:styleId="987">
    <w:name w:val="超链接"/>
    <w:next w:val="987"/>
    <w:link w:val="911"/>
    <w:rPr>
      <w:color w:val="0000ff"/>
      <w:u w:val="single"/>
    </w:rPr>
  </w:style>
  <w:style w:type="character" w:styleId="988">
    <w:name w:val="批注引用"/>
    <w:next w:val="988"/>
    <w:link w:val="911"/>
    <w:semiHidden/>
    <w:rPr>
      <w:sz w:val="21"/>
      <w:szCs w:val="21"/>
    </w:rPr>
  </w:style>
  <w:style w:type="paragraph" w:styleId="989">
    <w:name w:val="正文首行缩进 21"/>
    <w:basedOn w:val="990"/>
    <w:next w:val="989"/>
    <w:link w:val="911"/>
    <w:qFormat/>
    <w:pPr>
      <w:ind w:left="0" w:firstLine="420"/>
      <w:spacing w:after="0" w:line="360" w:lineRule="auto"/>
    </w:pPr>
    <w:rPr>
      <w:rFonts w:ascii="宋体" w:hAnsi="宋体"/>
      <w:sz w:val="20"/>
      <w:szCs w:val="20"/>
      <w:lang w:val="en-US" w:eastAsia="en-US"/>
    </w:rPr>
  </w:style>
  <w:style w:type="paragraph" w:styleId="990">
    <w:name w:val="正文文本缩进1"/>
    <w:basedOn w:val="911"/>
    <w:next w:val="989"/>
    <w:link w:val="911"/>
    <w:unhideWhenUsed/>
    <w:qFormat/>
    <w:pPr>
      <w:ind w:left="420"/>
      <w:spacing w:after="120"/>
    </w:pPr>
  </w:style>
  <w:style w:type="character" w:styleId="991">
    <w:name w:val="font5 Char"/>
    <w:next w:val="991"/>
    <w:link w:val="911"/>
    <w:rPr>
      <w:rFonts w:ascii="宋体" w:hAnsi="宋体" w:eastAsia="宋体"/>
      <w:sz w:val="28"/>
      <w:szCs w:val="28"/>
      <w:lang w:val="en-US" w:eastAsia="zh-CN" w:bidi="ar-SA"/>
    </w:rPr>
  </w:style>
  <w:style w:type="character" w:styleId="992">
    <w:name w:val="二级目录 Char"/>
    <w:next w:val="992"/>
    <w:link w:val="993"/>
    <w:rPr>
      <w:b/>
      <w:sz w:val="30"/>
      <w:szCs w:val="28"/>
      <w:lang w:val="en-US" w:eastAsia="zh-CN" w:bidi="ar-SA"/>
    </w:rPr>
  </w:style>
  <w:style w:type="paragraph" w:styleId="993">
    <w:name w:val="二级目录"/>
    <w:next w:val="911"/>
    <w:link w:val="992"/>
    <w:pPr>
      <w:numPr>
        <w:ilvl w:val="0"/>
        <w:numId w:val="2"/>
      </w:numPr>
      <w:tabs>
        <w:tab w:val="left" w:pos="907" w:leader="none"/>
        <w:tab w:val="left" w:pos="1145" w:leader="none"/>
      </w:tabs>
      <w:outlineLvl w:val="1"/>
    </w:pPr>
    <w:rPr>
      <w:b/>
      <w:sz w:val="30"/>
      <w:szCs w:val="28"/>
      <w:lang w:val="en-US" w:eastAsia="zh-CN" w:bidi="ar-SA"/>
    </w:rPr>
  </w:style>
  <w:style w:type="character" w:styleId="994">
    <w:name w:val="列出段落 Char,Bullet List Char,numbered Char,FooterText Char,List Paragraph1 Char,Paragraphe de liste1 Char"/>
    <w:next w:val="994"/>
    <w:link w:val="995"/>
    <w:rPr>
      <w:rFonts w:ascii="Calibri" w:hAnsi="Calibri"/>
      <w:sz w:val="24"/>
      <w:szCs w:val="24"/>
      <w:lang w:eastAsia="en-US" w:bidi="en-US"/>
    </w:rPr>
  </w:style>
  <w:style w:type="paragraph" w:styleId="995">
    <w:name w:val="列出段落1"/>
    <w:basedOn w:val="911"/>
    <w:next w:val="995"/>
    <w:link w:val="994"/>
    <w:qFormat/>
    <w:pPr>
      <w:contextualSpacing/>
      <w:ind w:left="720"/>
      <w:jc w:val="left"/>
      <w:widowControl/>
    </w:pPr>
    <w:rPr>
      <w:sz w:val="24"/>
      <w:szCs w:val="24"/>
      <w:lang w:eastAsia="en-US" w:bidi="en-US"/>
    </w:rPr>
  </w:style>
  <w:style w:type="paragraph" w:styleId="996">
    <w:name w:val="Body Text(ch)"/>
    <w:basedOn w:val="911"/>
    <w:next w:val="942"/>
    <w:link w:val="911"/>
    <w:pPr>
      <w:spacing w:after="120"/>
    </w:pPr>
    <w:rPr>
      <w:rFonts w:ascii="宋体" w:hAnsi="Arial" w:eastAsia="宋体" w:cs="Times New Roman"/>
      <w:bCs/>
      <w:iCs/>
      <w:szCs w:val="24"/>
    </w:rPr>
  </w:style>
  <w:style w:type="paragraph" w:styleId="997">
    <w:name w:val="xl27"/>
    <w:basedOn w:val="911"/>
    <w:next w:val="997"/>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xl26"/>
    <w:basedOn w:val="911"/>
    <w:next w:val="998"/>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name w:val="Char"/>
    <w:basedOn w:val="911"/>
    <w:next w:val="999"/>
    <w:link w:val="911"/>
    <w:pPr>
      <w:ind w:firstLine="200"/>
      <w:tabs>
        <w:tab w:val="left" w:pos="360" w:leader="none"/>
      </w:tabs>
    </w:pPr>
    <w:rPr>
      <w:rFonts w:ascii="Times New Roman" w:hAnsi="Times New Roman" w:eastAsia="宋体" w:cs="Times New Roman"/>
      <w:sz w:val="28"/>
      <w:szCs w:val="30"/>
    </w:rPr>
  </w:style>
  <w:style w:type="paragraph" w:styleId="1000">
    <w:name w:val=" Char"/>
    <w:basedOn w:val="936"/>
    <w:next w:val="1000"/>
    <w:link w:val="911"/>
    <w:rPr>
      <w:rFonts w:ascii="Tahoma" w:hAnsi="Tahoma"/>
      <w:sz w:val="24"/>
      <w:szCs w:val="24"/>
    </w:rPr>
  </w:style>
  <w:style w:type="paragraph" w:styleId="1001">
    <w:name w:val="普通正文"/>
    <w:basedOn w:val="911"/>
    <w:next w:val="1001"/>
    <w:link w:val="911"/>
    <w:pPr>
      <w:ind w:firstLine="480"/>
      <w:jc w:val="left"/>
      <w:spacing w:before="120" w:after="120" w:line="360" w:lineRule="auto"/>
    </w:pPr>
    <w:rPr>
      <w:rFonts w:ascii="Arial" w:hAnsi="Arial" w:eastAsia="宋体" w:cs="Times New Roman"/>
      <w:sz w:val="24"/>
      <w:szCs w:val="24"/>
    </w:rPr>
  </w:style>
  <w:style w:type="paragraph" w:styleId="1002">
    <w:name w:val="table_lines"/>
    <w:basedOn w:val="911"/>
    <w:next w:val="1002"/>
    <w:link w:val="911"/>
    <w:pPr>
      <w:jc w:val="left"/>
      <w:widowControl/>
    </w:pPr>
    <w:rPr>
      <w:rFonts w:ascii="Times New Roman" w:hAnsi="Times New Roman" w:eastAsia="宋体" w:cs="Times New Roman"/>
      <w:sz w:val="20"/>
      <w:szCs w:val="20"/>
      <w:lang w:val="de-DE" w:eastAsia="de-DE"/>
    </w:rPr>
  </w:style>
  <w:style w:type="paragraph" w:styleId="1003">
    <w:name w:val="附录1"/>
    <w:next w:val="1003"/>
    <w:link w:val="91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04">
    <w:name w:val="font7"/>
    <w:basedOn w:val="911"/>
    <w:next w:val="1004"/>
    <w:link w:val="911"/>
    <w:pPr>
      <w:jc w:val="left"/>
      <w:spacing w:before="100" w:beforeAutospacing="1" w:after="100" w:afterAutospacing="1"/>
      <w:widowControl/>
    </w:pPr>
    <w:rPr>
      <w:rFonts w:hint="eastAsia" w:ascii="宋体" w:hAnsi="宋体" w:eastAsia="宋体" w:cs="Times New Roman"/>
      <w:sz w:val="18"/>
      <w:szCs w:val="18"/>
    </w:rPr>
  </w:style>
  <w:style w:type="paragraph" w:styleId="1005">
    <w:name w:val=" Char Char Char Char"/>
    <w:basedOn w:val="936"/>
    <w:next w:val="1005"/>
    <w:link w:val="911"/>
    <w:pPr>
      <w:spacing w:line="360" w:lineRule="auto"/>
    </w:pPr>
    <w:rPr>
      <w:rFonts w:ascii="Tahoma" w:hAnsi="Tahoma"/>
      <w:sz w:val="24"/>
      <w:szCs w:val="24"/>
    </w:rPr>
  </w:style>
  <w:style w:type="paragraph" w:styleId="1006">
    <w:name w:val="列出段落"/>
    <w:basedOn w:val="911"/>
    <w:next w:val="1006"/>
    <w:link w:val="911"/>
    <w:qFormat/>
    <w:pPr>
      <w:contextualSpacing/>
      <w:ind w:left="720"/>
      <w:jc w:val="left"/>
      <w:widowControl/>
    </w:pPr>
    <w:rPr>
      <w:rFonts w:ascii="Calibri" w:hAnsi="Calibri" w:eastAsia="宋体" w:cs="Times New Roman"/>
      <w:sz w:val="24"/>
      <w:szCs w:val="24"/>
      <w:lang w:eastAsia="en-US" w:bidi="en-US"/>
    </w:rPr>
  </w:style>
  <w:style w:type="paragraph" w:styleId="1007">
    <w:name w:val="4"/>
    <w:basedOn w:val="911"/>
    <w:next w:val="967"/>
    <w:link w:val="911"/>
    <w:pPr>
      <w:ind w:firstLine="420"/>
      <w:spacing w:line="360" w:lineRule="auto"/>
    </w:pPr>
    <w:rPr>
      <w:rFonts w:ascii="Times New Roman" w:hAnsi="Times New Roman" w:eastAsia="宋体" w:cs="Times New Roman"/>
      <w:color w:val="ff0000"/>
      <w:sz w:val="24"/>
      <w:szCs w:val="24"/>
    </w:rPr>
  </w:style>
  <w:style w:type="paragraph" w:styleId="1008">
    <w:name w:val="普通 (Web)"/>
    <w:basedOn w:val="911"/>
    <w:next w:val="1008"/>
    <w:link w:val="911"/>
    <w:pPr>
      <w:jc w:val="left"/>
      <w:spacing w:before="100" w:beforeAutospacing="1" w:after="100" w:afterAutospacing="1"/>
      <w:widowControl/>
    </w:pPr>
    <w:rPr>
      <w:rFonts w:ascii="宋体" w:hAnsi="宋体" w:eastAsia="宋体" w:cs="Times New Roman"/>
      <w:sz w:val="24"/>
      <w:szCs w:val="24"/>
    </w:rPr>
  </w:style>
  <w:style w:type="paragraph" w:styleId="1009">
    <w:name w:val=" Char Char Char Char Char Char Char Char Char Char"/>
    <w:basedOn w:val="911"/>
    <w:next w:val="1009"/>
    <w:link w:val="911"/>
    <w:pPr>
      <w:spacing w:line="360" w:lineRule="auto"/>
    </w:pPr>
    <w:rPr>
      <w:rFonts w:ascii="Times New Roman" w:hAnsi="Times New Roman" w:eastAsia="宋体" w:cs="Times New Roman"/>
      <w:sz w:val="24"/>
      <w:szCs w:val="20"/>
    </w:rPr>
  </w:style>
  <w:style w:type="paragraph" w:styleId="1010">
    <w:name w:val="样式1"/>
    <w:basedOn w:val="911"/>
    <w:next w:val="1010"/>
    <w:link w:val="911"/>
    <w:pPr>
      <w:numPr>
        <w:ilvl w:val="0"/>
        <w:numId w:val="3"/>
      </w:numPr>
      <w:tabs>
        <w:tab w:val="left" w:pos="709" w:leader="none"/>
      </w:tabs>
    </w:pPr>
    <w:rPr>
      <w:rFonts w:ascii="宋体" w:hAnsi="宋体" w:eastAsia="宋体" w:cs="Times New Roman"/>
      <w:szCs w:val="21"/>
    </w:rPr>
  </w:style>
  <w:style w:type="paragraph" w:styleId="1011">
    <w:name w:val="font6"/>
    <w:basedOn w:val="911"/>
    <w:next w:val="1011"/>
    <w:link w:val="911"/>
    <w:pPr>
      <w:jc w:val="left"/>
      <w:spacing w:before="100" w:beforeAutospacing="1" w:after="100" w:afterAutospacing="1"/>
      <w:widowControl/>
    </w:pPr>
    <w:rPr>
      <w:rFonts w:hint="eastAsia" w:ascii="宋体" w:hAnsi="宋体" w:eastAsia="宋体" w:cs="Times New Roman"/>
      <w:sz w:val="28"/>
      <w:szCs w:val="28"/>
      <w:u w:val="single"/>
    </w:rPr>
  </w:style>
  <w:style w:type="paragraph" w:styleId="1012">
    <w:name w:val="xl25"/>
    <w:basedOn w:val="911"/>
    <w:next w:val="1012"/>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4">
    <w:name w:val="标题3"/>
    <w:basedOn w:val="911"/>
    <w:next w:val="911"/>
    <w:link w:val="911"/>
    <w:pPr>
      <w:ind w:firstLine="624"/>
      <w:spacing w:line="590" w:lineRule="atLeast"/>
    </w:pPr>
    <w:rPr>
      <w:rFonts w:ascii="方正黑体_GBK" w:hAnsi="Times New Roman" w:eastAsia="方正黑体_GBK" w:cs="Times New Roman"/>
      <w:sz w:val="32"/>
      <w:szCs w:val="32"/>
    </w:rPr>
  </w:style>
  <w:style w:type="paragraph" w:styleId="1015">
    <w:name w:val="xl24"/>
    <w:basedOn w:val="911"/>
    <w:next w:val="101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9"/>
    <w:basedOn w:val="911"/>
    <w:next w:val="1016"/>
    <w:link w:val="91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7">
    <w:name w:val="Char Char Char Char Char Char Char Char"/>
    <w:basedOn w:val="911"/>
    <w:next w:val="1017"/>
    <w:link w:val="911"/>
    <w:pPr>
      <w:jc w:val="left"/>
      <w:spacing w:after="160" w:line="240" w:lineRule="exact"/>
      <w:widowControl/>
    </w:pPr>
    <w:rPr>
      <w:rFonts w:ascii="Verdana" w:hAnsi="Verdana" w:eastAsia="宋体" w:cs="Times New Roman"/>
      <w:sz w:val="20"/>
      <w:szCs w:val="20"/>
      <w:lang w:eastAsia="en-US"/>
    </w:rPr>
  </w:style>
  <w:style w:type="paragraph" w:styleId="1018">
    <w:name w:val="xl28"/>
    <w:basedOn w:val="911"/>
    <w:next w:val="1018"/>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9">
    <w:name w:val=" Char Char Char Char Char Char Char Char"/>
    <w:basedOn w:val="911"/>
    <w:next w:val="1019"/>
    <w:link w:val="911"/>
    <w:pPr>
      <w:jc w:val="left"/>
      <w:spacing w:after="160" w:line="240" w:lineRule="exact"/>
      <w:widowControl/>
    </w:pPr>
    <w:rPr>
      <w:rFonts w:ascii="Verdana" w:hAnsi="Verdana" w:eastAsia="宋体" w:cs="Times New Roman"/>
      <w:sz w:val="20"/>
      <w:szCs w:val="20"/>
      <w:lang w:eastAsia="en-US"/>
    </w:rPr>
  </w:style>
  <w:style w:type="paragraph" w:styleId="1020">
    <w:name w:val="xl30"/>
    <w:basedOn w:val="911"/>
    <w:next w:val="1020"/>
    <w:link w:val="911"/>
    <w:pPr>
      <w:jc w:val="center"/>
      <w:spacing w:before="100" w:beforeAutospacing="1" w:after="100" w:afterAutospacing="1"/>
      <w:widowControl/>
    </w:pPr>
    <w:rPr>
      <w:rFonts w:ascii="宋体" w:hAnsi="宋体" w:eastAsia="宋体" w:cs="Times New Roman"/>
      <w:b/>
      <w:bCs/>
      <w:sz w:val="36"/>
      <w:szCs w:val="36"/>
    </w:rPr>
  </w:style>
  <w:style w:type="paragraph" w:styleId="1021">
    <w:name w:val="Char Char Char Char"/>
    <w:basedOn w:val="936"/>
    <w:next w:val="1021"/>
    <w:link w:val="911"/>
    <w:pPr>
      <w:spacing w:line="360" w:lineRule="auto"/>
    </w:pPr>
    <w:rPr>
      <w:rFonts w:ascii="Tahoma" w:hAnsi="Tahoma"/>
      <w:sz w:val="24"/>
      <w:szCs w:val="24"/>
    </w:rPr>
  </w:style>
  <w:style w:type="paragraph" w:styleId="1022">
    <w:name w:val="table_1stline"/>
    <w:basedOn w:val="911"/>
    <w:next w:val="1022"/>
    <w:link w:val="911"/>
    <w:pPr>
      <w:jc w:val="left"/>
      <w:spacing w:before="120"/>
      <w:widowControl/>
    </w:pPr>
    <w:rPr>
      <w:rFonts w:ascii="Times New Roman" w:hAnsi="Times New Roman" w:eastAsia="宋体" w:cs="Times New Roman"/>
      <w:bCs/>
      <w:sz w:val="20"/>
      <w:szCs w:val="20"/>
      <w:lang w:val="de-DE" w:eastAsia="de-DE"/>
    </w:rPr>
  </w:style>
  <w:style w:type="paragraph" w:styleId="1023">
    <w:name w:val="font5"/>
    <w:basedOn w:val="911"/>
    <w:next w:val="1023"/>
    <w:link w:val="911"/>
    <w:pPr>
      <w:jc w:val="left"/>
      <w:spacing w:before="100" w:beforeAutospacing="1" w:after="100" w:afterAutospacing="1"/>
      <w:widowControl/>
    </w:pPr>
    <w:rPr>
      <w:rFonts w:hint="eastAsia" w:ascii="宋体" w:hAnsi="宋体" w:eastAsia="宋体" w:cs="Times New Roman"/>
      <w:sz w:val="28"/>
      <w:szCs w:val="28"/>
    </w:rPr>
  </w:style>
  <w:style w:type="paragraph" w:styleId="1024">
    <w:name w:val="标题1"/>
    <w:basedOn w:val="911"/>
    <w:next w:val="911"/>
    <w:link w:val="91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5">
    <w:name w:val="修订"/>
    <w:next w:val="1025"/>
    <w:link w:val="911"/>
    <w:uiPriority w:val="99"/>
    <w:semiHidden/>
    <w:rPr>
      <w:rFonts w:ascii="Times New Roman" w:hAnsi="Times New Roman"/>
      <w:sz w:val="21"/>
      <w:szCs w:val="21"/>
      <w:lang w:val="en-US" w:eastAsia="zh-CN" w:bidi="ar-SA"/>
    </w:rPr>
  </w:style>
  <w:style w:type="paragraph" w:styleId="1026">
    <w:name w:val="无间隔"/>
    <w:next w:val="1026"/>
    <w:link w:val="911"/>
    <w:uiPriority w:val="99"/>
    <w:qFormat/>
    <w:pPr>
      <w:jc w:val="both"/>
      <w:widowControl w:val="off"/>
    </w:pPr>
    <w:rPr>
      <w:rFonts w:ascii="Times New Roman" w:hAnsi="Times New Roman"/>
      <w:sz w:val="21"/>
      <w:szCs w:val="21"/>
      <w:lang w:val="en-US" w:eastAsia="zh-CN" w:bidi="ar-SA"/>
    </w:rPr>
  </w:style>
  <w:style w:type="paragraph" w:styleId="1027">
    <w:name w:val="引文目录标题1"/>
    <w:basedOn w:val="911"/>
    <w:next w:val="911"/>
    <w:link w:val="911"/>
    <w:qFormat/>
    <w:pPr>
      <w:spacing w:before="120"/>
    </w:pPr>
    <w:rPr>
      <w:rFonts w:ascii="Arial" w:hAnsi="Arial"/>
      <w:sz w:val="24"/>
    </w:rPr>
  </w:style>
  <w:style w:type="paragraph" w:styleId="1028">
    <w:name w:val="AONormal"/>
    <w:next w:val="1028"/>
    <w:link w:val="911"/>
    <w:qFormat/>
    <w:pPr>
      <w:ind w:firstLine="440"/>
      <w:spacing w:line="400" w:lineRule="exact"/>
    </w:pPr>
    <w:rPr>
      <w:rFonts w:ascii="华文楷体" w:hAnsi="华文楷体" w:eastAsia="华文楷体" w:cs="华文楷体"/>
      <w:sz w:val="22"/>
      <w:szCs w:val="21"/>
      <w:lang w:val="en-US" w:eastAsia="zh-CN" w:bidi="ar-SA"/>
    </w:rPr>
  </w:style>
  <w:style w:type="paragraph" w:styleId="1029">
    <w:name w:val="标题 211"/>
    <w:basedOn w:val="911"/>
    <w:next w:val="1030"/>
    <w:link w:val="911"/>
    <w:qFormat/>
    <w:pPr>
      <w:jc w:val="center"/>
      <w:keepLines/>
      <w:keepNext/>
      <w:spacing w:before="260" w:after="260" w:line="416" w:lineRule="auto"/>
      <w:outlineLvl w:val="1"/>
    </w:pPr>
    <w:rPr>
      <w:rFonts w:ascii="Arial" w:hAnsi="Arial" w:eastAsia="幼圆"/>
      <w:b/>
      <w:bCs/>
      <w:sz w:val="44"/>
      <w:szCs w:val="44"/>
      <w:lang w:eastAsia="en-US"/>
    </w:rPr>
  </w:style>
  <w:style w:type="paragraph" w:styleId="1030">
    <w:name w:val="正文缩进1"/>
    <w:basedOn w:val="911"/>
    <w:next w:val="911"/>
    <w:link w:val="911"/>
    <w:qFormat/>
    <w:pPr>
      <w:ind w:firstLine="420"/>
    </w:pPr>
    <w:rPr>
      <w:sz w:val="20"/>
      <w:szCs w:val="21"/>
      <w:lang w:eastAsia="en-US"/>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7</cp:revision>
  <dcterms:created xsi:type="dcterms:W3CDTF">2023-12-25T07:48:00Z</dcterms:created>
  <dcterms:modified xsi:type="dcterms:W3CDTF">2026-06-23T06:34:08Z</dcterms:modified>
</cp:coreProperties>
</file>