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431BED">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rFonts w:hint="eastAsia" w:ascii="宋体" w:hAnsi="宋体" w:eastAsia="宋体" w:cs="宋体"/>
          <w:b/>
          <w:color w:val="auto"/>
          <w:sz w:val="48"/>
          <w:highlight w:val="none"/>
        </w:rPr>
      </w:pPr>
    </w:p>
    <w:p w14:paraId="06BD14A6">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rFonts w:hint="eastAsia" w:ascii="宋体" w:hAnsi="宋体" w:eastAsia="宋体" w:cs="宋体"/>
          <w:b/>
          <w:color w:val="auto"/>
          <w:sz w:val="48"/>
          <w:highlight w:val="none"/>
          <w:lang w:eastAsia="zh-CN"/>
        </w:rPr>
      </w:pPr>
      <w:r>
        <w:rPr>
          <w:rFonts w:hint="eastAsia" w:ascii="宋体" w:hAnsi="宋体" w:eastAsia="宋体" w:cs="宋体"/>
          <w:b/>
          <w:color w:val="auto"/>
          <w:sz w:val="48"/>
          <w:highlight w:val="none"/>
          <w:lang w:eastAsia="zh-CN"/>
        </w:rPr>
        <w:t>泗阳一号船闸上游19#靠船墩拆建及三号船闸上下游靠船墩维修项目（二次）</w:t>
      </w:r>
    </w:p>
    <w:p w14:paraId="0CA8948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rFonts w:hint="eastAsia" w:ascii="宋体" w:hAnsi="宋体" w:eastAsia="宋体" w:cs="宋体"/>
          <w:color w:val="auto"/>
          <w:highlight w:val="none"/>
          <w:lang w:eastAsia="zh-CN"/>
        </w:rPr>
      </w:pPr>
    </w:p>
    <w:p w14:paraId="4E2BE6C0">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48"/>
          <w:highlight w:val="none"/>
        </w:rPr>
        <w:t> </w:t>
      </w:r>
    </w:p>
    <w:p w14:paraId="34151943">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32"/>
          <w:highlight w:val="none"/>
        </w:rPr>
        <w:t> </w:t>
      </w:r>
    </w:p>
    <w:p w14:paraId="62E0575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w:t>
      </w:r>
    </w:p>
    <w:p w14:paraId="433C90F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b/>
          <w:color w:val="auto"/>
          <w:sz w:val="72"/>
          <w:highlight w:val="none"/>
        </w:rPr>
      </w:pPr>
    </w:p>
    <w:p w14:paraId="25F0E0B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b/>
          <w:color w:val="auto"/>
          <w:sz w:val="72"/>
          <w:highlight w:val="none"/>
        </w:rPr>
      </w:pPr>
    </w:p>
    <w:p w14:paraId="41A9DA5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72"/>
          <w:highlight w:val="none"/>
        </w:rPr>
        <w:t>招 标 文 件</w:t>
      </w:r>
    </w:p>
    <w:p w14:paraId="1E23D77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6"/>
          <w:highlight w:val="none"/>
        </w:rPr>
        <w:t> </w:t>
      </w:r>
    </w:p>
    <w:p w14:paraId="0261433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6"/>
          <w:highlight w:val="none"/>
        </w:rPr>
        <w:t>项目编号：</w:t>
      </w:r>
      <w:bookmarkStart w:id="60" w:name="_GoBack"/>
      <w:bookmarkEnd w:id="60"/>
      <w:r>
        <w:rPr>
          <w:rFonts w:hint="eastAsia" w:ascii="宋体" w:hAnsi="宋体" w:eastAsia="宋体" w:cs="宋体"/>
          <w:b/>
          <w:color w:val="auto"/>
          <w:sz w:val="36"/>
          <w:highlight w:val="none"/>
          <w:lang w:eastAsia="zh-CN"/>
        </w:rPr>
        <w:t>JSZC-320000-JCEC-G2026-0184</w:t>
      </w:r>
      <w:r>
        <w:rPr>
          <w:rFonts w:hint="eastAsia" w:ascii="宋体" w:hAnsi="宋体" w:eastAsia="宋体" w:cs="宋体"/>
          <w:b/>
          <w:color w:val="auto"/>
          <w:sz w:val="36"/>
          <w:highlight w:val="none"/>
        </w:rPr>
        <w:t> </w:t>
      </w:r>
    </w:p>
    <w:p w14:paraId="127C612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72"/>
          <w:highlight w:val="none"/>
        </w:rPr>
        <w:t> </w:t>
      </w:r>
    </w:p>
    <w:p w14:paraId="4B94DD54">
      <w:pPr>
        <w:pBdr>
          <w:top w:val="none" w:color="000000" w:sz="0" w:space="0"/>
          <w:left w:val="none" w:color="000000" w:sz="0" w:space="0"/>
          <w:bottom w:val="none" w:color="000000" w:sz="0" w:space="0"/>
          <w:right w:val="none" w:color="000000" w:sz="0" w:space="0"/>
        </w:pBdr>
        <w:spacing w:before="210" w:after="210"/>
        <w:ind w:left="600" w:right="0" w:firstLine="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w:t>
      </w:r>
    </w:p>
    <w:p w14:paraId="152B0BAD">
      <w:pPr>
        <w:pBdr>
          <w:top w:val="none" w:color="000000" w:sz="0" w:space="0"/>
          <w:left w:val="none" w:color="000000" w:sz="0" w:space="0"/>
          <w:bottom w:val="none" w:color="000000" w:sz="0" w:space="0"/>
          <w:right w:val="none" w:color="000000" w:sz="0" w:space="0"/>
        </w:pBdr>
        <w:spacing w:before="210" w:after="210"/>
        <w:ind w:left="600" w:right="0" w:firstLine="0"/>
        <w:jc w:val="both"/>
        <w:rPr>
          <w:rFonts w:hint="eastAsia" w:ascii="宋体" w:hAnsi="宋体" w:eastAsia="宋体" w:cs="宋体"/>
          <w:color w:val="auto"/>
          <w:sz w:val="21"/>
          <w:highlight w:val="none"/>
        </w:rPr>
      </w:pPr>
    </w:p>
    <w:p w14:paraId="79673485">
      <w:pPr>
        <w:pBdr>
          <w:top w:val="none" w:color="000000" w:sz="0" w:space="0"/>
          <w:left w:val="none" w:color="000000" w:sz="0" w:space="0"/>
          <w:bottom w:val="none" w:color="000000" w:sz="0" w:space="0"/>
          <w:right w:val="none" w:color="000000" w:sz="0" w:space="0"/>
        </w:pBdr>
        <w:spacing w:before="210" w:after="210"/>
        <w:ind w:left="600" w:right="0" w:firstLine="0"/>
        <w:jc w:val="both"/>
        <w:rPr>
          <w:rFonts w:hint="eastAsia" w:ascii="宋体" w:hAnsi="宋体" w:eastAsia="宋体" w:cs="宋体"/>
          <w:color w:val="auto"/>
          <w:sz w:val="21"/>
          <w:highlight w:val="none"/>
        </w:rPr>
      </w:pPr>
    </w:p>
    <w:p w14:paraId="5E9297F6">
      <w:pPr>
        <w:pBdr>
          <w:top w:val="none" w:color="000000" w:sz="0" w:space="0"/>
          <w:left w:val="none" w:color="000000" w:sz="0" w:space="0"/>
          <w:bottom w:val="none" w:color="000000" w:sz="0" w:space="0"/>
          <w:right w:val="none" w:color="000000" w:sz="0" w:space="0"/>
        </w:pBdr>
        <w:spacing w:before="210" w:after="210"/>
        <w:ind w:left="600" w:right="0" w:firstLine="0"/>
        <w:jc w:val="both"/>
        <w:rPr>
          <w:rFonts w:hint="eastAsia" w:ascii="宋体" w:hAnsi="宋体" w:eastAsia="宋体" w:cs="宋体"/>
          <w:color w:val="auto"/>
          <w:sz w:val="21"/>
          <w:highlight w:val="none"/>
        </w:rPr>
      </w:pPr>
    </w:p>
    <w:p w14:paraId="49F1ECFC">
      <w:pPr>
        <w:pBdr>
          <w:top w:val="none" w:color="000000" w:sz="0" w:space="0"/>
          <w:left w:val="none" w:color="000000" w:sz="0" w:space="0"/>
          <w:bottom w:val="none" w:color="000000" w:sz="0" w:space="0"/>
          <w:right w:val="none" w:color="000000" w:sz="0" w:space="0"/>
        </w:pBdr>
        <w:spacing w:before="210" w:after="210"/>
        <w:ind w:left="600" w:right="0" w:firstLine="0"/>
        <w:jc w:val="both"/>
        <w:rPr>
          <w:rFonts w:hint="eastAsia" w:ascii="宋体" w:hAnsi="宋体" w:eastAsia="宋体" w:cs="宋体"/>
          <w:color w:val="auto"/>
          <w:sz w:val="21"/>
          <w:highlight w:val="none"/>
        </w:rPr>
      </w:pPr>
    </w:p>
    <w:p w14:paraId="25359CE1">
      <w:pPr>
        <w:pBdr>
          <w:top w:val="none" w:color="000000" w:sz="0" w:space="0"/>
          <w:left w:val="none" w:color="000000" w:sz="0" w:space="0"/>
          <w:bottom w:val="none" w:color="000000" w:sz="0" w:space="0"/>
          <w:right w:val="none" w:color="000000" w:sz="0" w:space="0"/>
        </w:pBdr>
        <w:spacing w:before="210" w:after="210"/>
        <w:ind w:left="60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0BBC06D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36"/>
          <w:highlight w:val="none"/>
        </w:rPr>
        <w:t> </w:t>
      </w:r>
    </w:p>
    <w:p w14:paraId="748F1F1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6"/>
          <w:highlight w:val="none"/>
        </w:rPr>
        <w:t>江苏省设备成套股份有限公司</w:t>
      </w:r>
    </w:p>
    <w:p w14:paraId="75C93D00">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6"/>
          <w:highlight w:val="none"/>
          <w:lang w:eastAsia="zh-CN"/>
        </w:rPr>
        <w:t>2026年</w:t>
      </w:r>
      <w:r>
        <w:rPr>
          <w:rFonts w:hint="eastAsia" w:ascii="宋体" w:hAnsi="宋体" w:eastAsia="宋体" w:cs="宋体"/>
          <w:b/>
          <w:color w:val="auto"/>
          <w:sz w:val="36"/>
          <w:highlight w:val="none"/>
          <w:lang w:val="en-US" w:eastAsia="zh-CN"/>
        </w:rPr>
        <w:t>6</w:t>
      </w:r>
      <w:r>
        <w:rPr>
          <w:rFonts w:hint="eastAsia" w:ascii="宋体" w:hAnsi="宋体" w:eastAsia="宋体" w:cs="宋体"/>
          <w:b/>
          <w:color w:val="auto"/>
          <w:sz w:val="36"/>
          <w:highlight w:val="none"/>
          <w:lang w:eastAsia="zh-CN"/>
        </w:rPr>
        <w:t>月</w:t>
      </w:r>
    </w:p>
    <w:p w14:paraId="06B43938">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60C4FE0A">
      <w:pPr>
        <w:pBdr>
          <w:top w:val="none" w:color="000000" w:sz="0" w:space="0"/>
          <w:left w:val="none" w:color="000000" w:sz="0" w:space="0"/>
          <w:bottom w:val="none" w:color="000000" w:sz="0" w:space="0"/>
          <w:right w:val="none" w:color="000000" w:sz="0" w:space="0"/>
        </w:pBdr>
        <w:spacing w:before="0" w:after="0" w:line="113" w:lineRule="atLeast"/>
        <w:ind w:left="0" w:right="0" w:firstLine="0"/>
        <w:jc w:val="both"/>
        <w:rPr>
          <w:rFonts w:hint="eastAsia" w:ascii="宋体" w:hAnsi="宋体" w:eastAsia="宋体" w:cs="宋体"/>
          <w:color w:val="auto"/>
          <w:sz w:val="28"/>
          <w:highlight w:val="none"/>
        </w:rPr>
      </w:pPr>
      <w:r>
        <w:rPr>
          <w:rFonts w:hint="eastAsia" w:ascii="宋体" w:hAnsi="宋体" w:eastAsia="宋体" w:cs="宋体"/>
          <w:color w:val="auto"/>
          <w:sz w:val="28"/>
          <w:highlight w:val="none"/>
        </w:rPr>
        <w:t> </w:t>
      </w:r>
    </w:p>
    <w:sdt>
      <w:sdtPr>
        <w:rPr>
          <w:rFonts w:hint="eastAsia" w:ascii="宋体" w:hAnsi="宋体" w:eastAsia="宋体" w:cs="宋体"/>
          <w:b/>
          <w:bCs/>
          <w:color w:val="auto"/>
          <w:sz w:val="44"/>
          <w:szCs w:val="48"/>
          <w:highlight w:val="none"/>
        </w:rPr>
        <w:id w:val="147454263"/>
        <w15:color w:val="DBDBDB"/>
        <w:docPartObj>
          <w:docPartGallery w:val="Table of Contents"/>
          <w:docPartUnique/>
        </w:docPartObj>
      </w:sdtPr>
      <w:sdtEndPr>
        <w:rPr>
          <w:rFonts w:hint="eastAsia" w:ascii="宋体" w:hAnsi="宋体" w:eastAsia="宋体" w:cs="宋体"/>
          <w:b/>
          <w:bCs/>
          <w:color w:val="auto"/>
          <w:sz w:val="21"/>
          <w:szCs w:val="22"/>
          <w:highlight w:val="none"/>
        </w:rPr>
      </w:sdtEndPr>
      <w:sdtContent>
        <w:p w14:paraId="7667C82D">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44"/>
              <w:szCs w:val="48"/>
              <w:highlight w:val="none"/>
            </w:rPr>
          </w:pPr>
          <w:r>
            <w:rPr>
              <w:rFonts w:hint="eastAsia" w:ascii="宋体" w:hAnsi="宋体" w:eastAsia="宋体" w:cs="宋体"/>
              <w:b/>
              <w:bCs/>
              <w:color w:val="auto"/>
              <w:sz w:val="44"/>
              <w:szCs w:val="48"/>
              <w:highlight w:val="none"/>
            </w:rPr>
            <w:t>目录</w:t>
          </w:r>
        </w:p>
        <w:p w14:paraId="6095C674">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44"/>
              <w:szCs w:val="48"/>
              <w:highlight w:val="none"/>
            </w:rPr>
          </w:pPr>
        </w:p>
        <w:p w14:paraId="5668A8E0">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44"/>
              <w:szCs w:val="48"/>
              <w:highlight w:val="none"/>
            </w:rPr>
          </w:pPr>
        </w:p>
        <w:p w14:paraId="26865E0D">
          <w:pPr>
            <w:pStyle w:val="23"/>
            <w:keepNext w:val="0"/>
            <w:keepLines w:val="0"/>
            <w:pageBreakBefore w:val="0"/>
            <w:widowControl/>
            <w:tabs>
              <w:tab w:val="right" w:leader="dot" w:pos="8336"/>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TOC \o "1-1" \h \u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_Toc21735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lang w:val="en-US" w:eastAsia="zh-CN"/>
            </w:rPr>
            <w:t xml:space="preserve">第一章 </w:t>
          </w:r>
          <w:r>
            <w:rPr>
              <w:rFonts w:hint="eastAsia" w:ascii="宋体" w:hAnsi="宋体" w:eastAsia="宋体" w:cs="宋体"/>
              <w:b/>
              <w:bCs/>
              <w:color w:val="auto"/>
              <w:sz w:val="24"/>
              <w:szCs w:val="24"/>
              <w:highlight w:val="none"/>
            </w:rPr>
            <w:t>招标公告</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_Toc21735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6E73B9A3">
          <w:pPr>
            <w:pStyle w:val="23"/>
            <w:keepNext w:val="0"/>
            <w:keepLines w:val="0"/>
            <w:pageBreakBefore w:val="0"/>
            <w:widowControl/>
            <w:tabs>
              <w:tab w:val="right" w:leader="dot" w:pos="8336"/>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_Toc30725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第二章</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投标人须知</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_Toc30725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5</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2F7D63B3">
          <w:pPr>
            <w:pStyle w:val="23"/>
            <w:keepNext w:val="0"/>
            <w:keepLines w:val="0"/>
            <w:pageBreakBefore w:val="0"/>
            <w:widowControl/>
            <w:tabs>
              <w:tab w:val="right" w:leader="dot" w:pos="8336"/>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_Toc25643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第三章</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评标标准</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_Toc25643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21</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4FA39ECF">
          <w:pPr>
            <w:pStyle w:val="23"/>
            <w:keepNext w:val="0"/>
            <w:keepLines w:val="0"/>
            <w:pageBreakBefore w:val="0"/>
            <w:widowControl/>
            <w:tabs>
              <w:tab w:val="right" w:leader="dot" w:pos="8336"/>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_Toc17383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第四章 </w:t>
          </w:r>
          <w:r>
            <w:rPr>
              <w:rFonts w:hint="eastAsia" w:ascii="宋体" w:hAnsi="宋体" w:eastAsia="宋体" w:cs="宋体"/>
              <w:b/>
              <w:bCs/>
              <w:color w:val="auto"/>
              <w:sz w:val="24"/>
              <w:szCs w:val="24"/>
              <w:highlight w:val="none"/>
              <w:lang w:val="en-US" w:eastAsia="zh-CN"/>
            </w:rPr>
            <w:t>技术要求</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_Toc17383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24</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0BB71403">
          <w:pPr>
            <w:pStyle w:val="23"/>
            <w:keepNext w:val="0"/>
            <w:keepLines w:val="0"/>
            <w:pageBreakBefore w:val="0"/>
            <w:widowControl/>
            <w:tabs>
              <w:tab w:val="right" w:leader="dot" w:pos="8336"/>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_Toc2591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第五章 合同主要条款</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_Toc2591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28</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4B533C89">
          <w:pPr>
            <w:pStyle w:val="23"/>
            <w:keepNext w:val="0"/>
            <w:keepLines w:val="0"/>
            <w:pageBreakBefore w:val="0"/>
            <w:widowControl/>
            <w:tabs>
              <w:tab w:val="right" w:leader="dot" w:pos="8336"/>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_Toc20831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第六章 投标文件格式及附件</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_Toc20831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52</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4328F3A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auto"/>
            <w:ind w:left="0" w:right="0" w:firstLine="0"/>
            <w:jc w:val="both"/>
            <w:textAlignment w:val="auto"/>
            <w:rPr>
              <w:rFonts w:hint="eastAsia" w:ascii="宋体" w:hAnsi="宋体" w:eastAsia="宋体" w:cs="宋体"/>
              <w:color w:val="auto"/>
              <w:sz w:val="21"/>
              <w:szCs w:val="22"/>
              <w:highlight w:val="none"/>
            </w:rPr>
          </w:pPr>
          <w:r>
            <w:rPr>
              <w:rFonts w:hint="eastAsia" w:ascii="宋体" w:hAnsi="宋体" w:eastAsia="宋体" w:cs="宋体"/>
              <w:b/>
              <w:bCs/>
              <w:color w:val="auto"/>
              <w:sz w:val="24"/>
              <w:szCs w:val="24"/>
              <w:highlight w:val="none"/>
            </w:rPr>
            <w:fldChar w:fldCharType="end"/>
          </w:r>
        </w:p>
      </w:sdtContent>
    </w:sdt>
    <w:p w14:paraId="3504D458">
      <w:pPr>
        <w:pBdr>
          <w:top w:val="none" w:color="000000" w:sz="0" w:space="0"/>
          <w:left w:val="none" w:color="000000" w:sz="0" w:space="0"/>
          <w:bottom w:val="none" w:color="000000" w:sz="0" w:space="0"/>
          <w:right w:val="none" w:color="000000" w:sz="0" w:space="0"/>
        </w:pBdr>
        <w:spacing w:before="0" w:after="0" w:line="113" w:lineRule="atLeast"/>
        <w:ind w:left="0" w:right="0" w:firstLine="0"/>
        <w:jc w:val="both"/>
        <w:rPr>
          <w:rFonts w:hint="eastAsia" w:ascii="宋体" w:hAnsi="宋体" w:eastAsia="宋体" w:cs="宋体"/>
          <w:color w:val="auto"/>
          <w:sz w:val="21"/>
          <w:szCs w:val="22"/>
          <w:highlight w:val="none"/>
        </w:rPr>
      </w:pPr>
    </w:p>
    <w:p w14:paraId="4960162E">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6"/>
          <w:highlight w:val="none"/>
        </w:rPr>
        <w:t> </w:t>
      </w:r>
    </w:p>
    <w:p w14:paraId="2DEE403E">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宋体" w:hAnsi="宋体" w:eastAsia="宋体" w:cs="宋体"/>
          <w:color w:val="auto"/>
          <w:highlight w:val="none"/>
        </w:rPr>
      </w:pPr>
    </w:p>
    <w:p w14:paraId="6A3C74CE">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683D4DCF">
      <w:pPr>
        <w:pStyle w:val="3"/>
        <w:pBdr>
          <w:top w:val="none" w:color="000000" w:sz="0" w:space="0"/>
          <w:left w:val="none" w:color="000000" w:sz="0" w:space="0"/>
          <w:bottom w:val="none" w:color="000000" w:sz="0" w:space="0"/>
          <w:right w:val="none" w:color="000000" w:sz="0" w:space="0"/>
        </w:pBdr>
        <w:spacing w:before="340" w:after="330" w:line="768" w:lineRule="atLeast"/>
        <w:ind w:left="0" w:right="0" w:firstLine="0"/>
        <w:jc w:val="center"/>
        <w:rPr>
          <w:rFonts w:hint="eastAsia" w:ascii="宋体" w:hAnsi="宋体" w:eastAsia="宋体" w:cs="宋体"/>
          <w:b/>
          <w:color w:val="auto"/>
          <w:sz w:val="32"/>
          <w:highlight w:val="none"/>
          <w:lang w:val="en-US" w:eastAsia="zh-CN"/>
        </w:rPr>
        <w:sectPr>
          <w:footerReference r:id="rId3" w:type="default"/>
          <w:pgSz w:w="11906" w:h="16840"/>
          <w:pgMar w:top="1214" w:right="1785" w:bottom="1363" w:left="1785" w:header="0" w:footer="1201" w:gutter="0"/>
          <w:cols w:space="720" w:num="1"/>
        </w:sectPr>
      </w:pPr>
    </w:p>
    <w:p w14:paraId="74B2B4ED">
      <w:pPr>
        <w:pStyle w:val="3"/>
        <w:pBdr>
          <w:top w:val="none" w:color="000000" w:sz="0" w:space="0"/>
          <w:left w:val="none" w:color="000000" w:sz="0" w:space="0"/>
          <w:bottom w:val="none" w:color="000000" w:sz="0" w:space="0"/>
          <w:right w:val="none" w:color="000000" w:sz="0" w:space="0"/>
        </w:pBdr>
        <w:spacing w:before="340" w:after="330" w:line="768" w:lineRule="atLeast"/>
        <w:ind w:left="0" w:right="0" w:firstLine="0"/>
        <w:jc w:val="center"/>
        <w:rPr>
          <w:rFonts w:hint="eastAsia" w:ascii="宋体" w:hAnsi="宋体" w:eastAsia="宋体" w:cs="宋体"/>
          <w:b/>
          <w:color w:val="auto"/>
          <w:sz w:val="32"/>
          <w:highlight w:val="none"/>
        </w:rPr>
      </w:pPr>
      <w:bookmarkStart w:id="0" w:name="_Toc21735"/>
      <w:r>
        <w:rPr>
          <w:rFonts w:hint="eastAsia" w:ascii="宋体" w:hAnsi="宋体" w:eastAsia="宋体" w:cs="宋体"/>
          <w:b/>
          <w:color w:val="auto"/>
          <w:sz w:val="32"/>
          <w:highlight w:val="none"/>
          <w:lang w:val="en-US" w:eastAsia="zh-CN"/>
        </w:rPr>
        <w:t xml:space="preserve">第一章 </w:t>
      </w:r>
      <w:r>
        <w:rPr>
          <w:rFonts w:hint="eastAsia" w:ascii="宋体" w:hAnsi="宋体" w:eastAsia="宋体" w:cs="宋体"/>
          <w:b/>
          <w:color w:val="auto"/>
          <w:sz w:val="32"/>
          <w:highlight w:val="none"/>
        </w:rPr>
        <w:t>招标公告</w:t>
      </w:r>
      <w:bookmarkEnd w:id="0"/>
    </w:p>
    <w:p w14:paraId="6AFD7A9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69"/>
        <w:jc w:val="both"/>
        <w:textAlignment w:val="auto"/>
        <w:rPr>
          <w:rFonts w:hint="eastAsia" w:ascii="宋体" w:hAnsi="宋体" w:eastAsia="宋体" w:cs="宋体"/>
          <w:b/>
          <w:bCs/>
          <w:color w:val="auto"/>
          <w:highlight w:val="none"/>
        </w:rPr>
      </w:pPr>
      <w:r>
        <w:rPr>
          <w:rFonts w:hint="eastAsia" w:ascii="宋体" w:hAnsi="宋体" w:eastAsia="宋体" w:cs="宋体"/>
          <w:b/>
          <w:bCs/>
          <w:color w:val="auto"/>
          <w:spacing w:val="8"/>
          <w:sz w:val="21"/>
          <w:highlight w:val="none"/>
        </w:rPr>
        <w:t>项目概况</w:t>
      </w:r>
    </w:p>
    <w:p w14:paraId="180B8A4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60"/>
        <w:jc w:val="both"/>
        <w:textAlignment w:val="auto"/>
        <w:rPr>
          <w:rFonts w:hint="eastAsia" w:ascii="宋体" w:hAnsi="宋体" w:eastAsia="宋体" w:cs="宋体"/>
          <w:color w:val="auto"/>
          <w:highlight w:val="none"/>
        </w:rPr>
      </w:pPr>
      <w:r>
        <w:rPr>
          <w:rFonts w:hint="eastAsia" w:ascii="宋体" w:hAnsi="宋体" w:eastAsia="宋体" w:cs="宋体"/>
          <w:color w:val="auto"/>
          <w:spacing w:val="8"/>
          <w:sz w:val="21"/>
          <w:highlight w:val="none"/>
          <w:u w:val="single"/>
          <w:lang w:eastAsia="zh-CN"/>
        </w:rPr>
        <w:t>泗阳一号船闸上游19#靠船墩拆建及三号船闸上下游靠船墩维修项目（二次）</w:t>
      </w:r>
      <w:r>
        <w:rPr>
          <w:rFonts w:hint="eastAsia" w:ascii="宋体" w:hAnsi="宋体" w:eastAsia="宋体" w:cs="宋体"/>
          <w:color w:val="auto"/>
          <w:spacing w:val="8"/>
          <w:sz w:val="21"/>
          <w:highlight w:val="none"/>
        </w:rPr>
        <w:t>的潜在投标人应在</w:t>
      </w:r>
      <w:r>
        <w:rPr>
          <w:rFonts w:hint="eastAsia" w:ascii="宋体" w:hAnsi="宋体" w:eastAsia="宋体" w:cs="宋体"/>
          <w:color w:val="auto"/>
          <w:spacing w:val="8"/>
          <w:sz w:val="21"/>
          <w:highlight w:val="none"/>
          <w:u w:val="single"/>
          <w:lang w:val="en-US" w:eastAsia="zh-CN"/>
        </w:rPr>
        <w:t xml:space="preserve"> </w:t>
      </w:r>
      <w:r>
        <w:rPr>
          <w:rFonts w:hint="eastAsia" w:ascii="宋体" w:hAnsi="宋体" w:eastAsia="宋体" w:cs="宋体"/>
          <w:color w:val="auto"/>
          <w:sz w:val="21"/>
          <w:highlight w:val="none"/>
          <w:u w:val="single"/>
        </w:rPr>
        <w:t>江苏政府采购网</w:t>
      </w:r>
      <w:r>
        <w:rPr>
          <w:rFonts w:hint="eastAsia" w:ascii="宋体" w:hAnsi="宋体" w:eastAsia="宋体" w:cs="宋体"/>
          <w:color w:val="auto"/>
          <w:sz w:val="21"/>
          <w:highlight w:val="none"/>
          <w:u w:val="single"/>
          <w:lang w:val="en-US" w:eastAsia="zh-CN"/>
        </w:rPr>
        <w:t xml:space="preserve"> </w:t>
      </w:r>
      <w:r>
        <w:rPr>
          <w:rFonts w:hint="eastAsia" w:ascii="宋体" w:hAnsi="宋体" w:eastAsia="宋体" w:cs="宋体"/>
          <w:color w:val="auto"/>
          <w:spacing w:val="8"/>
          <w:sz w:val="21"/>
          <w:highlight w:val="none"/>
        </w:rPr>
        <w:t>获取招标文件，并于</w:t>
      </w:r>
      <w:r>
        <w:rPr>
          <w:rFonts w:hint="eastAsia" w:ascii="宋体" w:hAnsi="宋体" w:eastAsia="宋体" w:cs="宋体"/>
          <w:color w:val="auto"/>
          <w:spacing w:val="8"/>
          <w:sz w:val="21"/>
          <w:highlight w:val="none"/>
          <w:lang w:eastAsia="zh-CN"/>
        </w:rPr>
        <w:t>2026年</w:t>
      </w:r>
      <w:r>
        <w:rPr>
          <w:rFonts w:hint="eastAsia" w:ascii="宋体" w:hAnsi="宋体" w:eastAsia="宋体" w:cs="宋体"/>
          <w:color w:val="auto"/>
          <w:spacing w:val="8"/>
          <w:sz w:val="21"/>
          <w:highlight w:val="none"/>
          <w:lang w:val="en-US" w:eastAsia="zh-CN"/>
        </w:rPr>
        <w:t>7</w:t>
      </w:r>
      <w:r>
        <w:rPr>
          <w:rFonts w:hint="eastAsia" w:ascii="宋体" w:hAnsi="宋体" w:eastAsia="宋体" w:cs="宋体"/>
          <w:color w:val="auto"/>
          <w:spacing w:val="8"/>
          <w:sz w:val="21"/>
          <w:highlight w:val="none"/>
          <w:lang w:eastAsia="zh-CN"/>
        </w:rPr>
        <w:t>月</w:t>
      </w:r>
      <w:r>
        <w:rPr>
          <w:rFonts w:hint="eastAsia" w:ascii="宋体" w:hAnsi="宋体" w:eastAsia="宋体" w:cs="宋体"/>
          <w:color w:val="auto"/>
          <w:spacing w:val="8"/>
          <w:sz w:val="21"/>
          <w:highlight w:val="none"/>
          <w:lang w:val="en-US" w:eastAsia="zh-CN"/>
        </w:rPr>
        <w:t>3</w:t>
      </w:r>
      <w:r>
        <w:rPr>
          <w:rFonts w:hint="eastAsia" w:ascii="宋体" w:hAnsi="宋体" w:eastAsia="宋体" w:cs="宋体"/>
          <w:color w:val="auto"/>
          <w:spacing w:val="8"/>
          <w:sz w:val="21"/>
          <w:highlight w:val="none"/>
        </w:rPr>
        <w:t>日</w:t>
      </w:r>
      <w:r>
        <w:rPr>
          <w:rFonts w:hint="eastAsia" w:ascii="宋体" w:hAnsi="宋体" w:eastAsia="宋体" w:cs="宋体"/>
          <w:color w:val="auto"/>
          <w:spacing w:val="8"/>
          <w:sz w:val="21"/>
          <w:highlight w:val="none"/>
          <w:lang w:val="en-US" w:eastAsia="zh-CN"/>
        </w:rPr>
        <w:t xml:space="preserve"> 9时00分</w:t>
      </w:r>
      <w:r>
        <w:rPr>
          <w:rFonts w:hint="eastAsia" w:ascii="宋体" w:hAnsi="宋体" w:eastAsia="宋体" w:cs="宋体"/>
          <w:color w:val="auto"/>
          <w:spacing w:val="8"/>
          <w:sz w:val="21"/>
          <w:highlight w:val="none"/>
        </w:rPr>
        <w:t>（北京时间）前递交投标文件。</w:t>
      </w:r>
    </w:p>
    <w:p w14:paraId="4DD658F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69"/>
        <w:jc w:val="both"/>
        <w:textAlignment w:val="auto"/>
        <w:rPr>
          <w:rFonts w:hint="eastAsia" w:ascii="宋体" w:hAnsi="宋体" w:eastAsia="宋体" w:cs="宋体"/>
          <w:color w:val="auto"/>
          <w:highlight w:val="none"/>
        </w:rPr>
      </w:pPr>
      <w:r>
        <w:rPr>
          <w:rFonts w:hint="eastAsia" w:ascii="宋体" w:hAnsi="宋体" w:eastAsia="宋体" w:cs="宋体"/>
          <w:color w:val="auto"/>
          <w:spacing w:val="8"/>
          <w:sz w:val="21"/>
          <w:highlight w:val="none"/>
        </w:rPr>
        <w:t> </w:t>
      </w:r>
    </w:p>
    <w:p w14:paraId="4510D58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0"/>
        <w:jc w:val="both"/>
        <w:textAlignment w:val="auto"/>
        <w:rPr>
          <w:rFonts w:hint="eastAsia" w:ascii="宋体" w:hAnsi="宋体" w:eastAsia="宋体" w:cs="宋体"/>
          <w:color w:val="auto"/>
          <w:highlight w:val="none"/>
        </w:rPr>
      </w:pPr>
      <w:r>
        <w:rPr>
          <w:rFonts w:hint="eastAsia" w:ascii="宋体" w:hAnsi="宋体" w:eastAsia="宋体" w:cs="宋体"/>
          <w:color w:val="auto"/>
          <w:spacing w:val="8"/>
          <w:sz w:val="24"/>
          <w:highlight w:val="none"/>
        </w:rPr>
        <w:t> </w:t>
      </w:r>
      <w:r>
        <w:rPr>
          <w:rFonts w:hint="eastAsia" w:ascii="宋体" w:hAnsi="宋体" w:eastAsia="宋体" w:cs="宋体"/>
          <w:b/>
          <w:color w:val="auto"/>
          <w:spacing w:val="8"/>
          <w:sz w:val="24"/>
          <w:highlight w:val="none"/>
        </w:rPr>
        <w:t>一、项目基本情况</w:t>
      </w:r>
    </w:p>
    <w:p w14:paraId="414A051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lang w:eastAsia="zh-CN"/>
        </w:rPr>
      </w:pPr>
      <w:r>
        <w:rPr>
          <w:rFonts w:hint="eastAsia" w:ascii="宋体" w:hAnsi="宋体" w:eastAsia="宋体" w:cs="宋体"/>
          <w:color w:val="auto"/>
          <w:spacing w:val="8"/>
          <w:sz w:val="21"/>
          <w:highlight w:val="none"/>
        </w:rPr>
        <w:t>1.1项目编号：</w:t>
      </w:r>
      <w:r>
        <w:rPr>
          <w:rFonts w:hint="eastAsia" w:ascii="宋体" w:hAnsi="宋体" w:eastAsia="宋体" w:cs="宋体"/>
          <w:color w:val="auto"/>
          <w:spacing w:val="8"/>
          <w:sz w:val="21"/>
          <w:highlight w:val="none"/>
          <w:lang w:eastAsia="zh-CN"/>
        </w:rPr>
        <w:t>JSZC-320000-JCEC-G2026-0184</w:t>
      </w:r>
      <w:r>
        <w:rPr>
          <w:rFonts w:hint="eastAsia" w:ascii="宋体" w:hAnsi="宋体" w:eastAsia="宋体" w:cs="宋体"/>
          <w:color w:val="auto"/>
          <w:spacing w:val="8"/>
          <w:sz w:val="21"/>
          <w:highlight w:val="none"/>
        </w:rPr>
        <w:tab/>
      </w:r>
    </w:p>
    <w:p w14:paraId="0FA3929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lang w:eastAsia="zh-CN"/>
        </w:rPr>
      </w:pPr>
      <w:r>
        <w:rPr>
          <w:rFonts w:hint="eastAsia" w:ascii="宋体" w:hAnsi="宋体" w:eastAsia="宋体" w:cs="宋体"/>
          <w:color w:val="auto"/>
          <w:spacing w:val="8"/>
          <w:sz w:val="21"/>
          <w:highlight w:val="none"/>
        </w:rPr>
        <w:t>1.2项目名称：</w:t>
      </w:r>
      <w:r>
        <w:rPr>
          <w:rFonts w:hint="eastAsia" w:ascii="宋体" w:hAnsi="宋体" w:eastAsia="宋体" w:cs="宋体"/>
          <w:color w:val="auto"/>
          <w:spacing w:val="8"/>
          <w:sz w:val="21"/>
          <w:highlight w:val="none"/>
          <w:lang w:eastAsia="zh-CN"/>
        </w:rPr>
        <w:t>泗阳一号船闸上游19#靠船墩拆建及三号船闸上下游靠船墩维修项目（二次）。</w:t>
      </w:r>
    </w:p>
    <w:p w14:paraId="2F71905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lang w:eastAsia="zh-CN"/>
        </w:rPr>
      </w:pPr>
      <w:r>
        <w:rPr>
          <w:rFonts w:hint="eastAsia" w:ascii="宋体" w:hAnsi="宋体" w:eastAsia="宋体" w:cs="宋体"/>
          <w:color w:val="auto"/>
          <w:spacing w:val="8"/>
          <w:sz w:val="21"/>
          <w:highlight w:val="none"/>
        </w:rPr>
        <w:t>1.3预算金额：</w:t>
      </w:r>
      <w:r>
        <w:rPr>
          <w:rFonts w:hint="eastAsia" w:ascii="宋体" w:hAnsi="宋体" w:eastAsia="宋体" w:cs="宋体"/>
          <w:color w:val="auto"/>
          <w:spacing w:val="8"/>
          <w:sz w:val="21"/>
          <w:highlight w:val="none"/>
          <w:lang w:val="en-US" w:eastAsia="zh-CN"/>
        </w:rPr>
        <w:t>230</w:t>
      </w:r>
      <w:r>
        <w:rPr>
          <w:rFonts w:hint="eastAsia" w:ascii="宋体" w:hAnsi="宋体" w:eastAsia="宋体" w:cs="宋体"/>
          <w:color w:val="auto"/>
          <w:spacing w:val="8"/>
          <w:sz w:val="21"/>
          <w:highlight w:val="none"/>
        </w:rPr>
        <w:t>万元</w:t>
      </w:r>
      <w:r>
        <w:rPr>
          <w:rFonts w:hint="eastAsia" w:ascii="宋体" w:hAnsi="宋体" w:eastAsia="宋体" w:cs="宋体"/>
          <w:color w:val="auto"/>
          <w:spacing w:val="8"/>
          <w:sz w:val="21"/>
          <w:highlight w:val="none"/>
          <w:lang w:eastAsia="zh-CN"/>
        </w:rPr>
        <w:t>。</w:t>
      </w:r>
    </w:p>
    <w:p w14:paraId="0FB4D21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tabs>
          <w:tab w:val="left" w:pos="3975"/>
        </w:tabs>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lang w:val="en-US" w:eastAsia="zh-CN"/>
        </w:rPr>
      </w:pPr>
      <w:r>
        <w:rPr>
          <w:rFonts w:hint="eastAsia" w:ascii="宋体" w:hAnsi="宋体" w:eastAsia="宋体" w:cs="宋体"/>
          <w:color w:val="auto"/>
          <w:spacing w:val="8"/>
          <w:sz w:val="21"/>
          <w:highlight w:val="none"/>
        </w:rPr>
        <w:t>1.4最高限价：</w:t>
      </w:r>
      <w:r>
        <w:rPr>
          <w:rFonts w:hint="eastAsia" w:ascii="宋体" w:hAnsi="宋体" w:eastAsia="宋体" w:cs="宋体"/>
          <w:color w:val="auto"/>
          <w:spacing w:val="8"/>
          <w:sz w:val="21"/>
          <w:highlight w:val="none"/>
          <w:lang w:val="en-US" w:eastAsia="zh-CN"/>
        </w:rPr>
        <w:t>219</w:t>
      </w:r>
      <w:r>
        <w:rPr>
          <w:rFonts w:hint="eastAsia" w:ascii="宋体" w:hAnsi="宋体" w:eastAsia="宋体" w:cs="宋体"/>
          <w:color w:val="auto"/>
          <w:spacing w:val="8"/>
          <w:sz w:val="21"/>
          <w:highlight w:val="none"/>
        </w:rPr>
        <w:t>万元</w:t>
      </w:r>
      <w:r>
        <w:rPr>
          <w:rFonts w:hint="eastAsia" w:ascii="宋体" w:hAnsi="宋体" w:eastAsia="宋体" w:cs="宋体"/>
          <w:color w:val="auto"/>
          <w:spacing w:val="8"/>
          <w:sz w:val="21"/>
          <w:highlight w:val="none"/>
          <w:lang w:val="en-US" w:eastAsia="zh-CN"/>
        </w:rPr>
        <w:t>。</w:t>
      </w:r>
    </w:p>
    <w:p w14:paraId="02E289B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rPr>
      </w:pPr>
      <w:r>
        <w:rPr>
          <w:rFonts w:hint="eastAsia" w:ascii="宋体" w:hAnsi="宋体" w:eastAsia="宋体" w:cs="宋体"/>
          <w:color w:val="auto"/>
          <w:spacing w:val="8"/>
          <w:sz w:val="21"/>
          <w:highlight w:val="none"/>
        </w:rPr>
        <w:t>1.5采购需求：</w:t>
      </w:r>
      <w:r>
        <w:rPr>
          <w:rFonts w:hint="eastAsia" w:ascii="宋体" w:hAnsi="宋体" w:eastAsia="宋体" w:cs="宋体"/>
          <w:color w:val="auto"/>
          <w:spacing w:val="8"/>
          <w:sz w:val="21"/>
          <w:highlight w:val="none"/>
          <w:lang w:eastAsia="zh-CN"/>
        </w:rPr>
        <w:t>泗阳一号船闸上游19#靠船墩拆建及三号船闸上下游靠船墩维修</w:t>
      </w:r>
      <w:r>
        <w:rPr>
          <w:rFonts w:hint="eastAsia" w:ascii="宋体" w:hAnsi="宋体" w:eastAsia="宋体" w:cs="宋体"/>
          <w:color w:val="auto"/>
          <w:spacing w:val="8"/>
          <w:sz w:val="21"/>
          <w:highlight w:val="none"/>
        </w:rPr>
        <w:t>，具体要求见招标文件</w:t>
      </w:r>
      <w:r>
        <w:rPr>
          <w:rFonts w:hint="eastAsia" w:ascii="宋体" w:hAnsi="宋体" w:eastAsia="宋体" w:cs="宋体"/>
          <w:color w:val="auto"/>
          <w:spacing w:val="8"/>
          <w:kern w:val="0"/>
          <w:szCs w:val="21"/>
          <w:highlight w:val="none"/>
        </w:rPr>
        <w:t xml:space="preserve">“第四章 </w:t>
      </w:r>
      <w:r>
        <w:rPr>
          <w:rFonts w:hint="eastAsia" w:ascii="宋体" w:hAnsi="宋体" w:eastAsia="宋体" w:cs="宋体"/>
          <w:color w:val="auto"/>
          <w:spacing w:val="8"/>
          <w:kern w:val="0"/>
          <w:szCs w:val="21"/>
          <w:highlight w:val="none"/>
          <w:lang w:val="en-US" w:eastAsia="zh-CN"/>
        </w:rPr>
        <w:t>技术要求</w:t>
      </w:r>
      <w:r>
        <w:rPr>
          <w:rFonts w:hint="eastAsia" w:ascii="宋体" w:hAnsi="宋体" w:eastAsia="宋体" w:cs="宋体"/>
          <w:color w:val="auto"/>
          <w:spacing w:val="8"/>
          <w:kern w:val="0"/>
          <w:szCs w:val="21"/>
          <w:highlight w:val="none"/>
        </w:rPr>
        <w:t>”</w:t>
      </w:r>
      <w:r>
        <w:rPr>
          <w:rFonts w:hint="eastAsia" w:ascii="宋体" w:hAnsi="宋体" w:eastAsia="宋体" w:cs="宋体"/>
          <w:color w:val="auto"/>
          <w:spacing w:val="8"/>
          <w:sz w:val="21"/>
          <w:highlight w:val="none"/>
        </w:rPr>
        <w:t>。</w:t>
      </w:r>
    </w:p>
    <w:p w14:paraId="5A987B9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rPr>
      </w:pPr>
      <w:r>
        <w:rPr>
          <w:rFonts w:hint="eastAsia" w:ascii="宋体" w:hAnsi="宋体" w:eastAsia="宋体" w:cs="宋体"/>
          <w:color w:val="auto"/>
          <w:spacing w:val="8"/>
          <w:sz w:val="21"/>
          <w:highlight w:val="none"/>
        </w:rPr>
        <w:t>1.6合同履行期限：工期5个月。缺陷责任期12个月。</w:t>
      </w:r>
    </w:p>
    <w:p w14:paraId="15E3AB1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rPr>
      </w:pPr>
      <w:r>
        <w:rPr>
          <w:rFonts w:hint="eastAsia" w:ascii="宋体" w:hAnsi="宋体" w:eastAsia="宋体" w:cs="宋体"/>
          <w:color w:val="auto"/>
          <w:spacing w:val="8"/>
          <w:sz w:val="21"/>
          <w:highlight w:val="none"/>
        </w:rPr>
        <w:t>1.7行业划分：</w:t>
      </w:r>
      <w:r>
        <w:rPr>
          <w:rFonts w:hint="eastAsia" w:ascii="宋体" w:hAnsi="宋体" w:eastAsia="宋体" w:cs="宋体"/>
          <w:color w:val="auto"/>
          <w:spacing w:val="8"/>
          <w:kern w:val="0"/>
          <w:szCs w:val="21"/>
          <w:highlight w:val="none"/>
          <w:lang w:val="en-US" w:eastAsia="zh-CN"/>
        </w:rPr>
        <w:t>建筑业</w:t>
      </w:r>
      <w:r>
        <w:rPr>
          <w:rFonts w:hint="eastAsia" w:ascii="宋体" w:hAnsi="宋体" w:eastAsia="宋体" w:cs="宋体"/>
          <w:color w:val="auto"/>
          <w:spacing w:val="8"/>
          <w:kern w:val="0"/>
          <w:szCs w:val="21"/>
          <w:highlight w:val="none"/>
        </w:rPr>
        <w:t>。</w:t>
      </w:r>
    </w:p>
    <w:p w14:paraId="41930A5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rPr>
      </w:pPr>
      <w:r>
        <w:rPr>
          <w:rFonts w:hint="eastAsia" w:ascii="宋体" w:hAnsi="宋体" w:eastAsia="宋体" w:cs="宋体"/>
          <w:color w:val="auto"/>
          <w:spacing w:val="8"/>
          <w:sz w:val="21"/>
          <w:highlight w:val="none"/>
        </w:rPr>
        <w:t>1.8</w:t>
      </w:r>
      <w:r>
        <w:rPr>
          <w:rFonts w:hint="eastAsia" w:ascii="宋体" w:hAnsi="宋体" w:eastAsia="宋体" w:cs="宋体"/>
          <w:color w:val="auto"/>
          <w:spacing w:val="8"/>
          <w:kern w:val="0"/>
          <w:szCs w:val="21"/>
          <w:highlight w:val="none"/>
        </w:rPr>
        <w:t>本项目非专门面向中小企业（或监狱企业或残疾人福利性单位）采购。</w:t>
      </w:r>
    </w:p>
    <w:p w14:paraId="261F38D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spacing w:val="8"/>
          <w:sz w:val="21"/>
          <w:highlight w:val="none"/>
        </w:rPr>
      </w:pPr>
      <w:r>
        <w:rPr>
          <w:rFonts w:hint="eastAsia" w:ascii="宋体" w:hAnsi="宋体" w:eastAsia="宋体" w:cs="宋体"/>
          <w:color w:val="auto"/>
          <w:spacing w:val="8"/>
          <w:sz w:val="21"/>
          <w:highlight w:val="none"/>
        </w:rPr>
        <w:t>1.9本项目</w:t>
      </w:r>
      <w:r>
        <w:rPr>
          <w:color w:val="auto"/>
          <w:spacing w:val="8"/>
          <w:kern w:val="0"/>
          <w:szCs w:val="21"/>
          <w:highlight w:val="none"/>
        </w:rPr>
        <w:t>不</w:t>
      </w:r>
      <w:r>
        <w:rPr>
          <w:rFonts w:hint="eastAsia" w:ascii="宋体" w:hAnsi="宋体" w:eastAsia="宋体" w:cs="宋体"/>
          <w:color w:val="auto"/>
          <w:spacing w:val="8"/>
          <w:sz w:val="21"/>
          <w:highlight w:val="none"/>
        </w:rPr>
        <w:t>接受联合体投标。</w:t>
      </w:r>
    </w:p>
    <w:p w14:paraId="72190C5A">
      <w:pPr>
        <w:pStyle w:val="2"/>
        <w:keepNext w:val="0"/>
        <w:keepLines w:val="0"/>
        <w:pageBreakBefore w:val="0"/>
        <w:widowControl/>
        <w:kinsoku/>
        <w:overflowPunct/>
        <w:topLinePunct w:val="0"/>
        <w:autoSpaceDE/>
        <w:autoSpaceDN/>
        <w:bidi w:val="0"/>
        <w:adjustRightInd w:val="0"/>
        <w:snapToGrid w:val="0"/>
        <w:spacing w:line="360" w:lineRule="auto"/>
        <w:textAlignment w:val="auto"/>
        <w:rPr>
          <w:rFonts w:hint="eastAsia"/>
          <w:color w:val="auto"/>
          <w:highlight w:val="none"/>
        </w:rPr>
      </w:pPr>
    </w:p>
    <w:p w14:paraId="467F0AA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color w:val="auto"/>
          <w:highlight w:val="none"/>
        </w:rPr>
      </w:pPr>
      <w:r>
        <w:rPr>
          <w:rFonts w:hint="eastAsia" w:ascii="宋体" w:hAnsi="宋体" w:eastAsia="宋体" w:cs="宋体"/>
          <w:b/>
          <w:color w:val="auto"/>
          <w:spacing w:val="8"/>
          <w:sz w:val="24"/>
          <w:highlight w:val="none"/>
        </w:rPr>
        <w:t>二、申请人的资格要求</w:t>
      </w:r>
    </w:p>
    <w:p w14:paraId="4A30DB3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rPr>
      </w:pPr>
      <w:r>
        <w:rPr>
          <w:rFonts w:hint="eastAsia" w:ascii="宋体" w:hAnsi="宋体" w:eastAsia="宋体" w:cs="宋体"/>
          <w:b/>
          <w:color w:val="auto"/>
          <w:spacing w:val="8"/>
          <w:sz w:val="21"/>
          <w:highlight w:val="none"/>
        </w:rPr>
        <w:t>2.1满足《中华人民共和国政府采购法》第二十二条规定：</w:t>
      </w:r>
    </w:p>
    <w:p w14:paraId="288AE58D">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（1）具有独立承担民事责任的能力（提供法人或者其他组织的营业执照；</w:t>
      </w:r>
      <w:r>
        <w:rPr>
          <w:rFonts w:hint="eastAsia" w:ascii="宋体" w:hAnsi="宋体" w:eastAsia="宋体" w:cs="宋体"/>
          <w:bCs/>
          <w:color w:val="auto"/>
          <w:szCs w:val="21"/>
          <w:highlight w:val="none"/>
          <w:lang w:eastAsia="zh-CN"/>
        </w:rPr>
        <w:t>投标人</w:t>
      </w:r>
      <w:r>
        <w:rPr>
          <w:rFonts w:hint="eastAsia" w:ascii="宋体" w:hAnsi="宋体" w:eastAsia="宋体" w:cs="宋体"/>
          <w:bCs/>
          <w:color w:val="auto"/>
          <w:szCs w:val="21"/>
          <w:highlight w:val="none"/>
        </w:rPr>
        <w:t xml:space="preserve">为自然人的提供其身份证）； </w:t>
      </w:r>
    </w:p>
    <w:p w14:paraId="6BD8748A">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（2）具有良好的商业信誉和健全的财务会计制度（提供2024或2025年度经审计的财务报告，成立不满一年的提供至少一个月财务报告，或</w:t>
      </w:r>
      <w:r>
        <w:rPr>
          <w:rFonts w:hint="eastAsia" w:ascii="宋体" w:hAnsi="宋体" w:eastAsia="宋体" w:cs="宋体"/>
          <w:bCs/>
          <w:color w:val="auto"/>
          <w:szCs w:val="21"/>
          <w:highlight w:val="none"/>
          <w:lang w:eastAsia="zh-CN"/>
        </w:rPr>
        <w:t>投标截止时间</w:t>
      </w:r>
      <w:r>
        <w:rPr>
          <w:rFonts w:hint="eastAsia" w:ascii="宋体" w:hAnsi="宋体" w:eastAsia="宋体" w:cs="宋体"/>
          <w:bCs/>
          <w:color w:val="auto"/>
          <w:szCs w:val="21"/>
          <w:highlight w:val="none"/>
        </w:rPr>
        <w:t>前六个月内银行出具的资信证明）；</w:t>
      </w:r>
    </w:p>
    <w:p w14:paraId="08F6BC0F">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（3）具有履行合同所必需的设备和专业技术能力（</w:t>
      </w:r>
      <w:r>
        <w:rPr>
          <w:rFonts w:hint="eastAsia" w:ascii="宋体" w:hAnsi="宋体" w:eastAsia="宋体" w:cs="宋体"/>
          <w:bCs/>
          <w:color w:val="auto"/>
          <w:szCs w:val="21"/>
          <w:highlight w:val="none"/>
          <w:lang w:eastAsia="zh-CN"/>
        </w:rPr>
        <w:t>投标人</w:t>
      </w:r>
      <w:r>
        <w:rPr>
          <w:rFonts w:hint="eastAsia" w:ascii="宋体" w:hAnsi="宋体" w:eastAsia="宋体" w:cs="宋体"/>
          <w:bCs/>
          <w:color w:val="auto"/>
          <w:szCs w:val="21"/>
          <w:highlight w:val="none"/>
        </w:rPr>
        <w:t>根据履行采购项目合同需要，提供履行合同所必需的设备和专业技术能力的证明材料</w:t>
      </w:r>
      <w:r>
        <w:rPr>
          <w:rFonts w:hint="eastAsia" w:ascii="宋体" w:hAnsi="宋体" w:eastAsia="宋体" w:cs="宋体"/>
          <w:bCs/>
          <w:color w:val="auto"/>
          <w:szCs w:val="21"/>
          <w:highlight w:val="none"/>
          <w:lang w:val="en-US" w:eastAsia="zh-CN"/>
        </w:rPr>
        <w:t>或</w:t>
      </w:r>
      <w:r>
        <w:rPr>
          <w:rFonts w:hint="eastAsia" w:ascii="宋体" w:hAnsi="宋体" w:eastAsia="宋体" w:cs="宋体"/>
          <w:bCs/>
          <w:color w:val="auto"/>
          <w:szCs w:val="21"/>
          <w:highlight w:val="none"/>
        </w:rPr>
        <w:t>提供承诺书）；</w:t>
      </w:r>
    </w:p>
    <w:p w14:paraId="121D680A">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（4）有依法缴纳税收和社会保障资金的良好记录（提供参加本次政府采购活动前半年内至少一个月：①提供缴纳税收的凭证；②提供缴纳社会保险的凭据，依法享受免缴、缓缴的，提供证明材料）；</w:t>
      </w:r>
    </w:p>
    <w:p w14:paraId="03729BCF">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（5）参加政府采购活动前三年内，在经营活动中没有重大违法记录（提供承诺书）；</w:t>
      </w:r>
    </w:p>
    <w:p w14:paraId="2B153332">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（6）法律、行政法规规定的其他条件：无</w:t>
      </w:r>
    </w:p>
    <w:p w14:paraId="4F2493E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rPr>
      </w:pPr>
      <w:r>
        <w:rPr>
          <w:rFonts w:hint="eastAsia" w:ascii="宋体" w:hAnsi="宋体" w:eastAsia="宋体" w:cs="宋体"/>
          <w:b/>
          <w:color w:val="auto"/>
          <w:spacing w:val="8"/>
          <w:sz w:val="21"/>
          <w:highlight w:val="none"/>
        </w:rPr>
        <w:t>2.2落实政府采购政策需满足的资格要求：无。</w:t>
      </w:r>
    </w:p>
    <w:p w14:paraId="629E89C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b/>
          <w:color w:val="auto"/>
          <w:sz w:val="21"/>
          <w:highlight w:val="none"/>
        </w:rPr>
      </w:pPr>
      <w:r>
        <w:rPr>
          <w:rFonts w:hint="eastAsia" w:ascii="宋体" w:hAnsi="宋体" w:eastAsia="宋体" w:cs="宋体"/>
          <w:b/>
          <w:color w:val="auto"/>
          <w:spacing w:val="8"/>
          <w:sz w:val="21"/>
          <w:highlight w:val="none"/>
        </w:rPr>
        <w:t>2.3</w:t>
      </w:r>
      <w:r>
        <w:rPr>
          <w:rFonts w:hint="eastAsia" w:ascii="宋体" w:hAnsi="宋体" w:eastAsia="宋体" w:cs="宋体"/>
          <w:b/>
          <w:color w:val="auto"/>
          <w:sz w:val="21"/>
          <w:highlight w:val="none"/>
        </w:rPr>
        <w:t>采购人根据采购项目的特殊要求规定的特定条件，并提供符合特殊要求的证明材料或者情况说明：</w:t>
      </w:r>
    </w:p>
    <w:p w14:paraId="229553BF">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w:t>
      </w:r>
      <w:r>
        <w:rPr>
          <w:rFonts w:hint="eastAsia" w:ascii="宋体" w:hAnsi="宋体" w:eastAsia="宋体" w:cs="宋体"/>
          <w:b/>
          <w:bCs w:val="0"/>
          <w:color w:val="auto"/>
          <w:szCs w:val="21"/>
          <w:highlight w:val="none"/>
        </w:rPr>
        <w:t>资质要求：</w:t>
      </w:r>
      <w:r>
        <w:rPr>
          <w:rFonts w:hint="eastAsia" w:ascii="宋体" w:hAnsi="宋体" w:eastAsia="宋体" w:cs="宋体"/>
          <w:b w:val="0"/>
          <w:bCs/>
          <w:color w:val="auto"/>
          <w:szCs w:val="21"/>
          <w:highlight w:val="none"/>
        </w:rPr>
        <w:t>具有住房和城乡建设行政主管部门核发的</w:t>
      </w:r>
      <w:r>
        <w:rPr>
          <w:rFonts w:hint="eastAsia" w:ascii="宋体" w:hAnsi="宋体" w:eastAsia="宋体" w:cs="宋体"/>
          <w:b/>
          <w:bCs w:val="0"/>
          <w:color w:val="auto"/>
          <w:szCs w:val="21"/>
          <w:highlight w:val="none"/>
        </w:rPr>
        <w:t>《安全生产许可证》</w:t>
      </w:r>
      <w:r>
        <w:rPr>
          <w:rFonts w:hint="eastAsia" w:ascii="宋体" w:hAnsi="宋体" w:eastAsia="宋体" w:cs="宋体"/>
          <w:b w:val="0"/>
          <w:bCs/>
          <w:color w:val="auto"/>
          <w:szCs w:val="21"/>
          <w:highlight w:val="none"/>
        </w:rPr>
        <w:t>；具有住建行政主管部门颁发的</w:t>
      </w:r>
      <w:r>
        <w:rPr>
          <w:rFonts w:hint="eastAsia" w:ascii="宋体" w:hAnsi="宋体" w:eastAsia="宋体" w:cs="宋体"/>
          <w:b/>
          <w:bCs w:val="0"/>
          <w:color w:val="auto"/>
          <w:szCs w:val="21"/>
          <w:highlight w:val="none"/>
        </w:rPr>
        <w:t>港口与航道工程施工总承包二级及以上</w:t>
      </w:r>
      <w:r>
        <w:rPr>
          <w:rFonts w:hint="eastAsia" w:ascii="宋体" w:hAnsi="宋体" w:eastAsia="宋体" w:cs="宋体"/>
          <w:b w:val="0"/>
          <w:bCs/>
          <w:color w:val="auto"/>
          <w:szCs w:val="21"/>
          <w:highlight w:val="none"/>
        </w:rPr>
        <w:t>资质或</w:t>
      </w:r>
      <w:r>
        <w:rPr>
          <w:rFonts w:hint="eastAsia" w:ascii="宋体" w:hAnsi="宋体" w:eastAsia="宋体" w:cs="宋体"/>
          <w:b/>
          <w:bCs w:val="0"/>
          <w:color w:val="auto"/>
          <w:szCs w:val="21"/>
          <w:highlight w:val="none"/>
        </w:rPr>
        <w:t>通航建筑物工程专业承包二级及以上</w:t>
      </w:r>
      <w:r>
        <w:rPr>
          <w:rFonts w:hint="eastAsia" w:ascii="宋体" w:hAnsi="宋体" w:eastAsia="宋体" w:cs="宋体"/>
          <w:b w:val="0"/>
          <w:bCs/>
          <w:color w:val="auto"/>
          <w:szCs w:val="21"/>
          <w:highlight w:val="none"/>
        </w:rPr>
        <w:t>资质。</w:t>
      </w:r>
    </w:p>
    <w:p w14:paraId="76FFE035">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
          <w:bCs w:val="0"/>
          <w:color w:val="auto"/>
          <w:szCs w:val="21"/>
          <w:highlight w:val="none"/>
        </w:rPr>
      </w:pPr>
      <w:r>
        <w:rPr>
          <w:rFonts w:hint="eastAsia" w:ascii="宋体" w:hAnsi="宋体" w:eastAsia="宋体" w:cs="宋体"/>
          <w:b w:val="0"/>
          <w:bCs/>
          <w:color w:val="auto"/>
          <w:szCs w:val="21"/>
          <w:highlight w:val="none"/>
        </w:rPr>
        <w:t>（2）</w:t>
      </w:r>
      <w:r>
        <w:rPr>
          <w:rFonts w:hint="eastAsia" w:ascii="宋体" w:hAnsi="宋体" w:eastAsia="宋体" w:cs="宋体"/>
          <w:b/>
          <w:bCs w:val="0"/>
          <w:color w:val="auto"/>
          <w:szCs w:val="21"/>
          <w:highlight w:val="none"/>
        </w:rPr>
        <w:t>主要人员要求：</w:t>
      </w:r>
    </w:p>
    <w:p w14:paraId="5E256B35">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①拟投入本项目的项目经理应持有有效</w:t>
      </w:r>
      <w:r>
        <w:rPr>
          <w:rFonts w:hint="eastAsia" w:ascii="宋体" w:hAnsi="宋体" w:eastAsia="宋体" w:cs="宋体"/>
          <w:b/>
          <w:bCs w:val="0"/>
          <w:color w:val="auto"/>
          <w:szCs w:val="21"/>
          <w:highlight w:val="none"/>
        </w:rPr>
        <w:t>一级注册建造师（港口与航道工程）证书或二级及以上注册建造师（水利水电工程）</w:t>
      </w:r>
      <w:r>
        <w:rPr>
          <w:rFonts w:hint="eastAsia" w:ascii="宋体" w:hAnsi="宋体" w:eastAsia="宋体" w:cs="宋体"/>
          <w:b w:val="0"/>
          <w:bCs/>
          <w:color w:val="auto"/>
          <w:szCs w:val="21"/>
          <w:highlight w:val="none"/>
        </w:rPr>
        <w:t>证书，具有省级交通运输行政主管部门核发的《公路水运工程施工企业主要负责人和安全生产管理人员安全生产考核合格证书》</w:t>
      </w:r>
      <w:r>
        <w:rPr>
          <w:rFonts w:hint="eastAsia" w:ascii="宋体" w:hAnsi="宋体" w:eastAsia="宋体" w:cs="宋体"/>
          <w:b/>
          <w:bCs w:val="0"/>
          <w:color w:val="auto"/>
          <w:szCs w:val="21"/>
          <w:highlight w:val="none"/>
        </w:rPr>
        <w:t>（B类）</w:t>
      </w:r>
      <w:r>
        <w:rPr>
          <w:rFonts w:hint="eastAsia" w:ascii="宋体" w:hAnsi="宋体" w:eastAsia="宋体" w:cs="宋体"/>
          <w:b w:val="0"/>
          <w:bCs/>
          <w:color w:val="auto"/>
          <w:szCs w:val="21"/>
          <w:highlight w:val="none"/>
        </w:rPr>
        <w:t>或《公路水运工程施工单位主要负责人、项目负责人和专职安全生产管理人员安全生产考核合格证书》</w:t>
      </w:r>
      <w:r>
        <w:rPr>
          <w:rFonts w:hint="eastAsia" w:ascii="宋体" w:hAnsi="宋体" w:eastAsia="宋体" w:cs="宋体"/>
          <w:b/>
          <w:bCs w:val="0"/>
          <w:color w:val="auto"/>
          <w:szCs w:val="21"/>
          <w:highlight w:val="none"/>
        </w:rPr>
        <w:t>（B类）</w:t>
      </w:r>
      <w:r>
        <w:rPr>
          <w:rFonts w:hint="eastAsia" w:ascii="宋体" w:hAnsi="宋体" w:eastAsia="宋体" w:cs="宋体"/>
          <w:b w:val="0"/>
          <w:bCs/>
          <w:color w:val="auto"/>
          <w:szCs w:val="21"/>
          <w:highlight w:val="none"/>
        </w:rPr>
        <w:t>。</w:t>
      </w:r>
    </w:p>
    <w:p w14:paraId="5FC66A8B">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②拟投入本项目的项目总工须具有高级工程师或以上技术职称。</w:t>
      </w:r>
    </w:p>
    <w:p w14:paraId="4F5DEB31">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③</w:t>
      </w:r>
      <w:r>
        <w:rPr>
          <w:rFonts w:hint="eastAsia" w:ascii="宋体" w:hAnsi="宋体" w:eastAsia="宋体" w:cs="宋体"/>
          <w:b w:val="0"/>
          <w:bCs/>
          <w:color w:val="auto"/>
          <w:szCs w:val="21"/>
          <w:highlight w:val="none"/>
          <w:lang w:val="en-US" w:eastAsia="zh-CN"/>
        </w:rPr>
        <w:t>投标人</w:t>
      </w:r>
      <w:r>
        <w:rPr>
          <w:rFonts w:hint="eastAsia" w:ascii="宋体" w:hAnsi="宋体" w:eastAsia="宋体" w:cs="宋体"/>
          <w:b w:val="0"/>
          <w:bCs/>
          <w:color w:val="auto"/>
          <w:szCs w:val="21"/>
          <w:highlight w:val="none"/>
        </w:rPr>
        <w:t>至少配备</w:t>
      </w:r>
      <w:r>
        <w:rPr>
          <w:rFonts w:hint="eastAsia" w:ascii="宋体" w:hAnsi="宋体" w:eastAsia="宋体" w:cs="宋体"/>
          <w:b w:val="0"/>
          <w:bCs/>
          <w:color w:val="auto"/>
          <w:szCs w:val="21"/>
          <w:highlight w:val="none"/>
          <w:lang w:val="en-US" w:eastAsia="zh-CN"/>
        </w:rPr>
        <w:t>1</w:t>
      </w:r>
      <w:r>
        <w:rPr>
          <w:rFonts w:hint="eastAsia" w:ascii="宋体" w:hAnsi="宋体" w:eastAsia="宋体" w:cs="宋体"/>
          <w:b w:val="0"/>
          <w:bCs/>
          <w:color w:val="auto"/>
          <w:szCs w:val="21"/>
          <w:highlight w:val="none"/>
        </w:rPr>
        <w:t>名专职安全员，专职安全员具有省级交通运输行政主管部门核发的《公路水运工程施工企业主要负责人和安全生产管理人员安全生产考核合格证书》</w:t>
      </w:r>
      <w:r>
        <w:rPr>
          <w:rFonts w:hint="eastAsia" w:ascii="宋体" w:hAnsi="宋体" w:eastAsia="宋体" w:cs="宋体"/>
          <w:b/>
          <w:bCs w:val="0"/>
          <w:color w:val="auto"/>
          <w:szCs w:val="21"/>
          <w:highlight w:val="none"/>
        </w:rPr>
        <w:t>（C类）</w:t>
      </w:r>
      <w:r>
        <w:rPr>
          <w:rFonts w:hint="eastAsia" w:ascii="宋体" w:hAnsi="宋体" w:eastAsia="宋体" w:cs="宋体"/>
          <w:b w:val="0"/>
          <w:bCs/>
          <w:color w:val="auto"/>
          <w:szCs w:val="21"/>
          <w:highlight w:val="none"/>
        </w:rPr>
        <w:t>或《公路水运工程施工单位主要负责人、项目负责人和专职安全生产管理人员安全生产考核合格证书》</w:t>
      </w:r>
      <w:r>
        <w:rPr>
          <w:rFonts w:hint="eastAsia" w:ascii="宋体" w:hAnsi="宋体" w:eastAsia="宋体" w:cs="宋体"/>
          <w:b/>
          <w:bCs w:val="0"/>
          <w:color w:val="auto"/>
          <w:szCs w:val="21"/>
          <w:highlight w:val="none"/>
        </w:rPr>
        <w:t>（C类）</w:t>
      </w:r>
      <w:r>
        <w:rPr>
          <w:rFonts w:hint="eastAsia" w:ascii="宋体" w:hAnsi="宋体" w:eastAsia="宋体" w:cs="宋体"/>
          <w:b w:val="0"/>
          <w:bCs/>
          <w:color w:val="auto"/>
          <w:szCs w:val="21"/>
          <w:highlight w:val="none"/>
        </w:rPr>
        <w:t>。</w:t>
      </w:r>
    </w:p>
    <w:p w14:paraId="656090F1">
      <w:pPr>
        <w:keepNext w:val="0"/>
        <w:keepLines w:val="0"/>
        <w:pageBreakBefore w:val="0"/>
        <w:widowControl/>
        <w:kinsoku/>
        <w:overflowPunct/>
        <w:topLinePunct w:val="0"/>
        <w:autoSpaceDE/>
        <w:autoSpaceDN/>
        <w:bidi w:val="0"/>
        <w:adjustRightInd w:val="0"/>
        <w:snapToGrid w:val="0"/>
        <w:spacing w:line="360" w:lineRule="auto"/>
        <w:ind w:firstLine="426" w:firstLineChars="202"/>
        <w:textAlignment w:val="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（3）其他要求：</w:t>
      </w:r>
    </w:p>
    <w:p w14:paraId="7D668ACC">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①拟投入的项目经理、项目总工无在岗项目（指目前未在其他项目上任职，或虽在其他项目上任职但本项目中标后能够从该项目撤离，提供相应承诺书，格式自拟）。</w:t>
      </w:r>
    </w:p>
    <w:p w14:paraId="3860CDDE">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②拟投入本项目的项目经理、项目总工及专职安全员需提供所属社保机构出具的</w:t>
      </w:r>
      <w:r>
        <w:rPr>
          <w:rFonts w:hint="eastAsia" w:ascii="宋体" w:hAnsi="宋体" w:eastAsia="宋体" w:cs="宋体"/>
          <w:b w:val="0"/>
          <w:bCs/>
          <w:color w:val="auto"/>
          <w:szCs w:val="21"/>
          <w:highlight w:val="none"/>
          <w:lang w:eastAsia="zh-CN"/>
        </w:rPr>
        <w:t>投标</w:t>
      </w:r>
      <w:r>
        <w:rPr>
          <w:rFonts w:hint="eastAsia" w:ascii="宋体" w:hAnsi="宋体" w:eastAsia="宋体" w:cs="宋体"/>
          <w:b w:val="0"/>
          <w:bCs/>
          <w:color w:val="auto"/>
          <w:szCs w:val="21"/>
          <w:highlight w:val="none"/>
        </w:rPr>
        <w:t>截止时间前六个月内任意一个月</w:t>
      </w:r>
      <w:r>
        <w:rPr>
          <w:rFonts w:hint="eastAsia" w:ascii="宋体" w:hAnsi="宋体" w:eastAsia="宋体" w:cs="宋体"/>
          <w:b w:val="0"/>
          <w:bCs/>
          <w:color w:val="auto"/>
          <w:szCs w:val="21"/>
          <w:highlight w:val="none"/>
          <w:lang w:eastAsia="zh-CN"/>
        </w:rPr>
        <w:t>投标人</w:t>
      </w:r>
      <w:r>
        <w:rPr>
          <w:rFonts w:hint="eastAsia" w:ascii="宋体" w:hAnsi="宋体" w:eastAsia="宋体" w:cs="宋体"/>
          <w:b w:val="0"/>
          <w:bCs/>
          <w:color w:val="auto"/>
          <w:szCs w:val="21"/>
          <w:highlight w:val="none"/>
        </w:rPr>
        <w:t>为其缴纳的社保证明（缴费证明内容需含缴费起止时间、缴费单位、缴费人员姓名并由社保机构加盖缴费证明专用章</w:t>
      </w: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rPr>
        <w:t>。</w:t>
      </w:r>
    </w:p>
    <w:p w14:paraId="404BE55B">
      <w:pPr>
        <w:keepNext w:val="0"/>
        <w:keepLines w:val="0"/>
        <w:pageBreakBefore w:val="0"/>
        <w:widowControl/>
        <w:kinsoku/>
        <w:overflowPunct/>
        <w:topLinePunct w:val="0"/>
        <w:autoSpaceDE/>
        <w:autoSpaceDN/>
        <w:bidi w:val="0"/>
        <w:adjustRightInd w:val="0"/>
        <w:snapToGrid w:val="0"/>
        <w:spacing w:line="360" w:lineRule="auto"/>
        <w:ind w:firstLine="456" w:firstLineChars="202"/>
        <w:textAlignment w:val="auto"/>
        <w:rPr>
          <w:rFonts w:hint="eastAsia" w:ascii="宋体" w:hAnsi="宋体" w:eastAsia="宋体" w:cs="宋体"/>
          <w:bCs/>
          <w:color w:val="auto"/>
          <w:szCs w:val="21"/>
          <w:highlight w:val="none"/>
        </w:rPr>
      </w:pPr>
      <w:r>
        <w:rPr>
          <w:rFonts w:hint="eastAsia" w:ascii="宋体" w:hAnsi="宋体" w:eastAsia="宋体" w:cs="宋体"/>
          <w:color w:val="auto"/>
          <w:spacing w:val="8"/>
          <w:kern w:val="0"/>
          <w:szCs w:val="21"/>
          <w:highlight w:val="none"/>
        </w:rPr>
        <w:t>2.4</w:t>
      </w:r>
      <w:r>
        <w:rPr>
          <w:rFonts w:hint="eastAsia" w:ascii="宋体" w:hAnsi="宋体" w:eastAsia="宋体" w:cs="宋体"/>
          <w:bCs/>
          <w:color w:val="auto"/>
          <w:szCs w:val="21"/>
          <w:highlight w:val="none"/>
        </w:rPr>
        <w:t>第2.1（5）条所称重大违法记录，是指</w:t>
      </w:r>
      <w:r>
        <w:rPr>
          <w:rFonts w:hint="eastAsia" w:ascii="宋体" w:hAnsi="宋体" w:eastAsia="宋体" w:cs="宋体"/>
          <w:bCs/>
          <w:color w:val="auto"/>
          <w:szCs w:val="21"/>
          <w:highlight w:val="none"/>
          <w:lang w:eastAsia="zh-CN"/>
        </w:rPr>
        <w:t>投标人</w:t>
      </w:r>
      <w:r>
        <w:rPr>
          <w:rFonts w:hint="eastAsia" w:ascii="宋体" w:hAnsi="宋体" w:eastAsia="宋体" w:cs="宋体"/>
          <w:bCs/>
          <w:color w:val="auto"/>
          <w:szCs w:val="21"/>
          <w:highlight w:val="none"/>
        </w:rPr>
        <w:t>因违法经营受到刑事处罚或者责令停产停业、吊销许可证或者执照、较大数额罚款等行政处罚。</w:t>
      </w:r>
    </w:p>
    <w:p w14:paraId="7B120B1F">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w:t>
      </w:r>
      <w:r>
        <w:rPr>
          <w:rFonts w:hint="eastAsia" w:ascii="宋体" w:hAnsi="宋体" w:eastAsia="宋体" w:cs="宋体"/>
          <w:bCs/>
          <w:color w:val="auto"/>
          <w:szCs w:val="21"/>
          <w:highlight w:val="none"/>
          <w:lang w:eastAsia="zh-CN"/>
        </w:rPr>
        <w:t>投标人</w:t>
      </w:r>
      <w:r>
        <w:rPr>
          <w:rFonts w:hint="eastAsia" w:ascii="宋体" w:hAnsi="宋体" w:eastAsia="宋体" w:cs="宋体"/>
          <w:bCs/>
          <w:color w:val="auto"/>
          <w:szCs w:val="21"/>
          <w:highlight w:val="none"/>
        </w:rPr>
        <w:t>在参加政府采购活动前3年内因违法经营被禁止在一定期限内参加政府采购活动，期限届满的，可以参加政府采购活动。</w:t>
      </w:r>
    </w:p>
    <w:p w14:paraId="5164A103">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2.6单位负责人为同一人或者存在直接控股、管理关系的不同</w:t>
      </w:r>
      <w:r>
        <w:rPr>
          <w:rFonts w:hint="eastAsia" w:ascii="宋体" w:hAnsi="宋体" w:eastAsia="宋体" w:cs="宋体"/>
          <w:bCs/>
          <w:color w:val="auto"/>
          <w:szCs w:val="21"/>
          <w:highlight w:val="none"/>
          <w:lang w:eastAsia="zh-CN"/>
        </w:rPr>
        <w:t>投标人</w:t>
      </w:r>
      <w:r>
        <w:rPr>
          <w:rFonts w:hint="eastAsia" w:ascii="宋体" w:hAnsi="宋体" w:eastAsia="宋体" w:cs="宋体"/>
          <w:bCs/>
          <w:color w:val="auto"/>
          <w:szCs w:val="21"/>
          <w:highlight w:val="none"/>
        </w:rPr>
        <w:t>，不得参加同一合同项下的政府采购活动。</w:t>
      </w:r>
    </w:p>
    <w:p w14:paraId="53ADF910">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为采购项目提供整体设计、规范编制或者项目管理、</w:t>
      </w:r>
      <w:r>
        <w:rPr>
          <w:rFonts w:hint="eastAsia" w:ascii="宋体" w:hAnsi="宋体" w:eastAsia="宋体" w:cs="宋体"/>
          <w:bCs/>
          <w:color w:val="auto"/>
          <w:szCs w:val="21"/>
          <w:highlight w:val="none"/>
          <w:lang w:eastAsia="zh-CN"/>
        </w:rPr>
        <w:t>监理</w:t>
      </w:r>
      <w:r>
        <w:rPr>
          <w:rFonts w:hint="eastAsia" w:ascii="宋体" w:hAnsi="宋体" w:eastAsia="宋体" w:cs="宋体"/>
          <w:bCs/>
          <w:color w:val="auto"/>
          <w:szCs w:val="21"/>
          <w:highlight w:val="none"/>
        </w:rPr>
        <w:t>、检测等服务的</w:t>
      </w:r>
      <w:r>
        <w:rPr>
          <w:rFonts w:hint="eastAsia" w:ascii="宋体" w:hAnsi="宋体" w:eastAsia="宋体" w:cs="宋体"/>
          <w:bCs/>
          <w:color w:val="auto"/>
          <w:szCs w:val="21"/>
          <w:highlight w:val="none"/>
          <w:lang w:eastAsia="zh-CN"/>
        </w:rPr>
        <w:t>投标人</w:t>
      </w:r>
      <w:r>
        <w:rPr>
          <w:rFonts w:hint="eastAsia" w:ascii="宋体" w:hAnsi="宋体" w:eastAsia="宋体" w:cs="宋体"/>
          <w:bCs/>
          <w:color w:val="auto"/>
          <w:szCs w:val="21"/>
          <w:highlight w:val="none"/>
        </w:rPr>
        <w:t>，不得再参加该采购项目的其他采购活动。</w:t>
      </w:r>
    </w:p>
    <w:p w14:paraId="0EEA9C5F">
      <w:pPr>
        <w:keepNext w:val="0"/>
        <w:keepLines w:val="0"/>
        <w:pageBreakBefore w:val="0"/>
        <w:widowControl/>
        <w:pBdr>
          <w:top w:val="none" w:color="000000" w:sz="0" w:space="0"/>
          <w:left w:val="none" w:color="000000" w:sz="0" w:space="0"/>
          <w:bottom w:val="none" w:color="000000" w:sz="0" w:space="0"/>
          <w:right w:val="none" w:color="000000" w:sz="0" w:space="0"/>
        </w:pBdr>
        <w:kinsoku/>
        <w:overflowPunct/>
        <w:topLinePunct w:val="0"/>
        <w:autoSpaceDE/>
        <w:autoSpaceDN/>
        <w:bidi w:val="0"/>
        <w:adjustRightInd w:val="0"/>
        <w:snapToGrid w:val="0"/>
        <w:spacing w:before="0" w:after="0" w:line="360" w:lineRule="auto"/>
        <w:ind w:left="0" w:right="0" w:firstLine="424"/>
        <w:jc w:val="both"/>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2.7拒绝列入失信被执行人、重大税收违法失信主体、政府采购严重违法失信行为记录名单</w:t>
      </w:r>
      <w:r>
        <w:rPr>
          <w:rFonts w:hint="eastAsia" w:ascii="宋体" w:hAnsi="宋体" w:eastAsia="宋体" w:cs="宋体"/>
          <w:color w:val="auto"/>
          <w:szCs w:val="21"/>
          <w:highlight w:val="none"/>
          <w:shd w:val="clear" w:color="auto" w:fill="FFFFFF"/>
        </w:rPr>
        <w:t>及其他不符合《中华人民共和国政府采购法》第二十二条规定条件</w:t>
      </w:r>
      <w:r>
        <w:rPr>
          <w:rFonts w:hint="eastAsia" w:ascii="宋体" w:hAnsi="宋体" w:eastAsia="宋体" w:cs="宋体"/>
          <w:bCs/>
          <w:color w:val="auto"/>
          <w:szCs w:val="21"/>
          <w:highlight w:val="none"/>
        </w:rPr>
        <w:t>的</w:t>
      </w:r>
      <w:r>
        <w:rPr>
          <w:rFonts w:hint="eastAsia" w:ascii="宋体" w:hAnsi="宋体" w:eastAsia="宋体" w:cs="宋体"/>
          <w:bCs/>
          <w:color w:val="auto"/>
          <w:szCs w:val="21"/>
          <w:highlight w:val="none"/>
          <w:lang w:eastAsia="zh-CN"/>
        </w:rPr>
        <w:t>投标人</w:t>
      </w:r>
      <w:r>
        <w:rPr>
          <w:rFonts w:hint="eastAsia" w:ascii="宋体" w:hAnsi="宋体" w:eastAsia="宋体" w:cs="宋体"/>
          <w:bCs/>
          <w:color w:val="auto"/>
          <w:szCs w:val="21"/>
          <w:highlight w:val="none"/>
        </w:rPr>
        <w:t>参与政府采购活动。</w:t>
      </w:r>
      <w:r>
        <w:rPr>
          <w:rFonts w:hint="eastAsia" w:ascii="宋体" w:hAnsi="宋体" w:eastAsia="宋体" w:cs="宋体"/>
          <w:bCs/>
          <w:color w:val="auto"/>
          <w:szCs w:val="21"/>
          <w:highlight w:val="none"/>
          <w:lang w:val="en-US" w:eastAsia="zh-CN"/>
        </w:rPr>
        <w:t>招标</w:t>
      </w:r>
      <w:r>
        <w:rPr>
          <w:rFonts w:hint="eastAsia" w:ascii="宋体" w:hAnsi="宋体" w:eastAsia="宋体" w:cs="宋体"/>
          <w:bCs/>
          <w:color w:val="auto"/>
          <w:szCs w:val="21"/>
          <w:highlight w:val="none"/>
        </w:rPr>
        <w:t>小组对</w:t>
      </w:r>
      <w:r>
        <w:rPr>
          <w:rFonts w:hint="eastAsia" w:ascii="宋体" w:hAnsi="宋体" w:eastAsia="宋体" w:cs="宋体"/>
          <w:bCs/>
          <w:color w:val="auto"/>
          <w:szCs w:val="21"/>
          <w:highlight w:val="none"/>
          <w:lang w:eastAsia="zh-CN"/>
        </w:rPr>
        <w:t>投标</w:t>
      </w:r>
      <w:r>
        <w:rPr>
          <w:rFonts w:hint="eastAsia" w:ascii="宋体" w:hAnsi="宋体" w:eastAsia="宋体" w:cs="宋体"/>
          <w:bCs/>
          <w:color w:val="auto"/>
          <w:szCs w:val="21"/>
          <w:highlight w:val="none"/>
        </w:rPr>
        <w:t>文件进行审查时，依法通过</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中国政府采购网</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“信用中国”网站等渠道查询</w:t>
      </w:r>
      <w:r>
        <w:rPr>
          <w:rFonts w:hint="eastAsia" w:ascii="宋体" w:hAnsi="宋体" w:eastAsia="宋体" w:cs="宋体"/>
          <w:bCs/>
          <w:color w:val="auto"/>
          <w:szCs w:val="21"/>
          <w:highlight w:val="none"/>
          <w:lang w:eastAsia="zh-CN"/>
        </w:rPr>
        <w:t>投标人</w:t>
      </w:r>
      <w:r>
        <w:rPr>
          <w:rFonts w:hint="eastAsia" w:ascii="宋体" w:hAnsi="宋体" w:eastAsia="宋体" w:cs="宋体"/>
          <w:bCs/>
          <w:color w:val="auto"/>
          <w:szCs w:val="21"/>
          <w:highlight w:val="none"/>
        </w:rPr>
        <w:t>信用记录并保存。</w:t>
      </w:r>
    </w:p>
    <w:p w14:paraId="56C16B92">
      <w:pPr>
        <w:pStyle w:val="2"/>
        <w:keepNext w:val="0"/>
        <w:keepLines w:val="0"/>
        <w:pageBreakBefore w:val="0"/>
        <w:widowControl/>
        <w:kinsoku/>
        <w:overflowPunct/>
        <w:topLinePunct w:val="0"/>
        <w:autoSpaceDE/>
        <w:autoSpaceDN/>
        <w:bidi w:val="0"/>
        <w:adjustRightInd w:val="0"/>
        <w:snapToGrid w:val="0"/>
        <w:spacing w:line="360" w:lineRule="auto"/>
        <w:textAlignment w:val="auto"/>
        <w:rPr>
          <w:rFonts w:hint="eastAsia"/>
          <w:color w:val="auto"/>
          <w:highlight w:val="none"/>
        </w:rPr>
      </w:pPr>
    </w:p>
    <w:p w14:paraId="5ADA22F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0"/>
        <w:jc w:val="both"/>
        <w:textAlignment w:val="auto"/>
        <w:rPr>
          <w:rFonts w:hint="eastAsia" w:ascii="宋体" w:hAnsi="宋体" w:eastAsia="宋体" w:cs="宋体"/>
          <w:color w:val="auto"/>
          <w:highlight w:val="none"/>
        </w:rPr>
      </w:pPr>
      <w:r>
        <w:rPr>
          <w:rFonts w:hint="eastAsia" w:ascii="宋体" w:hAnsi="宋体" w:eastAsia="宋体" w:cs="宋体"/>
          <w:b/>
          <w:color w:val="auto"/>
          <w:spacing w:val="8"/>
          <w:sz w:val="24"/>
          <w:highlight w:val="none"/>
        </w:rPr>
        <w:t>三、获取招标文件</w:t>
      </w:r>
    </w:p>
    <w:p w14:paraId="0A74DD3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60"/>
        <w:jc w:val="both"/>
        <w:textAlignment w:val="auto"/>
        <w:rPr>
          <w:rFonts w:hint="eastAsia" w:ascii="宋体" w:hAnsi="宋体" w:eastAsia="宋体" w:cs="宋体"/>
          <w:color w:val="auto"/>
          <w:highlight w:val="none"/>
        </w:rPr>
      </w:pPr>
      <w:r>
        <w:rPr>
          <w:rFonts w:hint="eastAsia" w:ascii="宋体" w:hAnsi="宋体" w:eastAsia="宋体" w:cs="宋体"/>
          <w:color w:val="auto"/>
          <w:spacing w:val="8"/>
          <w:sz w:val="21"/>
          <w:highlight w:val="none"/>
        </w:rPr>
        <w:t>3.1时间：自本项目招标公告发布之日至</w:t>
      </w:r>
      <w:r>
        <w:rPr>
          <w:rFonts w:hint="eastAsia" w:ascii="宋体" w:hAnsi="宋体" w:eastAsia="宋体" w:cs="宋体"/>
          <w:color w:val="auto"/>
          <w:spacing w:val="8"/>
          <w:sz w:val="21"/>
          <w:highlight w:val="none"/>
          <w:lang w:eastAsia="zh-CN"/>
        </w:rPr>
        <w:t>2026年</w:t>
      </w:r>
      <w:r>
        <w:rPr>
          <w:rFonts w:hint="eastAsia" w:ascii="宋体" w:hAnsi="宋体" w:eastAsia="宋体" w:cs="宋体"/>
          <w:color w:val="auto"/>
          <w:spacing w:val="8"/>
          <w:sz w:val="21"/>
          <w:highlight w:val="none"/>
          <w:lang w:val="en-US" w:eastAsia="zh-CN"/>
        </w:rPr>
        <w:t>6</w:t>
      </w:r>
      <w:r>
        <w:rPr>
          <w:rFonts w:hint="eastAsia" w:ascii="宋体" w:hAnsi="宋体" w:eastAsia="宋体" w:cs="宋体"/>
          <w:color w:val="auto"/>
          <w:spacing w:val="8"/>
          <w:sz w:val="21"/>
          <w:highlight w:val="none"/>
          <w:lang w:eastAsia="zh-CN"/>
        </w:rPr>
        <w:t>月</w:t>
      </w:r>
      <w:r>
        <w:rPr>
          <w:rFonts w:hint="eastAsia" w:ascii="宋体" w:hAnsi="宋体" w:eastAsia="宋体" w:cs="宋体"/>
          <w:color w:val="auto"/>
          <w:spacing w:val="8"/>
          <w:sz w:val="21"/>
          <w:highlight w:val="none"/>
          <w:lang w:val="en-US" w:eastAsia="zh-CN"/>
        </w:rPr>
        <w:t>18</w:t>
      </w:r>
      <w:r>
        <w:rPr>
          <w:rFonts w:hint="eastAsia" w:ascii="宋体" w:hAnsi="宋体" w:eastAsia="宋体" w:cs="宋体"/>
          <w:color w:val="auto"/>
          <w:spacing w:val="8"/>
          <w:sz w:val="21"/>
          <w:highlight w:val="none"/>
        </w:rPr>
        <w:t>日17时30分（北京时间）。</w:t>
      </w:r>
    </w:p>
    <w:p w14:paraId="2E1CA88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60"/>
        <w:jc w:val="both"/>
        <w:textAlignment w:val="auto"/>
        <w:rPr>
          <w:rFonts w:hint="eastAsia" w:ascii="宋体" w:hAnsi="宋体" w:eastAsia="宋体" w:cs="宋体"/>
          <w:color w:val="auto"/>
          <w:highlight w:val="none"/>
        </w:rPr>
      </w:pPr>
      <w:r>
        <w:rPr>
          <w:rFonts w:hint="eastAsia" w:ascii="宋体" w:hAnsi="宋体" w:eastAsia="宋体" w:cs="宋体"/>
          <w:color w:val="auto"/>
          <w:spacing w:val="8"/>
          <w:sz w:val="21"/>
          <w:highlight w:val="none"/>
        </w:rPr>
        <w:t>3.2地点：江苏政府采购网</w:t>
      </w:r>
    </w:p>
    <w:p w14:paraId="61ECB3C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60"/>
        <w:jc w:val="both"/>
        <w:textAlignment w:val="auto"/>
        <w:rPr>
          <w:rFonts w:hint="eastAsia" w:ascii="宋体" w:hAnsi="宋体" w:eastAsia="宋体" w:cs="宋体"/>
          <w:color w:val="auto"/>
          <w:spacing w:val="8"/>
          <w:sz w:val="21"/>
          <w:highlight w:val="none"/>
        </w:rPr>
      </w:pPr>
      <w:r>
        <w:rPr>
          <w:rFonts w:hint="eastAsia" w:ascii="宋体" w:hAnsi="宋体" w:eastAsia="宋体" w:cs="宋体"/>
          <w:color w:val="auto"/>
          <w:spacing w:val="8"/>
          <w:sz w:val="21"/>
          <w:highlight w:val="none"/>
        </w:rPr>
        <w:t>3.3方式：网上下载</w:t>
      </w:r>
    </w:p>
    <w:p w14:paraId="279D174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60"/>
        <w:jc w:val="both"/>
        <w:textAlignment w:val="auto"/>
        <w:rPr>
          <w:rFonts w:hint="eastAsia" w:ascii="宋体" w:hAnsi="宋体" w:eastAsia="宋体" w:cs="宋体"/>
          <w:color w:val="auto"/>
          <w:spacing w:val="8"/>
          <w:sz w:val="21"/>
          <w:highlight w:val="none"/>
        </w:rPr>
      </w:pPr>
      <w:r>
        <w:rPr>
          <w:rFonts w:hint="eastAsia" w:ascii="宋体" w:hAnsi="宋体" w:eastAsia="宋体" w:cs="宋体"/>
          <w:color w:val="auto"/>
          <w:spacing w:val="8"/>
          <w:sz w:val="21"/>
          <w:highlight w:val="none"/>
        </w:rPr>
        <w:t>3.4售价：0.00元。</w:t>
      </w:r>
    </w:p>
    <w:p w14:paraId="2C87108A">
      <w:pPr>
        <w:pStyle w:val="2"/>
        <w:keepNext w:val="0"/>
        <w:keepLines w:val="0"/>
        <w:pageBreakBefore w:val="0"/>
        <w:widowControl/>
        <w:kinsoku/>
        <w:overflowPunct/>
        <w:topLinePunct w:val="0"/>
        <w:autoSpaceDE/>
        <w:autoSpaceDN/>
        <w:bidi w:val="0"/>
        <w:adjustRightInd w:val="0"/>
        <w:snapToGrid w:val="0"/>
        <w:spacing w:line="360" w:lineRule="auto"/>
        <w:textAlignment w:val="auto"/>
        <w:rPr>
          <w:rFonts w:hint="eastAsia"/>
          <w:color w:val="auto"/>
          <w:highlight w:val="none"/>
        </w:rPr>
      </w:pPr>
    </w:p>
    <w:p w14:paraId="64B1B93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0"/>
        <w:jc w:val="both"/>
        <w:textAlignment w:val="auto"/>
        <w:rPr>
          <w:rFonts w:hint="eastAsia" w:ascii="宋体" w:hAnsi="宋体" w:eastAsia="宋体" w:cs="宋体"/>
          <w:b/>
          <w:color w:val="auto"/>
          <w:spacing w:val="8"/>
          <w:sz w:val="24"/>
          <w:highlight w:val="none"/>
        </w:rPr>
      </w:pPr>
      <w:r>
        <w:rPr>
          <w:rFonts w:hint="eastAsia" w:ascii="宋体" w:hAnsi="宋体" w:eastAsia="宋体" w:cs="宋体"/>
          <w:b/>
          <w:color w:val="auto"/>
          <w:spacing w:val="8"/>
          <w:sz w:val="24"/>
          <w:highlight w:val="none"/>
        </w:rPr>
        <w:t>四、提交投标文件截止时间、开标时间和地点</w:t>
      </w:r>
    </w:p>
    <w:p w14:paraId="522A8B7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rPr>
      </w:pPr>
      <w:r>
        <w:rPr>
          <w:rFonts w:hint="eastAsia" w:ascii="宋体" w:hAnsi="宋体" w:eastAsia="宋体" w:cs="宋体"/>
          <w:color w:val="auto"/>
          <w:spacing w:val="8"/>
          <w:sz w:val="21"/>
          <w:highlight w:val="none"/>
        </w:rPr>
        <w:t>4.1</w:t>
      </w:r>
      <w:r>
        <w:rPr>
          <w:rFonts w:hint="eastAsia" w:ascii="宋体" w:hAnsi="宋体" w:eastAsia="宋体" w:cs="宋体"/>
          <w:color w:val="auto"/>
          <w:spacing w:val="8"/>
          <w:sz w:val="21"/>
          <w:highlight w:val="none"/>
          <w:lang w:val="en-US" w:eastAsia="zh-CN"/>
        </w:rPr>
        <w:t xml:space="preserve"> </w:t>
      </w:r>
      <w:r>
        <w:rPr>
          <w:rFonts w:hint="eastAsia" w:ascii="宋体" w:hAnsi="宋体" w:eastAsia="宋体" w:cs="宋体"/>
          <w:color w:val="auto"/>
          <w:spacing w:val="8"/>
          <w:sz w:val="21"/>
          <w:highlight w:val="none"/>
          <w:lang w:eastAsia="zh-CN"/>
        </w:rPr>
        <w:t>2026年</w:t>
      </w:r>
      <w:r>
        <w:rPr>
          <w:rFonts w:hint="eastAsia" w:ascii="宋体" w:hAnsi="宋体" w:eastAsia="宋体" w:cs="宋体"/>
          <w:color w:val="auto"/>
          <w:spacing w:val="8"/>
          <w:sz w:val="21"/>
          <w:highlight w:val="none"/>
          <w:lang w:val="en-US" w:eastAsia="zh-CN"/>
        </w:rPr>
        <w:t>7</w:t>
      </w:r>
      <w:r>
        <w:rPr>
          <w:rFonts w:hint="eastAsia" w:ascii="宋体" w:hAnsi="宋体" w:eastAsia="宋体" w:cs="宋体"/>
          <w:color w:val="auto"/>
          <w:spacing w:val="8"/>
          <w:sz w:val="21"/>
          <w:highlight w:val="none"/>
          <w:lang w:eastAsia="zh-CN"/>
        </w:rPr>
        <w:t>月</w:t>
      </w:r>
      <w:r>
        <w:rPr>
          <w:rFonts w:hint="eastAsia" w:ascii="宋体" w:hAnsi="宋体" w:eastAsia="宋体" w:cs="宋体"/>
          <w:color w:val="auto"/>
          <w:spacing w:val="8"/>
          <w:sz w:val="21"/>
          <w:highlight w:val="none"/>
          <w:lang w:val="en-US" w:eastAsia="zh-CN"/>
        </w:rPr>
        <w:t>3</w:t>
      </w:r>
      <w:r>
        <w:rPr>
          <w:rFonts w:hint="eastAsia" w:ascii="宋体" w:hAnsi="宋体" w:eastAsia="宋体" w:cs="宋体"/>
          <w:color w:val="auto"/>
          <w:spacing w:val="8"/>
          <w:sz w:val="21"/>
          <w:highlight w:val="none"/>
        </w:rPr>
        <w:t>日</w:t>
      </w:r>
      <w:r>
        <w:rPr>
          <w:rFonts w:hint="eastAsia" w:ascii="宋体" w:hAnsi="宋体" w:eastAsia="宋体" w:cs="宋体"/>
          <w:color w:val="auto"/>
          <w:spacing w:val="8"/>
          <w:sz w:val="21"/>
          <w:highlight w:val="none"/>
          <w:lang w:val="en-US" w:eastAsia="zh-CN"/>
        </w:rPr>
        <w:t>9时00分</w:t>
      </w:r>
      <w:r>
        <w:rPr>
          <w:rFonts w:hint="eastAsia" w:ascii="宋体" w:hAnsi="宋体" w:eastAsia="宋体" w:cs="宋体"/>
          <w:color w:val="auto"/>
          <w:spacing w:val="8"/>
          <w:sz w:val="21"/>
          <w:highlight w:val="none"/>
        </w:rPr>
        <w:t>（北京时间）</w:t>
      </w:r>
    </w:p>
    <w:p w14:paraId="656563E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rPr>
      </w:pPr>
      <w:r>
        <w:rPr>
          <w:rFonts w:hint="eastAsia" w:ascii="宋体" w:hAnsi="宋体" w:eastAsia="宋体" w:cs="宋体"/>
          <w:color w:val="auto"/>
          <w:spacing w:val="8"/>
          <w:sz w:val="21"/>
          <w:highlight w:val="none"/>
        </w:rPr>
        <w:t>4.2</w:t>
      </w:r>
      <w:r>
        <w:rPr>
          <w:rFonts w:hint="eastAsia" w:ascii="宋体" w:hAnsi="宋体" w:eastAsia="宋体" w:cs="宋体"/>
          <w:color w:val="auto"/>
          <w:spacing w:val="8"/>
          <w:sz w:val="21"/>
          <w:highlight w:val="none"/>
          <w:lang w:val="en-US" w:eastAsia="zh-CN"/>
        </w:rPr>
        <w:t xml:space="preserve"> </w:t>
      </w:r>
      <w:r>
        <w:rPr>
          <w:rFonts w:hint="eastAsia" w:ascii="宋体" w:hAnsi="宋体" w:eastAsia="宋体" w:cs="宋体"/>
          <w:color w:val="auto"/>
          <w:spacing w:val="8"/>
          <w:sz w:val="21"/>
          <w:highlight w:val="none"/>
        </w:rPr>
        <w:t>提交投标文件地点：江苏省政府采购管理交易系统（苏采云）（以下简称“苏采云”）（网址：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"http://jszfcg.jsczt.cn/%EF%BC%89" \o "http://jszfcg.jsczt.cn/%EF%BC%89" </w:instrText>
      </w:r>
      <w:r>
        <w:rPr>
          <w:rFonts w:hint="eastAsia" w:ascii="宋体" w:hAnsi="宋体" w:eastAsia="宋体" w:cs="宋体"/>
          <w:color w:val="auto"/>
          <w:highlight w:val="none"/>
        </w:rPr>
        <w:fldChar w:fldCharType="separate"/>
      </w:r>
      <w:r>
        <w:rPr>
          <w:rStyle w:val="36"/>
          <w:rFonts w:hint="eastAsia" w:ascii="宋体" w:hAnsi="宋体" w:eastAsia="宋体" w:cs="宋体"/>
          <w:color w:val="auto"/>
          <w:spacing w:val="8"/>
          <w:sz w:val="21"/>
          <w:highlight w:val="none"/>
          <w:u w:val="single"/>
        </w:rPr>
        <w:t>http://jszfcg.jsczt.cn/）</w:t>
      </w:r>
      <w:r>
        <w:rPr>
          <w:rStyle w:val="36"/>
          <w:rFonts w:hint="eastAsia" w:ascii="宋体" w:hAnsi="宋体" w:eastAsia="宋体" w:cs="宋体"/>
          <w:color w:val="auto"/>
          <w:spacing w:val="8"/>
          <w:sz w:val="21"/>
          <w:highlight w:val="none"/>
          <w:u w:val="single"/>
        </w:rPr>
        <w:fldChar w:fldCharType="end"/>
      </w:r>
    </w:p>
    <w:p w14:paraId="55DE0C32">
      <w:pPr>
        <w:keepNext w:val="0"/>
        <w:keepLines w:val="0"/>
        <w:pageBreakBefore w:val="0"/>
        <w:widowControl/>
        <w:pBdr>
          <w:top w:val="none" w:color="000000" w:sz="0" w:space="0"/>
          <w:left w:val="none" w:color="000000" w:sz="0" w:space="0"/>
          <w:bottom w:val="none" w:color="000000" w:sz="0" w:space="0"/>
          <w:right w:val="none" w:color="000000" w:sz="0" w:space="0"/>
        </w:pBdr>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spacing w:val="8"/>
          <w:sz w:val="21"/>
          <w:highlight w:val="none"/>
        </w:rPr>
      </w:pPr>
      <w:r>
        <w:rPr>
          <w:rFonts w:hint="eastAsia" w:ascii="宋体" w:hAnsi="宋体" w:eastAsia="宋体" w:cs="宋体"/>
          <w:color w:val="auto"/>
          <w:spacing w:val="8"/>
          <w:sz w:val="21"/>
          <w:highlight w:val="none"/>
        </w:rPr>
        <w:t>4.3</w:t>
      </w:r>
      <w:r>
        <w:rPr>
          <w:rFonts w:hint="eastAsia" w:ascii="宋体" w:hAnsi="宋体" w:eastAsia="宋体" w:cs="宋体"/>
          <w:color w:val="auto"/>
          <w:spacing w:val="8"/>
          <w:sz w:val="21"/>
          <w:highlight w:val="none"/>
          <w:lang w:val="en-US" w:eastAsia="zh-CN"/>
        </w:rPr>
        <w:t xml:space="preserve"> </w:t>
      </w:r>
      <w:r>
        <w:rPr>
          <w:rFonts w:hint="eastAsia" w:ascii="宋体" w:hAnsi="宋体" w:eastAsia="宋体" w:cs="宋体"/>
          <w:color w:val="auto"/>
          <w:spacing w:val="8"/>
          <w:sz w:val="21"/>
          <w:highlight w:val="none"/>
        </w:rPr>
        <w:t>开标地点：“苏采云”开标大厅</w:t>
      </w:r>
    </w:p>
    <w:p w14:paraId="7778CA2A">
      <w:pPr>
        <w:pStyle w:val="2"/>
        <w:keepNext w:val="0"/>
        <w:keepLines w:val="0"/>
        <w:pageBreakBefore w:val="0"/>
        <w:widowControl/>
        <w:kinsoku/>
        <w:overflowPunct/>
        <w:topLinePunct w:val="0"/>
        <w:autoSpaceDE/>
        <w:autoSpaceDN/>
        <w:bidi w:val="0"/>
        <w:adjustRightInd w:val="0"/>
        <w:snapToGrid w:val="0"/>
        <w:spacing w:line="360" w:lineRule="auto"/>
        <w:textAlignment w:val="auto"/>
        <w:rPr>
          <w:rFonts w:hint="eastAsia"/>
          <w:color w:val="auto"/>
          <w:highlight w:val="none"/>
        </w:rPr>
      </w:pPr>
    </w:p>
    <w:p w14:paraId="4D672F4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0"/>
        <w:jc w:val="both"/>
        <w:textAlignment w:val="auto"/>
        <w:rPr>
          <w:rFonts w:hint="eastAsia" w:ascii="宋体" w:hAnsi="宋体" w:eastAsia="宋体" w:cs="宋体"/>
          <w:color w:val="auto"/>
          <w:highlight w:val="none"/>
        </w:rPr>
      </w:pPr>
      <w:r>
        <w:rPr>
          <w:rFonts w:hint="eastAsia" w:ascii="宋体" w:hAnsi="宋体" w:eastAsia="宋体" w:cs="宋体"/>
          <w:b/>
          <w:color w:val="auto"/>
          <w:spacing w:val="8"/>
          <w:sz w:val="24"/>
          <w:highlight w:val="none"/>
        </w:rPr>
        <w:t>五、公告期限</w:t>
      </w:r>
    </w:p>
    <w:p w14:paraId="3CB73FF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spacing w:val="8"/>
          <w:sz w:val="21"/>
          <w:highlight w:val="none"/>
        </w:rPr>
      </w:pPr>
      <w:r>
        <w:rPr>
          <w:rFonts w:hint="eastAsia" w:ascii="宋体" w:hAnsi="宋体" w:eastAsia="宋体" w:cs="宋体"/>
          <w:color w:val="auto"/>
          <w:spacing w:val="8"/>
          <w:sz w:val="21"/>
          <w:highlight w:val="none"/>
        </w:rPr>
        <w:t>自本公告发布之日起5个工作日。</w:t>
      </w:r>
    </w:p>
    <w:p w14:paraId="2722463A">
      <w:pPr>
        <w:pStyle w:val="2"/>
        <w:keepNext w:val="0"/>
        <w:keepLines w:val="0"/>
        <w:pageBreakBefore w:val="0"/>
        <w:widowControl/>
        <w:kinsoku/>
        <w:overflowPunct/>
        <w:topLinePunct w:val="0"/>
        <w:autoSpaceDE/>
        <w:autoSpaceDN/>
        <w:bidi w:val="0"/>
        <w:adjustRightInd w:val="0"/>
        <w:snapToGrid w:val="0"/>
        <w:spacing w:line="360" w:lineRule="auto"/>
        <w:textAlignment w:val="auto"/>
        <w:rPr>
          <w:rFonts w:hint="eastAsia"/>
          <w:color w:val="auto"/>
          <w:highlight w:val="none"/>
        </w:rPr>
      </w:pPr>
    </w:p>
    <w:p w14:paraId="0384D0A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color w:val="auto"/>
          <w:highlight w:val="none"/>
        </w:rPr>
      </w:pPr>
      <w:r>
        <w:rPr>
          <w:rFonts w:hint="eastAsia" w:ascii="宋体" w:hAnsi="宋体" w:eastAsia="宋体" w:cs="宋体"/>
          <w:b/>
          <w:color w:val="auto"/>
          <w:spacing w:val="8"/>
          <w:sz w:val="24"/>
          <w:highlight w:val="none"/>
        </w:rPr>
        <w:t>六、其他补充事宜</w:t>
      </w:r>
    </w:p>
    <w:p w14:paraId="37368FD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63"/>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6.1本项目在</w:t>
      </w:r>
      <w:r>
        <w:rPr>
          <w:rFonts w:hint="eastAsia" w:ascii="宋体" w:hAnsi="宋体" w:eastAsia="宋体" w:cs="宋体"/>
          <w:b/>
          <w:bCs/>
          <w:color w:val="auto"/>
          <w:szCs w:val="21"/>
          <w:highlight w:val="none"/>
          <w:lang w:val="zh-CN"/>
        </w:rPr>
        <w:t>江苏政府采购网</w:t>
      </w:r>
      <w:r>
        <w:rPr>
          <w:rFonts w:hint="eastAsia" w:ascii="宋体" w:hAnsi="宋体" w:eastAsia="宋体" w:cs="宋体"/>
          <w:b/>
          <w:bCs/>
          <w:color w:val="auto"/>
          <w:highlight w:val="none"/>
          <w:lang w:eastAsia="zh-CN"/>
        </w:rPr>
        <w:t>、中国政府采购网、</w:t>
      </w:r>
      <w:r>
        <w:rPr>
          <w:rFonts w:hint="eastAsia" w:ascii="宋体" w:hAnsi="宋体" w:eastAsia="宋体" w:cs="宋体"/>
          <w:b/>
          <w:bCs/>
          <w:color w:val="auto"/>
          <w:highlight w:val="none"/>
        </w:rPr>
        <w:t>江苏省阳光交易平台</w:t>
      </w:r>
      <w:r>
        <w:rPr>
          <w:rFonts w:hint="eastAsia" w:ascii="宋体" w:hAnsi="宋体" w:eastAsia="宋体" w:cs="宋体"/>
          <w:color w:val="auto"/>
          <w:sz w:val="21"/>
          <w:highlight w:val="none"/>
        </w:rPr>
        <w:t>发布公告。</w:t>
      </w:r>
    </w:p>
    <w:p w14:paraId="04FA7F3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val="0"/>
        <w:overflowPunct/>
        <w:topLinePunct w:val="0"/>
        <w:autoSpaceDE/>
        <w:autoSpaceDN/>
        <w:bidi w:val="0"/>
        <w:adjustRightInd w:val="0"/>
        <w:snapToGrid w:val="0"/>
        <w:spacing w:before="0" w:after="0" w:line="360" w:lineRule="auto"/>
        <w:ind w:left="0" w:right="0" w:firstLine="363"/>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6.2投标人通过“苏采云”（网址：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EF%BC%89%E5%8F%82%E4%B8%8E%E6%94%BF%E5%BA%9C%E9%87%87%E8%B4%AD%E9%A1%B9%E7%9B%AE%EF%BC%8C%E9%9C%80%E8%A6%81%E5%8A%9E%E7%90%86%E6%B1%9F%E8%8B%8F%E7%9C%81%E6%94%BF%E5%BA%9C%E9%87%87%E8%B4%AD%E6%95%B0%E5%AD%97%E8%AF%81%E4%B9%A6%E5%8F%8A%E7%94%B5%E5%AD%90%E7%AD%BE%E7%AB%A0%E7%9A%84%EF%BC%8C%E8%AF%A6%E8%A7%81%E8%8B%8F%E9%87%87%E4%BA%91%E5%AE%98%E7%BD%91%E9%A6%96%E9%A1%B5" \o "http://jszfcg.jsczt.cn/%EF%BC%89%E5%8F%82%E4%B8%8E%E6%94%BF%E5%BA%9C%E9%87%87%E8%B4%AD%E9%A1%B9%E7%9B%AE%EF%BC%8C%E9%9C%80%E8%A6%81%E5%8A%9E%E7%90%86%E6%B1%9F%E8%8B%8F%E7%9C%81%E6%94%BF%E5%BA%9C%E9%87%87%E8%B4%AD%E6%95%B0%E5%AD%97%E8%AF%81%E4%B9%A6%E5%8F%8A%E7%94%B5%E5%AD%90%E7%AD%BE%E7%AB%A0%E7%9A%84%EF%BC%8C%E8%AF%A6%E8%A7%81%E8%8B%8F%E9%87%87%E4%BA%91%E5%AE%98%E7%BD%91%E9%A6%96%E9%A1%B5" </w:instrText>
      </w:r>
      <w:r>
        <w:rPr>
          <w:rFonts w:hint="eastAsia" w:ascii="宋体" w:hAnsi="宋体" w:eastAsia="宋体" w:cs="宋体"/>
          <w:color w:val="auto"/>
          <w:highlight w:val="none"/>
        </w:rPr>
        <w:fldChar w:fldCharType="separate"/>
      </w:r>
      <w:r>
        <w:rPr>
          <w:rStyle w:val="36"/>
          <w:rFonts w:hint="eastAsia" w:ascii="宋体" w:hAnsi="宋体" w:eastAsia="宋体" w:cs="宋体"/>
          <w:color w:val="auto"/>
          <w:sz w:val="21"/>
          <w:highlight w:val="none"/>
          <w:u w:val="single"/>
        </w:rPr>
        <w:t>http://jszfcg.jsczt.cn/）参与政府采购项目，需要办理江苏省政府采购数字证书及电子签章的，详见苏采云官网首页“新CA办理指南”。</w:t>
      </w:r>
      <w:r>
        <w:rPr>
          <w:rStyle w:val="36"/>
          <w:rFonts w:hint="eastAsia" w:ascii="宋体" w:hAnsi="宋体" w:eastAsia="宋体" w:cs="宋体"/>
          <w:color w:val="auto"/>
          <w:sz w:val="21"/>
          <w:highlight w:val="none"/>
          <w:u w:val="single"/>
          <w:lang w:eastAsia="zh-CN"/>
        </w:rPr>
        <w:t>投标人</w:t>
      </w:r>
      <w:r>
        <w:rPr>
          <w:rStyle w:val="36"/>
          <w:rFonts w:hint="eastAsia" w:ascii="宋体" w:hAnsi="宋体" w:eastAsia="宋体" w:cs="宋体"/>
          <w:color w:val="auto"/>
          <w:sz w:val="21"/>
          <w:highlight w:val="none"/>
          <w:u w:val="single"/>
        </w:rPr>
        <w:t>通过苏采云官网首页进行</w:t>
      </w:r>
      <w:r>
        <w:rPr>
          <w:rStyle w:val="36"/>
          <w:rFonts w:hint="eastAsia" w:ascii="宋体" w:hAnsi="宋体" w:eastAsia="宋体" w:cs="宋体"/>
          <w:color w:val="auto"/>
          <w:sz w:val="21"/>
          <w:highlight w:val="none"/>
          <w:u w:val="single"/>
          <w:lang w:eastAsia="zh-CN"/>
        </w:rPr>
        <w:t>投标人</w:t>
      </w:r>
      <w:r>
        <w:rPr>
          <w:rStyle w:val="36"/>
          <w:rFonts w:hint="eastAsia" w:ascii="宋体" w:hAnsi="宋体" w:eastAsia="宋体" w:cs="宋体"/>
          <w:color w:val="auto"/>
          <w:sz w:val="21"/>
          <w:highlight w:val="none"/>
          <w:u w:val="single"/>
        </w:rPr>
        <w:t>注册及CA绑定。CA登录后，</w:t>
      </w:r>
      <w:r>
        <w:rPr>
          <w:rStyle w:val="36"/>
          <w:rFonts w:hint="eastAsia" w:ascii="宋体" w:hAnsi="宋体" w:eastAsia="宋体" w:cs="宋体"/>
          <w:color w:val="auto"/>
          <w:sz w:val="21"/>
          <w:highlight w:val="none"/>
          <w:u w:val="single"/>
          <w:lang w:eastAsia="zh-CN"/>
        </w:rPr>
        <w:t>投标人</w:t>
      </w:r>
      <w:r>
        <w:rPr>
          <w:rStyle w:val="36"/>
          <w:rFonts w:hint="eastAsia" w:ascii="宋体" w:hAnsi="宋体" w:eastAsia="宋体" w:cs="宋体"/>
          <w:color w:val="auto"/>
          <w:sz w:val="21"/>
          <w:highlight w:val="none"/>
          <w:u w:val="single"/>
        </w:rPr>
        <w:t>按《苏采云系统</w:t>
      </w:r>
      <w:r>
        <w:rPr>
          <w:rStyle w:val="36"/>
          <w:rFonts w:hint="eastAsia" w:ascii="宋体" w:hAnsi="宋体" w:eastAsia="宋体" w:cs="宋体"/>
          <w:color w:val="auto"/>
          <w:sz w:val="21"/>
          <w:highlight w:val="none"/>
          <w:u w:val="single"/>
          <w:lang w:eastAsia="zh-CN"/>
        </w:rPr>
        <w:t>投标人</w:t>
      </w:r>
      <w:r>
        <w:rPr>
          <w:rStyle w:val="36"/>
          <w:rFonts w:hint="eastAsia" w:ascii="宋体" w:hAnsi="宋体" w:eastAsia="宋体" w:cs="宋体"/>
          <w:color w:val="auto"/>
          <w:sz w:val="21"/>
          <w:highlight w:val="none"/>
          <w:u w:val="single"/>
        </w:rPr>
        <w:t>操作手册》进行操作。</w:t>
      </w:r>
      <w:r>
        <w:rPr>
          <w:rStyle w:val="36"/>
          <w:rFonts w:hint="eastAsia" w:ascii="宋体" w:hAnsi="宋体" w:eastAsia="宋体" w:cs="宋体"/>
          <w:color w:val="auto"/>
          <w:sz w:val="21"/>
          <w:highlight w:val="none"/>
          <w:u w:val="single"/>
        </w:rPr>
        <w:fldChar w:fldCharType="end"/>
      </w:r>
    </w:p>
    <w:p w14:paraId="752844E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val="0"/>
        <w:overflowPunct/>
        <w:topLinePunct w:val="0"/>
        <w:autoSpaceDE/>
        <w:autoSpaceDN/>
        <w:bidi w:val="0"/>
        <w:adjustRightInd w:val="0"/>
        <w:snapToGrid w:val="0"/>
        <w:spacing w:before="0" w:after="0" w:line="360" w:lineRule="auto"/>
        <w:ind w:left="0" w:right="0" w:firstLine="363"/>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操作手册下载地址：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"http://www.ccgp-jiangsu.gov.cn/jiangsu/zlxz/ee/ee3a4bc5a3454aa2b0d9312230633ce9.html" \o "http://www.ccgp-jiangsu.gov.cn/jiangsu/zlxz/ee/ee3a4bc5a3454aa2b0d9312230633ce9.html" </w:instrText>
      </w:r>
      <w:r>
        <w:rPr>
          <w:rFonts w:hint="eastAsia" w:ascii="宋体" w:hAnsi="宋体" w:eastAsia="宋体" w:cs="宋体"/>
          <w:color w:val="auto"/>
          <w:highlight w:val="none"/>
        </w:rPr>
        <w:fldChar w:fldCharType="separate"/>
      </w:r>
      <w:r>
        <w:rPr>
          <w:rStyle w:val="36"/>
          <w:rFonts w:hint="eastAsia" w:ascii="宋体" w:hAnsi="宋体" w:eastAsia="宋体" w:cs="宋体"/>
          <w:color w:val="auto"/>
          <w:sz w:val="21"/>
          <w:highlight w:val="none"/>
          <w:u w:val="single"/>
        </w:rPr>
        <w:t>http://www.ccgp-jiangsu.gov.cn/jiangsu/zlxz/ee/ee3a4bc5a3454aa2b0d9312230633ce9.html</w:t>
      </w:r>
      <w:r>
        <w:rPr>
          <w:rStyle w:val="36"/>
          <w:rFonts w:hint="eastAsia" w:ascii="宋体" w:hAnsi="宋体" w:eastAsia="宋体" w:cs="宋体"/>
          <w:color w:val="auto"/>
          <w:sz w:val="21"/>
          <w:highlight w:val="none"/>
          <w:u w:val="single"/>
        </w:rPr>
        <w:fldChar w:fldCharType="end"/>
      </w:r>
    </w:p>
    <w:p w14:paraId="39D93E7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val="0"/>
        <w:overflowPunct/>
        <w:topLinePunct w:val="0"/>
        <w:autoSpaceDE/>
        <w:autoSpaceDN/>
        <w:bidi w:val="0"/>
        <w:adjustRightInd w:val="0"/>
        <w:snapToGrid w:val="0"/>
        <w:spacing w:before="0" w:after="0" w:line="360" w:lineRule="auto"/>
        <w:ind w:left="0" w:right="0" w:firstLine="363"/>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首次登录“苏采云”系统的新用户，登录网址后，点击“用户注册”--“新CA办理指南”--获取CA后绑定、登录系统--采购项目参与--下载采购文件（文件后缀名为“.kedt”）。</w:t>
      </w:r>
    </w:p>
    <w:p w14:paraId="00B8697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val="0"/>
        <w:overflowPunct/>
        <w:topLinePunct w:val="0"/>
        <w:autoSpaceDE/>
        <w:autoSpaceDN/>
        <w:bidi w:val="0"/>
        <w:adjustRightInd w:val="0"/>
        <w:snapToGrid w:val="0"/>
        <w:spacing w:before="0" w:after="0" w:line="360" w:lineRule="auto"/>
        <w:ind w:left="0" w:right="0" w:firstLine="363"/>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“苏采云”南京地区客服热线025-83633744、025-83633743。</w:t>
      </w:r>
    </w:p>
    <w:p w14:paraId="5ED3569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val="0"/>
        <w:overflowPunct/>
        <w:topLinePunct w:val="0"/>
        <w:autoSpaceDE/>
        <w:autoSpaceDN/>
        <w:bidi w:val="0"/>
        <w:adjustRightInd w:val="0"/>
        <w:snapToGrid w:val="0"/>
        <w:spacing w:before="0" w:after="0" w:line="360" w:lineRule="auto"/>
        <w:ind w:left="0" w:right="0" w:firstLine="363"/>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有关本次招标的事项若存在变动或修改，请及时关注“江苏政府采购网”（www.ccgp-jiangsu.gov.cn）更正公告。</w:t>
      </w:r>
    </w:p>
    <w:p w14:paraId="606E23E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63"/>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6.3勘察现场：无</w:t>
      </w:r>
    </w:p>
    <w:p w14:paraId="70FDFFB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63"/>
        <w:jc w:val="both"/>
        <w:textAlignment w:val="auto"/>
        <w:rPr>
          <w:rFonts w:hint="eastAsia" w:ascii="宋体" w:hAnsi="宋体" w:eastAsia="宋体" w:cs="宋体"/>
          <w:color w:val="auto"/>
          <w:highlight w:val="none"/>
          <w:lang w:eastAsia="zh-CN"/>
        </w:rPr>
      </w:pPr>
      <w:r>
        <w:rPr>
          <w:rFonts w:hint="eastAsia" w:ascii="宋体" w:hAnsi="宋体" w:eastAsia="宋体" w:cs="宋体"/>
          <w:color w:val="auto"/>
          <w:sz w:val="21"/>
          <w:highlight w:val="none"/>
        </w:rPr>
        <w:t>6.4</w:t>
      </w:r>
      <w:r>
        <w:rPr>
          <w:rFonts w:hint="eastAsia" w:ascii="宋体" w:hAnsi="宋体" w:eastAsia="宋体" w:cs="宋体"/>
          <w:b/>
          <w:color w:val="auto"/>
          <w:sz w:val="21"/>
          <w:highlight w:val="none"/>
        </w:rPr>
        <w:t>投标文件的解密</w:t>
      </w:r>
      <w:r>
        <w:rPr>
          <w:rFonts w:hint="eastAsia" w:ascii="宋体" w:hAnsi="宋体" w:eastAsia="宋体" w:cs="宋体"/>
          <w:color w:val="auto"/>
          <w:sz w:val="21"/>
          <w:highlight w:val="none"/>
        </w:rPr>
        <w:t>：开标当天各投标人及时登录不见面开标大厅，投标文件递交截止时间后，采购人将在系统内公布投标人名单，然后通过开标会议区发出投标文件解密的指令，投标人在开标室按规定时间自行实施远程解密，</w:t>
      </w:r>
      <w:r>
        <w:rPr>
          <w:rFonts w:hint="eastAsia" w:ascii="宋体" w:hAnsi="宋体" w:eastAsia="宋体" w:cs="宋体"/>
          <w:b/>
          <w:color w:val="auto"/>
          <w:sz w:val="21"/>
          <w:highlight w:val="none"/>
        </w:rPr>
        <w:t>投标人解密限定在开标后30分钟之内完成</w:t>
      </w:r>
      <w:r>
        <w:rPr>
          <w:rFonts w:hint="eastAsia" w:ascii="宋体" w:hAnsi="宋体" w:eastAsia="宋体" w:cs="宋体"/>
          <w:color w:val="auto"/>
          <w:sz w:val="21"/>
          <w:highlight w:val="none"/>
        </w:rPr>
        <w:t>。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p>
    <w:p w14:paraId="08906FC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63"/>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5E8F30D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0"/>
        <w:jc w:val="both"/>
        <w:textAlignment w:val="auto"/>
        <w:rPr>
          <w:rFonts w:hint="eastAsia" w:ascii="宋体" w:hAnsi="宋体" w:eastAsia="宋体" w:cs="宋体"/>
          <w:color w:val="auto"/>
          <w:highlight w:val="none"/>
        </w:rPr>
      </w:pPr>
      <w:r>
        <w:rPr>
          <w:rFonts w:hint="eastAsia" w:ascii="宋体" w:hAnsi="宋体" w:eastAsia="宋体" w:cs="宋体"/>
          <w:b/>
          <w:color w:val="auto"/>
          <w:spacing w:val="8"/>
          <w:sz w:val="24"/>
          <w:highlight w:val="none"/>
        </w:rPr>
        <w:t>七、对本次招标提出询问，请按以下方式联系</w:t>
      </w:r>
    </w:p>
    <w:p w14:paraId="32A947D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7.1采购人信息</w:t>
      </w:r>
    </w:p>
    <w:p w14:paraId="2EC9E6F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名称：苏北航务管理处宿迁航务中心</w:t>
      </w:r>
    </w:p>
    <w:p w14:paraId="2D90EDF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地址：江苏省宿迁市</w:t>
      </w:r>
      <w:r>
        <w:rPr>
          <w:rFonts w:hint="eastAsia" w:ascii="宋体" w:hAnsi="宋体" w:eastAsia="宋体" w:cs="宋体"/>
          <w:color w:val="auto"/>
          <w:highlight w:val="none"/>
          <w:lang w:val="en-US" w:eastAsia="zh-CN"/>
        </w:rPr>
        <w:t>湖滨新区</w:t>
      </w:r>
      <w:r>
        <w:rPr>
          <w:rFonts w:hint="eastAsia" w:ascii="宋体" w:hAnsi="宋体" w:eastAsia="宋体" w:cs="宋体"/>
          <w:color w:val="auto"/>
          <w:highlight w:val="none"/>
        </w:rPr>
        <w:t>井头街 30 号</w:t>
      </w:r>
    </w:p>
    <w:p w14:paraId="5C4F4AC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联系人：李先生 </w:t>
      </w:r>
    </w:p>
    <w:p w14:paraId="062874A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联系方式：13511785501</w:t>
      </w:r>
    </w:p>
    <w:p w14:paraId="627583C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7.2采购代理机构信息</w:t>
      </w:r>
    </w:p>
    <w:p w14:paraId="2DF2ACF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名称：江苏省设备成套股份有限公司</w:t>
      </w:r>
    </w:p>
    <w:p w14:paraId="445DDD9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地址：南京市鼓楼区清江南路18号鼓楼创新广场D栋10楼1007室</w:t>
      </w:r>
    </w:p>
    <w:p w14:paraId="3BD5D72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联系方式：025-83314838、18105186148</w:t>
      </w:r>
    </w:p>
    <w:p w14:paraId="4C47B5A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邮箱：pansp@jcec.cn </w:t>
      </w:r>
    </w:p>
    <w:p w14:paraId="07F2188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7.3项目联系方式</w:t>
      </w:r>
    </w:p>
    <w:p w14:paraId="7E3A62A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项目联系人：潘寿鹏、程细英、孙宁、蔡蓉蓉</w:t>
      </w:r>
    </w:p>
    <w:p w14:paraId="0EB3854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电话：025-83314838</w:t>
      </w:r>
    </w:p>
    <w:p w14:paraId="439376D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452"/>
        <w:jc w:val="right"/>
        <w:textAlignment w:val="auto"/>
        <w:rPr>
          <w:rFonts w:hint="eastAsia" w:ascii="宋体" w:hAnsi="宋体" w:eastAsia="宋体" w:cs="宋体"/>
          <w:color w:val="auto"/>
          <w:highlight w:val="none"/>
        </w:rPr>
      </w:pPr>
      <w:r>
        <w:rPr>
          <w:rFonts w:hint="eastAsia" w:ascii="宋体" w:hAnsi="宋体" w:eastAsia="宋体" w:cs="宋体"/>
          <w:color w:val="auto"/>
          <w:spacing w:val="8"/>
          <w:sz w:val="21"/>
          <w:highlight w:val="none"/>
        </w:rPr>
        <w:t> </w:t>
      </w:r>
    </w:p>
    <w:p w14:paraId="2AFCAF34">
      <w:pPr>
        <w:pBdr>
          <w:top w:val="none" w:color="000000" w:sz="0" w:space="0"/>
          <w:left w:val="none" w:color="000000" w:sz="0" w:space="0"/>
          <w:bottom w:val="none" w:color="000000" w:sz="0" w:space="0"/>
          <w:right w:val="none" w:color="000000" w:sz="0" w:space="0"/>
        </w:pBdr>
        <w:spacing w:before="240" w:after="240"/>
        <w:ind w:left="0" w:right="0" w:firstLine="452"/>
        <w:rPr>
          <w:rFonts w:hint="eastAsia" w:ascii="宋体" w:hAnsi="宋体" w:eastAsia="宋体" w:cs="宋体"/>
          <w:color w:val="auto"/>
          <w:highlight w:val="none"/>
        </w:rPr>
      </w:pPr>
      <w:r>
        <w:rPr>
          <w:rFonts w:hint="eastAsia" w:ascii="宋体" w:hAnsi="宋体" w:eastAsia="宋体" w:cs="宋体"/>
          <w:color w:val="auto"/>
          <w:spacing w:val="8"/>
          <w:sz w:val="21"/>
          <w:highlight w:val="none"/>
        </w:rPr>
        <w:t> </w:t>
      </w:r>
    </w:p>
    <w:p w14:paraId="60BB5BFD">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115EB9CF">
      <w:pPr>
        <w:pStyle w:val="3"/>
        <w:pBdr>
          <w:top w:val="none" w:color="000000" w:sz="0" w:space="0"/>
          <w:left w:val="none" w:color="000000" w:sz="0" w:space="0"/>
          <w:bottom w:val="none" w:color="000000" w:sz="0" w:space="0"/>
          <w:right w:val="none" w:color="000000" w:sz="0" w:space="0"/>
        </w:pBdr>
        <w:spacing w:before="340" w:after="330" w:line="768" w:lineRule="atLeast"/>
        <w:ind w:left="0" w:right="0" w:firstLine="0"/>
        <w:jc w:val="center"/>
        <w:rPr>
          <w:rFonts w:hint="eastAsia" w:ascii="宋体" w:hAnsi="宋体" w:eastAsia="宋体" w:cs="宋体"/>
          <w:color w:val="auto"/>
          <w:highlight w:val="none"/>
        </w:rPr>
      </w:pPr>
      <w:bookmarkStart w:id="1" w:name="_Toc30725"/>
      <w:r>
        <w:rPr>
          <w:rFonts w:hint="eastAsia" w:ascii="宋体" w:hAnsi="宋体" w:eastAsia="宋体" w:cs="宋体"/>
          <w:b/>
          <w:color w:val="auto"/>
          <w:sz w:val="32"/>
          <w:highlight w:val="none"/>
        </w:rPr>
        <w:t>第二章</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u w:val="none"/>
        </w:rPr>
        <w:t>投标人须知</w:t>
      </w:r>
      <w:bookmarkEnd w:id="1"/>
    </w:p>
    <w:p w14:paraId="17D2C5FF">
      <w:pPr>
        <w:rPr>
          <w:rFonts w:hint="eastAsia" w:ascii="宋体" w:hAnsi="宋体" w:eastAsia="宋体" w:cs="宋体"/>
          <w:b/>
          <w:bCs/>
          <w:color w:val="auto"/>
          <w:szCs w:val="22"/>
          <w:highlight w:val="none"/>
        </w:rPr>
      </w:pPr>
      <w:r>
        <w:rPr>
          <w:rFonts w:hint="eastAsia" w:ascii="宋体" w:hAnsi="宋体" w:eastAsia="宋体" w:cs="宋体"/>
          <w:b/>
          <w:bCs/>
          <w:color w:val="auto"/>
          <w:szCs w:val="22"/>
          <w:highlight w:val="none"/>
          <w:lang w:val="en-US" w:eastAsia="zh-CN"/>
        </w:rPr>
        <w:t>投标人</w:t>
      </w:r>
      <w:r>
        <w:rPr>
          <w:rFonts w:hint="eastAsia" w:ascii="宋体" w:hAnsi="宋体" w:eastAsia="宋体" w:cs="宋体"/>
          <w:b/>
          <w:bCs/>
          <w:color w:val="auto"/>
          <w:szCs w:val="22"/>
          <w:highlight w:val="none"/>
        </w:rPr>
        <w:t>须知前附表</w:t>
      </w:r>
    </w:p>
    <w:tbl>
      <w:tblPr>
        <w:tblStyle w:val="32"/>
        <w:tblW w:w="95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
        <w:gridCol w:w="2188"/>
        <w:gridCol w:w="6621"/>
      </w:tblGrid>
      <w:tr w14:paraId="3AC07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6CEBE896">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61F505E9">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63966368">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具体内容和要求</w:t>
            </w:r>
          </w:p>
        </w:tc>
      </w:tr>
      <w:tr w14:paraId="6459B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vMerge w:val="restart"/>
            <w:tcBorders>
              <w:top w:val="single" w:color="auto" w:sz="4" w:space="0"/>
              <w:left w:val="single" w:color="auto" w:sz="4" w:space="0"/>
              <w:bottom w:val="single" w:color="auto" w:sz="4" w:space="0"/>
              <w:right w:val="single" w:color="auto" w:sz="4" w:space="0"/>
            </w:tcBorders>
            <w:noWrap w:val="0"/>
            <w:vAlign w:val="center"/>
          </w:tcPr>
          <w:p w14:paraId="54B2CAC4">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030134D9">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采购项目</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0F748E21">
            <w:pPr>
              <w:jc w:val="left"/>
              <w:rPr>
                <w:rFonts w:hint="eastAsia" w:ascii="宋体" w:hAnsi="宋体" w:eastAsia="宋体" w:cs="宋体"/>
                <w:color w:val="auto"/>
                <w:szCs w:val="21"/>
                <w:highlight w:val="none"/>
              </w:rPr>
            </w:pPr>
            <w:r>
              <w:rPr>
                <w:rFonts w:hint="eastAsia" w:ascii="宋体" w:hAnsi="宋体" w:eastAsia="宋体" w:cs="宋体"/>
                <w:color w:val="auto"/>
                <w:highlight w:val="none"/>
              </w:rPr>
              <w:t>详见</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公告</w:t>
            </w:r>
          </w:p>
        </w:tc>
      </w:tr>
      <w:tr w14:paraId="79E2B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vMerge w:val="continue"/>
            <w:tcBorders>
              <w:top w:val="single" w:color="auto" w:sz="4" w:space="0"/>
              <w:left w:val="single" w:color="auto" w:sz="4" w:space="0"/>
              <w:bottom w:val="single" w:color="auto" w:sz="4" w:space="0"/>
              <w:right w:val="single" w:color="auto" w:sz="4" w:space="0"/>
            </w:tcBorders>
            <w:noWrap w:val="0"/>
            <w:vAlign w:val="center"/>
          </w:tcPr>
          <w:p w14:paraId="0FD15B5B">
            <w:pPr>
              <w:widowControl/>
              <w:spacing w:line="360" w:lineRule="auto"/>
              <w:jc w:val="left"/>
              <w:rPr>
                <w:rFonts w:hint="eastAsia" w:ascii="宋体" w:hAnsi="宋体" w:eastAsia="宋体" w:cs="宋体"/>
                <w:color w:val="auto"/>
                <w:szCs w:val="21"/>
                <w:highlight w:val="none"/>
              </w:rPr>
            </w:pPr>
          </w:p>
        </w:tc>
        <w:tc>
          <w:tcPr>
            <w:tcW w:w="2188" w:type="dxa"/>
            <w:tcBorders>
              <w:top w:val="single" w:color="auto" w:sz="4" w:space="0"/>
              <w:left w:val="single" w:color="auto" w:sz="4" w:space="0"/>
              <w:bottom w:val="single" w:color="auto" w:sz="4" w:space="0"/>
              <w:right w:val="single" w:color="auto" w:sz="4" w:space="0"/>
            </w:tcBorders>
            <w:noWrap w:val="0"/>
            <w:vAlign w:val="center"/>
          </w:tcPr>
          <w:p w14:paraId="00069DA0">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采购预算</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66C37E5B">
            <w:pPr>
              <w:jc w:val="left"/>
              <w:rPr>
                <w:rFonts w:hint="eastAsia" w:ascii="宋体" w:hAnsi="宋体" w:eastAsia="宋体" w:cs="宋体"/>
                <w:color w:val="auto"/>
                <w:szCs w:val="21"/>
                <w:highlight w:val="none"/>
              </w:rPr>
            </w:pPr>
            <w:r>
              <w:rPr>
                <w:rFonts w:hint="eastAsia" w:ascii="宋体" w:hAnsi="宋体" w:eastAsia="宋体" w:cs="宋体"/>
                <w:color w:val="auto"/>
                <w:highlight w:val="none"/>
              </w:rPr>
              <w:t>详见</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公告</w:t>
            </w:r>
          </w:p>
        </w:tc>
      </w:tr>
      <w:tr w14:paraId="79EC3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4487ABBE">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21B9FB6D">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04C15639">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highlight w:val="none"/>
              </w:rPr>
              <w:t>详见</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公告</w:t>
            </w:r>
          </w:p>
        </w:tc>
      </w:tr>
      <w:tr w14:paraId="72170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708E10AE">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5F2F8FD9">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采购代理机构</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55250865">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highlight w:val="none"/>
              </w:rPr>
              <w:t>详见</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公告</w:t>
            </w:r>
          </w:p>
        </w:tc>
      </w:tr>
      <w:tr w14:paraId="539B8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053722D0">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173E5D22">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产生方法</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4510240E">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公告</w:t>
            </w:r>
          </w:p>
        </w:tc>
      </w:tr>
      <w:tr w14:paraId="4169B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72D9D3C9">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3338D400">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资格条件</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5608996D">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w:t>
            </w:r>
            <w:r>
              <w:rPr>
                <w:rFonts w:hint="eastAsia" w:ascii="宋体" w:hAnsi="宋体" w:eastAsia="宋体" w:cs="宋体"/>
                <w:color w:val="auto"/>
                <w:szCs w:val="21"/>
                <w:highlight w:val="none"/>
                <w:lang w:eastAsia="zh-CN"/>
              </w:rPr>
              <w:t>招标</w:t>
            </w:r>
            <w:r>
              <w:rPr>
                <w:rFonts w:hint="eastAsia" w:ascii="宋体" w:hAnsi="宋体" w:eastAsia="宋体" w:cs="宋体"/>
                <w:color w:val="auto"/>
                <w:szCs w:val="21"/>
                <w:highlight w:val="none"/>
              </w:rPr>
              <w:t>公告“二、申请人资格要求”</w:t>
            </w:r>
          </w:p>
        </w:tc>
      </w:tr>
      <w:tr w14:paraId="0B235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3F0D644C">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1C341CA1">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项目现场勘察</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5F36B237">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不组织</w:t>
            </w:r>
          </w:p>
        </w:tc>
      </w:tr>
      <w:tr w14:paraId="60E70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7D3A7511">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7ADA44E7">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联合体</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73A9AC74">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不接受</w:t>
            </w:r>
          </w:p>
        </w:tc>
      </w:tr>
      <w:tr w14:paraId="0DF30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vMerge w:val="restart"/>
            <w:tcBorders>
              <w:top w:val="single" w:color="auto" w:sz="4" w:space="0"/>
              <w:left w:val="single" w:color="auto" w:sz="4" w:space="0"/>
              <w:bottom w:val="single" w:color="auto" w:sz="4" w:space="0"/>
              <w:right w:val="single" w:color="auto" w:sz="4" w:space="0"/>
            </w:tcBorders>
            <w:noWrap w:val="0"/>
            <w:vAlign w:val="center"/>
          </w:tcPr>
          <w:p w14:paraId="74DA0210">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198B181D">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支持中小企业发展</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6FCDCE0B">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非专门面向中小企业采购项目（价格扣除）：</w:t>
            </w:r>
          </w:p>
          <w:p w14:paraId="2A856B26">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（1）对小型和微型企业的价格给予3%</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5%（根据需要选择）的扣除，用扣除后的价格参与评审。本项目的扣除比例为：小型</w:t>
            </w:r>
            <w:r>
              <w:rPr>
                <w:rFonts w:hint="eastAsia" w:ascii="宋体" w:hAnsi="宋体" w:eastAsia="宋体" w:cs="宋体"/>
                <w:color w:val="auto"/>
                <w:szCs w:val="21"/>
                <w:highlight w:val="none"/>
                <w:lang w:eastAsia="zh-CN"/>
              </w:rPr>
              <w:t>、微型</w:t>
            </w:r>
            <w:r>
              <w:rPr>
                <w:rFonts w:hint="eastAsia" w:ascii="宋体" w:hAnsi="宋体" w:eastAsia="宋体" w:cs="宋体"/>
                <w:color w:val="auto"/>
                <w:szCs w:val="21"/>
                <w:highlight w:val="none"/>
              </w:rPr>
              <w:t>企业扣除</w:t>
            </w:r>
            <w:r>
              <w:rPr>
                <w:rFonts w:hint="eastAsia" w:ascii="宋体" w:hAnsi="宋体" w:eastAsia="宋体" w:cs="宋体"/>
                <w:color w:val="auto"/>
                <w:szCs w:val="21"/>
                <w:highlight w:val="none"/>
                <w:u w:val="single"/>
                <w:lang w:val="en-US" w:eastAsia="zh-CN"/>
              </w:rPr>
              <w:t>3</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w:t>
            </w:r>
          </w:p>
          <w:p w14:paraId="10B23D3D">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（2）接受联合体投标的，若小型和微型企业的协议合同金额占到联合体协议合同总金额30%以上的，</w:t>
            </w:r>
            <w:r>
              <w:rPr>
                <w:rFonts w:hint="eastAsia" w:ascii="宋体" w:hAnsi="宋体" w:eastAsia="宋体" w:cs="宋体"/>
                <w:color w:val="auto"/>
                <w:szCs w:val="21"/>
                <w:highlight w:val="none"/>
                <w:lang w:val="en-US" w:eastAsia="zh-CN"/>
              </w:rPr>
              <w:t>可</w:t>
            </w:r>
            <w:r>
              <w:rPr>
                <w:rFonts w:hint="eastAsia" w:ascii="宋体" w:hAnsi="宋体" w:eastAsia="宋体" w:cs="宋体"/>
                <w:color w:val="auto"/>
                <w:szCs w:val="21"/>
                <w:highlight w:val="none"/>
              </w:rPr>
              <w:t>给予联合体1%</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2%的价格扣除</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本项目的扣除比例为：</w:t>
            </w:r>
            <w:r>
              <w:rPr>
                <w:rFonts w:hint="eastAsia" w:ascii="宋体" w:hAnsi="宋体" w:eastAsia="宋体" w:cs="宋体"/>
                <w:color w:val="auto"/>
                <w:szCs w:val="21"/>
                <w:highlight w:val="none"/>
                <w:u w:val="single"/>
                <w:lang w:val="en-US" w:eastAsia="zh-CN"/>
              </w:rPr>
              <w:t>1</w:t>
            </w:r>
            <w:r>
              <w:rPr>
                <w:rFonts w:hint="eastAsia" w:ascii="宋体" w:hAnsi="宋体" w:eastAsia="宋体" w:cs="宋体"/>
                <w:color w:val="auto"/>
                <w:szCs w:val="21"/>
                <w:highlight w:val="none"/>
              </w:rPr>
              <w:t>%。联合体各方均为小型、微型企业的，联合体视同为小型、微型企业给予3%</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5%价格扣除</w:t>
            </w:r>
            <w:r>
              <w:rPr>
                <w:rFonts w:hint="eastAsia" w:ascii="宋体" w:hAnsi="宋体" w:eastAsia="宋体" w:cs="宋体"/>
                <w:color w:val="auto"/>
                <w:szCs w:val="21"/>
                <w:highlight w:val="none"/>
                <w:lang w:eastAsia="zh-CN"/>
              </w:rPr>
              <w:t>，本项目的扣除比例为：</w:t>
            </w:r>
            <w:r>
              <w:rPr>
                <w:rFonts w:hint="eastAsia" w:ascii="宋体" w:hAnsi="宋体" w:eastAsia="宋体" w:cs="宋体"/>
                <w:color w:val="auto"/>
                <w:szCs w:val="21"/>
                <w:highlight w:val="none"/>
                <w:u w:val="single"/>
                <w:lang w:val="en-US" w:eastAsia="zh-CN"/>
              </w:rPr>
              <w:t>3</w:t>
            </w:r>
            <w:r>
              <w:rPr>
                <w:rFonts w:hint="eastAsia" w:ascii="宋体" w:hAnsi="宋体" w:eastAsia="宋体" w:cs="宋体"/>
                <w:color w:val="auto"/>
                <w:szCs w:val="21"/>
                <w:highlight w:val="none"/>
                <w:u w:val="single"/>
                <w:lang w:eastAsia="zh-CN"/>
              </w:rPr>
              <w:t>%</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用扣除后的价格参与评审。</w:t>
            </w:r>
          </w:p>
        </w:tc>
      </w:tr>
      <w:tr w14:paraId="4B58B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vMerge w:val="continue"/>
            <w:tcBorders>
              <w:left w:val="single" w:color="auto" w:sz="4" w:space="0"/>
              <w:right w:val="single" w:color="auto" w:sz="4" w:space="0"/>
            </w:tcBorders>
            <w:noWrap w:val="0"/>
            <w:vAlign w:val="center"/>
          </w:tcPr>
          <w:p w14:paraId="33F02AD8">
            <w:pPr>
              <w:spacing w:line="360" w:lineRule="auto"/>
              <w:jc w:val="center"/>
              <w:rPr>
                <w:rFonts w:hint="eastAsia" w:ascii="宋体" w:hAnsi="宋体" w:eastAsia="宋体" w:cs="宋体"/>
                <w:color w:val="auto"/>
                <w:szCs w:val="21"/>
                <w:highlight w:val="none"/>
              </w:rPr>
            </w:pPr>
          </w:p>
        </w:tc>
        <w:tc>
          <w:tcPr>
            <w:tcW w:w="2188" w:type="dxa"/>
            <w:tcBorders>
              <w:top w:val="single" w:color="auto" w:sz="4" w:space="0"/>
              <w:left w:val="single" w:color="auto" w:sz="4" w:space="0"/>
              <w:bottom w:val="single" w:color="auto" w:sz="4" w:space="0"/>
              <w:right w:val="single" w:color="auto" w:sz="4" w:space="0"/>
            </w:tcBorders>
            <w:noWrap w:val="0"/>
            <w:vAlign w:val="center"/>
          </w:tcPr>
          <w:p w14:paraId="1DBB7133">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支持监狱和戒毒企业发展</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206B0A70">
            <w:pPr>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非专门面向</w:t>
            </w:r>
            <w:r>
              <w:rPr>
                <w:rFonts w:hint="eastAsia" w:ascii="宋体" w:hAnsi="宋体" w:eastAsia="宋体" w:cs="宋体"/>
                <w:color w:val="auto"/>
                <w:kern w:val="2"/>
                <w:sz w:val="21"/>
                <w:szCs w:val="21"/>
                <w:highlight w:val="none"/>
              </w:rPr>
              <w:t>监狱和戒毒</w:t>
            </w:r>
            <w:r>
              <w:rPr>
                <w:rFonts w:hint="eastAsia" w:ascii="宋体" w:hAnsi="宋体" w:eastAsia="宋体" w:cs="宋体"/>
                <w:color w:val="auto"/>
                <w:kern w:val="2"/>
                <w:sz w:val="21"/>
                <w:szCs w:val="21"/>
                <w:highlight w:val="none"/>
                <w:lang w:val="en-US" w:eastAsia="zh-CN"/>
              </w:rPr>
              <w:t>企业</w:t>
            </w:r>
            <w:r>
              <w:rPr>
                <w:rFonts w:hint="eastAsia" w:ascii="宋体" w:hAnsi="宋体" w:eastAsia="宋体" w:cs="宋体"/>
                <w:color w:val="auto"/>
                <w:szCs w:val="21"/>
                <w:highlight w:val="none"/>
              </w:rPr>
              <w:t>采购项目（价格扣除）：监狱和戒毒企业可视同小微企业在价格评审时给予3%</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5%的扣除，本项目的扣除比例为：扣除</w:t>
            </w:r>
            <w:r>
              <w:rPr>
                <w:rFonts w:hint="eastAsia" w:ascii="宋体" w:hAnsi="宋体" w:eastAsia="宋体" w:cs="宋体"/>
                <w:color w:val="auto"/>
                <w:szCs w:val="21"/>
                <w:highlight w:val="none"/>
                <w:u w:val="single"/>
                <w:lang w:val="en-US" w:eastAsia="zh-CN"/>
              </w:rPr>
              <w:t>3</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。用扣除后的价格参与评审。</w:t>
            </w:r>
          </w:p>
        </w:tc>
      </w:tr>
      <w:tr w14:paraId="59CFB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vMerge w:val="continue"/>
            <w:tcBorders>
              <w:top w:val="single" w:color="auto" w:sz="4" w:space="0"/>
              <w:left w:val="single" w:color="auto" w:sz="4" w:space="0"/>
              <w:bottom w:val="single" w:color="auto" w:sz="4" w:space="0"/>
              <w:right w:val="single" w:color="auto" w:sz="4" w:space="0"/>
            </w:tcBorders>
            <w:noWrap w:val="0"/>
            <w:vAlign w:val="center"/>
          </w:tcPr>
          <w:p w14:paraId="10272E09">
            <w:pPr>
              <w:widowControl/>
              <w:spacing w:line="360" w:lineRule="auto"/>
              <w:jc w:val="left"/>
              <w:rPr>
                <w:rFonts w:hint="eastAsia" w:ascii="宋体" w:hAnsi="宋体" w:eastAsia="宋体" w:cs="宋体"/>
                <w:color w:val="auto"/>
                <w:szCs w:val="21"/>
                <w:highlight w:val="none"/>
              </w:rPr>
            </w:pPr>
          </w:p>
        </w:tc>
        <w:tc>
          <w:tcPr>
            <w:tcW w:w="2188" w:type="dxa"/>
            <w:tcBorders>
              <w:top w:val="single" w:color="auto" w:sz="4" w:space="0"/>
              <w:left w:val="single" w:color="auto" w:sz="4" w:space="0"/>
              <w:bottom w:val="single" w:color="auto" w:sz="4" w:space="0"/>
              <w:right w:val="single" w:color="auto" w:sz="4" w:space="0"/>
            </w:tcBorders>
            <w:noWrap w:val="0"/>
            <w:vAlign w:val="center"/>
          </w:tcPr>
          <w:p w14:paraId="3A2ABA38">
            <w:pPr>
              <w:spacing w:line="360" w:lineRule="auto"/>
              <w:jc w:val="center"/>
              <w:rPr>
                <w:rFonts w:hint="eastAsia" w:ascii="宋体" w:hAnsi="宋体" w:eastAsia="宋体" w:cs="宋体"/>
                <w:color w:val="auto"/>
                <w:szCs w:val="21"/>
                <w:highlight w:val="none"/>
              </w:rPr>
            </w:pPr>
            <w:r>
              <w:rPr>
                <w:rFonts w:hint="eastAsia" w:ascii="宋体" w:hAnsi="宋体" w:eastAsia="宋体" w:cs="宋体"/>
                <w:b w:val="0"/>
                <w:bCs/>
                <w:color w:val="auto"/>
                <w:kern w:val="0"/>
                <w:highlight w:val="none"/>
                <w:lang w:val="en-US" w:eastAsia="zh-CN"/>
              </w:rPr>
              <w:t>支持</w:t>
            </w:r>
            <w:r>
              <w:rPr>
                <w:rFonts w:hint="eastAsia" w:ascii="宋体" w:hAnsi="宋体" w:eastAsia="宋体" w:cs="宋体"/>
                <w:b w:val="0"/>
                <w:bCs/>
                <w:color w:val="auto"/>
                <w:kern w:val="0"/>
                <w:highlight w:val="none"/>
              </w:rPr>
              <w:t>残疾人福利性单位</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50DFBC1A">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本项目对残疾人福利性单位视同小型、微型企业，给予</w:t>
            </w:r>
            <w:r>
              <w:rPr>
                <w:rFonts w:hint="eastAsia" w:ascii="宋体" w:hAnsi="宋体" w:eastAsia="宋体" w:cs="宋体"/>
                <w:color w:val="auto"/>
                <w:szCs w:val="21"/>
                <w:highlight w:val="none"/>
                <w:u w:val="single"/>
              </w:rPr>
              <w:t>3%</w:t>
            </w:r>
            <w:r>
              <w:rPr>
                <w:rFonts w:hint="eastAsia" w:ascii="宋体" w:hAnsi="宋体" w:eastAsia="宋体" w:cs="宋体"/>
                <w:color w:val="auto"/>
                <w:szCs w:val="21"/>
                <w:highlight w:val="none"/>
              </w:rPr>
              <w:t>的价格扣除，用扣除后的价格参与评审。</w:t>
            </w:r>
          </w:p>
        </w:tc>
      </w:tr>
      <w:tr w14:paraId="53817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501FE7CC">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19DDC6D1">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其他法律法规强制性规定的</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70AE8B45">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w:t>
            </w:r>
          </w:p>
        </w:tc>
      </w:tr>
      <w:tr w14:paraId="4DF8B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162C77C4">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79E0B29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须提供的其他资料</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4A6EA472">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详见文件其他要求</w:t>
            </w:r>
          </w:p>
        </w:tc>
      </w:tr>
      <w:tr w14:paraId="123EA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4B520242">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5A1608E2">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澄清或者修改时间</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0F854FF4">
            <w:pPr>
              <w:ind w:hanging="1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提交投标文件截止时间前15日</w:t>
            </w:r>
          </w:p>
        </w:tc>
      </w:tr>
      <w:tr w14:paraId="4DCDB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377B29A5">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35225A09">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投标文件</w:t>
            </w:r>
            <w:r>
              <w:rPr>
                <w:rFonts w:hint="eastAsia" w:ascii="宋体" w:hAnsi="宋体" w:eastAsia="宋体" w:cs="宋体"/>
                <w:color w:val="auto"/>
                <w:szCs w:val="21"/>
                <w:highlight w:val="none"/>
              </w:rPr>
              <w:t>签字盖章要求</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3356E909">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投标文件</w:t>
            </w:r>
            <w:r>
              <w:rPr>
                <w:rFonts w:hint="eastAsia" w:ascii="宋体" w:hAnsi="宋体" w:eastAsia="宋体" w:cs="宋体"/>
                <w:color w:val="auto"/>
                <w:szCs w:val="21"/>
                <w:highlight w:val="none"/>
              </w:rPr>
              <w:t>格式中明确要求</w:t>
            </w: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法定代表人或其委托代理人签字或盖单位公章之处，</w:t>
            </w: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可选择以下两种方式处理：一是由法定代表人或委托代理人亲笔签名、盖单位公章后扫描上传；二是直接在电子</w:t>
            </w:r>
            <w:r>
              <w:rPr>
                <w:rFonts w:hint="eastAsia" w:ascii="宋体" w:hAnsi="宋体" w:eastAsia="宋体" w:cs="宋体"/>
                <w:color w:val="auto"/>
                <w:szCs w:val="21"/>
                <w:highlight w:val="none"/>
                <w:lang w:eastAsia="zh-CN"/>
              </w:rPr>
              <w:t>投标文件</w:t>
            </w:r>
            <w:r>
              <w:rPr>
                <w:rFonts w:hint="eastAsia" w:ascii="宋体" w:hAnsi="宋体" w:eastAsia="宋体" w:cs="宋体"/>
                <w:color w:val="auto"/>
                <w:szCs w:val="21"/>
                <w:highlight w:val="none"/>
              </w:rPr>
              <w:t>中加盖法定代表人、委托代理人或单位的电子签章。</w:t>
            </w:r>
          </w:p>
        </w:tc>
      </w:tr>
      <w:tr w14:paraId="56573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0858E578">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13</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4C7A55A7">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递交</w:t>
            </w:r>
            <w:r>
              <w:rPr>
                <w:rFonts w:hint="eastAsia" w:ascii="宋体" w:hAnsi="宋体" w:eastAsia="宋体" w:cs="宋体"/>
                <w:color w:val="auto"/>
                <w:szCs w:val="21"/>
                <w:highlight w:val="none"/>
                <w:lang w:eastAsia="zh-CN"/>
              </w:rPr>
              <w:t>招标投标文件</w:t>
            </w:r>
            <w:r>
              <w:rPr>
                <w:rFonts w:hint="eastAsia" w:ascii="宋体" w:hAnsi="宋体" w:eastAsia="宋体" w:cs="宋体"/>
                <w:color w:val="auto"/>
                <w:szCs w:val="21"/>
                <w:highlight w:val="none"/>
              </w:rPr>
              <w:t>的截止时间和地点</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5E1EAF5A">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w:t>
            </w:r>
            <w:r>
              <w:rPr>
                <w:rFonts w:hint="eastAsia" w:ascii="宋体" w:hAnsi="宋体" w:eastAsia="宋体" w:cs="宋体"/>
                <w:color w:val="auto"/>
                <w:szCs w:val="21"/>
                <w:highlight w:val="none"/>
                <w:lang w:eastAsia="zh-CN"/>
              </w:rPr>
              <w:t>招标</w:t>
            </w:r>
            <w:r>
              <w:rPr>
                <w:rFonts w:hint="eastAsia" w:ascii="宋体" w:hAnsi="宋体" w:eastAsia="宋体" w:cs="宋体"/>
                <w:color w:val="auto"/>
                <w:szCs w:val="21"/>
                <w:highlight w:val="none"/>
              </w:rPr>
              <w:t>公告</w:t>
            </w:r>
          </w:p>
        </w:tc>
      </w:tr>
      <w:tr w14:paraId="5696B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75276D8D">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14</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2DD31CED">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招标投标文件</w:t>
            </w:r>
            <w:r>
              <w:rPr>
                <w:rFonts w:hint="eastAsia" w:ascii="宋体" w:hAnsi="宋体" w:eastAsia="宋体" w:cs="宋体"/>
                <w:color w:val="auto"/>
                <w:szCs w:val="21"/>
                <w:highlight w:val="none"/>
              </w:rPr>
              <w:t>开启时间和地点</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132005BB">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w:t>
            </w:r>
            <w:r>
              <w:rPr>
                <w:rFonts w:hint="eastAsia" w:ascii="宋体" w:hAnsi="宋体" w:eastAsia="宋体" w:cs="宋体"/>
                <w:color w:val="auto"/>
                <w:szCs w:val="21"/>
                <w:highlight w:val="none"/>
                <w:lang w:eastAsia="zh-CN"/>
              </w:rPr>
              <w:t>招标</w:t>
            </w:r>
            <w:r>
              <w:rPr>
                <w:rFonts w:hint="eastAsia" w:ascii="宋体" w:hAnsi="宋体" w:eastAsia="宋体" w:cs="宋体"/>
                <w:color w:val="auto"/>
                <w:szCs w:val="21"/>
                <w:highlight w:val="none"/>
              </w:rPr>
              <w:t>公告</w:t>
            </w:r>
          </w:p>
        </w:tc>
      </w:tr>
      <w:tr w14:paraId="15F57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72DBE1CC">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15</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24499637">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招标</w:t>
            </w:r>
            <w:r>
              <w:rPr>
                <w:rFonts w:hint="eastAsia" w:ascii="宋体" w:hAnsi="宋体" w:eastAsia="宋体" w:cs="宋体"/>
                <w:color w:val="auto"/>
                <w:szCs w:val="21"/>
                <w:highlight w:val="none"/>
              </w:rPr>
              <w:t>保证金</w:t>
            </w:r>
          </w:p>
        </w:tc>
        <w:tc>
          <w:tcPr>
            <w:tcW w:w="6621" w:type="dxa"/>
            <w:tcBorders>
              <w:top w:val="single" w:color="auto" w:sz="4" w:space="0"/>
              <w:left w:val="single" w:color="auto" w:sz="4" w:space="0"/>
              <w:right w:val="single" w:color="auto" w:sz="4" w:space="0"/>
            </w:tcBorders>
            <w:noWrap w:val="0"/>
            <w:vAlign w:val="center"/>
          </w:tcPr>
          <w:p w14:paraId="5DAF2E23">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不要求提供</w:t>
            </w:r>
          </w:p>
        </w:tc>
      </w:tr>
      <w:tr w14:paraId="2401F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6731F48D">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16</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1C8E112E">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有效期</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4344EB43">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90日（日历日）</w:t>
            </w:r>
          </w:p>
        </w:tc>
      </w:tr>
      <w:tr w14:paraId="763CC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703168D9">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17</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49FE5793">
            <w:pPr>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项目地点、工期</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79659ECF">
            <w:pPr>
              <w:spacing w:line="360"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详见第四章</w:t>
            </w:r>
            <w:r>
              <w:rPr>
                <w:rFonts w:hint="eastAsia" w:ascii="宋体" w:hAnsi="宋体" w:eastAsia="宋体" w:cs="宋体"/>
                <w:color w:val="auto"/>
                <w:szCs w:val="21"/>
                <w:highlight w:val="none"/>
                <w:lang w:val="en-US" w:eastAsia="zh-CN"/>
              </w:rPr>
              <w:t>技术要求</w:t>
            </w:r>
          </w:p>
        </w:tc>
      </w:tr>
      <w:tr w14:paraId="52117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0736C139">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18</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5BCDB962">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采购资金的支付方式和时间</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01F02095">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详见第五章合同</w:t>
            </w:r>
            <w:r>
              <w:rPr>
                <w:rFonts w:hint="eastAsia" w:ascii="宋体" w:hAnsi="宋体" w:eastAsia="宋体" w:cs="宋体"/>
                <w:color w:val="auto"/>
                <w:szCs w:val="21"/>
                <w:highlight w:val="none"/>
                <w:lang w:val="en-US" w:eastAsia="zh-CN"/>
              </w:rPr>
              <w:t>主要</w:t>
            </w:r>
            <w:r>
              <w:rPr>
                <w:rFonts w:hint="eastAsia" w:ascii="宋体" w:hAnsi="宋体" w:eastAsia="宋体" w:cs="宋体"/>
                <w:color w:val="auto"/>
                <w:szCs w:val="21"/>
                <w:highlight w:val="none"/>
              </w:rPr>
              <w:t>条款</w:t>
            </w:r>
          </w:p>
        </w:tc>
      </w:tr>
      <w:tr w14:paraId="2E7AF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42D49362">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19</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0C6711C2">
            <w:pPr>
              <w:spacing w:line="360" w:lineRule="auto"/>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评标</w:t>
            </w:r>
            <w:r>
              <w:rPr>
                <w:rFonts w:hint="eastAsia" w:ascii="宋体" w:hAnsi="宋体" w:eastAsia="宋体" w:cs="宋体"/>
                <w:color w:val="auto"/>
                <w:szCs w:val="21"/>
                <w:highlight w:val="none"/>
              </w:rPr>
              <w:t>小组的组建</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114FED8F">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评标</w:t>
            </w:r>
            <w:r>
              <w:rPr>
                <w:rFonts w:hint="eastAsia" w:ascii="宋体" w:hAnsi="宋体" w:eastAsia="宋体" w:cs="宋体"/>
                <w:color w:val="auto"/>
                <w:szCs w:val="21"/>
                <w:highlight w:val="none"/>
              </w:rPr>
              <w:t>小组构成：人数共</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人</w:t>
            </w:r>
            <w:r>
              <w:rPr>
                <w:rFonts w:hint="eastAsia" w:ascii="宋体" w:hAnsi="宋体" w:eastAsia="宋体" w:cs="宋体"/>
                <w:color w:val="auto"/>
                <w:szCs w:val="21"/>
                <w:highlight w:val="none"/>
                <w:lang w:eastAsia="zh-CN"/>
              </w:rPr>
              <w:t>，评标专家人数不得少于评标小组成员总数的2/3</w:t>
            </w:r>
            <w:r>
              <w:rPr>
                <w:rFonts w:hint="eastAsia" w:ascii="宋体" w:hAnsi="宋体" w:eastAsia="宋体" w:cs="宋体"/>
                <w:color w:val="auto"/>
                <w:szCs w:val="21"/>
                <w:highlight w:val="none"/>
              </w:rPr>
              <w:t>。</w:t>
            </w:r>
          </w:p>
          <w:p w14:paraId="0C029883">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评标</w:t>
            </w:r>
            <w:r>
              <w:rPr>
                <w:rFonts w:hint="eastAsia" w:ascii="宋体" w:hAnsi="宋体" w:eastAsia="宋体" w:cs="宋体"/>
                <w:color w:val="auto"/>
                <w:szCs w:val="21"/>
                <w:highlight w:val="none"/>
              </w:rPr>
              <w:t>专家确定方式：</w:t>
            </w:r>
            <w:r>
              <w:rPr>
                <w:rFonts w:hint="eastAsia" w:ascii="宋体" w:hAnsi="宋体" w:eastAsia="宋体" w:cs="宋体"/>
                <w:color w:val="auto"/>
                <w:szCs w:val="21"/>
                <w:highlight w:val="none"/>
                <w:lang w:val="en-US" w:eastAsia="zh-CN"/>
              </w:rPr>
              <w:t>江苏省政府采购</w:t>
            </w:r>
            <w:r>
              <w:rPr>
                <w:rFonts w:hint="eastAsia" w:ascii="宋体" w:hAnsi="宋体" w:eastAsia="宋体" w:cs="宋体"/>
                <w:color w:val="auto"/>
                <w:szCs w:val="21"/>
                <w:highlight w:val="none"/>
              </w:rPr>
              <w:t>专家库中随机抽取</w:t>
            </w:r>
          </w:p>
        </w:tc>
      </w:tr>
      <w:tr w14:paraId="3FFD8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29A44F8C">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20</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4413826F">
            <w:pPr>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是否授权</w:t>
            </w:r>
            <w:r>
              <w:rPr>
                <w:rFonts w:hint="eastAsia" w:ascii="宋体" w:hAnsi="宋体" w:eastAsia="宋体" w:cs="宋体"/>
                <w:color w:val="auto"/>
                <w:szCs w:val="21"/>
                <w:highlight w:val="none"/>
                <w:lang w:val="en-US" w:eastAsia="zh-CN"/>
              </w:rPr>
              <w:t>招标小组</w:t>
            </w:r>
            <w:r>
              <w:rPr>
                <w:rFonts w:hint="eastAsia" w:ascii="宋体" w:hAnsi="宋体" w:eastAsia="宋体" w:cs="宋体"/>
                <w:color w:val="auto"/>
                <w:szCs w:val="21"/>
                <w:highlight w:val="none"/>
              </w:rPr>
              <w:t>确定</w:t>
            </w:r>
            <w:r>
              <w:rPr>
                <w:rFonts w:hint="eastAsia" w:ascii="宋体" w:hAnsi="宋体" w:eastAsia="宋体" w:cs="宋体"/>
                <w:color w:val="auto"/>
                <w:szCs w:val="21"/>
                <w:highlight w:val="none"/>
                <w:lang w:val="en-US" w:eastAsia="zh-CN"/>
              </w:rPr>
              <w:t>成交投标人</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2D1D4AE4">
            <w:pPr>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否</w:t>
            </w:r>
          </w:p>
        </w:tc>
      </w:tr>
      <w:tr w14:paraId="72E9A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6B138D64">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21</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02A2F6B3">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履约保证金</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1BD0AD54">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缴纳10%签约合同价的履约保证金</w:t>
            </w:r>
          </w:p>
        </w:tc>
      </w:tr>
      <w:tr w14:paraId="574E6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7AF8E95F">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22</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0ED512E9">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招标</w:t>
            </w:r>
            <w:r>
              <w:rPr>
                <w:rFonts w:hint="eastAsia" w:ascii="宋体" w:hAnsi="宋体" w:eastAsia="宋体" w:cs="宋体"/>
                <w:color w:val="auto"/>
                <w:szCs w:val="21"/>
                <w:highlight w:val="none"/>
              </w:rPr>
              <w:t>服务费</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3A60E68A">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本次</w:t>
            </w:r>
            <w:r>
              <w:rPr>
                <w:rFonts w:hint="eastAsia" w:ascii="宋体" w:hAnsi="宋体" w:eastAsia="宋体" w:cs="宋体"/>
                <w:color w:val="auto"/>
                <w:szCs w:val="21"/>
                <w:highlight w:val="none"/>
                <w:lang w:val="en-US" w:eastAsia="zh-CN"/>
              </w:rPr>
              <w:t>招标</w:t>
            </w:r>
            <w:r>
              <w:rPr>
                <w:rFonts w:hint="eastAsia" w:ascii="宋体" w:hAnsi="宋体" w:eastAsia="宋体" w:cs="宋体"/>
                <w:color w:val="auto"/>
                <w:szCs w:val="21"/>
                <w:highlight w:val="none"/>
              </w:rPr>
              <w:t>服务费包含采购代理服务费和造价咨询服务费，由</w:t>
            </w:r>
            <w:r>
              <w:rPr>
                <w:rFonts w:hint="eastAsia" w:ascii="宋体" w:hAnsi="宋体" w:eastAsia="宋体" w:cs="宋体"/>
                <w:color w:val="auto"/>
                <w:szCs w:val="21"/>
                <w:highlight w:val="none"/>
                <w:lang w:val="en-US" w:eastAsia="zh-CN"/>
              </w:rPr>
              <w:t>中标人</w:t>
            </w:r>
            <w:r>
              <w:rPr>
                <w:rFonts w:hint="eastAsia" w:ascii="宋体" w:hAnsi="宋体" w:eastAsia="宋体" w:cs="宋体"/>
                <w:color w:val="auto"/>
                <w:szCs w:val="21"/>
                <w:highlight w:val="none"/>
              </w:rPr>
              <w:t>承担，在领取成交通知书前向代理机构支付。服务费以费率40.5 %乘以基础收费金额计算。</w:t>
            </w:r>
          </w:p>
          <w:p w14:paraId="36F7B818">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采购代理服务费基础收费根据下表的服务费率按差额定率分档累进法按标段计算，计算基数为对应标段的成交价（中标价）。</w:t>
            </w:r>
          </w:p>
          <w:tbl>
            <w:tblPr>
              <w:tblStyle w:val="32"/>
              <w:tblW w:w="4999" w:type="pct"/>
              <w:jc w:val="center"/>
              <w:tblLayout w:type="autofit"/>
              <w:tblCellMar>
                <w:top w:w="0" w:type="dxa"/>
                <w:left w:w="0" w:type="dxa"/>
                <w:bottom w:w="0" w:type="dxa"/>
                <w:right w:w="0" w:type="dxa"/>
              </w:tblCellMar>
            </w:tblPr>
            <w:tblGrid>
              <w:gridCol w:w="3957"/>
              <w:gridCol w:w="2447"/>
            </w:tblGrid>
            <w:tr w14:paraId="68A8E6F6">
              <w:tblPrEx>
                <w:tblCellMar>
                  <w:top w:w="0" w:type="dxa"/>
                  <w:left w:w="0" w:type="dxa"/>
                  <w:bottom w:w="0" w:type="dxa"/>
                  <w:right w:w="0" w:type="dxa"/>
                </w:tblCellMar>
              </w:tblPrEx>
              <w:trPr>
                <w:jc w:val="center"/>
              </w:trPr>
              <w:tc>
                <w:tcPr>
                  <w:tcW w:w="3089" w:type="pct"/>
                  <w:tcBorders>
                    <w:top w:val="single" w:color="000000" w:sz="4" w:space="0"/>
                    <w:left w:val="single" w:color="000000" w:sz="4" w:space="0"/>
                    <w:bottom w:val="single" w:color="000000" w:sz="4" w:space="0"/>
                    <w:right w:val="single" w:color="000000" w:sz="4" w:space="0"/>
                  </w:tcBorders>
                  <w:noWrap w:val="0"/>
                  <w:vAlign w:val="center"/>
                </w:tcPr>
                <w:p w14:paraId="64385B96">
                  <w:pPr>
                    <w:keepNext w:val="0"/>
                    <w:keepLines w:val="0"/>
                    <w:pageBreakBefore w:val="0"/>
                    <w:widowControl/>
                    <w:shd w:val="clear" w:color="auto" w:fill="FFFFFF"/>
                    <w:kinsoku/>
                    <w:wordWrap/>
                    <w:overflowPunct/>
                    <w:topLinePunct w:val="0"/>
                    <w:autoSpaceDE/>
                    <w:autoSpaceDN/>
                    <w:bidi w:val="0"/>
                    <w:adjustRightInd w:val="0"/>
                    <w:snapToGrid w:val="0"/>
                    <w:spacing w:line="240" w:lineRule="auto"/>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中标或者成交金额</w:t>
                  </w:r>
                </w:p>
              </w:tc>
              <w:tc>
                <w:tcPr>
                  <w:tcW w:w="1910" w:type="pct"/>
                  <w:tcBorders>
                    <w:top w:val="single" w:color="000000" w:sz="4" w:space="0"/>
                    <w:left w:val="single" w:color="000000" w:sz="4" w:space="0"/>
                    <w:bottom w:val="single" w:color="000000" w:sz="4" w:space="0"/>
                    <w:right w:val="single" w:color="000000" w:sz="4" w:space="0"/>
                  </w:tcBorders>
                  <w:noWrap w:val="0"/>
                  <w:vAlign w:val="center"/>
                </w:tcPr>
                <w:p w14:paraId="24112AD4">
                  <w:pPr>
                    <w:keepNext w:val="0"/>
                    <w:keepLines w:val="0"/>
                    <w:pageBreakBefore w:val="0"/>
                    <w:widowControl/>
                    <w:shd w:val="clear" w:color="auto" w:fill="FFFFFF"/>
                    <w:kinsoku/>
                    <w:wordWrap/>
                    <w:overflowPunct/>
                    <w:topLinePunct w:val="0"/>
                    <w:autoSpaceDE/>
                    <w:autoSpaceDN/>
                    <w:bidi w:val="0"/>
                    <w:adjustRightInd w:val="0"/>
                    <w:snapToGrid w:val="0"/>
                    <w:spacing w:line="240" w:lineRule="auto"/>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费率</w:t>
                  </w:r>
                </w:p>
              </w:tc>
            </w:tr>
            <w:tr w14:paraId="58E225E6">
              <w:tblPrEx>
                <w:tblCellMar>
                  <w:top w:w="0" w:type="dxa"/>
                  <w:left w:w="0" w:type="dxa"/>
                  <w:bottom w:w="0" w:type="dxa"/>
                  <w:right w:w="0" w:type="dxa"/>
                </w:tblCellMar>
              </w:tblPrEx>
              <w:trPr>
                <w:jc w:val="center"/>
              </w:trPr>
              <w:tc>
                <w:tcPr>
                  <w:tcW w:w="3089" w:type="pct"/>
                  <w:tcBorders>
                    <w:top w:val="single" w:color="000000" w:sz="4" w:space="0"/>
                    <w:left w:val="single" w:color="000000" w:sz="4" w:space="0"/>
                    <w:bottom w:val="single" w:color="000000" w:sz="4" w:space="0"/>
                    <w:right w:val="single" w:color="000000" w:sz="4" w:space="0"/>
                  </w:tcBorders>
                  <w:noWrap w:val="0"/>
                  <w:vAlign w:val="center"/>
                </w:tcPr>
                <w:p w14:paraId="33EADB26">
                  <w:pPr>
                    <w:keepNext w:val="0"/>
                    <w:keepLines w:val="0"/>
                    <w:pageBreakBefore w:val="0"/>
                    <w:widowControl/>
                    <w:shd w:val="clear" w:color="auto" w:fill="FFFFFF"/>
                    <w:kinsoku/>
                    <w:wordWrap/>
                    <w:overflowPunct/>
                    <w:topLinePunct w:val="0"/>
                    <w:autoSpaceDE/>
                    <w:autoSpaceDN/>
                    <w:bidi w:val="0"/>
                    <w:adjustRightInd w:val="0"/>
                    <w:snapToGrid w:val="0"/>
                    <w:spacing w:line="240" w:lineRule="auto"/>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最低收费金额（每个项目）</w:t>
                  </w:r>
                </w:p>
              </w:tc>
              <w:tc>
                <w:tcPr>
                  <w:tcW w:w="1910" w:type="pct"/>
                  <w:tcBorders>
                    <w:top w:val="single" w:color="000000" w:sz="4" w:space="0"/>
                    <w:left w:val="single" w:color="000000" w:sz="4" w:space="0"/>
                    <w:bottom w:val="single" w:color="000000" w:sz="4" w:space="0"/>
                    <w:right w:val="single" w:color="000000" w:sz="4" w:space="0"/>
                  </w:tcBorders>
                  <w:noWrap w:val="0"/>
                  <w:vAlign w:val="center"/>
                </w:tcPr>
                <w:p w14:paraId="49B6BFE6">
                  <w:pPr>
                    <w:keepNext w:val="0"/>
                    <w:keepLines w:val="0"/>
                    <w:pageBreakBefore w:val="0"/>
                    <w:widowControl/>
                    <w:shd w:val="clear" w:color="auto" w:fill="FFFFFF"/>
                    <w:kinsoku/>
                    <w:wordWrap/>
                    <w:overflowPunct/>
                    <w:topLinePunct w:val="0"/>
                    <w:autoSpaceDE/>
                    <w:autoSpaceDN/>
                    <w:bidi w:val="0"/>
                    <w:adjustRightInd w:val="0"/>
                    <w:snapToGrid w:val="0"/>
                    <w:spacing w:line="240" w:lineRule="auto"/>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5000元</w:t>
                  </w:r>
                </w:p>
              </w:tc>
            </w:tr>
            <w:tr w14:paraId="1179E686">
              <w:tblPrEx>
                <w:tblCellMar>
                  <w:top w:w="0" w:type="dxa"/>
                  <w:left w:w="0" w:type="dxa"/>
                  <w:bottom w:w="0" w:type="dxa"/>
                  <w:right w:w="0" w:type="dxa"/>
                </w:tblCellMar>
              </w:tblPrEx>
              <w:trPr>
                <w:jc w:val="center"/>
              </w:trPr>
              <w:tc>
                <w:tcPr>
                  <w:tcW w:w="3089" w:type="pct"/>
                  <w:tcBorders>
                    <w:top w:val="single" w:color="000000" w:sz="4" w:space="0"/>
                    <w:left w:val="single" w:color="000000" w:sz="4" w:space="0"/>
                    <w:bottom w:val="single" w:color="000000" w:sz="4" w:space="0"/>
                    <w:right w:val="single" w:color="000000" w:sz="4" w:space="0"/>
                  </w:tcBorders>
                  <w:noWrap w:val="0"/>
                  <w:vAlign w:val="center"/>
                </w:tcPr>
                <w:p w14:paraId="468A89FC">
                  <w:pPr>
                    <w:keepNext w:val="0"/>
                    <w:keepLines w:val="0"/>
                    <w:pageBreakBefore w:val="0"/>
                    <w:widowControl/>
                    <w:shd w:val="clear" w:color="auto" w:fill="FFFFFF"/>
                    <w:kinsoku/>
                    <w:wordWrap/>
                    <w:overflowPunct/>
                    <w:topLinePunct w:val="0"/>
                    <w:autoSpaceDE/>
                    <w:autoSpaceDN/>
                    <w:bidi w:val="0"/>
                    <w:adjustRightInd w:val="0"/>
                    <w:snapToGrid w:val="0"/>
                    <w:spacing w:line="240" w:lineRule="auto"/>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50万元以下（含50万元）</w:t>
                  </w:r>
                </w:p>
              </w:tc>
              <w:tc>
                <w:tcPr>
                  <w:tcW w:w="1910" w:type="pct"/>
                  <w:tcBorders>
                    <w:top w:val="single" w:color="000000" w:sz="4" w:space="0"/>
                    <w:left w:val="single" w:color="000000" w:sz="4" w:space="0"/>
                    <w:bottom w:val="single" w:color="000000" w:sz="4" w:space="0"/>
                    <w:right w:val="single" w:color="000000" w:sz="4" w:space="0"/>
                  </w:tcBorders>
                  <w:noWrap w:val="0"/>
                  <w:vAlign w:val="center"/>
                </w:tcPr>
                <w:p w14:paraId="3D197E0A">
                  <w:pPr>
                    <w:keepNext w:val="0"/>
                    <w:keepLines w:val="0"/>
                    <w:pageBreakBefore w:val="0"/>
                    <w:widowControl/>
                    <w:shd w:val="clear" w:color="auto" w:fill="FFFFFF"/>
                    <w:kinsoku/>
                    <w:wordWrap/>
                    <w:overflowPunct/>
                    <w:topLinePunct w:val="0"/>
                    <w:autoSpaceDE/>
                    <w:autoSpaceDN/>
                    <w:bidi w:val="0"/>
                    <w:adjustRightInd w:val="0"/>
                    <w:snapToGrid w:val="0"/>
                    <w:spacing w:line="240" w:lineRule="auto"/>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1.6%</w:t>
                  </w:r>
                </w:p>
              </w:tc>
            </w:tr>
            <w:tr w14:paraId="58171D4D">
              <w:tblPrEx>
                <w:tblCellMar>
                  <w:top w:w="0" w:type="dxa"/>
                  <w:left w:w="0" w:type="dxa"/>
                  <w:bottom w:w="0" w:type="dxa"/>
                  <w:right w:w="0" w:type="dxa"/>
                </w:tblCellMar>
              </w:tblPrEx>
              <w:trPr>
                <w:jc w:val="center"/>
              </w:trPr>
              <w:tc>
                <w:tcPr>
                  <w:tcW w:w="3089" w:type="pct"/>
                  <w:tcBorders>
                    <w:top w:val="single" w:color="000000" w:sz="4" w:space="0"/>
                    <w:left w:val="single" w:color="000000" w:sz="4" w:space="0"/>
                    <w:bottom w:val="single" w:color="000000" w:sz="4" w:space="0"/>
                    <w:right w:val="single" w:color="000000" w:sz="4" w:space="0"/>
                  </w:tcBorders>
                  <w:noWrap w:val="0"/>
                  <w:vAlign w:val="center"/>
                </w:tcPr>
                <w:p w14:paraId="74A87065">
                  <w:pPr>
                    <w:keepNext w:val="0"/>
                    <w:keepLines w:val="0"/>
                    <w:pageBreakBefore w:val="0"/>
                    <w:widowControl/>
                    <w:shd w:val="clear" w:color="auto" w:fill="FFFFFF"/>
                    <w:kinsoku/>
                    <w:wordWrap/>
                    <w:overflowPunct/>
                    <w:topLinePunct w:val="0"/>
                    <w:autoSpaceDE/>
                    <w:autoSpaceDN/>
                    <w:bidi w:val="0"/>
                    <w:adjustRightInd w:val="0"/>
                    <w:snapToGrid w:val="0"/>
                    <w:spacing w:line="240" w:lineRule="auto"/>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50-400万元（含400万元）</w:t>
                  </w:r>
                </w:p>
              </w:tc>
              <w:tc>
                <w:tcPr>
                  <w:tcW w:w="1910" w:type="pct"/>
                  <w:tcBorders>
                    <w:top w:val="single" w:color="000000" w:sz="4" w:space="0"/>
                    <w:left w:val="single" w:color="000000" w:sz="4" w:space="0"/>
                    <w:bottom w:val="single" w:color="000000" w:sz="4" w:space="0"/>
                    <w:right w:val="single" w:color="000000" w:sz="4" w:space="0"/>
                  </w:tcBorders>
                  <w:noWrap w:val="0"/>
                  <w:vAlign w:val="center"/>
                </w:tcPr>
                <w:p w14:paraId="14D8535A">
                  <w:pPr>
                    <w:keepNext w:val="0"/>
                    <w:keepLines w:val="0"/>
                    <w:pageBreakBefore w:val="0"/>
                    <w:widowControl/>
                    <w:shd w:val="clear" w:color="auto" w:fill="FFFFFF"/>
                    <w:kinsoku/>
                    <w:wordWrap/>
                    <w:overflowPunct/>
                    <w:topLinePunct w:val="0"/>
                    <w:autoSpaceDE/>
                    <w:autoSpaceDN/>
                    <w:bidi w:val="0"/>
                    <w:adjustRightInd w:val="0"/>
                    <w:snapToGrid w:val="0"/>
                    <w:spacing w:line="240" w:lineRule="auto"/>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1.5%</w:t>
                  </w:r>
                </w:p>
              </w:tc>
            </w:tr>
          </w:tbl>
          <w:p w14:paraId="01A2FFA0">
            <w:pPr>
              <w:keepNext w:val="0"/>
              <w:keepLines w:val="0"/>
              <w:pageBreakBefore w:val="0"/>
              <w:widowControl/>
              <w:shd w:val="clear" w:color="auto" w:fill="FFFFFF"/>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造价咨询服务费基础收费根据下表的服务费率按差额定率分档累进法按标段计算，计算基数为对应标段的成交价（中标价）。</w:t>
            </w:r>
          </w:p>
          <w:tbl>
            <w:tblPr>
              <w:tblStyle w:val="32"/>
              <w:tblpPr w:leftFromText="180" w:rightFromText="180" w:vertAnchor="text" w:horzAnchor="page" w:tblpX="106" w:tblpY="47"/>
              <w:tblOverlap w:val="never"/>
              <w:tblW w:w="6404" w:type="dxa"/>
              <w:tblInd w:w="0" w:type="dxa"/>
              <w:tblLayout w:type="autofit"/>
              <w:tblCellMar>
                <w:top w:w="0" w:type="dxa"/>
                <w:left w:w="0" w:type="dxa"/>
                <w:bottom w:w="0" w:type="dxa"/>
                <w:right w:w="0" w:type="dxa"/>
              </w:tblCellMar>
            </w:tblPr>
            <w:tblGrid>
              <w:gridCol w:w="3957"/>
              <w:gridCol w:w="2447"/>
            </w:tblGrid>
            <w:tr w14:paraId="5A7EAF6E">
              <w:tblPrEx>
                <w:tblCellMar>
                  <w:top w:w="0" w:type="dxa"/>
                  <w:left w:w="0" w:type="dxa"/>
                  <w:bottom w:w="0" w:type="dxa"/>
                  <w:right w:w="0" w:type="dxa"/>
                </w:tblCellMar>
              </w:tblPrEx>
              <w:tc>
                <w:tcPr>
                  <w:tcW w:w="3089" w:type="pct"/>
                  <w:tcBorders>
                    <w:top w:val="single" w:color="000000" w:sz="4" w:space="0"/>
                    <w:left w:val="single" w:color="000000" w:sz="4" w:space="0"/>
                    <w:bottom w:val="single" w:color="000000" w:sz="4" w:space="0"/>
                    <w:right w:val="single" w:color="000000" w:sz="4" w:space="0"/>
                  </w:tcBorders>
                  <w:noWrap w:val="0"/>
                  <w:vAlign w:val="center"/>
                </w:tcPr>
                <w:p w14:paraId="62CDB518">
                  <w:pPr>
                    <w:keepNext w:val="0"/>
                    <w:keepLines w:val="0"/>
                    <w:pageBreakBefore w:val="0"/>
                    <w:widowControl/>
                    <w:shd w:val="clear" w:color="auto" w:fill="FFFFFF"/>
                    <w:kinsoku/>
                    <w:wordWrap/>
                    <w:overflowPunct/>
                    <w:topLinePunct w:val="0"/>
                    <w:autoSpaceDE/>
                    <w:autoSpaceDN/>
                    <w:bidi w:val="0"/>
                    <w:adjustRightInd w:val="0"/>
                    <w:snapToGrid w:val="0"/>
                    <w:spacing w:line="240" w:lineRule="auto"/>
                    <w:ind w:firstLine="42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中标或者成交金额</w:t>
                  </w:r>
                </w:p>
              </w:tc>
              <w:tc>
                <w:tcPr>
                  <w:tcW w:w="1910" w:type="pct"/>
                  <w:tcBorders>
                    <w:top w:val="single" w:color="000000" w:sz="4" w:space="0"/>
                    <w:left w:val="single" w:color="000000" w:sz="4" w:space="0"/>
                    <w:bottom w:val="single" w:color="000000" w:sz="4" w:space="0"/>
                    <w:right w:val="single" w:color="000000" w:sz="4" w:space="0"/>
                  </w:tcBorders>
                  <w:noWrap w:val="0"/>
                  <w:vAlign w:val="center"/>
                </w:tcPr>
                <w:p w14:paraId="3FA12DB7">
                  <w:pPr>
                    <w:keepNext w:val="0"/>
                    <w:keepLines w:val="0"/>
                    <w:pageBreakBefore w:val="0"/>
                    <w:widowControl/>
                    <w:shd w:val="clear" w:color="auto" w:fill="FFFFFF"/>
                    <w:kinsoku/>
                    <w:wordWrap/>
                    <w:overflowPunct/>
                    <w:topLinePunct w:val="0"/>
                    <w:autoSpaceDE/>
                    <w:autoSpaceDN/>
                    <w:bidi w:val="0"/>
                    <w:adjustRightInd w:val="0"/>
                    <w:snapToGrid w:val="0"/>
                    <w:spacing w:line="240" w:lineRule="auto"/>
                    <w:ind w:firstLine="42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费率</w:t>
                  </w:r>
                </w:p>
              </w:tc>
            </w:tr>
            <w:tr w14:paraId="4B38F1AF">
              <w:tblPrEx>
                <w:tblCellMar>
                  <w:top w:w="0" w:type="dxa"/>
                  <w:left w:w="0" w:type="dxa"/>
                  <w:bottom w:w="0" w:type="dxa"/>
                  <w:right w:w="0" w:type="dxa"/>
                </w:tblCellMar>
              </w:tblPrEx>
              <w:tc>
                <w:tcPr>
                  <w:tcW w:w="3089" w:type="pct"/>
                  <w:tcBorders>
                    <w:top w:val="single" w:color="000000" w:sz="4" w:space="0"/>
                    <w:left w:val="single" w:color="000000" w:sz="4" w:space="0"/>
                    <w:bottom w:val="single" w:color="000000" w:sz="4" w:space="0"/>
                    <w:right w:val="single" w:color="000000" w:sz="4" w:space="0"/>
                  </w:tcBorders>
                  <w:noWrap w:val="0"/>
                  <w:vAlign w:val="center"/>
                </w:tcPr>
                <w:p w14:paraId="505B145E">
                  <w:pPr>
                    <w:keepNext w:val="0"/>
                    <w:keepLines w:val="0"/>
                    <w:pageBreakBefore w:val="0"/>
                    <w:widowControl/>
                    <w:shd w:val="clear" w:color="auto" w:fill="FFFFFF"/>
                    <w:kinsoku/>
                    <w:wordWrap/>
                    <w:overflowPunct/>
                    <w:topLinePunct w:val="0"/>
                    <w:autoSpaceDE/>
                    <w:autoSpaceDN/>
                    <w:bidi w:val="0"/>
                    <w:adjustRightInd w:val="0"/>
                    <w:snapToGrid w:val="0"/>
                    <w:spacing w:line="240" w:lineRule="auto"/>
                    <w:ind w:firstLine="42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最低收费金额（每个项目）</w:t>
                  </w:r>
                </w:p>
              </w:tc>
              <w:tc>
                <w:tcPr>
                  <w:tcW w:w="1910" w:type="pct"/>
                  <w:tcBorders>
                    <w:top w:val="single" w:color="000000" w:sz="4" w:space="0"/>
                    <w:left w:val="single" w:color="000000" w:sz="4" w:space="0"/>
                    <w:bottom w:val="single" w:color="000000" w:sz="4" w:space="0"/>
                    <w:right w:val="single" w:color="000000" w:sz="4" w:space="0"/>
                  </w:tcBorders>
                  <w:noWrap w:val="0"/>
                  <w:vAlign w:val="center"/>
                </w:tcPr>
                <w:p w14:paraId="5C0B4215">
                  <w:pPr>
                    <w:keepNext w:val="0"/>
                    <w:keepLines w:val="0"/>
                    <w:pageBreakBefore w:val="0"/>
                    <w:widowControl/>
                    <w:shd w:val="clear" w:color="auto" w:fill="FFFFFF"/>
                    <w:kinsoku/>
                    <w:wordWrap/>
                    <w:overflowPunct/>
                    <w:topLinePunct w:val="0"/>
                    <w:autoSpaceDE/>
                    <w:autoSpaceDN/>
                    <w:bidi w:val="0"/>
                    <w:adjustRightInd w:val="0"/>
                    <w:snapToGrid w:val="0"/>
                    <w:spacing w:line="240" w:lineRule="auto"/>
                    <w:ind w:firstLine="42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5000元</w:t>
                  </w:r>
                </w:p>
              </w:tc>
            </w:tr>
            <w:tr w14:paraId="3D8A8D5F">
              <w:tblPrEx>
                <w:tblCellMar>
                  <w:top w:w="0" w:type="dxa"/>
                  <w:left w:w="0" w:type="dxa"/>
                  <w:bottom w:w="0" w:type="dxa"/>
                  <w:right w:w="0" w:type="dxa"/>
                </w:tblCellMar>
              </w:tblPrEx>
              <w:tc>
                <w:tcPr>
                  <w:tcW w:w="3089" w:type="pct"/>
                  <w:tcBorders>
                    <w:top w:val="single" w:color="000000" w:sz="4" w:space="0"/>
                    <w:left w:val="single" w:color="000000" w:sz="4" w:space="0"/>
                    <w:bottom w:val="single" w:color="000000" w:sz="4" w:space="0"/>
                    <w:right w:val="single" w:color="000000" w:sz="4" w:space="0"/>
                  </w:tcBorders>
                  <w:noWrap w:val="0"/>
                  <w:vAlign w:val="center"/>
                </w:tcPr>
                <w:p w14:paraId="4C24EFB2">
                  <w:pPr>
                    <w:keepNext w:val="0"/>
                    <w:keepLines w:val="0"/>
                    <w:pageBreakBefore w:val="0"/>
                    <w:widowControl/>
                    <w:shd w:val="clear" w:color="auto" w:fill="FFFFFF"/>
                    <w:kinsoku/>
                    <w:wordWrap/>
                    <w:overflowPunct/>
                    <w:topLinePunct w:val="0"/>
                    <w:autoSpaceDE/>
                    <w:autoSpaceDN/>
                    <w:bidi w:val="0"/>
                    <w:adjustRightInd w:val="0"/>
                    <w:snapToGrid w:val="0"/>
                    <w:spacing w:line="240" w:lineRule="auto"/>
                    <w:ind w:firstLine="42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500万元以下（含500万元）</w:t>
                  </w:r>
                </w:p>
              </w:tc>
              <w:tc>
                <w:tcPr>
                  <w:tcW w:w="1910" w:type="pct"/>
                  <w:tcBorders>
                    <w:top w:val="single" w:color="000000" w:sz="4" w:space="0"/>
                    <w:left w:val="single" w:color="000000" w:sz="4" w:space="0"/>
                    <w:bottom w:val="single" w:color="000000" w:sz="4" w:space="0"/>
                    <w:right w:val="single" w:color="000000" w:sz="4" w:space="0"/>
                  </w:tcBorders>
                  <w:noWrap w:val="0"/>
                  <w:vAlign w:val="center"/>
                </w:tcPr>
                <w:p w14:paraId="7CE177ED">
                  <w:pPr>
                    <w:keepNext w:val="0"/>
                    <w:keepLines w:val="0"/>
                    <w:pageBreakBefore w:val="0"/>
                    <w:widowControl/>
                    <w:shd w:val="clear" w:color="auto" w:fill="FFFFFF"/>
                    <w:kinsoku/>
                    <w:wordWrap/>
                    <w:overflowPunct/>
                    <w:topLinePunct w:val="0"/>
                    <w:autoSpaceDE/>
                    <w:autoSpaceDN/>
                    <w:bidi w:val="0"/>
                    <w:adjustRightInd w:val="0"/>
                    <w:snapToGrid w:val="0"/>
                    <w:spacing w:line="240" w:lineRule="auto"/>
                    <w:ind w:firstLine="42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4.5‰</w:t>
                  </w:r>
                </w:p>
              </w:tc>
            </w:tr>
            <w:tr w14:paraId="30C936EB">
              <w:tblPrEx>
                <w:tblCellMar>
                  <w:top w:w="0" w:type="dxa"/>
                  <w:left w:w="0" w:type="dxa"/>
                  <w:bottom w:w="0" w:type="dxa"/>
                  <w:right w:w="0" w:type="dxa"/>
                </w:tblCellMar>
              </w:tblPrEx>
              <w:tc>
                <w:tcPr>
                  <w:tcW w:w="3089" w:type="pct"/>
                  <w:tcBorders>
                    <w:top w:val="single" w:color="000000" w:sz="4" w:space="0"/>
                    <w:left w:val="single" w:color="000000" w:sz="4" w:space="0"/>
                    <w:bottom w:val="single" w:color="000000" w:sz="4" w:space="0"/>
                    <w:right w:val="single" w:color="000000" w:sz="4" w:space="0"/>
                  </w:tcBorders>
                  <w:noWrap w:val="0"/>
                  <w:vAlign w:val="center"/>
                </w:tcPr>
                <w:p w14:paraId="1B14F7B8">
                  <w:pPr>
                    <w:keepNext w:val="0"/>
                    <w:keepLines w:val="0"/>
                    <w:pageBreakBefore w:val="0"/>
                    <w:widowControl/>
                    <w:shd w:val="clear" w:color="auto" w:fill="FFFFFF"/>
                    <w:kinsoku/>
                    <w:wordWrap/>
                    <w:overflowPunct/>
                    <w:topLinePunct w:val="0"/>
                    <w:autoSpaceDE/>
                    <w:autoSpaceDN/>
                    <w:bidi w:val="0"/>
                    <w:adjustRightInd w:val="0"/>
                    <w:snapToGrid w:val="0"/>
                    <w:spacing w:line="240" w:lineRule="auto"/>
                    <w:ind w:firstLine="42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500-1000万元（含1000万元）</w:t>
                  </w:r>
                </w:p>
              </w:tc>
              <w:tc>
                <w:tcPr>
                  <w:tcW w:w="1910" w:type="pct"/>
                  <w:tcBorders>
                    <w:top w:val="single" w:color="000000" w:sz="4" w:space="0"/>
                    <w:left w:val="single" w:color="000000" w:sz="4" w:space="0"/>
                    <w:bottom w:val="single" w:color="000000" w:sz="4" w:space="0"/>
                    <w:right w:val="single" w:color="000000" w:sz="4" w:space="0"/>
                  </w:tcBorders>
                  <w:noWrap w:val="0"/>
                  <w:vAlign w:val="center"/>
                </w:tcPr>
                <w:p w14:paraId="41E62977">
                  <w:pPr>
                    <w:keepNext w:val="0"/>
                    <w:keepLines w:val="0"/>
                    <w:pageBreakBefore w:val="0"/>
                    <w:widowControl/>
                    <w:shd w:val="clear" w:color="auto" w:fill="FFFFFF"/>
                    <w:kinsoku/>
                    <w:wordWrap/>
                    <w:overflowPunct/>
                    <w:topLinePunct w:val="0"/>
                    <w:autoSpaceDE/>
                    <w:autoSpaceDN/>
                    <w:bidi w:val="0"/>
                    <w:adjustRightInd w:val="0"/>
                    <w:snapToGrid w:val="0"/>
                    <w:spacing w:line="240" w:lineRule="auto"/>
                    <w:ind w:firstLine="42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4‰</w:t>
                  </w:r>
                </w:p>
              </w:tc>
            </w:tr>
          </w:tbl>
          <w:p w14:paraId="6B7FB205">
            <w:pPr>
              <w:keepNext w:val="0"/>
              <w:keepLines w:val="0"/>
              <w:pageBreakBefore w:val="0"/>
              <w:widowControl/>
              <w:shd w:val="clear" w:color="auto" w:fill="FFFFFF"/>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招标</w:t>
            </w:r>
            <w:r>
              <w:rPr>
                <w:rFonts w:hint="eastAsia" w:ascii="宋体" w:hAnsi="宋体" w:eastAsia="宋体" w:cs="宋体"/>
                <w:color w:val="auto"/>
                <w:szCs w:val="21"/>
                <w:highlight w:val="none"/>
              </w:rPr>
              <w:t>服务费含在报价中，无需在报价表中单列。</w:t>
            </w:r>
          </w:p>
        </w:tc>
      </w:tr>
      <w:tr w14:paraId="423B8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483106F1">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23</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1B546CCE">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其他规定</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59C788BD">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20" w:firstLineChars="200"/>
              <w:jc w:val="both"/>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1.本项目采用</w:t>
            </w:r>
            <w:r>
              <w:rPr>
                <w:rFonts w:hint="eastAsia" w:ascii="宋体" w:hAnsi="宋体" w:eastAsia="宋体" w:cs="宋体"/>
                <w:b/>
                <w:bCs/>
                <w:color w:val="auto"/>
                <w:sz w:val="21"/>
                <w:szCs w:val="21"/>
                <w:highlight w:val="none"/>
                <w:lang w:val="en-US" w:eastAsia="zh-CN"/>
              </w:rPr>
              <w:t>单价合同</w:t>
            </w:r>
            <w:r>
              <w:rPr>
                <w:rFonts w:hint="eastAsia" w:ascii="宋体" w:hAnsi="宋体" w:eastAsia="宋体" w:cs="宋体"/>
                <w:color w:val="auto"/>
                <w:sz w:val="21"/>
                <w:szCs w:val="21"/>
                <w:highlight w:val="none"/>
                <w:lang w:val="en-US" w:eastAsia="zh-CN"/>
              </w:rPr>
              <w:t>方式。投标人所报的单价和总价应包括为实施和完成合同工程所需的劳务、材料、机械、质检、测量、管理、保修、利润等费用以及合同明示或暗示的所有责任、义务和一般风险（本工程还包括风、雨、雾、浪、水流、水位等自然现象对施工的影响以及通航对施工安全的影响和水下地质情况对施工的影响等。合同实施过程中，投标人不得就上述可以预见的风险向采购人索赔或要求调整合同单价或总价）。</w:t>
            </w:r>
          </w:p>
          <w:p w14:paraId="05654AEC">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20" w:firstLineChars="200"/>
              <w:jc w:val="both"/>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2.投标人在编制投标报价时，应充分考虑施工期间市场的风险和国家政策性调整风险等一切因素，并计入投标报价中。合同协议书一经签订，除合同另有规定外，合同单价一概不予调整。</w:t>
            </w:r>
          </w:p>
          <w:p w14:paraId="1CC694E5">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20" w:firstLineChars="200"/>
              <w:jc w:val="both"/>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3.中国政府（江苏省）根据现行税法和有关部门现行规定就本合同项下向投标人征收的所有税金及其他应交纳的所有费用均由投标人摊入各工程细目的单价中。</w:t>
            </w:r>
          </w:p>
          <w:p w14:paraId="599A9861">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20" w:firstLineChars="200"/>
              <w:jc w:val="both"/>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施工现场通讯条件、其他临时交通、投标人驻地建设等，投标人应根据现场考察情况自行解决；临时工程与设施应考虑施工期施工、地方临时通行以及防汛的需要，达到以上要求所需的费用应含在投标人的投标报价中，不单独计量与支付。</w:t>
            </w:r>
          </w:p>
          <w:p w14:paraId="7E7B52B0">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20" w:firstLineChars="200"/>
              <w:jc w:val="both"/>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投标人必须充分考虑和理解工程的相互交叉和干扰，必须无条件地服从采购人的协调，由此可能发生的费用应计入报价中，在实际施工中，采购人不另承担由此产生的一切费用。投标人在工程建设期间不得损坏和污染采购人已完成的其他任何工程。</w:t>
            </w:r>
          </w:p>
        </w:tc>
      </w:tr>
    </w:tbl>
    <w:p w14:paraId="69D1BB78">
      <w:pPr>
        <w:rPr>
          <w:rFonts w:hint="eastAsia" w:ascii="宋体" w:hAnsi="宋体" w:eastAsia="宋体" w:cs="宋体"/>
          <w:b/>
          <w:color w:val="auto"/>
          <w:sz w:val="21"/>
          <w:highlight w:val="none"/>
        </w:rPr>
      </w:pPr>
      <w:r>
        <w:rPr>
          <w:rFonts w:hint="eastAsia" w:ascii="宋体" w:hAnsi="宋体" w:eastAsia="宋体" w:cs="宋体"/>
          <w:b/>
          <w:color w:val="auto"/>
          <w:sz w:val="21"/>
          <w:highlight w:val="none"/>
        </w:rPr>
        <w:br w:type="page"/>
      </w:r>
    </w:p>
    <w:p w14:paraId="05F78E2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4"/>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一、总 则</w:t>
      </w:r>
    </w:p>
    <w:p w14:paraId="3441C77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1、适用法律</w:t>
      </w:r>
    </w:p>
    <w:p w14:paraId="4B13CDD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1.1本次招标适用《中华人民共和国政府采购法》（以下简称政府采购法）《中华人民共和国政府采购法实施条例》（以下简称政府采购法实施条例）等法律、行政法规、部门规章和规范性文件。</w:t>
      </w:r>
    </w:p>
    <w:p w14:paraId="6EB5288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2、定义</w:t>
      </w:r>
    </w:p>
    <w:p w14:paraId="31A05E9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2.1“采购人”是指依法进行政府采购的国家机关、事业单位、团体组织。</w:t>
      </w:r>
    </w:p>
    <w:p w14:paraId="17E2395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2.2“投标人（</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）”是指参加投标竞争，并符合招标文件规定资格条件的法人、其他组织或者自然人。</w:t>
      </w:r>
    </w:p>
    <w:p w14:paraId="4157789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2.3“采购代理机构”是指集中采购机构和集中采购机构以外的采购代理机构，集中采购机构以外的采购代理机构，是从事采购代理业务的社会中介机构。</w:t>
      </w:r>
    </w:p>
    <w:p w14:paraId="057D5C5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2.4</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工程</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指本采购文件中所述</w:t>
      </w:r>
      <w:r>
        <w:rPr>
          <w:rFonts w:hint="eastAsia" w:ascii="宋体" w:hAnsi="宋体" w:eastAsia="宋体" w:cs="宋体"/>
          <w:color w:val="auto"/>
          <w:kern w:val="0"/>
          <w:szCs w:val="21"/>
          <w:highlight w:val="none"/>
          <w:lang w:val="en-US" w:eastAsia="zh-CN"/>
        </w:rPr>
        <w:t>工程以及与之配套的货物、服务</w:t>
      </w:r>
      <w:r>
        <w:rPr>
          <w:rFonts w:hint="eastAsia" w:ascii="宋体" w:hAnsi="宋体" w:eastAsia="宋体" w:cs="宋体"/>
          <w:color w:val="auto"/>
          <w:sz w:val="21"/>
          <w:highlight w:val="none"/>
        </w:rPr>
        <w:t>。</w:t>
      </w:r>
    </w:p>
    <w:p w14:paraId="2137B3E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2.5“用户或使用单位”是指使用服务的单位。</w:t>
      </w:r>
    </w:p>
    <w:p w14:paraId="2C41DEE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3、政策功能</w:t>
      </w:r>
    </w:p>
    <w:p w14:paraId="3883C9B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3.1政府采购促进中小企业发展，在政府采购活动中，</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67E2686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026DCC9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64DBB46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64F7E48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3.5强制采购信息安全产品。参加政府采购活动的信息安全产品投标人应当选择经国家认证的信息安全产品投标，并提供由国家信息安全认证中心按国家标准认证颁发的有效认证证书。</w:t>
      </w:r>
    </w:p>
    <w:p w14:paraId="1393FB0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3.6进口产品政策</w:t>
      </w:r>
    </w:p>
    <w:p w14:paraId="77E63C9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（1）除招标公告载明接受进口产品参加外，不允许进口产品参加。进口产品认定依照《财政部关于政府采购进口产品管理有关问题的通知》（财办库〔2008〕248号）的规定。</w:t>
      </w:r>
    </w:p>
    <w:p w14:paraId="4EAD591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（2）允许进口产品参加的，满足需求的国内产品可以参加。</w:t>
      </w:r>
    </w:p>
    <w:p w14:paraId="44130AD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（3）允许进口产品参加的，优先采购向我国企业转让技术、与我国企业签订消化吸收再创新方案的投标人的进口产品。</w:t>
      </w:r>
    </w:p>
    <w:p w14:paraId="69AF1FB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3.7未按要求提供相关材料的，不享受相关政策。</w:t>
      </w:r>
    </w:p>
    <w:p w14:paraId="6424F21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12"/>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二、招标文件构成</w:t>
      </w:r>
    </w:p>
    <w:p w14:paraId="45B8B84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4、招标文件组成</w:t>
      </w:r>
    </w:p>
    <w:p w14:paraId="5887743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363"/>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4.1招标文件包括以下主要内容：</w:t>
      </w:r>
    </w:p>
    <w:p w14:paraId="392940C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（1）招标公告；</w:t>
      </w:r>
    </w:p>
    <w:p w14:paraId="0FC2391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（2）投标人须知；</w:t>
      </w:r>
    </w:p>
    <w:p w14:paraId="7AD37F3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（3）评标标准；</w:t>
      </w:r>
    </w:p>
    <w:p w14:paraId="181D78E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（4）</w:t>
      </w:r>
      <w:r>
        <w:rPr>
          <w:rFonts w:hint="eastAsia" w:ascii="宋体" w:hAnsi="宋体" w:eastAsia="宋体" w:cs="宋体"/>
          <w:color w:val="auto"/>
          <w:sz w:val="21"/>
          <w:highlight w:val="none"/>
          <w:lang w:val="en-US" w:eastAsia="zh-CN"/>
        </w:rPr>
        <w:t>技术要求</w:t>
      </w:r>
      <w:r>
        <w:rPr>
          <w:rFonts w:hint="eastAsia" w:ascii="宋体" w:hAnsi="宋体" w:eastAsia="宋体" w:cs="宋体"/>
          <w:color w:val="auto"/>
          <w:sz w:val="21"/>
          <w:highlight w:val="none"/>
        </w:rPr>
        <w:t>；</w:t>
      </w:r>
    </w:p>
    <w:p w14:paraId="77E524B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（5）合同主要条款及格式；</w:t>
      </w:r>
    </w:p>
    <w:p w14:paraId="30E1358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（6）投标文件格式及附件。</w:t>
      </w:r>
    </w:p>
    <w:p w14:paraId="138A3FF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如标书制作工具中格式和内容与“江苏政府采购网”发布的招标文件不一致的，以上述网站发布的招标文件为准。</w:t>
      </w:r>
    </w:p>
    <w:p w14:paraId="0046273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4.2 招标的最小单位是标段。招标</w:t>
      </w:r>
      <w:r>
        <w:rPr>
          <w:rFonts w:hint="eastAsia" w:ascii="宋体" w:hAnsi="宋体" w:eastAsia="宋体" w:cs="宋体"/>
          <w:color w:val="auto"/>
          <w:sz w:val="21"/>
          <w:highlight w:val="none"/>
          <w:lang w:val="en-US" w:eastAsia="zh-CN"/>
        </w:rPr>
        <w:t>文件</w:t>
      </w:r>
      <w:r>
        <w:rPr>
          <w:rFonts w:hint="eastAsia" w:ascii="宋体" w:hAnsi="宋体" w:eastAsia="宋体" w:cs="宋体"/>
          <w:color w:val="auto"/>
          <w:sz w:val="21"/>
          <w:highlight w:val="none"/>
        </w:rPr>
        <w:t>及技术要求中未分标段的，投标人不得部分投标；招标</w:t>
      </w:r>
      <w:r>
        <w:rPr>
          <w:rFonts w:hint="eastAsia" w:ascii="宋体" w:hAnsi="宋体" w:eastAsia="宋体" w:cs="宋体"/>
          <w:color w:val="auto"/>
          <w:sz w:val="21"/>
          <w:highlight w:val="none"/>
          <w:lang w:val="en-US" w:eastAsia="zh-CN"/>
        </w:rPr>
        <w:t>文件</w:t>
      </w:r>
      <w:r>
        <w:rPr>
          <w:rFonts w:hint="eastAsia" w:ascii="宋体" w:hAnsi="宋体" w:eastAsia="宋体" w:cs="宋体"/>
          <w:color w:val="auto"/>
          <w:sz w:val="21"/>
          <w:highlight w:val="none"/>
        </w:rPr>
        <w:t>及技术要求中已经分标段的，可以以标段为单位投标。</w:t>
      </w:r>
    </w:p>
    <w:p w14:paraId="6C9EDEC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4.3 采购代理机构如果要求投标人按照招标文件规定提交备选投标方案的，投标人可以提交备选方案；否则，备选方案将被拒绝。</w:t>
      </w:r>
    </w:p>
    <w:p w14:paraId="431349D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4.4招标文件中要求的产品品牌或型号，是采购人根据项目所要实现的功能推荐的品牌或型号，仅供投标人参考，并不是限制条件。</w:t>
      </w:r>
    </w:p>
    <w:p w14:paraId="0044B51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5、招标文件的澄清或者修改</w:t>
      </w:r>
    </w:p>
    <w:p w14:paraId="6EA31C3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6FED9E0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771B697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240" w:after="240" w:line="360" w:lineRule="auto"/>
        <w:ind w:left="0" w:right="0" w:firstLine="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5.3 投标人应在提交投标文件截止时间前，关注原公告媒体有关本项目的更正公告，根据更正公告内容自行决定是否需要重新制作和提交投标文件，并承担由此产生的相应责任。</w:t>
      </w:r>
    </w:p>
    <w:p w14:paraId="5473CE8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三、投标文件的编制</w:t>
      </w:r>
    </w:p>
    <w:p w14:paraId="58732E6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6、投标文件的语言、计量单位、货币和编制</w:t>
      </w:r>
    </w:p>
    <w:p w14:paraId="3030132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0001C14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6.2投标人所使用的计量单位应为国家法定计量单位。</w:t>
      </w:r>
    </w:p>
    <w:p w14:paraId="6753CFC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6.3投标人应用人民币报价。投标产品如果是进口产品的，应提供人民币与</w:t>
      </w:r>
      <w:r>
        <w:rPr>
          <w:rFonts w:hint="eastAsia" w:ascii="宋体" w:hAnsi="宋体" w:eastAsia="宋体" w:cs="宋体"/>
          <w:b/>
          <w:color w:val="auto"/>
          <w:sz w:val="21"/>
          <w:highlight w:val="none"/>
        </w:rPr>
        <w:t>外币之间的汇率。</w:t>
      </w:r>
    </w:p>
    <w:p w14:paraId="4B9B0BC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6.4投标文件应按照招标文件的规定编写并制作目录。</w:t>
      </w:r>
    </w:p>
    <w:p w14:paraId="3004AAB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6.5投标人应在投标文件中写清相应的项目编号、项目名称、投标人全称、地址、电话、传真等。</w:t>
      </w:r>
    </w:p>
    <w:p w14:paraId="1741D53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12"/>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6.6投标人根据招标文件载明的标的采购项目实际情况，拟在中标后将中标项目的非主体、非关键性工作交由他人完成的，应当在投标文件中载明。</w:t>
      </w:r>
    </w:p>
    <w:p w14:paraId="73FB8B7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7、联合体投标（如有）</w:t>
      </w:r>
    </w:p>
    <w:p w14:paraId="4CFD396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12"/>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7.1 两个以上的自然人、法人或者其他组织可以组成一个联合体，以一个投标人的身份共同参加政府采购。</w:t>
      </w:r>
    </w:p>
    <w:p w14:paraId="6CA581C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12"/>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7.2 联合体中有同类资质的投标人按照联合体分工承担相同工作的，按照资质等级较低的投标人确定资质等级。</w:t>
      </w:r>
    </w:p>
    <w:p w14:paraId="0EBC796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12"/>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7.3 联合体各方之间应当签订联合体协议，明确约定联合体各方承担的工作和相应的责任，并将联合体协议连同投标文件一同提交。</w:t>
      </w:r>
    </w:p>
    <w:p w14:paraId="16137E7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12"/>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7.4 以联合体形式参加政府采购活动的，联合体各方不得再单独参加或者与其他投标人另外组成联合体参加同一合同项下的政府采购活动。</w:t>
      </w:r>
    </w:p>
    <w:p w14:paraId="264AE5B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8、投标文件的组成</w:t>
      </w:r>
    </w:p>
    <w:p w14:paraId="0117884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8.1 投标人应当根据招标文件要求编制投标文件，投标文件应对招标文件提出的要求和条件作出实质性响应，并在《商务条款偏离表》和《</w:t>
      </w:r>
      <w:r>
        <w:rPr>
          <w:rFonts w:hint="eastAsia" w:ascii="宋体" w:hAnsi="宋体" w:eastAsia="宋体" w:cs="宋体"/>
          <w:color w:val="auto"/>
          <w:szCs w:val="21"/>
          <w:highlight w:val="none"/>
          <w:lang w:val="en-US" w:eastAsia="zh-CN"/>
        </w:rPr>
        <w:t>技术要求</w:t>
      </w:r>
      <w:r>
        <w:rPr>
          <w:rFonts w:hint="eastAsia" w:ascii="宋体" w:hAnsi="宋体" w:eastAsia="宋体" w:cs="宋体"/>
          <w:color w:val="auto"/>
          <w:szCs w:val="21"/>
          <w:highlight w:val="none"/>
          <w:lang w:val="zh-CN"/>
        </w:rPr>
        <w:t>条款偏离表</w:t>
      </w:r>
      <w:r>
        <w:rPr>
          <w:rFonts w:hint="eastAsia" w:ascii="宋体" w:hAnsi="宋体" w:eastAsia="宋体" w:cs="宋体"/>
          <w:color w:val="auto"/>
          <w:sz w:val="21"/>
          <w:highlight w:val="none"/>
        </w:rPr>
        <w:t>》等处逐条标明满足与否。</w:t>
      </w:r>
      <w:r>
        <w:rPr>
          <w:rFonts w:hint="eastAsia" w:ascii="宋体" w:hAnsi="宋体" w:eastAsia="宋体" w:cs="宋体"/>
          <w:b/>
          <w:color w:val="auto"/>
          <w:sz w:val="21"/>
          <w:highlight w:val="none"/>
        </w:rPr>
        <w:t>对带星号（“*”）的技术条款必须在投标文件中提供技术支持资料（如白皮书、彩页、手册、检测报告等），未提供技术支持资料的，视为未对招标文件实质性要求作出响应，评审时不予认可。</w:t>
      </w:r>
    </w:p>
    <w:p w14:paraId="2106C0A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8.2 投标文件由商务、技术、价格以及其他部分内容组成。投标文件目录及有关格式按招标文件“第六章 投标文件格式及附件”的要求编制。</w:t>
      </w:r>
    </w:p>
    <w:p w14:paraId="7559ECA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9、投标文件的商务内容</w:t>
      </w:r>
    </w:p>
    <w:p w14:paraId="6E814C9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9.1 商务部分内容是证明投标人有资格参加投标和中标后有能力履行合同的文件，这些文件应能满足招标的要求，包括但不限于下列文件（</w:t>
      </w:r>
      <w:r>
        <w:rPr>
          <w:rFonts w:hint="eastAsia" w:ascii="宋体" w:hAnsi="宋体" w:eastAsia="宋体" w:cs="宋体"/>
          <w:b/>
          <w:color w:val="auto"/>
          <w:sz w:val="21"/>
          <w:highlight w:val="none"/>
        </w:rPr>
        <w:t>（1）-（6）所述材料不得有缺失或提供不全或不满足招标文件的实质性要求</w:t>
      </w:r>
      <w:r>
        <w:rPr>
          <w:rFonts w:hint="eastAsia" w:ascii="宋体" w:hAnsi="宋体" w:eastAsia="宋体" w:cs="宋体"/>
          <w:color w:val="auto"/>
          <w:sz w:val="21"/>
          <w:highlight w:val="none"/>
        </w:rPr>
        <w:t>）：</w:t>
      </w:r>
    </w:p>
    <w:p w14:paraId="3DC1ED0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（1）投标函（投标申请及声明）（</w:t>
      </w:r>
      <w:r>
        <w:rPr>
          <w:rFonts w:hint="eastAsia" w:ascii="宋体" w:hAnsi="宋体" w:eastAsia="宋体" w:cs="宋体"/>
          <w:b/>
          <w:color w:val="auto"/>
          <w:sz w:val="21"/>
          <w:highlight w:val="none"/>
        </w:rPr>
        <w:t>格式见第六章</w:t>
      </w:r>
      <w:r>
        <w:rPr>
          <w:rFonts w:hint="eastAsia" w:ascii="宋体" w:hAnsi="宋体" w:eastAsia="宋体" w:cs="宋体"/>
          <w:color w:val="auto"/>
          <w:sz w:val="21"/>
          <w:highlight w:val="none"/>
        </w:rPr>
        <w:t>）；</w:t>
      </w:r>
    </w:p>
    <w:p w14:paraId="53BF637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（2）法人授权书（格式见第六章）；</w:t>
      </w:r>
    </w:p>
    <w:p w14:paraId="269F83B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（3）投标人资格资信证明文件：</w:t>
      </w:r>
    </w:p>
    <w:p w14:paraId="58A1F216">
      <w:pPr>
        <w:keepNext w:val="0"/>
        <w:keepLines w:val="0"/>
        <w:pageBreakBefore w:val="0"/>
        <w:widowControl/>
        <w:numPr>
          <w:ilvl w:val="1"/>
          <w:numId w:val="0"/>
        </w:numPr>
        <w:pBdr>
          <w:top w:val="none" w:color="000000" w:sz="0" w:space="0"/>
          <w:left w:val="none" w:color="000000" w:sz="0" w:space="0"/>
          <w:bottom w:val="none" w:color="000000" w:sz="0" w:space="0"/>
          <w:right w:val="none" w:color="000000" w:sz="0" w:space="0"/>
        </w:pBdr>
        <w:tabs>
          <w:tab w:val="left" w:pos="840"/>
        </w:tabs>
        <w:kinsoku/>
        <w:wordWrap/>
        <w:overflowPunct/>
        <w:topLinePunct w:val="0"/>
        <w:autoSpaceDE/>
        <w:autoSpaceDN/>
        <w:bidi w:val="0"/>
        <w:adjustRightInd w:val="0"/>
        <w:snapToGrid w:val="0"/>
        <w:spacing w:line="360" w:lineRule="auto"/>
        <w:ind w:left="0" w:leftChars="0" w:firstLine="840" w:firstLineChars="400"/>
        <w:textAlignment w:val="auto"/>
        <w:rPr>
          <w:rFonts w:hint="eastAsia" w:ascii="宋体" w:hAnsi="宋体" w:eastAsia="宋体" w:cs="宋体"/>
          <w:color w:val="auto"/>
          <w:highlight w:val="none"/>
        </w:rPr>
      </w:pPr>
      <w:r>
        <w:rPr>
          <w:rFonts w:hint="eastAsia" w:ascii="宋体" w:hAnsi="宋体" w:eastAsia="宋体" w:cs="宋体"/>
          <w:color w:val="auto"/>
          <w:sz w:val="21"/>
          <w:szCs w:val="22"/>
          <w:highlight w:val="none"/>
        </w:rPr>
        <w:t>1)</w:t>
      </w:r>
      <w:r>
        <w:rPr>
          <w:rFonts w:hint="eastAsia" w:ascii="宋体" w:hAnsi="宋体" w:eastAsia="宋体" w:cs="宋体"/>
          <w:color w:val="auto"/>
          <w:sz w:val="21"/>
          <w:highlight w:val="none"/>
        </w:rPr>
        <w:t>第一章招标公告中 2.1《中华人民共和国政府采购法》规定的资格条件证明文件；</w:t>
      </w:r>
    </w:p>
    <w:p w14:paraId="5E02437D">
      <w:pPr>
        <w:keepNext w:val="0"/>
        <w:keepLines w:val="0"/>
        <w:pageBreakBefore w:val="0"/>
        <w:widowControl/>
        <w:numPr>
          <w:ilvl w:val="1"/>
          <w:numId w:val="0"/>
        </w:numPr>
        <w:pBdr>
          <w:top w:val="none" w:color="000000" w:sz="0" w:space="0"/>
          <w:left w:val="none" w:color="000000" w:sz="0" w:space="0"/>
          <w:bottom w:val="none" w:color="000000" w:sz="0" w:space="0"/>
          <w:right w:val="none" w:color="000000" w:sz="0" w:space="0"/>
        </w:pBdr>
        <w:tabs>
          <w:tab w:val="left" w:pos="840"/>
        </w:tabs>
        <w:kinsoku/>
        <w:wordWrap/>
        <w:overflowPunct/>
        <w:topLinePunct w:val="0"/>
        <w:autoSpaceDE/>
        <w:autoSpaceDN/>
        <w:bidi w:val="0"/>
        <w:adjustRightInd w:val="0"/>
        <w:snapToGrid w:val="0"/>
        <w:spacing w:line="360" w:lineRule="auto"/>
        <w:ind w:left="0" w:leftChars="0" w:firstLine="840" w:firstLineChars="400"/>
        <w:textAlignment w:val="auto"/>
        <w:rPr>
          <w:rFonts w:hint="eastAsia" w:ascii="宋体" w:hAnsi="宋体" w:eastAsia="宋体" w:cs="宋体"/>
          <w:color w:val="auto"/>
          <w:highlight w:val="none"/>
        </w:rPr>
      </w:pPr>
      <w:r>
        <w:rPr>
          <w:rFonts w:hint="eastAsia" w:ascii="宋体" w:hAnsi="宋体" w:eastAsia="宋体" w:cs="宋体"/>
          <w:color w:val="auto"/>
          <w:sz w:val="21"/>
          <w:szCs w:val="22"/>
          <w:highlight w:val="none"/>
        </w:rPr>
        <w:t>2)</w:t>
      </w:r>
      <w:r>
        <w:rPr>
          <w:rFonts w:hint="eastAsia" w:ascii="宋体" w:hAnsi="宋体" w:eastAsia="宋体" w:cs="宋体"/>
          <w:color w:val="auto"/>
          <w:sz w:val="21"/>
          <w:highlight w:val="none"/>
        </w:rPr>
        <w:t>第一章招标公告中 2.2</w:t>
      </w:r>
      <w:r>
        <w:rPr>
          <w:rFonts w:hint="eastAsia" w:ascii="宋体" w:hAnsi="宋体" w:eastAsia="宋体" w:cs="宋体"/>
          <w:color w:val="auto"/>
          <w:spacing w:val="8"/>
          <w:sz w:val="21"/>
          <w:highlight w:val="none"/>
        </w:rPr>
        <w:t>落实政府采购政策需满足的资格要求；</w:t>
      </w:r>
    </w:p>
    <w:p w14:paraId="4CAD416F">
      <w:pPr>
        <w:keepNext w:val="0"/>
        <w:keepLines w:val="0"/>
        <w:pageBreakBefore w:val="0"/>
        <w:widowControl/>
        <w:numPr>
          <w:ilvl w:val="1"/>
          <w:numId w:val="0"/>
        </w:numPr>
        <w:pBdr>
          <w:top w:val="none" w:color="000000" w:sz="0" w:space="0"/>
          <w:left w:val="none" w:color="000000" w:sz="0" w:space="0"/>
          <w:bottom w:val="none" w:color="000000" w:sz="0" w:space="0"/>
          <w:right w:val="none" w:color="000000" w:sz="0" w:space="0"/>
        </w:pBdr>
        <w:tabs>
          <w:tab w:val="left" w:pos="840"/>
        </w:tabs>
        <w:kinsoku/>
        <w:wordWrap/>
        <w:overflowPunct/>
        <w:topLinePunct w:val="0"/>
        <w:autoSpaceDE/>
        <w:autoSpaceDN/>
        <w:bidi w:val="0"/>
        <w:adjustRightInd w:val="0"/>
        <w:snapToGrid w:val="0"/>
        <w:spacing w:line="360" w:lineRule="auto"/>
        <w:ind w:left="0" w:leftChars="0" w:firstLine="840" w:firstLineChars="400"/>
        <w:textAlignment w:val="auto"/>
        <w:rPr>
          <w:rFonts w:hint="eastAsia" w:ascii="宋体" w:hAnsi="宋体" w:eastAsia="宋体" w:cs="宋体"/>
          <w:color w:val="auto"/>
          <w:highlight w:val="none"/>
        </w:rPr>
      </w:pPr>
      <w:r>
        <w:rPr>
          <w:rFonts w:hint="eastAsia" w:ascii="宋体" w:hAnsi="宋体" w:eastAsia="宋体" w:cs="宋体"/>
          <w:color w:val="auto"/>
          <w:sz w:val="21"/>
          <w:szCs w:val="22"/>
          <w:highlight w:val="none"/>
        </w:rPr>
        <w:t>3)</w:t>
      </w:r>
      <w:r>
        <w:rPr>
          <w:rFonts w:hint="eastAsia" w:ascii="宋体" w:hAnsi="宋体" w:eastAsia="宋体" w:cs="宋体"/>
          <w:color w:val="auto"/>
          <w:sz w:val="21"/>
          <w:highlight w:val="none"/>
        </w:rPr>
        <w:t>第一章招标公告中 2.3 采购人根据采购项目的特殊要求规定的特定条件证明文件。</w:t>
      </w:r>
    </w:p>
    <w:p w14:paraId="676EDA3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（4）开标一览表及附表（</w:t>
      </w:r>
      <w:r>
        <w:rPr>
          <w:rFonts w:hint="eastAsia" w:ascii="宋体" w:hAnsi="宋体" w:eastAsia="宋体" w:cs="宋体"/>
          <w:b/>
          <w:color w:val="auto"/>
          <w:sz w:val="21"/>
          <w:highlight w:val="none"/>
        </w:rPr>
        <w:t>格式见第六章</w:t>
      </w:r>
      <w:r>
        <w:rPr>
          <w:rFonts w:hint="eastAsia" w:ascii="宋体" w:hAnsi="宋体" w:eastAsia="宋体" w:cs="宋体"/>
          <w:color w:val="auto"/>
          <w:sz w:val="21"/>
          <w:highlight w:val="none"/>
        </w:rPr>
        <w:t>）；</w:t>
      </w:r>
    </w:p>
    <w:p w14:paraId="603A0FA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（5）投标人缴纳投标保证金凭证（不需要）；</w:t>
      </w:r>
    </w:p>
    <w:p w14:paraId="4350612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（6）《商务条款偏离表》；</w:t>
      </w:r>
    </w:p>
    <w:p w14:paraId="6FE4D11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w:t>
      </w:r>
      <w:r>
        <w:rPr>
          <w:rFonts w:hint="eastAsia" w:ascii="宋体" w:hAnsi="宋体" w:eastAsia="宋体" w:cs="宋体"/>
          <w:color w:val="auto"/>
          <w:sz w:val="21"/>
          <w:highlight w:val="none"/>
          <w:lang w:val="en-US" w:eastAsia="zh-CN"/>
        </w:rPr>
        <w:t>7</w:t>
      </w:r>
      <w:r>
        <w:rPr>
          <w:rFonts w:hint="eastAsia" w:ascii="宋体" w:hAnsi="宋体" w:eastAsia="宋体" w:cs="宋体"/>
          <w:color w:val="auto"/>
          <w:sz w:val="21"/>
          <w:highlight w:val="none"/>
        </w:rPr>
        <w:t>）第三章评标标准中对应的所需证明材料（如有自行添加）；</w:t>
      </w:r>
    </w:p>
    <w:p w14:paraId="1E0636D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w:t>
      </w:r>
      <w:r>
        <w:rPr>
          <w:rFonts w:hint="eastAsia" w:ascii="宋体" w:hAnsi="宋体" w:eastAsia="宋体" w:cs="宋体"/>
          <w:color w:val="auto"/>
          <w:sz w:val="21"/>
          <w:highlight w:val="none"/>
          <w:lang w:val="en-US" w:eastAsia="zh-CN"/>
        </w:rPr>
        <w:t>8</w:t>
      </w:r>
      <w:r>
        <w:rPr>
          <w:rFonts w:hint="eastAsia" w:ascii="宋体" w:hAnsi="宋体" w:eastAsia="宋体" w:cs="宋体"/>
          <w:color w:val="auto"/>
          <w:sz w:val="21"/>
          <w:highlight w:val="none"/>
        </w:rPr>
        <w:t>）要求采购人提供的配合（如有自拟并自行添加）；</w:t>
      </w:r>
    </w:p>
    <w:p w14:paraId="408A44A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w:t>
      </w:r>
      <w:r>
        <w:rPr>
          <w:rFonts w:hint="eastAsia" w:ascii="宋体" w:hAnsi="宋体" w:eastAsia="宋体" w:cs="宋体"/>
          <w:color w:val="auto"/>
          <w:sz w:val="21"/>
          <w:highlight w:val="none"/>
          <w:lang w:val="en-US" w:eastAsia="zh-CN"/>
        </w:rPr>
        <w:t>9</w:t>
      </w:r>
      <w:r>
        <w:rPr>
          <w:rFonts w:hint="eastAsia" w:ascii="宋体" w:hAnsi="宋体" w:eastAsia="宋体" w:cs="宋体"/>
          <w:color w:val="auto"/>
          <w:sz w:val="21"/>
          <w:highlight w:val="none"/>
        </w:rPr>
        <w:t>）其它（投标人认为有必要提供的声明和文件，如有，自行拟定并添加）。</w:t>
      </w:r>
    </w:p>
    <w:p w14:paraId="0F4E723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10、投标文件的技术内容</w:t>
      </w:r>
    </w:p>
    <w:p w14:paraId="5DF6E6E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lang w:val="en-US" w:eastAsia="zh-CN"/>
        </w:rPr>
        <w:t>10.1技术部分内容是证明投标人提供的工程是合格的、并符合招标文件要求的证明文件，以及对工程建设内容的详细说明，这些文件可以是文字资料、图纸、数据或其他证明</w:t>
      </w:r>
      <w:r>
        <w:rPr>
          <w:rFonts w:hint="eastAsia" w:ascii="宋体" w:hAnsi="宋体" w:eastAsia="宋体" w:cs="宋体"/>
          <w:color w:val="auto"/>
          <w:sz w:val="21"/>
          <w:highlight w:val="none"/>
        </w:rPr>
        <w:t>文件等。提供的</w:t>
      </w:r>
      <w:r>
        <w:rPr>
          <w:rFonts w:hint="eastAsia" w:ascii="宋体" w:hAnsi="宋体" w:eastAsia="宋体" w:cs="宋体"/>
          <w:color w:val="auto"/>
          <w:sz w:val="21"/>
          <w:highlight w:val="none"/>
          <w:lang w:val="en-US" w:eastAsia="zh-CN"/>
        </w:rPr>
        <w:t>工程建设内容</w:t>
      </w:r>
      <w:r>
        <w:rPr>
          <w:rFonts w:hint="eastAsia" w:ascii="宋体" w:hAnsi="宋体" w:eastAsia="宋体" w:cs="宋体"/>
          <w:color w:val="auto"/>
          <w:sz w:val="21"/>
          <w:highlight w:val="none"/>
        </w:rPr>
        <w:t>如与招标文件要求有不符之处，应说明其差别之所在。包括但不限于下列文件：</w:t>
      </w:r>
    </w:p>
    <w:p w14:paraId="2737D82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（1）技术说明或服务方案；</w:t>
      </w:r>
    </w:p>
    <w:p w14:paraId="2A353A4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w:t>
      </w:r>
      <w:r>
        <w:rPr>
          <w:rFonts w:hint="eastAsia" w:ascii="宋体" w:hAnsi="宋体" w:eastAsia="宋体" w:cs="宋体"/>
          <w:color w:val="auto"/>
          <w:szCs w:val="21"/>
          <w:highlight w:val="none"/>
          <w:lang w:val="en-US" w:eastAsia="zh-CN"/>
        </w:rPr>
        <w:t>技术要求</w:t>
      </w:r>
      <w:r>
        <w:rPr>
          <w:rFonts w:hint="eastAsia" w:ascii="宋体" w:hAnsi="宋体" w:eastAsia="宋体" w:cs="宋体"/>
          <w:color w:val="auto"/>
          <w:szCs w:val="21"/>
          <w:highlight w:val="none"/>
          <w:lang w:val="zh-CN"/>
        </w:rPr>
        <w:t>条款偏离表</w:t>
      </w:r>
      <w:r>
        <w:rPr>
          <w:rFonts w:hint="eastAsia" w:ascii="宋体" w:hAnsi="宋体" w:eastAsia="宋体" w:cs="宋体"/>
          <w:color w:val="auto"/>
          <w:sz w:val="21"/>
          <w:highlight w:val="none"/>
        </w:rPr>
        <w:t>》；</w:t>
      </w:r>
    </w:p>
    <w:p w14:paraId="7FE922D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（3）服务承诺；</w:t>
      </w:r>
    </w:p>
    <w:p w14:paraId="43A5815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（4）投标人拟投入本项目的设备、人员情况一览表；</w:t>
      </w:r>
    </w:p>
    <w:p w14:paraId="2B0957A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（5）投标人认为需要提供的其他技术资料。</w:t>
      </w:r>
    </w:p>
    <w:p w14:paraId="378BC91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11、投标文件的价格内容</w:t>
      </w:r>
    </w:p>
    <w:p w14:paraId="67E0E91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11.1价格部分内容是对采购标的价格构成的说明，招标文件如无特别说明，仅接受一个价格。</w:t>
      </w:r>
    </w:p>
    <w:p w14:paraId="0236ECA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11.2报价应包含本次招标标的有关的所有费用，以及技术资料、支付给员工的工资和国家强制缴纳的各种社会保障资金，以及投标人认为需要的其他费用等</w:t>
      </w:r>
      <w:r>
        <w:rPr>
          <w:rFonts w:hint="eastAsia" w:ascii="宋体" w:hAnsi="宋体" w:eastAsia="宋体" w:cs="宋体"/>
          <w:b/>
          <w:color w:val="auto"/>
          <w:sz w:val="21"/>
          <w:highlight w:val="none"/>
        </w:rPr>
        <w:t>。</w:t>
      </w:r>
    </w:p>
    <w:p w14:paraId="3FBB2C3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11.3投标人的任何错漏、优惠、竞争性报价不得作为减轻责任、减少服务、增加收费、降低质量的理由。</w:t>
      </w:r>
    </w:p>
    <w:p w14:paraId="67526DB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eastAsia="宋体" w:cs="宋体"/>
          <w:b/>
          <w:color w:val="auto"/>
          <w:sz w:val="21"/>
          <w:highlight w:val="none"/>
        </w:rPr>
        <w:t>无效投标处理</w:t>
      </w:r>
      <w:r>
        <w:rPr>
          <w:rFonts w:hint="eastAsia" w:ascii="宋体" w:hAnsi="宋体" w:eastAsia="宋体" w:cs="宋体"/>
          <w:color w:val="auto"/>
          <w:sz w:val="21"/>
          <w:highlight w:val="none"/>
        </w:rPr>
        <w:t>。</w:t>
      </w:r>
    </w:p>
    <w:p w14:paraId="74D2027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11.5 投标人应在《开标一览表》《分项报价表》等标明投标</w:t>
      </w:r>
      <w:r>
        <w:rPr>
          <w:rFonts w:hint="eastAsia" w:ascii="宋体" w:hAnsi="宋体" w:eastAsia="宋体" w:cs="宋体"/>
          <w:color w:val="auto"/>
          <w:sz w:val="21"/>
          <w:highlight w:val="none"/>
          <w:lang w:val="en-US" w:eastAsia="zh-CN"/>
        </w:rPr>
        <w:t>标的</w:t>
      </w:r>
      <w:r>
        <w:rPr>
          <w:rFonts w:hint="eastAsia" w:ascii="宋体" w:hAnsi="宋体" w:eastAsia="宋体" w:cs="宋体"/>
          <w:color w:val="auto"/>
          <w:sz w:val="21"/>
          <w:highlight w:val="none"/>
        </w:rPr>
        <w:t>的单价、总价以及分项报价等。</w:t>
      </w:r>
    </w:p>
    <w:p w14:paraId="597690C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11.6对于采用货币报价的项目，开标一览表中的投标总报价应与投标报价明细表中的投标总报价一致，如不一致不作为无效投标处理，评标时以开标一览表中价格为准。</w:t>
      </w:r>
    </w:p>
    <w:p w14:paraId="38FA8DD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11.7本项目预算为：详见第一章</w:t>
      </w:r>
      <w:r>
        <w:rPr>
          <w:rFonts w:hint="eastAsia" w:ascii="宋体" w:hAnsi="宋体" w:eastAsia="宋体" w:cs="宋体"/>
          <w:color w:val="auto"/>
          <w:sz w:val="21"/>
          <w:highlight w:val="none"/>
        </w:rPr>
        <w:t>。</w:t>
      </w:r>
    </w:p>
    <w:p w14:paraId="7673DD9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12、投标文件的其他部分</w:t>
      </w:r>
    </w:p>
    <w:p w14:paraId="324F27F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12.1 其他部分由投标人根据编制投标文件需要提供的其他相关文件组成。</w:t>
      </w:r>
    </w:p>
    <w:p w14:paraId="458F3B5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13、投标保证金：/</w:t>
      </w:r>
    </w:p>
    <w:p w14:paraId="727CD3E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14、投标有效期</w:t>
      </w:r>
    </w:p>
    <w:p w14:paraId="2B0DE91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14.1 自开标之日起</w:t>
      </w:r>
      <w:r>
        <w:rPr>
          <w:rFonts w:hint="eastAsia" w:ascii="宋体" w:hAnsi="宋体" w:eastAsia="宋体" w:cs="宋体"/>
          <w:b/>
          <w:color w:val="auto"/>
          <w:sz w:val="21"/>
          <w:highlight w:val="none"/>
        </w:rPr>
        <w:t>90</w:t>
      </w:r>
      <w:r>
        <w:rPr>
          <w:rFonts w:hint="eastAsia" w:ascii="宋体" w:hAnsi="宋体" w:eastAsia="宋体" w:cs="宋体"/>
          <w:color w:val="auto"/>
          <w:sz w:val="21"/>
          <w:highlight w:val="none"/>
        </w:rPr>
        <w:t>天内投标有效</w:t>
      </w:r>
      <w:r>
        <w:rPr>
          <w:rFonts w:hint="eastAsia" w:ascii="宋体" w:hAnsi="宋体" w:eastAsia="宋体" w:cs="宋体"/>
          <w:b/>
          <w:color w:val="auto"/>
          <w:sz w:val="21"/>
          <w:highlight w:val="none"/>
        </w:rPr>
        <w:t>，投标有效期从提交投标文件的截止之日起算。投标文件中承诺的投标有效期应当不少于招标文件中载明的投标有效期。</w:t>
      </w:r>
    </w:p>
    <w:p w14:paraId="5D703DE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14.2 特殊情况下，在原投标有效期截止之前，招标代理机构可要求投标人同意延长投标有效期，这种要求与答复均应以书面形式提交。接受延长投标有效期的投标人将不会要求和允许修正其投标。</w:t>
      </w:r>
    </w:p>
    <w:p w14:paraId="2B8F74A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15、投标文件签署</w:t>
      </w:r>
    </w:p>
    <w:p w14:paraId="21832F4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15.1 投标文件应按照招标文件要求加盖电子公章，否则视为无效投标。</w:t>
      </w:r>
    </w:p>
    <w:p w14:paraId="768DA44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16、投标费用</w:t>
      </w:r>
    </w:p>
    <w:p w14:paraId="7615D15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16.1 投标人应承担所有与准备和参加投标有关的费用，无论招标结果如何，采购代理机构和采购人在任何情况下均无义务和责任承担这些费用。</w:t>
      </w:r>
    </w:p>
    <w:p w14:paraId="12B687F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16.2 招标代理服务费：本次招标</w:t>
      </w:r>
      <w:r>
        <w:rPr>
          <w:rFonts w:hint="eastAsia" w:ascii="宋体" w:hAnsi="宋体" w:eastAsia="宋体" w:cs="宋体"/>
          <w:color w:val="auto"/>
          <w:szCs w:val="21"/>
          <w:highlight w:val="none"/>
          <w:lang w:val="zh-CN"/>
        </w:rPr>
        <w:t>服务费按</w:t>
      </w:r>
      <w:r>
        <w:rPr>
          <w:rFonts w:hint="eastAsia" w:ascii="宋体" w:hAnsi="宋体" w:eastAsia="宋体" w:cs="宋体"/>
          <w:color w:val="auto"/>
          <w:szCs w:val="21"/>
          <w:highlight w:val="none"/>
          <w:lang w:val="en-US" w:eastAsia="zh-CN"/>
        </w:rPr>
        <w:t>投标人</w:t>
      </w:r>
      <w:r>
        <w:rPr>
          <w:rFonts w:hint="eastAsia" w:ascii="宋体" w:hAnsi="宋体" w:eastAsia="宋体" w:cs="宋体"/>
          <w:color w:val="auto"/>
          <w:szCs w:val="21"/>
          <w:highlight w:val="none"/>
          <w:lang w:val="zh-CN"/>
        </w:rPr>
        <w:t>须知前附表的规定计算，</w:t>
      </w:r>
      <w:r>
        <w:rPr>
          <w:rFonts w:hint="eastAsia" w:ascii="宋体" w:hAnsi="宋体" w:eastAsia="宋体" w:cs="宋体"/>
          <w:color w:val="auto"/>
          <w:szCs w:val="21"/>
          <w:highlight w:val="none"/>
          <w:lang w:val="en-US" w:eastAsia="zh-CN"/>
        </w:rPr>
        <w:t>中标人</w:t>
      </w:r>
      <w:r>
        <w:rPr>
          <w:rFonts w:hint="eastAsia" w:ascii="宋体" w:hAnsi="宋体" w:eastAsia="宋体" w:cs="宋体"/>
          <w:color w:val="auto"/>
          <w:szCs w:val="21"/>
          <w:highlight w:val="none"/>
          <w:lang w:val="zh-CN"/>
        </w:rPr>
        <w:t>在领取成交通知书前向采购代理机构支付服务费。</w:t>
      </w:r>
      <w:r>
        <w:rPr>
          <w:rFonts w:hint="eastAsia" w:ascii="宋体" w:hAnsi="宋体" w:eastAsia="宋体" w:cs="宋体"/>
          <w:b/>
          <w:bCs/>
          <w:color w:val="auto"/>
          <w:szCs w:val="21"/>
          <w:highlight w:val="none"/>
        </w:rPr>
        <w:t>本项费用无需在《报价一览表》中单列</w:t>
      </w:r>
      <w:r>
        <w:rPr>
          <w:rFonts w:hint="eastAsia" w:ascii="宋体" w:hAnsi="宋体" w:eastAsia="宋体" w:cs="宋体"/>
          <w:color w:val="auto"/>
          <w:szCs w:val="21"/>
          <w:highlight w:val="none"/>
        </w:rPr>
        <w:t>。</w:t>
      </w:r>
      <w:r>
        <w:rPr>
          <w:rFonts w:hint="eastAsia" w:ascii="宋体" w:hAnsi="宋体" w:eastAsia="宋体" w:cs="宋体"/>
          <w:color w:val="auto"/>
          <w:sz w:val="21"/>
          <w:highlight w:val="none"/>
        </w:rPr>
        <w:t>。</w:t>
      </w:r>
    </w:p>
    <w:p w14:paraId="4E83D1E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四、投标文件的递交</w:t>
      </w:r>
    </w:p>
    <w:p w14:paraId="1312B55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17、投标文件的密封和递交</w:t>
      </w:r>
    </w:p>
    <w:p w14:paraId="00D6C82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17.1 投标人应当按照《操作手册》规定，在招标公告规定的投标截止时间前制作并上传电子投标文件。招标代理机构拒绝接收提交投标文件截止时间后上传的任何电子投标文件。</w:t>
      </w:r>
    </w:p>
    <w:p w14:paraId="0A54D88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17.2 投标人应当按照《操作手册》规定，在“苏采云”系统规定的时间内对</w:t>
      </w:r>
      <w:r>
        <w:rPr>
          <w:rFonts w:hint="eastAsia" w:ascii="宋体" w:hAnsi="宋体" w:eastAsia="宋体" w:cs="宋体"/>
          <w:color w:val="auto"/>
          <w:sz w:val="21"/>
          <w:highlight w:val="none"/>
          <w:lang w:eastAsia="zh-CN"/>
        </w:rPr>
        <w:t>投标</w:t>
      </w:r>
      <w:r>
        <w:rPr>
          <w:rFonts w:hint="eastAsia" w:ascii="宋体" w:hAnsi="宋体" w:eastAsia="宋体" w:cs="宋体"/>
          <w:color w:val="auto"/>
          <w:sz w:val="21"/>
          <w:highlight w:val="none"/>
        </w:rPr>
        <w:t>文件进行解密</w:t>
      </w:r>
      <w:r>
        <w:rPr>
          <w:rFonts w:hint="eastAsia" w:ascii="宋体" w:hAnsi="宋体" w:eastAsia="宋体" w:cs="宋体"/>
          <w:b/>
          <w:color w:val="auto"/>
          <w:sz w:val="21"/>
          <w:highlight w:val="none"/>
        </w:rPr>
        <w:t>。</w:t>
      </w:r>
    </w:p>
    <w:p w14:paraId="201BE86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17.3 中标人在中标后递交2份投标文件，必须保持和苏采云上传的投标文件一致，按照A4幅面打印或复印并进行装订，如有资料超过A4幅面折叠成A4幅面；投标文件装订采用胶装的形式。</w:t>
      </w:r>
    </w:p>
    <w:p w14:paraId="6BF085E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18、有下列情形的投标文件将被拒收：</w:t>
      </w:r>
    </w:p>
    <w:p w14:paraId="7BD5193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18.1 投标人应当按照《操作手册》规定，在“苏采云”系统规定的时间内对投标文件进行解密。</w:t>
      </w:r>
    </w:p>
    <w:p w14:paraId="3EE8255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18.2投标人应充分考虑网络环境、网络带宽等因素可能对投标产生的影响，如因投标人自身原因造成的电子投标文件解密不成功的，做无效投标处理。</w:t>
      </w:r>
    </w:p>
    <w:p w14:paraId="260AB2C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19、投标文件的修改和撤回</w:t>
      </w:r>
    </w:p>
    <w:p w14:paraId="20EE8E3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183614A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19.2 投标截止时间之后，投标文件不得撤回。</w:t>
      </w:r>
    </w:p>
    <w:p w14:paraId="00D7B7F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20、诚实信用</w:t>
      </w:r>
    </w:p>
    <w:p w14:paraId="3C49C6E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20.1投标人应当遵循公平竞争的原则，不得恶意串通，不得妨碍其他投标人的竞争行为，不得损害采购人或者其他投标人的合法权益。</w:t>
      </w:r>
    </w:p>
    <w:p w14:paraId="43623D2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20.2在评标过程中发现投标人有上述情形的，评标委员会应当认定其投标无效，并书面报告本级财政部门。</w:t>
      </w:r>
    </w:p>
    <w:p w14:paraId="4E52DF2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五、开标、评标与定标</w:t>
      </w:r>
    </w:p>
    <w:p w14:paraId="79404F6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21、开标</w:t>
      </w:r>
    </w:p>
    <w:p w14:paraId="7B01844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21.1 代理机构在招标公告中规定的时间和地点组织公开开标。投标人按照《操作手册》规定参加开标活动，并在“苏采云”系统规定的时间内对投标文件进行解密。“苏采云”系统公布各投标人名称和投标价格。</w:t>
      </w:r>
    </w:p>
    <w:p w14:paraId="4A49C6B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21.2 投标人在开标过程中涉及到的投标文件解密、开标结果确认等工作，应按照《操作手册》规定执行。</w:t>
      </w:r>
    </w:p>
    <w:p w14:paraId="39EDC49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21.3投标人不足3家的，不得开标。</w:t>
      </w:r>
    </w:p>
    <w:p w14:paraId="24CEA9E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21.4 投标人如果对开标过程和开标结果有疑义，应当根据《操作手册》规定提出，“苏采云”系统中《开标记录表》公布后5分钟内未提出的，视同认可开标结果。</w:t>
      </w:r>
    </w:p>
    <w:p w14:paraId="2AFDFDE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21.5公开招标数额标准以上的采购项目，投标截止后投标人不足3家或者通过资格审查或符合性审查的投标人不足3家的，除采购任务取消情形外，按照以下方式处理：</w:t>
      </w:r>
    </w:p>
    <w:p w14:paraId="38D1FB3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（1）招标文件存在不合理条款或者招标程序不符合规定的，采购人、采购代理机构改正后依法重新招标；</w:t>
      </w:r>
    </w:p>
    <w:p w14:paraId="537206F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（2）招标文件没有不合理条款、招标程序符合规定，需要采用其他采购方式采购的，采购人依法报财政部门批准，经批准后，可变更为其他采购方式采购。</w:t>
      </w:r>
    </w:p>
    <w:p w14:paraId="7C88729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22、评标</w:t>
      </w:r>
    </w:p>
    <w:p w14:paraId="5A046BA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22.1 评标委员会</w:t>
      </w:r>
    </w:p>
    <w:p w14:paraId="3D55136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22.1.1</w:t>
      </w:r>
      <w:r>
        <w:rPr>
          <w:rFonts w:hint="eastAsia" w:ascii="宋体" w:hAnsi="宋体" w:eastAsia="宋体" w:cs="宋体"/>
          <w:color w:val="auto"/>
          <w:sz w:val="21"/>
          <w:highlight w:val="none"/>
        </w:rPr>
        <w:t>评标委员会负责具体评标事务，并独立履行下列职责：</w:t>
      </w:r>
    </w:p>
    <w:p w14:paraId="75F44E9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（一）审查、评价投标文件是否符合招标文件的商务、技术等实质性要求；</w:t>
      </w:r>
    </w:p>
    <w:p w14:paraId="12E5451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（二）要求投标人对投标文件有关事项作出澄清或者说明；</w:t>
      </w:r>
    </w:p>
    <w:p w14:paraId="6B7CAC2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（三）对投标文件进行比较和评价；</w:t>
      </w:r>
    </w:p>
    <w:p w14:paraId="3FE7AF8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（四）确定中标候选人名单，以及根据采购人委托直接确定中标人；</w:t>
      </w:r>
    </w:p>
    <w:p w14:paraId="253ABD1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（五）向采购人、采购代理机构或者有关部门报告评标中发现的违法行为。</w:t>
      </w:r>
    </w:p>
    <w:p w14:paraId="2AFF6E6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 xml:space="preserve">22.1.2 </w:t>
      </w:r>
      <w:r>
        <w:rPr>
          <w:rFonts w:hint="eastAsia" w:ascii="宋体" w:hAnsi="宋体" w:eastAsia="宋体" w:cs="宋体"/>
          <w:color w:val="auto"/>
          <w:sz w:val="21"/>
          <w:highlight w:val="none"/>
        </w:rPr>
        <w:t>评标委员会由采购人代表和有关技术、经济等方面的专家组成，独立开展评审工作。</w:t>
      </w:r>
    </w:p>
    <w:p w14:paraId="5A3E0E8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22.2  评标程序</w:t>
      </w:r>
    </w:p>
    <w:p w14:paraId="6B81937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22.2.1 投标文件的资格性检查。</w:t>
      </w:r>
      <w:r>
        <w:rPr>
          <w:rFonts w:hint="eastAsia" w:ascii="宋体" w:hAnsi="宋体" w:eastAsia="宋体" w:cs="宋体"/>
          <w:color w:val="auto"/>
          <w:sz w:val="21"/>
          <w:highlight w:val="none"/>
        </w:rPr>
        <w:t>公开招标采购项目开标结束后，采购人或者采购代理机构应当依法对投标人的资格进行审查。合格投标人不足3家的，不得评标。</w:t>
      </w:r>
    </w:p>
    <w:p w14:paraId="63CDDC9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22.2.2投标文件的符合性审查。评标委员会对通过资格性检查的投标人的投标文件进行符合性审查，以确定其是否满足招标文件的实质性要求。投标文件有下列情况之一的，在符合性检查时按照无效投标处理：</w:t>
      </w:r>
    </w:p>
    <w:p w14:paraId="69541F1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（1）投标人在“苏采云”系统规定的时间内未成功解密电子投标文件的；</w:t>
      </w:r>
    </w:p>
    <w:p w14:paraId="2BF18F5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（2）投标人未按照招标文件要求上传电子投标文件的；</w:t>
      </w:r>
    </w:p>
    <w:p w14:paraId="3C7A824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（3）同一投标人提交两个（含两个）以上不同的投标报价的；</w:t>
      </w:r>
    </w:p>
    <w:p w14:paraId="1332889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（4）投标文件未按照招标文件要求加盖电子公章的；</w:t>
      </w:r>
    </w:p>
    <w:p w14:paraId="4523CB7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（5）不具备招标文件中规定的资格要求的；</w:t>
      </w:r>
    </w:p>
    <w:p w14:paraId="222BC1D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（6）报价超过招标文件中规定的预算金额或者最高限价的；</w:t>
      </w:r>
    </w:p>
    <w:p w14:paraId="3F38856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（7）投标文件含有采购人不能接受的附加条件的；</w:t>
      </w:r>
    </w:p>
    <w:p w14:paraId="1319524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（8）投标文件内容不全或不符合招标文件中规定的其他实质性要求的；</w:t>
      </w:r>
    </w:p>
    <w:p w14:paraId="44E972D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（9）现行法律、法规、规章和招标文件规定的其他无效情形。</w:t>
      </w:r>
    </w:p>
    <w:p w14:paraId="3A7D61A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22.2.2.2未通过资格审查或符合性审查的投标人，代理机构将通过“苏采云”系统告知其具体原因，评标结束后不再接受有关询问。</w:t>
      </w:r>
    </w:p>
    <w:p w14:paraId="1E53689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22.2.2.3有下列情形之一的予以废标：</w:t>
      </w:r>
    </w:p>
    <w:p w14:paraId="409D18C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（1）符合专业条件的投标人或者对招标文件作实质性响应的投标人不足三家的；</w:t>
      </w:r>
    </w:p>
    <w:p w14:paraId="2B18736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（2）出现影响采购公正的违法、违规行为的；</w:t>
      </w:r>
    </w:p>
    <w:p w14:paraId="3C3EE8E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（3）投标人的报价均超过了采购预算，采购人不能支付的；</w:t>
      </w:r>
    </w:p>
    <w:p w14:paraId="7F00C91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（4）因苏采云系统故障造成开标不成功的；</w:t>
      </w:r>
    </w:p>
    <w:p w14:paraId="6BD7FD8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（5）因重大变故，采购任务取消的。</w:t>
      </w:r>
    </w:p>
    <w:p w14:paraId="45FC063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（6）投标人以明显低于其他通过符合性审查投标人的报价，有可能影响产品质量或者不能诚信履约的，且不能证明其报价合理性的。</w:t>
      </w:r>
    </w:p>
    <w:p w14:paraId="79DCF40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22.2.3</w:t>
      </w:r>
      <w:r>
        <w:rPr>
          <w:rFonts w:hint="eastAsia" w:ascii="宋体" w:hAnsi="宋体" w:eastAsia="宋体" w:cs="宋体"/>
          <w:b/>
          <w:color w:val="auto"/>
          <w:sz w:val="21"/>
          <w:highlight w:val="none"/>
        </w:rPr>
        <w:t>澄清有关问题</w:t>
      </w:r>
      <w:r>
        <w:rPr>
          <w:rFonts w:hint="eastAsia" w:ascii="宋体" w:hAnsi="宋体" w:eastAsia="宋体" w:cs="宋体"/>
          <w:color w:val="auto"/>
          <w:sz w:val="21"/>
          <w:highlight w:val="none"/>
        </w:rPr>
        <w:t>。</w:t>
      </w:r>
    </w:p>
    <w:p w14:paraId="480FC98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22.2.3.1 评标期间，评委会对投标文件中含义不明确、同类问题表述不一致或者有明显文字和计算错误的内容，有权要求投标人作出必要的澄清、说明或者补正。</w:t>
      </w:r>
    </w:p>
    <w:p w14:paraId="4FED11F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投标人的澄清、说明或者补正不得超出投标文件的范围或者改变投标文件的实质性内容。</w:t>
      </w:r>
    </w:p>
    <w:p w14:paraId="3E843BB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评委会并非对每个投标人都做澄清要求。</w:t>
      </w:r>
    </w:p>
    <w:p w14:paraId="4F2B33F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22.2.3.2 需要</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39AF325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22.2.3.3 接到评委会澄清、说明和补正要求的，投标人如未按规定作出澄清、说明和补正，其风险由投标人自行承担。投标文件报价出现前后不一致的，除招标文件另有规定外，按照下列规定修正：</w:t>
      </w:r>
    </w:p>
    <w:p w14:paraId="0CD286E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（1）投标文件中开标一览表（报价表）内容与投标文件中相应内容不一致的，以开标一览表（报价表）为准；</w:t>
      </w:r>
    </w:p>
    <w:p w14:paraId="0DD2159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（2）大写金额和小写金额不一致的，以大写金额为准；</w:t>
      </w:r>
    </w:p>
    <w:p w14:paraId="087A820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（3）单价金额小数点或者百分比有明显错位的，以开标一览表的总价为准，并修改单价；</w:t>
      </w:r>
    </w:p>
    <w:p w14:paraId="6A13B53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（4）总价金额与按单价汇总金额不一致的，以单价金额计算结果为准。</w:t>
      </w:r>
    </w:p>
    <w:p w14:paraId="4B29B42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5A099A6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22.2.3.4评标委员会认为投标人的报价明显低于其他通过符合性审查投标人的报价，有可能影响产品质量或者不能诚信履约的，将要求其在评标现场合理的时间内提供书面说明，必要时提交相关证明材料；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eastAsia="宋体" w:cs="宋体"/>
          <w:b/>
          <w:color w:val="auto"/>
          <w:sz w:val="21"/>
          <w:highlight w:val="none"/>
        </w:rPr>
        <w:t>投标人不能证明其报价合理性的，评标委员会将其作为无效投标处理。</w:t>
      </w:r>
    </w:p>
    <w:p w14:paraId="4E7731C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22.2.3.5投标人在开、评标全过程中应保持通讯畅通，及时登录苏采云系统查阅、答复相关信息，并安排专人与代理机构及评委会联系。</w:t>
      </w:r>
    </w:p>
    <w:p w14:paraId="19B6889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22.2.4比较与评价。评标委员会应当按照招标文件中规定的评标方法和标准，对符合性审查合格的投标文件进行商务和技术评估，综合比较与评价。</w:t>
      </w:r>
    </w:p>
    <w:p w14:paraId="7218569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22.2.5相同品牌产品的投标</w:t>
      </w:r>
    </w:p>
    <w:p w14:paraId="38D88D1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1CE38B3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3A70F3F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非单一产品采购项目，确定核心产品的方法在招标文件技术需求中载明。多家投标人提供的核心产品品牌相同的，按前两款规定处理。</w:t>
      </w:r>
    </w:p>
    <w:p w14:paraId="5672165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22.3 评标方法和标准</w:t>
      </w:r>
    </w:p>
    <w:p w14:paraId="1BBF32A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22.3.1评标方法分为最低评标价法和综合评分法。本次招标的评标方法和标准，详见本招标文件第三章。</w:t>
      </w:r>
    </w:p>
    <w:p w14:paraId="072643A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22.3.2最低评标价法，是指投标文件满足招标文件全部实质性要求，且投标报价最低的投标人为中标候选人的评标方法。</w:t>
      </w:r>
    </w:p>
    <w:p w14:paraId="35AE4E0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采用最低评标价法评标时，除了算术修正和落实政府采购政策需进行的价格扣除外，不对投标人的投标价格进行任何调整。</w:t>
      </w:r>
    </w:p>
    <w:p w14:paraId="74D64B8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22.3.3综合评分法，是指投标文件满足招标文件全部实质性要求，且按照评审因素的量化指标评审得分最高的投标人为中标候选人的评标方法。</w:t>
      </w:r>
    </w:p>
    <w:p w14:paraId="2C0579E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评审因素，包括价格、技术、商务等。</w:t>
      </w:r>
    </w:p>
    <w:p w14:paraId="0B0DC52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评标时，评标委员会各成员应当独立对每个投标人的投标文件进行评价，并汇总每个投标人的得分。</w:t>
      </w:r>
    </w:p>
    <w:p w14:paraId="22F0FAB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价格分采用低价优先法计算，即满足招标文件要求且投标价格最低的投标报价为评标基准价，其价格分为满分。</w:t>
      </w:r>
    </w:p>
    <w:p w14:paraId="55F3D73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评标总得分＝F1×A1＋F2×A2＋……＋Fn×An</w:t>
      </w:r>
    </w:p>
    <w:p w14:paraId="2B68AFF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F1、F2……Fn分别为各项评审因素的得分；</w:t>
      </w:r>
    </w:p>
    <w:p w14:paraId="63B2B7B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A1、A2、……An 分别为各项评审因素所占的权重(A1＋A2＋……＋An＝1)。</w:t>
      </w:r>
    </w:p>
    <w:p w14:paraId="5F5F13E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因落实政府采购政策进行价格调整的，以调整后的价格计算评标基准价和投标报价。</w:t>
      </w:r>
    </w:p>
    <w:p w14:paraId="1068610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22.4评标委员会启动异常低价投标审查的情形和具体要求</w:t>
      </w:r>
    </w:p>
    <w:p w14:paraId="728943A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 xml:space="preserve">22.4.1评标过程中出现下列情形之一的，评标委员会应当启动异常低价投标审查程序： </w:t>
      </w:r>
    </w:p>
    <w:p w14:paraId="0A5A565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（1）投标（响应）报价低于全部通过符合性审查</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投标（响应）报价平均值50%的，即投标（响应）报价&lt;全部通过符合性审查</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投标（响应）报价平均值×50%；</w:t>
      </w:r>
    </w:p>
    <w:p w14:paraId="0BE9B60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（2）投标（响应）报价低于通过符合性审查的次低报价</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投标（响应）报价50%的，即投标（响应）报价&lt;通过符合性审查的次低报价</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投标（响应）报价×50%；</w:t>
      </w:r>
    </w:p>
    <w:p w14:paraId="24B9B88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（3）投标（响应）报价低于采购项目最高限价45%的，即投标（响应）报价&lt;采购项目最高限价×45%；</w:t>
      </w:r>
    </w:p>
    <w:p w14:paraId="2ACD20A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（4）评审委员会基于专业判断，认为</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报价过低，有可能影响产品质量或者不能诚信履约的其他情形。</w:t>
      </w:r>
    </w:p>
    <w:p w14:paraId="3F5EC14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22.4.2 评审委员会启动异常低价投标（响应）审查后，属于前述第（1）项至第（4）项情形的，应当要求相关</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的合理时间一般不少于30分钟。其中，属于第（3）项情形，</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已随投标（响应）文件一并提交相关书面说明及必要的证明材料的，在评审现场可不再重复提交。</w:t>
      </w:r>
    </w:p>
    <w:p w14:paraId="5A2DFC2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22.4.3评审委员会依据专业经验，参考同类项目中标（成交）价格、类似产品市场价格水平、行业人工费用标准、国家有关部门指导行业协会发布的行业平均成本等情况，对报价合理性进行判断。投标（响应）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eastAsia="宋体" w:cs="宋体"/>
          <w:color w:val="auto"/>
          <w:sz w:val="21"/>
          <w:highlight w:val="none"/>
          <w:lang w:eastAsia="zh-CN"/>
        </w:rPr>
        <w:t>人</w:t>
      </w:r>
      <w:r>
        <w:rPr>
          <w:rFonts w:hint="eastAsia" w:ascii="宋体" w:hAnsi="宋体" w:eastAsia="宋体" w:cs="宋体"/>
          <w:color w:val="auto"/>
          <w:sz w:val="21"/>
          <w:highlight w:val="none"/>
        </w:rPr>
        <w:t>不能提供书面说明、证明材料，或者提供的书面说明、证明材料不能证明其报价合理性的，评审委员会应当将其作为无效投标（响应）处理。</w:t>
      </w:r>
    </w:p>
    <w:p w14:paraId="02483EE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22.4.4异常低价投标审查的启动原因、审查意见和审查结果应当在评标报告中记录，并随投标人提供的相关书面说明及证明材料，以及评标委员会有关互联网浏览、查询历史一并归档。</w:t>
      </w:r>
    </w:p>
    <w:p w14:paraId="72FD395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23、确定中标人</w:t>
      </w:r>
    </w:p>
    <w:p w14:paraId="4062198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23.1 采用最低评标价法的，评标结果按投标报价由低到高顺序排列。投标报价相同的并列。投标文件满足招标文件全部实质性要求且投标报价最低的投标人为排名第一的中标候选人。</w:t>
      </w:r>
    </w:p>
    <w:p w14:paraId="591D4C6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B627A7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75A1583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因系统存储空间有限，中标结果公告届满之日起三十日后，苏采云系统不再保证提供下载《中标通知书》服务，因未及时下载而造成的不利后果由中标人自行承担。</w:t>
      </w:r>
    </w:p>
    <w:p w14:paraId="5D7383A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23.4 中标通知书对采购人和中标人具有同等法律效力。中标通知书发出后，采购人不得违法改变中标结果，中标人无正当理由不得放弃中标。</w:t>
      </w:r>
    </w:p>
    <w:p w14:paraId="4245D5A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23.5 所有投标文件不论中标与否，均不退回。</w:t>
      </w:r>
    </w:p>
    <w:p w14:paraId="33A5EF3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12"/>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24、编写评标报告</w:t>
      </w:r>
    </w:p>
    <w:p w14:paraId="3D3B1B5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24.1评标委员会根据全体评标成员签字的原始评标记录和评标结果编写评标报告。</w:t>
      </w:r>
    </w:p>
    <w:p w14:paraId="2CC3BA4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25、评标过程的保密性</w:t>
      </w:r>
    </w:p>
    <w:p w14:paraId="3F10CA5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25.1 采购人和采购代理机构将采取必要措施，保证评标在严格保密的情况下进行。</w:t>
      </w:r>
    </w:p>
    <w:p w14:paraId="143E231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25.2 任何单位和个人不得非法干预、影响评标办法的确定，以及评标过程和结果。</w:t>
      </w:r>
    </w:p>
    <w:p w14:paraId="419A7D2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25.3 凡是与审查、澄清、评价和比较投标的有关资料等，均不向投标人及与评标无关的其他人员透露。</w:t>
      </w:r>
    </w:p>
    <w:p w14:paraId="4A75810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六、签订合同</w:t>
      </w:r>
    </w:p>
    <w:p w14:paraId="7ED01A6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26、签订合同</w:t>
      </w:r>
    </w:p>
    <w:p w14:paraId="08066BC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26.1 采购人与中标人应当自中标通知书发出之日起30日内，按照招标文件和中标人投标文件的规定，签订书面合同。所签订的合同不得对招标文件确定的事项和中标人投标文件作实质性修改。</w:t>
      </w:r>
    </w:p>
    <w:p w14:paraId="26CEB57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26.2 </w:t>
      </w:r>
      <w:r>
        <w:rPr>
          <w:rFonts w:hint="eastAsia" w:ascii="宋体" w:hAnsi="宋体" w:eastAsia="宋体" w:cs="宋体"/>
          <w:color w:val="auto"/>
          <w:sz w:val="21"/>
          <w:highlight w:val="none"/>
        </w:rPr>
        <w:t>除继续履行将损害国家利益和社会公众利益的，政府采购合同的双方当事人不得擅自变更、中止或者终止合同。</w:t>
      </w:r>
      <w:r>
        <w:rPr>
          <w:rFonts w:hint="eastAsia" w:ascii="宋体" w:hAnsi="宋体" w:eastAsia="宋体" w:cs="宋体"/>
          <w:b/>
          <w:color w:val="auto"/>
          <w:sz w:val="21"/>
          <w:highlight w:val="none"/>
        </w:rPr>
        <w:t>放弃或拒绝签订合同的，中标人不得参加对该项目重新开展的采购活动，中标人应向采购人支付采购人为招标所发生的相关费用，由财政部门列入不良行为记录名单，在一至三年内禁止参加政府采购活动，并予以通报。</w:t>
      </w:r>
    </w:p>
    <w:p w14:paraId="1581A54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26.3采购人不得向中标人提出任何不合理的要求作为签订合同的条件。</w:t>
      </w:r>
    </w:p>
    <w:p w14:paraId="213EB31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26.4中标人拒绝与采购人签订合同的，采购人可以按照评审报告推荐的中标或者成交候选人名单排序，确定下一候选人为中标或者成交</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，也可以重新开展政府采购活动。</w:t>
      </w:r>
    </w:p>
    <w:p w14:paraId="5D743AA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26.5 政府采购合同履行中，采购人需追加与合同相同的</w:t>
      </w:r>
      <w:r>
        <w:rPr>
          <w:rFonts w:hint="eastAsia" w:ascii="宋体" w:hAnsi="宋体" w:eastAsia="宋体" w:cs="宋体"/>
          <w:color w:val="auto"/>
          <w:sz w:val="21"/>
          <w:highlight w:val="none"/>
          <w:lang w:val="en-US" w:eastAsia="zh-CN"/>
        </w:rPr>
        <w:t>标</w:t>
      </w:r>
      <w:r>
        <w:rPr>
          <w:rFonts w:hint="eastAsia" w:ascii="宋体" w:hAnsi="宋体" w:eastAsia="宋体" w:cs="宋体"/>
          <w:color w:val="auto"/>
          <w:sz w:val="21"/>
          <w:highlight w:val="none"/>
        </w:rPr>
        <w:t>的，在不改变合同其他条款的前提下，可以与</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协商签订补充合同，但所有补充合同的采购金额不得超过原合同采购金额的百分之十。</w:t>
      </w:r>
    </w:p>
    <w:p w14:paraId="2C56A8E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26.6 采购人与中标人应当根据合同的约定依法履行合同义务。</w:t>
      </w:r>
    </w:p>
    <w:p w14:paraId="22F40C7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七、质疑和投诉</w:t>
      </w:r>
    </w:p>
    <w:p w14:paraId="42A2794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27、质疑</w:t>
      </w:r>
    </w:p>
    <w:p w14:paraId="7484218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27.1</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对招标活动事项有疑问的，可以向采购代理机构提出询问，采购代理机构将依法作出答复，但答复的内容不涉及商业秘密</w:t>
      </w:r>
      <w:r>
        <w:rPr>
          <w:rFonts w:hint="eastAsia" w:ascii="宋体" w:hAnsi="宋体" w:eastAsia="宋体" w:cs="宋体"/>
          <w:b/>
          <w:color w:val="auto"/>
          <w:sz w:val="21"/>
          <w:highlight w:val="none"/>
        </w:rPr>
        <w:t>。</w:t>
      </w:r>
    </w:p>
    <w:p w14:paraId="6879BEF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27.2提出质疑的</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应当是参与所质疑项目采购活动的</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。潜在</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已依法获取其可质疑的采购文件的，可以对该文件提出质疑。</w:t>
      </w:r>
    </w:p>
    <w:p w14:paraId="5D1322F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以联合体形式参加政府采购活动的，其质疑应当由组成联合体的所有</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共同提出。</w:t>
      </w:r>
    </w:p>
    <w:p w14:paraId="1D0899D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27.3</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认为采购文件、采购过程和中标结果使自己的合法权益受到损害的，可以在知道或者应知其权益受到损害之日起七个工作日内，将质疑文件原件送达采购人或采购代理机构。</w:t>
      </w:r>
    </w:p>
    <w:p w14:paraId="77CDF3C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07CD5D4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lang w:eastAsia="zh-CN"/>
        </w:rPr>
        <w:t>投标人</w:t>
      </w:r>
      <w:r>
        <w:rPr>
          <w:rFonts w:hint="eastAsia" w:ascii="宋体" w:hAnsi="宋体" w:eastAsia="宋体" w:cs="宋体"/>
          <w:b/>
          <w:color w:val="auto"/>
          <w:sz w:val="21"/>
          <w:highlight w:val="none"/>
        </w:rPr>
        <w:t>必须在法定质疑期内一次性提出针对同一采购程序环节的质疑。</w:t>
      </w:r>
    </w:p>
    <w:p w14:paraId="75EA82A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 xml:space="preserve">27.4 </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提出质疑应当提交质疑函和必要的证明材料。质疑函应当包括下列内容：</w:t>
      </w:r>
    </w:p>
    <w:p w14:paraId="7230DF6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　　（一）</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的姓名或者名称、地址、邮编、联系人及联系电话；</w:t>
      </w:r>
    </w:p>
    <w:p w14:paraId="297450D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　　（二）质疑项目的名称、编号；</w:t>
      </w:r>
    </w:p>
    <w:p w14:paraId="7913C95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　　（三）具体、明确的质疑事项和与质疑事项相关的请求（具体条款）；</w:t>
      </w:r>
    </w:p>
    <w:p w14:paraId="11E4507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　　（四）事实依据（具体条款）；</w:t>
      </w:r>
    </w:p>
    <w:p w14:paraId="3A8D8B9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　　（五）必要的法律依据（具体条款）；</w:t>
      </w:r>
    </w:p>
    <w:p w14:paraId="430B20D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　　（六）提出质疑的日期。</w:t>
      </w:r>
    </w:p>
    <w:p w14:paraId="1B35994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为自然人的，应当由本人签字；</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为法人或者其他组织的，应当由法定代表人、主要负责人，或者其授权代表签字或者盖章，并加盖公章。代理人提出质疑和投诉，应当提交</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签署的授权委托书。其授权委托书应当载明代理人的姓名或者名称、代理事项、具体权限、期限和相关事项。</w:t>
      </w:r>
    </w:p>
    <w:p w14:paraId="770E473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质疑函应当使用中文。相关当事人提供外文书证或者外国语视听资料的，应当附有中文译本，由翻译机构盖章或者翻译人员签名。</w:t>
      </w:r>
    </w:p>
    <w:p w14:paraId="338D8FE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27.5质疑函应当现场提交至采购代理机构联系人处，提交时应出示有效身份证明。未按上述要求提交质疑函的，质疑不予受理。</w:t>
      </w:r>
    </w:p>
    <w:p w14:paraId="249E047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78E1C2F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27.7采购代理机构在收到投标人的书面质疑后将及时组织调查核实，在</w:t>
      </w:r>
      <w:r>
        <w:rPr>
          <w:rFonts w:hint="eastAsia" w:ascii="宋体" w:hAnsi="宋体" w:eastAsia="宋体" w:cs="宋体"/>
          <w:b/>
          <w:color w:val="auto"/>
          <w:sz w:val="21"/>
          <w:highlight w:val="none"/>
        </w:rPr>
        <w:t>七个工作日内</w:t>
      </w:r>
      <w:r>
        <w:rPr>
          <w:rFonts w:hint="eastAsia" w:ascii="宋体" w:hAnsi="宋体" w:eastAsia="宋体" w:cs="宋体"/>
          <w:color w:val="auto"/>
          <w:sz w:val="21"/>
          <w:highlight w:val="none"/>
        </w:rPr>
        <w:t>作出答复，并以书面或在网站公告形式通知质疑投标人和其他有关投标人，答复的内容不涉及商业秘密。</w:t>
      </w:r>
    </w:p>
    <w:p w14:paraId="64AD42E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任何单位和个人对代理机构在招标采购活动中的违法行为，有权控告和检举，联系电话：025-86636139（采购代理机构质量管理部门）、025-86636853（采购代理机构纪检监察部门）。</w:t>
      </w:r>
    </w:p>
    <w:p w14:paraId="2709CC9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28、投诉</w:t>
      </w:r>
    </w:p>
    <w:p w14:paraId="2E4D5D8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28.1质疑</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对采购代理机构的答复不满意或者采购代理机构未在规定的时间内作出答复的，可以在答复期满后十五个工作日内向同级政府采购监督管理部门投诉。</w:t>
      </w:r>
    </w:p>
    <w:p w14:paraId="530A016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28.2</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投诉应当有明确的请求和必要的证明材料。</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投诉的事项不得超出已质疑事项的范围。</w:t>
      </w:r>
    </w:p>
    <w:p w14:paraId="30F8A0E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28.3投诉人对政府采购监督管理部门的投诉处理决定不服或者政府采购监督管理部门逾期未作处理的，可以依法申请行政复议或者向人民法院提起行政诉讼。</w:t>
      </w:r>
    </w:p>
    <w:p w14:paraId="2736F42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28.4 投诉人有下列行为之一的，属于严重失信行为，由财政部门列入不良行为记录名单，禁止其一至三年内参加政府采购活动。</w:t>
      </w:r>
    </w:p>
    <w:p w14:paraId="444A512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（1）投诉人在全国范围12个月内三次以上投诉查无实据的；</w:t>
      </w:r>
    </w:p>
    <w:p w14:paraId="008034F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（2）采用捏造事实、提供虚假材料或者以非法手段取得证明材料等方式进行虚假、恶意投诉。</w:t>
      </w:r>
    </w:p>
    <w:p w14:paraId="63BD4D6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证据来源的合法性存在明显疑问，投诉人无法证明其取得方式合法的，视为以非法手段取得证明材料。</w:t>
      </w:r>
    </w:p>
    <w:p w14:paraId="10054141">
      <w:pPr>
        <w:keepNext w:val="0"/>
        <w:keepLines w:val="0"/>
        <w:pageBreakBefore w:val="0"/>
        <w:widowControl/>
        <w:numPr>
          <w:ilvl w:val="0"/>
          <w:numId w:val="1"/>
        </w:numPr>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其它</w:t>
      </w:r>
    </w:p>
    <w:p w14:paraId="4AD8F28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240" w:after="240" w:line="360" w:lineRule="auto"/>
        <w:ind w:left="0" w:right="0" w:firstLine="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    29.1本项目根据江苏省财政厅关于加强政府绿色采购有关事项的通知（苏财购〔2023〕65号）规定，执行绿色采购需求标准。</w:t>
      </w:r>
    </w:p>
    <w:p w14:paraId="47016DA3">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2292C9FD">
      <w:pPr>
        <w:pStyle w:val="3"/>
        <w:pBdr>
          <w:top w:val="none" w:color="000000" w:sz="0" w:space="0"/>
          <w:left w:val="none" w:color="000000" w:sz="0" w:space="0"/>
          <w:bottom w:val="none" w:color="000000" w:sz="0" w:space="0"/>
          <w:right w:val="none" w:color="000000" w:sz="0" w:space="0"/>
        </w:pBdr>
        <w:spacing w:before="340" w:after="330" w:line="768" w:lineRule="atLeast"/>
        <w:ind w:left="0" w:right="0" w:firstLine="0"/>
        <w:jc w:val="center"/>
        <w:rPr>
          <w:rFonts w:hint="eastAsia" w:ascii="宋体" w:hAnsi="宋体" w:eastAsia="宋体" w:cs="宋体"/>
          <w:b/>
          <w:color w:val="auto"/>
          <w:sz w:val="32"/>
          <w:highlight w:val="none"/>
        </w:rPr>
      </w:pPr>
      <w:bookmarkStart w:id="2" w:name="_Toc25643"/>
      <w:r>
        <w:rPr>
          <w:rFonts w:hint="eastAsia" w:ascii="宋体" w:hAnsi="宋体" w:eastAsia="宋体" w:cs="宋体"/>
          <w:b/>
          <w:color w:val="auto"/>
          <w:sz w:val="32"/>
          <w:highlight w:val="none"/>
        </w:rPr>
        <w:t>第三章</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评标标准</w:t>
      </w:r>
      <w:bookmarkEnd w:id="2"/>
    </w:p>
    <w:p w14:paraId="2813420D">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tbl>
      <w:tblPr>
        <w:tblStyle w:val="32"/>
        <w:tblW w:w="84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5"/>
        <w:gridCol w:w="998"/>
        <w:gridCol w:w="999"/>
        <w:gridCol w:w="4956"/>
        <w:gridCol w:w="900"/>
      </w:tblGrid>
      <w:tr w14:paraId="0872A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565" w:type="dxa"/>
            <w:tcBorders>
              <w:top w:val="single" w:color="auto" w:sz="4" w:space="0"/>
              <w:left w:val="single" w:color="auto" w:sz="4" w:space="0"/>
              <w:bottom w:val="single" w:color="auto" w:sz="4" w:space="0"/>
              <w:right w:val="single" w:color="auto" w:sz="4" w:space="0"/>
            </w:tcBorders>
            <w:noWrap w:val="0"/>
            <w:vAlign w:val="center"/>
          </w:tcPr>
          <w:p w14:paraId="29E91A0D">
            <w:pPr>
              <w:adjustRightInd w:val="0"/>
              <w:snapToGrid w:val="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序号</w:t>
            </w:r>
          </w:p>
        </w:tc>
        <w:tc>
          <w:tcPr>
            <w:tcW w:w="1997" w:type="dxa"/>
            <w:gridSpan w:val="2"/>
            <w:tcBorders>
              <w:top w:val="single" w:color="auto" w:sz="4" w:space="0"/>
              <w:left w:val="nil"/>
              <w:bottom w:val="single" w:color="auto" w:sz="4" w:space="0"/>
              <w:right w:val="single" w:color="auto" w:sz="4" w:space="0"/>
            </w:tcBorders>
            <w:noWrap w:val="0"/>
            <w:vAlign w:val="center"/>
          </w:tcPr>
          <w:p w14:paraId="21C586F7">
            <w:pPr>
              <w:adjustRightInd w:val="0"/>
              <w:snapToGrid w:val="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评分</w:t>
            </w:r>
          </w:p>
          <w:p w14:paraId="3270DA59">
            <w:pPr>
              <w:adjustRightInd w:val="0"/>
              <w:snapToGrid w:val="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项目</w:t>
            </w:r>
          </w:p>
        </w:tc>
        <w:tc>
          <w:tcPr>
            <w:tcW w:w="4956" w:type="dxa"/>
            <w:tcBorders>
              <w:top w:val="single" w:color="auto" w:sz="4" w:space="0"/>
              <w:left w:val="nil"/>
              <w:bottom w:val="single" w:color="auto" w:sz="4" w:space="0"/>
              <w:right w:val="single" w:color="auto" w:sz="4" w:space="0"/>
            </w:tcBorders>
            <w:noWrap w:val="0"/>
            <w:vAlign w:val="center"/>
          </w:tcPr>
          <w:p w14:paraId="594DDEAA">
            <w:pPr>
              <w:adjustRightInd w:val="0"/>
              <w:snapToGrid w:val="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评审标准</w:t>
            </w:r>
          </w:p>
        </w:tc>
        <w:tc>
          <w:tcPr>
            <w:tcW w:w="900" w:type="dxa"/>
            <w:tcBorders>
              <w:top w:val="single" w:color="auto" w:sz="4" w:space="0"/>
              <w:left w:val="nil"/>
              <w:bottom w:val="single" w:color="auto" w:sz="4" w:space="0"/>
              <w:right w:val="single" w:color="auto" w:sz="4" w:space="0"/>
            </w:tcBorders>
            <w:noWrap w:val="0"/>
            <w:vAlign w:val="center"/>
          </w:tcPr>
          <w:p w14:paraId="51EC2FBB">
            <w:pPr>
              <w:adjustRightInd w:val="0"/>
              <w:snapToGrid w:val="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分值</w:t>
            </w:r>
          </w:p>
        </w:tc>
      </w:tr>
      <w:tr w14:paraId="1AFE8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5" w:type="dxa"/>
            <w:tcBorders>
              <w:top w:val="single" w:color="auto" w:sz="4" w:space="0"/>
              <w:left w:val="single" w:color="auto" w:sz="4" w:space="0"/>
              <w:bottom w:val="single" w:color="auto" w:sz="4" w:space="0"/>
              <w:right w:val="single" w:color="auto" w:sz="4" w:space="0"/>
            </w:tcBorders>
            <w:noWrap w:val="0"/>
            <w:vAlign w:val="center"/>
          </w:tcPr>
          <w:p w14:paraId="790BF1B9">
            <w:pPr>
              <w:adjustRightInd w:val="0"/>
              <w:snapToGrid w:val="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1</w:t>
            </w:r>
          </w:p>
        </w:tc>
        <w:tc>
          <w:tcPr>
            <w:tcW w:w="998" w:type="dxa"/>
            <w:tcBorders>
              <w:top w:val="single" w:color="auto" w:sz="4" w:space="0"/>
              <w:left w:val="nil"/>
              <w:right w:val="single" w:color="auto" w:sz="4" w:space="0"/>
            </w:tcBorders>
            <w:noWrap w:val="0"/>
            <w:vAlign w:val="center"/>
          </w:tcPr>
          <w:p w14:paraId="1D42157F">
            <w:pPr>
              <w:adjustRightInd w:val="0"/>
              <w:snapToGrid w:val="0"/>
              <w:jc w:val="center"/>
              <w:rPr>
                <w:rFonts w:hint="eastAsia" w:ascii="宋体" w:hAnsi="宋体" w:eastAsia="宋体" w:cs="宋体"/>
                <w:color w:val="auto"/>
                <w:highlight w:val="none"/>
              </w:rPr>
            </w:pPr>
            <w:r>
              <w:rPr>
                <w:rFonts w:hint="eastAsia" w:ascii="宋体" w:hAnsi="宋体" w:eastAsia="宋体" w:cs="宋体"/>
                <w:color w:val="auto"/>
                <w:highlight w:val="none"/>
              </w:rPr>
              <w:t>价格部分（</w:t>
            </w:r>
            <w:r>
              <w:rPr>
                <w:rFonts w:hint="eastAsia" w:ascii="宋体" w:hAnsi="宋体" w:eastAsia="宋体" w:cs="宋体"/>
                <w:color w:val="auto"/>
                <w:highlight w:val="none"/>
                <w:lang w:val="en-US" w:eastAsia="zh-CN"/>
              </w:rPr>
              <w:t>30</w:t>
            </w:r>
            <w:r>
              <w:rPr>
                <w:rFonts w:hint="eastAsia" w:ascii="宋体" w:hAnsi="宋体" w:eastAsia="宋体" w:cs="宋体"/>
                <w:color w:val="auto"/>
                <w:highlight w:val="none"/>
              </w:rPr>
              <w:t>分）</w:t>
            </w:r>
          </w:p>
        </w:tc>
        <w:tc>
          <w:tcPr>
            <w:tcW w:w="999" w:type="dxa"/>
            <w:tcBorders>
              <w:top w:val="single" w:color="auto" w:sz="4" w:space="0"/>
              <w:left w:val="single" w:color="auto" w:sz="4" w:space="0"/>
              <w:bottom w:val="single" w:color="auto" w:sz="4" w:space="0"/>
              <w:right w:val="single" w:color="auto" w:sz="4" w:space="0"/>
            </w:tcBorders>
            <w:noWrap w:val="0"/>
            <w:vAlign w:val="center"/>
          </w:tcPr>
          <w:p w14:paraId="0362B691">
            <w:pPr>
              <w:adjustRightInd w:val="0"/>
              <w:snapToGrid w:val="0"/>
              <w:jc w:val="center"/>
              <w:rPr>
                <w:rFonts w:hint="eastAsia" w:ascii="宋体" w:hAnsi="宋体" w:eastAsia="宋体" w:cs="宋体"/>
                <w:color w:val="auto"/>
                <w:highlight w:val="none"/>
              </w:rPr>
            </w:pPr>
            <w:r>
              <w:rPr>
                <w:rFonts w:hint="eastAsia" w:ascii="宋体" w:hAnsi="宋体" w:eastAsia="宋体" w:cs="宋体"/>
                <w:color w:val="auto"/>
                <w:highlight w:val="none"/>
              </w:rPr>
              <w:t>报价</w:t>
            </w:r>
          </w:p>
        </w:tc>
        <w:tc>
          <w:tcPr>
            <w:tcW w:w="4956" w:type="dxa"/>
            <w:tcBorders>
              <w:top w:val="single" w:color="auto" w:sz="4" w:space="0"/>
              <w:left w:val="nil"/>
              <w:bottom w:val="single" w:color="auto" w:sz="4" w:space="0"/>
              <w:right w:val="single" w:color="auto" w:sz="4" w:space="0"/>
            </w:tcBorders>
            <w:noWrap w:val="0"/>
            <w:vAlign w:val="center"/>
          </w:tcPr>
          <w:p w14:paraId="77616D98">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价格分采用低价优先法计算，即满足</w:t>
            </w:r>
            <w:r>
              <w:rPr>
                <w:rFonts w:hint="eastAsia" w:ascii="宋体" w:hAnsi="宋体" w:eastAsia="宋体" w:cs="宋体"/>
                <w:color w:val="auto"/>
                <w:szCs w:val="21"/>
                <w:highlight w:val="none"/>
                <w:lang w:eastAsia="zh-CN"/>
              </w:rPr>
              <w:t>招标文件</w:t>
            </w:r>
            <w:r>
              <w:rPr>
                <w:rFonts w:hint="eastAsia" w:ascii="宋体" w:hAnsi="宋体" w:eastAsia="宋体" w:cs="宋体"/>
                <w:color w:val="auto"/>
                <w:szCs w:val="21"/>
                <w:highlight w:val="none"/>
              </w:rPr>
              <w:t>要求且最终报价最低的</w:t>
            </w: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的价格为</w:t>
            </w:r>
            <w:r>
              <w:rPr>
                <w:rFonts w:hint="eastAsia" w:ascii="宋体" w:hAnsi="宋体" w:eastAsia="宋体" w:cs="宋体"/>
                <w:color w:val="auto"/>
                <w:szCs w:val="21"/>
                <w:highlight w:val="none"/>
                <w:lang w:eastAsia="zh-CN"/>
              </w:rPr>
              <w:t>评标基准价</w:t>
            </w:r>
            <w:r>
              <w:rPr>
                <w:rFonts w:hint="eastAsia" w:ascii="宋体" w:hAnsi="宋体" w:eastAsia="宋体" w:cs="宋体"/>
                <w:color w:val="auto"/>
                <w:szCs w:val="21"/>
                <w:highlight w:val="none"/>
              </w:rPr>
              <w:t>，其价格分为满分。</w:t>
            </w:r>
          </w:p>
          <w:p w14:paraId="5000A756">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w:t>
            </w: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的价格分统一按照下列公式计算（小数点保留两位）：</w:t>
            </w:r>
            <w:r>
              <w:rPr>
                <w:rFonts w:hint="eastAsia" w:ascii="宋体" w:hAnsi="宋体" w:eastAsia="宋体" w:cs="宋体"/>
                <w:color w:val="auto"/>
                <w:szCs w:val="21"/>
                <w:highlight w:val="none"/>
                <w:lang w:eastAsia="zh-CN"/>
              </w:rPr>
              <w:t>投标报价</w:t>
            </w:r>
            <w:r>
              <w:rPr>
                <w:rFonts w:hint="eastAsia" w:ascii="宋体" w:hAnsi="宋体" w:eastAsia="宋体" w:cs="宋体"/>
                <w:color w:val="auto"/>
                <w:szCs w:val="21"/>
                <w:highlight w:val="none"/>
              </w:rPr>
              <w:t>得分=（</w:t>
            </w:r>
            <w:r>
              <w:rPr>
                <w:rFonts w:hint="eastAsia" w:ascii="宋体" w:hAnsi="宋体" w:eastAsia="宋体" w:cs="宋体"/>
                <w:color w:val="auto"/>
                <w:szCs w:val="21"/>
                <w:highlight w:val="none"/>
                <w:lang w:eastAsia="zh-CN"/>
              </w:rPr>
              <w:t>评标基准价</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投标人评标价</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30</w:t>
            </w:r>
            <w:r>
              <w:rPr>
                <w:rFonts w:hint="eastAsia" w:ascii="宋体" w:hAnsi="宋体" w:eastAsia="宋体" w:cs="宋体"/>
                <w:color w:val="auto"/>
                <w:szCs w:val="21"/>
                <w:highlight w:val="none"/>
              </w:rPr>
              <w:t>。</w:t>
            </w:r>
          </w:p>
          <w:p w14:paraId="2F27FE0F">
            <w:pPr>
              <w:adjustRightInd w:val="0"/>
              <w:snapToGrid w:val="0"/>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t>投标人评标价</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开标一览表</w:t>
            </w:r>
            <w:r>
              <w:rPr>
                <w:rFonts w:hint="eastAsia" w:ascii="宋体" w:hAnsi="宋体" w:eastAsia="宋体" w:cs="宋体"/>
                <w:color w:val="auto"/>
                <w:szCs w:val="21"/>
                <w:highlight w:val="none"/>
              </w:rPr>
              <w:t>文字报价</w:t>
            </w:r>
            <w:r>
              <w:rPr>
                <w:rFonts w:hint="eastAsia" w:ascii="宋体" w:hAnsi="宋体" w:eastAsia="宋体" w:cs="宋体"/>
                <w:caps w:val="0"/>
                <w:color w:val="auto"/>
                <w:highlight w:val="none"/>
              </w:rPr>
              <w:t>（如有算术性修正，应以修正后的价格为准）</w:t>
            </w:r>
            <w:r>
              <w:rPr>
                <w:rFonts w:hint="eastAsia" w:ascii="宋体" w:hAnsi="宋体" w:eastAsia="宋体" w:cs="宋体"/>
                <w:color w:val="auto"/>
                <w:szCs w:val="21"/>
                <w:highlight w:val="none"/>
              </w:rPr>
              <w:t>。</w:t>
            </w:r>
          </w:p>
        </w:tc>
        <w:tc>
          <w:tcPr>
            <w:tcW w:w="900" w:type="dxa"/>
            <w:tcBorders>
              <w:top w:val="single" w:color="auto" w:sz="4" w:space="0"/>
              <w:left w:val="nil"/>
              <w:bottom w:val="single" w:color="auto" w:sz="4" w:space="0"/>
              <w:right w:val="single" w:color="auto" w:sz="4" w:space="0"/>
            </w:tcBorders>
            <w:noWrap w:val="0"/>
            <w:vAlign w:val="center"/>
          </w:tcPr>
          <w:p w14:paraId="728EF708">
            <w:pPr>
              <w:adjustRightInd w:val="0"/>
              <w:snapToGrid w:val="0"/>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30</w:t>
            </w:r>
          </w:p>
        </w:tc>
      </w:tr>
      <w:tr w14:paraId="4B571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565" w:type="dxa"/>
            <w:vMerge w:val="restart"/>
            <w:tcBorders>
              <w:top w:val="single" w:color="auto" w:sz="4" w:space="0"/>
              <w:left w:val="single" w:color="auto" w:sz="4" w:space="0"/>
              <w:right w:val="single" w:color="auto" w:sz="4" w:space="0"/>
            </w:tcBorders>
            <w:noWrap w:val="0"/>
            <w:vAlign w:val="center"/>
          </w:tcPr>
          <w:p w14:paraId="335E58F8">
            <w:pPr>
              <w:adjustRightInd w:val="0"/>
              <w:snapToGrid w:val="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2</w:t>
            </w:r>
          </w:p>
        </w:tc>
        <w:tc>
          <w:tcPr>
            <w:tcW w:w="998" w:type="dxa"/>
            <w:vMerge w:val="restart"/>
            <w:tcBorders>
              <w:left w:val="nil"/>
              <w:right w:val="single" w:color="auto" w:sz="4" w:space="0"/>
            </w:tcBorders>
            <w:noWrap w:val="0"/>
            <w:vAlign w:val="center"/>
          </w:tcPr>
          <w:p w14:paraId="6E71FA15">
            <w:pPr>
              <w:adjustRightInd w:val="0"/>
              <w:snapToGrid w:val="0"/>
              <w:jc w:val="center"/>
              <w:rPr>
                <w:rFonts w:hint="eastAsia" w:ascii="宋体" w:hAnsi="宋体" w:eastAsia="宋体" w:cs="宋体"/>
                <w:color w:val="auto"/>
                <w:highlight w:val="none"/>
              </w:rPr>
            </w:pPr>
            <w:r>
              <w:rPr>
                <w:rFonts w:hint="eastAsia" w:ascii="宋体" w:hAnsi="宋体" w:eastAsia="宋体" w:cs="宋体"/>
                <w:color w:val="auto"/>
                <w:highlight w:val="none"/>
              </w:rPr>
              <w:t>商务部分（</w:t>
            </w:r>
            <w:r>
              <w:rPr>
                <w:rFonts w:hint="eastAsia" w:ascii="宋体" w:hAnsi="宋体" w:eastAsia="宋体" w:cs="宋体"/>
                <w:color w:val="auto"/>
                <w:highlight w:val="none"/>
                <w:lang w:val="en-US" w:eastAsia="zh-CN"/>
              </w:rPr>
              <w:t>30</w:t>
            </w:r>
            <w:r>
              <w:rPr>
                <w:rFonts w:hint="eastAsia" w:ascii="宋体" w:hAnsi="宋体" w:eastAsia="宋体" w:cs="宋体"/>
                <w:color w:val="auto"/>
                <w:highlight w:val="none"/>
              </w:rPr>
              <w:t>分）</w:t>
            </w:r>
          </w:p>
        </w:tc>
        <w:tc>
          <w:tcPr>
            <w:tcW w:w="999" w:type="dxa"/>
            <w:tcBorders>
              <w:top w:val="single" w:color="auto" w:sz="4" w:space="0"/>
              <w:left w:val="single" w:color="auto" w:sz="4" w:space="0"/>
              <w:bottom w:val="single" w:color="auto" w:sz="4" w:space="0"/>
              <w:right w:val="single" w:color="auto" w:sz="4" w:space="0"/>
            </w:tcBorders>
            <w:noWrap w:val="0"/>
            <w:vAlign w:val="center"/>
          </w:tcPr>
          <w:p w14:paraId="0B79ACED">
            <w:pPr>
              <w:adjustRightInd w:val="0"/>
              <w:snapToGrid w:val="0"/>
              <w:jc w:val="center"/>
              <w:rPr>
                <w:rFonts w:hint="eastAsia" w:ascii="宋体" w:hAnsi="宋体" w:eastAsia="宋体" w:cs="宋体"/>
                <w:color w:val="auto"/>
                <w:highlight w:val="none"/>
              </w:rPr>
            </w:pPr>
            <w:r>
              <w:rPr>
                <w:rFonts w:hint="eastAsia" w:ascii="宋体" w:hAnsi="宋体" w:eastAsia="宋体" w:cs="宋体"/>
                <w:color w:val="auto"/>
                <w:highlight w:val="none"/>
              </w:rPr>
              <w:t>企业</w:t>
            </w:r>
          </w:p>
          <w:p w14:paraId="0FEAFD5A">
            <w:pPr>
              <w:adjustRightInd w:val="0"/>
              <w:snapToGrid w:val="0"/>
              <w:jc w:val="center"/>
              <w:rPr>
                <w:rFonts w:hint="eastAsia" w:ascii="宋体" w:hAnsi="宋体" w:eastAsia="宋体" w:cs="宋体"/>
                <w:color w:val="auto"/>
                <w:highlight w:val="none"/>
              </w:rPr>
            </w:pPr>
            <w:r>
              <w:rPr>
                <w:rFonts w:hint="eastAsia" w:ascii="宋体" w:hAnsi="宋体" w:eastAsia="宋体" w:cs="宋体"/>
                <w:color w:val="auto"/>
                <w:highlight w:val="none"/>
              </w:rPr>
              <w:t>业绩</w:t>
            </w:r>
          </w:p>
        </w:tc>
        <w:tc>
          <w:tcPr>
            <w:tcW w:w="4956" w:type="dxa"/>
            <w:tcBorders>
              <w:top w:val="single" w:color="auto" w:sz="4" w:space="0"/>
              <w:left w:val="nil"/>
              <w:bottom w:val="single" w:color="auto" w:sz="4" w:space="0"/>
              <w:right w:val="single" w:color="auto" w:sz="4" w:space="0"/>
            </w:tcBorders>
            <w:noWrap w:val="0"/>
            <w:vAlign w:val="center"/>
          </w:tcPr>
          <w:p w14:paraId="3F54653D">
            <w:pPr>
              <w:adjustRightInd w:val="0"/>
              <w:snapToGrid w:val="0"/>
              <w:rPr>
                <w:rFonts w:hint="eastAsia" w:ascii="宋体" w:hAnsi="宋体" w:eastAsia="宋体" w:cs="宋体"/>
                <w:color w:val="auto"/>
                <w:highlight w:val="none"/>
              </w:rPr>
            </w:pPr>
            <w:r>
              <w:rPr>
                <w:rFonts w:hint="eastAsia" w:ascii="宋体" w:hAnsi="宋体" w:eastAsia="宋体" w:cs="宋体"/>
                <w:color w:val="auto"/>
                <w:szCs w:val="21"/>
                <w:highlight w:val="none"/>
              </w:rPr>
              <w:t>自</w:t>
            </w:r>
            <w:r>
              <w:rPr>
                <w:rFonts w:hint="eastAsia" w:ascii="宋体" w:hAnsi="宋体" w:eastAsia="宋体" w:cs="宋体"/>
                <w:color w:val="auto"/>
                <w:highlight w:val="none"/>
              </w:rPr>
              <w:t>2023年1月1日</w:t>
            </w:r>
            <w:r>
              <w:rPr>
                <w:rFonts w:hint="eastAsia" w:ascii="宋体" w:hAnsi="宋体" w:eastAsia="宋体" w:cs="宋体"/>
                <w:color w:val="auto"/>
                <w:szCs w:val="21"/>
                <w:highlight w:val="none"/>
              </w:rPr>
              <w:t>以来</w:t>
            </w:r>
            <w:r>
              <w:rPr>
                <w:rFonts w:hint="eastAsia" w:ascii="宋体" w:hAnsi="宋体" w:eastAsia="宋体" w:cs="宋体"/>
                <w:color w:val="auto"/>
                <w:highlight w:val="none"/>
              </w:rPr>
              <w:t>，完成过通航建筑物新建、改扩建或者</w:t>
            </w:r>
            <w:r>
              <w:rPr>
                <w:rFonts w:hint="eastAsia" w:ascii="宋体" w:hAnsi="宋体" w:eastAsia="宋体" w:cs="宋体"/>
                <w:color w:val="auto"/>
                <w:highlight w:val="none"/>
                <w:lang w:eastAsia="zh-CN"/>
              </w:rPr>
              <w:t>维修施工项目</w:t>
            </w:r>
            <w:r>
              <w:rPr>
                <w:rFonts w:hint="eastAsia" w:ascii="宋体" w:hAnsi="宋体" w:eastAsia="宋体" w:cs="宋体"/>
                <w:color w:val="auto"/>
                <w:highlight w:val="none"/>
              </w:rPr>
              <w:t>的，每提供一个</w:t>
            </w: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得</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分，本项最多得</w:t>
            </w:r>
            <w:r>
              <w:rPr>
                <w:rFonts w:hint="eastAsia" w:ascii="宋体" w:hAnsi="宋体" w:eastAsia="宋体" w:cs="宋体"/>
                <w:color w:val="auto"/>
                <w:highlight w:val="none"/>
                <w:lang w:val="en-US" w:eastAsia="zh-CN"/>
              </w:rPr>
              <w:t>15</w:t>
            </w:r>
            <w:r>
              <w:rPr>
                <w:rFonts w:hint="eastAsia" w:ascii="宋体" w:hAnsi="宋体" w:eastAsia="宋体" w:cs="宋体"/>
                <w:color w:val="auto"/>
                <w:highlight w:val="none"/>
              </w:rPr>
              <w:t>分；</w:t>
            </w:r>
          </w:p>
          <w:p w14:paraId="6A95D36A">
            <w:pPr>
              <w:adjustRightInd w:val="0"/>
              <w:snapToGrid w:val="0"/>
              <w:rPr>
                <w:rFonts w:hint="eastAsia" w:ascii="宋体" w:hAnsi="宋体" w:eastAsia="宋体" w:cs="宋体"/>
                <w:b/>
                <w:bCs/>
                <w:color w:val="auto"/>
                <w:highlight w:val="none"/>
              </w:rPr>
            </w:pPr>
            <w:r>
              <w:rPr>
                <w:rFonts w:hint="eastAsia" w:ascii="宋体" w:hAnsi="宋体" w:eastAsia="宋体" w:cs="宋体"/>
                <w:b/>
                <w:bCs/>
                <w:color w:val="auto"/>
                <w:highlight w:val="none"/>
              </w:rPr>
              <w:t>注：</w:t>
            </w:r>
          </w:p>
          <w:p w14:paraId="62556A42">
            <w:pPr>
              <w:adjustRightInd w:val="0"/>
              <w:snapToGrid w:val="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①</w:t>
            </w:r>
            <w:r>
              <w:rPr>
                <w:rFonts w:hint="eastAsia" w:ascii="宋体" w:hAnsi="宋体" w:eastAsia="宋体" w:cs="宋体"/>
                <w:b/>
                <w:bCs/>
                <w:color w:val="auto"/>
                <w:highlight w:val="none"/>
              </w:rPr>
              <w:t>提供相关合同</w:t>
            </w:r>
            <w:r>
              <w:rPr>
                <w:rFonts w:hint="eastAsia" w:ascii="宋体" w:hAnsi="宋体" w:eastAsia="宋体" w:cs="宋体"/>
                <w:b/>
                <w:bCs/>
                <w:color w:val="auto"/>
                <w:highlight w:val="none"/>
                <w:lang w:val="en-US" w:eastAsia="zh-CN"/>
              </w:rPr>
              <w:t>和</w:t>
            </w:r>
            <w:r>
              <w:rPr>
                <w:rFonts w:hint="eastAsia" w:ascii="宋体" w:hAnsi="宋体" w:eastAsia="宋体" w:cs="宋体"/>
                <w:b/>
                <w:bCs/>
                <w:color w:val="auto"/>
                <w:szCs w:val="21"/>
                <w:highlight w:val="none"/>
              </w:rPr>
              <w:t>交/竣工</w:t>
            </w:r>
            <w:r>
              <w:rPr>
                <w:rFonts w:hint="eastAsia" w:ascii="宋体" w:hAnsi="宋体" w:eastAsia="宋体" w:cs="宋体"/>
                <w:b/>
                <w:color w:val="auto"/>
                <w:szCs w:val="21"/>
                <w:highlight w:val="none"/>
                <w:lang w:val="en-US" w:eastAsia="zh-CN"/>
              </w:rPr>
              <w:t>验收证明材料</w:t>
            </w:r>
            <w:r>
              <w:rPr>
                <w:rFonts w:hint="eastAsia" w:ascii="宋体" w:hAnsi="宋体" w:eastAsia="宋体" w:cs="宋体"/>
                <w:b/>
                <w:bCs/>
                <w:color w:val="auto"/>
                <w:highlight w:val="none"/>
              </w:rPr>
              <w:t>扫描件，</w:t>
            </w:r>
            <w:r>
              <w:rPr>
                <w:rFonts w:hint="eastAsia" w:ascii="宋体" w:hAnsi="宋体" w:eastAsia="宋体" w:cs="宋体"/>
                <w:b/>
                <w:color w:val="auto"/>
                <w:szCs w:val="21"/>
                <w:highlight w:val="none"/>
              </w:rPr>
              <w:t>时间以</w:t>
            </w:r>
            <w:r>
              <w:rPr>
                <w:rFonts w:hint="eastAsia" w:ascii="宋体" w:hAnsi="宋体" w:eastAsia="宋体" w:cs="宋体"/>
                <w:b/>
                <w:bCs/>
                <w:color w:val="auto"/>
                <w:szCs w:val="21"/>
                <w:highlight w:val="none"/>
              </w:rPr>
              <w:t>交/竣工</w:t>
            </w:r>
            <w:r>
              <w:rPr>
                <w:rFonts w:hint="eastAsia" w:ascii="宋体" w:hAnsi="宋体" w:eastAsia="宋体" w:cs="宋体"/>
                <w:b/>
                <w:color w:val="auto"/>
                <w:szCs w:val="21"/>
                <w:highlight w:val="none"/>
                <w:lang w:val="en-US" w:eastAsia="zh-CN"/>
              </w:rPr>
              <w:t>验收</w:t>
            </w:r>
            <w:r>
              <w:rPr>
                <w:rFonts w:hint="eastAsia" w:ascii="宋体" w:hAnsi="宋体" w:eastAsia="宋体" w:cs="宋体"/>
                <w:b/>
                <w:color w:val="auto"/>
                <w:szCs w:val="21"/>
                <w:highlight w:val="none"/>
              </w:rPr>
              <w:t>时间为准</w:t>
            </w:r>
            <w:r>
              <w:rPr>
                <w:rFonts w:hint="eastAsia" w:ascii="宋体" w:hAnsi="宋体" w:eastAsia="宋体" w:cs="宋体"/>
                <w:b/>
                <w:color w:val="auto"/>
                <w:szCs w:val="21"/>
                <w:highlight w:val="none"/>
                <w:lang w:eastAsia="zh-CN"/>
              </w:rPr>
              <w:t>，</w:t>
            </w:r>
            <w:r>
              <w:rPr>
                <w:rFonts w:hint="eastAsia" w:ascii="宋体" w:hAnsi="宋体" w:eastAsia="宋体" w:cs="宋体"/>
                <w:b/>
                <w:bCs/>
                <w:color w:val="auto"/>
                <w:szCs w:val="21"/>
                <w:highlight w:val="none"/>
              </w:rPr>
              <w:t>未提供不得分。</w:t>
            </w:r>
          </w:p>
          <w:p w14:paraId="48B8B1FA">
            <w:pPr>
              <w:adjustRightInd w:val="0"/>
              <w:snapToGrid w:val="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②企业业绩可</w:t>
            </w:r>
            <w:r>
              <w:rPr>
                <w:rFonts w:hint="eastAsia" w:ascii="宋体" w:hAnsi="宋体" w:eastAsia="宋体" w:cs="宋体"/>
                <w:b/>
                <w:bCs/>
                <w:color w:val="auto"/>
                <w:szCs w:val="21"/>
                <w:highlight w:val="none"/>
                <w:lang w:val="en-US" w:eastAsia="zh-CN"/>
              </w:rPr>
              <w:t>与</w:t>
            </w:r>
            <w:r>
              <w:rPr>
                <w:rFonts w:hint="eastAsia" w:ascii="宋体" w:hAnsi="宋体" w:eastAsia="宋体" w:cs="宋体"/>
                <w:b/>
                <w:bCs/>
                <w:color w:val="auto"/>
                <w:szCs w:val="21"/>
                <w:highlight w:val="none"/>
              </w:rPr>
              <w:t>项目经理、项目总工业绩重复加分。</w:t>
            </w:r>
          </w:p>
        </w:tc>
        <w:tc>
          <w:tcPr>
            <w:tcW w:w="900" w:type="dxa"/>
            <w:tcBorders>
              <w:top w:val="single" w:color="auto" w:sz="4" w:space="0"/>
              <w:left w:val="nil"/>
              <w:bottom w:val="single" w:color="auto" w:sz="4" w:space="0"/>
              <w:right w:val="single" w:color="auto" w:sz="4" w:space="0"/>
            </w:tcBorders>
            <w:noWrap w:val="0"/>
            <w:vAlign w:val="center"/>
          </w:tcPr>
          <w:p w14:paraId="08BA35F0">
            <w:pPr>
              <w:adjustRightInd w:val="0"/>
              <w:snapToGrid w:val="0"/>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15</w:t>
            </w:r>
          </w:p>
        </w:tc>
      </w:tr>
      <w:tr w14:paraId="40698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565" w:type="dxa"/>
            <w:vMerge w:val="continue"/>
            <w:tcBorders>
              <w:left w:val="single" w:color="auto" w:sz="4" w:space="0"/>
              <w:right w:val="single" w:color="auto" w:sz="4" w:space="0"/>
            </w:tcBorders>
            <w:noWrap w:val="0"/>
            <w:vAlign w:val="center"/>
          </w:tcPr>
          <w:p w14:paraId="7952E361">
            <w:pPr>
              <w:adjustRightInd w:val="0"/>
              <w:snapToGrid w:val="0"/>
              <w:jc w:val="center"/>
              <w:rPr>
                <w:rFonts w:hint="eastAsia" w:ascii="宋体" w:hAnsi="宋体" w:eastAsia="宋体" w:cs="宋体"/>
                <w:color w:val="auto"/>
                <w:highlight w:val="none"/>
              </w:rPr>
            </w:pPr>
          </w:p>
        </w:tc>
        <w:tc>
          <w:tcPr>
            <w:tcW w:w="998" w:type="dxa"/>
            <w:vMerge w:val="continue"/>
            <w:tcBorders>
              <w:left w:val="nil"/>
              <w:right w:val="single" w:color="auto" w:sz="4" w:space="0"/>
            </w:tcBorders>
            <w:noWrap w:val="0"/>
            <w:vAlign w:val="center"/>
          </w:tcPr>
          <w:p w14:paraId="5D2EED6B">
            <w:pPr>
              <w:adjustRightInd w:val="0"/>
              <w:snapToGrid w:val="0"/>
              <w:jc w:val="center"/>
              <w:rPr>
                <w:rFonts w:hint="eastAsia" w:ascii="宋体" w:hAnsi="宋体" w:eastAsia="宋体" w:cs="宋体"/>
                <w:color w:val="auto"/>
                <w:highlight w:val="none"/>
              </w:rPr>
            </w:pPr>
          </w:p>
        </w:tc>
        <w:tc>
          <w:tcPr>
            <w:tcW w:w="999" w:type="dxa"/>
            <w:tcBorders>
              <w:top w:val="single" w:color="auto" w:sz="4" w:space="0"/>
              <w:left w:val="single" w:color="auto" w:sz="4" w:space="0"/>
              <w:right w:val="single" w:color="auto" w:sz="4" w:space="0"/>
            </w:tcBorders>
            <w:noWrap w:val="0"/>
            <w:vAlign w:val="center"/>
          </w:tcPr>
          <w:p w14:paraId="47F5F7A5">
            <w:pPr>
              <w:snapToGrid w:val="0"/>
              <w:spacing w:line="300" w:lineRule="exact"/>
              <w:jc w:val="center"/>
              <w:rPr>
                <w:rFonts w:hint="eastAsia" w:ascii="宋体" w:hAnsi="宋体" w:eastAsia="宋体" w:cs="宋体"/>
                <w:color w:val="auto"/>
                <w:kern w:val="2"/>
                <w:sz w:val="21"/>
                <w:highlight w:val="none"/>
                <w:lang w:val="en-US" w:eastAsia="zh-CN" w:bidi="ar-SA"/>
              </w:rPr>
            </w:pPr>
            <w:r>
              <w:rPr>
                <w:rFonts w:hint="eastAsia" w:ascii="宋体" w:hAnsi="宋体" w:eastAsia="宋体" w:cs="宋体"/>
                <w:color w:val="auto"/>
                <w:szCs w:val="21"/>
                <w:highlight w:val="none"/>
                <w:lang w:val="en-US" w:eastAsia="zh-CN"/>
              </w:rPr>
              <w:t>项目主要人员</w:t>
            </w:r>
          </w:p>
        </w:tc>
        <w:tc>
          <w:tcPr>
            <w:tcW w:w="4956" w:type="dxa"/>
            <w:tcBorders>
              <w:top w:val="single" w:color="auto" w:sz="4" w:space="0"/>
              <w:left w:val="nil"/>
              <w:bottom w:val="single" w:color="auto" w:sz="4" w:space="0"/>
              <w:right w:val="single" w:color="auto" w:sz="4" w:space="0"/>
            </w:tcBorders>
            <w:noWrap w:val="0"/>
            <w:vAlign w:val="center"/>
          </w:tcPr>
          <w:p w14:paraId="3A0DE232">
            <w:pPr>
              <w:snapToGrid w:val="0"/>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（1）项目经理具有</w:t>
            </w:r>
            <w:r>
              <w:rPr>
                <w:rFonts w:hint="eastAsia" w:ascii="宋体" w:hAnsi="宋体" w:eastAsia="宋体" w:cs="宋体"/>
                <w:color w:val="auto"/>
                <w:szCs w:val="21"/>
                <w:highlight w:val="none"/>
                <w:lang w:val="en-US" w:eastAsia="zh-CN"/>
              </w:rPr>
              <w:t>高级工程师</w:t>
            </w:r>
            <w:r>
              <w:rPr>
                <w:rFonts w:hint="eastAsia" w:ascii="宋体" w:hAnsi="宋体" w:eastAsia="宋体" w:cs="宋体"/>
                <w:color w:val="auto"/>
                <w:szCs w:val="21"/>
                <w:highlight w:val="none"/>
              </w:rPr>
              <w:t>或以上技术职称的，得</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分。</w:t>
            </w:r>
          </w:p>
          <w:p w14:paraId="493BF8D0">
            <w:pPr>
              <w:snapToGrid w:val="0"/>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（2）项目经理自</w:t>
            </w:r>
            <w:r>
              <w:rPr>
                <w:rFonts w:hint="eastAsia" w:ascii="宋体" w:hAnsi="宋体" w:eastAsia="宋体" w:cs="宋体"/>
                <w:color w:val="auto"/>
                <w:highlight w:val="none"/>
              </w:rPr>
              <w:t>2023年1月1日</w:t>
            </w:r>
            <w:r>
              <w:rPr>
                <w:rFonts w:hint="eastAsia" w:ascii="宋体" w:hAnsi="宋体" w:eastAsia="宋体" w:cs="宋体"/>
                <w:color w:val="auto"/>
                <w:szCs w:val="21"/>
                <w:highlight w:val="none"/>
              </w:rPr>
              <w:t>以来担任过通航建筑物新建、改扩建或者</w:t>
            </w:r>
            <w:r>
              <w:rPr>
                <w:rFonts w:hint="eastAsia" w:ascii="宋体" w:hAnsi="宋体" w:eastAsia="宋体" w:cs="宋体"/>
                <w:color w:val="auto"/>
                <w:szCs w:val="21"/>
                <w:highlight w:val="none"/>
                <w:lang w:eastAsia="zh-CN"/>
              </w:rPr>
              <w:t>维修施工项目</w:t>
            </w:r>
            <w:r>
              <w:rPr>
                <w:rFonts w:hint="eastAsia" w:ascii="宋体" w:hAnsi="宋体" w:eastAsia="宋体" w:cs="宋体"/>
                <w:color w:val="auto"/>
                <w:szCs w:val="21"/>
                <w:highlight w:val="none"/>
              </w:rPr>
              <w:t>的项目经理（含副职）或项目总工的，每提供一个</w:t>
            </w:r>
            <w:r>
              <w:rPr>
                <w:rFonts w:hint="eastAsia"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rPr>
              <w:t>得</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分，本项最多得</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分。</w:t>
            </w:r>
          </w:p>
          <w:p w14:paraId="036CB5BF">
            <w:pPr>
              <w:snapToGrid w:val="0"/>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（3）项目总工自</w:t>
            </w:r>
            <w:r>
              <w:rPr>
                <w:rFonts w:hint="eastAsia" w:ascii="宋体" w:hAnsi="宋体" w:eastAsia="宋体" w:cs="宋体"/>
                <w:color w:val="auto"/>
                <w:highlight w:val="none"/>
              </w:rPr>
              <w:t>2023年1月1日</w:t>
            </w:r>
            <w:r>
              <w:rPr>
                <w:rFonts w:hint="eastAsia" w:ascii="宋体" w:hAnsi="宋体" w:eastAsia="宋体" w:cs="宋体"/>
                <w:color w:val="auto"/>
                <w:szCs w:val="21"/>
                <w:highlight w:val="none"/>
              </w:rPr>
              <w:t>以来担任过通航建筑物新建、改扩建或者</w:t>
            </w:r>
            <w:r>
              <w:rPr>
                <w:rFonts w:hint="eastAsia" w:ascii="宋体" w:hAnsi="宋体" w:eastAsia="宋体" w:cs="宋体"/>
                <w:color w:val="auto"/>
                <w:szCs w:val="21"/>
                <w:highlight w:val="none"/>
                <w:lang w:eastAsia="zh-CN"/>
              </w:rPr>
              <w:t>维修施工项目</w:t>
            </w:r>
            <w:r>
              <w:rPr>
                <w:rFonts w:hint="eastAsia" w:ascii="宋体" w:hAnsi="宋体" w:eastAsia="宋体" w:cs="宋体"/>
                <w:color w:val="auto"/>
                <w:szCs w:val="21"/>
                <w:highlight w:val="none"/>
              </w:rPr>
              <w:t>的项目经理（含副职）或项目总工的，每提供一个</w:t>
            </w:r>
            <w:r>
              <w:rPr>
                <w:rFonts w:hint="eastAsia"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rPr>
              <w:t>得</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分，本项最多得</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分。</w:t>
            </w:r>
          </w:p>
          <w:p w14:paraId="7B93A409">
            <w:pPr>
              <w:snapToGrid w:val="0"/>
              <w:spacing w:line="3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注：</w:t>
            </w:r>
          </w:p>
          <w:p w14:paraId="7D5E89A3">
            <w:pPr>
              <w:snapToGrid w:val="0"/>
              <w:spacing w:line="300" w:lineRule="exac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①</w:t>
            </w:r>
            <w:r>
              <w:rPr>
                <w:rFonts w:hint="eastAsia" w:ascii="宋体" w:hAnsi="宋体" w:eastAsia="宋体" w:cs="宋体"/>
                <w:b/>
                <w:bCs/>
                <w:color w:val="auto"/>
                <w:szCs w:val="21"/>
                <w:highlight w:val="none"/>
              </w:rPr>
              <w:t>须提供人员</w:t>
            </w:r>
            <w:r>
              <w:rPr>
                <w:rFonts w:hint="eastAsia" w:ascii="宋体" w:hAnsi="宋体" w:eastAsia="宋体" w:cs="宋体"/>
                <w:b/>
                <w:bCs/>
                <w:color w:val="auto"/>
                <w:szCs w:val="21"/>
                <w:highlight w:val="none"/>
                <w:lang w:val="en-US" w:eastAsia="zh-CN"/>
              </w:rPr>
              <w:t>有效的</w:t>
            </w:r>
            <w:r>
              <w:rPr>
                <w:rFonts w:hint="eastAsia" w:ascii="宋体" w:hAnsi="宋体" w:eastAsia="宋体" w:cs="宋体"/>
                <w:b/>
                <w:bCs/>
                <w:color w:val="auto"/>
                <w:szCs w:val="21"/>
                <w:highlight w:val="none"/>
              </w:rPr>
              <w:t>证书扫描件</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人员业绩须同时提供合同</w:t>
            </w:r>
            <w:r>
              <w:rPr>
                <w:rFonts w:hint="eastAsia" w:ascii="宋体" w:hAnsi="宋体" w:eastAsia="宋体" w:cs="宋体"/>
                <w:b/>
                <w:bCs/>
                <w:color w:val="auto"/>
                <w:szCs w:val="21"/>
                <w:highlight w:val="none"/>
                <w:lang w:val="en-US" w:eastAsia="zh-CN"/>
              </w:rPr>
              <w:t>和</w:t>
            </w:r>
            <w:r>
              <w:rPr>
                <w:rFonts w:hint="eastAsia" w:ascii="宋体" w:hAnsi="宋体" w:eastAsia="宋体" w:cs="宋体"/>
                <w:b/>
                <w:bCs/>
                <w:color w:val="auto"/>
                <w:szCs w:val="21"/>
                <w:highlight w:val="none"/>
              </w:rPr>
              <w:t>交/竣工验收证明材料扫描件</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业绩时间以交/竣工验收时间为准</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证明</w:t>
            </w:r>
            <w:r>
              <w:rPr>
                <w:rFonts w:hint="eastAsia" w:ascii="宋体" w:hAnsi="宋体" w:eastAsia="宋体" w:cs="宋体"/>
                <w:b/>
                <w:bCs/>
                <w:color w:val="auto"/>
                <w:szCs w:val="21"/>
                <w:highlight w:val="none"/>
                <w:lang w:val="en-US" w:eastAsia="zh-CN"/>
              </w:rPr>
              <w:t>材</w:t>
            </w:r>
            <w:r>
              <w:rPr>
                <w:rFonts w:hint="eastAsia" w:ascii="宋体" w:hAnsi="宋体" w:eastAsia="宋体" w:cs="宋体"/>
                <w:b/>
                <w:bCs/>
                <w:color w:val="auto"/>
                <w:szCs w:val="21"/>
                <w:highlight w:val="none"/>
              </w:rPr>
              <w:t>料须能体现人员职务信息，若上述</w:t>
            </w:r>
            <w:r>
              <w:rPr>
                <w:rFonts w:hint="eastAsia" w:ascii="宋体" w:hAnsi="宋体" w:eastAsia="宋体" w:cs="宋体"/>
                <w:b/>
                <w:bCs/>
                <w:color w:val="auto"/>
                <w:szCs w:val="21"/>
                <w:highlight w:val="none"/>
                <w:lang w:val="en-US" w:eastAsia="zh-CN"/>
              </w:rPr>
              <w:t>材料</w:t>
            </w:r>
            <w:r>
              <w:rPr>
                <w:rFonts w:hint="eastAsia" w:ascii="宋体" w:hAnsi="宋体" w:eastAsia="宋体" w:cs="宋体"/>
                <w:b/>
                <w:bCs/>
                <w:color w:val="auto"/>
                <w:szCs w:val="21"/>
                <w:highlight w:val="none"/>
              </w:rPr>
              <w:t>不能体现相关信息，则需提供发包人出具的任职证明，否则不予认可</w:t>
            </w:r>
            <w:r>
              <w:rPr>
                <w:rFonts w:hint="eastAsia" w:ascii="宋体" w:hAnsi="宋体" w:eastAsia="宋体" w:cs="宋体"/>
                <w:b/>
                <w:bCs/>
                <w:color w:val="auto"/>
                <w:szCs w:val="21"/>
                <w:highlight w:val="none"/>
                <w:lang w:eastAsia="zh-CN"/>
              </w:rPr>
              <w:t>）、投标截止时间前六个月内任意一个月投标人为其缴纳的社保证明</w:t>
            </w:r>
            <w:r>
              <w:rPr>
                <w:rFonts w:hint="eastAsia" w:ascii="宋体" w:hAnsi="宋体" w:eastAsia="宋体" w:cs="宋体"/>
                <w:b/>
                <w:bCs/>
                <w:color w:val="auto"/>
                <w:szCs w:val="21"/>
                <w:highlight w:val="none"/>
              </w:rPr>
              <w:t>。未提供不得分</w:t>
            </w:r>
            <w:r>
              <w:rPr>
                <w:rFonts w:hint="eastAsia" w:ascii="宋体" w:hAnsi="宋体" w:eastAsia="宋体" w:cs="宋体"/>
                <w:b/>
                <w:bCs/>
                <w:color w:val="auto"/>
                <w:szCs w:val="21"/>
                <w:highlight w:val="none"/>
                <w:lang w:eastAsia="zh-CN"/>
              </w:rPr>
              <w:t>。</w:t>
            </w:r>
          </w:p>
          <w:p w14:paraId="4C74F360">
            <w:pPr>
              <w:snapToGrid w:val="0"/>
              <w:spacing w:line="300" w:lineRule="exact"/>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Cs w:val="21"/>
                <w:highlight w:val="none"/>
                <w:lang w:eastAsia="zh-CN"/>
              </w:rPr>
              <w:t>②项目经理、项目总工业绩与企业业绩可重复加分。</w:t>
            </w:r>
          </w:p>
        </w:tc>
        <w:tc>
          <w:tcPr>
            <w:tcW w:w="900" w:type="dxa"/>
            <w:tcBorders>
              <w:top w:val="single" w:color="auto" w:sz="4" w:space="0"/>
              <w:left w:val="nil"/>
              <w:bottom w:val="single" w:color="auto" w:sz="4" w:space="0"/>
              <w:right w:val="single" w:color="auto" w:sz="4" w:space="0"/>
            </w:tcBorders>
            <w:noWrap w:val="0"/>
            <w:vAlign w:val="center"/>
          </w:tcPr>
          <w:p w14:paraId="4B83DE6E">
            <w:pPr>
              <w:adjustRightInd w:val="0"/>
              <w:snapToGrid w:val="0"/>
              <w:jc w:val="center"/>
              <w:rPr>
                <w:rFonts w:hint="default" w:ascii="宋体" w:hAnsi="宋体" w:eastAsia="宋体" w:cs="宋体"/>
                <w:color w:val="auto"/>
                <w:kern w:val="2"/>
                <w:sz w:val="21"/>
                <w:highlight w:val="none"/>
                <w:lang w:val="en-US" w:eastAsia="zh-CN" w:bidi="ar-SA"/>
              </w:rPr>
            </w:pPr>
            <w:r>
              <w:rPr>
                <w:rFonts w:hint="eastAsia" w:ascii="宋体" w:hAnsi="宋体" w:eastAsia="宋体" w:cs="宋体"/>
                <w:color w:val="auto"/>
                <w:highlight w:val="none"/>
                <w:lang w:val="en-US" w:eastAsia="zh-CN"/>
              </w:rPr>
              <w:t>15</w:t>
            </w:r>
          </w:p>
        </w:tc>
      </w:tr>
      <w:tr w14:paraId="0C207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565" w:type="dxa"/>
            <w:vMerge w:val="restart"/>
            <w:tcBorders>
              <w:left w:val="single" w:color="auto" w:sz="4" w:space="0"/>
              <w:right w:val="single" w:color="auto" w:sz="4" w:space="0"/>
            </w:tcBorders>
            <w:noWrap w:val="0"/>
            <w:vAlign w:val="center"/>
          </w:tcPr>
          <w:p w14:paraId="078EAB8A">
            <w:pPr>
              <w:adjustRightInd w:val="0"/>
              <w:snapToGrid w:val="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3</w:t>
            </w:r>
          </w:p>
        </w:tc>
        <w:tc>
          <w:tcPr>
            <w:tcW w:w="998" w:type="dxa"/>
            <w:vMerge w:val="restart"/>
            <w:noWrap w:val="0"/>
            <w:vAlign w:val="center"/>
          </w:tcPr>
          <w:p w14:paraId="20B22CC7">
            <w:pPr>
              <w:adjustRightInd w:val="0"/>
              <w:snapToGrid w:val="0"/>
              <w:jc w:val="center"/>
              <w:rPr>
                <w:rFonts w:hint="eastAsia" w:ascii="宋体" w:hAnsi="宋体" w:eastAsia="宋体" w:cs="宋体"/>
                <w:color w:val="auto"/>
                <w:highlight w:val="none"/>
              </w:rPr>
            </w:pPr>
            <w:r>
              <w:rPr>
                <w:rFonts w:hint="eastAsia" w:ascii="宋体" w:hAnsi="宋体" w:eastAsia="宋体" w:cs="宋体"/>
                <w:color w:val="auto"/>
                <w:highlight w:val="none"/>
              </w:rPr>
              <w:t>技术部分（</w:t>
            </w:r>
            <w:r>
              <w:rPr>
                <w:rFonts w:hint="eastAsia" w:ascii="宋体" w:hAnsi="宋体" w:eastAsia="宋体" w:cs="宋体"/>
                <w:color w:val="auto"/>
                <w:highlight w:val="none"/>
                <w:lang w:val="en-US" w:eastAsia="zh-CN"/>
              </w:rPr>
              <w:t>40</w:t>
            </w:r>
            <w:r>
              <w:rPr>
                <w:rFonts w:hint="eastAsia" w:ascii="宋体" w:hAnsi="宋体" w:eastAsia="宋体" w:cs="宋体"/>
                <w:color w:val="auto"/>
                <w:highlight w:val="none"/>
              </w:rPr>
              <w:t>分）</w:t>
            </w:r>
          </w:p>
        </w:tc>
        <w:tc>
          <w:tcPr>
            <w:tcW w:w="999" w:type="dxa"/>
            <w:noWrap w:val="0"/>
            <w:vAlign w:val="center"/>
          </w:tcPr>
          <w:p w14:paraId="6B31C569">
            <w:pPr>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总体施工方案</w:t>
            </w:r>
          </w:p>
        </w:tc>
        <w:tc>
          <w:tcPr>
            <w:tcW w:w="4956" w:type="dxa"/>
            <w:noWrap w:val="0"/>
            <w:vAlign w:val="center"/>
          </w:tcPr>
          <w:p w14:paraId="3A89061F">
            <w:pPr>
              <w:autoSpaceDE w:val="0"/>
              <w:autoSpaceDN w:val="0"/>
              <w:spacing w:line="380" w:lineRule="exact"/>
              <w:rPr>
                <w:rFonts w:hint="eastAsia" w:ascii="宋体" w:hAnsi="宋体" w:eastAsia="宋体" w:cs="宋体"/>
                <w:color w:val="auto"/>
                <w:highlight w:val="none"/>
              </w:rPr>
            </w:pPr>
            <w:r>
              <w:rPr>
                <w:rFonts w:hint="eastAsia" w:ascii="宋体" w:hAnsi="宋体" w:eastAsia="宋体" w:cs="宋体"/>
                <w:bCs/>
                <w:color w:val="auto"/>
                <w:szCs w:val="21"/>
                <w:highlight w:val="none"/>
              </w:rPr>
              <w:t>根据</w:t>
            </w:r>
            <w:r>
              <w:rPr>
                <w:rFonts w:hint="eastAsia" w:ascii="宋体" w:hAnsi="宋体" w:eastAsia="宋体" w:cs="宋体"/>
                <w:bCs/>
                <w:color w:val="auto"/>
                <w:szCs w:val="21"/>
                <w:highlight w:val="none"/>
                <w:lang w:val="en-US" w:eastAsia="zh-CN"/>
              </w:rPr>
              <w:t>总体</w:t>
            </w:r>
            <w:r>
              <w:rPr>
                <w:rFonts w:hint="eastAsia" w:ascii="宋体" w:hAnsi="宋体" w:eastAsia="宋体" w:cs="宋体"/>
                <w:bCs/>
                <w:color w:val="auto"/>
                <w:szCs w:val="21"/>
                <w:highlight w:val="none"/>
              </w:rPr>
              <w:t>施工方案内容是否齐全、是否符合本工程的特点和实际情况进行评价：</w:t>
            </w:r>
          </w:p>
          <w:p w14:paraId="1B120229">
            <w:pPr>
              <w:autoSpaceDE w:val="0"/>
              <w:autoSpaceDN w:val="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总体施工组织、施工方案逻辑清晰、全面、准确、有可操作性、</w:t>
            </w:r>
            <w:r>
              <w:rPr>
                <w:rFonts w:hint="eastAsia" w:ascii="宋体" w:hAnsi="宋体" w:eastAsia="宋体" w:cs="宋体"/>
                <w:color w:val="auto"/>
                <w:szCs w:val="21"/>
                <w:highlight w:val="none"/>
                <w:lang w:eastAsia="zh-CN"/>
              </w:rPr>
              <w:t>可执行性，</w:t>
            </w:r>
            <w:r>
              <w:rPr>
                <w:rFonts w:hint="eastAsia" w:ascii="宋体" w:hAnsi="宋体" w:eastAsia="宋体" w:cs="宋体"/>
                <w:color w:val="auto"/>
                <w:szCs w:val="21"/>
                <w:highlight w:val="none"/>
                <w:lang w:val="en-US" w:eastAsia="zh-CN"/>
              </w:rPr>
              <w:t>同时</w:t>
            </w:r>
            <w:r>
              <w:rPr>
                <w:rFonts w:hint="eastAsia" w:ascii="宋体" w:hAnsi="宋体" w:eastAsia="宋体" w:cs="宋体"/>
                <w:color w:val="auto"/>
                <w:szCs w:val="21"/>
                <w:highlight w:val="none"/>
                <w:lang w:eastAsia="zh-CN"/>
              </w:rPr>
              <w:t>结合施工方法（含顺序）、人力资源、主要施工机具，拟采取对策和解决措施细致、扎实、有效</w:t>
            </w:r>
            <w:r>
              <w:rPr>
                <w:rFonts w:hint="eastAsia" w:ascii="宋体" w:hAnsi="宋体" w:eastAsia="宋体" w:cs="宋体"/>
                <w:color w:val="auto"/>
                <w:szCs w:val="21"/>
                <w:highlight w:val="none"/>
                <w:lang w:val="en-US" w:eastAsia="zh-CN"/>
              </w:rPr>
              <w:t>且</w:t>
            </w:r>
            <w:r>
              <w:rPr>
                <w:rFonts w:hint="eastAsia" w:ascii="宋体" w:hAnsi="宋体" w:eastAsia="宋体" w:cs="宋体"/>
                <w:color w:val="auto"/>
                <w:szCs w:val="21"/>
                <w:highlight w:val="none"/>
              </w:rPr>
              <w:t>内容完整且详实，优于项目需求的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得</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rPr>
              <w:t>分；</w:t>
            </w:r>
          </w:p>
          <w:p w14:paraId="655100B6">
            <w:pPr>
              <w:autoSpaceDE w:val="0"/>
              <w:autoSpaceDN w:val="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提供</w:t>
            </w:r>
            <w:r>
              <w:rPr>
                <w:rFonts w:hint="eastAsia" w:ascii="宋体" w:hAnsi="宋体" w:eastAsia="宋体" w:cs="宋体"/>
                <w:color w:val="auto"/>
                <w:szCs w:val="21"/>
                <w:highlight w:val="none"/>
                <w:lang w:val="en-US" w:eastAsia="zh-CN"/>
              </w:rPr>
              <w:t>总体</w:t>
            </w:r>
            <w:r>
              <w:rPr>
                <w:rFonts w:hint="eastAsia" w:ascii="宋体" w:hAnsi="宋体" w:eastAsia="宋体" w:cs="宋体"/>
                <w:color w:val="auto"/>
                <w:szCs w:val="21"/>
                <w:highlight w:val="none"/>
              </w:rPr>
              <w:t>施工方案，</w:t>
            </w:r>
            <w:r>
              <w:rPr>
                <w:rFonts w:hint="eastAsia" w:ascii="宋体" w:hAnsi="宋体" w:eastAsia="宋体" w:cs="宋体"/>
                <w:color w:val="auto"/>
                <w:szCs w:val="21"/>
                <w:highlight w:val="none"/>
                <w:lang w:val="en-US" w:eastAsia="zh-CN"/>
              </w:rPr>
              <w:t>符合项目需求的，</w:t>
            </w:r>
            <w:r>
              <w:rPr>
                <w:rFonts w:hint="eastAsia" w:ascii="宋体" w:hAnsi="宋体" w:eastAsia="宋体" w:cs="宋体"/>
                <w:color w:val="auto"/>
                <w:szCs w:val="21"/>
                <w:highlight w:val="none"/>
              </w:rPr>
              <w:t>得</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分；</w:t>
            </w:r>
          </w:p>
          <w:p w14:paraId="69851CF7">
            <w:pPr>
              <w:autoSpaceDE w:val="0"/>
              <w:autoSpaceDN w:val="0"/>
              <w:spacing w:line="3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提供</w:t>
            </w:r>
            <w:r>
              <w:rPr>
                <w:rFonts w:hint="eastAsia" w:ascii="宋体" w:hAnsi="宋体" w:eastAsia="宋体" w:cs="宋体"/>
                <w:color w:val="auto"/>
                <w:szCs w:val="21"/>
                <w:highlight w:val="none"/>
              </w:rPr>
              <w:t>总体施工方案</w:t>
            </w:r>
            <w:r>
              <w:rPr>
                <w:rFonts w:hint="eastAsia" w:ascii="宋体" w:hAnsi="宋体" w:eastAsia="宋体" w:cs="宋体"/>
                <w:color w:val="auto"/>
                <w:szCs w:val="21"/>
                <w:highlight w:val="none"/>
                <w:lang w:val="en-US" w:eastAsia="zh-CN"/>
              </w:rPr>
              <w:t>但内容不完整的，基本符合项目需求的得4分；</w:t>
            </w:r>
          </w:p>
          <w:p w14:paraId="5A8A2B6E">
            <w:pPr>
              <w:autoSpaceDE w:val="0"/>
              <w:autoSpaceDN w:val="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未提供的不得分。 </w:t>
            </w:r>
          </w:p>
        </w:tc>
        <w:tc>
          <w:tcPr>
            <w:tcW w:w="900" w:type="dxa"/>
            <w:noWrap w:val="0"/>
            <w:vAlign w:val="center"/>
          </w:tcPr>
          <w:p w14:paraId="13E4E5BC">
            <w:pPr>
              <w:adjustRightInd w:val="0"/>
              <w:snapToGrid w:val="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10</w:t>
            </w:r>
          </w:p>
        </w:tc>
      </w:tr>
      <w:tr w14:paraId="78683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565" w:type="dxa"/>
            <w:vMerge w:val="continue"/>
            <w:tcBorders>
              <w:left w:val="single" w:color="auto" w:sz="4" w:space="0"/>
              <w:right w:val="single" w:color="auto" w:sz="4" w:space="0"/>
            </w:tcBorders>
            <w:noWrap w:val="0"/>
            <w:vAlign w:val="center"/>
          </w:tcPr>
          <w:p w14:paraId="405EB651">
            <w:pPr>
              <w:adjustRightInd w:val="0"/>
              <w:snapToGrid w:val="0"/>
              <w:jc w:val="center"/>
              <w:rPr>
                <w:rFonts w:hint="eastAsia" w:ascii="宋体" w:hAnsi="宋体" w:eastAsia="宋体" w:cs="宋体"/>
                <w:color w:val="auto"/>
                <w:highlight w:val="none"/>
              </w:rPr>
            </w:pPr>
          </w:p>
        </w:tc>
        <w:tc>
          <w:tcPr>
            <w:tcW w:w="998" w:type="dxa"/>
            <w:vMerge w:val="continue"/>
            <w:noWrap w:val="0"/>
            <w:vAlign w:val="center"/>
          </w:tcPr>
          <w:p w14:paraId="1FB2CEAB">
            <w:pPr>
              <w:adjustRightInd w:val="0"/>
              <w:snapToGrid w:val="0"/>
              <w:jc w:val="center"/>
              <w:rPr>
                <w:rFonts w:hint="eastAsia" w:ascii="宋体" w:hAnsi="宋体" w:eastAsia="宋体" w:cs="宋体"/>
                <w:color w:val="auto"/>
                <w:highlight w:val="none"/>
              </w:rPr>
            </w:pPr>
          </w:p>
        </w:tc>
        <w:tc>
          <w:tcPr>
            <w:tcW w:w="999" w:type="dxa"/>
            <w:noWrap w:val="0"/>
            <w:vAlign w:val="center"/>
          </w:tcPr>
          <w:p w14:paraId="3C445A14">
            <w:pPr>
              <w:adjustRightInd w:val="0"/>
              <w:snapToGrid w:val="0"/>
              <w:spacing w:line="360" w:lineRule="exact"/>
              <w:ind w:right="-58" w:rightChars="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重</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难点分析</w:t>
            </w:r>
            <w:r>
              <w:rPr>
                <w:rFonts w:hint="eastAsia" w:ascii="宋体" w:hAnsi="宋体" w:eastAsia="宋体" w:cs="宋体"/>
                <w:color w:val="auto"/>
                <w:szCs w:val="21"/>
                <w:highlight w:val="none"/>
                <w:lang w:val="en-US" w:eastAsia="zh-CN"/>
              </w:rPr>
              <w:t>及危大工程方案</w:t>
            </w:r>
          </w:p>
        </w:tc>
        <w:tc>
          <w:tcPr>
            <w:tcW w:w="4956" w:type="dxa"/>
            <w:noWrap w:val="0"/>
            <w:vAlign w:val="center"/>
          </w:tcPr>
          <w:p w14:paraId="00410394">
            <w:pPr>
              <w:tabs>
                <w:tab w:val="left" w:pos="0"/>
              </w:tabs>
              <w:wordWrap w:val="0"/>
              <w:adjustRightInd w:val="0"/>
              <w:snapToGrid w:val="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根据投标人提供的</w:t>
            </w:r>
            <w:r>
              <w:rPr>
                <w:rFonts w:hint="eastAsia" w:ascii="宋体" w:hAnsi="宋体" w:eastAsia="宋体" w:cs="宋体"/>
                <w:bCs/>
                <w:color w:val="auto"/>
                <w:szCs w:val="21"/>
                <w:highlight w:val="none"/>
              </w:rPr>
              <w:t>重点(关键)和难点工程的分析及</w:t>
            </w:r>
            <w:r>
              <w:rPr>
                <w:rFonts w:hint="eastAsia" w:ascii="宋体" w:hAnsi="宋体" w:eastAsia="宋体" w:cs="宋体"/>
                <w:bCs/>
                <w:color w:val="auto"/>
                <w:szCs w:val="21"/>
                <w:highlight w:val="none"/>
                <w:lang w:val="en-US" w:eastAsia="zh-CN"/>
              </w:rPr>
              <w:t>危大工程</w:t>
            </w:r>
            <w:r>
              <w:rPr>
                <w:rFonts w:hint="eastAsia" w:ascii="宋体" w:hAnsi="宋体" w:eastAsia="宋体" w:cs="宋体"/>
                <w:bCs/>
                <w:color w:val="auto"/>
                <w:szCs w:val="21"/>
                <w:highlight w:val="none"/>
              </w:rPr>
              <w:t>所采取的方案、措施是否可行、是否有较详细的施工工艺流程图</w:t>
            </w:r>
            <w:r>
              <w:rPr>
                <w:rFonts w:hint="eastAsia" w:ascii="宋体" w:hAnsi="宋体" w:eastAsia="宋体" w:cs="宋体"/>
                <w:bCs/>
                <w:color w:val="auto"/>
                <w:szCs w:val="21"/>
                <w:highlight w:val="none"/>
                <w:lang w:val="en-US" w:eastAsia="zh-CN"/>
              </w:rPr>
              <w:t>进行评价：</w:t>
            </w:r>
          </w:p>
          <w:p w14:paraId="4C68B3A2">
            <w:pPr>
              <w:tabs>
                <w:tab w:val="left" w:pos="0"/>
              </w:tabs>
              <w:wordWrap w:val="0"/>
              <w:adjustRightInd w:val="0"/>
              <w:snapToGrid w:val="0"/>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根</w:t>
            </w:r>
            <w:r>
              <w:rPr>
                <w:rFonts w:hint="eastAsia" w:ascii="宋体" w:hAnsi="宋体" w:eastAsia="宋体" w:cs="宋体"/>
                <w:color w:val="auto"/>
                <w:szCs w:val="21"/>
                <w:highlight w:val="none"/>
              </w:rPr>
              <w:t>据工程项目特点、</w:t>
            </w:r>
            <w:r>
              <w:rPr>
                <w:rFonts w:hint="eastAsia" w:ascii="宋体" w:hAnsi="宋体" w:eastAsia="宋体" w:cs="宋体"/>
                <w:color w:val="auto"/>
                <w:szCs w:val="21"/>
                <w:highlight w:val="none"/>
                <w:lang w:val="en-US" w:eastAsia="zh-CN"/>
              </w:rPr>
              <w:t>投标人</w:t>
            </w:r>
            <w:r>
              <w:rPr>
                <w:rFonts w:hint="eastAsia" w:ascii="宋体" w:hAnsi="宋体" w:eastAsia="宋体" w:cs="宋体"/>
                <w:color w:val="auto"/>
                <w:szCs w:val="21"/>
                <w:highlight w:val="none"/>
              </w:rPr>
              <w:t>施工能力和施工条件分析并提出相应的对策和解决措施。对项目存在的重点难点问题进行分析，</w:t>
            </w:r>
            <w:r>
              <w:rPr>
                <w:rFonts w:hint="eastAsia" w:ascii="宋体" w:hAnsi="宋体" w:eastAsia="宋体" w:cs="宋体"/>
                <w:color w:val="auto"/>
                <w:szCs w:val="21"/>
                <w:highlight w:val="none"/>
                <w:lang w:val="en-US" w:eastAsia="zh-CN"/>
              </w:rPr>
              <w:t>对危大工程</w:t>
            </w:r>
            <w:r>
              <w:rPr>
                <w:rFonts w:hint="eastAsia" w:ascii="宋体" w:hAnsi="宋体" w:eastAsia="宋体" w:cs="宋体"/>
                <w:color w:val="auto"/>
                <w:szCs w:val="21"/>
                <w:highlight w:val="none"/>
              </w:rPr>
              <w:t>提出有效解决方案及合理化建议，重点难点分析逻辑清晰、全面、准确，以及拟采取对策和解决措施细致、扎实、有效，具有可执行性、可操作性和相对合理性，超出项目预期</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且</w:t>
            </w:r>
            <w:r>
              <w:rPr>
                <w:rFonts w:hint="eastAsia" w:ascii="宋体" w:hAnsi="宋体" w:eastAsia="宋体" w:cs="宋体"/>
                <w:color w:val="auto"/>
                <w:szCs w:val="21"/>
                <w:highlight w:val="none"/>
              </w:rPr>
              <w:t>优于项目需求的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得15分；</w:t>
            </w:r>
          </w:p>
          <w:p w14:paraId="5831BCA1">
            <w:pPr>
              <w:tabs>
                <w:tab w:val="left" w:pos="0"/>
              </w:tabs>
              <w:wordWrap w:val="0"/>
              <w:adjustRightInd w:val="0"/>
              <w:snapToGrid w:val="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color w:val="auto"/>
                <w:szCs w:val="21"/>
                <w:highlight w:val="none"/>
                <w:lang w:val="en-US" w:eastAsia="zh-CN"/>
              </w:rPr>
              <w:t>提供</w:t>
            </w:r>
            <w:r>
              <w:rPr>
                <w:rFonts w:hint="eastAsia" w:ascii="宋体" w:hAnsi="宋体" w:eastAsia="宋体" w:cs="宋体"/>
                <w:bCs/>
                <w:color w:val="auto"/>
                <w:szCs w:val="21"/>
                <w:highlight w:val="none"/>
                <w:lang w:val="en-US" w:eastAsia="zh-CN"/>
              </w:rPr>
              <w:t>重难点分析、方案及危大工程</w:t>
            </w:r>
            <w:r>
              <w:rPr>
                <w:rFonts w:hint="eastAsia" w:ascii="宋体" w:hAnsi="宋体" w:eastAsia="宋体" w:cs="宋体"/>
                <w:bCs/>
                <w:color w:val="auto"/>
                <w:szCs w:val="21"/>
                <w:highlight w:val="none"/>
              </w:rPr>
              <w:t>所采取的方案</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符合项目需求的</w:t>
            </w:r>
            <w:r>
              <w:rPr>
                <w:rFonts w:hint="eastAsia" w:ascii="宋体" w:hAnsi="宋体" w:eastAsia="宋体" w:cs="宋体"/>
                <w:bCs/>
                <w:color w:val="auto"/>
                <w:szCs w:val="21"/>
                <w:highlight w:val="none"/>
                <w:lang w:val="en-US" w:eastAsia="zh-CN"/>
              </w:rPr>
              <w:t>，得12分；</w:t>
            </w:r>
          </w:p>
          <w:p w14:paraId="3B400E79">
            <w:pPr>
              <w:tabs>
                <w:tab w:val="left" w:pos="0"/>
              </w:tabs>
              <w:wordWrap w:val="0"/>
              <w:adjustRightInd w:val="0"/>
              <w:snapToGrid w:val="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提供重难点分析及危大工程</w:t>
            </w:r>
            <w:r>
              <w:rPr>
                <w:rFonts w:hint="eastAsia" w:ascii="宋体" w:hAnsi="宋体" w:eastAsia="宋体" w:cs="宋体"/>
                <w:bCs/>
                <w:color w:val="auto"/>
                <w:szCs w:val="21"/>
                <w:highlight w:val="none"/>
              </w:rPr>
              <w:t>方案</w:t>
            </w:r>
            <w:r>
              <w:rPr>
                <w:rFonts w:hint="eastAsia" w:ascii="宋体" w:hAnsi="宋体" w:eastAsia="宋体" w:cs="宋体"/>
                <w:bCs/>
                <w:color w:val="auto"/>
                <w:szCs w:val="21"/>
                <w:highlight w:val="none"/>
                <w:lang w:val="en-US" w:eastAsia="zh-CN"/>
              </w:rPr>
              <w:t>，</w:t>
            </w:r>
            <w:r>
              <w:rPr>
                <w:rFonts w:hint="eastAsia" w:ascii="宋体" w:hAnsi="宋体" w:eastAsia="宋体" w:cs="宋体"/>
                <w:color w:val="auto"/>
                <w:szCs w:val="21"/>
                <w:highlight w:val="none"/>
                <w:lang w:val="en-US" w:eastAsia="zh-CN"/>
              </w:rPr>
              <w:t>但内容不完整的，基本符合项目需求的得9分；</w:t>
            </w:r>
          </w:p>
          <w:p w14:paraId="58CF5CB6">
            <w:pPr>
              <w:tabs>
                <w:tab w:val="left" w:pos="0"/>
              </w:tabs>
              <w:wordWrap w:val="0"/>
              <w:adjustRightInd w:val="0"/>
              <w:snapToGrid w:val="0"/>
              <w:spacing w:line="400" w:lineRule="exact"/>
              <w:rPr>
                <w:rFonts w:hint="eastAsia" w:ascii="宋体" w:hAnsi="宋体" w:eastAsia="宋体" w:cs="宋体"/>
                <w:color w:val="auto"/>
                <w:szCs w:val="21"/>
                <w:highlight w:val="none"/>
              </w:rPr>
            </w:pPr>
            <w:r>
              <w:rPr>
                <w:rFonts w:hint="eastAsia" w:ascii="宋体" w:hAnsi="宋体" w:eastAsia="宋体" w:cs="宋体"/>
                <w:bCs/>
                <w:color w:val="auto"/>
                <w:szCs w:val="21"/>
                <w:highlight w:val="none"/>
                <w:lang w:val="en-US" w:eastAsia="zh-CN"/>
              </w:rPr>
              <w:t>未提供的不得分。</w:t>
            </w:r>
          </w:p>
        </w:tc>
        <w:tc>
          <w:tcPr>
            <w:tcW w:w="900" w:type="dxa"/>
            <w:noWrap w:val="0"/>
            <w:vAlign w:val="center"/>
          </w:tcPr>
          <w:p w14:paraId="3145D027">
            <w:pPr>
              <w:adjustRightInd w:val="0"/>
              <w:snapToGrid w:val="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15</w:t>
            </w:r>
          </w:p>
        </w:tc>
      </w:tr>
      <w:tr w14:paraId="3C4AD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565" w:type="dxa"/>
            <w:vMerge w:val="continue"/>
            <w:tcBorders>
              <w:left w:val="single" w:color="auto" w:sz="4" w:space="0"/>
              <w:right w:val="single" w:color="auto" w:sz="4" w:space="0"/>
            </w:tcBorders>
            <w:noWrap w:val="0"/>
            <w:vAlign w:val="center"/>
          </w:tcPr>
          <w:p w14:paraId="4021CAE8">
            <w:pPr>
              <w:adjustRightInd w:val="0"/>
              <w:snapToGrid w:val="0"/>
              <w:jc w:val="center"/>
              <w:rPr>
                <w:rFonts w:hint="eastAsia" w:ascii="宋体" w:hAnsi="宋体" w:eastAsia="宋体" w:cs="宋体"/>
                <w:color w:val="auto"/>
                <w:highlight w:val="none"/>
              </w:rPr>
            </w:pPr>
          </w:p>
        </w:tc>
        <w:tc>
          <w:tcPr>
            <w:tcW w:w="998" w:type="dxa"/>
            <w:vMerge w:val="continue"/>
            <w:noWrap w:val="0"/>
            <w:vAlign w:val="center"/>
          </w:tcPr>
          <w:p w14:paraId="7BD8D927">
            <w:pPr>
              <w:adjustRightInd w:val="0"/>
              <w:snapToGrid w:val="0"/>
              <w:jc w:val="center"/>
              <w:rPr>
                <w:rFonts w:hint="eastAsia" w:ascii="宋体" w:hAnsi="宋体" w:eastAsia="宋体" w:cs="宋体"/>
                <w:color w:val="auto"/>
                <w:highlight w:val="none"/>
              </w:rPr>
            </w:pPr>
          </w:p>
        </w:tc>
        <w:tc>
          <w:tcPr>
            <w:tcW w:w="999" w:type="dxa"/>
            <w:noWrap w:val="0"/>
            <w:vAlign w:val="center"/>
          </w:tcPr>
          <w:p w14:paraId="646D23CB">
            <w:pPr>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质量、进度、</w:t>
            </w:r>
            <w:r>
              <w:rPr>
                <w:rFonts w:hint="eastAsia" w:ascii="宋体" w:hAnsi="宋体" w:eastAsia="宋体" w:cs="宋体"/>
                <w:color w:val="auto"/>
                <w:szCs w:val="21"/>
                <w:highlight w:val="none"/>
                <w:lang w:val="en-US" w:eastAsia="zh-CN"/>
              </w:rPr>
              <w:t>安全、</w:t>
            </w:r>
            <w:r>
              <w:rPr>
                <w:rFonts w:hint="eastAsia" w:ascii="宋体" w:hAnsi="宋体" w:eastAsia="宋体" w:cs="宋体"/>
                <w:color w:val="auto"/>
                <w:szCs w:val="21"/>
                <w:highlight w:val="none"/>
              </w:rPr>
              <w:t>环保等措施</w:t>
            </w:r>
            <w:r>
              <w:rPr>
                <w:rFonts w:hint="eastAsia" w:ascii="宋体" w:hAnsi="宋体" w:eastAsia="宋体" w:cs="宋体"/>
                <w:color w:val="auto"/>
                <w:szCs w:val="21"/>
                <w:highlight w:val="none"/>
                <w:lang w:val="en-US" w:eastAsia="zh-CN"/>
              </w:rPr>
              <w:t>及合理化建议</w:t>
            </w:r>
          </w:p>
        </w:tc>
        <w:tc>
          <w:tcPr>
            <w:tcW w:w="4956" w:type="dxa"/>
            <w:noWrap w:val="0"/>
            <w:vAlign w:val="center"/>
          </w:tcPr>
          <w:p w14:paraId="66D610D5">
            <w:pPr>
              <w:tabs>
                <w:tab w:val="left" w:pos="0"/>
              </w:tabs>
              <w:wordWrap w:val="0"/>
              <w:adjustRightInd w:val="0"/>
              <w:snapToGrid w:val="0"/>
              <w:spacing w:line="400" w:lineRule="exact"/>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提出合理化建议的情况；对施工过程中可能出现的安全、质量问题是否有较细致的事前控制措施；是否对保证工程进度和完善的交通组织安排提出具体可靠的方案；是否考虑对环境、交通等造成影响；是否已考虑了特殊情况的影响及相关施工安排和措施；各分部、分项工程安排的前后顺序有无矛盾；工期是否满足</w:t>
            </w:r>
            <w:r>
              <w:rPr>
                <w:rFonts w:hint="eastAsia" w:ascii="宋体" w:hAnsi="宋体" w:eastAsia="宋体" w:cs="宋体"/>
                <w:bCs/>
                <w:color w:val="auto"/>
                <w:szCs w:val="21"/>
                <w:highlight w:val="none"/>
                <w:lang w:val="en-US" w:eastAsia="zh-CN"/>
              </w:rPr>
              <w:t>招标文件</w:t>
            </w:r>
            <w:r>
              <w:rPr>
                <w:rFonts w:hint="eastAsia" w:ascii="宋体" w:hAnsi="宋体" w:eastAsia="宋体" w:cs="宋体"/>
                <w:bCs/>
                <w:color w:val="auto"/>
                <w:szCs w:val="21"/>
                <w:highlight w:val="none"/>
              </w:rPr>
              <w:t>要求的总工期及是否有阶段性目标计划等方面进行评</w:t>
            </w:r>
            <w:r>
              <w:rPr>
                <w:rFonts w:hint="eastAsia" w:ascii="宋体" w:hAnsi="宋体" w:eastAsia="宋体" w:cs="宋体"/>
                <w:bCs/>
                <w:color w:val="auto"/>
                <w:szCs w:val="21"/>
                <w:highlight w:val="none"/>
                <w:lang w:val="en-US" w:eastAsia="zh-CN"/>
              </w:rPr>
              <w:t>价</w:t>
            </w:r>
            <w:r>
              <w:rPr>
                <w:rFonts w:hint="eastAsia" w:ascii="宋体" w:hAnsi="宋体" w:eastAsia="宋体" w:cs="宋体"/>
                <w:bCs/>
                <w:color w:val="auto"/>
                <w:szCs w:val="21"/>
                <w:highlight w:val="none"/>
                <w:lang w:eastAsia="zh-CN"/>
              </w:rPr>
              <w:t>：</w:t>
            </w:r>
          </w:p>
          <w:p w14:paraId="13865B2E">
            <w:pPr>
              <w:tabs>
                <w:tab w:val="left" w:pos="0"/>
              </w:tabs>
              <w:wordWrap w:val="0"/>
              <w:adjustRightInd w:val="0"/>
              <w:snapToGrid w:val="0"/>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质量、进度、安全保证措施</w:t>
            </w:r>
            <w:r>
              <w:rPr>
                <w:rFonts w:hint="eastAsia" w:ascii="宋体" w:hAnsi="宋体" w:eastAsia="宋体" w:cs="宋体"/>
                <w:bCs/>
                <w:color w:val="auto"/>
                <w:szCs w:val="21"/>
                <w:highlight w:val="none"/>
              </w:rPr>
              <w:t>证</w:t>
            </w:r>
            <w:r>
              <w:rPr>
                <w:rFonts w:hint="eastAsia" w:ascii="宋体" w:hAnsi="宋体" w:eastAsia="宋体" w:cs="宋体"/>
                <w:color w:val="auto"/>
                <w:szCs w:val="21"/>
                <w:highlight w:val="none"/>
              </w:rPr>
              <w:t>逻辑清晰、全面、准确、有可操作性、内容完整且详实</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同时</w:t>
            </w:r>
            <w:r>
              <w:rPr>
                <w:rFonts w:hint="eastAsia" w:ascii="宋体" w:hAnsi="宋体" w:eastAsia="宋体" w:cs="宋体"/>
                <w:color w:val="auto"/>
                <w:szCs w:val="21"/>
                <w:highlight w:val="none"/>
              </w:rPr>
              <w:t>有关键阶段和任务，无遗漏项，进度计划符合项目实际情况，包括资源、人力、时间等方面的合理性，进度计划是否具有弹性，能够应对项目变更或不可预见因素，</w:t>
            </w:r>
            <w:r>
              <w:rPr>
                <w:rFonts w:hint="eastAsia" w:ascii="宋体" w:hAnsi="宋体" w:eastAsia="宋体" w:cs="宋体"/>
                <w:color w:val="auto"/>
                <w:szCs w:val="21"/>
                <w:highlight w:val="none"/>
                <w:lang w:val="en-US" w:eastAsia="zh-CN"/>
              </w:rPr>
              <w:t>且</w:t>
            </w:r>
            <w:r>
              <w:rPr>
                <w:rFonts w:hint="eastAsia" w:ascii="宋体" w:hAnsi="宋体" w:eastAsia="宋体" w:cs="宋体"/>
                <w:color w:val="auto"/>
                <w:szCs w:val="21"/>
                <w:highlight w:val="none"/>
              </w:rPr>
              <w:t>优于项目需求的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得15分；</w:t>
            </w:r>
          </w:p>
          <w:p w14:paraId="0C7C5933">
            <w:pPr>
              <w:tabs>
                <w:tab w:val="left" w:pos="0"/>
              </w:tabs>
              <w:wordWrap w:val="0"/>
              <w:adjustRightInd w:val="0"/>
              <w:snapToGrid w:val="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color w:val="auto"/>
                <w:szCs w:val="21"/>
                <w:highlight w:val="none"/>
                <w:lang w:val="en-US" w:eastAsia="zh-CN"/>
              </w:rPr>
              <w:t>提供</w:t>
            </w:r>
            <w:r>
              <w:rPr>
                <w:rFonts w:hint="eastAsia" w:ascii="宋体" w:hAnsi="宋体" w:eastAsia="宋体" w:cs="宋体"/>
                <w:color w:val="auto"/>
                <w:szCs w:val="21"/>
                <w:highlight w:val="none"/>
              </w:rPr>
              <w:t>质量、进度、安全、环保等措施</w:t>
            </w:r>
            <w:r>
              <w:rPr>
                <w:rFonts w:hint="eastAsia" w:ascii="宋体" w:hAnsi="宋体" w:eastAsia="宋体" w:cs="宋体"/>
                <w:color w:val="auto"/>
                <w:szCs w:val="21"/>
                <w:highlight w:val="none"/>
                <w:lang w:val="en-US" w:eastAsia="zh-CN"/>
              </w:rPr>
              <w:t>及合理化建议</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符合项目需求的</w:t>
            </w:r>
            <w:r>
              <w:rPr>
                <w:rFonts w:hint="eastAsia" w:ascii="宋体" w:hAnsi="宋体" w:eastAsia="宋体" w:cs="宋体"/>
                <w:bCs/>
                <w:color w:val="auto"/>
                <w:szCs w:val="21"/>
                <w:highlight w:val="none"/>
                <w:lang w:val="en-US" w:eastAsia="zh-CN"/>
              </w:rPr>
              <w:t>，得12分；</w:t>
            </w:r>
          </w:p>
          <w:p w14:paraId="2BE40ECB">
            <w:pPr>
              <w:autoSpaceDE w:val="0"/>
              <w:autoSpaceDN w:val="0"/>
              <w:spacing w:line="3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提供</w:t>
            </w:r>
            <w:r>
              <w:rPr>
                <w:rFonts w:hint="eastAsia" w:ascii="宋体" w:hAnsi="宋体" w:eastAsia="宋体" w:cs="宋体"/>
                <w:color w:val="auto"/>
                <w:szCs w:val="21"/>
                <w:highlight w:val="none"/>
              </w:rPr>
              <w:t>质量、进度、安全、环保等措施</w:t>
            </w:r>
            <w:r>
              <w:rPr>
                <w:rFonts w:hint="eastAsia" w:ascii="宋体" w:hAnsi="宋体" w:eastAsia="宋体" w:cs="宋体"/>
                <w:color w:val="auto"/>
                <w:szCs w:val="21"/>
                <w:highlight w:val="none"/>
                <w:lang w:val="en-US" w:eastAsia="zh-CN"/>
              </w:rPr>
              <w:t>及合理化建议但内容不完整的，得9分；</w:t>
            </w:r>
          </w:p>
          <w:p w14:paraId="74BA8029">
            <w:pPr>
              <w:tabs>
                <w:tab w:val="left" w:pos="0"/>
              </w:tabs>
              <w:wordWrap w:val="0"/>
              <w:adjustRightInd w:val="0"/>
              <w:snapToGrid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未提供不得分。</w:t>
            </w:r>
          </w:p>
        </w:tc>
        <w:tc>
          <w:tcPr>
            <w:tcW w:w="900" w:type="dxa"/>
            <w:noWrap w:val="0"/>
            <w:vAlign w:val="center"/>
          </w:tcPr>
          <w:p w14:paraId="57D7036F">
            <w:pPr>
              <w:adjustRightInd w:val="0"/>
              <w:snapToGrid w:val="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15</w:t>
            </w:r>
          </w:p>
        </w:tc>
      </w:tr>
    </w:tbl>
    <w:p w14:paraId="1DC50D0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2"/>
          <w:highlight w:val="none"/>
        </w:rPr>
        <w:t> </w:t>
      </w:r>
    </w:p>
    <w:p w14:paraId="4CB41C7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highlight w:val="none"/>
        </w:rPr>
      </w:pPr>
      <w:r>
        <w:rPr>
          <w:rFonts w:hint="eastAsia" w:ascii="宋体" w:hAnsi="宋体" w:eastAsia="宋体" w:cs="宋体"/>
          <w:color w:val="auto"/>
          <w:sz w:val="22"/>
          <w:highlight w:val="none"/>
        </w:rPr>
        <w:t>说明：</w:t>
      </w:r>
    </w:p>
    <w:p w14:paraId="32153B2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1.所有认证、证明和业绩均以有效清晰的证明文件的扫描件为依据。</w:t>
      </w:r>
    </w:p>
    <w:p w14:paraId="7088B1E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2.小微企业价格扣除</w:t>
      </w:r>
    </w:p>
    <w:p w14:paraId="0EA7D9F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2.1对于专门面向中小企业或小型、微型企业的项目，只面向中小企业或小型、微型企业采购。对于非专门面向中小企业的项目，对小型和微型企业的价格给予3%的扣除，用扣除后的价格参与评审。</w:t>
      </w:r>
    </w:p>
    <w:p w14:paraId="70D03D0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2.2大中型企业和其他自然人、法人或者其他组织与小型、微型企业组成联合体共同参加</w:t>
      </w:r>
      <w:r>
        <w:rPr>
          <w:rFonts w:hint="eastAsia" w:ascii="宋体" w:hAnsi="宋体" w:eastAsia="宋体" w:cs="宋体"/>
          <w:color w:val="auto"/>
          <w:sz w:val="21"/>
          <w:highlight w:val="none"/>
          <w:lang w:eastAsia="zh-CN"/>
        </w:rPr>
        <w:t>投标</w:t>
      </w:r>
      <w:r>
        <w:rPr>
          <w:rFonts w:hint="eastAsia" w:ascii="宋体" w:hAnsi="宋体" w:eastAsia="宋体" w:cs="宋体"/>
          <w:color w:val="auto"/>
          <w:sz w:val="21"/>
          <w:highlight w:val="none"/>
        </w:rPr>
        <w:t>，如果联合协议中约定，小型、微型企业的协议合同金额占到联合体协议合同总金额30%以上的，给予联合体1%的价格扣除。联合体各方均为小型、微型企业的，联合体视同为小型、微型企业给予3%价格扣除，用扣除后的价格参与评审。组成联合体的大中型企业和其他自然人、法人或者其他组织，与小型、微型企业之间不得存在投资关系。</w:t>
      </w:r>
    </w:p>
    <w:p w14:paraId="3A0EDF6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3.监狱和戒毒企业的价格扣除</w:t>
      </w:r>
    </w:p>
    <w:p w14:paraId="290FC75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3.1 本项目对监狱和戒毒企业，给予3%的价格扣除，用扣除后的价格参与评审。</w:t>
      </w:r>
    </w:p>
    <w:p w14:paraId="0CD8F60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3.2 监狱企业需提供由省级以上监狱管理局、戒毒管理局（含新疆生产建设兵团）出具的属于监狱企业的证明文件。</w:t>
      </w:r>
    </w:p>
    <w:p w14:paraId="32848E9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3.3 监狱企业标准请参照《关于政府采购支持监狱企业发展有关问题的通知》（财库〔2014〕68号）。</w:t>
      </w:r>
    </w:p>
    <w:p w14:paraId="6FC6D2E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4.残疾人福利性单位的价格扣除</w:t>
      </w:r>
    </w:p>
    <w:p w14:paraId="2D004E1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4.1 本项目对残疾人福利性单位，给予3%的价格扣除，用扣除后的价格参与评审。</w:t>
      </w:r>
    </w:p>
    <w:p w14:paraId="07146A2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4.2 残疾人福利性单位需提供《残疾人福利性单位声明函》。</w:t>
      </w:r>
    </w:p>
    <w:p w14:paraId="7619222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4.3 残疾人福利性单位标准请参照《关于促进残疾人就业政府采购政策的通知》（财库〔2017〕141号）。</w:t>
      </w:r>
    </w:p>
    <w:p w14:paraId="3E07098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5. 监狱企业、残疾人福利性单位属于小型、微型企业的，不重复享受政策。</w:t>
      </w:r>
    </w:p>
    <w:p w14:paraId="45559893">
      <w:pPr>
        <w:pStyle w:val="3"/>
        <w:pBdr>
          <w:top w:val="none" w:color="000000" w:sz="0" w:space="0"/>
          <w:left w:val="none" w:color="000000" w:sz="0" w:space="0"/>
          <w:bottom w:val="none" w:color="000000" w:sz="0" w:space="0"/>
          <w:right w:val="none" w:color="000000" w:sz="0" w:space="0"/>
        </w:pBdr>
        <w:spacing w:before="340" w:after="330" w:line="768" w:lineRule="atLeast"/>
        <w:ind w:left="0" w:right="0" w:firstLine="0"/>
        <w:jc w:val="center"/>
        <w:rPr>
          <w:rFonts w:hint="eastAsia" w:ascii="宋体" w:hAnsi="宋体" w:eastAsia="宋体" w:cs="宋体"/>
          <w:color w:val="auto"/>
          <w:highlight w:val="none"/>
          <w:lang w:eastAsia="zh-CN"/>
        </w:rPr>
      </w:pPr>
      <w:bookmarkStart w:id="3" w:name="_Toc17383"/>
      <w:r>
        <w:rPr>
          <w:rFonts w:hint="eastAsia" w:ascii="宋体" w:hAnsi="宋体" w:eastAsia="宋体" w:cs="宋体"/>
          <w:b/>
          <w:color w:val="auto"/>
          <w:sz w:val="32"/>
          <w:highlight w:val="none"/>
        </w:rPr>
        <w:t xml:space="preserve">第四章 </w:t>
      </w:r>
      <w:r>
        <w:rPr>
          <w:rFonts w:hint="eastAsia" w:ascii="宋体" w:hAnsi="宋体" w:eastAsia="宋体" w:cs="宋体"/>
          <w:b/>
          <w:color w:val="auto"/>
          <w:sz w:val="32"/>
          <w:highlight w:val="none"/>
          <w:lang w:val="en-US" w:eastAsia="zh-CN"/>
        </w:rPr>
        <w:t>技术要求</w:t>
      </w:r>
      <w:bookmarkEnd w:id="3"/>
    </w:p>
    <w:p w14:paraId="437092C4">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一、项目概况</w:t>
      </w:r>
    </w:p>
    <w:p w14:paraId="43F7EA7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泗阳船闸位于江苏省宿迁市泗阳县城东南约3km处，处于苏北运河最繁忙的大王庙至淮安航段上，是苏北运河自蔺家坝船闸而下的第6个梯级船闸（不含蔺家坝船闸）。该阶梯船闸有一号、二号、三号三座船闸，建设规模分别为20×230×</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m（口门宽×闸室长×槛上水深，下同），23×230×5m、23×260×5m。一号、二号、三号船闸中心线间距分别为118.3m、100m。</w:t>
      </w:r>
    </w:p>
    <w:p w14:paraId="67F82A7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泗阳一号船闸上游共有靠船墩21座，其中1#~15#靠船墩与船闸同期建设，为重力式结构，16#~21#靠船墩于2005年建设，为高桩墩台结构。</w:t>
      </w:r>
    </w:p>
    <w:p w14:paraId="08715F7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泗阳船闸三号闸上、下游靠船段护岸长度均为400m，各有重力式靠船墩20座，靠船墩中心间距20m，宽度均为5.0m；上游墩顶高程19.83m（85国家高程，下同），下游靠船墩墩顶高程18.83m。</w:t>
      </w:r>
    </w:p>
    <w:p w14:paraId="39350E8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为维护泗阳一号船闸和泗阳三号船闸安全通航，确保运河畅通，现考虑对泗阳一号船闸上游19#靠船墩拆建、三号船闸上、下游部分出现破损、钢护面脱落、缺失的靠船墩进行维修加固。</w:t>
      </w:r>
    </w:p>
    <w:p w14:paraId="12BCDF48">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w:t>
      </w:r>
      <w:r>
        <w:rPr>
          <w:rFonts w:hint="eastAsia" w:ascii="宋体" w:hAnsi="宋体" w:eastAsia="宋体" w:cs="宋体"/>
          <w:b/>
          <w:bCs/>
          <w:color w:val="auto"/>
          <w:sz w:val="24"/>
          <w:highlight w:val="none"/>
          <w:lang w:val="en-US" w:eastAsia="zh-CN"/>
        </w:rPr>
        <w:t>工作</w:t>
      </w:r>
      <w:r>
        <w:rPr>
          <w:rFonts w:hint="eastAsia" w:ascii="宋体" w:hAnsi="宋体" w:eastAsia="宋体" w:cs="宋体"/>
          <w:b/>
          <w:bCs/>
          <w:color w:val="auto"/>
          <w:sz w:val="24"/>
          <w:highlight w:val="none"/>
        </w:rPr>
        <w:t>内容</w:t>
      </w:r>
    </w:p>
    <w:p w14:paraId="45C122B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bookmarkStart w:id="4" w:name="（一）项目名称"/>
      <w:bookmarkEnd w:id="4"/>
      <w:bookmarkStart w:id="5" w:name="三、项目评估服务费费率最高限价"/>
      <w:bookmarkEnd w:id="5"/>
      <w:r>
        <w:rPr>
          <w:rFonts w:hint="eastAsia" w:ascii="宋体" w:hAnsi="宋体" w:eastAsia="宋体" w:cs="宋体"/>
          <w:color w:val="auto"/>
          <w:sz w:val="24"/>
          <w:highlight w:val="none"/>
        </w:rPr>
        <w:t>本次</w:t>
      </w:r>
      <w:r>
        <w:rPr>
          <w:rFonts w:hint="eastAsia" w:ascii="宋体" w:hAnsi="宋体" w:eastAsia="宋体" w:cs="宋体"/>
          <w:color w:val="auto"/>
          <w:sz w:val="24"/>
          <w:highlight w:val="none"/>
          <w:lang w:val="en-US" w:eastAsia="zh-CN"/>
        </w:rPr>
        <w:t>采购范围为泗阳一号船闸上游19#靠船墩拆建及三号船闸上下游靠船墩维修</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主要工作内容包括：</w:t>
      </w:r>
    </w:p>
    <w:p w14:paraId="6F6433B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（一）、泗阳一号船闸上游 19#靠船墩拆建</w:t>
      </w:r>
    </w:p>
    <w:p w14:paraId="0623FE6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（1）上游 19#靠船墩维修：拆除原有 19#靠船墩，在原墩体上游 1.5m 处平行移位新建 19#靠船墩，新建靠船墩高桩墩台结构，承台下部设置靠船构件。迎水面设置钢板护面、钢包角。</w:t>
      </w:r>
    </w:p>
    <w:p w14:paraId="2D9E534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（2）更换 19#靠船墩两侧空心板梁共计 2 片。</w:t>
      </w:r>
    </w:p>
    <w:p w14:paraId="601C95F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（3）相邻墩体破损处修复。</w:t>
      </w:r>
    </w:p>
    <w:p w14:paraId="61C87FE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（4）更换系船柱、系船钩、栏杆（镀锌钢管）、照明、电缆等附属设施。</w:t>
      </w:r>
    </w:p>
    <w:p w14:paraId="4096719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（二）、泗阳三号船闸上下游靠船墩维修</w:t>
      </w:r>
    </w:p>
    <w:p w14:paraId="520607F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（1）上游靠船墩维修，共计 10 个靠船墩（4#~9#、12#~14#、20#），单个</w:t>
      </w:r>
    </w:p>
    <w:p w14:paraId="1E6BC26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墩宽度 5m，采用钢围堰抽水后形成干地条件后施工，拆除范围高程▽18.03 至底高程▽14.83，拆除厚度 0.25m（系船钩部分拆除厚度 1.5m，拆除范围高程▽19.83 至底高程▽14.83），对原墩体植筋后浇筑高强灌浆料至原断面尺寸。迎水面设置钢护面、钢包角。</w:t>
      </w:r>
    </w:p>
    <w:p w14:paraId="46BCC25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（2）下游靠船墩维修，共计 4 个靠船墩（3#、5#、6#、20#），单个墩宽度5m，采用钢围堰抽水后形成干地条件后施工，拆除迎水面高程▽16.83 至底高程▽9.83（5#、6#墩系船钩部分拆除厚度 1.5m）0.25m 厚度墩体，对原墩体植筋后浇筑高强灌浆料至原断面尺寸。空箱结构墩体拆除需保留原系船设施及墩体钢筋。迎水面设置钢护面、钢包角。</w:t>
      </w:r>
    </w:p>
    <w:p w14:paraId="64BB838A">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具体以工程量清单及</w:t>
      </w:r>
      <w:r>
        <w:rPr>
          <w:rFonts w:hint="eastAsia" w:ascii="宋体" w:hAnsi="宋体" w:eastAsia="宋体" w:cs="宋体"/>
          <w:b/>
          <w:bCs/>
          <w:color w:val="auto"/>
          <w:sz w:val="24"/>
          <w:highlight w:val="none"/>
          <w:lang w:val="en-US" w:eastAsia="zh-CN"/>
        </w:rPr>
        <w:t>设计</w:t>
      </w:r>
      <w:r>
        <w:rPr>
          <w:rFonts w:hint="eastAsia" w:ascii="宋体" w:hAnsi="宋体" w:eastAsia="宋体" w:cs="宋体"/>
          <w:b/>
          <w:bCs/>
          <w:color w:val="auto"/>
          <w:sz w:val="24"/>
          <w:highlight w:val="none"/>
        </w:rPr>
        <w:t>图纸为准</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详见附件</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w:t>
      </w:r>
    </w:p>
    <w:p w14:paraId="35F577BA">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lang w:val="en-US" w:eastAsia="zh-CN"/>
        </w:rPr>
      </w:pPr>
      <w:bookmarkStart w:id="6" w:name="_Toc12887272"/>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质量、安全、环保等要求</w:t>
      </w:r>
    </w:p>
    <w:p w14:paraId="4228DFE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1.工程质量目标：</w:t>
      </w:r>
    </w:p>
    <w:p w14:paraId="713DDFC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竣工验收的质量等级评定：合格；综合评定：优良。</w:t>
      </w:r>
    </w:p>
    <w:p w14:paraId="1C19997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安全生产目标：落实安全生产主体责任，确保本工程无安全生产责任事故发生，人员零伤亡。</w:t>
      </w:r>
    </w:p>
    <w:p w14:paraId="0DAE00E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施工现场的管理必须满足工程所在地地方政府的相关规定。不得随意抛弃建筑垃圾、废弃物、散体施工材料；严格执行关于排污的环保要求，严禁随意将垃圾、污水、泥浆及废弃油料直接排入航道，排放污染物应进行必要的处理，达到排污标准以后方可排放；及时做好施工涉及相关道路的交通维护、保洁维修工作；各类施工过程中，施工中应做到文明施工，确保不发生沿线扬尘、排污。如果</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违反上述规定，由此产生的罚款、索赔、赔偿、诉讼费用及其它开支均由</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承担。</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需充分考虑，相关费用包含在</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lang w:val="en-US" w:eastAsia="zh-CN"/>
        </w:rPr>
        <w:t>投标报价</w:t>
      </w:r>
      <w:r>
        <w:rPr>
          <w:rFonts w:hint="eastAsia" w:ascii="宋体" w:hAnsi="宋体" w:eastAsia="宋体" w:cs="宋体"/>
          <w:color w:val="auto"/>
          <w:sz w:val="24"/>
          <w:highlight w:val="none"/>
        </w:rPr>
        <w:t>中。</w:t>
      </w:r>
    </w:p>
    <w:p w14:paraId="2501468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.现场施工工地需要按标准化施工工地管理要求，设置护栏、围挡、标志、标牌及其他必要的所需设备设施，营造文明、安全施工工地。</w:t>
      </w:r>
    </w:p>
    <w:p w14:paraId="39DA17A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①施工现场应做好各类围挡措施，围挡出入口应有专人看守，相关费用含入</w:t>
      </w:r>
      <w:r>
        <w:rPr>
          <w:rFonts w:hint="eastAsia" w:ascii="宋体" w:hAnsi="宋体" w:eastAsia="宋体" w:cs="宋体"/>
          <w:color w:val="auto"/>
          <w:sz w:val="24"/>
          <w:highlight w:val="none"/>
          <w:lang w:eastAsia="zh-CN"/>
        </w:rPr>
        <w:t>投标报价</w:t>
      </w:r>
      <w:r>
        <w:rPr>
          <w:rFonts w:hint="eastAsia" w:ascii="宋体" w:hAnsi="宋体" w:eastAsia="宋体" w:cs="宋体"/>
          <w:color w:val="auto"/>
          <w:sz w:val="24"/>
          <w:highlight w:val="none"/>
        </w:rPr>
        <w:t>中，不另行计量支付。</w:t>
      </w:r>
    </w:p>
    <w:p w14:paraId="0E9F63A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②船闸</w:t>
      </w:r>
      <w:r>
        <w:rPr>
          <w:rFonts w:hint="eastAsia" w:ascii="宋体" w:hAnsi="宋体" w:eastAsia="宋体" w:cs="宋体"/>
          <w:color w:val="auto"/>
          <w:sz w:val="24"/>
          <w:highlight w:val="none"/>
          <w:lang w:eastAsia="zh-CN"/>
        </w:rPr>
        <w:t>维修</w:t>
      </w:r>
      <w:r>
        <w:rPr>
          <w:rFonts w:hint="eastAsia" w:ascii="宋体" w:hAnsi="宋体" w:eastAsia="宋体" w:cs="宋体"/>
          <w:color w:val="auto"/>
          <w:sz w:val="24"/>
          <w:highlight w:val="none"/>
        </w:rPr>
        <w:t>抽水期间须配合做好靠船墩沉降及位移变形观测，相关费用含入</w:t>
      </w:r>
      <w:r>
        <w:rPr>
          <w:rFonts w:hint="eastAsia" w:ascii="宋体" w:hAnsi="宋体" w:eastAsia="宋体" w:cs="宋体"/>
          <w:color w:val="auto"/>
          <w:sz w:val="24"/>
          <w:highlight w:val="none"/>
          <w:lang w:eastAsia="zh-CN"/>
        </w:rPr>
        <w:t>投标报价</w:t>
      </w:r>
      <w:r>
        <w:rPr>
          <w:rFonts w:hint="eastAsia" w:ascii="宋体" w:hAnsi="宋体" w:eastAsia="宋体" w:cs="宋体"/>
          <w:color w:val="auto"/>
          <w:sz w:val="24"/>
          <w:highlight w:val="none"/>
        </w:rPr>
        <w:t>中，不另行计量支付。</w:t>
      </w:r>
    </w:p>
    <w:p w14:paraId="3A40A51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③</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应编制围堰施工专项方案，经</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审查通过后</w:t>
      </w:r>
      <w:r>
        <w:rPr>
          <w:rFonts w:hint="eastAsia" w:ascii="宋体" w:hAnsi="宋体" w:eastAsia="宋体" w:cs="宋体"/>
          <w:color w:val="auto"/>
          <w:sz w:val="24"/>
          <w:highlight w:val="none"/>
          <w:lang w:eastAsia="zh-CN"/>
        </w:rPr>
        <w:t>再</w:t>
      </w:r>
      <w:r>
        <w:rPr>
          <w:rFonts w:hint="eastAsia" w:ascii="宋体" w:hAnsi="宋体" w:eastAsia="宋体" w:cs="宋体"/>
          <w:color w:val="auto"/>
          <w:sz w:val="24"/>
          <w:highlight w:val="none"/>
        </w:rPr>
        <w:t>实施。</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应充分考虑围堰施工中可能的干扰，相关费用含入</w:t>
      </w:r>
      <w:r>
        <w:rPr>
          <w:rFonts w:hint="eastAsia" w:ascii="宋体" w:hAnsi="宋体" w:eastAsia="宋体" w:cs="宋体"/>
          <w:color w:val="auto"/>
          <w:sz w:val="24"/>
          <w:highlight w:val="none"/>
          <w:lang w:eastAsia="zh-CN"/>
        </w:rPr>
        <w:t>投标报价</w:t>
      </w:r>
      <w:r>
        <w:rPr>
          <w:rFonts w:hint="eastAsia" w:ascii="宋体" w:hAnsi="宋体" w:eastAsia="宋体" w:cs="宋体"/>
          <w:color w:val="auto"/>
          <w:sz w:val="24"/>
          <w:highlight w:val="none"/>
        </w:rPr>
        <w:t>中。</w:t>
      </w:r>
    </w:p>
    <w:p w14:paraId="481538D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.建筑工程一切险、安装工程一切险及第三者责任险由</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以</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与</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联名投保，建筑工程一切险、安装工程一切险的费用为全部保费，由</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按相关规定投保，</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予以配合。投保条件与保险费率由</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自行考虑，不单独计列，相关费用包含在</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lang w:val="en-US" w:eastAsia="zh-CN"/>
        </w:rPr>
        <w:t>投标总价</w:t>
      </w:r>
      <w:r>
        <w:rPr>
          <w:rFonts w:hint="eastAsia" w:ascii="宋体" w:hAnsi="宋体" w:eastAsia="宋体" w:cs="宋体"/>
          <w:color w:val="auto"/>
          <w:sz w:val="24"/>
          <w:highlight w:val="none"/>
        </w:rPr>
        <w:t>及单价中。如</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未按相关要求参保，出现任何事故，由</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自行承担。</w:t>
      </w:r>
    </w:p>
    <w:p w14:paraId="3879E14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装备险和</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职工的（人身）事故险均由</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自行投保，保险费用由</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承担</w:t>
      </w:r>
      <w:r>
        <w:rPr>
          <w:rFonts w:hint="eastAsia" w:ascii="宋体" w:hAnsi="宋体" w:eastAsia="宋体" w:cs="宋体"/>
          <w:color w:val="auto"/>
          <w:sz w:val="24"/>
          <w:highlight w:val="none"/>
          <w:lang w:eastAsia="zh-CN"/>
        </w:rPr>
        <w:t>并包</w:t>
      </w:r>
      <w:r>
        <w:rPr>
          <w:rFonts w:hint="eastAsia" w:ascii="宋体" w:hAnsi="宋体" w:eastAsia="宋体" w:cs="宋体"/>
          <w:color w:val="auto"/>
          <w:sz w:val="24"/>
          <w:highlight w:val="none"/>
        </w:rPr>
        <w:t>含在合同综合单价中，不单独列支。</w:t>
      </w:r>
    </w:p>
    <w:p w14:paraId="04BF55F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根据《公路水运工程安全生产监督管理办法》（交通运输部令2017年第25号）、关于印发《企业安全生产费用提取和使用管理办法》的通知（财资〔2022〕136号）、《江苏省公路水运工程安全生产费用管理办法》（苏交规〔2025〕1号）的规定，</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应在</w:t>
      </w:r>
      <w:r>
        <w:rPr>
          <w:rFonts w:hint="eastAsia" w:ascii="宋体" w:hAnsi="宋体" w:eastAsia="宋体" w:cs="宋体"/>
          <w:color w:val="auto"/>
          <w:sz w:val="24"/>
          <w:highlight w:val="none"/>
          <w:lang w:val="en-US" w:eastAsia="zh-CN"/>
        </w:rPr>
        <w:t>投标总价</w:t>
      </w:r>
      <w:r>
        <w:rPr>
          <w:rFonts w:hint="eastAsia" w:ascii="宋体" w:hAnsi="宋体" w:eastAsia="宋体" w:cs="宋体"/>
          <w:color w:val="auto"/>
          <w:sz w:val="24"/>
          <w:highlight w:val="none"/>
        </w:rPr>
        <w:t>中计入安全生产费用，本项目的安全生产费用应为最高限价的1.5%。除合同另有规定，</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在施工过程中用于安全生产、文明施工的费用超出了限价的1.5％，超出部分费</w:t>
      </w:r>
      <w:r>
        <w:rPr>
          <w:rFonts w:hint="eastAsia" w:ascii="宋体" w:hAnsi="宋体" w:eastAsia="宋体" w:cs="宋体"/>
          <w:color w:val="auto"/>
          <w:sz w:val="24"/>
          <w:highlight w:val="none"/>
          <w:lang w:eastAsia="zh-CN"/>
        </w:rPr>
        <w:t>用由投标人</w:t>
      </w:r>
      <w:r>
        <w:rPr>
          <w:rFonts w:hint="eastAsia" w:ascii="宋体" w:hAnsi="宋体" w:eastAsia="宋体" w:cs="宋体"/>
          <w:color w:val="auto"/>
          <w:sz w:val="24"/>
          <w:highlight w:val="none"/>
          <w:lang w:val="en-US" w:eastAsia="zh-CN"/>
        </w:rPr>
        <w:t>自行</w:t>
      </w:r>
      <w:r>
        <w:rPr>
          <w:rFonts w:hint="eastAsia" w:ascii="宋体" w:hAnsi="宋体" w:eastAsia="宋体" w:cs="宋体"/>
          <w:color w:val="auto"/>
          <w:sz w:val="24"/>
          <w:highlight w:val="none"/>
        </w:rPr>
        <w:t>承担，视为包含在</w:t>
      </w:r>
      <w:r>
        <w:rPr>
          <w:rFonts w:hint="eastAsia" w:ascii="宋体" w:hAnsi="宋体" w:eastAsia="宋体" w:cs="宋体"/>
          <w:color w:val="auto"/>
          <w:sz w:val="24"/>
          <w:highlight w:val="none"/>
          <w:lang w:eastAsia="zh-CN"/>
        </w:rPr>
        <w:t>投标报价</w:t>
      </w:r>
      <w:r>
        <w:rPr>
          <w:rFonts w:hint="eastAsia" w:ascii="宋体" w:hAnsi="宋体" w:eastAsia="宋体" w:cs="宋体"/>
          <w:color w:val="auto"/>
          <w:sz w:val="24"/>
          <w:highlight w:val="none"/>
        </w:rPr>
        <w:t>的单价中，不另行计量与支付。安全生产费用须经监理审核合格后，据实计量支付。</w:t>
      </w:r>
    </w:p>
    <w:p w14:paraId="7510AF3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根据《安全生产责任保险实施办法》的通知（应急〔2025〕27号）要求必须投保安全生产责任险，保险费用包含在安全生产费中，据实计量支付。</w:t>
      </w:r>
    </w:p>
    <w:p w14:paraId="2C7640F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.本项目</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应当根据《江苏省人力资源社会保障厅 江苏省财政厅 江苏省税务局关于印发江苏省工伤保险费率管理办法（修订版）的通知》（苏人社规〔2023〕2号）、《省人力资源社会保障厅关于确定2025年全省工程建设项目工伤保险费率的通知》（苏人社函〔2025〕1号）的规定，在建设工程开工前，以工程项目为单元参加工伤保险，与之相关的费用计入合同总价中，不单独计量与支付。</w:t>
      </w:r>
    </w:p>
    <w:p w14:paraId="673DEE3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在施工过程中应严格遵守《中华人民共和国大气污染防治法</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江苏省大气污染防治条例</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江苏省公路水运工程工地扬尘污染防治行动方案</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江苏省公路水运工程施工扬尘污染防治指导手册》等相关规定，按照</w:t>
      </w:r>
      <w:r>
        <w:rPr>
          <w:rFonts w:hint="eastAsia" w:ascii="宋体" w:hAnsi="宋体" w:eastAsia="宋体" w:cs="宋体"/>
          <w:color w:val="auto"/>
          <w:sz w:val="24"/>
          <w:highlight w:val="none"/>
          <w:lang w:val="en-US" w:eastAsia="zh-CN"/>
        </w:rPr>
        <w:t>招标文件</w:t>
      </w:r>
      <w:r>
        <w:rPr>
          <w:rFonts w:hint="eastAsia" w:ascii="宋体" w:hAnsi="宋体" w:eastAsia="宋体" w:cs="宋体"/>
          <w:color w:val="auto"/>
          <w:sz w:val="24"/>
          <w:highlight w:val="none"/>
        </w:rPr>
        <w:t>及</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要求，在合同实施过程中制定扬尘污染防治实施方案并切实有效</w:t>
      </w:r>
      <w:r>
        <w:rPr>
          <w:rFonts w:hint="eastAsia" w:ascii="宋体" w:hAnsi="宋体" w:eastAsia="宋体" w:cs="宋体"/>
          <w:color w:val="auto"/>
          <w:sz w:val="24"/>
          <w:highlight w:val="none"/>
          <w:lang w:eastAsia="zh-CN"/>
        </w:rPr>
        <w:t>地</w:t>
      </w:r>
      <w:r>
        <w:rPr>
          <w:rFonts w:hint="eastAsia" w:ascii="宋体" w:hAnsi="宋体" w:eastAsia="宋体" w:cs="宋体"/>
          <w:color w:val="auto"/>
          <w:sz w:val="24"/>
          <w:highlight w:val="none"/>
        </w:rPr>
        <w:t>开展相关工作，所需费用含在</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所报的单价或</w:t>
      </w:r>
      <w:r>
        <w:rPr>
          <w:rFonts w:hint="eastAsia" w:ascii="宋体" w:hAnsi="宋体" w:eastAsia="宋体" w:cs="宋体"/>
          <w:color w:val="auto"/>
          <w:sz w:val="24"/>
          <w:highlight w:val="none"/>
          <w:lang w:eastAsia="zh-CN"/>
        </w:rPr>
        <w:t>总价</w:t>
      </w:r>
      <w:r>
        <w:rPr>
          <w:rFonts w:hint="eastAsia" w:ascii="宋体" w:hAnsi="宋体" w:eastAsia="宋体" w:cs="宋体"/>
          <w:color w:val="auto"/>
          <w:sz w:val="24"/>
          <w:highlight w:val="none"/>
        </w:rPr>
        <w:t>内，</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不再单独计列。</w:t>
      </w:r>
    </w:p>
    <w:bookmarkEnd w:id="6"/>
    <w:p w14:paraId="162786C0">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技术方案要求</w:t>
      </w:r>
    </w:p>
    <w:p w14:paraId="7151D5A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施工技术方案包括但不限于以下内容：总体施工方案；重、难点分析；质量、进度、安全、环保等措施及合理化建议。</w:t>
      </w:r>
    </w:p>
    <w:p w14:paraId="0DDBC7E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总体施工方案内容要求齐全、符合本工程的特点和实际情况，重点（关键）和难点工程的分析及所采取的方案、措施要求可行、有较详细的施工工艺流程图，提出合理化建议；对施工过程中可能出现的安全、质量问题有较细致的事前控制措施；对保证工程进度和完善的交通组织安排提出具体可靠的方案；考虑对环境、交通等造成影响；考虑特殊情况的影响及相关施工安排和措施；各分部、分项工程安排的前后顺序无矛盾；工期满足招标文件要求的总工期，有阶段性目标计划等。</w:t>
      </w:r>
    </w:p>
    <w:p w14:paraId="1E33DB4D">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4775AB9B">
      <w:pPr>
        <w:pStyle w:val="3"/>
        <w:pBdr>
          <w:top w:val="none" w:color="000000" w:sz="0" w:space="0"/>
          <w:left w:val="none" w:color="000000" w:sz="0" w:space="0"/>
          <w:bottom w:val="none" w:color="000000" w:sz="0" w:space="0"/>
          <w:right w:val="none" w:color="000000" w:sz="0" w:space="0"/>
        </w:pBdr>
        <w:spacing w:before="340" w:after="330" w:line="768" w:lineRule="atLeast"/>
        <w:ind w:left="0" w:right="0" w:firstLine="0"/>
        <w:jc w:val="center"/>
        <w:rPr>
          <w:rFonts w:hint="eastAsia" w:ascii="宋体" w:hAnsi="宋体" w:eastAsia="宋体" w:cs="宋体"/>
          <w:b/>
          <w:color w:val="auto"/>
          <w:sz w:val="32"/>
          <w:highlight w:val="none"/>
        </w:rPr>
      </w:pPr>
      <w:bookmarkStart w:id="7" w:name="_Toc2591"/>
      <w:r>
        <w:rPr>
          <w:rFonts w:hint="eastAsia" w:ascii="宋体" w:hAnsi="宋体" w:eastAsia="宋体" w:cs="宋体"/>
          <w:b/>
          <w:color w:val="auto"/>
          <w:sz w:val="32"/>
          <w:highlight w:val="none"/>
        </w:rPr>
        <w:t>第五章 合同主要条款</w:t>
      </w:r>
      <w:bookmarkEnd w:id="7"/>
    </w:p>
    <w:p w14:paraId="0BBB1922">
      <w:pPr>
        <w:pBdr>
          <w:top w:val="none" w:color="000000" w:sz="0" w:space="0"/>
          <w:left w:val="none" w:color="000000" w:sz="0" w:space="0"/>
          <w:bottom w:val="none" w:color="000000" w:sz="0" w:space="0"/>
          <w:right w:val="none" w:color="000000" w:sz="0" w:space="0"/>
        </w:pBdr>
        <w:spacing w:before="0" w:after="0" w:line="85" w:lineRule="atLeast"/>
        <w:ind w:left="0" w:right="0" w:firstLine="420"/>
        <w:jc w:val="center"/>
        <w:rPr>
          <w:rFonts w:hint="eastAsia" w:ascii="宋体" w:hAnsi="宋体" w:eastAsia="宋体" w:cs="宋体"/>
          <w:color w:val="auto"/>
          <w:highlight w:val="none"/>
        </w:rPr>
      </w:pPr>
      <w:r>
        <w:rPr>
          <w:rFonts w:hint="eastAsia" w:ascii="宋体" w:hAnsi="宋体" w:eastAsia="宋体" w:cs="宋体"/>
          <w:color w:val="auto"/>
          <w:sz w:val="24"/>
          <w:highlight w:val="none"/>
          <w:u w:val="none"/>
        </w:rPr>
        <w:t>（参考格式</w:t>
      </w:r>
      <w:r>
        <w:rPr>
          <w:rFonts w:hint="eastAsia" w:ascii="宋体" w:hAnsi="宋体" w:eastAsia="宋体" w:cs="宋体"/>
          <w:color w:val="auto"/>
          <w:sz w:val="24"/>
          <w:highlight w:val="none"/>
        </w:rPr>
        <w:t>）</w:t>
      </w:r>
    </w:p>
    <w:p w14:paraId="0BEFCB49">
      <w:pPr>
        <w:spacing w:before="273" w:line="220" w:lineRule="auto"/>
        <w:ind w:left="2953"/>
        <w:outlineLvl w:val="1"/>
        <w:rPr>
          <w:rFonts w:hint="eastAsia" w:ascii="宋体" w:hAnsi="宋体" w:eastAsia="宋体" w:cs="宋体"/>
          <w:color w:val="auto"/>
          <w:sz w:val="28"/>
          <w:szCs w:val="28"/>
          <w:highlight w:val="none"/>
        </w:rPr>
      </w:pPr>
      <w:r>
        <w:rPr>
          <w:rFonts w:hint="eastAsia" w:ascii="宋体" w:hAnsi="宋体" w:eastAsia="宋体" w:cs="宋体"/>
          <w:b/>
          <w:color w:val="auto"/>
          <w:sz w:val="32"/>
          <w:highlight w:val="none"/>
        </w:rPr>
        <w:br w:type="page"/>
      </w:r>
      <w:r>
        <w:rPr>
          <w:rFonts w:hint="eastAsia" w:ascii="宋体" w:hAnsi="宋体" w:eastAsia="宋体" w:cs="宋体"/>
          <w:color w:val="auto"/>
          <w:spacing w:val="-1"/>
          <w:sz w:val="28"/>
          <w:szCs w:val="28"/>
          <w:highlight w:val="none"/>
        </w:rPr>
        <w:t>第一节  通用合同条款</w:t>
      </w:r>
    </w:p>
    <w:p w14:paraId="1E874AC3">
      <w:pPr>
        <w:pStyle w:val="15"/>
        <w:spacing w:line="463" w:lineRule="auto"/>
        <w:rPr>
          <w:rFonts w:hint="eastAsia" w:ascii="宋体" w:hAnsi="宋体" w:eastAsia="宋体" w:cs="宋体"/>
          <w:color w:val="auto"/>
          <w:highlight w:val="none"/>
        </w:rPr>
      </w:pPr>
    </w:p>
    <w:p w14:paraId="00E02BE4">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(详见《标准施工招标文件》（2007年版）)</w:t>
      </w:r>
    </w:p>
    <w:p w14:paraId="29ACFC84">
      <w:pPr>
        <w:spacing w:line="219" w:lineRule="auto"/>
        <w:rPr>
          <w:rFonts w:hint="eastAsia" w:ascii="宋体" w:hAnsi="宋体" w:eastAsia="宋体" w:cs="宋体"/>
          <w:color w:val="auto"/>
          <w:sz w:val="24"/>
          <w:szCs w:val="24"/>
          <w:highlight w:val="none"/>
        </w:rPr>
        <w:sectPr>
          <w:footerReference r:id="rId4" w:type="default"/>
          <w:pgSz w:w="11906" w:h="16840"/>
          <w:pgMar w:top="1214" w:right="1785" w:bottom="1363" w:left="1785" w:header="0" w:footer="1201" w:gutter="0"/>
          <w:pgNumType w:start="1"/>
          <w:cols w:space="720" w:num="1"/>
        </w:sectPr>
      </w:pPr>
    </w:p>
    <w:p w14:paraId="5795E2C1">
      <w:pPr>
        <w:spacing w:before="91" w:line="220" w:lineRule="auto"/>
        <w:ind w:left="3425"/>
        <w:outlineLvl w:val="1"/>
        <w:rPr>
          <w:rFonts w:hint="eastAsia" w:ascii="宋体" w:hAnsi="宋体" w:eastAsia="宋体" w:cs="宋体"/>
          <w:color w:val="auto"/>
          <w:sz w:val="28"/>
          <w:szCs w:val="28"/>
          <w:highlight w:val="none"/>
        </w:rPr>
      </w:pPr>
      <w:r>
        <w:rPr>
          <w:rFonts w:hint="eastAsia" w:ascii="宋体" w:hAnsi="宋体" w:eastAsia="宋体" w:cs="宋体"/>
          <w:color w:val="auto"/>
          <w:spacing w:val="-1"/>
          <w:sz w:val="28"/>
          <w:szCs w:val="28"/>
          <w:highlight w:val="none"/>
        </w:rPr>
        <w:t>第二节  合同专用条款</w:t>
      </w:r>
    </w:p>
    <w:p w14:paraId="3971D4A1">
      <w:pPr>
        <w:adjustRightInd w:val="0"/>
        <w:snapToGrid w:val="0"/>
        <w:ind w:right="468" w:firstLine="420" w:firstLineChars="200"/>
        <w:jc w:val="left"/>
        <w:rPr>
          <w:rFonts w:hint="eastAsia" w:ascii="宋体" w:hAnsi="宋体" w:eastAsia="宋体" w:cs="宋体"/>
          <w:color w:val="auto"/>
          <w:szCs w:val="21"/>
          <w:highlight w:val="none"/>
        </w:rPr>
      </w:pPr>
      <w:bookmarkStart w:id="8" w:name="_Toc8008"/>
      <w:bookmarkStart w:id="9" w:name="_Toc17698"/>
      <w:bookmarkStart w:id="10" w:name="_Toc10431"/>
      <w:bookmarkStart w:id="11" w:name="_Toc21781"/>
      <w:bookmarkStart w:id="12" w:name="_Toc18881"/>
      <w:r>
        <w:rPr>
          <w:rFonts w:hint="eastAsia" w:ascii="宋体" w:hAnsi="宋体" w:eastAsia="宋体" w:cs="宋体"/>
          <w:color w:val="auto"/>
          <w:szCs w:val="21"/>
          <w:highlight w:val="none"/>
        </w:rPr>
        <w:t xml:space="preserve">根据本项目的具体情况，对通用合同条款的内容做如下补充、细化： </w:t>
      </w:r>
    </w:p>
    <w:p w14:paraId="60C4BB44">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  一般约定</w:t>
      </w:r>
    </w:p>
    <w:p w14:paraId="0D6BECA5">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1.1  词语定义</w:t>
      </w:r>
    </w:p>
    <w:p w14:paraId="61E672E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  合同</w:t>
      </w:r>
    </w:p>
    <w:p w14:paraId="3B1190D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1.1.1.10  补遗书：指发出招标文件之后由发包人向已取得招标文件的投标人发出的对招标文件补充或修改的书面文件。补遗书是招标文件和合同的组成部分。</w:t>
      </w:r>
    </w:p>
    <w:p w14:paraId="7F35B3B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1.1.1.11  固定总价合同：在合同执行过程中，除约定的风险范围外，不得调整总价的合同。</w:t>
      </w:r>
    </w:p>
    <w:p w14:paraId="617364C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1.1.1.12  固定单价合同：在合同执行过程中，除约定的风险范围外，合同工程量清单中不得调整单价的合同。</w:t>
      </w:r>
    </w:p>
    <w:p w14:paraId="5095463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1.1.1.13  询标及澄清文件：指招标投标过程中，招标人为完成工作，向对方所发出的询问及投标人澄清的书面文件，属于投标文件的组成部分。</w:t>
      </w:r>
    </w:p>
    <w:p w14:paraId="27CF930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  合同当事人和人员</w:t>
      </w:r>
    </w:p>
    <w:p w14:paraId="7111EE9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1.1.2.8  工程建设项目代理人：指受发包人委托，具有相应资质及法定代理资格，代表发包人负责管理本合同的企业法人。</w:t>
      </w:r>
    </w:p>
    <w:p w14:paraId="643E0B7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1.1.2.9  项目技术负责人：指由承包人按投标文件承诺派驻施工现场负责施工技术管理的总工程师或技术总负责人。</w:t>
      </w:r>
    </w:p>
    <w:p w14:paraId="69AFC25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1.1.2.10  发包人代表：指发包人为履行本合同指定的负责人。</w:t>
      </w:r>
    </w:p>
    <w:p w14:paraId="78CD12A9">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1.4  合同文件的优先顺序</w:t>
      </w:r>
    </w:p>
    <w:p w14:paraId="4EA34ECA">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组成合同的各项文件应互相解释，互为说明，解释合同文件的优先顺序如下：</w:t>
      </w:r>
    </w:p>
    <w:p w14:paraId="17081D91">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（1）合同履行中双方签署的书面文件；</w:t>
      </w:r>
    </w:p>
    <w:p w14:paraId="53FBCA9F">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（2）合同协议书；</w:t>
      </w:r>
    </w:p>
    <w:p w14:paraId="7372A251">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（3）中标通知书；</w:t>
      </w:r>
    </w:p>
    <w:p w14:paraId="16C42D78">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（4）投标函；</w:t>
      </w:r>
    </w:p>
    <w:p w14:paraId="7DD935E2">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（5）专用合同条款；</w:t>
      </w:r>
    </w:p>
    <w:p w14:paraId="254DF8FC">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（6）通用合同条款；</w:t>
      </w:r>
    </w:p>
    <w:p w14:paraId="1923788B">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（7）技术标准和要求；</w:t>
      </w:r>
    </w:p>
    <w:p w14:paraId="0D3FC71A">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（8）图纸；</w:t>
      </w:r>
    </w:p>
    <w:p w14:paraId="4F8C3541">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（9）已标价的工程量清单；</w:t>
      </w:r>
    </w:p>
    <w:p w14:paraId="4079C98F">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（10）其他合同文件。</w:t>
      </w:r>
    </w:p>
    <w:p w14:paraId="2EEF63EF">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1.5  合同协议书</w:t>
      </w:r>
    </w:p>
    <w:p w14:paraId="4D420B0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1.5.1  合同价格和费用</w:t>
      </w:r>
    </w:p>
    <w:p w14:paraId="0C4CF83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本合同的承包价格和费用，包括承包人按照合同约定应当完成的全部合同范围内的工作及缺陷责任期内的全部工作。</w:t>
      </w:r>
    </w:p>
    <w:p w14:paraId="2B303BB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承发包人按以下</w:t>
      </w:r>
      <w:r>
        <w:rPr>
          <w:rFonts w:hint="eastAsia" w:ascii="宋体" w:hAnsi="宋体" w:eastAsia="宋体" w:cs="宋体"/>
          <w:color w:val="auto"/>
          <w:szCs w:val="21"/>
          <w:highlight w:val="none"/>
          <w:u w:val="single"/>
        </w:rPr>
        <w:t>（2）</w:t>
      </w:r>
      <w:r>
        <w:rPr>
          <w:rFonts w:hint="eastAsia" w:ascii="宋体" w:hAnsi="宋体" w:eastAsia="宋体" w:cs="宋体"/>
          <w:color w:val="auto"/>
          <w:szCs w:val="21"/>
          <w:highlight w:val="none"/>
        </w:rPr>
        <w:t>方式确定承包合同价格：</w:t>
      </w:r>
    </w:p>
    <w:p w14:paraId="05D6780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（1）固定总价合同；</w:t>
      </w:r>
    </w:p>
    <w:p w14:paraId="6A07844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（2）固定单价合同。</w:t>
      </w:r>
    </w:p>
    <w:p w14:paraId="784D0CB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1.5.2  合同生效的其他条件：</w:t>
      </w:r>
      <w:r>
        <w:rPr>
          <w:rFonts w:hint="eastAsia" w:ascii="宋体" w:hAnsi="宋体" w:eastAsia="宋体" w:cs="宋体"/>
          <w:color w:val="auto"/>
          <w:szCs w:val="21"/>
          <w:highlight w:val="none"/>
          <w:u w:val="single"/>
        </w:rPr>
        <w:t xml:space="preserve"> 双方签字盖章后合同生效  </w:t>
      </w:r>
      <w:r>
        <w:rPr>
          <w:rFonts w:hint="eastAsia" w:ascii="宋体" w:hAnsi="宋体" w:eastAsia="宋体" w:cs="宋体"/>
          <w:color w:val="auto"/>
          <w:szCs w:val="21"/>
          <w:highlight w:val="none"/>
        </w:rPr>
        <w:t>。</w:t>
      </w:r>
    </w:p>
    <w:p w14:paraId="68989C73">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1.6  图纸和承包人文件</w:t>
      </w:r>
    </w:p>
    <w:p w14:paraId="07D1D9B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  图纸的提供：</w:t>
      </w:r>
      <w:r>
        <w:rPr>
          <w:rFonts w:hint="eastAsia" w:ascii="宋体" w:hAnsi="宋体" w:eastAsia="宋体" w:cs="宋体"/>
          <w:color w:val="auto"/>
          <w:szCs w:val="21"/>
          <w:highlight w:val="none"/>
          <w:u w:val="single"/>
        </w:rPr>
        <w:t>发包人提供图纸4套</w:t>
      </w:r>
      <w:r>
        <w:rPr>
          <w:rFonts w:hint="eastAsia" w:ascii="宋体" w:hAnsi="宋体" w:eastAsia="宋体" w:cs="宋体"/>
          <w:color w:val="auto"/>
          <w:szCs w:val="21"/>
          <w:highlight w:val="none"/>
        </w:rPr>
        <w:t>。</w:t>
      </w:r>
    </w:p>
    <w:p w14:paraId="2BF70629">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1.7  联络</w:t>
      </w:r>
    </w:p>
    <w:p w14:paraId="0C3CF45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1.7.3  各类往来书面函件的联络送达期限：</w:t>
      </w:r>
    </w:p>
    <w:p w14:paraId="292448C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（1）邮件以“特快专递”、“挂号信函”方式邮寄，以收件人签收日期为准；</w:t>
      </w:r>
    </w:p>
    <w:p w14:paraId="54D7252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（2）传真、电子邮件以收件人发回确认回执日期为准；</w:t>
      </w:r>
    </w:p>
    <w:p w14:paraId="1632BEC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（3）人工送达以收件人签收日期为准。</w:t>
      </w:r>
    </w:p>
    <w:p w14:paraId="66BB39DC">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  转让</w:t>
      </w:r>
    </w:p>
    <w:p w14:paraId="0D4CD515">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1.8  合同转让：</w:t>
      </w:r>
      <w:r>
        <w:rPr>
          <w:rFonts w:hint="eastAsia" w:ascii="宋体" w:hAnsi="宋体" w:eastAsia="宋体" w:cs="宋体"/>
          <w:color w:val="auto"/>
          <w:szCs w:val="21"/>
          <w:highlight w:val="none"/>
          <w:u w:val="single"/>
        </w:rPr>
        <w:t xml:space="preserve"> 不允许 </w:t>
      </w:r>
      <w:r>
        <w:rPr>
          <w:rFonts w:hint="eastAsia" w:ascii="宋体" w:hAnsi="宋体" w:eastAsia="宋体" w:cs="宋体"/>
          <w:color w:val="auto"/>
          <w:szCs w:val="21"/>
          <w:highlight w:val="none"/>
        </w:rPr>
        <w:t>。</w:t>
      </w:r>
    </w:p>
    <w:p w14:paraId="48C2F071">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  发包人义务</w:t>
      </w:r>
    </w:p>
    <w:p w14:paraId="7D0D3CB1">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2.3  提供施工场地</w:t>
      </w:r>
    </w:p>
    <w:p w14:paraId="5D79335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2.3.1  发包人应在计划开工日期14天前，向承包人无偿提供能满足工程主体范围并有合理有效的施工作业面位置的施工水域或场地，提供现有的施工水域或场地面积，应满足招标文件的最低要求。</w:t>
      </w:r>
    </w:p>
    <w:p w14:paraId="0FC0D21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上述施工水域或场地应符合国家的有关规定，并已完成审批、征用、拆迁、补偿等工作。</w:t>
      </w:r>
    </w:p>
    <w:p w14:paraId="4C1FCFF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2.3.2  发包人应在计划开工日期14天前，提供能满足承包人生产、生活需要的临时施工水域或场地。</w:t>
      </w:r>
    </w:p>
    <w:p w14:paraId="3CAE48A7">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2.4  协助承包人办理证件和批件</w:t>
      </w:r>
    </w:p>
    <w:p w14:paraId="5EB61FC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2.4.1  协调处理施工场地周围地下管线和邻近建筑物、构筑物的保护工作。</w:t>
      </w:r>
    </w:p>
    <w:p w14:paraId="24495F9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2.4.2  协助解决对承包人施工有干扰的外部条件。</w:t>
      </w:r>
    </w:p>
    <w:p w14:paraId="0A8A88D8">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2.5  组织设计交底</w:t>
      </w:r>
    </w:p>
    <w:p w14:paraId="51FE1D2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2.5.1  发包人应在计划开工日期14天前，组织设计单位向承包人进行设计交底。设计交底会应由发包人主持，设计单位、承包人、监理人和工程有关方面的人员参加，会后应形成会议纪要。</w:t>
      </w:r>
    </w:p>
    <w:p w14:paraId="24C23527">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2.8  其他义务</w:t>
      </w:r>
    </w:p>
    <w:p w14:paraId="6EE382C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2.8.1  发包人应在合同协议书签署的同时任命发包人代表；发包人需更换其代表时，应至少提前10天书面通知承包人。</w:t>
      </w:r>
    </w:p>
    <w:p w14:paraId="297C932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2.8.2  发包人应协助承包人办理航行通告、抛泥区许可证等施工所需的各种手续。</w:t>
      </w:r>
    </w:p>
    <w:p w14:paraId="0698FE6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2.8.3  发包人应在计划开工日期14天前向承包人提供与施工现场相关的工程地质和地下管线资料，工程地质报告以及交验测量和水准点、坐标控制点等技术资料，并对其提供的上述资料的真实性、准确性负责。</w:t>
      </w:r>
    </w:p>
    <w:p w14:paraId="271753E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2.8.4  合同签订时，如果合同专用条款中所实行技术规范或标准有更新时，则发包人有权参照最新规范及标准实施本项目。</w:t>
      </w:r>
    </w:p>
    <w:p w14:paraId="78F6A147">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  监理人</w:t>
      </w:r>
    </w:p>
    <w:p w14:paraId="0E85FF90">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3.1  监理人的职责和权力</w:t>
      </w:r>
    </w:p>
    <w:p w14:paraId="1C3D5BAB">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监理人在行使下列权利前需要经发包人事先批准：</w:t>
      </w:r>
    </w:p>
    <w:p w14:paraId="211E6FD1">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(1)根据第4.3款，同意分包本工程的非主体和非关键性工作；</w:t>
      </w:r>
    </w:p>
    <w:p w14:paraId="6D0CB171">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(2)根据第4.11款下产生的费用增加额；</w:t>
      </w:r>
    </w:p>
    <w:p w14:paraId="516515BD">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(3)根据第11.3款、12.3款、12.4款发布开工通知、暂停施工指示或复工通知；</w:t>
      </w:r>
    </w:p>
    <w:p w14:paraId="056D2BD7">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(4)决定第11.3款、11.4款下的工期延长；</w:t>
      </w:r>
    </w:p>
    <w:p w14:paraId="07041909">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(5)审查批准技术标准和要求或设计的变更；</w:t>
      </w:r>
    </w:p>
    <w:p w14:paraId="5367AA40">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(6)根据第15.3款发出的变更指令，确定变更价格；</w:t>
      </w:r>
    </w:p>
    <w:p w14:paraId="7C9F5C60">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(7)确定第15.4款下变更工作的单价；</w:t>
      </w:r>
    </w:p>
    <w:p w14:paraId="2497588A">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(8)按照第15.6款决定有关暂列金额的使用；</w:t>
      </w:r>
    </w:p>
    <w:p w14:paraId="1FA808A1">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(9)确定第15.8款项下的暂估价金额；</w:t>
      </w:r>
    </w:p>
    <w:p w14:paraId="67AC6929">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(10)根据第16.1款规定，确定材料价格波动调整的合同价格；</w:t>
      </w:r>
    </w:p>
    <w:p w14:paraId="4EBD38A8">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(11)确定第23.1款项下的索赔额。</w:t>
      </w:r>
    </w:p>
    <w:p w14:paraId="24F924CB">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如果发生紧急情况，监理人认为将造成人员伤亡，或危及本工程或邻近的财产需立即采取行动，监理人有权在未征得发包人的批准的情况下发布处理紧急情况所必需的指令，承包人应予执行。监理人应按第3.5款商定或确定因上述指令产生的合同价格的增加额。</w:t>
      </w:r>
    </w:p>
    <w:p w14:paraId="50821B39">
      <w:pPr>
        <w:topLinePunct/>
        <w:snapToGrid w:val="0"/>
        <w:spacing w:line="360" w:lineRule="auto"/>
        <w:ind w:firstLine="413" w:firstLineChars="196"/>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增加：</w:t>
      </w:r>
    </w:p>
    <w:p w14:paraId="248C5EBD">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3.1.4 </w:t>
      </w:r>
      <w:r>
        <w:rPr>
          <w:rFonts w:hint="eastAsia" w:ascii="宋体" w:hAnsi="宋体" w:eastAsia="宋体" w:cs="宋体"/>
          <w:color w:val="auto"/>
          <w:spacing w:val="-2"/>
          <w:szCs w:val="21"/>
          <w:highlight w:val="none"/>
        </w:rPr>
        <w:t>监理人还应遵照《水运工程施工监理规范》以及监理规程行使职权。发包人将根据江苏省交通运输行业有关监理规定的文件编制适合本标段的监理管理办法，监理人应遵守上述办法规定</w:t>
      </w:r>
      <w:r>
        <w:rPr>
          <w:rFonts w:hint="eastAsia" w:ascii="宋体" w:hAnsi="宋体" w:eastAsia="宋体" w:cs="宋体"/>
          <w:color w:val="auto"/>
          <w:szCs w:val="21"/>
          <w:highlight w:val="none"/>
        </w:rPr>
        <w:t>。</w:t>
      </w:r>
    </w:p>
    <w:p w14:paraId="0513A469">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3.5  商定或确定</w:t>
      </w:r>
    </w:p>
    <w:p w14:paraId="623E02D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3.5.1项补充：</w:t>
      </w:r>
    </w:p>
    <w:p w14:paraId="24055197">
      <w:pPr>
        <w:spacing w:line="360" w:lineRule="auto"/>
        <w:ind w:firstLine="420" w:firstLineChars="200"/>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如果这项商定或确定导致费用增加和（或）工期延长，或者涉及确定变更工程的价格，则总监理工程师在发出通知前，应征得发包人的同意。</w:t>
      </w:r>
    </w:p>
    <w:p w14:paraId="2AE226AC">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  承包人</w:t>
      </w:r>
    </w:p>
    <w:p w14:paraId="20453AC6">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4.1  承包人的一般义务</w:t>
      </w:r>
    </w:p>
    <w:p w14:paraId="2C6918B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4.1.5  保证工程施工和人员的安全</w:t>
      </w:r>
    </w:p>
    <w:p w14:paraId="58FA2DE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4.1.5.1  承包人应按国家和有关部门的规定，对施工现场人员和施工船舶、机械、设备的防台风、防突风、防风暴潮、防汛、防雷击等进行安全管理，对施工现场加强治安防范和消防安全防护措施，并承担由于措施不力造成的事故责任和由此发生的费用。</w:t>
      </w:r>
    </w:p>
    <w:p w14:paraId="079BEC1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4.1.5.2  承包人在高压线、水上、水下及地下管线、易燃、易爆地段或其他有害环境下施工时，施工前应提出安全保护措施，经监理人审查同意后实施。监理人的同意不能免除承包人应承担的责任。防护措施费用由承包人承担。</w:t>
      </w:r>
    </w:p>
    <w:p w14:paraId="47FCE3A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4.1.5.3  施工现场发生安全事故时，承包人应立即采取有效措施，并将事故情况按规定上报有关</w:t>
      </w:r>
      <w:r>
        <w:rPr>
          <w:rFonts w:hint="eastAsia" w:ascii="宋体" w:hAnsi="宋体" w:eastAsia="宋体" w:cs="宋体"/>
          <w:color w:val="auto"/>
          <w:szCs w:val="21"/>
          <w:highlight w:val="none"/>
          <w:lang w:eastAsia="zh-CN"/>
        </w:rPr>
        <w:t>部门</w:t>
      </w:r>
      <w:r>
        <w:rPr>
          <w:rFonts w:hint="eastAsia" w:ascii="宋体" w:hAnsi="宋体" w:eastAsia="宋体" w:cs="宋体"/>
          <w:color w:val="auto"/>
          <w:szCs w:val="21"/>
          <w:highlight w:val="none"/>
        </w:rPr>
        <w:t>并报告发包人与监理人。</w:t>
      </w:r>
    </w:p>
    <w:p w14:paraId="4FC412F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  其他义务</w:t>
      </w:r>
    </w:p>
    <w:p w14:paraId="7FCE2046">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4.1.10.1  承包人应在开工3天前进驻施工场地，并将开工所需施工船舶、机械、设备按照合同约定进场到位。承包人必须组织采用证照、手续齐全，性能良好，确保能安全施工的船舶、机械、设备进行各项施工，在施工过程中所发生的一切安全责任均由承包人自行承担。</w:t>
      </w:r>
    </w:p>
    <w:p w14:paraId="2F079A3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4.1.10.2  承包人按照批准的临时设施总平面布置图及相关生活配套设施，负责施工现场的布置和临时设施的施工。承包人的驻地建设应满足发包人的要求。</w:t>
      </w:r>
    </w:p>
    <w:p w14:paraId="00995B2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4.1.10.3  承包人应妥善处理好与工程其他承包人的配合关系。发生交叉施工时，承包人和工程其他承包人应互相配合，友好协作，并服从监理人的统一协调。承包人由此增加的费用（如：由此而引起的局部临时停工等造成的费用增加）应认为已包括在承包人的合同价格之中，发包人不另行支付。</w:t>
      </w:r>
    </w:p>
    <w:p w14:paraId="08CCD45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4.1.10.4  承包人应根据工程施工情况及监理人的指令，及时向监理人提交开工报告、测量报告、试验检验报告、隐蔽工程验收通知、工程质量自检报告、竣工验收申请报告及工程事故报告等。</w:t>
      </w:r>
    </w:p>
    <w:p w14:paraId="591174E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4.1.10.5  承包人应支付为获得施工许可证及到海事船舶检验等有关证件所需的费用；办理应由承包人办理的施工所需各种证件、批件和其他审批手续。</w:t>
      </w:r>
    </w:p>
    <w:p w14:paraId="11F97B7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4.1.10.6  工程施工过程中，如工程确需影响到交通、港口等的正常运营以及附近建筑物的，承包人应申报监理人与发包人，并自行向相关部门申报（发包人可协助协调）获得批准后方可继续施工，并尽可能地缩短影响时间，因承包人的不作为或未按上述要求办理相关事宜而造成的有关部门的损失或相关费用，由承包人承担。</w:t>
      </w:r>
    </w:p>
    <w:p w14:paraId="3B1515C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4.1.10.7  承包人应采取一切措施，防止施工船舶、机械、设备及材料的沉没。若发生沉没，应立即向有关部门报告，并及时通知发包人与监理人。承包人应采取得当措施，及时设置浮标或障碍指示灯，直至打捞工作完成为止。</w:t>
      </w:r>
    </w:p>
    <w:p w14:paraId="4CFC12F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4.1.10.8  承包人应充分考虑到施工现场所有的设备、临时建筑等防火安全，配备足够的防火设备。</w:t>
      </w:r>
    </w:p>
    <w:p w14:paraId="587C238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4.1.10.9  承包人应在施工过程中对工程建筑物进行监测，并承担相应费用。</w:t>
      </w:r>
    </w:p>
    <w:p w14:paraId="3F92FDC6">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补充4.1.10.10～4.1.10.21：</w:t>
      </w:r>
    </w:p>
    <w:p w14:paraId="05B2A776">
      <w:pPr>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4.1.10.10  工程实施过程中，承包人应做好海事、水利、渔政、林业、航政、环保等部门的沟通、协调工作，施工期间本项目施工区域范围内海事、水利、渔政、林业、航政、环保等相关主管部门可能会根据各部门相关管理规定收取规费，相关费用由承包人自行考虑并承担，不单独计列，包含在投标人的投标总价及单价中。</w:t>
      </w:r>
    </w:p>
    <w:p w14:paraId="797E9BC0">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4.1.10.11  </w:t>
      </w:r>
      <w:r>
        <w:rPr>
          <w:rFonts w:hint="eastAsia" w:ascii="宋体" w:hAnsi="宋体" w:eastAsia="宋体" w:cs="宋体"/>
          <w:color w:val="auto"/>
          <w:szCs w:val="21"/>
          <w:highlight w:val="none"/>
        </w:rPr>
        <w:t>承包人应对全部现场作业和施工方法的适用性、可靠性和安全性承担全部责任。合同实施期间，采用新的或更高的标准或规范，合同价格不予调整。因征地拆迁和设计变更影响，承包人应因时制宜及时对施工组织和生产要素(工、料、机等)作好调整安排，避免造成停工停机损失。若承包人未及时做好妥善调整和安排，发包人不承担由此引起的索赔和补偿。</w:t>
      </w:r>
    </w:p>
    <w:p w14:paraId="32B8569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4.1.10.12  承包人为实施合同工程需要的施工用水、用电等，由承包人自行负责解决，并执行有关部门的用电、用水等管理，为此而发生的一切费用应列入相应价格中，发包人不另行支付。</w:t>
      </w:r>
    </w:p>
    <w:p w14:paraId="59DE3FC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4.1.10.13  工程实施过程中，质量检测、试验项目可委托相应行业的具有资质和检测能力的单位进行，但该外委单位必须征得发包人和监理人的同意，且费用由承包人承担。 </w:t>
      </w:r>
    </w:p>
    <w:p w14:paraId="714F0492">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4.1.10.1</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 xml:space="preserve">  承包人必须加强对地下管线等相关隐蔽设施的保护，承包人必须事先查明情况，办理相关施工交底手续后，方可进行对隐蔽设施可能产生影响的相关项目施工，否则造成后果，除了由承包人自行承担一切责任外，发包人还将严肃追究承包人的违约责任。</w:t>
      </w:r>
    </w:p>
    <w:p w14:paraId="35D065EA">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w:t>
      </w:r>
      <w:r>
        <w:rPr>
          <w:rFonts w:hint="eastAsia" w:ascii="宋体" w:hAnsi="宋体" w:eastAsia="宋体" w:cs="宋体"/>
          <w:color w:val="auto"/>
          <w:szCs w:val="21"/>
          <w:highlight w:val="none"/>
          <w:lang w:val="en-US" w:eastAsia="zh-CN"/>
        </w:rPr>
        <w:t>15</w:t>
      </w:r>
      <w:r>
        <w:rPr>
          <w:rFonts w:hint="eastAsia" w:ascii="宋体" w:hAnsi="宋体" w:eastAsia="宋体" w:cs="宋体"/>
          <w:color w:val="auto"/>
          <w:szCs w:val="21"/>
          <w:highlight w:val="none"/>
        </w:rPr>
        <w:t xml:space="preserve">  已完工程未向发包人交工之前，承包人应按合同规定负责已完工程的成品保护，保护期发生损坏，承包人自费予以修复。</w:t>
      </w:r>
    </w:p>
    <w:p w14:paraId="4654AEE2">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4.1.10.1</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 xml:space="preserve">  结合当地的实际情况，一个有经验的承包人应考虑到施工过程中会发生的由于施工及各种原因造成的地方矛盾和阻工问题，承包人自行负责解决，并支付所发生的一切费用。发包人协助做好协调工作。发包人的协调不免除承包人自行解决矛盾的任何责任。</w:t>
      </w:r>
    </w:p>
    <w:p w14:paraId="45C76C06">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w:t>
      </w:r>
      <w:r>
        <w:rPr>
          <w:rFonts w:hint="eastAsia" w:ascii="宋体" w:hAnsi="宋体" w:eastAsia="宋体" w:cs="宋体"/>
          <w:color w:val="auto"/>
          <w:szCs w:val="21"/>
          <w:highlight w:val="none"/>
          <w:lang w:val="en-US" w:eastAsia="zh-CN"/>
        </w:rPr>
        <w:t>17</w:t>
      </w:r>
      <w:r>
        <w:rPr>
          <w:rFonts w:hint="eastAsia" w:ascii="宋体" w:hAnsi="宋体" w:eastAsia="宋体" w:cs="宋体"/>
          <w:color w:val="auto"/>
          <w:szCs w:val="21"/>
          <w:highlight w:val="none"/>
        </w:rPr>
        <w:t xml:space="preserve">  施工现场三通和通讯条件，承包人应根据现场考察情况自行解决，并在投标价中予以考虑；</w:t>
      </w:r>
      <w:r>
        <w:rPr>
          <w:rFonts w:hint="eastAsia" w:ascii="宋体" w:hAnsi="宋体" w:eastAsia="宋体" w:cs="宋体"/>
          <w:b/>
          <w:bCs/>
          <w:color w:val="auto"/>
          <w:szCs w:val="21"/>
          <w:highlight w:val="none"/>
        </w:rPr>
        <w:t>工程实施过程中</w:t>
      </w:r>
      <w:r>
        <w:rPr>
          <w:rFonts w:hint="eastAsia" w:ascii="宋体" w:hAnsi="宋体" w:eastAsia="宋体" w:cs="宋体"/>
          <w:b/>
          <w:bCs/>
          <w:color w:val="auto"/>
          <w:szCs w:val="21"/>
          <w:highlight w:val="none"/>
          <w:lang w:val="en-US" w:eastAsia="zh-CN"/>
        </w:rPr>
        <w:t>围堰</w:t>
      </w:r>
      <w:r>
        <w:rPr>
          <w:rFonts w:hint="eastAsia" w:ascii="宋体" w:hAnsi="宋体" w:eastAsia="宋体" w:cs="宋体"/>
          <w:b/>
          <w:bCs/>
          <w:color w:val="auto"/>
          <w:szCs w:val="21"/>
          <w:highlight w:val="none"/>
        </w:rPr>
        <w:t>拆除后的所有材料以及结构件等归</w:t>
      </w:r>
      <w:r>
        <w:rPr>
          <w:rFonts w:hint="eastAsia" w:ascii="宋体" w:hAnsi="宋体" w:eastAsia="宋体" w:cs="宋体"/>
          <w:b/>
          <w:bCs/>
          <w:color w:val="auto"/>
          <w:szCs w:val="21"/>
          <w:highlight w:val="none"/>
          <w:lang w:val="en-US" w:eastAsia="zh-CN"/>
        </w:rPr>
        <w:t>承</w:t>
      </w:r>
      <w:r>
        <w:rPr>
          <w:rFonts w:hint="eastAsia" w:ascii="宋体" w:hAnsi="宋体" w:eastAsia="宋体" w:cs="宋体"/>
          <w:b/>
          <w:bCs/>
          <w:color w:val="auto"/>
          <w:szCs w:val="21"/>
          <w:highlight w:val="none"/>
        </w:rPr>
        <w:t>包人所有。</w:t>
      </w:r>
      <w:r>
        <w:rPr>
          <w:rFonts w:hint="eastAsia" w:ascii="宋体" w:hAnsi="宋体" w:eastAsia="宋体" w:cs="宋体"/>
          <w:color w:val="auto"/>
          <w:szCs w:val="21"/>
          <w:highlight w:val="none"/>
        </w:rPr>
        <w:t>承包人还必须充分考虑和理解工程的相互交叉和干扰，必须无条件地服从发包人的协调，由此可能发生的费用应计入报价中，在实际施工中，发包人不另承担由此产生的一切费用。承包人在工程建设期间不得损坏和污染发包人已完成的其他任何工程。</w:t>
      </w:r>
    </w:p>
    <w:p w14:paraId="6A588579">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 xml:space="preserve">  现场施工工地需要按标准化施工工地管理要求，设置护栏、围挡、标志、标牌及其他必要的所需设备设施，营造文明、安全施工工地。</w:t>
      </w:r>
    </w:p>
    <w:p w14:paraId="1B5A1601">
      <w:pPr>
        <w:pStyle w:val="19"/>
        <w:adjustRightInd w:val="0"/>
        <w:snapToGrid w:val="0"/>
        <w:spacing w:line="360" w:lineRule="auto"/>
        <w:ind w:firstLine="400" w:firstLineChars="2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①</w:t>
      </w:r>
      <w:r>
        <w:rPr>
          <w:rFonts w:hint="eastAsia" w:ascii="宋体" w:hAnsi="宋体" w:eastAsia="宋体" w:cs="宋体"/>
          <w:color w:val="auto"/>
          <w:highlight w:val="none"/>
        </w:rPr>
        <w:t>施工现场应做好各类围挡措施，围挡出入口应有专人看守，相关费用含入投标报价中，不另行计量支付。</w:t>
      </w:r>
    </w:p>
    <w:p w14:paraId="25230D59">
      <w:pPr>
        <w:pStyle w:val="19"/>
        <w:adjustRightInd w:val="0"/>
        <w:snapToGrid w:val="0"/>
        <w:spacing w:line="360" w:lineRule="auto"/>
        <w:ind w:firstLine="400" w:firstLineChars="2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②</w:t>
      </w:r>
      <w:r>
        <w:rPr>
          <w:rFonts w:hint="eastAsia" w:ascii="宋体" w:hAnsi="宋体" w:eastAsia="宋体" w:cs="宋体"/>
          <w:color w:val="auto"/>
          <w:highlight w:val="none"/>
        </w:rPr>
        <w:t>船闸</w:t>
      </w:r>
      <w:r>
        <w:rPr>
          <w:rFonts w:hint="eastAsia" w:ascii="宋体" w:hAnsi="宋体" w:eastAsia="宋体" w:cs="宋体"/>
          <w:color w:val="auto"/>
          <w:highlight w:val="none"/>
          <w:lang w:eastAsia="zh-CN"/>
        </w:rPr>
        <w:t>维修</w:t>
      </w:r>
      <w:r>
        <w:rPr>
          <w:rFonts w:hint="eastAsia" w:ascii="宋体" w:hAnsi="宋体" w:eastAsia="宋体" w:cs="宋体"/>
          <w:color w:val="auto"/>
          <w:highlight w:val="none"/>
        </w:rPr>
        <w:t>抽水期间</w:t>
      </w:r>
      <w:r>
        <w:rPr>
          <w:rFonts w:hint="eastAsia" w:ascii="宋体" w:hAnsi="宋体" w:eastAsia="宋体" w:cs="宋体"/>
          <w:color w:val="auto"/>
          <w:highlight w:val="none"/>
          <w:lang w:val="en-US" w:eastAsia="zh-CN"/>
        </w:rPr>
        <w:t>须配合做</w:t>
      </w:r>
      <w:r>
        <w:rPr>
          <w:rFonts w:hint="eastAsia" w:ascii="宋体" w:hAnsi="宋体" w:eastAsia="宋体" w:cs="宋体"/>
          <w:color w:val="auto"/>
          <w:highlight w:val="none"/>
        </w:rPr>
        <w:t>好靠船墩沉降及位移变形观测</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相关费用含入投标报价中，不另行计量支付。</w:t>
      </w:r>
    </w:p>
    <w:p w14:paraId="3845493A">
      <w:pPr>
        <w:pStyle w:val="19"/>
        <w:adjustRightInd w:val="0"/>
        <w:snapToGrid w:val="0"/>
        <w:spacing w:line="360" w:lineRule="auto"/>
        <w:ind w:firstLine="400" w:firstLineChars="200"/>
        <w:rPr>
          <w:rFonts w:hint="eastAsia" w:ascii="宋体" w:hAnsi="宋体" w:eastAsia="宋体" w:cs="宋体"/>
          <w:color w:val="auto"/>
          <w:szCs w:val="21"/>
          <w:highlight w:val="none"/>
        </w:rPr>
      </w:pPr>
      <w:r>
        <w:rPr>
          <w:rFonts w:hint="eastAsia" w:ascii="宋体" w:hAnsi="宋体" w:eastAsia="宋体" w:cs="宋体"/>
          <w:color w:val="auto"/>
          <w:highlight w:val="none"/>
          <w:lang w:val="en-US" w:eastAsia="zh-CN"/>
        </w:rPr>
        <w:t>③</w:t>
      </w:r>
      <w:r>
        <w:rPr>
          <w:rFonts w:hint="eastAsia" w:ascii="宋体" w:hAnsi="宋体" w:eastAsia="宋体" w:cs="宋体"/>
          <w:color w:val="auto"/>
          <w:highlight w:val="none"/>
        </w:rPr>
        <w:t>承包人应编制围堰施工专项方案，经发包人审查通过后再行实施。承包人应充分考虑围堰施工中可能的干扰，相关费用含入投标报价中。</w:t>
      </w:r>
    </w:p>
    <w:p w14:paraId="319DD46B">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w:t>
      </w:r>
      <w:r>
        <w:rPr>
          <w:rFonts w:hint="eastAsia" w:ascii="宋体" w:hAnsi="宋体" w:eastAsia="宋体" w:cs="宋体"/>
          <w:color w:val="auto"/>
          <w:szCs w:val="21"/>
          <w:highlight w:val="none"/>
          <w:lang w:val="en-US" w:eastAsia="zh-CN"/>
        </w:rPr>
        <w:t>19</w:t>
      </w:r>
      <w:r>
        <w:rPr>
          <w:rFonts w:hint="eastAsia" w:ascii="宋体" w:hAnsi="宋体" w:eastAsia="宋体" w:cs="宋体"/>
          <w:color w:val="auto"/>
          <w:szCs w:val="21"/>
          <w:highlight w:val="none"/>
        </w:rPr>
        <w:t xml:space="preserve">  为保证发包人近期同时进行的各工程项目顺利实施，发包人有可能对本项目分批、分期实施，承包人必须服从监理及发包人的统一安排，为此而发生的一切费用投标人应计入投标价格中。承包人为此产生的一切损失，发包人将不另行支付。</w:t>
      </w:r>
    </w:p>
    <w:p w14:paraId="49E3AB7B">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w:t>
      </w:r>
      <w:r>
        <w:rPr>
          <w:rFonts w:hint="eastAsia" w:ascii="宋体" w:hAnsi="宋体" w:eastAsia="宋体" w:cs="宋体"/>
          <w:color w:val="auto"/>
          <w:szCs w:val="21"/>
          <w:highlight w:val="none"/>
          <w:lang w:val="en-US" w:eastAsia="zh-CN"/>
        </w:rPr>
        <w:t>20</w:t>
      </w:r>
      <w:r>
        <w:rPr>
          <w:rFonts w:hint="eastAsia" w:ascii="宋体" w:hAnsi="宋体" w:eastAsia="宋体" w:cs="宋体"/>
          <w:color w:val="auto"/>
          <w:szCs w:val="21"/>
          <w:highlight w:val="none"/>
        </w:rPr>
        <w:t xml:space="preserve">  根据“交通运输部《公路水运工程安全生产监督管理办法》（〔2017〕第25号）”的规定，承包人应配备相应的安全生产管理人员及设备。承包人必须组织采用证照、手续齐全，性能良好，确保能安全施工的车辆、设备进行各项施工，在施工过程中非因发包人原因所发生的一切安全事故均由承包人自行负责。</w:t>
      </w:r>
      <w:r>
        <w:rPr>
          <w:rFonts w:hint="eastAsia" w:ascii="宋体" w:hAnsi="宋体" w:eastAsia="宋体" w:cs="宋体"/>
          <w:b/>
          <w:bCs/>
          <w:color w:val="auto"/>
          <w:szCs w:val="21"/>
          <w:highlight w:val="none"/>
        </w:rPr>
        <w:t>承包人根据《安全生产责任保险实施办法》的通知（应急〔2025〕27号）要求必须投保安全生产责任险，保险费用包含在安全生产费中，据实计量支付。</w:t>
      </w:r>
    </w:p>
    <w:p w14:paraId="5DD2D843">
      <w:pPr>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4.1.10.2</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 xml:space="preserve">  除非合同另有规定，承包人应自行聘（雇）用当地或其他来源的职员或工人，但不得从为发包人或监理人服务的人员中招聘雇员和工人。承包人雇用员工应完善劳务注册手续，并与他雇用的员工订立劳务合同，以明确双方的权利和义务。</w:t>
      </w:r>
    </w:p>
    <w:p w14:paraId="5E862390">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4.1.10.2</w:t>
      </w:r>
      <w:r>
        <w:rPr>
          <w:rFonts w:hint="eastAsia" w:ascii="宋体" w:hAnsi="宋体" w:eastAsia="宋体" w:cs="宋体"/>
          <w:bCs/>
          <w:color w:val="auto"/>
          <w:szCs w:val="21"/>
          <w:highlight w:val="none"/>
          <w:lang w:val="en-US" w:eastAsia="zh-CN"/>
        </w:rPr>
        <w:t>2</w:t>
      </w:r>
      <w:r>
        <w:rPr>
          <w:rFonts w:hint="eastAsia" w:ascii="宋体" w:hAnsi="宋体" w:eastAsia="宋体" w:cs="宋体"/>
          <w:b/>
          <w:color w:val="auto"/>
          <w:szCs w:val="21"/>
          <w:highlight w:val="none"/>
        </w:rPr>
        <w:t xml:space="preserve">  </w:t>
      </w:r>
      <w:r>
        <w:rPr>
          <w:rFonts w:hint="eastAsia" w:ascii="宋体" w:hAnsi="宋体" w:eastAsia="宋体" w:cs="宋体"/>
          <w:color w:val="auto"/>
          <w:szCs w:val="21"/>
          <w:highlight w:val="none"/>
        </w:rPr>
        <w:t>关于劳动用工和农民工工资：</w:t>
      </w:r>
    </w:p>
    <w:p w14:paraId="45F719F5">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 关于劳动用工管理</w:t>
      </w:r>
    </w:p>
    <w:p w14:paraId="6F272D4B">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承包人（包括其分包人）应依法与所招用的农民工订立劳动合同并进行用工实名登记，通过相应的管理服务信息平台（如有）进行用工实名登记、管理。未与承包人（包括其分包人）订立劳动合同并进行用工实名登记的人员，不得进入项目现场施工。</w:t>
      </w:r>
    </w:p>
    <w:p w14:paraId="03F7C27E">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b.承包人应在工程项目部配备劳资专管员，对分包人劳动用工实施监督管理，掌握施工现场用工、考勤、工资支付等情况，审核分包人编制的农民工工资支付表。</w:t>
      </w:r>
    </w:p>
    <w:p w14:paraId="5558259A">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c.承包人（包括其分包人）应建立用工管理台账，并保存至工程完工且工资全部结清后至少3年。</w:t>
      </w:r>
    </w:p>
    <w:p w14:paraId="35EDAA60">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 关于农民工工资支付形式与周期</w:t>
      </w:r>
    </w:p>
    <w:p w14:paraId="0FABF4C9">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a.农民工工资应以货币形式，通过银行转账或者现金支付给农民工本人，不得以实物或者有价证券等其他形式替代。</w:t>
      </w:r>
    </w:p>
    <w:p w14:paraId="06C60769">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b.承包人（包括其分包人）应按照与农民工订立的劳动合同中约定的工资支付周期和具体支付日期足额支付工资。</w:t>
      </w:r>
    </w:p>
    <w:p w14:paraId="7696E38D">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 关于维权信息公示</w:t>
      </w:r>
    </w:p>
    <w:p w14:paraId="144E7B29">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承包人应在施工现场醒目位置设立维权信息告示牌，明示下列事项：</w:t>
      </w:r>
    </w:p>
    <w:p w14:paraId="60AAC5ED">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a.发包人、承包人及所在项目部、分包人、工程建设主管部门、劳资专管员等基本信息；</w:t>
      </w:r>
    </w:p>
    <w:p w14:paraId="124B723E">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b.当地最低工资标准、工资支付日期等基本信息；</w:t>
      </w:r>
    </w:p>
    <w:p w14:paraId="10BF8C1D">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c.工程建设主管部门和劳动保障监察投诉举报电话、劳动争议调解仲裁申请渠道、法律援助申请渠道、公共法律服务热线等信息。</w:t>
      </w:r>
    </w:p>
    <w:p w14:paraId="29362734">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⑤承包人应按时足额存储农民工工资保证金或者提交银行保函，具体要求见《江苏省工程建设领域农民工工资保证金管理办法》（苏人社规〔2022〕4号印发）。</w:t>
      </w:r>
    </w:p>
    <w:p w14:paraId="6254AFE4">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4.2  履约保证金</w:t>
      </w:r>
    </w:p>
    <w:p w14:paraId="60A64ECB">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本款细化为：</w:t>
      </w:r>
    </w:p>
    <w:p w14:paraId="0952057C">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承包人在收到中标通知书后14天之内并在签订合同协议书之前，</w:t>
      </w:r>
      <w:r>
        <w:rPr>
          <w:rFonts w:hint="eastAsia" w:ascii="宋体" w:hAnsi="宋体" w:eastAsia="宋体" w:cs="宋体"/>
          <w:b/>
          <w:color w:val="auto"/>
          <w:szCs w:val="21"/>
          <w:highlight w:val="none"/>
        </w:rPr>
        <w:t>应向发包人提交签约合同价的</w:t>
      </w:r>
      <w:r>
        <w:rPr>
          <w:rFonts w:hint="eastAsia" w:ascii="宋体" w:hAnsi="宋体" w:eastAsia="宋体" w:cs="宋体"/>
          <w:b/>
          <w:color w:val="auto"/>
          <w:szCs w:val="21"/>
          <w:highlight w:val="none"/>
          <w:lang w:val="en-US" w:eastAsia="zh-CN"/>
        </w:rPr>
        <w:t>10</w:t>
      </w:r>
      <w:r>
        <w:rPr>
          <w:rFonts w:hint="eastAsia" w:ascii="宋体" w:hAnsi="宋体" w:eastAsia="宋体" w:cs="宋体"/>
          <w:b/>
          <w:color w:val="auto"/>
          <w:szCs w:val="21"/>
          <w:highlight w:val="none"/>
        </w:rPr>
        <w:t>％的履约担保</w:t>
      </w:r>
      <w:r>
        <w:rPr>
          <w:rFonts w:hint="eastAsia" w:ascii="宋体" w:hAnsi="宋体" w:eastAsia="宋体" w:cs="宋体"/>
          <w:color w:val="auto"/>
          <w:szCs w:val="21"/>
          <w:highlight w:val="none"/>
        </w:rPr>
        <w:t>，同时通知监理人。担保金额在投标函附录中写明。履约担保采用</w:t>
      </w:r>
      <w:r>
        <w:rPr>
          <w:rFonts w:hint="eastAsia" w:ascii="宋体" w:hAnsi="宋体" w:eastAsia="宋体" w:cs="宋体"/>
          <w:bCs/>
          <w:color w:val="auto"/>
          <w:szCs w:val="21"/>
          <w:highlight w:val="none"/>
        </w:rPr>
        <w:t>转账、电汇、银行保函</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担保保函、</w:t>
      </w:r>
      <w:r>
        <w:rPr>
          <w:rFonts w:hint="eastAsia" w:ascii="宋体" w:hAnsi="宋体" w:eastAsia="宋体" w:cs="宋体"/>
          <w:bCs/>
          <w:color w:val="auto"/>
          <w:szCs w:val="21"/>
          <w:highlight w:val="none"/>
        </w:rPr>
        <w:t>工程保证保险</w:t>
      </w:r>
      <w:r>
        <w:rPr>
          <w:rFonts w:hint="eastAsia" w:ascii="宋体" w:hAnsi="宋体" w:eastAsia="宋体" w:cs="宋体"/>
          <w:bCs/>
          <w:color w:val="auto"/>
          <w:szCs w:val="21"/>
          <w:highlight w:val="none"/>
          <w:lang w:val="en-US" w:eastAsia="zh-CN"/>
        </w:rPr>
        <w:t>等</w:t>
      </w:r>
      <w:r>
        <w:rPr>
          <w:rFonts w:hint="eastAsia" w:ascii="宋体" w:hAnsi="宋体" w:eastAsia="宋体" w:cs="宋体"/>
          <w:bCs/>
          <w:color w:val="auto"/>
          <w:szCs w:val="21"/>
          <w:highlight w:val="none"/>
        </w:rPr>
        <w:t>或</w:t>
      </w:r>
      <w:r>
        <w:rPr>
          <w:rFonts w:hint="eastAsia" w:ascii="宋体" w:hAnsi="宋体" w:eastAsia="宋体" w:cs="宋体"/>
          <w:bCs/>
          <w:color w:val="auto"/>
          <w:szCs w:val="21"/>
          <w:highlight w:val="none"/>
          <w:lang w:val="en-US" w:eastAsia="zh-CN"/>
        </w:rPr>
        <w:t>发包人</w:t>
      </w:r>
      <w:r>
        <w:rPr>
          <w:rFonts w:hint="eastAsia" w:ascii="宋体" w:hAnsi="宋体" w:eastAsia="宋体" w:cs="宋体"/>
          <w:bCs/>
          <w:color w:val="auto"/>
          <w:szCs w:val="21"/>
          <w:highlight w:val="none"/>
        </w:rPr>
        <w:t>认可的其他方式</w:t>
      </w:r>
      <w:r>
        <w:rPr>
          <w:rFonts w:hint="eastAsia" w:ascii="宋体" w:hAnsi="宋体" w:eastAsia="宋体" w:cs="宋体"/>
          <w:color w:val="auto"/>
          <w:szCs w:val="21"/>
          <w:highlight w:val="none"/>
        </w:rPr>
        <w:t>，保函应采用招标文件所附的或发包人事先同意的格式，并保证其有效。保函的正本由发包人保存。执行本条各项要求所需的费用由承包人承担。</w:t>
      </w:r>
    </w:p>
    <w:p w14:paraId="2E565F90">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承包人应保证其履约保证金在发包人签发验收证书且承包人按照合同约定缴纳质量保证金前一直有效。发包人应在收到承包人缴纳的质量保证金后28天内将履约保证金退还给承包人。</w:t>
      </w:r>
    </w:p>
    <w:p w14:paraId="65F3FB9A">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承包人拒绝按照本合同约定缴纳质量保证金的，发包人有权从</w:t>
      </w:r>
      <w:r>
        <w:rPr>
          <w:rFonts w:hint="eastAsia" w:ascii="宋体" w:hAnsi="宋体" w:eastAsia="宋体" w:cs="宋体"/>
          <w:color w:val="auto"/>
          <w:szCs w:val="21"/>
          <w:highlight w:val="none"/>
          <w:lang w:val="en-US" w:eastAsia="zh-CN"/>
        </w:rPr>
        <w:t>竣</w:t>
      </w:r>
      <w:r>
        <w:rPr>
          <w:rFonts w:hint="eastAsia" w:ascii="宋体" w:hAnsi="宋体" w:eastAsia="宋体" w:cs="宋体"/>
          <w:color w:val="auto"/>
          <w:szCs w:val="21"/>
          <w:highlight w:val="none"/>
        </w:rPr>
        <w:t>工付款证书中扣留相应金额作为质量保证金，或者直接将履约保证金金额用于保证承包人在缺陷责任期内履行缺陷修复义务。</w:t>
      </w:r>
    </w:p>
    <w:p w14:paraId="647AFEE6">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4.3  分包</w:t>
      </w:r>
    </w:p>
    <w:p w14:paraId="5D3863DA">
      <w:pPr>
        <w:spacing w:line="360" w:lineRule="auto"/>
        <w:ind w:firstLine="422" w:firstLineChars="200"/>
        <w:rPr>
          <w:rFonts w:hint="eastAsia" w:ascii="宋体" w:hAnsi="宋体" w:eastAsia="宋体" w:cs="宋体"/>
          <w:color w:val="auto"/>
          <w:szCs w:val="21"/>
          <w:highlight w:val="none"/>
        </w:rPr>
      </w:pPr>
      <w:r>
        <w:rPr>
          <w:rFonts w:hint="eastAsia" w:ascii="宋体" w:hAnsi="宋体" w:eastAsia="宋体" w:cs="宋体"/>
          <w:b/>
          <w:bCs/>
          <w:color w:val="auto"/>
          <w:szCs w:val="28"/>
          <w:highlight w:val="none"/>
          <w:lang w:val="en-US" w:eastAsia="zh-CN"/>
        </w:rPr>
        <w:t>不允许。</w:t>
      </w:r>
    </w:p>
    <w:p w14:paraId="63C979FC">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4.5  承包人的项目经理</w:t>
      </w:r>
    </w:p>
    <w:p w14:paraId="4F98DD3D">
      <w:pPr>
        <w:spacing w:line="360" w:lineRule="auto"/>
        <w:ind w:firstLine="422" w:firstLineChars="200"/>
        <w:rPr>
          <w:rFonts w:hint="eastAsia" w:ascii="宋体" w:hAnsi="宋体" w:eastAsia="宋体" w:cs="宋体"/>
          <w:bCs/>
          <w:color w:val="auto"/>
          <w:szCs w:val="21"/>
          <w:highlight w:val="none"/>
        </w:rPr>
      </w:pPr>
      <w:r>
        <w:rPr>
          <w:rFonts w:hint="eastAsia" w:ascii="宋体" w:hAnsi="宋体" w:eastAsia="宋体" w:cs="宋体"/>
          <w:b/>
          <w:bCs/>
          <w:color w:val="auto"/>
          <w:szCs w:val="21"/>
          <w:highlight w:val="none"/>
        </w:rPr>
        <w:t>投标人在投标文件中承诺的拟投入本工程的项目经理、项目总工目前应没有参加其他在建工程，或必须有目前在建工程的发包人书面撤离证明</w:t>
      </w:r>
      <w:r>
        <w:rPr>
          <w:rFonts w:hint="eastAsia" w:ascii="宋体" w:hAnsi="宋体" w:eastAsia="宋体" w:cs="宋体"/>
          <w:bCs/>
          <w:color w:val="auto"/>
          <w:szCs w:val="21"/>
          <w:highlight w:val="none"/>
        </w:rPr>
        <w:t>，以证明一旦投标人中标，该上述人员能立即撤出目前的在建工程，并能确保在发包人规定的时</w:t>
      </w:r>
      <w:r>
        <w:rPr>
          <w:rFonts w:hint="eastAsia" w:ascii="宋体" w:hAnsi="宋体" w:eastAsia="宋体" w:cs="宋体"/>
          <w:bCs/>
          <w:color w:val="auto"/>
          <w:szCs w:val="21"/>
          <w:highlight w:val="none"/>
          <w:lang w:eastAsia="zh-CN"/>
        </w:rPr>
        <w:t>间内</w:t>
      </w:r>
      <w:r>
        <w:rPr>
          <w:rFonts w:hint="eastAsia" w:ascii="宋体" w:hAnsi="宋体" w:eastAsia="宋体" w:cs="宋体"/>
          <w:bCs/>
          <w:color w:val="auto"/>
          <w:szCs w:val="21"/>
          <w:highlight w:val="none"/>
        </w:rPr>
        <w:t>进场，开展本工程。</w:t>
      </w:r>
    </w:p>
    <w:p w14:paraId="76F525A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发包人将对项目经理、项目总工</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专职安全员</w:t>
      </w:r>
      <w:r>
        <w:rPr>
          <w:rFonts w:hint="eastAsia" w:ascii="宋体" w:hAnsi="宋体" w:eastAsia="宋体" w:cs="宋体"/>
          <w:bCs/>
          <w:color w:val="auto"/>
          <w:szCs w:val="21"/>
          <w:highlight w:val="none"/>
        </w:rPr>
        <w:t>实行考勤制度，必须保证每月至少有22天在</w:t>
      </w:r>
      <w:r>
        <w:rPr>
          <w:rFonts w:hint="eastAsia" w:ascii="宋体" w:hAnsi="宋体" w:eastAsia="宋体" w:cs="宋体"/>
          <w:bCs/>
          <w:color w:val="auto"/>
          <w:szCs w:val="21"/>
          <w:highlight w:val="none"/>
          <w:lang w:val="en-US" w:eastAsia="zh-CN"/>
        </w:rPr>
        <w:t>施工</w:t>
      </w:r>
      <w:r>
        <w:rPr>
          <w:rFonts w:hint="eastAsia" w:ascii="宋体" w:hAnsi="宋体" w:eastAsia="宋体" w:cs="宋体"/>
          <w:bCs/>
          <w:color w:val="auto"/>
          <w:szCs w:val="21"/>
          <w:highlight w:val="none"/>
        </w:rPr>
        <w:t>现场</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否则按</w:t>
      </w:r>
      <w:r>
        <w:rPr>
          <w:rFonts w:hint="eastAsia" w:ascii="宋体" w:hAnsi="宋体" w:eastAsia="宋体" w:cs="宋体"/>
          <w:bCs/>
          <w:color w:val="auto"/>
          <w:szCs w:val="21"/>
          <w:highlight w:val="none"/>
          <w:lang w:val="en-US" w:eastAsia="zh-CN"/>
        </w:rPr>
        <w:t>0.1万</w:t>
      </w:r>
      <w:r>
        <w:rPr>
          <w:rFonts w:hint="eastAsia" w:ascii="宋体" w:hAnsi="宋体" w:eastAsia="宋体" w:cs="宋体"/>
          <w:bCs/>
          <w:color w:val="auto"/>
          <w:szCs w:val="21"/>
          <w:highlight w:val="none"/>
        </w:rPr>
        <w:t>元/人•天</w:t>
      </w:r>
      <w:r>
        <w:rPr>
          <w:rFonts w:hint="eastAsia" w:ascii="宋体" w:hAnsi="宋体" w:eastAsia="宋体" w:cs="宋体"/>
          <w:bCs/>
          <w:color w:val="auto"/>
          <w:szCs w:val="21"/>
          <w:highlight w:val="none"/>
          <w:lang w:val="en-US" w:eastAsia="zh-CN"/>
        </w:rPr>
        <w:t>计取</w:t>
      </w:r>
      <w:r>
        <w:rPr>
          <w:rFonts w:hint="eastAsia" w:ascii="宋体" w:hAnsi="宋体" w:eastAsia="宋体" w:cs="宋体"/>
          <w:bCs/>
          <w:color w:val="auto"/>
          <w:szCs w:val="21"/>
          <w:highlight w:val="none"/>
        </w:rPr>
        <w:t>违约金。</w:t>
      </w:r>
    </w:p>
    <w:p w14:paraId="1356FC46">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未事先征得发包人同意，承包人不得擅自更换项目经理、项目总工（技术负责人）</w:t>
      </w:r>
      <w:r>
        <w:rPr>
          <w:rFonts w:hint="eastAsia" w:ascii="宋体" w:hAnsi="宋体" w:eastAsia="宋体" w:cs="宋体"/>
          <w:bCs/>
          <w:color w:val="auto"/>
          <w:szCs w:val="21"/>
          <w:highlight w:val="none"/>
          <w:lang w:val="en-US" w:eastAsia="zh-CN"/>
        </w:rPr>
        <w:t>及专职安全员</w:t>
      </w:r>
      <w:r>
        <w:rPr>
          <w:rFonts w:hint="eastAsia" w:ascii="宋体" w:hAnsi="宋体" w:eastAsia="宋体" w:cs="宋体"/>
          <w:bCs/>
          <w:color w:val="auto"/>
          <w:szCs w:val="21"/>
          <w:highlight w:val="none"/>
        </w:rPr>
        <w:t>，但发包人有权根据工程实施情况要求承包人更换项目经理、项目总工（技术负责人）</w:t>
      </w:r>
      <w:r>
        <w:rPr>
          <w:rFonts w:hint="eastAsia" w:ascii="宋体" w:hAnsi="宋体" w:eastAsia="宋体" w:cs="宋体"/>
          <w:bCs/>
          <w:color w:val="auto"/>
          <w:szCs w:val="21"/>
          <w:highlight w:val="none"/>
          <w:lang w:val="en-US" w:eastAsia="zh-CN"/>
        </w:rPr>
        <w:t>及专职安全员</w:t>
      </w:r>
      <w:r>
        <w:rPr>
          <w:rFonts w:hint="eastAsia" w:ascii="宋体" w:hAnsi="宋体" w:eastAsia="宋体" w:cs="宋体"/>
          <w:bCs/>
          <w:color w:val="auto"/>
          <w:szCs w:val="21"/>
          <w:highlight w:val="none"/>
        </w:rPr>
        <w:t>，对此，承包人不得拒绝。未事先征得发包人同意，承包人擅自更换项目经理</w:t>
      </w:r>
      <w:r>
        <w:rPr>
          <w:rFonts w:hint="eastAsia" w:ascii="宋体" w:hAnsi="宋体" w:eastAsia="宋体" w:cs="宋体"/>
          <w:bCs/>
          <w:color w:val="auto"/>
          <w:szCs w:val="21"/>
          <w:highlight w:val="none"/>
          <w:lang w:val="en-US" w:eastAsia="zh-CN"/>
        </w:rPr>
        <w:t>按</w:t>
      </w:r>
      <w:r>
        <w:rPr>
          <w:rFonts w:hint="eastAsia" w:ascii="宋体" w:hAnsi="宋体" w:eastAsia="宋体" w:cs="宋体"/>
          <w:bCs/>
          <w:color w:val="auto"/>
          <w:szCs w:val="21"/>
          <w:highlight w:val="none"/>
        </w:rPr>
        <w:t>每人次</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万元人民币</w:t>
      </w:r>
      <w:r>
        <w:rPr>
          <w:rFonts w:hint="eastAsia" w:ascii="宋体" w:hAnsi="宋体" w:eastAsia="宋体" w:cs="宋体"/>
          <w:bCs/>
          <w:color w:val="auto"/>
          <w:szCs w:val="21"/>
          <w:highlight w:val="none"/>
          <w:lang w:val="en-US" w:eastAsia="zh-CN"/>
        </w:rPr>
        <w:t>计取</w:t>
      </w:r>
      <w:r>
        <w:rPr>
          <w:rFonts w:hint="eastAsia" w:ascii="宋体" w:hAnsi="宋体" w:eastAsia="宋体" w:cs="宋体"/>
          <w:bCs/>
          <w:color w:val="auto"/>
          <w:szCs w:val="21"/>
          <w:highlight w:val="none"/>
        </w:rPr>
        <w:t>违约</w:t>
      </w:r>
      <w:r>
        <w:rPr>
          <w:rFonts w:hint="eastAsia" w:ascii="宋体" w:hAnsi="宋体" w:eastAsia="宋体" w:cs="宋体"/>
          <w:bCs/>
          <w:color w:val="auto"/>
          <w:szCs w:val="21"/>
          <w:highlight w:val="none"/>
          <w:lang w:val="en-US" w:eastAsia="zh-CN"/>
        </w:rPr>
        <w:t>金</w:t>
      </w:r>
      <w:r>
        <w:rPr>
          <w:rFonts w:hint="eastAsia" w:ascii="宋体" w:hAnsi="宋体" w:eastAsia="宋体" w:cs="宋体"/>
          <w:bCs/>
          <w:color w:val="auto"/>
          <w:szCs w:val="21"/>
          <w:highlight w:val="none"/>
        </w:rPr>
        <w:t>，更换项目总工</w:t>
      </w:r>
      <w:r>
        <w:rPr>
          <w:rFonts w:hint="eastAsia" w:ascii="宋体" w:hAnsi="宋体" w:eastAsia="宋体" w:cs="宋体"/>
          <w:bCs/>
          <w:color w:val="auto"/>
          <w:szCs w:val="21"/>
          <w:highlight w:val="none"/>
          <w:lang w:val="en-US" w:eastAsia="zh-CN"/>
        </w:rPr>
        <w:t>及专职安全员按</w:t>
      </w:r>
      <w:r>
        <w:rPr>
          <w:rFonts w:hint="eastAsia" w:ascii="宋体" w:hAnsi="宋体" w:eastAsia="宋体" w:cs="宋体"/>
          <w:bCs/>
          <w:color w:val="auto"/>
          <w:szCs w:val="21"/>
          <w:highlight w:val="none"/>
        </w:rPr>
        <w:t>每人次</w:t>
      </w:r>
      <w:r>
        <w:rPr>
          <w:rFonts w:hint="eastAsia" w:ascii="宋体" w:hAnsi="宋体" w:eastAsia="宋体" w:cs="宋体"/>
          <w:bCs/>
          <w:color w:val="auto"/>
          <w:szCs w:val="21"/>
          <w:highlight w:val="none"/>
          <w:lang w:val="en-US" w:eastAsia="zh-CN"/>
        </w:rPr>
        <w:t>1</w:t>
      </w:r>
      <w:r>
        <w:rPr>
          <w:rFonts w:hint="eastAsia" w:ascii="宋体" w:hAnsi="宋体" w:eastAsia="宋体" w:cs="宋体"/>
          <w:bCs/>
          <w:color w:val="auto"/>
          <w:szCs w:val="21"/>
          <w:highlight w:val="none"/>
        </w:rPr>
        <w:t>万元人民币</w:t>
      </w:r>
      <w:r>
        <w:rPr>
          <w:rFonts w:hint="eastAsia" w:ascii="宋体" w:hAnsi="宋体" w:eastAsia="宋体" w:cs="宋体"/>
          <w:bCs/>
          <w:color w:val="auto"/>
          <w:szCs w:val="21"/>
          <w:highlight w:val="none"/>
          <w:lang w:val="en-US" w:eastAsia="zh-CN"/>
        </w:rPr>
        <w:t>计取</w:t>
      </w:r>
      <w:r>
        <w:rPr>
          <w:rFonts w:hint="eastAsia" w:ascii="宋体" w:hAnsi="宋体" w:eastAsia="宋体" w:cs="宋体"/>
          <w:bCs/>
          <w:color w:val="auto"/>
          <w:szCs w:val="21"/>
          <w:highlight w:val="none"/>
        </w:rPr>
        <w:t>违约</w:t>
      </w:r>
      <w:r>
        <w:rPr>
          <w:rFonts w:hint="eastAsia" w:ascii="宋体" w:hAnsi="宋体" w:eastAsia="宋体" w:cs="宋体"/>
          <w:bCs/>
          <w:color w:val="auto"/>
          <w:szCs w:val="21"/>
          <w:highlight w:val="none"/>
          <w:lang w:val="en-US" w:eastAsia="zh-CN"/>
        </w:rPr>
        <w:t>金</w:t>
      </w:r>
      <w:r>
        <w:rPr>
          <w:rFonts w:hint="eastAsia" w:ascii="宋体" w:hAnsi="宋体" w:eastAsia="宋体" w:cs="宋体"/>
          <w:bCs/>
          <w:color w:val="auto"/>
          <w:szCs w:val="21"/>
          <w:highlight w:val="none"/>
        </w:rPr>
        <w:t>。</w:t>
      </w:r>
    </w:p>
    <w:p w14:paraId="7D49AEEB">
      <w:pPr>
        <w:spacing w:line="360" w:lineRule="auto"/>
        <w:ind w:firstLine="420" w:firstLineChars="200"/>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因特殊原因确需更换的，所更换的人员不得低于投标文件承诺的标准，并经书面申报，在发包人批准同意后方可进场。发包人还将收取更换人员的违约金（或审查费）：项目经理违约金（或审查费）</w:t>
      </w:r>
      <w:r>
        <w:rPr>
          <w:rFonts w:hint="eastAsia" w:ascii="宋体" w:hAnsi="宋体" w:eastAsia="宋体" w:cs="宋体"/>
          <w:bCs/>
          <w:color w:val="auto"/>
          <w:szCs w:val="21"/>
          <w:highlight w:val="none"/>
          <w:lang w:val="en-US" w:eastAsia="zh-CN"/>
        </w:rPr>
        <w:t>1</w:t>
      </w:r>
      <w:r>
        <w:rPr>
          <w:rFonts w:hint="eastAsia" w:ascii="宋体" w:hAnsi="宋体" w:eastAsia="宋体" w:cs="宋体"/>
          <w:bCs/>
          <w:color w:val="auto"/>
          <w:szCs w:val="21"/>
          <w:highlight w:val="none"/>
        </w:rPr>
        <w:t>万元/人次；项目总工（技术负责人）</w:t>
      </w:r>
      <w:r>
        <w:rPr>
          <w:rFonts w:hint="eastAsia" w:ascii="宋体" w:hAnsi="宋体" w:eastAsia="宋体" w:cs="宋体"/>
          <w:bCs/>
          <w:color w:val="auto"/>
          <w:szCs w:val="21"/>
          <w:highlight w:val="none"/>
          <w:lang w:val="en-US" w:eastAsia="zh-CN"/>
        </w:rPr>
        <w:t>及专职安全员</w:t>
      </w:r>
      <w:r>
        <w:rPr>
          <w:rFonts w:hint="eastAsia" w:ascii="宋体" w:hAnsi="宋体" w:eastAsia="宋体" w:cs="宋体"/>
          <w:bCs/>
          <w:color w:val="auto"/>
          <w:szCs w:val="21"/>
          <w:highlight w:val="none"/>
        </w:rPr>
        <w:t>违约金（或审查费）0.</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万元/人次</w:t>
      </w:r>
      <w:r>
        <w:rPr>
          <w:rFonts w:hint="eastAsia" w:ascii="宋体" w:hAnsi="宋体" w:eastAsia="宋体" w:cs="宋体"/>
          <w:bCs/>
          <w:color w:val="auto"/>
          <w:szCs w:val="21"/>
          <w:highlight w:val="none"/>
          <w:lang w:eastAsia="zh-CN"/>
        </w:rPr>
        <w:t>。</w:t>
      </w:r>
    </w:p>
    <w:p w14:paraId="5AC4E518">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上述违约金</w:t>
      </w:r>
      <w:r>
        <w:rPr>
          <w:rFonts w:hint="eastAsia" w:ascii="宋体" w:hAnsi="宋体" w:eastAsia="宋体" w:cs="宋体"/>
          <w:bCs/>
          <w:color w:val="auto"/>
          <w:szCs w:val="21"/>
          <w:highlight w:val="none"/>
        </w:rPr>
        <w:t>直接从合同经费中扣除，但发包人要求更换的除外。</w:t>
      </w:r>
    </w:p>
    <w:p w14:paraId="41AC380F">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4.6  承包人人员的管理</w:t>
      </w:r>
    </w:p>
    <w:p w14:paraId="35CB287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补充4.6.4.2</w:t>
      </w: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rPr>
        <w:t>4.6.4.4：</w:t>
      </w:r>
    </w:p>
    <w:p w14:paraId="037885A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4.6.4.2  承包人的项目经理、项目总工目前应没有参加其它在建工程，并能确保在发包人规定的时间内进场，开展本工程。中标后，在整个工程实施过程中，承包人成立项目经理部，派出投标文件中承诺的项目经理、项目总工。</w:t>
      </w:r>
    </w:p>
    <w:p w14:paraId="6B2C04F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4.6.4.3  承包人在签署了合同协议书之日后，投标文件所列的承包人人员必须在监理人指定的日期进场，以保证项目管理机构的有效运转。</w:t>
      </w:r>
    </w:p>
    <w:p w14:paraId="6B74B99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4.6.4.4  未经监理人批准，上述承包人人员不应无故不到位或被替换，若确定无法到位或需替换，需经监理人审核并报发包人批准，撤换后人员的水平不得低于原有的水平。</w:t>
      </w:r>
    </w:p>
    <w:p w14:paraId="02F6C1B6">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4.9  工程价款应专款专用</w:t>
      </w:r>
    </w:p>
    <w:p w14:paraId="39D09F8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4.9.1  为本工程设立的安全</w:t>
      </w:r>
      <w:r>
        <w:rPr>
          <w:rFonts w:hint="eastAsia" w:ascii="宋体" w:hAnsi="宋体" w:eastAsia="宋体" w:cs="宋体"/>
          <w:color w:val="auto"/>
          <w:szCs w:val="21"/>
          <w:highlight w:val="none"/>
          <w:lang w:val="en-US" w:eastAsia="zh-CN"/>
        </w:rPr>
        <w:t>生产费</w:t>
      </w:r>
      <w:r>
        <w:rPr>
          <w:rFonts w:hint="eastAsia" w:ascii="宋体" w:hAnsi="宋体" w:eastAsia="宋体" w:cs="宋体"/>
          <w:color w:val="auto"/>
          <w:szCs w:val="21"/>
          <w:highlight w:val="none"/>
        </w:rPr>
        <w:t>，必须专款专用，承包人不得挪作他用。</w:t>
      </w:r>
    </w:p>
    <w:p w14:paraId="1A99E304">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5 材料和工程设备</w:t>
      </w:r>
    </w:p>
    <w:p w14:paraId="7C9F18CD">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5.2 发包人提供的材料和工程设备</w:t>
      </w:r>
    </w:p>
    <w:p w14:paraId="5ADBBD5B">
      <w:pPr>
        <w:spacing w:line="360" w:lineRule="auto"/>
        <w:ind w:firstLine="420" w:firstLineChars="200"/>
        <w:rPr>
          <w:rFonts w:hint="eastAsia" w:ascii="宋体" w:hAnsi="宋体" w:eastAsia="宋体" w:cs="宋体"/>
          <w:b/>
          <w:color w:val="auto"/>
          <w:szCs w:val="21"/>
          <w:highlight w:val="none"/>
          <w:u w:val="single"/>
          <w:lang w:val="en-US" w:eastAsia="zh-CN"/>
        </w:rPr>
      </w:pPr>
      <w:r>
        <w:rPr>
          <w:rFonts w:hint="eastAsia" w:ascii="宋体" w:hAnsi="宋体" w:eastAsia="宋体" w:cs="宋体"/>
          <w:color w:val="auto"/>
          <w:szCs w:val="21"/>
          <w:highlight w:val="none"/>
        </w:rPr>
        <w:t>5.2.1 发包人提供的材料和工程设备：</w:t>
      </w:r>
      <w:r>
        <w:rPr>
          <w:rFonts w:hint="eastAsia" w:ascii="宋体" w:hAnsi="宋体" w:eastAsia="宋体" w:cs="宋体"/>
          <w:b/>
          <w:color w:val="auto"/>
          <w:szCs w:val="21"/>
          <w:highlight w:val="none"/>
          <w:u w:val="single"/>
          <w:lang w:val="en-US" w:eastAsia="zh-CN"/>
        </w:rPr>
        <w:t xml:space="preserve">                                         </w:t>
      </w:r>
    </w:p>
    <w:p w14:paraId="006F0BD9">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6 施工设备和临时设施</w:t>
      </w:r>
    </w:p>
    <w:p w14:paraId="5839D09D">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6.2  发包人提供的施工设备和临时设施</w:t>
      </w:r>
    </w:p>
    <w:p w14:paraId="5D301A4A">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发包人在本合同施工中应提供的施工设备和临时设施：</w:t>
      </w:r>
      <w:r>
        <w:rPr>
          <w:rFonts w:hint="eastAsia" w:ascii="宋体" w:hAnsi="宋体" w:eastAsia="宋体" w:cs="宋体"/>
          <w:color w:val="auto"/>
          <w:szCs w:val="21"/>
          <w:highlight w:val="none"/>
          <w:u w:val="single"/>
        </w:rPr>
        <w:t xml:space="preserve"> </w:t>
      </w:r>
      <w:r>
        <w:rPr>
          <w:rFonts w:hint="eastAsia" w:ascii="宋体" w:hAnsi="宋体" w:eastAsia="宋体" w:cs="宋体"/>
          <w:b/>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0FFE0930">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7  交通运输</w:t>
      </w:r>
    </w:p>
    <w:p w14:paraId="74D906E5">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7.4 超大件和超重件的运输</w:t>
      </w:r>
    </w:p>
    <w:p w14:paraId="75FF6C15">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7.4.1  超大、超宽、超重物件的运输：</w:t>
      </w:r>
      <w:r>
        <w:rPr>
          <w:rFonts w:hint="eastAsia" w:ascii="宋体" w:hAnsi="宋体" w:eastAsia="宋体" w:cs="宋体"/>
          <w:color w:val="auto"/>
          <w:szCs w:val="21"/>
          <w:highlight w:val="none"/>
          <w:u w:val="single"/>
        </w:rPr>
        <w:t>应由承包人负责向交通管理部门办理申请手续，发包人给予协助。</w:t>
      </w:r>
    </w:p>
    <w:p w14:paraId="7BAF89C0">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8  测量放线</w:t>
      </w:r>
    </w:p>
    <w:p w14:paraId="6DD087BF">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8.1  施工控制网</w:t>
      </w:r>
    </w:p>
    <w:p w14:paraId="481E8C7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8.1.1.1  发包人应在计划开工日期14天前，通过监理人向承包人提供符合国家有关规定的测量基准点、基准线和水准点。</w:t>
      </w:r>
    </w:p>
    <w:p w14:paraId="2211CA0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8.1.1.2  承包人应在计划开工日期7天前，将施工控制网资料报送监理人。</w:t>
      </w:r>
    </w:p>
    <w:p w14:paraId="21697833">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9  施工安全、治安保卫和环境保护</w:t>
      </w:r>
    </w:p>
    <w:p w14:paraId="613DA24A">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9.2  承包人的施工安全责任</w:t>
      </w:r>
    </w:p>
    <w:p w14:paraId="65F362A7">
      <w:pPr>
        <w:ind w:firstLine="420" w:firstLineChars="200"/>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9.2.5 项文末增加：</w:t>
      </w:r>
    </w:p>
    <w:p w14:paraId="0E52B58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①</w:t>
      </w:r>
      <w:r>
        <w:rPr>
          <w:rFonts w:hint="eastAsia" w:ascii="宋体" w:hAnsi="宋体" w:eastAsia="宋体" w:cs="宋体"/>
          <w:color w:val="auto"/>
          <w:szCs w:val="21"/>
          <w:highlight w:val="none"/>
        </w:rPr>
        <w:t>根据《公路水运工程安全生产监督管理办法》（交通运输部令2017年第25号）、关于印发《企业安全生产费用提取和使用管理办法》的通知（财资〔2022〕136号）、《江苏省公路水运工程安全生产费用管理办法》（苏交规〔2025〕1号）的规定，投标人应在投标总价中计入安全生产费用，本项目的安全生产费用</w:t>
      </w:r>
      <w:r>
        <w:rPr>
          <w:rFonts w:hint="eastAsia" w:ascii="宋体" w:hAnsi="宋体" w:eastAsia="宋体" w:cs="宋体"/>
          <w:color w:val="auto"/>
          <w:szCs w:val="21"/>
          <w:highlight w:val="none"/>
          <w:lang w:val="en-US" w:eastAsia="zh-CN"/>
        </w:rPr>
        <w:t>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元</w:t>
      </w:r>
      <w:r>
        <w:rPr>
          <w:rFonts w:hint="eastAsia" w:ascii="宋体" w:hAnsi="宋体" w:eastAsia="宋体" w:cs="宋体"/>
          <w:color w:val="auto"/>
          <w:szCs w:val="21"/>
          <w:highlight w:val="none"/>
        </w:rPr>
        <w:t>。承包人在施工过程中用于安全生产、文明施工的费用</w:t>
      </w:r>
      <w:r>
        <w:rPr>
          <w:rFonts w:hint="eastAsia" w:ascii="宋体" w:hAnsi="宋体" w:eastAsia="宋体" w:cs="宋体"/>
          <w:color w:val="auto"/>
          <w:szCs w:val="21"/>
          <w:highlight w:val="none"/>
          <w:lang w:val="en-US" w:eastAsia="zh-CN"/>
        </w:rPr>
        <w:t>若</w:t>
      </w:r>
      <w:r>
        <w:rPr>
          <w:rFonts w:hint="eastAsia" w:ascii="宋体" w:hAnsi="宋体" w:eastAsia="宋体" w:cs="宋体"/>
          <w:color w:val="auto"/>
          <w:szCs w:val="21"/>
          <w:highlight w:val="none"/>
        </w:rPr>
        <w:t>超出了</w:t>
      </w:r>
      <w:r>
        <w:rPr>
          <w:rFonts w:hint="eastAsia" w:ascii="宋体" w:hAnsi="宋体" w:eastAsia="宋体" w:cs="宋体"/>
          <w:color w:val="auto"/>
          <w:szCs w:val="21"/>
          <w:highlight w:val="none"/>
          <w:lang w:val="en-US" w:eastAsia="zh-CN"/>
        </w:rPr>
        <w:t>上述金额</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由</w:t>
      </w:r>
      <w:r>
        <w:rPr>
          <w:rFonts w:hint="eastAsia" w:ascii="宋体" w:hAnsi="宋体" w:eastAsia="宋体" w:cs="宋体"/>
          <w:color w:val="auto"/>
          <w:szCs w:val="21"/>
          <w:highlight w:val="none"/>
        </w:rPr>
        <w:t>承包人</w:t>
      </w:r>
      <w:r>
        <w:rPr>
          <w:rFonts w:hint="eastAsia" w:ascii="宋体" w:hAnsi="宋体" w:eastAsia="宋体" w:cs="宋体"/>
          <w:color w:val="auto"/>
          <w:szCs w:val="21"/>
          <w:highlight w:val="none"/>
          <w:lang w:val="en-US" w:eastAsia="zh-CN"/>
        </w:rPr>
        <w:t>自行</w:t>
      </w:r>
      <w:r>
        <w:rPr>
          <w:rFonts w:hint="eastAsia" w:ascii="宋体" w:hAnsi="宋体" w:eastAsia="宋体" w:cs="宋体"/>
          <w:color w:val="auto"/>
          <w:szCs w:val="21"/>
          <w:highlight w:val="none"/>
        </w:rPr>
        <w:t>承担，视为包含在</w:t>
      </w:r>
      <w:r>
        <w:rPr>
          <w:rFonts w:hint="eastAsia" w:ascii="宋体" w:hAnsi="宋体" w:eastAsia="宋体" w:cs="宋体"/>
          <w:color w:val="auto"/>
          <w:szCs w:val="21"/>
          <w:highlight w:val="none"/>
          <w:lang w:val="en-US" w:eastAsia="zh-CN"/>
        </w:rPr>
        <w:t>合同总价</w:t>
      </w:r>
      <w:r>
        <w:rPr>
          <w:rFonts w:hint="eastAsia" w:ascii="宋体" w:hAnsi="宋体" w:eastAsia="宋体" w:cs="宋体"/>
          <w:color w:val="auto"/>
          <w:szCs w:val="21"/>
          <w:highlight w:val="none"/>
        </w:rPr>
        <w:t>中，不另行计量与支付。安全生产费用须经监理审核合格后，计量支付。</w:t>
      </w:r>
    </w:p>
    <w:p w14:paraId="7689B165">
      <w:pPr>
        <w:spacing w:line="360" w:lineRule="auto"/>
        <w:ind w:firstLine="422" w:firstLineChars="200"/>
        <w:rPr>
          <w:rFonts w:hint="eastAsia" w:ascii="宋体" w:hAnsi="宋体" w:eastAsia="宋体" w:cs="宋体"/>
          <w:color w:val="auto"/>
          <w:szCs w:val="21"/>
          <w:highlight w:val="none"/>
        </w:rPr>
      </w:pPr>
      <w:r>
        <w:rPr>
          <w:rFonts w:hint="eastAsia" w:ascii="宋体" w:hAnsi="宋体" w:eastAsia="宋体" w:cs="宋体"/>
          <w:b/>
          <w:bCs/>
          <w:color w:val="auto"/>
          <w:highlight w:val="none"/>
          <w:lang w:val="en-US" w:eastAsia="zh-CN"/>
        </w:rPr>
        <w:t>②</w:t>
      </w:r>
      <w:r>
        <w:rPr>
          <w:rFonts w:hint="eastAsia" w:ascii="宋体" w:hAnsi="宋体" w:eastAsia="宋体" w:cs="宋体"/>
          <w:b/>
          <w:bCs/>
          <w:color w:val="auto"/>
          <w:highlight w:val="none"/>
        </w:rPr>
        <w:t>承包人根据《安全生产责任保险实施办法》的通知（应急〔2025〕27号）要求必须投保安全生产责任险，保险费用包含在安全生产费中，据实计量支付。</w:t>
      </w:r>
    </w:p>
    <w:p w14:paraId="499CFA7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9.2.8  承包人应对施工船舶、机械、设备、仪器等进行定期检查，消除隐患，并取得有关部门的检验许可证明。</w:t>
      </w:r>
    </w:p>
    <w:p w14:paraId="5EFCEFC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9.2.9  承包人应按有关要求，设置施工的警示标志。</w:t>
      </w:r>
    </w:p>
    <w:p w14:paraId="0B5DE0E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9.2.10  承包人应对施工现场的供电、消防、基坑开挖、水下作业、爆破、不良工程地质以及施工通航等制定专项的措施及应急预案，并报监理人审查同意。发包人或监理人的认可不能免除承包人所应承担的责任。</w:t>
      </w:r>
    </w:p>
    <w:p w14:paraId="60CD462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补充9.2.11</w:t>
      </w: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rPr>
        <w:t>9.2.15项：</w:t>
      </w:r>
    </w:p>
    <w:p w14:paraId="29D5224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9.2.11  承包人应调查了解施工地点的水文、地质、气象及海潮等情况，负责本标段的防潮和防汛的工作。为执行本款要求而发生的费用均应认为已计入承包人的报价之中，发包人将不另行支付。凡因承包人采取措施不力而造成本标段的一切损失、工期拖延及施工费用的增加等均由承包人自行负责。</w:t>
      </w:r>
    </w:p>
    <w:p w14:paraId="26897ED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9.2.12  为了保护本标段免遭损坏，或为了现场附近和过往群众的安全与方便，在确有必要的时候和地方，或当监理人或有关主管部门要求时，承包人应自费提供照明、警卫、护栅、警告标志等安全防护设施。</w:t>
      </w:r>
    </w:p>
    <w:p w14:paraId="4DA4F12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9.2.13  承包人应与地方航政等相关主管部门取得联系，设置必要的导航标志，及时发布航行通告，确保施工水域安全。</w:t>
      </w:r>
    </w:p>
    <w:p w14:paraId="32146BC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9.2.14  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206F813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9.2.15  承包人应遵守《中华人民共和国安全生产法》及有关指导安全、健康与环保卫生方面的法规和规范，并应提供相应的安全设施和保护器材及采取其他有效安全措施，以保护现场施工和监理人员的生命、健康及安全，改善作业环境。</w:t>
      </w:r>
    </w:p>
    <w:p w14:paraId="74B996AB">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9.4  环境保护</w:t>
      </w:r>
    </w:p>
    <w:p w14:paraId="63BCD8B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9.4.7  承包人应严格执行国家有关水域环境生态保护的规定，合理选择施工船机和施工工艺，采取有效措施，减少施工对周边水域的影响。</w:t>
      </w:r>
    </w:p>
    <w:p w14:paraId="6C90C0F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补充9.4.8</w:t>
      </w: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rPr>
        <w:t>9.2.12项：</w:t>
      </w:r>
    </w:p>
    <w:p w14:paraId="2AB98081">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9.4.8  在施工期间，承包人必须对已有工程设施无条件予以保护，不得因施工造成对已有工程的污染、破坏和损害，若发生污染、破坏和损害，一切责任（包括费用）均由承包人承担。</w:t>
      </w:r>
    </w:p>
    <w:p w14:paraId="48F8FCF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9.4.9  </w:t>
      </w:r>
      <w:r>
        <w:rPr>
          <w:rFonts w:hint="eastAsia" w:ascii="宋体" w:hAnsi="宋体" w:eastAsia="宋体" w:cs="宋体"/>
          <w:color w:val="auto"/>
          <w:szCs w:val="21"/>
          <w:highlight w:val="none"/>
        </w:rPr>
        <w:t>工程实施期间，承包人应做到文明施工，避免与地方群众发生纠纷，树立良好的企业形象，有关的标牌、标语等的设立应在确定设计方案报监理工程师批准后执行。</w:t>
      </w:r>
    </w:p>
    <w:p w14:paraId="6608F8F0">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9.4.10  在施工期间，承包人必须</w:t>
      </w:r>
      <w:r>
        <w:rPr>
          <w:rFonts w:hint="eastAsia" w:ascii="宋体" w:hAnsi="宋体" w:eastAsia="宋体" w:cs="宋体"/>
          <w:color w:val="auto"/>
          <w:szCs w:val="21"/>
          <w:highlight w:val="none"/>
        </w:rPr>
        <w:t>遵守国家或地方政府及有关部门对施工场地交通、施工噪音、环境保护和安全生产等管理规定，妥善保护好施工现场周围建筑物、设备管线、文物、古树名木不受损坏，并承担责任。</w:t>
      </w:r>
      <w:r>
        <w:rPr>
          <w:rFonts w:hint="eastAsia" w:ascii="宋体" w:hAnsi="宋体" w:eastAsia="宋体" w:cs="宋体"/>
          <w:bCs/>
          <w:color w:val="auto"/>
          <w:szCs w:val="21"/>
          <w:highlight w:val="none"/>
        </w:rPr>
        <w:t>施工中未经业主同意或有关部门批准，不得随意拆改原建筑物结构及各种设备、管线。</w:t>
      </w:r>
    </w:p>
    <w:p w14:paraId="2735D63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9.4.11  在施工期间，承包人必须</w:t>
      </w:r>
      <w:r>
        <w:rPr>
          <w:rFonts w:hint="eastAsia" w:ascii="宋体" w:hAnsi="宋体" w:eastAsia="宋体" w:cs="宋体"/>
          <w:color w:val="auto"/>
          <w:szCs w:val="21"/>
          <w:highlight w:val="none"/>
        </w:rPr>
        <w:t>对施工场地进行清理、架空各种线路和处理地下障碍等工作，使施工场地具备施工条件，并在开工后继续负责解决以上事项遗留问题；</w:t>
      </w:r>
      <w:r>
        <w:rPr>
          <w:rFonts w:hint="eastAsia" w:ascii="宋体" w:hAnsi="宋体" w:eastAsia="宋体" w:cs="宋体"/>
          <w:bCs/>
          <w:color w:val="auto"/>
          <w:szCs w:val="21"/>
          <w:highlight w:val="none"/>
        </w:rPr>
        <w:t>做好施工现场垃圾清除等工作，施工垃圾必须运出施工现场，并不得污染环境，保证施工现场清洁达到业主、监理工程师满意程度，处理好由于施工带来的扰民问题及与周围单位(住户)的关系，涉及的相关费用施工单位自行承担，不单独计量。</w:t>
      </w:r>
    </w:p>
    <w:p w14:paraId="3C79F6FB">
      <w:pPr>
        <w:spacing w:line="360" w:lineRule="auto"/>
        <w:ind w:firstLine="422" w:firstLineChars="20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9.4.12  承包人在施工过程中应严格遵守《中华人民共和国大气污染防治法》、《江苏省大气污染防治条例》、</w:t>
      </w:r>
      <w:r>
        <w:rPr>
          <w:rFonts w:hint="eastAsia" w:ascii="宋体" w:hAnsi="宋体" w:eastAsia="宋体" w:cs="宋体"/>
          <w:b/>
          <w:bCs/>
          <w:color w:val="auto"/>
          <w:szCs w:val="21"/>
          <w:highlight w:val="none"/>
        </w:rPr>
        <w:t>《江苏省公路水运工程工地扬尘污染防治行动方案》、《江苏省公路水运工程施工扬尘污染防治指导手册》</w:t>
      </w:r>
      <w:r>
        <w:rPr>
          <w:rFonts w:hint="eastAsia" w:ascii="宋体" w:hAnsi="宋体" w:eastAsia="宋体" w:cs="宋体"/>
          <w:b/>
          <w:color w:val="auto"/>
          <w:szCs w:val="21"/>
          <w:highlight w:val="none"/>
        </w:rPr>
        <w:t>等相关规定，按照招标文件及发包人要求，在合同实施过程中制定扬尘污染防治实施方案并切实有效的开展相关工作，所需费用含在承包人所报的单价或</w:t>
      </w:r>
      <w:r>
        <w:rPr>
          <w:rFonts w:hint="eastAsia" w:ascii="宋体" w:hAnsi="宋体" w:eastAsia="宋体" w:cs="宋体"/>
          <w:b/>
          <w:color w:val="auto"/>
          <w:szCs w:val="21"/>
          <w:highlight w:val="none"/>
          <w:lang w:eastAsia="zh-CN"/>
        </w:rPr>
        <w:t>总价</w:t>
      </w:r>
      <w:r>
        <w:rPr>
          <w:rFonts w:hint="eastAsia" w:ascii="宋体" w:hAnsi="宋体" w:eastAsia="宋体" w:cs="宋体"/>
          <w:b/>
          <w:color w:val="auto"/>
          <w:szCs w:val="21"/>
          <w:highlight w:val="none"/>
        </w:rPr>
        <w:t>内，发包人不再单独计列。</w:t>
      </w:r>
    </w:p>
    <w:p w14:paraId="59B19F85">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10  进度计划</w:t>
      </w:r>
    </w:p>
    <w:p w14:paraId="4EFCB1E4">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10.1  合同进度计划</w:t>
      </w:r>
    </w:p>
    <w:p w14:paraId="67C81EE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10.1.1  承包人应在计划开工日期7天前，向发包人和监理人报送施工组织设计；监理人应在7天内批复或提出修改意见，否则视为得到批准。</w:t>
      </w:r>
    </w:p>
    <w:p w14:paraId="3A49DEF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10.1.2  承包人应在每月末</w:t>
      </w:r>
      <w:r>
        <w:rPr>
          <w:rFonts w:hint="eastAsia" w:ascii="宋体" w:hAnsi="宋体" w:eastAsia="宋体" w:cs="宋体"/>
          <w:color w:val="auto"/>
          <w:szCs w:val="21"/>
          <w:highlight w:val="none"/>
          <w:u w:val="single"/>
        </w:rPr>
        <w:t xml:space="preserve"> 25 </w:t>
      </w:r>
      <w:r>
        <w:rPr>
          <w:rFonts w:hint="eastAsia" w:ascii="宋体" w:hAnsi="宋体" w:eastAsia="宋体" w:cs="宋体"/>
          <w:color w:val="auto"/>
          <w:szCs w:val="21"/>
          <w:highlight w:val="none"/>
        </w:rPr>
        <w:t>日前，向监理人报送下月计划一式</w:t>
      </w:r>
      <w:r>
        <w:rPr>
          <w:rFonts w:hint="eastAsia" w:ascii="宋体" w:hAnsi="宋体" w:eastAsia="宋体" w:cs="宋体"/>
          <w:color w:val="auto"/>
          <w:szCs w:val="21"/>
          <w:highlight w:val="none"/>
          <w:u w:val="single"/>
        </w:rPr>
        <w:t xml:space="preserve"> 4 </w:t>
      </w:r>
      <w:r>
        <w:rPr>
          <w:rFonts w:hint="eastAsia" w:ascii="宋体" w:hAnsi="宋体" w:eastAsia="宋体" w:cs="宋体"/>
          <w:color w:val="auto"/>
          <w:szCs w:val="21"/>
          <w:highlight w:val="none"/>
        </w:rPr>
        <w:t>份。</w:t>
      </w:r>
    </w:p>
    <w:p w14:paraId="49E5866E">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10.2  合同进度计划的修订</w:t>
      </w:r>
    </w:p>
    <w:p w14:paraId="0131872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10.2.1  承包人应在48小时前向监理人提交修订合同进度计划的申请报告；监理人应在48小时内对承包人提交的申请报告批复，否则视为得到批准。</w:t>
      </w:r>
    </w:p>
    <w:p w14:paraId="1DC8881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10.2.2  对非承包人自身原因每月累计停水或停电不超过48小时的情况，施工组织设计中应有相应的保证措施。承包人不得因此顺延工期。</w:t>
      </w:r>
    </w:p>
    <w:p w14:paraId="7CCC1FE7">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11  开工和竣工</w:t>
      </w:r>
    </w:p>
    <w:p w14:paraId="4C975DE9">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11.1  开工</w:t>
      </w:r>
    </w:p>
    <w:p w14:paraId="7C80F06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11.1.3  分项工程的开工应事先得到监理人的书面同意，承包人应提前48小时将申请开工的书面通知报送监理人，监理人应在收到通知48小时内予以书面答复，否则视为同意。</w:t>
      </w:r>
    </w:p>
    <w:p w14:paraId="0D77910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11.1.4  承包人不能按期开工时，应在接到开工令24小时内向监理人提出延期开工申请报告，监理人应在接到报告24小时内作出答复。若监理人在24小时内同意或未予以答复，工期相应顺延；若监理人不同意延期要求，则工期不予顺延。</w:t>
      </w:r>
    </w:p>
    <w:p w14:paraId="1618B6F0">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11.2  竣工</w:t>
      </w:r>
    </w:p>
    <w:p w14:paraId="7FF89954">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11.2.1  重要节点工期：</w:t>
      </w:r>
      <w:r>
        <w:rPr>
          <w:rFonts w:hint="eastAsia" w:ascii="宋体" w:hAnsi="宋体" w:eastAsia="宋体" w:cs="宋体"/>
          <w:bCs/>
          <w:color w:val="auto"/>
          <w:szCs w:val="21"/>
          <w:highlight w:val="none"/>
          <w:u w:val="single"/>
        </w:rPr>
        <w:t>无节点工期</w:t>
      </w:r>
      <w:r>
        <w:rPr>
          <w:rFonts w:hint="eastAsia" w:ascii="宋体" w:hAnsi="宋体" w:eastAsia="宋体" w:cs="宋体"/>
          <w:color w:val="auto"/>
          <w:szCs w:val="21"/>
          <w:highlight w:val="none"/>
          <w:u w:val="single"/>
        </w:rPr>
        <w:t>。</w:t>
      </w:r>
    </w:p>
    <w:p w14:paraId="26B61449">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11.2.2  工程竣工验收后，若在缺陷责任期内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p>
    <w:p w14:paraId="2EEF927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11.2.3  承包人未按要求提交竣工资料时，发包人有权在支付中扣除合同结算价的1%。</w:t>
      </w:r>
    </w:p>
    <w:p w14:paraId="4F3DB508">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11.4  异常恶劣的气候条件</w:t>
      </w:r>
    </w:p>
    <w:p w14:paraId="356E1D1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11.4.1  异常恶劣的气候条件指：</w:t>
      </w:r>
    </w:p>
    <w:p w14:paraId="2CC3A12B">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风：指连续发生十级及以上大风三天及以上；</w:t>
      </w:r>
    </w:p>
    <w:p w14:paraId="2817CB68">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洪：达到当地20年一遇的洪水位；</w:t>
      </w:r>
    </w:p>
    <w:p w14:paraId="1BD44AB2">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震：发生六级及以上地震。</w:t>
      </w:r>
    </w:p>
    <w:p w14:paraId="0D968057">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11.5  承包人的工期延误</w:t>
      </w:r>
    </w:p>
    <w:p w14:paraId="515995C8">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11.5.1  </w:t>
      </w:r>
      <w:r>
        <w:rPr>
          <w:rFonts w:hint="eastAsia" w:ascii="宋体" w:hAnsi="宋体" w:eastAsia="宋体" w:cs="宋体"/>
          <w:bCs/>
          <w:color w:val="auto"/>
          <w:szCs w:val="21"/>
          <w:highlight w:val="none"/>
        </w:rPr>
        <w:t>由于承包人原因造成工期延误，承包人应向发包人支付逾期竣工违约金。</w:t>
      </w:r>
    </w:p>
    <w:p w14:paraId="319326ED">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逾期竣工违约金的计算方法为：</w:t>
      </w:r>
    </w:p>
    <w:p w14:paraId="27C97926">
      <w:pPr>
        <w:spacing w:line="360" w:lineRule="auto"/>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工期延误天数*P，其中P：</w:t>
      </w:r>
      <w:r>
        <w:rPr>
          <w:rFonts w:hint="eastAsia" w:ascii="宋体" w:hAnsi="宋体" w:eastAsia="宋体" w:cs="宋体"/>
          <w:b/>
          <w:bCs/>
          <w:color w:val="auto"/>
          <w:szCs w:val="21"/>
          <w:highlight w:val="none"/>
          <w:lang w:val="en-US" w:eastAsia="zh-CN"/>
        </w:rPr>
        <w:t>5</w:t>
      </w:r>
      <w:r>
        <w:rPr>
          <w:rFonts w:hint="eastAsia" w:ascii="宋体" w:hAnsi="宋体" w:eastAsia="宋体" w:cs="宋体"/>
          <w:b/>
          <w:bCs/>
          <w:color w:val="auto"/>
          <w:szCs w:val="21"/>
          <w:highlight w:val="none"/>
        </w:rPr>
        <w:t>000元。</w:t>
      </w:r>
    </w:p>
    <w:p w14:paraId="6E137C75">
      <w:pPr>
        <w:spacing w:line="360" w:lineRule="auto"/>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逾期竣工违约金累计最高不得超过总合同价款的5%。</w:t>
      </w:r>
    </w:p>
    <w:p w14:paraId="5227776D">
      <w:pPr>
        <w:numPr>
          <w:ilvl w:val="1"/>
          <w:numId w:val="2"/>
        </w:num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工期提前</w:t>
      </w:r>
    </w:p>
    <w:p w14:paraId="5C069758">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本款不适用。</w:t>
      </w:r>
    </w:p>
    <w:p w14:paraId="612CA9BF">
      <w:pPr>
        <w:numPr>
          <w:ilvl w:val="0"/>
          <w:numId w:val="2"/>
        </w:num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暂停施工</w:t>
      </w:r>
    </w:p>
    <w:p w14:paraId="2B21FF92">
      <w:pPr>
        <w:numPr>
          <w:ilvl w:val="1"/>
          <w:numId w:val="3"/>
        </w:num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承包人暂停施工的责任</w:t>
      </w:r>
    </w:p>
    <w:p w14:paraId="4C078898">
      <w:pPr>
        <w:tabs>
          <w:tab w:val="left" w:pos="720"/>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12.1.1  承包人承担的其他暂停施工：</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4A8EAAF9">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13  工程质量</w:t>
      </w:r>
    </w:p>
    <w:p w14:paraId="467F8FCB">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13.1  工程质量要求</w:t>
      </w:r>
    </w:p>
    <w:p w14:paraId="55251FC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13.1.4  质量标准</w:t>
      </w:r>
    </w:p>
    <w:p w14:paraId="0806BDB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（1）现行水运工程质量检验标准；</w:t>
      </w:r>
    </w:p>
    <w:p w14:paraId="7E10EDD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（2）其他现行工程质量检验标准；</w:t>
      </w:r>
    </w:p>
    <w:p w14:paraId="701CDD0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（3）以上标准如有修订，按新修订的标准执行。</w:t>
      </w:r>
    </w:p>
    <w:p w14:paraId="44200932">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13.1.5  质量目标</w:t>
      </w:r>
    </w:p>
    <w:p w14:paraId="70A5120F">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本工程质量目标：合格。</w:t>
      </w:r>
    </w:p>
    <w:p w14:paraId="7D1CA47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13.1.6  发包人是按照江苏省交通运输行业的规定和</w:t>
      </w:r>
      <w:r>
        <w:rPr>
          <w:rFonts w:hint="eastAsia" w:ascii="宋体" w:hAnsi="宋体" w:eastAsia="宋体" w:cs="宋体"/>
          <w:color w:val="auto"/>
          <w:szCs w:val="21"/>
          <w:highlight w:val="none"/>
        </w:rPr>
        <w:t>江苏省交通运输综合行政执法监督局</w:t>
      </w:r>
      <w:r>
        <w:rPr>
          <w:rFonts w:hint="eastAsia" w:ascii="宋体" w:hAnsi="宋体" w:eastAsia="宋体" w:cs="宋体"/>
          <w:bCs/>
          <w:color w:val="auto"/>
          <w:szCs w:val="21"/>
          <w:highlight w:val="none"/>
        </w:rPr>
        <w:t>的考核要求，对本工程项目进行管理和考核。发包人将该工程项目实施情况反映到履约考核中。</w:t>
      </w:r>
    </w:p>
    <w:p w14:paraId="5E3834B8">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14  试验和检验</w:t>
      </w:r>
    </w:p>
    <w:p w14:paraId="57EE3644">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14.1  材料、工程设备和工程的试验和检验</w:t>
      </w:r>
    </w:p>
    <w:p w14:paraId="3599029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14.1.4  材料、构件、配件和工程设备订货前，承包人应向监理人提供生产厂家的生产许可证和相应资质证明文件等材料，对新材料、新产品还应提供鉴定证明和有关确认文件。</w:t>
      </w:r>
    </w:p>
    <w:p w14:paraId="1583E2D5">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监理人可以进行考察，考察内容和方式：</w:t>
      </w:r>
      <w:r>
        <w:rPr>
          <w:rFonts w:hint="eastAsia" w:ascii="宋体" w:hAnsi="宋体" w:eastAsia="宋体" w:cs="宋体"/>
          <w:color w:val="auto"/>
          <w:szCs w:val="21"/>
          <w:highlight w:val="none"/>
          <w:u w:val="single"/>
        </w:rPr>
        <w:t>工程进展过程中确定。</w:t>
      </w:r>
    </w:p>
    <w:p w14:paraId="2A87DF1C">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14.1.5  承包人与监理人不进行共同试验或检验。</w:t>
      </w:r>
    </w:p>
    <w:p w14:paraId="3D65E8E3">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14.2  现场材料试验</w:t>
      </w:r>
    </w:p>
    <w:p w14:paraId="66096339">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14.2.3  承包人工地试验室的试验设备、器材的配备要求：满足相关规定。</w:t>
      </w:r>
    </w:p>
    <w:p w14:paraId="70C3FCC7">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14.2.4  承包人应委托有试验检验资质的单位进行试验检验。</w:t>
      </w:r>
    </w:p>
    <w:p w14:paraId="75084158">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14.2.5  发包人应委托有试验检验资质的单位进行第三方试验检验。</w:t>
      </w:r>
    </w:p>
    <w:p w14:paraId="59DD2C80">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补充14.4</w:t>
      </w:r>
      <w:r>
        <w:rPr>
          <w:rFonts w:hint="eastAsia" w:ascii="宋体" w:hAnsi="宋体" w:eastAsia="宋体" w:cs="宋体"/>
          <w:b/>
          <w:color w:val="auto"/>
          <w:szCs w:val="21"/>
          <w:highlight w:val="none"/>
          <w:lang w:val="en-US" w:eastAsia="zh-CN"/>
        </w:rPr>
        <w:t>~14.5</w:t>
      </w:r>
      <w:r>
        <w:rPr>
          <w:rFonts w:hint="eastAsia" w:ascii="宋体" w:hAnsi="宋体" w:eastAsia="宋体" w:cs="宋体"/>
          <w:b/>
          <w:color w:val="auto"/>
          <w:szCs w:val="21"/>
          <w:highlight w:val="none"/>
        </w:rPr>
        <w:t>款：</w:t>
      </w:r>
    </w:p>
    <w:p w14:paraId="1BA1D314">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14.4  试验和检验费用</w:t>
      </w:r>
    </w:p>
    <w:p w14:paraId="6DC9A8C5">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（1）承包人应负责提供合同和技术规范规定的试验和检验所需的全部样品，并承担其费用。</w:t>
      </w:r>
    </w:p>
    <w:p w14:paraId="01D95164">
      <w:pPr>
        <w:spacing w:line="360" w:lineRule="auto"/>
        <w:ind w:firstLine="420" w:firstLineChars="200"/>
        <w:rPr>
          <w:rFonts w:hint="eastAsia" w:ascii="宋体" w:hAnsi="宋体" w:eastAsia="宋体" w:cs="宋体"/>
          <w:bCs/>
          <w:i w:val="0"/>
          <w:iCs w:val="0"/>
          <w:color w:val="auto"/>
          <w:szCs w:val="21"/>
          <w:highlight w:val="none"/>
        </w:rPr>
      </w:pPr>
      <w:r>
        <w:rPr>
          <w:rFonts w:hint="eastAsia" w:ascii="宋体" w:hAnsi="宋体" w:eastAsia="宋体" w:cs="宋体"/>
          <w:bCs/>
          <w:color w:val="auto"/>
          <w:szCs w:val="21"/>
          <w:highlight w:val="none"/>
        </w:rPr>
        <w:t>（2</w:t>
      </w:r>
      <w:r>
        <w:rPr>
          <w:rFonts w:hint="eastAsia" w:ascii="宋体" w:hAnsi="宋体" w:eastAsia="宋体" w:cs="宋体"/>
          <w:bCs/>
          <w:i w:val="0"/>
          <w:iCs w:val="0"/>
          <w:color w:val="auto"/>
          <w:szCs w:val="21"/>
          <w:highlight w:val="none"/>
        </w:rPr>
        <w:t>）在合同中明确规定的试验和检验，包括无须在工程量清单中单独列项和已在工程量清单中单独列项的试验和检验，其试验和检验的费用由承包人承担。</w:t>
      </w:r>
    </w:p>
    <w:p w14:paraId="43566DA2">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i w:val="0"/>
          <w:iCs w:val="0"/>
          <w:color w:val="auto"/>
          <w:szCs w:val="21"/>
          <w:highlight w:val="none"/>
        </w:rPr>
        <w:t>（3）如果监理人所要求做的试验和检验为合同未规定的或是在该材料或工程设备的制造、加工、制配场地以外的场地进行的，则检验结束</w:t>
      </w:r>
      <w:r>
        <w:rPr>
          <w:rFonts w:hint="eastAsia" w:ascii="宋体" w:hAnsi="宋体" w:eastAsia="宋体" w:cs="宋体"/>
          <w:bCs/>
          <w:color w:val="auto"/>
          <w:szCs w:val="21"/>
          <w:highlight w:val="none"/>
        </w:rPr>
        <w:t>后，如表明操作工艺或材料、工程设备未能符合合同规定，其费用应由承包人承担，否则，其费用应由发包人承担。</w:t>
      </w:r>
    </w:p>
    <w:p w14:paraId="721B13EF">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15  变更</w:t>
      </w:r>
    </w:p>
    <w:p w14:paraId="61185698">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15.5  承包人的合理化建议</w:t>
      </w:r>
    </w:p>
    <w:p w14:paraId="4B112F6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15.5.2  承包人提出的合理化建议经实施后，按其节省费用的</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%奖励承包人。</w:t>
      </w:r>
    </w:p>
    <w:p w14:paraId="7B43EABC">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16  价格调整</w:t>
      </w:r>
    </w:p>
    <w:p w14:paraId="53A2C8D0">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16.1  物价波动引起的价格调整</w:t>
      </w:r>
    </w:p>
    <w:p w14:paraId="5E0FCC0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16.1.3  物价波动引起的价格调整方法</w:t>
      </w:r>
    </w:p>
    <w:p w14:paraId="674A2799">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不适用。                                                                                                                                                                                                                                                                                                                                                                                                                                                                                                                                                                                                                                                                                                                                                                                                                                                                                                                                                                                                                                                                                                                                                                                                                                                                                                                                                                                                                                                                                                                                                                                                                                                                                                                                                                                            </w:t>
      </w:r>
    </w:p>
    <w:p w14:paraId="52C49A8D">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17  计量与支付</w:t>
      </w:r>
    </w:p>
    <w:p w14:paraId="34814074">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17.1  计量</w:t>
      </w:r>
    </w:p>
    <w:p w14:paraId="7CE0DDD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17.1.6  承包人应将月度计量报表于每月</w:t>
      </w:r>
      <w:r>
        <w:rPr>
          <w:rFonts w:hint="eastAsia" w:ascii="宋体" w:hAnsi="宋体" w:eastAsia="宋体" w:cs="宋体"/>
          <w:color w:val="auto"/>
          <w:szCs w:val="21"/>
          <w:highlight w:val="none"/>
          <w:u w:val="single"/>
        </w:rPr>
        <w:t>25</w:t>
      </w:r>
      <w:r>
        <w:rPr>
          <w:rFonts w:hint="eastAsia" w:ascii="宋体" w:hAnsi="宋体" w:eastAsia="宋体" w:cs="宋体"/>
          <w:color w:val="auto"/>
          <w:szCs w:val="21"/>
          <w:highlight w:val="none"/>
        </w:rPr>
        <w:t>日前报监理人一式</w:t>
      </w:r>
      <w:r>
        <w:rPr>
          <w:rFonts w:hint="eastAsia" w:ascii="宋体" w:hAnsi="宋体" w:eastAsia="宋体" w:cs="宋体"/>
          <w:color w:val="auto"/>
          <w:szCs w:val="21"/>
          <w:highlight w:val="none"/>
          <w:u w:val="single"/>
        </w:rPr>
        <w:t>4</w:t>
      </w:r>
      <w:r>
        <w:rPr>
          <w:rFonts w:hint="eastAsia" w:ascii="宋体" w:hAnsi="宋体" w:eastAsia="宋体" w:cs="宋体"/>
          <w:color w:val="auto"/>
          <w:szCs w:val="21"/>
          <w:highlight w:val="none"/>
        </w:rPr>
        <w:t>份。</w:t>
      </w:r>
    </w:p>
    <w:p w14:paraId="6C27AA71">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17.2  预付款</w:t>
      </w:r>
    </w:p>
    <w:p w14:paraId="63E6F100">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17.2.1  预付款</w:t>
      </w:r>
    </w:p>
    <w:p w14:paraId="1F364BD4">
      <w:pPr>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无</w:t>
      </w:r>
    </w:p>
    <w:p w14:paraId="1B02EE4F">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17.3  工程进度付款</w:t>
      </w:r>
    </w:p>
    <w:p w14:paraId="006F3927">
      <w:pPr>
        <w:spacing w:line="360" w:lineRule="auto"/>
        <w:ind w:firstLine="420" w:firstLineChars="200"/>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17.3.5  </w:t>
      </w:r>
      <w:r>
        <w:rPr>
          <w:rFonts w:hint="eastAsia" w:ascii="宋体" w:hAnsi="宋体" w:eastAsia="宋体" w:cs="宋体"/>
          <w:b/>
          <w:bCs/>
          <w:color w:val="auto"/>
          <w:szCs w:val="21"/>
          <w:highlight w:val="none"/>
        </w:rPr>
        <w:t>工程进度款支付的方式和时间：</w:t>
      </w:r>
    </w:p>
    <w:p w14:paraId="17F7512A">
      <w:pPr>
        <w:spacing w:line="360" w:lineRule="auto"/>
        <w:ind w:firstLine="422" w:firstLineChars="200"/>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①合同签订且主要施工机械、人员进场后支付签约合同价的10%（含50%安全生产费）；</w:t>
      </w:r>
    </w:p>
    <w:p w14:paraId="2BBEA55D">
      <w:pPr>
        <w:spacing w:line="360" w:lineRule="auto"/>
        <w:ind w:firstLine="422" w:firstLineChars="200"/>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②工程竣工验收合格后，支付至合同价的85%（不含暂列金、安全生产费）；</w:t>
      </w:r>
    </w:p>
    <w:p w14:paraId="5EACDD48">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③结算审核完成后，支付至审定价的100%。</w:t>
      </w:r>
    </w:p>
    <w:p w14:paraId="2689EF8A">
      <w:pPr>
        <w:pStyle w:val="19"/>
        <w:ind w:left="0" w:leftChars="0" w:firstLine="420" w:firstLineChars="0"/>
        <w:rPr>
          <w:rFonts w:hint="eastAsia" w:ascii="宋体" w:hAnsi="宋体" w:eastAsia="宋体" w:cs="宋体"/>
          <w:b/>
          <w:bCs/>
          <w:color w:val="auto"/>
          <w:highlight w:val="none"/>
        </w:rPr>
      </w:pPr>
      <w:r>
        <w:rPr>
          <w:rFonts w:hint="eastAsia" w:ascii="宋体" w:hAnsi="宋体" w:eastAsia="宋体" w:cs="宋体"/>
          <w:b/>
          <w:bCs/>
          <w:color w:val="auto"/>
          <w:highlight w:val="none"/>
        </w:rPr>
        <w:t>注：</w:t>
      </w:r>
    </w:p>
    <w:p w14:paraId="43C456D7">
      <w:pPr>
        <w:pStyle w:val="13"/>
        <w:spacing w:line="360" w:lineRule="auto"/>
        <w:ind w:firstLine="422"/>
        <w:rPr>
          <w:rFonts w:hint="eastAsia" w:ascii="宋体" w:hAnsi="宋体" w:eastAsia="宋体" w:cs="宋体"/>
          <w:b/>
          <w:bCs/>
          <w:color w:val="auto"/>
          <w:spacing w:val="1"/>
          <w:kern w:val="0"/>
          <w:sz w:val="21"/>
          <w:szCs w:val="21"/>
          <w:highlight w:val="none"/>
          <w:lang w:val="en-US" w:eastAsia="zh-CN"/>
        </w:rPr>
      </w:pPr>
      <w:r>
        <w:rPr>
          <w:rFonts w:hint="eastAsia" w:ascii="宋体" w:hAnsi="宋体" w:eastAsia="宋体" w:cs="宋体"/>
          <w:b/>
          <w:bCs/>
          <w:color w:val="auto"/>
          <w:spacing w:val="1"/>
          <w:kern w:val="0"/>
          <w:sz w:val="21"/>
          <w:szCs w:val="21"/>
          <w:highlight w:val="none"/>
          <w:lang w:val="en-US" w:eastAsia="zh-CN"/>
        </w:rPr>
        <w:t>①每次支付工程款前，承包人必须提交符合发包人要求的请款资料且经监理人及发包人审核，否则不予支付。</w:t>
      </w:r>
    </w:p>
    <w:p w14:paraId="7EEE7870">
      <w:pPr>
        <w:pStyle w:val="13"/>
        <w:spacing w:line="360" w:lineRule="auto"/>
        <w:ind w:firstLine="422"/>
        <w:rPr>
          <w:rFonts w:hint="eastAsia" w:ascii="宋体" w:hAnsi="宋体" w:eastAsia="宋体" w:cs="宋体"/>
          <w:b/>
          <w:bCs/>
          <w:color w:val="auto"/>
          <w:spacing w:val="1"/>
          <w:kern w:val="0"/>
          <w:sz w:val="21"/>
          <w:szCs w:val="21"/>
          <w:highlight w:val="none"/>
          <w:lang w:val="en-US" w:eastAsia="zh-CN"/>
        </w:rPr>
      </w:pPr>
      <w:r>
        <w:rPr>
          <w:rFonts w:hint="eastAsia" w:ascii="宋体" w:hAnsi="宋体" w:eastAsia="宋体" w:cs="宋体"/>
          <w:b/>
          <w:bCs/>
          <w:color w:val="auto"/>
          <w:spacing w:val="1"/>
          <w:kern w:val="0"/>
          <w:sz w:val="21"/>
          <w:szCs w:val="21"/>
          <w:highlight w:val="none"/>
          <w:lang w:val="en-US" w:eastAsia="zh-CN"/>
        </w:rPr>
        <w:t>②每次支付工程款时，承包人必须向发包人提供正规税务发票，否则不予支付。</w:t>
      </w:r>
    </w:p>
    <w:p w14:paraId="2E16CF6D">
      <w:pPr>
        <w:pStyle w:val="13"/>
        <w:spacing w:line="360" w:lineRule="auto"/>
        <w:ind w:firstLine="422"/>
        <w:rPr>
          <w:rFonts w:hint="eastAsia" w:ascii="宋体" w:hAnsi="宋体" w:eastAsia="宋体" w:cs="宋体"/>
          <w:b/>
          <w:bCs/>
          <w:color w:val="auto"/>
          <w:spacing w:val="1"/>
          <w:kern w:val="0"/>
          <w:sz w:val="21"/>
          <w:szCs w:val="21"/>
          <w:highlight w:val="none"/>
          <w:lang w:val="en-US" w:eastAsia="zh-CN"/>
        </w:rPr>
      </w:pPr>
      <w:r>
        <w:rPr>
          <w:rFonts w:hint="eastAsia" w:ascii="宋体" w:hAnsi="宋体" w:eastAsia="宋体" w:cs="宋体"/>
          <w:b/>
          <w:bCs/>
          <w:color w:val="auto"/>
          <w:spacing w:val="1"/>
          <w:kern w:val="0"/>
          <w:sz w:val="21"/>
          <w:szCs w:val="21"/>
          <w:highlight w:val="none"/>
          <w:lang w:val="en-US" w:eastAsia="zh-CN"/>
        </w:rPr>
        <w:t>③因发包人机构改革或涉及该项目的上级经费拨付延期和计划安排等可能会造成工程费用支付延期，发包人既不承担违约责任，也不会支付延期付款利息。</w:t>
      </w:r>
    </w:p>
    <w:p w14:paraId="4A59536A">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17.4  质量保证金</w:t>
      </w:r>
    </w:p>
    <w:p w14:paraId="592C04F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关于是否扣留质量保证金的约定：待工程</w:t>
      </w:r>
      <w:r>
        <w:rPr>
          <w:rFonts w:hint="eastAsia" w:ascii="宋体" w:hAnsi="宋体" w:eastAsia="宋体" w:cs="宋体"/>
          <w:color w:val="auto"/>
          <w:szCs w:val="21"/>
          <w:highlight w:val="none"/>
          <w:lang w:val="en-US" w:eastAsia="zh-CN"/>
        </w:rPr>
        <w:t>竣工</w:t>
      </w:r>
      <w:r>
        <w:rPr>
          <w:rFonts w:hint="eastAsia" w:ascii="宋体" w:hAnsi="宋体" w:eastAsia="宋体" w:cs="宋体"/>
          <w:color w:val="auto"/>
          <w:szCs w:val="21"/>
          <w:highlight w:val="none"/>
        </w:rPr>
        <w:t>验收合格后</w:t>
      </w:r>
      <w:r>
        <w:rPr>
          <w:rFonts w:hint="eastAsia" w:ascii="宋体" w:hAnsi="宋体" w:eastAsia="宋体" w:cs="宋体"/>
          <w:color w:val="auto"/>
          <w:szCs w:val="21"/>
          <w:highlight w:val="none"/>
          <w:lang w:val="en-US" w:eastAsia="zh-CN"/>
        </w:rPr>
        <w:t>14天内承包人向发包人递交</w:t>
      </w:r>
      <w:r>
        <w:rPr>
          <w:rFonts w:hint="eastAsia" w:ascii="宋体" w:hAnsi="宋体" w:eastAsia="宋体" w:cs="宋体"/>
          <w:color w:val="auto"/>
          <w:szCs w:val="21"/>
          <w:highlight w:val="none"/>
        </w:rPr>
        <w:t>工程结算价3%作为质量保证金（提交</w:t>
      </w:r>
      <w:r>
        <w:rPr>
          <w:rFonts w:hint="eastAsia" w:ascii="宋体" w:hAnsi="宋体" w:eastAsia="宋体" w:cs="宋体"/>
          <w:color w:val="auto"/>
          <w:szCs w:val="21"/>
          <w:highlight w:val="none"/>
          <w:lang w:val="en-US" w:eastAsia="zh-CN"/>
        </w:rPr>
        <w:t>现金、支票或</w:t>
      </w:r>
      <w:r>
        <w:rPr>
          <w:rFonts w:hint="eastAsia" w:ascii="宋体" w:hAnsi="宋体" w:eastAsia="宋体" w:cs="宋体"/>
          <w:color w:val="auto"/>
          <w:szCs w:val="21"/>
          <w:highlight w:val="none"/>
        </w:rPr>
        <w:t>银行保函</w:t>
      </w:r>
      <w:r>
        <w:rPr>
          <w:rFonts w:hint="eastAsia" w:ascii="宋体" w:hAnsi="宋体" w:eastAsia="宋体" w:cs="宋体"/>
          <w:color w:val="auto"/>
          <w:szCs w:val="21"/>
          <w:highlight w:val="none"/>
          <w:lang w:val="en-US" w:eastAsia="zh-CN"/>
        </w:rPr>
        <w:t>或发包人认可的其他形式</w:t>
      </w:r>
      <w:r>
        <w:rPr>
          <w:rFonts w:hint="eastAsia" w:ascii="宋体" w:hAnsi="宋体" w:eastAsia="宋体" w:cs="宋体"/>
          <w:color w:val="auto"/>
          <w:szCs w:val="21"/>
          <w:highlight w:val="none"/>
        </w:rPr>
        <w:t>，银行出具的银行保函且须为“见索即付”的银行保函）；在缺陷责任期满后，质量保证金扣除维修费用（如有）后付清（不计利息）（或退还质量保证金保函）。</w:t>
      </w:r>
    </w:p>
    <w:p w14:paraId="5C5BBB4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在工程项目竣工前，承包人按专用合同条款第4.2款提供履约担保的，发包人不得同时</w:t>
      </w:r>
      <w:r>
        <w:rPr>
          <w:rFonts w:hint="eastAsia" w:ascii="宋体" w:hAnsi="宋体" w:eastAsia="宋体" w:cs="宋体"/>
          <w:color w:val="auto"/>
          <w:szCs w:val="21"/>
          <w:highlight w:val="none"/>
          <w:lang w:val="en-US" w:eastAsia="zh-CN"/>
        </w:rPr>
        <w:t>要求提交</w:t>
      </w:r>
      <w:r>
        <w:rPr>
          <w:rFonts w:hint="eastAsia" w:ascii="宋体" w:hAnsi="宋体" w:eastAsia="宋体" w:cs="宋体"/>
          <w:color w:val="auto"/>
          <w:szCs w:val="21"/>
          <w:highlight w:val="none"/>
        </w:rPr>
        <w:t>工程质量保证金。</w:t>
      </w:r>
    </w:p>
    <w:p w14:paraId="21ADB33A">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17.6  最终结清</w:t>
      </w:r>
    </w:p>
    <w:p w14:paraId="789F169E">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17.6.1最终结清申请单</w:t>
      </w:r>
    </w:p>
    <w:p w14:paraId="2FC1813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（3）缺陷责任期终止证书签发后，承包人应在60天内向监理人提交最终结清申请单一式</w:t>
      </w:r>
      <w:r>
        <w:rPr>
          <w:rFonts w:hint="eastAsia" w:ascii="宋体" w:hAnsi="宋体" w:eastAsia="宋体" w:cs="宋体"/>
          <w:bCs/>
          <w:color w:val="auto"/>
          <w:szCs w:val="21"/>
          <w:highlight w:val="none"/>
          <w:u w:val="single"/>
        </w:rPr>
        <w:t xml:space="preserve">4 </w:t>
      </w:r>
      <w:r>
        <w:rPr>
          <w:rFonts w:hint="eastAsia" w:ascii="宋体" w:hAnsi="宋体" w:eastAsia="宋体" w:cs="宋体"/>
          <w:bCs/>
          <w:color w:val="auto"/>
          <w:szCs w:val="21"/>
          <w:highlight w:val="none"/>
        </w:rPr>
        <w:t>份。</w:t>
      </w:r>
    </w:p>
    <w:p w14:paraId="13909DE9">
      <w:pPr>
        <w:topLinePunct/>
        <w:snapToGrid w:val="0"/>
        <w:spacing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增加17.7款： </w:t>
      </w:r>
    </w:p>
    <w:p w14:paraId="72711FEB">
      <w:pPr>
        <w:topLinePunct/>
        <w:snapToGrid w:val="0"/>
        <w:spacing w:line="360" w:lineRule="auto"/>
        <w:jc w:val="left"/>
        <w:rPr>
          <w:rFonts w:hint="eastAsia" w:ascii="宋体" w:hAnsi="宋体" w:eastAsia="宋体" w:cs="宋体"/>
          <w:b/>
          <w:color w:val="auto"/>
          <w:szCs w:val="21"/>
          <w:highlight w:val="none"/>
        </w:rPr>
      </w:pPr>
      <w:bookmarkStart w:id="13" w:name="_Toc149442664"/>
      <w:bookmarkStart w:id="14" w:name="_Toc173056194"/>
      <w:bookmarkStart w:id="15" w:name="_Toc173317103"/>
      <w:bookmarkStart w:id="16" w:name="_Toc149447311"/>
      <w:bookmarkStart w:id="17" w:name="_Toc149385688"/>
      <w:bookmarkStart w:id="18" w:name="_Toc149446727"/>
      <w:bookmarkStart w:id="19" w:name="_Toc149630609"/>
      <w:bookmarkStart w:id="20" w:name="_Toc137461290"/>
      <w:bookmarkStart w:id="21" w:name="_Toc137460003"/>
      <w:bookmarkStart w:id="22" w:name="_Toc139183339"/>
      <w:bookmarkStart w:id="23" w:name="_Toc149446274"/>
      <w:bookmarkStart w:id="24" w:name="_Toc149386767"/>
      <w:bookmarkStart w:id="25" w:name="_Toc139878173"/>
      <w:bookmarkStart w:id="26" w:name="_Toc149387856"/>
      <w:bookmarkStart w:id="27" w:name="_Toc149386002"/>
      <w:bookmarkStart w:id="28" w:name="_Toc149976107"/>
      <w:bookmarkStart w:id="29" w:name="_Toc149386481"/>
      <w:bookmarkStart w:id="30" w:name="_Toc149386312"/>
      <w:bookmarkStart w:id="31" w:name="_Toc147374653"/>
      <w:bookmarkStart w:id="32" w:name="_Toc139856275"/>
      <w:bookmarkStart w:id="33" w:name="_Toc139075092"/>
      <w:bookmarkStart w:id="34" w:name="_Toc186099733"/>
      <w:bookmarkStart w:id="35" w:name="_Toc173844061"/>
      <w:r>
        <w:rPr>
          <w:rFonts w:hint="eastAsia" w:ascii="宋体" w:hAnsi="宋体" w:eastAsia="宋体" w:cs="宋体"/>
          <w:b/>
          <w:color w:val="auto"/>
          <w:szCs w:val="21"/>
          <w:highlight w:val="none"/>
        </w:rPr>
        <w:t xml:space="preserve">17.7 </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Pr>
          <w:rFonts w:hint="eastAsia" w:ascii="宋体" w:hAnsi="宋体" w:eastAsia="宋体" w:cs="宋体"/>
          <w:b/>
          <w:color w:val="auto"/>
          <w:szCs w:val="21"/>
          <w:highlight w:val="none"/>
        </w:rPr>
        <w:t>农民工工资保障金</w:t>
      </w:r>
      <w:bookmarkEnd w:id="34"/>
      <w:bookmarkEnd w:id="35"/>
    </w:p>
    <w:p w14:paraId="18C3C9CB">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b/>
          <w:color w:val="auto"/>
          <w:szCs w:val="21"/>
          <w:highlight w:val="none"/>
        </w:rPr>
        <w:t>承包人要认真贯彻落实《劳动法》、《保障农民工工资支付条例》、《建设领域农民工工资支付管理暂行办法》（劳社部发〔2004〕22号）、《关于印发江苏省工程建设领域农民工工资支付管理办法的通知》（苏建建管〔2016〕707号文件）、《省交通运输厅关于交通工程建设领域农民工工资支付管理的实施意见（试行）》（苏交建〔2018〕25号）、《交通运输部关于公路水运工程建设领域保障农民工工资支付的意见》（交公路规〔2020〕5号）、《省交通运输厅关于交通工程建设领域农民工工资专用账户管理的补充通知》（苏交传〔2020〕398号）、《省交通运输厅关于交通工程建设领域保障农民工工资支付的意见》（苏交规〔2021〕2号）等国家及省市相关法律法规有关禁止拖</w:t>
      </w:r>
      <w:r>
        <w:rPr>
          <w:rFonts w:hint="eastAsia" w:ascii="宋体" w:hAnsi="宋体" w:eastAsia="宋体" w:cs="宋体"/>
          <w:b/>
          <w:color w:val="auto"/>
          <w:szCs w:val="21"/>
          <w:highlight w:val="none"/>
          <w:lang w:eastAsia="zh-CN"/>
        </w:rPr>
        <w:t>欠农</w:t>
      </w:r>
      <w:r>
        <w:rPr>
          <w:rFonts w:hint="eastAsia" w:ascii="宋体" w:hAnsi="宋体" w:eastAsia="宋体" w:cs="宋体"/>
          <w:b/>
          <w:color w:val="auto"/>
          <w:szCs w:val="21"/>
          <w:highlight w:val="none"/>
        </w:rPr>
        <w:t>民工工资的要求；</w:t>
      </w:r>
      <w:r>
        <w:rPr>
          <w:rFonts w:hint="eastAsia" w:ascii="宋体" w:hAnsi="宋体" w:eastAsia="宋体" w:cs="宋体"/>
          <w:b/>
          <w:bCs/>
          <w:color w:val="auto"/>
          <w:szCs w:val="21"/>
          <w:highlight w:val="none"/>
        </w:rPr>
        <w:t>农民工工资与工程款实行分账管理，并按《江苏省工程建设领域农民工工资保证金管理办法》的通知（苏人社规〔2022〕4号）规定缴存农民工工资保证金。承包人还应采取必要措施保证不拖</w:t>
      </w:r>
      <w:r>
        <w:rPr>
          <w:rFonts w:hint="eastAsia" w:ascii="宋体" w:hAnsi="宋体" w:eastAsia="宋体" w:cs="宋体"/>
          <w:b/>
          <w:bCs/>
          <w:color w:val="auto"/>
          <w:szCs w:val="21"/>
          <w:highlight w:val="none"/>
          <w:lang w:eastAsia="zh-CN"/>
        </w:rPr>
        <w:t>欠农</w:t>
      </w:r>
      <w:r>
        <w:rPr>
          <w:rFonts w:hint="eastAsia" w:ascii="宋体" w:hAnsi="宋体" w:eastAsia="宋体" w:cs="宋体"/>
          <w:b/>
          <w:bCs/>
          <w:color w:val="auto"/>
          <w:szCs w:val="21"/>
          <w:highlight w:val="none"/>
        </w:rPr>
        <w:t>民工工资。合同实施中，发包人将对此进行督查考核，并将考核结果纳入承包人信用等级评价；合同实施过程中，因承包人原因而造成的农民工上访等一切风险因素及后</w:t>
      </w:r>
      <w:r>
        <w:rPr>
          <w:rFonts w:hint="eastAsia" w:ascii="宋体" w:hAnsi="宋体" w:eastAsia="宋体" w:cs="宋体"/>
          <w:b/>
          <w:bCs/>
          <w:color w:val="auto"/>
          <w:szCs w:val="21"/>
          <w:highlight w:val="none"/>
          <w:lang w:eastAsia="zh-CN"/>
        </w:rPr>
        <w:t>果由</w:t>
      </w:r>
      <w:r>
        <w:rPr>
          <w:rFonts w:hint="eastAsia" w:ascii="宋体" w:hAnsi="宋体" w:eastAsia="宋体" w:cs="宋体"/>
          <w:b/>
          <w:bCs/>
          <w:color w:val="auto"/>
          <w:szCs w:val="21"/>
          <w:highlight w:val="none"/>
        </w:rPr>
        <w:t>承包人自行承担。</w:t>
      </w:r>
    </w:p>
    <w:p w14:paraId="5F5D4275">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（2）承包人的项目经理部是</w:t>
      </w:r>
      <w:r>
        <w:rPr>
          <w:rFonts w:hint="eastAsia" w:ascii="宋体" w:hAnsi="宋体" w:eastAsia="宋体" w:cs="宋体"/>
          <w:color w:val="auto"/>
          <w:szCs w:val="21"/>
          <w:highlight w:val="none"/>
          <w:lang w:eastAsia="zh-CN"/>
        </w:rPr>
        <w:t>农民工工资</w:t>
      </w:r>
      <w:r>
        <w:rPr>
          <w:rFonts w:hint="eastAsia" w:ascii="宋体" w:hAnsi="宋体" w:eastAsia="宋体" w:cs="宋体"/>
          <w:color w:val="auto"/>
          <w:szCs w:val="21"/>
          <w:highlight w:val="none"/>
        </w:rPr>
        <w:t>支付行为的主体，承包人的项目经理是</w:t>
      </w:r>
      <w:r>
        <w:rPr>
          <w:rFonts w:hint="eastAsia" w:ascii="宋体" w:hAnsi="宋体" w:eastAsia="宋体" w:cs="宋体"/>
          <w:color w:val="auto"/>
          <w:szCs w:val="21"/>
          <w:highlight w:val="none"/>
          <w:lang w:eastAsia="zh-CN"/>
        </w:rPr>
        <w:t>农民工工资</w:t>
      </w:r>
      <w:r>
        <w:rPr>
          <w:rFonts w:hint="eastAsia" w:ascii="宋体" w:hAnsi="宋体" w:eastAsia="宋体" w:cs="宋体"/>
          <w:color w:val="auto"/>
          <w:szCs w:val="21"/>
          <w:highlight w:val="none"/>
        </w:rPr>
        <w:t>支付的责任人。项目经理部要建立全体民工花名册和工资支付表，确保将工资直接发放给民工本人，或委托银行发放</w:t>
      </w:r>
      <w:r>
        <w:rPr>
          <w:rFonts w:hint="eastAsia" w:ascii="宋体" w:hAnsi="宋体" w:eastAsia="宋体" w:cs="宋体"/>
          <w:color w:val="auto"/>
          <w:szCs w:val="21"/>
          <w:highlight w:val="none"/>
          <w:lang w:eastAsia="zh-CN"/>
        </w:rPr>
        <w:t>农民工工资</w:t>
      </w:r>
      <w:r>
        <w:rPr>
          <w:rFonts w:hint="eastAsia" w:ascii="宋体" w:hAnsi="宋体" w:eastAsia="宋体" w:cs="宋体"/>
          <w:color w:val="auto"/>
          <w:szCs w:val="21"/>
          <w:highlight w:val="none"/>
        </w:rPr>
        <w:t>，严禁发放给“包工头”或其他不具备用工主体资格的组织和个人。承包人的分包单位雇佣民工的，将要求分包单位按照规定签订劳动合同，并负责督促其按照合同规定及时结付</w:t>
      </w:r>
      <w:r>
        <w:rPr>
          <w:rFonts w:hint="eastAsia" w:ascii="宋体" w:hAnsi="宋体" w:eastAsia="宋体" w:cs="宋体"/>
          <w:color w:val="auto"/>
          <w:szCs w:val="21"/>
          <w:highlight w:val="none"/>
          <w:lang w:eastAsia="zh-CN"/>
        </w:rPr>
        <w:t>农民工工资</w:t>
      </w:r>
      <w:r>
        <w:rPr>
          <w:rFonts w:hint="eastAsia" w:ascii="宋体" w:hAnsi="宋体" w:eastAsia="宋体" w:cs="宋体"/>
          <w:color w:val="auto"/>
          <w:szCs w:val="21"/>
          <w:highlight w:val="none"/>
        </w:rPr>
        <w:t>。如因承包人未按合同约定与分包单位结清工程款，致使后者拖欠</w:t>
      </w:r>
      <w:r>
        <w:rPr>
          <w:rFonts w:hint="eastAsia" w:ascii="宋体" w:hAnsi="宋体" w:eastAsia="宋体" w:cs="宋体"/>
          <w:color w:val="auto"/>
          <w:szCs w:val="21"/>
          <w:highlight w:val="none"/>
          <w:lang w:eastAsia="zh-CN"/>
        </w:rPr>
        <w:t>农民工工资</w:t>
      </w:r>
      <w:r>
        <w:rPr>
          <w:rFonts w:hint="eastAsia" w:ascii="宋体" w:hAnsi="宋体" w:eastAsia="宋体" w:cs="宋体"/>
          <w:color w:val="auto"/>
          <w:szCs w:val="21"/>
          <w:highlight w:val="none"/>
        </w:rPr>
        <w:t>的，将由承包人先行垫付欠款。承包人对分包单位清偿拖欠</w:t>
      </w:r>
      <w:r>
        <w:rPr>
          <w:rFonts w:hint="eastAsia" w:ascii="宋体" w:hAnsi="宋体" w:eastAsia="宋体" w:cs="宋体"/>
          <w:color w:val="auto"/>
          <w:szCs w:val="21"/>
          <w:highlight w:val="none"/>
          <w:lang w:eastAsia="zh-CN"/>
        </w:rPr>
        <w:t>农民工工资</w:t>
      </w:r>
      <w:r>
        <w:rPr>
          <w:rFonts w:hint="eastAsia" w:ascii="宋体" w:hAnsi="宋体" w:eastAsia="宋体" w:cs="宋体"/>
          <w:color w:val="auto"/>
          <w:szCs w:val="21"/>
          <w:highlight w:val="none"/>
        </w:rPr>
        <w:t>负总责。</w:t>
      </w:r>
    </w:p>
    <w:p w14:paraId="45405C83">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（3）如果发生违反规定拖欠或克扣</w:t>
      </w:r>
      <w:r>
        <w:rPr>
          <w:rFonts w:hint="eastAsia" w:ascii="宋体" w:hAnsi="宋体" w:eastAsia="宋体" w:cs="宋体"/>
          <w:color w:val="auto"/>
          <w:szCs w:val="21"/>
          <w:highlight w:val="none"/>
          <w:lang w:eastAsia="zh-CN"/>
        </w:rPr>
        <w:t>农民工工资</w:t>
      </w:r>
      <w:r>
        <w:rPr>
          <w:rFonts w:hint="eastAsia" w:ascii="宋体" w:hAnsi="宋体" w:eastAsia="宋体" w:cs="宋体"/>
          <w:color w:val="auto"/>
          <w:szCs w:val="21"/>
          <w:highlight w:val="none"/>
        </w:rPr>
        <w:t>行为，造成农民工上访，发包人将上报上级交通运输行政主管部门并依照有关规定对其作出</w:t>
      </w:r>
      <w:r>
        <w:rPr>
          <w:rFonts w:hint="eastAsia" w:ascii="宋体" w:hAnsi="宋体" w:eastAsia="宋体" w:cs="宋体"/>
          <w:color w:val="auto"/>
          <w:szCs w:val="21"/>
          <w:highlight w:val="none"/>
          <w:lang w:eastAsia="zh-CN"/>
        </w:rPr>
        <w:t>其他</w:t>
      </w:r>
      <w:r>
        <w:rPr>
          <w:rFonts w:hint="eastAsia" w:ascii="宋体" w:hAnsi="宋体" w:eastAsia="宋体" w:cs="宋体"/>
          <w:color w:val="auto"/>
          <w:szCs w:val="21"/>
          <w:highlight w:val="none"/>
        </w:rPr>
        <w:t>处罚决定。</w:t>
      </w:r>
    </w:p>
    <w:p w14:paraId="2EDF6BE1">
      <w:pPr>
        <w:adjustRightInd w:val="0"/>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  竣工验收</w:t>
      </w:r>
    </w:p>
    <w:p w14:paraId="44E6F23F">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18.1  竣工验收的含义</w:t>
      </w:r>
    </w:p>
    <w:p w14:paraId="7C978CD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18.1.4  </w:t>
      </w:r>
      <w:r>
        <w:rPr>
          <w:rFonts w:hint="eastAsia" w:ascii="宋体" w:hAnsi="宋体" w:eastAsia="宋体" w:cs="宋体"/>
          <w:bCs/>
          <w:color w:val="auto"/>
          <w:szCs w:val="21"/>
          <w:highlight w:val="none"/>
        </w:rPr>
        <w:t>承包人应在竣工验收14天前，向发包人提供竣工资料一式</w:t>
      </w:r>
      <w:r>
        <w:rPr>
          <w:rFonts w:hint="eastAsia" w:ascii="宋体" w:hAnsi="宋体" w:eastAsia="宋体" w:cs="宋体"/>
          <w:bCs/>
          <w:color w:val="auto"/>
          <w:szCs w:val="21"/>
          <w:highlight w:val="none"/>
          <w:u w:val="single"/>
        </w:rPr>
        <w:t>4</w:t>
      </w:r>
      <w:r>
        <w:rPr>
          <w:rFonts w:hint="eastAsia" w:ascii="宋体" w:hAnsi="宋体" w:eastAsia="宋体" w:cs="宋体"/>
          <w:bCs/>
          <w:color w:val="auto"/>
          <w:szCs w:val="21"/>
          <w:highlight w:val="none"/>
        </w:rPr>
        <w:t>份，声像资料一式</w:t>
      </w:r>
      <w:r>
        <w:rPr>
          <w:rFonts w:hint="eastAsia" w:ascii="宋体" w:hAnsi="宋体" w:eastAsia="宋体" w:cs="宋体"/>
          <w:bCs/>
          <w:color w:val="auto"/>
          <w:szCs w:val="21"/>
          <w:highlight w:val="none"/>
          <w:u w:val="single"/>
        </w:rPr>
        <w:t>4</w:t>
      </w:r>
      <w:r>
        <w:rPr>
          <w:rFonts w:hint="eastAsia" w:ascii="宋体" w:hAnsi="宋体" w:eastAsia="宋体" w:cs="宋体"/>
          <w:bCs/>
          <w:color w:val="auto"/>
          <w:szCs w:val="21"/>
          <w:highlight w:val="none"/>
        </w:rPr>
        <w:t>份。</w:t>
      </w:r>
    </w:p>
    <w:p w14:paraId="02E9E2FA">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19  缺陷责任与保修责任</w:t>
      </w:r>
    </w:p>
    <w:p w14:paraId="05B43DBC">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19.1  缺陷责任期的起算时间</w:t>
      </w:r>
    </w:p>
    <w:p w14:paraId="2DBF635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19.1.1  缺陷责任期从工程竣工验收合格之日起算，分别为：</w:t>
      </w:r>
    </w:p>
    <w:p w14:paraId="6FDBC9C0">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（1）疏浚工程不设缺陷责任期；</w:t>
      </w:r>
    </w:p>
    <w:p w14:paraId="7B7A5F34">
      <w:pPr>
        <w:spacing w:line="360" w:lineRule="auto"/>
        <w:ind w:left="420" w:left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（2）水工工程缺陷责任期为一年；</w:t>
      </w:r>
    </w:p>
    <w:p w14:paraId="76358196">
      <w:pPr>
        <w:spacing w:line="360" w:lineRule="auto"/>
        <w:ind w:left="420" w:leftChars="200"/>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bCs/>
          <w:color w:val="auto"/>
          <w:szCs w:val="21"/>
          <w:highlight w:val="none"/>
        </w:rPr>
        <w:t>其他工程：符合相关行业的规定。</w:t>
      </w:r>
    </w:p>
    <w:p w14:paraId="13A924F2">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22.1  承包人违约</w:t>
      </w:r>
    </w:p>
    <w:p w14:paraId="27D33B81">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补充如下内容：</w:t>
      </w:r>
    </w:p>
    <w:p w14:paraId="73510403">
      <w:pPr>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22.1.2  当承包人发生第22.1.1项约定的违约情况时，发包人有权向承包人扣取违约金，具体约定如下：</w:t>
      </w:r>
    </w:p>
    <w:p w14:paraId="4482BB6D">
      <w:pPr>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（1）发包人可按签约时合同价格的1%金额扣缴承包人违约金，该违约金在中期支付证书中扣除或履约担保中扣除。即使交纳了违约金，承包人仍应按合同规定继续实施和完成本合同工程及其缺陷修复；或</w:t>
      </w:r>
    </w:p>
    <w:p w14:paraId="0CC893B4">
      <w:pPr>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工程师应与承包人和发包人协商后确定由于承包人违约而给发包人造成的费用增加和其他损失，并由发包人从应付或到期应付给承包人的款项中扣除，监理工程师应将上述决定通知承包人，并抄送发包人；或</w:t>
      </w:r>
    </w:p>
    <w:p w14:paraId="00B8038F">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3）发包人在向承包人发出书面通知的7天之后可以进驻现场和接管工程，终止承包人对本合同工程的承包，但不因此解除合同规定的承包人的任何义务和责任，或影响合同赋予发包人或监理工程师的各种权利和权限。发包人可自行完成该工程，或邀请其他承包人完成该工程。发包人或其他承包人为了完成本工程可以使用任何承包人设备、临时工程和材料。</w:t>
      </w:r>
    </w:p>
    <w:p w14:paraId="0B3789EC">
      <w:pPr>
        <w:spacing w:line="360" w:lineRule="auto"/>
        <w:ind w:right="-6"/>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24.1  争议的解决方式</w:t>
      </w:r>
    </w:p>
    <w:p w14:paraId="2FF703F0">
      <w:pPr>
        <w:spacing w:line="360" w:lineRule="auto"/>
        <w:ind w:right="-6" w:firstLine="43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发包人和承包人在履行合同中发生争议的，可以友好协商解决或者提请争议评审组评审。合同当事人友好协商解决不成、不愿提请争议评审或者不接受争议评审组意见的，可向发包人单位所在地的仲裁委员会申请仲裁。</w:t>
      </w:r>
    </w:p>
    <w:p w14:paraId="5C9FF7FD">
      <w:pPr>
        <w:spacing w:line="360" w:lineRule="auto"/>
        <w:ind w:right="-6"/>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25  其他约定</w:t>
      </w:r>
    </w:p>
    <w:p w14:paraId="2C2DE77D">
      <w:pPr>
        <w:spacing w:line="360" w:lineRule="auto"/>
        <w:ind w:right="-6"/>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25.1  项目监理人</w:t>
      </w:r>
      <w:r>
        <w:rPr>
          <w:rFonts w:hint="eastAsia" w:ascii="宋体" w:hAnsi="宋体" w:eastAsia="宋体" w:cs="宋体"/>
          <w:bCs/>
          <w:color w:val="auto"/>
          <w:szCs w:val="21"/>
          <w:highlight w:val="none"/>
          <w:lang w:val="en-US" w:eastAsia="zh-CN"/>
        </w:rPr>
        <w:t>员</w:t>
      </w:r>
      <w:r>
        <w:rPr>
          <w:rFonts w:hint="eastAsia" w:ascii="宋体" w:hAnsi="宋体" w:eastAsia="宋体" w:cs="宋体"/>
          <w:bCs/>
          <w:color w:val="auto"/>
          <w:szCs w:val="21"/>
          <w:highlight w:val="none"/>
        </w:rPr>
        <w:t>和现场派出机构：发包人另行确定。</w:t>
      </w:r>
    </w:p>
    <w:p w14:paraId="19C8679D">
      <w:pPr>
        <w:bidi w:val="0"/>
        <w:rPr>
          <w:rFonts w:hint="eastAsia" w:ascii="宋体" w:hAnsi="宋体" w:eastAsia="宋体" w:cs="宋体"/>
          <w:b w:val="0"/>
          <w:color w:val="auto"/>
          <w:highlight w:val="none"/>
        </w:rPr>
      </w:pPr>
      <w:r>
        <w:rPr>
          <w:rFonts w:hint="eastAsia" w:ascii="宋体" w:hAnsi="宋体" w:eastAsia="宋体" w:cs="宋体"/>
          <w:color w:val="auto"/>
          <w:highlight w:val="none"/>
        </w:rPr>
        <w:t>总监理工程师：发包人另行确定。</w:t>
      </w:r>
      <w:r>
        <w:rPr>
          <w:rFonts w:hint="eastAsia" w:ascii="宋体" w:hAnsi="宋体" w:eastAsia="宋体" w:cs="宋体"/>
          <w:color w:val="auto"/>
          <w:highlight w:val="none"/>
        </w:rPr>
        <w:br w:type="page"/>
      </w:r>
      <w:bookmarkStart w:id="36" w:name="_Toc19939"/>
      <w:bookmarkStart w:id="37" w:name="_Toc406752721"/>
    </w:p>
    <w:p w14:paraId="618F2CDE">
      <w:pPr>
        <w:adjustRightInd w:val="0"/>
        <w:snapToGrid w:val="0"/>
        <w:ind w:right="468" w:firstLine="556" w:firstLineChars="200"/>
        <w:jc w:val="center"/>
        <w:outlineLvl w:val="1"/>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第三节  合同附件格式</w:t>
      </w:r>
      <w:bookmarkEnd w:id="36"/>
      <w:bookmarkEnd w:id="37"/>
    </w:p>
    <w:p w14:paraId="571ABD9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eastAsia="宋体" w:cs="宋体"/>
          <w:b/>
          <w:bCs/>
          <w:color w:val="auto"/>
          <w:spacing w:val="-3"/>
          <w:sz w:val="28"/>
          <w:szCs w:val="28"/>
          <w:highlight w:val="none"/>
        </w:rPr>
      </w:pPr>
      <w:bookmarkStart w:id="38" w:name="_Toc10339"/>
      <w:r>
        <w:rPr>
          <w:rFonts w:hint="eastAsia" w:ascii="宋体" w:hAnsi="宋体" w:eastAsia="宋体" w:cs="宋体"/>
          <w:b/>
          <w:bCs/>
          <w:color w:val="auto"/>
          <w:spacing w:val="-3"/>
          <w:sz w:val="28"/>
          <w:szCs w:val="28"/>
          <w:highlight w:val="none"/>
        </w:rPr>
        <w:t>附件一：合同协议书</w:t>
      </w:r>
      <w:bookmarkEnd w:id="38"/>
    </w:p>
    <w:p w14:paraId="398CBDCC">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（发包人名称，以下简称“发包人”）为实施</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（项目名称），已接受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（承包人名称，以下简称“承包人”）对该项目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标段的投标。发包人和承包人共同达成如下协议。</w:t>
      </w:r>
    </w:p>
    <w:p w14:paraId="488CF127">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1．本协议书与下列文件一起构成合同文件：</w:t>
      </w:r>
    </w:p>
    <w:p w14:paraId="5AAE49CA">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(l）中标通知书；</w:t>
      </w:r>
    </w:p>
    <w:p w14:paraId="2FA0FE70">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(2）投标函；</w:t>
      </w:r>
    </w:p>
    <w:p w14:paraId="3A723E1E">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(3）专用合同条款；</w:t>
      </w:r>
    </w:p>
    <w:p w14:paraId="2682E131">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(4）通用合同条款；</w:t>
      </w:r>
    </w:p>
    <w:p w14:paraId="309373A2">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(5）技术标准和要求；</w:t>
      </w:r>
    </w:p>
    <w:p w14:paraId="413310C8">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(6）图纸；</w:t>
      </w:r>
    </w:p>
    <w:p w14:paraId="56C096DB">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(7）已标价工程量清单；</w:t>
      </w:r>
    </w:p>
    <w:p w14:paraId="4F4DE76E">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(8）其他合同文件。</w:t>
      </w:r>
    </w:p>
    <w:p w14:paraId="056D0352">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2．上述文件互相补充和解释，如有不明确或不一致之处，以合同约定次序在先者为准。</w:t>
      </w:r>
    </w:p>
    <w:p w14:paraId="47BC3580">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3．签约合同价：人民币（大写）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5C67B000">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4．承包人项目经理：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lang w:val="en-US" w:eastAsia="zh-CN"/>
        </w:rPr>
        <w:t>。</w:t>
      </w:r>
    </w:p>
    <w:p w14:paraId="1D6870F6">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5．工程质量符合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标准。</w:t>
      </w:r>
    </w:p>
    <w:p w14:paraId="7745DA2E">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6．承包人承诺按合同约定承担工程的实施、完成及缺陷修复。</w:t>
      </w:r>
    </w:p>
    <w:p w14:paraId="6EC5636E">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7．发包人承诺按合同约定的条件、时间和方式向承包人支付合同价款。</w:t>
      </w:r>
    </w:p>
    <w:p w14:paraId="6153C0BF">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r>
        <w:rPr>
          <w:rFonts w:hint="eastAsia" w:ascii="宋体" w:hAnsi="宋体" w:eastAsia="宋体" w:cs="宋体"/>
          <w:color w:val="auto"/>
          <w:sz w:val="24"/>
          <w:highlight w:val="none"/>
          <w:lang w:val="en-US" w:eastAsia="zh-CN"/>
        </w:rPr>
        <w:t>计划工期：</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w:t>
      </w:r>
    </w:p>
    <w:p w14:paraId="36F1D79E">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9．本协议书一式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份，合同双方各执</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w:t>
      </w:r>
    </w:p>
    <w:p w14:paraId="0EE27853">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10．合同未尽事宜，双方另行签订补充协议。补充协议是合同的组成部分。</w:t>
      </w:r>
    </w:p>
    <w:p w14:paraId="15B1F2BB">
      <w:pPr>
        <w:keepNext w:val="0"/>
        <w:keepLines w:val="0"/>
        <w:pageBreakBefore w:val="0"/>
        <w:kinsoku/>
        <w:wordWrap/>
        <w:overflowPunct/>
        <w:topLinePunct w:val="0"/>
        <w:autoSpaceDE/>
        <w:autoSpaceDN/>
        <w:bidi w:val="0"/>
        <w:adjustRightInd w:val="0"/>
        <w:snapToGrid w:val="0"/>
        <w:spacing w:line="420" w:lineRule="exact"/>
        <w:ind w:firstLine="0" w:firstLineChars="0"/>
        <w:textAlignment w:val="auto"/>
        <w:rPr>
          <w:rFonts w:hint="eastAsia" w:ascii="宋体" w:hAnsi="宋体" w:eastAsia="宋体" w:cs="宋体"/>
          <w:color w:val="auto"/>
          <w:sz w:val="24"/>
          <w:highlight w:val="none"/>
        </w:rPr>
      </w:pPr>
    </w:p>
    <w:p w14:paraId="6ED49E7C">
      <w:pPr>
        <w:keepNext w:val="0"/>
        <w:keepLines w:val="0"/>
        <w:pageBreakBefore w:val="0"/>
        <w:kinsoku/>
        <w:wordWrap/>
        <w:overflowPunct/>
        <w:topLinePunct w:val="0"/>
        <w:autoSpaceDE/>
        <w:autoSpaceDN/>
        <w:bidi w:val="0"/>
        <w:adjustRightInd w:val="0"/>
        <w:snapToGrid w:val="0"/>
        <w:spacing w:line="420" w:lineRule="exact"/>
        <w:ind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   承包人：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w:t>
      </w:r>
    </w:p>
    <w:p w14:paraId="19DEEB47">
      <w:pPr>
        <w:keepNext w:val="0"/>
        <w:keepLines w:val="0"/>
        <w:pageBreakBefore w:val="0"/>
        <w:widowControl w:val="0"/>
        <w:kinsoku/>
        <w:wordWrap/>
        <w:overflowPunct/>
        <w:topLinePunct w:val="0"/>
        <w:autoSpaceDE/>
        <w:autoSpaceDN/>
        <w:bidi w:val="0"/>
        <w:adjustRightInd w:val="0"/>
        <w:snapToGrid w:val="0"/>
        <w:spacing w:line="420" w:lineRule="exact"/>
        <w:ind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 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w:t>
      </w:r>
    </w:p>
    <w:p w14:paraId="6E436588">
      <w:pPr>
        <w:keepNext w:val="0"/>
        <w:keepLines w:val="0"/>
        <w:pageBreakBefore w:val="0"/>
        <w:tabs>
          <w:tab w:val="left" w:pos="1425"/>
          <w:tab w:val="left" w:pos="6360"/>
        </w:tabs>
        <w:kinsoku/>
        <w:wordWrap/>
        <w:overflowPunct/>
        <w:topLinePunct w:val="0"/>
        <w:autoSpaceDE/>
        <w:autoSpaceDN/>
        <w:bidi w:val="0"/>
        <w:adjustRightInd w:val="0"/>
        <w:snapToGrid w:val="0"/>
        <w:spacing w:line="420" w:lineRule="exact"/>
        <w:ind w:firstLine="0" w:firstLineChars="0"/>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月＿日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月＿日</w:t>
      </w:r>
    </w:p>
    <w:p w14:paraId="5440FBD2">
      <w:pPr>
        <w:rPr>
          <w:rFonts w:hint="eastAsia" w:ascii="宋体" w:hAnsi="宋体" w:eastAsia="宋体" w:cs="宋体"/>
          <w:b/>
          <w:bCs/>
          <w:color w:val="auto"/>
          <w:spacing w:val="-3"/>
          <w:sz w:val="28"/>
          <w:szCs w:val="28"/>
          <w:highlight w:val="none"/>
        </w:rPr>
      </w:pPr>
      <w:r>
        <w:rPr>
          <w:rFonts w:hint="eastAsia" w:ascii="宋体" w:hAnsi="宋体" w:eastAsia="宋体" w:cs="宋体"/>
          <w:color w:val="auto"/>
          <w:spacing w:val="-3"/>
          <w:sz w:val="28"/>
          <w:szCs w:val="28"/>
          <w:highlight w:val="none"/>
        </w:rPr>
        <w:br w:type="page"/>
      </w:r>
      <w:r>
        <w:rPr>
          <w:rFonts w:hint="eastAsia" w:ascii="宋体" w:hAnsi="宋体" w:eastAsia="宋体" w:cs="宋体"/>
          <w:b/>
          <w:bCs/>
          <w:color w:val="auto"/>
          <w:spacing w:val="-3"/>
          <w:sz w:val="28"/>
          <w:szCs w:val="28"/>
          <w:highlight w:val="none"/>
        </w:rPr>
        <w:t>附件二：廉</w:t>
      </w:r>
      <w:r>
        <w:rPr>
          <w:rFonts w:hint="eastAsia" w:ascii="宋体" w:hAnsi="宋体" w:eastAsia="宋体" w:cs="宋体"/>
          <w:b/>
          <w:bCs/>
          <w:color w:val="auto"/>
          <w:spacing w:val="-3"/>
          <w:sz w:val="28"/>
          <w:szCs w:val="28"/>
          <w:highlight w:val="none"/>
          <w:lang w:val="en-US" w:eastAsia="zh-CN"/>
        </w:rPr>
        <w:t>洁</w:t>
      </w:r>
      <w:r>
        <w:rPr>
          <w:rFonts w:hint="eastAsia" w:ascii="宋体" w:hAnsi="宋体" w:eastAsia="宋体" w:cs="宋体"/>
          <w:b/>
          <w:bCs/>
          <w:color w:val="auto"/>
          <w:spacing w:val="-3"/>
          <w:sz w:val="28"/>
          <w:szCs w:val="28"/>
          <w:highlight w:val="none"/>
        </w:rPr>
        <w:t>合同</w:t>
      </w:r>
      <w:bookmarkEnd w:id="8"/>
      <w:bookmarkEnd w:id="9"/>
      <w:bookmarkEnd w:id="10"/>
    </w:p>
    <w:p w14:paraId="29E8659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参照《关于在交通基础设施建设中加强廉政建设的若干意见》以及有关工程建设、廉政建设的规定，为做好工程建设中的党风廉政建设，保证工程建设高效优质，保证建设资金的安全和有效使用以及投资效益，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（项目名称）的发包人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（发包人名称，以下简称“发包人”）与该项目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标段的施工单位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（施工单位名称，以下简称“承包人”），特订立如下合同。</w:t>
      </w:r>
    </w:p>
    <w:p w14:paraId="5F8772E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1、发包人和承包人双方的权利和义务</w:t>
      </w:r>
    </w:p>
    <w:p w14:paraId="5811EA4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（1）严格遵守党的政策规定和国家有关法律法规及交通运输部的有关规定。</w:t>
      </w:r>
    </w:p>
    <w:p w14:paraId="1C18AD8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（2）严格执行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标段施工合同文件，自觉按合同办事。</w:t>
      </w:r>
    </w:p>
    <w:p w14:paraId="1CF03FF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（3）双方的业务活动坚持公开、公正、诚信、透明的原则（法律认定的商业秘密和合同文件另有规定除外），不得损害国家和集体利益，不得违反工程建设管理规章制度。</w:t>
      </w:r>
    </w:p>
    <w:p w14:paraId="0967704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（4）建立健全廉政制度，开展廉政教育，设立廉政告示牌，公布举报电话，监督并认真查处违法违纪行为。</w:t>
      </w:r>
    </w:p>
    <w:p w14:paraId="78C9838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（5）发现对方在业务活动中有违反廉政规定的行为，有及时提醒对方纠正的权利和义务。</w:t>
      </w:r>
    </w:p>
    <w:p w14:paraId="3E0B652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（6）发现对方严重违反本合同义务条款的行为，有向其上级有关部门举报、建议给予处理并要求告知处理结果的权利。</w:t>
      </w:r>
    </w:p>
    <w:p w14:paraId="0045984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2、发包人的义务</w:t>
      </w:r>
    </w:p>
    <w:p w14:paraId="4E356A6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（1）发包人及其工作人员不得索要或接受承包人的礼金、有价证券和贵重物品，不得让承包人报销任何应由发包人或发包人工作人员个人支付的费用等。</w:t>
      </w:r>
    </w:p>
    <w:p w14:paraId="0B3F540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（2）发包人工作人员不得参加承包人安排的超标准宴请和娱乐活动；不得接受承包人提供的通讯工具、交通工具和高档办公用品等。</w:t>
      </w:r>
    </w:p>
    <w:p w14:paraId="0319B70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（3）发包人及其工作人员不得要求或者接受承包人为其住房装修、婚丧嫁娶活动、配偶子女的工作安排以及出国出境、旅游等提供方便等。</w:t>
      </w:r>
    </w:p>
    <w:p w14:paraId="024980C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（4）发包人工作人员及其配偶、子女不得从事与发包人工程有关的材料设备供应、工程分包、劳务等经济活动等。</w:t>
      </w:r>
    </w:p>
    <w:p w14:paraId="03555E4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（5）发包人及其工作人员不得以任何理由向承包人推荐分包单位或推销材料，不得要求承包人购买合同规定外的材料和设备。</w:t>
      </w:r>
    </w:p>
    <w:p w14:paraId="045FB24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（6）发包人工作人员要秉公办事，不准营私舞弊，不准利用职权从事各种个人有偿中介活动和安排个人施工队伍。</w:t>
      </w:r>
    </w:p>
    <w:p w14:paraId="22A7D2D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3、承包人的义务</w:t>
      </w:r>
    </w:p>
    <w:p w14:paraId="3852DFC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（1）承包人不得以任何理由向发包人及其工作人员行贿或馈赠礼金、有价证券、贵重礼品。</w:t>
      </w:r>
    </w:p>
    <w:p w14:paraId="4641D55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（2）承包人不得以任何名义为发包人及其工作人员报销应由发包人单位或个人支付的任何费用。</w:t>
      </w:r>
    </w:p>
    <w:p w14:paraId="25D46F5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（3）承包人不得以任何理由安排发包人工作人员参加超标准宴请及娱乐活动。</w:t>
      </w:r>
    </w:p>
    <w:p w14:paraId="0E4021A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（4）承包人不得为发包人单位和个人购置或提供通讯工具、交通工具和高档办公用品等。</w:t>
      </w:r>
    </w:p>
    <w:p w14:paraId="33E0C31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4、违约责任</w:t>
      </w:r>
    </w:p>
    <w:p w14:paraId="4F2FF94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（1）发包人及其工作人员违反本合同第1、2条，按管理权限，依据有关规定给予党纪、政纪或组织处理；涉嫌犯罪的，移交司法机关追究刑事责任；给承包人单位造成经济损失的，应予以赔偿。</w:t>
      </w:r>
    </w:p>
    <w:p w14:paraId="4B58C29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承包人及其工作人员违反本合同第1、3条，按管理权限，依据有关规定给予党纪、政纪或组织处理；给发包人单位造成经济损失的，应予以赔偿；情节严重的，发包人建议交通运输主管部门给予承包人一至三年内不得进入其主管的公路水运建设市场的处罚。</w:t>
      </w:r>
    </w:p>
    <w:p w14:paraId="0D6A6F0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5、双方约定：本合同由双方单位的纪检监察部门负责监督执行。由发包人单位的纪检监察部门约请承包人单位纪检监察部门对本合同执行情况进行检查，提出在本合同规定范围内的裁定意见。</w:t>
      </w:r>
    </w:p>
    <w:p w14:paraId="6B11F5E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6、本合同有效期为发包人和承包人签署之日起至该工程项目竣工验收后止。</w:t>
      </w:r>
    </w:p>
    <w:p w14:paraId="249BF0A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7、本合同作为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标段施工合同的附件，与工程施工合同具有同等的法律效力，经合同双方签署后立即生效。</w:t>
      </w:r>
    </w:p>
    <w:p w14:paraId="2F9212F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8、本合同一式四份，由发包人和承包人各执两份。</w:t>
      </w:r>
    </w:p>
    <w:p w14:paraId="14CBDD22">
      <w:pPr>
        <w:spacing w:line="360" w:lineRule="auto"/>
        <w:ind w:firstLine="480" w:firstLineChars="200"/>
        <w:rPr>
          <w:rFonts w:hint="eastAsia" w:ascii="宋体" w:hAnsi="宋体" w:eastAsia="宋体" w:cs="宋体"/>
          <w:color w:val="auto"/>
          <w:sz w:val="24"/>
          <w:highlight w:val="none"/>
        </w:rPr>
      </w:pPr>
    </w:p>
    <w:p w14:paraId="0086C1BD">
      <w:pPr>
        <w:spacing w:line="360" w:lineRule="auto"/>
        <w:ind w:firstLine="720" w:firstLineChars="300"/>
        <w:rPr>
          <w:rFonts w:hint="eastAsia" w:ascii="宋体" w:hAnsi="宋体" w:eastAsia="宋体" w:cs="宋体"/>
          <w:color w:val="auto"/>
          <w:sz w:val="24"/>
          <w:highlight w:val="none"/>
        </w:rPr>
      </w:pPr>
    </w:p>
    <w:p w14:paraId="1E0089B5">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   承包人：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w:t>
      </w:r>
    </w:p>
    <w:p w14:paraId="46DC6709">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   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w:t>
      </w:r>
    </w:p>
    <w:p w14:paraId="20AA270C">
      <w:pPr>
        <w:pStyle w:val="19"/>
        <w:spacing w:line="360" w:lineRule="auto"/>
        <w:ind w:left="0" w:leftChars="0" w:firstLine="960" w:firstLineChars="400"/>
        <w:rPr>
          <w:rFonts w:hint="eastAsia" w:ascii="宋体" w:hAnsi="宋体" w:eastAsia="宋体" w:cs="宋体"/>
          <w:color w:val="auto"/>
          <w:sz w:val="22"/>
          <w:szCs w:val="22"/>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60F1D87E">
      <w:pPr>
        <w:pStyle w:val="19"/>
        <w:spacing w:line="360" w:lineRule="auto"/>
        <w:rPr>
          <w:rFonts w:hint="eastAsia" w:ascii="宋体" w:hAnsi="宋体" w:eastAsia="宋体" w:cs="宋体"/>
          <w:color w:val="auto"/>
          <w:sz w:val="22"/>
          <w:szCs w:val="22"/>
          <w:highlight w:val="none"/>
        </w:rPr>
      </w:pPr>
    </w:p>
    <w:p w14:paraId="15F445E2">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见证方：</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（盖章）</w:t>
      </w:r>
    </w:p>
    <w:p w14:paraId="3AF29E84">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见证人：</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（签字）</w:t>
      </w:r>
    </w:p>
    <w:p w14:paraId="3308A34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p w14:paraId="7E036D57">
      <w:pPr>
        <w:spacing w:line="360" w:lineRule="auto"/>
        <w:ind w:firstLine="480" w:firstLineChars="200"/>
        <w:jc w:val="left"/>
        <w:rPr>
          <w:rFonts w:hint="eastAsia" w:ascii="宋体" w:hAnsi="宋体" w:eastAsia="宋体" w:cs="宋体"/>
          <w:color w:val="auto"/>
          <w:sz w:val="24"/>
          <w:szCs w:val="24"/>
          <w:highlight w:val="none"/>
        </w:rPr>
      </w:pPr>
    </w:p>
    <w:bookmarkEnd w:id="11"/>
    <w:bookmarkEnd w:id="12"/>
    <w:p w14:paraId="43118A45">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0964A09A">
      <w:pPr>
        <w:bidi w:val="0"/>
        <w:rPr>
          <w:rFonts w:hint="eastAsia"/>
          <w:b/>
          <w:bCs/>
          <w:color w:val="auto"/>
          <w:highlight w:val="none"/>
        </w:rPr>
      </w:pPr>
      <w:bookmarkStart w:id="39" w:name="_Toc32091"/>
      <w:bookmarkStart w:id="40" w:name="_Toc234382946"/>
      <w:bookmarkStart w:id="41" w:name="_Toc406752723"/>
      <w:r>
        <w:rPr>
          <w:rFonts w:hint="eastAsia"/>
          <w:b/>
          <w:bCs/>
          <w:color w:val="auto"/>
          <w:highlight w:val="none"/>
        </w:rPr>
        <w:t>附件三：安全生产合同</w:t>
      </w:r>
      <w:bookmarkEnd w:id="39"/>
      <w:bookmarkEnd w:id="40"/>
      <w:bookmarkEnd w:id="41"/>
    </w:p>
    <w:p w14:paraId="4429F39A">
      <w:pPr>
        <w:spacing w:line="360" w:lineRule="auto"/>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安全生产合同</w:t>
      </w:r>
    </w:p>
    <w:p w14:paraId="532CE83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为在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标段施工合同的实施过程中创造安全、高效的施工环境，切实搞好本项目的安全管理工作，本项目发包人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（发包人名称，以下简称“发包人”）与承包人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（承包人名称，以下简称“承包人”）特此签订安全生产合同：</w:t>
      </w:r>
    </w:p>
    <w:p w14:paraId="175D142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1、发包人职责</w:t>
      </w:r>
    </w:p>
    <w:p w14:paraId="00FDC84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（1）严格遵守国家有关安全生产的法律法规，认真执行工程承包合同中的有关安全要求。</w:t>
      </w:r>
    </w:p>
    <w:p w14:paraId="6BF2E45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（2）按照“安全第一、预防为主、综合治理”和坚持“管生产必须管安全”的原则进行安全生产管理，做到生产与安全工作同时计划、布置、检查、总结和评比。</w:t>
      </w:r>
    </w:p>
    <w:p w14:paraId="28D97B3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（3）重要的安全设施必须坚持与主体工程“三同时”的原则，即：同时设计、审批，同时施工，同时验收，投入使用。</w:t>
      </w:r>
    </w:p>
    <w:p w14:paraId="0973D20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（4）定期召开安全生产调度会，及时传达中央及地方有关安全生产的精神。</w:t>
      </w:r>
    </w:p>
    <w:p w14:paraId="0CEDD9D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（5）组织对承包人施工现场进行安全生产检查，监督承包人及时处理发现的各种安全隐患。</w:t>
      </w:r>
    </w:p>
    <w:p w14:paraId="2ED04BF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2、承包人职责</w:t>
      </w:r>
    </w:p>
    <w:p w14:paraId="156FECF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（1）严格遵守《中华人民共和国安全生产法》、《建设工程安全生产管理条例》等国家有关安全生产的法律法规等有关安全生产的规定。认真执行工程承包合同中的有关安全要求。</w:t>
      </w:r>
    </w:p>
    <w:p w14:paraId="70A5675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65F761E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14:paraId="10791DE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（4）承包人在任何时候都应采取各种合理的预防措施，防止其员工发生任何违法、违禁、暴力或妨碍治安的行为。</w:t>
      </w:r>
    </w:p>
    <w:p w14:paraId="451576C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7075D09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18253A2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（7）操作人员上岗，必须按规定穿戴防护用品。施工负责人和安全检查员应随时检查劳动防护用品的穿戴情况，不按规定穿戴防护用品的人员不得上岗。</w:t>
      </w:r>
    </w:p>
    <w:p w14:paraId="143B91F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（8）所有施工机具设备和高空作业的设备均应定期检查，并有安全员的签字记录，保证其经常处于完好状态；不合格的机具、设备和劳动保护用品严禁使用。</w:t>
      </w:r>
    </w:p>
    <w:p w14:paraId="0EACE76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（9）施工中采用新技术、新工艺、新设备、新材料时，必须制定相应的安全技术措施，施工现场必须具有相关的安全标志牌。</w:t>
      </w:r>
    </w:p>
    <w:p w14:paraId="1568694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2F9DB67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（11）安全生产费用按照《公路水运工程安全生产监督管理办法》的相关规定使用和管理。</w:t>
      </w:r>
    </w:p>
    <w:p w14:paraId="530FF6C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3、违约责任</w:t>
      </w:r>
    </w:p>
    <w:p w14:paraId="20A3047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如因发包人或承包人违约造成安全事故，将依法追究责任。</w:t>
      </w:r>
    </w:p>
    <w:p w14:paraId="78DDE0B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4、本合同由双方法定代表人或其授权的代理人签署并加盖单位章后生效，全部工程竣工验收后失效。</w:t>
      </w:r>
    </w:p>
    <w:p w14:paraId="3A88625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5、本合同正本二份、副本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份，合同双方各执正本一份，副本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份，当正本与副本的内容不一致时，以正本为准。</w:t>
      </w:r>
    </w:p>
    <w:p w14:paraId="118CB120">
      <w:pPr>
        <w:spacing w:line="360" w:lineRule="auto"/>
        <w:ind w:firstLine="720" w:firstLineChars="300"/>
        <w:rPr>
          <w:rFonts w:hint="eastAsia" w:ascii="宋体" w:hAnsi="宋体" w:eastAsia="宋体" w:cs="宋体"/>
          <w:color w:val="auto"/>
          <w:sz w:val="24"/>
          <w:highlight w:val="none"/>
        </w:rPr>
      </w:pPr>
    </w:p>
    <w:p w14:paraId="02B1CDF8">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   承包人：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w:t>
      </w:r>
    </w:p>
    <w:p w14:paraId="779DFE80">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    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w:t>
      </w:r>
    </w:p>
    <w:p w14:paraId="7F3D57A4">
      <w:pPr>
        <w:rPr>
          <w:rFonts w:hint="eastAsia" w:ascii="宋体" w:hAnsi="宋体" w:eastAsia="宋体" w:cs="宋体"/>
          <w:b/>
          <w:bCs/>
          <w:color w:val="auto"/>
          <w:sz w:val="32"/>
          <w:highlight w:val="none"/>
        </w:rPr>
        <w:sectPr>
          <w:footerReference r:id="rId5" w:type="default"/>
          <w:pgSz w:w="11906" w:h="16838"/>
          <w:pgMar w:top="1440" w:right="1800" w:bottom="1440" w:left="1800" w:header="851" w:footer="992" w:gutter="0"/>
          <w:cols w:space="720" w:num="1"/>
        </w:sect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58FDEDAC">
      <w:pPr>
        <w:pStyle w:val="3"/>
        <w:pBdr>
          <w:top w:val="none" w:color="000000" w:sz="0" w:space="0"/>
          <w:left w:val="none" w:color="000000" w:sz="0" w:space="0"/>
          <w:bottom w:val="none" w:color="000000" w:sz="0" w:space="0"/>
          <w:right w:val="none" w:color="000000" w:sz="0" w:space="0"/>
        </w:pBdr>
        <w:spacing w:before="340" w:after="330" w:line="768" w:lineRule="atLeast"/>
        <w:ind w:left="0" w:right="0" w:firstLine="0"/>
        <w:jc w:val="center"/>
        <w:rPr>
          <w:rFonts w:hint="eastAsia" w:ascii="宋体" w:hAnsi="宋体" w:eastAsia="宋体" w:cs="宋体"/>
          <w:color w:val="auto"/>
          <w:highlight w:val="none"/>
        </w:rPr>
      </w:pPr>
      <w:bookmarkStart w:id="42" w:name="_Toc20831"/>
      <w:r>
        <w:rPr>
          <w:rFonts w:hint="eastAsia" w:ascii="宋体" w:hAnsi="宋体" w:eastAsia="宋体" w:cs="宋体"/>
          <w:b/>
          <w:color w:val="auto"/>
          <w:sz w:val="32"/>
          <w:highlight w:val="none"/>
        </w:rPr>
        <w:t>第六章 投标文件格式及附件</w:t>
      </w:r>
      <w:bookmarkEnd w:id="42"/>
    </w:p>
    <w:p w14:paraId="18543568">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41AA7E5B">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5516C1A7">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5F11A326">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343C62DE">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5684E13C">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5236E7B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8"/>
          <w:highlight w:val="none"/>
        </w:rPr>
        <w:t>（项目名称）</w:t>
      </w:r>
    </w:p>
    <w:p w14:paraId="35E4306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7BB45D5F">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67A6A92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44"/>
          <w:highlight w:val="none"/>
        </w:rPr>
        <w:t>投标文件</w:t>
      </w:r>
    </w:p>
    <w:p w14:paraId="7E20609A">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8"/>
          <w:highlight w:val="none"/>
        </w:rPr>
        <w:t> </w:t>
      </w:r>
    </w:p>
    <w:p w14:paraId="7530D367">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8"/>
          <w:highlight w:val="none"/>
        </w:rPr>
        <w:t> </w:t>
      </w:r>
    </w:p>
    <w:p w14:paraId="2D8C5201">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8"/>
          <w:highlight w:val="none"/>
        </w:rPr>
        <w:t> </w:t>
      </w:r>
    </w:p>
    <w:p w14:paraId="3F3EBCE8">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8"/>
          <w:highlight w:val="none"/>
        </w:rPr>
        <w:t> </w:t>
      </w:r>
    </w:p>
    <w:p w14:paraId="6255F35E">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8"/>
          <w:highlight w:val="none"/>
        </w:rPr>
        <w:t> </w:t>
      </w:r>
    </w:p>
    <w:p w14:paraId="0932350D">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8"/>
          <w:highlight w:val="none"/>
        </w:rPr>
        <w:t> </w:t>
      </w:r>
    </w:p>
    <w:p w14:paraId="3DB9AAD7">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8"/>
          <w:highlight w:val="none"/>
        </w:rPr>
        <w:t> </w:t>
      </w:r>
    </w:p>
    <w:p w14:paraId="0E80DA6D">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8"/>
          <w:highlight w:val="none"/>
        </w:rPr>
        <w:t> </w:t>
      </w:r>
    </w:p>
    <w:p w14:paraId="5502EEB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8"/>
          <w:highlight w:val="none"/>
        </w:rPr>
        <w:t>投标人：（加盖电子公章）</w:t>
      </w:r>
    </w:p>
    <w:p w14:paraId="2890892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8"/>
          <w:highlight w:val="none"/>
        </w:rPr>
        <w:t> </w:t>
      </w:r>
    </w:p>
    <w:p w14:paraId="40CC7FB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8"/>
          <w:highlight w:val="none"/>
        </w:rPr>
        <w:t>年  月日</w:t>
      </w:r>
    </w:p>
    <w:p w14:paraId="6A17FD23">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44B6AB56">
      <w:pPr>
        <w:pBdr>
          <w:top w:val="none" w:color="000000" w:sz="0" w:space="0"/>
          <w:left w:val="none" w:color="000000" w:sz="0" w:space="0"/>
          <w:bottom w:val="none" w:color="000000" w:sz="0" w:space="0"/>
          <w:right w:val="none" w:color="000000" w:sz="0" w:space="0"/>
        </w:pBdr>
        <w:spacing w:before="312" w:after="312"/>
        <w:ind w:left="0" w:right="0" w:firstLine="0"/>
        <w:jc w:val="center"/>
        <w:rPr>
          <w:rFonts w:hint="eastAsia" w:ascii="宋体" w:hAnsi="宋体" w:eastAsia="宋体" w:cs="宋体"/>
          <w:color w:val="auto"/>
          <w:highlight w:val="none"/>
        </w:rPr>
      </w:pPr>
      <w:r>
        <w:rPr>
          <w:rFonts w:hint="eastAsia" w:ascii="宋体" w:hAnsi="宋体" w:eastAsia="宋体" w:cs="宋体"/>
          <w:color w:val="auto"/>
          <w:sz w:val="32"/>
          <w:highlight w:val="none"/>
        </w:rPr>
        <w:t>目录</w:t>
      </w:r>
    </w:p>
    <w:p w14:paraId="2E83C81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（注：</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根据本章附件顺序编制投标文件并制作目录（须生成页码））</w:t>
      </w:r>
    </w:p>
    <w:p w14:paraId="66B0DDE2">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59AC5F53">
      <w:pPr>
        <w:jc w:val="center"/>
        <w:rPr>
          <w:b/>
          <w:color w:val="auto"/>
          <w:sz w:val="32"/>
          <w:szCs w:val="32"/>
          <w:highlight w:val="none"/>
        </w:rPr>
      </w:pPr>
      <w:bookmarkStart w:id="43" w:name="_Toc21650"/>
      <w:bookmarkStart w:id="44" w:name="_Toc144551857"/>
      <w:bookmarkStart w:id="45" w:name="_Toc22567"/>
      <w:bookmarkStart w:id="46" w:name="_Toc67491117"/>
      <w:bookmarkStart w:id="47" w:name="_Toc146122586"/>
      <w:bookmarkStart w:id="48" w:name="_Toc65840813"/>
      <w:bookmarkStart w:id="49" w:name="_Toc11640"/>
      <w:bookmarkStart w:id="50" w:name="_Toc31633"/>
      <w:bookmarkStart w:id="51" w:name="_Hlk144715083"/>
      <w:r>
        <w:rPr>
          <w:b/>
          <w:color w:val="auto"/>
          <w:sz w:val="32"/>
          <w:szCs w:val="32"/>
          <w:highlight w:val="none"/>
        </w:rPr>
        <w:t>一、资格审查响应对照表</w:t>
      </w:r>
      <w:bookmarkEnd w:id="43"/>
      <w:bookmarkEnd w:id="44"/>
      <w:bookmarkEnd w:id="45"/>
      <w:bookmarkEnd w:id="46"/>
      <w:bookmarkEnd w:id="47"/>
      <w:bookmarkEnd w:id="48"/>
      <w:bookmarkEnd w:id="49"/>
      <w:bookmarkEnd w:id="50"/>
    </w:p>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6"/>
        <w:gridCol w:w="5452"/>
        <w:gridCol w:w="2037"/>
        <w:gridCol w:w="1436"/>
      </w:tblGrid>
      <w:tr w14:paraId="70568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338" w:type="pct"/>
            <w:tcBorders>
              <w:top w:val="single" w:color="auto" w:sz="4" w:space="0"/>
              <w:left w:val="single" w:color="auto" w:sz="4" w:space="0"/>
              <w:bottom w:val="single" w:color="auto" w:sz="4" w:space="0"/>
              <w:right w:val="single" w:color="auto" w:sz="4" w:space="0"/>
            </w:tcBorders>
            <w:noWrap w:val="0"/>
            <w:vAlign w:val="center"/>
          </w:tcPr>
          <w:p w14:paraId="5EE31428">
            <w:pPr>
              <w:snapToGrid w:val="0"/>
              <w:spacing w:line="240" w:lineRule="atLeast"/>
              <w:jc w:val="center"/>
              <w:rPr>
                <w:b/>
                <w:color w:val="auto"/>
                <w:szCs w:val="21"/>
                <w:highlight w:val="none"/>
              </w:rPr>
            </w:pPr>
            <w:r>
              <w:rPr>
                <w:b/>
                <w:color w:val="auto"/>
                <w:szCs w:val="21"/>
                <w:highlight w:val="none"/>
              </w:rPr>
              <w:t>序号</w:t>
            </w:r>
          </w:p>
        </w:tc>
        <w:tc>
          <w:tcPr>
            <w:tcW w:w="2848" w:type="pct"/>
            <w:tcBorders>
              <w:top w:val="single" w:color="auto" w:sz="4" w:space="0"/>
              <w:left w:val="single" w:color="auto" w:sz="4" w:space="0"/>
              <w:bottom w:val="single" w:color="auto" w:sz="4" w:space="0"/>
              <w:right w:val="single" w:color="auto" w:sz="4" w:space="0"/>
            </w:tcBorders>
            <w:noWrap w:val="0"/>
            <w:vAlign w:val="center"/>
          </w:tcPr>
          <w:p w14:paraId="0B4FD927">
            <w:pPr>
              <w:snapToGrid w:val="0"/>
              <w:spacing w:line="240" w:lineRule="atLeast"/>
              <w:jc w:val="center"/>
              <w:rPr>
                <w:b/>
                <w:color w:val="auto"/>
                <w:szCs w:val="21"/>
                <w:highlight w:val="none"/>
              </w:rPr>
            </w:pPr>
            <w:r>
              <w:rPr>
                <w:b/>
                <w:color w:val="auto"/>
                <w:szCs w:val="21"/>
                <w:highlight w:val="none"/>
              </w:rPr>
              <w:t>资格审查响应内容</w:t>
            </w:r>
          </w:p>
        </w:tc>
        <w:tc>
          <w:tcPr>
            <w:tcW w:w="1064" w:type="pct"/>
            <w:tcBorders>
              <w:top w:val="single" w:color="auto" w:sz="4" w:space="0"/>
              <w:left w:val="single" w:color="auto" w:sz="4" w:space="0"/>
              <w:bottom w:val="single" w:color="auto" w:sz="4" w:space="0"/>
              <w:right w:val="single" w:color="auto" w:sz="4" w:space="0"/>
            </w:tcBorders>
            <w:noWrap w:val="0"/>
            <w:vAlign w:val="center"/>
          </w:tcPr>
          <w:p w14:paraId="4283560E">
            <w:pPr>
              <w:snapToGrid w:val="0"/>
              <w:spacing w:line="240" w:lineRule="atLeast"/>
              <w:jc w:val="center"/>
              <w:rPr>
                <w:b/>
                <w:color w:val="auto"/>
                <w:szCs w:val="21"/>
                <w:highlight w:val="none"/>
              </w:rPr>
            </w:pPr>
            <w:r>
              <w:rPr>
                <w:b/>
                <w:color w:val="auto"/>
                <w:szCs w:val="21"/>
                <w:highlight w:val="none"/>
              </w:rPr>
              <w:t>是否响应</w:t>
            </w:r>
          </w:p>
          <w:p w14:paraId="520E48C3">
            <w:pPr>
              <w:snapToGrid w:val="0"/>
              <w:spacing w:line="240" w:lineRule="atLeast"/>
              <w:jc w:val="center"/>
              <w:rPr>
                <w:b/>
                <w:color w:val="auto"/>
                <w:szCs w:val="21"/>
                <w:highlight w:val="none"/>
              </w:rPr>
            </w:pPr>
            <w:r>
              <w:rPr>
                <w:b/>
                <w:color w:val="auto"/>
                <w:szCs w:val="21"/>
                <w:highlight w:val="none"/>
              </w:rPr>
              <w:t>（填是或者否）</w:t>
            </w:r>
          </w:p>
        </w:tc>
        <w:tc>
          <w:tcPr>
            <w:tcW w:w="750" w:type="pct"/>
            <w:tcBorders>
              <w:top w:val="single" w:color="auto" w:sz="4" w:space="0"/>
              <w:left w:val="single" w:color="auto" w:sz="4" w:space="0"/>
              <w:bottom w:val="single" w:color="auto" w:sz="4" w:space="0"/>
              <w:right w:val="single" w:color="auto" w:sz="4" w:space="0"/>
            </w:tcBorders>
            <w:noWrap w:val="0"/>
            <w:vAlign w:val="center"/>
          </w:tcPr>
          <w:p w14:paraId="7650C278">
            <w:pPr>
              <w:snapToGrid w:val="0"/>
              <w:spacing w:line="240" w:lineRule="atLeast"/>
              <w:jc w:val="center"/>
              <w:rPr>
                <w:b/>
                <w:color w:val="auto"/>
                <w:szCs w:val="21"/>
                <w:highlight w:val="none"/>
              </w:rPr>
            </w:pPr>
            <w:r>
              <w:rPr>
                <w:rFonts w:hint="eastAsia" w:eastAsia="宋体"/>
                <w:b/>
                <w:color w:val="auto"/>
                <w:szCs w:val="21"/>
                <w:highlight w:val="none"/>
                <w:lang w:val="en-US" w:eastAsia="zh-CN"/>
              </w:rPr>
              <w:t>投标</w:t>
            </w:r>
            <w:r>
              <w:rPr>
                <w:b/>
                <w:color w:val="auto"/>
                <w:szCs w:val="21"/>
                <w:highlight w:val="none"/>
              </w:rPr>
              <w:t>文件中的页码</w:t>
            </w:r>
          </w:p>
        </w:tc>
      </w:tr>
      <w:tr w14:paraId="237FD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338" w:type="pct"/>
            <w:tcBorders>
              <w:top w:val="single" w:color="auto" w:sz="4" w:space="0"/>
              <w:left w:val="single" w:color="auto" w:sz="4" w:space="0"/>
              <w:bottom w:val="single" w:color="auto" w:sz="4" w:space="0"/>
              <w:right w:val="single" w:color="auto" w:sz="4" w:space="0"/>
            </w:tcBorders>
            <w:noWrap w:val="0"/>
            <w:vAlign w:val="center"/>
          </w:tcPr>
          <w:p w14:paraId="6FD8870C">
            <w:pPr>
              <w:jc w:val="center"/>
              <w:rPr>
                <w:color w:val="auto"/>
                <w:szCs w:val="21"/>
                <w:highlight w:val="none"/>
              </w:rPr>
            </w:pPr>
            <w:r>
              <w:rPr>
                <w:color w:val="auto"/>
                <w:szCs w:val="21"/>
                <w:highlight w:val="none"/>
              </w:rPr>
              <w:t>1</w:t>
            </w:r>
          </w:p>
        </w:tc>
        <w:tc>
          <w:tcPr>
            <w:tcW w:w="2848" w:type="pct"/>
            <w:tcBorders>
              <w:top w:val="single" w:color="auto" w:sz="4" w:space="0"/>
              <w:left w:val="single" w:color="auto" w:sz="4" w:space="0"/>
              <w:bottom w:val="single" w:color="auto" w:sz="4" w:space="0"/>
              <w:right w:val="single" w:color="auto" w:sz="4" w:space="0"/>
            </w:tcBorders>
            <w:noWrap w:val="0"/>
            <w:vAlign w:val="center"/>
          </w:tcPr>
          <w:p w14:paraId="0B3D24DC">
            <w:pPr>
              <w:spacing w:line="0" w:lineRule="atLeast"/>
              <w:rPr>
                <w:iCs/>
                <w:color w:val="auto"/>
                <w:szCs w:val="21"/>
                <w:highlight w:val="none"/>
              </w:rPr>
            </w:pPr>
          </w:p>
        </w:tc>
        <w:tc>
          <w:tcPr>
            <w:tcW w:w="1064" w:type="pct"/>
            <w:tcBorders>
              <w:top w:val="single" w:color="auto" w:sz="4" w:space="0"/>
              <w:left w:val="single" w:color="auto" w:sz="4" w:space="0"/>
              <w:bottom w:val="single" w:color="auto" w:sz="4" w:space="0"/>
              <w:right w:val="single" w:color="auto" w:sz="4" w:space="0"/>
            </w:tcBorders>
            <w:noWrap w:val="0"/>
            <w:vAlign w:val="center"/>
          </w:tcPr>
          <w:p w14:paraId="0E022A78">
            <w:pPr>
              <w:rPr>
                <w:b/>
                <w:color w:val="auto"/>
                <w:highlight w:val="none"/>
              </w:rPr>
            </w:pPr>
          </w:p>
        </w:tc>
        <w:tc>
          <w:tcPr>
            <w:tcW w:w="750" w:type="pct"/>
            <w:tcBorders>
              <w:top w:val="single" w:color="auto" w:sz="4" w:space="0"/>
              <w:left w:val="single" w:color="auto" w:sz="4" w:space="0"/>
              <w:bottom w:val="single" w:color="auto" w:sz="4" w:space="0"/>
              <w:right w:val="single" w:color="auto" w:sz="4" w:space="0"/>
            </w:tcBorders>
            <w:noWrap w:val="0"/>
            <w:vAlign w:val="center"/>
          </w:tcPr>
          <w:p w14:paraId="242AA657">
            <w:pPr>
              <w:rPr>
                <w:b/>
                <w:color w:val="auto"/>
                <w:highlight w:val="none"/>
              </w:rPr>
            </w:pPr>
          </w:p>
        </w:tc>
      </w:tr>
      <w:tr w14:paraId="2C25B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338" w:type="pct"/>
            <w:tcBorders>
              <w:top w:val="single" w:color="auto" w:sz="4" w:space="0"/>
              <w:left w:val="single" w:color="auto" w:sz="4" w:space="0"/>
              <w:bottom w:val="single" w:color="auto" w:sz="4" w:space="0"/>
              <w:right w:val="single" w:color="auto" w:sz="4" w:space="0"/>
            </w:tcBorders>
            <w:noWrap w:val="0"/>
            <w:vAlign w:val="center"/>
          </w:tcPr>
          <w:p w14:paraId="17B80B74">
            <w:pPr>
              <w:jc w:val="center"/>
              <w:rPr>
                <w:color w:val="auto"/>
                <w:szCs w:val="21"/>
                <w:highlight w:val="none"/>
              </w:rPr>
            </w:pPr>
            <w:r>
              <w:rPr>
                <w:color w:val="auto"/>
                <w:szCs w:val="21"/>
                <w:highlight w:val="none"/>
              </w:rPr>
              <w:t>2</w:t>
            </w:r>
          </w:p>
        </w:tc>
        <w:tc>
          <w:tcPr>
            <w:tcW w:w="2848" w:type="pct"/>
            <w:tcBorders>
              <w:top w:val="single" w:color="auto" w:sz="4" w:space="0"/>
              <w:left w:val="single" w:color="auto" w:sz="4" w:space="0"/>
              <w:bottom w:val="single" w:color="auto" w:sz="4" w:space="0"/>
              <w:right w:val="single" w:color="auto" w:sz="4" w:space="0"/>
            </w:tcBorders>
            <w:noWrap w:val="0"/>
            <w:vAlign w:val="center"/>
          </w:tcPr>
          <w:p w14:paraId="752EA7A9">
            <w:pPr>
              <w:spacing w:line="0" w:lineRule="atLeast"/>
              <w:rPr>
                <w:iCs/>
                <w:color w:val="auto"/>
                <w:szCs w:val="21"/>
                <w:highlight w:val="none"/>
              </w:rPr>
            </w:pPr>
          </w:p>
        </w:tc>
        <w:tc>
          <w:tcPr>
            <w:tcW w:w="1064" w:type="pct"/>
            <w:tcBorders>
              <w:top w:val="single" w:color="auto" w:sz="4" w:space="0"/>
              <w:left w:val="single" w:color="auto" w:sz="4" w:space="0"/>
              <w:bottom w:val="single" w:color="auto" w:sz="4" w:space="0"/>
              <w:right w:val="single" w:color="auto" w:sz="4" w:space="0"/>
            </w:tcBorders>
            <w:noWrap w:val="0"/>
            <w:vAlign w:val="center"/>
          </w:tcPr>
          <w:p w14:paraId="67AA78F4">
            <w:pPr>
              <w:rPr>
                <w:color w:val="auto"/>
                <w:highlight w:val="none"/>
              </w:rPr>
            </w:pPr>
          </w:p>
        </w:tc>
        <w:tc>
          <w:tcPr>
            <w:tcW w:w="750" w:type="pct"/>
            <w:tcBorders>
              <w:top w:val="single" w:color="auto" w:sz="4" w:space="0"/>
              <w:left w:val="single" w:color="auto" w:sz="4" w:space="0"/>
              <w:bottom w:val="single" w:color="auto" w:sz="4" w:space="0"/>
              <w:right w:val="single" w:color="auto" w:sz="4" w:space="0"/>
            </w:tcBorders>
            <w:noWrap w:val="0"/>
            <w:vAlign w:val="center"/>
          </w:tcPr>
          <w:p w14:paraId="7D1E91E9">
            <w:pPr>
              <w:rPr>
                <w:color w:val="auto"/>
                <w:highlight w:val="none"/>
              </w:rPr>
            </w:pPr>
          </w:p>
        </w:tc>
      </w:tr>
      <w:tr w14:paraId="05473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338" w:type="pct"/>
            <w:tcBorders>
              <w:top w:val="single" w:color="auto" w:sz="4" w:space="0"/>
              <w:left w:val="single" w:color="auto" w:sz="4" w:space="0"/>
              <w:bottom w:val="single" w:color="auto" w:sz="4" w:space="0"/>
              <w:right w:val="single" w:color="auto" w:sz="4" w:space="0"/>
            </w:tcBorders>
            <w:noWrap w:val="0"/>
            <w:vAlign w:val="center"/>
          </w:tcPr>
          <w:p w14:paraId="691C219B">
            <w:pPr>
              <w:jc w:val="center"/>
              <w:rPr>
                <w:color w:val="auto"/>
                <w:szCs w:val="21"/>
                <w:highlight w:val="none"/>
              </w:rPr>
            </w:pPr>
            <w:r>
              <w:rPr>
                <w:color w:val="auto"/>
                <w:szCs w:val="21"/>
                <w:highlight w:val="none"/>
              </w:rPr>
              <w:t>3</w:t>
            </w:r>
          </w:p>
        </w:tc>
        <w:tc>
          <w:tcPr>
            <w:tcW w:w="2848" w:type="pct"/>
            <w:tcBorders>
              <w:top w:val="single" w:color="auto" w:sz="4" w:space="0"/>
              <w:left w:val="single" w:color="auto" w:sz="4" w:space="0"/>
              <w:bottom w:val="single" w:color="auto" w:sz="4" w:space="0"/>
              <w:right w:val="single" w:color="auto" w:sz="4" w:space="0"/>
            </w:tcBorders>
            <w:noWrap w:val="0"/>
            <w:vAlign w:val="center"/>
          </w:tcPr>
          <w:p w14:paraId="6895B68D">
            <w:pPr>
              <w:spacing w:line="0" w:lineRule="atLeast"/>
              <w:rPr>
                <w:iCs/>
                <w:color w:val="auto"/>
                <w:szCs w:val="21"/>
                <w:highlight w:val="none"/>
              </w:rPr>
            </w:pPr>
          </w:p>
        </w:tc>
        <w:tc>
          <w:tcPr>
            <w:tcW w:w="1064" w:type="pct"/>
            <w:tcBorders>
              <w:top w:val="single" w:color="auto" w:sz="4" w:space="0"/>
              <w:left w:val="single" w:color="auto" w:sz="4" w:space="0"/>
              <w:bottom w:val="single" w:color="auto" w:sz="4" w:space="0"/>
              <w:right w:val="single" w:color="auto" w:sz="4" w:space="0"/>
            </w:tcBorders>
            <w:noWrap w:val="0"/>
            <w:vAlign w:val="center"/>
          </w:tcPr>
          <w:p w14:paraId="7922E812">
            <w:pPr>
              <w:rPr>
                <w:color w:val="auto"/>
                <w:highlight w:val="none"/>
              </w:rPr>
            </w:pPr>
          </w:p>
        </w:tc>
        <w:tc>
          <w:tcPr>
            <w:tcW w:w="750" w:type="pct"/>
            <w:tcBorders>
              <w:top w:val="single" w:color="auto" w:sz="4" w:space="0"/>
              <w:left w:val="single" w:color="auto" w:sz="4" w:space="0"/>
              <w:bottom w:val="single" w:color="auto" w:sz="4" w:space="0"/>
              <w:right w:val="single" w:color="auto" w:sz="4" w:space="0"/>
            </w:tcBorders>
            <w:noWrap w:val="0"/>
            <w:vAlign w:val="center"/>
          </w:tcPr>
          <w:p w14:paraId="60481E6A">
            <w:pPr>
              <w:rPr>
                <w:color w:val="auto"/>
                <w:highlight w:val="none"/>
              </w:rPr>
            </w:pPr>
          </w:p>
        </w:tc>
      </w:tr>
      <w:tr w14:paraId="1B3CC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338" w:type="pct"/>
            <w:tcBorders>
              <w:top w:val="single" w:color="auto" w:sz="4" w:space="0"/>
              <w:left w:val="single" w:color="auto" w:sz="4" w:space="0"/>
              <w:bottom w:val="single" w:color="auto" w:sz="4" w:space="0"/>
              <w:right w:val="single" w:color="auto" w:sz="4" w:space="0"/>
            </w:tcBorders>
            <w:noWrap w:val="0"/>
            <w:vAlign w:val="center"/>
          </w:tcPr>
          <w:p w14:paraId="68AFE1AF">
            <w:pPr>
              <w:jc w:val="center"/>
              <w:rPr>
                <w:color w:val="auto"/>
                <w:szCs w:val="21"/>
                <w:highlight w:val="none"/>
              </w:rPr>
            </w:pPr>
            <w:r>
              <w:rPr>
                <w:color w:val="auto"/>
                <w:szCs w:val="21"/>
                <w:highlight w:val="none"/>
              </w:rPr>
              <w:t>4</w:t>
            </w:r>
          </w:p>
        </w:tc>
        <w:tc>
          <w:tcPr>
            <w:tcW w:w="2848" w:type="pct"/>
            <w:tcBorders>
              <w:top w:val="single" w:color="auto" w:sz="4" w:space="0"/>
              <w:left w:val="single" w:color="auto" w:sz="4" w:space="0"/>
              <w:bottom w:val="single" w:color="auto" w:sz="4" w:space="0"/>
              <w:right w:val="single" w:color="auto" w:sz="4" w:space="0"/>
            </w:tcBorders>
            <w:noWrap w:val="0"/>
            <w:vAlign w:val="center"/>
          </w:tcPr>
          <w:p w14:paraId="759EC16A">
            <w:pPr>
              <w:spacing w:line="0" w:lineRule="atLeast"/>
              <w:rPr>
                <w:iCs/>
                <w:color w:val="auto"/>
                <w:szCs w:val="21"/>
                <w:highlight w:val="none"/>
              </w:rPr>
            </w:pPr>
          </w:p>
        </w:tc>
        <w:tc>
          <w:tcPr>
            <w:tcW w:w="1064" w:type="pct"/>
            <w:tcBorders>
              <w:top w:val="single" w:color="auto" w:sz="4" w:space="0"/>
              <w:left w:val="single" w:color="auto" w:sz="4" w:space="0"/>
              <w:bottom w:val="single" w:color="auto" w:sz="4" w:space="0"/>
              <w:right w:val="single" w:color="auto" w:sz="4" w:space="0"/>
            </w:tcBorders>
            <w:noWrap w:val="0"/>
            <w:vAlign w:val="center"/>
          </w:tcPr>
          <w:p w14:paraId="23172EB9">
            <w:pPr>
              <w:rPr>
                <w:color w:val="auto"/>
                <w:highlight w:val="none"/>
              </w:rPr>
            </w:pPr>
          </w:p>
        </w:tc>
        <w:tc>
          <w:tcPr>
            <w:tcW w:w="750" w:type="pct"/>
            <w:tcBorders>
              <w:top w:val="single" w:color="auto" w:sz="4" w:space="0"/>
              <w:left w:val="single" w:color="auto" w:sz="4" w:space="0"/>
              <w:bottom w:val="single" w:color="auto" w:sz="4" w:space="0"/>
              <w:right w:val="single" w:color="auto" w:sz="4" w:space="0"/>
            </w:tcBorders>
            <w:noWrap w:val="0"/>
            <w:vAlign w:val="center"/>
          </w:tcPr>
          <w:p w14:paraId="5AFD101C">
            <w:pPr>
              <w:rPr>
                <w:color w:val="auto"/>
                <w:highlight w:val="none"/>
              </w:rPr>
            </w:pPr>
          </w:p>
        </w:tc>
      </w:tr>
      <w:tr w14:paraId="7674B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338" w:type="pct"/>
            <w:tcBorders>
              <w:top w:val="single" w:color="auto" w:sz="4" w:space="0"/>
              <w:left w:val="single" w:color="auto" w:sz="4" w:space="0"/>
              <w:bottom w:val="single" w:color="auto" w:sz="4" w:space="0"/>
              <w:right w:val="single" w:color="auto" w:sz="4" w:space="0"/>
            </w:tcBorders>
            <w:noWrap w:val="0"/>
            <w:vAlign w:val="center"/>
          </w:tcPr>
          <w:p w14:paraId="54212DE6">
            <w:pPr>
              <w:jc w:val="center"/>
              <w:rPr>
                <w:color w:val="auto"/>
                <w:szCs w:val="21"/>
                <w:highlight w:val="none"/>
              </w:rPr>
            </w:pPr>
            <w:r>
              <w:rPr>
                <w:color w:val="auto"/>
                <w:szCs w:val="21"/>
                <w:highlight w:val="none"/>
              </w:rPr>
              <w:t>5</w:t>
            </w:r>
          </w:p>
        </w:tc>
        <w:tc>
          <w:tcPr>
            <w:tcW w:w="2848" w:type="pct"/>
            <w:tcBorders>
              <w:top w:val="single" w:color="auto" w:sz="4" w:space="0"/>
              <w:left w:val="single" w:color="auto" w:sz="4" w:space="0"/>
              <w:bottom w:val="single" w:color="auto" w:sz="4" w:space="0"/>
              <w:right w:val="single" w:color="auto" w:sz="4" w:space="0"/>
            </w:tcBorders>
            <w:noWrap w:val="0"/>
            <w:vAlign w:val="center"/>
          </w:tcPr>
          <w:p w14:paraId="5C4B7FCE">
            <w:pPr>
              <w:snapToGrid w:val="0"/>
              <w:spacing w:line="0" w:lineRule="atLeast"/>
              <w:rPr>
                <w:iCs/>
                <w:color w:val="auto"/>
                <w:szCs w:val="21"/>
                <w:highlight w:val="none"/>
              </w:rPr>
            </w:pPr>
          </w:p>
        </w:tc>
        <w:tc>
          <w:tcPr>
            <w:tcW w:w="1064" w:type="pct"/>
            <w:tcBorders>
              <w:top w:val="single" w:color="auto" w:sz="4" w:space="0"/>
              <w:left w:val="single" w:color="auto" w:sz="4" w:space="0"/>
              <w:bottom w:val="single" w:color="auto" w:sz="4" w:space="0"/>
              <w:right w:val="single" w:color="auto" w:sz="4" w:space="0"/>
            </w:tcBorders>
            <w:noWrap w:val="0"/>
            <w:vAlign w:val="center"/>
          </w:tcPr>
          <w:p w14:paraId="7BB29BF8">
            <w:pPr>
              <w:rPr>
                <w:color w:val="auto"/>
                <w:highlight w:val="none"/>
              </w:rPr>
            </w:pPr>
          </w:p>
        </w:tc>
        <w:tc>
          <w:tcPr>
            <w:tcW w:w="750" w:type="pct"/>
            <w:tcBorders>
              <w:top w:val="single" w:color="auto" w:sz="4" w:space="0"/>
              <w:left w:val="single" w:color="auto" w:sz="4" w:space="0"/>
              <w:bottom w:val="single" w:color="auto" w:sz="4" w:space="0"/>
              <w:right w:val="single" w:color="auto" w:sz="4" w:space="0"/>
            </w:tcBorders>
            <w:noWrap w:val="0"/>
            <w:vAlign w:val="center"/>
          </w:tcPr>
          <w:p w14:paraId="00E77250">
            <w:pPr>
              <w:rPr>
                <w:color w:val="auto"/>
                <w:highlight w:val="none"/>
              </w:rPr>
            </w:pPr>
          </w:p>
        </w:tc>
      </w:tr>
    </w:tbl>
    <w:p w14:paraId="03097341">
      <w:pPr>
        <w:spacing w:line="440" w:lineRule="exact"/>
        <w:rPr>
          <w:color w:val="auto"/>
          <w:highlight w:val="none"/>
        </w:rPr>
      </w:pPr>
      <w:r>
        <w:rPr>
          <w:b/>
          <w:color w:val="auto"/>
          <w:highlight w:val="none"/>
        </w:rPr>
        <w:t>注：请</w:t>
      </w:r>
      <w:r>
        <w:rPr>
          <w:rFonts w:hint="eastAsia" w:eastAsia="宋体"/>
          <w:b/>
          <w:color w:val="auto"/>
          <w:highlight w:val="none"/>
          <w:lang w:val="en-US" w:eastAsia="zh-CN"/>
        </w:rPr>
        <w:t>投标人</w:t>
      </w:r>
      <w:r>
        <w:rPr>
          <w:b/>
          <w:color w:val="auto"/>
          <w:highlight w:val="none"/>
        </w:rPr>
        <w:t>按照资格要求的内容逐项填写。</w:t>
      </w:r>
    </w:p>
    <w:p w14:paraId="41817B2F">
      <w:pPr>
        <w:widowControl/>
        <w:jc w:val="left"/>
        <w:rPr>
          <w:color w:val="auto"/>
          <w:highlight w:val="none"/>
        </w:rPr>
      </w:pPr>
      <w:r>
        <w:rPr>
          <w:color w:val="auto"/>
          <w:highlight w:val="none"/>
        </w:rPr>
        <w:br w:type="page"/>
      </w:r>
    </w:p>
    <w:p w14:paraId="0F585014">
      <w:pPr>
        <w:widowControl/>
        <w:contextualSpacing/>
        <w:jc w:val="center"/>
        <w:rPr>
          <w:b/>
          <w:color w:val="auto"/>
          <w:sz w:val="32"/>
          <w:szCs w:val="32"/>
          <w:highlight w:val="none"/>
        </w:rPr>
      </w:pPr>
      <w:bookmarkStart w:id="52" w:name="_Toc3027"/>
      <w:bookmarkStart w:id="53" w:name="_Toc8997"/>
      <w:bookmarkStart w:id="54" w:name="_Toc67491118"/>
      <w:bookmarkStart w:id="55" w:name="_Toc146122587"/>
      <w:bookmarkStart w:id="56" w:name="_Toc10995"/>
      <w:bookmarkStart w:id="57" w:name="_Toc65840814"/>
      <w:bookmarkStart w:id="58" w:name="_Toc144551858"/>
      <w:bookmarkStart w:id="59" w:name="_Toc13040"/>
      <w:r>
        <w:rPr>
          <w:b/>
          <w:color w:val="auto"/>
          <w:sz w:val="32"/>
          <w:szCs w:val="32"/>
          <w:highlight w:val="none"/>
        </w:rPr>
        <w:t>二、评分索引表</w:t>
      </w:r>
      <w:bookmarkEnd w:id="52"/>
      <w:bookmarkEnd w:id="53"/>
      <w:bookmarkEnd w:id="54"/>
      <w:bookmarkEnd w:id="55"/>
      <w:bookmarkEnd w:id="56"/>
      <w:bookmarkEnd w:id="57"/>
      <w:bookmarkEnd w:id="58"/>
      <w:bookmarkEnd w:id="59"/>
    </w:p>
    <w:tbl>
      <w:tblPr>
        <w:tblStyle w:val="32"/>
        <w:tblW w:w="51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9"/>
        <w:gridCol w:w="1672"/>
        <w:gridCol w:w="773"/>
        <w:gridCol w:w="4703"/>
        <w:gridCol w:w="1243"/>
        <w:gridCol w:w="845"/>
      </w:tblGrid>
      <w:tr w14:paraId="00239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1C30FD8D">
            <w:pPr>
              <w:spacing w:line="240" w:lineRule="atLeast"/>
              <w:ind w:firstLine="28"/>
              <w:jc w:val="center"/>
              <w:rPr>
                <w:b/>
                <w:color w:val="auto"/>
                <w:szCs w:val="21"/>
                <w:highlight w:val="none"/>
              </w:rPr>
            </w:pPr>
            <w:r>
              <w:rPr>
                <w:b/>
                <w:color w:val="auto"/>
                <w:szCs w:val="21"/>
                <w:highlight w:val="none"/>
              </w:rPr>
              <w:t>序号</w:t>
            </w:r>
          </w:p>
        </w:tc>
        <w:tc>
          <w:tcPr>
            <w:tcW w:w="853" w:type="pct"/>
            <w:noWrap w:val="0"/>
            <w:vAlign w:val="center"/>
          </w:tcPr>
          <w:p w14:paraId="621F3EF8">
            <w:pPr>
              <w:spacing w:line="240" w:lineRule="atLeast"/>
              <w:ind w:firstLine="28"/>
              <w:jc w:val="center"/>
              <w:rPr>
                <w:b/>
                <w:color w:val="auto"/>
                <w:szCs w:val="21"/>
                <w:highlight w:val="none"/>
              </w:rPr>
            </w:pPr>
            <w:r>
              <w:rPr>
                <w:b/>
                <w:color w:val="auto"/>
                <w:szCs w:val="21"/>
                <w:highlight w:val="none"/>
              </w:rPr>
              <w:t>评分因素</w:t>
            </w:r>
          </w:p>
        </w:tc>
        <w:tc>
          <w:tcPr>
            <w:tcW w:w="395" w:type="pct"/>
            <w:noWrap w:val="0"/>
            <w:vAlign w:val="center"/>
          </w:tcPr>
          <w:p w14:paraId="7A00275F">
            <w:pPr>
              <w:spacing w:line="240" w:lineRule="atLeast"/>
              <w:ind w:firstLine="28"/>
              <w:jc w:val="center"/>
              <w:rPr>
                <w:b/>
                <w:color w:val="auto"/>
                <w:szCs w:val="21"/>
                <w:highlight w:val="none"/>
              </w:rPr>
            </w:pPr>
            <w:r>
              <w:rPr>
                <w:b/>
                <w:color w:val="auto"/>
                <w:szCs w:val="21"/>
                <w:highlight w:val="none"/>
              </w:rPr>
              <w:t>分值</w:t>
            </w:r>
          </w:p>
        </w:tc>
        <w:tc>
          <w:tcPr>
            <w:tcW w:w="2402" w:type="pct"/>
            <w:noWrap w:val="0"/>
            <w:vAlign w:val="center"/>
          </w:tcPr>
          <w:p w14:paraId="45FED86D">
            <w:pPr>
              <w:spacing w:line="240" w:lineRule="atLeast"/>
              <w:ind w:firstLine="28"/>
              <w:jc w:val="center"/>
              <w:rPr>
                <w:b/>
                <w:color w:val="auto"/>
                <w:szCs w:val="21"/>
                <w:highlight w:val="none"/>
              </w:rPr>
            </w:pPr>
            <w:r>
              <w:rPr>
                <w:b/>
                <w:color w:val="auto"/>
                <w:szCs w:val="21"/>
                <w:highlight w:val="none"/>
              </w:rPr>
              <w:t>评分标准</w:t>
            </w:r>
          </w:p>
        </w:tc>
        <w:tc>
          <w:tcPr>
            <w:tcW w:w="635" w:type="pct"/>
            <w:noWrap w:val="0"/>
            <w:vAlign w:val="center"/>
          </w:tcPr>
          <w:p w14:paraId="7AC25504">
            <w:pPr>
              <w:pStyle w:val="188"/>
              <w:spacing w:before="0" w:after="0" w:line="240" w:lineRule="atLeas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投标</w:t>
            </w:r>
            <w:r>
              <w:rPr>
                <w:rFonts w:hint="eastAsia" w:ascii="Times New Roman" w:hAnsi="Times New Roman" w:eastAsia="宋体"/>
                <w:color w:val="auto"/>
                <w:sz w:val="21"/>
                <w:szCs w:val="21"/>
                <w:highlight w:val="none"/>
              </w:rPr>
              <w:t>文件中的页码</w:t>
            </w:r>
          </w:p>
        </w:tc>
        <w:tc>
          <w:tcPr>
            <w:tcW w:w="432" w:type="pct"/>
            <w:noWrap w:val="0"/>
            <w:vAlign w:val="center"/>
          </w:tcPr>
          <w:p w14:paraId="2A99FA22">
            <w:pPr>
              <w:pStyle w:val="188"/>
              <w:spacing w:before="0" w:after="0" w:line="240" w:lineRule="atLeas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客观分自评分</w:t>
            </w:r>
          </w:p>
        </w:tc>
      </w:tr>
      <w:tr w14:paraId="16C5B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01CBC019">
            <w:pPr>
              <w:spacing w:line="240" w:lineRule="atLeast"/>
              <w:ind w:firstLine="28"/>
              <w:jc w:val="center"/>
              <w:rPr>
                <w:color w:val="auto"/>
                <w:szCs w:val="21"/>
                <w:highlight w:val="none"/>
              </w:rPr>
            </w:pPr>
            <w:r>
              <w:rPr>
                <w:color w:val="auto"/>
                <w:szCs w:val="21"/>
                <w:highlight w:val="none"/>
              </w:rPr>
              <w:t>1</w:t>
            </w:r>
          </w:p>
        </w:tc>
        <w:tc>
          <w:tcPr>
            <w:tcW w:w="853" w:type="pct"/>
            <w:noWrap w:val="0"/>
            <w:vAlign w:val="center"/>
          </w:tcPr>
          <w:p w14:paraId="6B3B4460">
            <w:pPr>
              <w:spacing w:line="240" w:lineRule="atLeast"/>
              <w:ind w:firstLine="28"/>
              <w:jc w:val="center"/>
              <w:rPr>
                <w:color w:val="auto"/>
                <w:szCs w:val="21"/>
                <w:highlight w:val="none"/>
              </w:rPr>
            </w:pPr>
            <w:r>
              <w:rPr>
                <w:color w:val="auto"/>
                <w:szCs w:val="21"/>
                <w:highlight w:val="none"/>
              </w:rPr>
              <w:t>报价</w:t>
            </w:r>
          </w:p>
        </w:tc>
        <w:tc>
          <w:tcPr>
            <w:tcW w:w="395" w:type="pct"/>
            <w:noWrap w:val="0"/>
            <w:vAlign w:val="center"/>
          </w:tcPr>
          <w:p w14:paraId="167A120D">
            <w:pPr>
              <w:spacing w:line="240" w:lineRule="atLeast"/>
              <w:ind w:firstLine="28"/>
              <w:jc w:val="center"/>
              <w:rPr>
                <w:color w:val="auto"/>
                <w:szCs w:val="21"/>
                <w:highlight w:val="none"/>
              </w:rPr>
            </w:pPr>
            <w:r>
              <w:rPr>
                <w:rFonts w:hint="eastAsia"/>
                <w:color w:val="auto"/>
                <w:szCs w:val="21"/>
                <w:highlight w:val="none"/>
                <w:lang w:val="en-US" w:eastAsia="zh-CN"/>
              </w:rPr>
              <w:t>30</w:t>
            </w:r>
            <w:r>
              <w:rPr>
                <w:color w:val="auto"/>
                <w:szCs w:val="21"/>
                <w:highlight w:val="none"/>
              </w:rPr>
              <w:t>分</w:t>
            </w:r>
          </w:p>
        </w:tc>
        <w:tc>
          <w:tcPr>
            <w:tcW w:w="2402" w:type="pct"/>
            <w:noWrap w:val="0"/>
            <w:vAlign w:val="center"/>
          </w:tcPr>
          <w:p w14:paraId="66AE4FBE">
            <w:pPr>
              <w:spacing w:line="240" w:lineRule="atLeast"/>
              <w:rPr>
                <w:color w:val="auto"/>
                <w:szCs w:val="21"/>
                <w:highlight w:val="none"/>
              </w:rPr>
            </w:pPr>
          </w:p>
        </w:tc>
        <w:tc>
          <w:tcPr>
            <w:tcW w:w="635" w:type="pct"/>
            <w:noWrap w:val="0"/>
            <w:vAlign w:val="center"/>
          </w:tcPr>
          <w:p w14:paraId="50B3C1D8">
            <w:pPr>
              <w:spacing w:line="240" w:lineRule="atLeast"/>
              <w:ind w:left="-38"/>
              <w:jc w:val="center"/>
              <w:rPr>
                <w:color w:val="auto"/>
                <w:szCs w:val="21"/>
                <w:highlight w:val="none"/>
              </w:rPr>
            </w:pPr>
          </w:p>
        </w:tc>
        <w:tc>
          <w:tcPr>
            <w:tcW w:w="432" w:type="pct"/>
            <w:noWrap w:val="0"/>
            <w:vAlign w:val="center"/>
          </w:tcPr>
          <w:p w14:paraId="4736ADA0">
            <w:pPr>
              <w:spacing w:line="240" w:lineRule="atLeast"/>
              <w:ind w:left="-38"/>
              <w:jc w:val="center"/>
              <w:rPr>
                <w:color w:val="auto"/>
                <w:szCs w:val="21"/>
                <w:highlight w:val="none"/>
              </w:rPr>
            </w:pPr>
            <w:r>
              <w:rPr>
                <w:color w:val="auto"/>
                <w:szCs w:val="21"/>
                <w:highlight w:val="none"/>
              </w:rPr>
              <w:t>/</w:t>
            </w:r>
          </w:p>
        </w:tc>
      </w:tr>
      <w:tr w14:paraId="5AF2C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17F5823B">
            <w:pPr>
              <w:spacing w:line="240" w:lineRule="atLeast"/>
              <w:ind w:firstLine="28"/>
              <w:jc w:val="center"/>
              <w:rPr>
                <w:color w:val="auto"/>
                <w:szCs w:val="21"/>
                <w:highlight w:val="none"/>
              </w:rPr>
            </w:pPr>
          </w:p>
        </w:tc>
        <w:tc>
          <w:tcPr>
            <w:tcW w:w="853" w:type="pct"/>
            <w:noWrap w:val="0"/>
            <w:vAlign w:val="center"/>
          </w:tcPr>
          <w:p w14:paraId="2FEF4BB8">
            <w:pPr>
              <w:spacing w:line="240" w:lineRule="atLeast"/>
              <w:ind w:firstLine="28"/>
              <w:jc w:val="center"/>
              <w:rPr>
                <w:color w:val="auto"/>
                <w:szCs w:val="21"/>
                <w:highlight w:val="none"/>
              </w:rPr>
            </w:pPr>
          </w:p>
        </w:tc>
        <w:tc>
          <w:tcPr>
            <w:tcW w:w="395" w:type="pct"/>
            <w:noWrap w:val="0"/>
            <w:vAlign w:val="center"/>
          </w:tcPr>
          <w:p w14:paraId="7E6A1921">
            <w:pPr>
              <w:spacing w:line="240" w:lineRule="atLeast"/>
              <w:ind w:firstLine="28"/>
              <w:jc w:val="center"/>
              <w:rPr>
                <w:color w:val="auto"/>
                <w:szCs w:val="21"/>
                <w:highlight w:val="none"/>
              </w:rPr>
            </w:pPr>
          </w:p>
        </w:tc>
        <w:tc>
          <w:tcPr>
            <w:tcW w:w="2402" w:type="pct"/>
            <w:noWrap w:val="0"/>
            <w:vAlign w:val="center"/>
          </w:tcPr>
          <w:p w14:paraId="21713241">
            <w:pPr>
              <w:spacing w:line="240" w:lineRule="atLeast"/>
              <w:rPr>
                <w:color w:val="auto"/>
                <w:szCs w:val="21"/>
                <w:highlight w:val="none"/>
              </w:rPr>
            </w:pPr>
          </w:p>
        </w:tc>
        <w:tc>
          <w:tcPr>
            <w:tcW w:w="635" w:type="pct"/>
            <w:noWrap w:val="0"/>
            <w:vAlign w:val="center"/>
          </w:tcPr>
          <w:p w14:paraId="3F93C8E5">
            <w:pPr>
              <w:spacing w:line="240" w:lineRule="atLeast"/>
              <w:ind w:left="-38"/>
              <w:jc w:val="center"/>
              <w:rPr>
                <w:color w:val="auto"/>
                <w:szCs w:val="21"/>
                <w:highlight w:val="none"/>
              </w:rPr>
            </w:pPr>
          </w:p>
        </w:tc>
        <w:tc>
          <w:tcPr>
            <w:tcW w:w="432" w:type="pct"/>
            <w:noWrap w:val="0"/>
            <w:vAlign w:val="center"/>
          </w:tcPr>
          <w:p w14:paraId="199A6DB8">
            <w:pPr>
              <w:spacing w:line="240" w:lineRule="atLeast"/>
              <w:ind w:left="-38"/>
              <w:jc w:val="center"/>
              <w:rPr>
                <w:color w:val="auto"/>
                <w:szCs w:val="21"/>
                <w:highlight w:val="none"/>
              </w:rPr>
            </w:pPr>
          </w:p>
        </w:tc>
      </w:tr>
      <w:tr w14:paraId="11EF4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2A1EAEF6">
            <w:pPr>
              <w:spacing w:line="240" w:lineRule="atLeast"/>
              <w:ind w:firstLine="28"/>
              <w:jc w:val="center"/>
              <w:rPr>
                <w:color w:val="auto"/>
                <w:szCs w:val="21"/>
                <w:highlight w:val="none"/>
              </w:rPr>
            </w:pPr>
          </w:p>
        </w:tc>
        <w:tc>
          <w:tcPr>
            <w:tcW w:w="853" w:type="pct"/>
            <w:noWrap w:val="0"/>
            <w:vAlign w:val="center"/>
          </w:tcPr>
          <w:p w14:paraId="48191C61">
            <w:pPr>
              <w:spacing w:line="240" w:lineRule="atLeast"/>
              <w:ind w:firstLine="28"/>
              <w:jc w:val="center"/>
              <w:rPr>
                <w:color w:val="auto"/>
                <w:szCs w:val="21"/>
                <w:highlight w:val="none"/>
              </w:rPr>
            </w:pPr>
          </w:p>
        </w:tc>
        <w:tc>
          <w:tcPr>
            <w:tcW w:w="395" w:type="pct"/>
            <w:noWrap w:val="0"/>
            <w:vAlign w:val="center"/>
          </w:tcPr>
          <w:p w14:paraId="424441BB">
            <w:pPr>
              <w:spacing w:line="240" w:lineRule="atLeast"/>
              <w:ind w:firstLine="28"/>
              <w:jc w:val="center"/>
              <w:rPr>
                <w:color w:val="auto"/>
                <w:szCs w:val="21"/>
                <w:highlight w:val="none"/>
              </w:rPr>
            </w:pPr>
          </w:p>
        </w:tc>
        <w:tc>
          <w:tcPr>
            <w:tcW w:w="2402" w:type="pct"/>
            <w:noWrap w:val="0"/>
            <w:vAlign w:val="center"/>
          </w:tcPr>
          <w:p w14:paraId="6F4C1C76">
            <w:pPr>
              <w:spacing w:line="240" w:lineRule="atLeast"/>
              <w:rPr>
                <w:color w:val="auto"/>
                <w:szCs w:val="21"/>
                <w:highlight w:val="none"/>
              </w:rPr>
            </w:pPr>
          </w:p>
        </w:tc>
        <w:tc>
          <w:tcPr>
            <w:tcW w:w="635" w:type="pct"/>
            <w:noWrap w:val="0"/>
            <w:vAlign w:val="center"/>
          </w:tcPr>
          <w:p w14:paraId="540F6575">
            <w:pPr>
              <w:spacing w:line="240" w:lineRule="atLeast"/>
              <w:ind w:left="-38"/>
              <w:jc w:val="center"/>
              <w:rPr>
                <w:color w:val="auto"/>
                <w:szCs w:val="21"/>
                <w:highlight w:val="none"/>
              </w:rPr>
            </w:pPr>
          </w:p>
        </w:tc>
        <w:tc>
          <w:tcPr>
            <w:tcW w:w="432" w:type="pct"/>
            <w:noWrap w:val="0"/>
            <w:vAlign w:val="center"/>
          </w:tcPr>
          <w:p w14:paraId="44DCB6E4">
            <w:pPr>
              <w:spacing w:line="240" w:lineRule="atLeast"/>
              <w:ind w:left="-38"/>
              <w:jc w:val="center"/>
              <w:rPr>
                <w:color w:val="auto"/>
                <w:szCs w:val="21"/>
                <w:highlight w:val="none"/>
              </w:rPr>
            </w:pPr>
          </w:p>
        </w:tc>
      </w:tr>
      <w:tr w14:paraId="653FC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5B40BE28">
            <w:pPr>
              <w:spacing w:line="240" w:lineRule="atLeast"/>
              <w:ind w:firstLine="28"/>
              <w:jc w:val="center"/>
              <w:rPr>
                <w:color w:val="auto"/>
                <w:szCs w:val="21"/>
                <w:highlight w:val="none"/>
              </w:rPr>
            </w:pPr>
          </w:p>
        </w:tc>
        <w:tc>
          <w:tcPr>
            <w:tcW w:w="853" w:type="pct"/>
            <w:noWrap w:val="0"/>
            <w:vAlign w:val="center"/>
          </w:tcPr>
          <w:p w14:paraId="0F3EE405">
            <w:pPr>
              <w:spacing w:line="240" w:lineRule="atLeast"/>
              <w:ind w:firstLine="28"/>
              <w:jc w:val="center"/>
              <w:rPr>
                <w:color w:val="auto"/>
                <w:szCs w:val="21"/>
                <w:highlight w:val="none"/>
              </w:rPr>
            </w:pPr>
          </w:p>
        </w:tc>
        <w:tc>
          <w:tcPr>
            <w:tcW w:w="395" w:type="pct"/>
            <w:noWrap w:val="0"/>
            <w:vAlign w:val="center"/>
          </w:tcPr>
          <w:p w14:paraId="5F808730">
            <w:pPr>
              <w:spacing w:line="240" w:lineRule="atLeast"/>
              <w:ind w:firstLine="28"/>
              <w:jc w:val="center"/>
              <w:rPr>
                <w:color w:val="auto"/>
                <w:szCs w:val="21"/>
                <w:highlight w:val="none"/>
              </w:rPr>
            </w:pPr>
          </w:p>
        </w:tc>
        <w:tc>
          <w:tcPr>
            <w:tcW w:w="2402" w:type="pct"/>
            <w:noWrap w:val="0"/>
            <w:vAlign w:val="center"/>
          </w:tcPr>
          <w:p w14:paraId="6325BFA5">
            <w:pPr>
              <w:spacing w:line="240" w:lineRule="atLeast"/>
              <w:rPr>
                <w:color w:val="auto"/>
                <w:szCs w:val="21"/>
                <w:highlight w:val="none"/>
              </w:rPr>
            </w:pPr>
          </w:p>
        </w:tc>
        <w:tc>
          <w:tcPr>
            <w:tcW w:w="635" w:type="pct"/>
            <w:noWrap w:val="0"/>
            <w:vAlign w:val="center"/>
          </w:tcPr>
          <w:p w14:paraId="77C1EA84">
            <w:pPr>
              <w:spacing w:line="240" w:lineRule="atLeast"/>
              <w:ind w:left="-38"/>
              <w:jc w:val="center"/>
              <w:rPr>
                <w:color w:val="auto"/>
                <w:szCs w:val="21"/>
                <w:highlight w:val="none"/>
              </w:rPr>
            </w:pPr>
          </w:p>
        </w:tc>
        <w:tc>
          <w:tcPr>
            <w:tcW w:w="432" w:type="pct"/>
            <w:noWrap w:val="0"/>
            <w:vAlign w:val="center"/>
          </w:tcPr>
          <w:p w14:paraId="3CE2F691">
            <w:pPr>
              <w:spacing w:line="240" w:lineRule="atLeast"/>
              <w:ind w:left="-38"/>
              <w:jc w:val="center"/>
              <w:rPr>
                <w:color w:val="auto"/>
                <w:szCs w:val="21"/>
                <w:highlight w:val="none"/>
              </w:rPr>
            </w:pPr>
          </w:p>
        </w:tc>
      </w:tr>
      <w:tr w14:paraId="1D85A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4DCFBAD3">
            <w:pPr>
              <w:spacing w:line="240" w:lineRule="atLeast"/>
              <w:ind w:firstLine="28"/>
              <w:jc w:val="center"/>
              <w:rPr>
                <w:color w:val="auto"/>
                <w:szCs w:val="21"/>
                <w:highlight w:val="none"/>
              </w:rPr>
            </w:pPr>
          </w:p>
        </w:tc>
        <w:tc>
          <w:tcPr>
            <w:tcW w:w="853" w:type="pct"/>
            <w:noWrap w:val="0"/>
            <w:vAlign w:val="center"/>
          </w:tcPr>
          <w:p w14:paraId="61FE1767">
            <w:pPr>
              <w:spacing w:line="240" w:lineRule="atLeast"/>
              <w:ind w:firstLine="28"/>
              <w:jc w:val="center"/>
              <w:rPr>
                <w:color w:val="auto"/>
                <w:szCs w:val="21"/>
                <w:highlight w:val="none"/>
              </w:rPr>
            </w:pPr>
          </w:p>
        </w:tc>
        <w:tc>
          <w:tcPr>
            <w:tcW w:w="395" w:type="pct"/>
            <w:noWrap w:val="0"/>
            <w:vAlign w:val="center"/>
          </w:tcPr>
          <w:p w14:paraId="7AC5342F">
            <w:pPr>
              <w:spacing w:line="240" w:lineRule="atLeast"/>
              <w:ind w:firstLine="28"/>
              <w:jc w:val="center"/>
              <w:rPr>
                <w:color w:val="auto"/>
                <w:szCs w:val="21"/>
                <w:highlight w:val="none"/>
              </w:rPr>
            </w:pPr>
          </w:p>
        </w:tc>
        <w:tc>
          <w:tcPr>
            <w:tcW w:w="2402" w:type="pct"/>
            <w:noWrap w:val="0"/>
            <w:vAlign w:val="center"/>
          </w:tcPr>
          <w:p w14:paraId="751E5260">
            <w:pPr>
              <w:spacing w:line="240" w:lineRule="atLeast"/>
              <w:rPr>
                <w:color w:val="auto"/>
                <w:szCs w:val="21"/>
                <w:highlight w:val="none"/>
              </w:rPr>
            </w:pPr>
          </w:p>
        </w:tc>
        <w:tc>
          <w:tcPr>
            <w:tcW w:w="635" w:type="pct"/>
            <w:noWrap w:val="0"/>
            <w:vAlign w:val="center"/>
          </w:tcPr>
          <w:p w14:paraId="05C52325">
            <w:pPr>
              <w:spacing w:line="240" w:lineRule="atLeast"/>
              <w:ind w:left="-38"/>
              <w:jc w:val="center"/>
              <w:rPr>
                <w:color w:val="auto"/>
                <w:szCs w:val="21"/>
                <w:highlight w:val="none"/>
              </w:rPr>
            </w:pPr>
          </w:p>
        </w:tc>
        <w:tc>
          <w:tcPr>
            <w:tcW w:w="432" w:type="pct"/>
            <w:noWrap w:val="0"/>
            <w:vAlign w:val="center"/>
          </w:tcPr>
          <w:p w14:paraId="2550BB85">
            <w:pPr>
              <w:spacing w:line="240" w:lineRule="atLeast"/>
              <w:ind w:left="-38"/>
              <w:jc w:val="center"/>
              <w:rPr>
                <w:color w:val="auto"/>
                <w:szCs w:val="21"/>
                <w:highlight w:val="none"/>
              </w:rPr>
            </w:pPr>
          </w:p>
        </w:tc>
      </w:tr>
      <w:tr w14:paraId="17296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479C41D3">
            <w:pPr>
              <w:spacing w:line="240" w:lineRule="atLeast"/>
              <w:ind w:firstLine="28"/>
              <w:jc w:val="center"/>
              <w:rPr>
                <w:color w:val="auto"/>
                <w:szCs w:val="21"/>
                <w:highlight w:val="none"/>
              </w:rPr>
            </w:pPr>
          </w:p>
        </w:tc>
        <w:tc>
          <w:tcPr>
            <w:tcW w:w="853" w:type="pct"/>
            <w:noWrap w:val="0"/>
            <w:vAlign w:val="center"/>
          </w:tcPr>
          <w:p w14:paraId="320D6FED">
            <w:pPr>
              <w:spacing w:line="240" w:lineRule="atLeast"/>
              <w:ind w:firstLine="28"/>
              <w:jc w:val="center"/>
              <w:rPr>
                <w:color w:val="auto"/>
                <w:szCs w:val="21"/>
                <w:highlight w:val="none"/>
              </w:rPr>
            </w:pPr>
          </w:p>
        </w:tc>
        <w:tc>
          <w:tcPr>
            <w:tcW w:w="395" w:type="pct"/>
            <w:noWrap w:val="0"/>
            <w:vAlign w:val="center"/>
          </w:tcPr>
          <w:p w14:paraId="1416F0BF">
            <w:pPr>
              <w:spacing w:line="240" w:lineRule="atLeast"/>
              <w:ind w:firstLine="28"/>
              <w:jc w:val="center"/>
              <w:rPr>
                <w:color w:val="auto"/>
                <w:szCs w:val="21"/>
                <w:highlight w:val="none"/>
              </w:rPr>
            </w:pPr>
          </w:p>
        </w:tc>
        <w:tc>
          <w:tcPr>
            <w:tcW w:w="2402" w:type="pct"/>
            <w:noWrap w:val="0"/>
            <w:vAlign w:val="center"/>
          </w:tcPr>
          <w:p w14:paraId="3CC2F4BB">
            <w:pPr>
              <w:spacing w:line="240" w:lineRule="atLeast"/>
              <w:rPr>
                <w:color w:val="auto"/>
                <w:szCs w:val="21"/>
                <w:highlight w:val="none"/>
              </w:rPr>
            </w:pPr>
          </w:p>
        </w:tc>
        <w:tc>
          <w:tcPr>
            <w:tcW w:w="635" w:type="pct"/>
            <w:noWrap w:val="0"/>
            <w:vAlign w:val="center"/>
          </w:tcPr>
          <w:p w14:paraId="13CF153C">
            <w:pPr>
              <w:spacing w:line="240" w:lineRule="atLeast"/>
              <w:ind w:left="-38"/>
              <w:jc w:val="center"/>
              <w:rPr>
                <w:color w:val="auto"/>
                <w:szCs w:val="21"/>
                <w:highlight w:val="none"/>
              </w:rPr>
            </w:pPr>
          </w:p>
        </w:tc>
        <w:tc>
          <w:tcPr>
            <w:tcW w:w="432" w:type="pct"/>
            <w:noWrap w:val="0"/>
            <w:vAlign w:val="center"/>
          </w:tcPr>
          <w:p w14:paraId="2C77B9F4">
            <w:pPr>
              <w:spacing w:line="240" w:lineRule="atLeast"/>
              <w:ind w:left="-38"/>
              <w:jc w:val="center"/>
              <w:rPr>
                <w:color w:val="auto"/>
                <w:szCs w:val="21"/>
                <w:highlight w:val="none"/>
              </w:rPr>
            </w:pPr>
          </w:p>
        </w:tc>
      </w:tr>
      <w:tr w14:paraId="5DEF1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088F2788">
            <w:pPr>
              <w:spacing w:line="240" w:lineRule="atLeast"/>
              <w:ind w:firstLine="28"/>
              <w:jc w:val="center"/>
              <w:rPr>
                <w:color w:val="auto"/>
                <w:szCs w:val="21"/>
                <w:highlight w:val="none"/>
              </w:rPr>
            </w:pPr>
          </w:p>
        </w:tc>
        <w:tc>
          <w:tcPr>
            <w:tcW w:w="853" w:type="pct"/>
            <w:noWrap w:val="0"/>
            <w:vAlign w:val="center"/>
          </w:tcPr>
          <w:p w14:paraId="64D1FBF4">
            <w:pPr>
              <w:spacing w:line="240" w:lineRule="atLeast"/>
              <w:ind w:firstLine="28"/>
              <w:jc w:val="center"/>
              <w:rPr>
                <w:color w:val="auto"/>
                <w:szCs w:val="21"/>
                <w:highlight w:val="none"/>
              </w:rPr>
            </w:pPr>
          </w:p>
        </w:tc>
        <w:tc>
          <w:tcPr>
            <w:tcW w:w="395" w:type="pct"/>
            <w:noWrap w:val="0"/>
            <w:vAlign w:val="center"/>
          </w:tcPr>
          <w:p w14:paraId="0055517C">
            <w:pPr>
              <w:spacing w:line="240" w:lineRule="atLeast"/>
              <w:ind w:firstLine="28"/>
              <w:jc w:val="center"/>
              <w:rPr>
                <w:color w:val="auto"/>
                <w:szCs w:val="21"/>
                <w:highlight w:val="none"/>
              </w:rPr>
            </w:pPr>
          </w:p>
        </w:tc>
        <w:tc>
          <w:tcPr>
            <w:tcW w:w="2402" w:type="pct"/>
            <w:noWrap w:val="0"/>
            <w:vAlign w:val="center"/>
          </w:tcPr>
          <w:p w14:paraId="0CE5C6AD">
            <w:pPr>
              <w:spacing w:line="240" w:lineRule="atLeast"/>
              <w:rPr>
                <w:color w:val="auto"/>
                <w:szCs w:val="21"/>
                <w:highlight w:val="none"/>
              </w:rPr>
            </w:pPr>
          </w:p>
        </w:tc>
        <w:tc>
          <w:tcPr>
            <w:tcW w:w="635" w:type="pct"/>
            <w:noWrap w:val="0"/>
            <w:vAlign w:val="center"/>
          </w:tcPr>
          <w:p w14:paraId="7A5825AF">
            <w:pPr>
              <w:spacing w:line="240" w:lineRule="atLeast"/>
              <w:ind w:left="-38"/>
              <w:jc w:val="center"/>
              <w:rPr>
                <w:color w:val="auto"/>
                <w:szCs w:val="21"/>
                <w:highlight w:val="none"/>
              </w:rPr>
            </w:pPr>
          </w:p>
        </w:tc>
        <w:tc>
          <w:tcPr>
            <w:tcW w:w="432" w:type="pct"/>
            <w:noWrap w:val="0"/>
            <w:vAlign w:val="center"/>
          </w:tcPr>
          <w:p w14:paraId="7E5C1943">
            <w:pPr>
              <w:spacing w:line="240" w:lineRule="atLeast"/>
              <w:ind w:left="-38"/>
              <w:jc w:val="center"/>
              <w:rPr>
                <w:color w:val="auto"/>
                <w:szCs w:val="21"/>
                <w:highlight w:val="none"/>
              </w:rPr>
            </w:pPr>
          </w:p>
        </w:tc>
      </w:tr>
    </w:tbl>
    <w:p w14:paraId="64609B58">
      <w:pPr>
        <w:spacing w:before="312" w:beforeLines="100" w:after="312" w:afterLines="100"/>
        <w:rPr>
          <w:b/>
          <w:bCs/>
          <w:color w:val="auto"/>
          <w:highlight w:val="none"/>
        </w:rPr>
      </w:pPr>
      <w:r>
        <w:rPr>
          <w:b/>
          <w:color w:val="auto"/>
          <w:highlight w:val="none"/>
        </w:rPr>
        <w:t>注：请供应商按照第三章评审标准中的内容逐项填写，</w:t>
      </w:r>
      <w:r>
        <w:rPr>
          <w:rFonts w:hint="eastAsia" w:eastAsia="宋体"/>
          <w:b/>
          <w:color w:val="auto"/>
          <w:highlight w:val="none"/>
          <w:lang w:val="en-US" w:eastAsia="zh-CN"/>
        </w:rPr>
        <w:t>投标</w:t>
      </w:r>
      <w:r>
        <w:rPr>
          <w:b/>
          <w:color w:val="auto"/>
          <w:highlight w:val="none"/>
        </w:rPr>
        <w:t>文件应编制目录及页码。</w:t>
      </w:r>
      <w:bookmarkEnd w:id="51"/>
    </w:p>
    <w:p w14:paraId="5C097AE1">
      <w:pPr>
        <w:rPr>
          <w:rFonts w:hint="eastAsia" w:ascii="宋体" w:hAnsi="宋体" w:eastAsia="宋体" w:cs="宋体"/>
          <w:b/>
          <w:color w:val="auto"/>
          <w:sz w:val="21"/>
          <w:highlight w:val="none"/>
        </w:rPr>
      </w:pPr>
    </w:p>
    <w:p w14:paraId="722E0AC7">
      <w:pPr>
        <w:rPr>
          <w:rFonts w:hint="eastAsia" w:ascii="宋体" w:hAnsi="宋体" w:eastAsia="宋体" w:cs="宋体"/>
          <w:b/>
          <w:color w:val="auto"/>
          <w:sz w:val="21"/>
          <w:highlight w:val="none"/>
        </w:rPr>
      </w:pPr>
      <w:r>
        <w:rPr>
          <w:rFonts w:hint="eastAsia" w:ascii="宋体" w:hAnsi="宋体" w:eastAsia="宋体" w:cs="宋体"/>
          <w:b/>
          <w:color w:val="auto"/>
          <w:sz w:val="21"/>
          <w:highlight w:val="none"/>
        </w:rPr>
        <w:br w:type="page"/>
      </w:r>
    </w:p>
    <w:p w14:paraId="4B619D9E">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附件一、投标申请及声明格式</w:t>
      </w:r>
    </w:p>
    <w:p w14:paraId="4B6EC42D">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6"/>
          <w:highlight w:val="none"/>
        </w:rPr>
        <w:t>投标申请及声明</w:t>
      </w:r>
    </w:p>
    <w:p w14:paraId="3AF990A9">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致：江苏省设备成套股份有限公司</w:t>
      </w:r>
    </w:p>
    <w:p w14:paraId="383D0AA6">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根据贵方</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项目名称） </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（项目编号）投标邀请，正式授权下述签字人</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(姓名和职务)代表投标人</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（投标人名称），提交投标文件。</w:t>
      </w:r>
    </w:p>
    <w:p w14:paraId="2BCCD245">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据此函，签字人兹宣布声明和承诺如下：</w:t>
      </w:r>
    </w:p>
    <w:p w14:paraId="3DB99603">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1、我们的资格条件完全符合政府采购法和本次招标要求，我们同意并向贵方提供了与投标有关的所有证据和资料。</w:t>
      </w:r>
    </w:p>
    <w:p w14:paraId="5E5359EE">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1470" w:right="0" w:hanging="1050"/>
        <w:jc w:val="both"/>
        <w:rPr>
          <w:rFonts w:hint="eastAsia" w:ascii="宋体" w:hAnsi="宋体" w:eastAsia="宋体" w:cs="宋体"/>
          <w:color w:val="auto"/>
          <w:highlight w:val="none"/>
        </w:rPr>
      </w:pPr>
      <w:r>
        <w:rPr>
          <w:rFonts w:hint="eastAsia" w:ascii="宋体" w:hAnsi="宋体" w:eastAsia="宋体" w:cs="宋体"/>
          <w:color w:val="auto"/>
          <w:sz w:val="21"/>
          <w:highlight w:val="none"/>
        </w:rPr>
        <w:t>2、按招标要求，我们的投标总报价详见开标一览表。</w:t>
      </w:r>
    </w:p>
    <w:p w14:paraId="34D6CD93">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3、本项目合同履行期限为：</w:t>
      </w:r>
      <w:r>
        <w:rPr>
          <w:rFonts w:hint="eastAsia" w:ascii="宋体" w:hAnsi="宋体" w:eastAsia="宋体" w:cs="宋体"/>
          <w:color w:val="auto"/>
          <w:sz w:val="21"/>
          <w:highlight w:val="none"/>
          <w:u w:val="single"/>
        </w:rPr>
        <w:t>  满足招标文件要求</w:t>
      </w:r>
      <w:r>
        <w:rPr>
          <w:rFonts w:hint="eastAsia" w:ascii="宋体" w:hAnsi="宋体" w:eastAsia="宋体" w:cs="宋体"/>
          <w:color w:val="auto"/>
          <w:sz w:val="21"/>
          <w:highlight w:val="none"/>
        </w:rPr>
        <w:t>。</w:t>
      </w:r>
    </w:p>
    <w:p w14:paraId="447DC820">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4、我们已详细阅读全部招标文件及其有效补充文件，我们放弃对招标文件任何误解的权利，提交投标文件后，不对招标文件本身提出质疑。</w:t>
      </w:r>
    </w:p>
    <w:p w14:paraId="518AF23C">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5、我们同意从规定的开标日期起遵循本投标文件，并在规定的投标有效期期满之前均具有约束力。</w:t>
      </w:r>
    </w:p>
    <w:p w14:paraId="30D6F78A">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6、一旦我方中标，我方将根据招标文件的规定及我方投标承诺严格履行合同。</w:t>
      </w:r>
    </w:p>
    <w:p w14:paraId="65E50A5C">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6E07F26E">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8、与本投标有关的正式联系方式为：</w:t>
      </w:r>
    </w:p>
    <w:p w14:paraId="48F893FE">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地   址：</w:t>
      </w:r>
      <w:r>
        <w:rPr>
          <w:rFonts w:hint="eastAsia" w:ascii="宋体" w:hAnsi="宋体" w:eastAsia="宋体" w:cs="宋体"/>
          <w:color w:val="auto"/>
          <w:sz w:val="21"/>
          <w:highlight w:val="none"/>
          <w:u w:val="single"/>
        </w:rPr>
        <w:t>                      </w:t>
      </w:r>
    </w:p>
    <w:p w14:paraId="3A60658D">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电   话：</w:t>
      </w:r>
      <w:r>
        <w:rPr>
          <w:rFonts w:hint="eastAsia" w:ascii="宋体" w:hAnsi="宋体" w:eastAsia="宋体" w:cs="宋体"/>
          <w:color w:val="auto"/>
          <w:sz w:val="21"/>
          <w:highlight w:val="none"/>
          <w:u w:val="single"/>
        </w:rPr>
        <w:t>                      </w:t>
      </w:r>
    </w:p>
    <w:p w14:paraId="3CF5677E">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传   真：</w:t>
      </w:r>
      <w:r>
        <w:rPr>
          <w:rFonts w:hint="eastAsia" w:ascii="宋体" w:hAnsi="宋体" w:eastAsia="宋体" w:cs="宋体"/>
          <w:color w:val="auto"/>
          <w:sz w:val="21"/>
          <w:highlight w:val="none"/>
          <w:u w:val="single"/>
        </w:rPr>
        <w:t>                      </w:t>
      </w:r>
    </w:p>
    <w:p w14:paraId="1CCBDE01">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开户银行：</w:t>
      </w:r>
    </w:p>
    <w:p w14:paraId="7A77E963">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银行账号：</w:t>
      </w:r>
    </w:p>
    <w:p w14:paraId="01C685EA">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投标人名称：</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（加盖电子公章）</w:t>
      </w:r>
    </w:p>
    <w:p w14:paraId="0B63DA25">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日    期：</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年</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月</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日</w:t>
      </w:r>
    </w:p>
    <w:p w14:paraId="3C570FB9">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4A3B0471">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附件二、法定代表人授权书格式</w:t>
      </w:r>
    </w:p>
    <w:p w14:paraId="39B29974">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720"/>
        <w:jc w:val="center"/>
        <w:rPr>
          <w:rFonts w:hint="eastAsia" w:ascii="宋体" w:hAnsi="宋体" w:eastAsia="宋体" w:cs="宋体"/>
          <w:color w:val="auto"/>
          <w:highlight w:val="none"/>
        </w:rPr>
      </w:pPr>
      <w:r>
        <w:rPr>
          <w:rFonts w:hint="eastAsia" w:ascii="宋体" w:hAnsi="宋体" w:eastAsia="宋体" w:cs="宋体"/>
          <w:color w:val="auto"/>
          <w:sz w:val="36"/>
          <w:highlight w:val="none"/>
        </w:rPr>
        <w:t> </w:t>
      </w:r>
    </w:p>
    <w:p w14:paraId="0E681F6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2"/>
          <w:highlight w:val="none"/>
        </w:rPr>
        <w:t>法人授权书</w:t>
      </w:r>
    </w:p>
    <w:p w14:paraId="185410DB">
      <w:pPr>
        <w:pBdr>
          <w:top w:val="none" w:color="000000" w:sz="0" w:space="0"/>
          <w:left w:val="none" w:color="000000" w:sz="0" w:space="0"/>
          <w:bottom w:val="none" w:color="000000" w:sz="0" w:space="0"/>
          <w:right w:val="none" w:color="000000" w:sz="0" w:space="0"/>
        </w:pBdr>
        <w:tabs>
          <w:tab w:val="left" w:pos="360"/>
        </w:tabs>
        <w:spacing w:before="240" w:after="240" w:line="419"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009ECD2D">
      <w:pPr>
        <w:pBdr>
          <w:top w:val="none" w:color="000000" w:sz="0" w:space="0"/>
          <w:left w:val="none" w:color="000000" w:sz="0" w:space="0"/>
          <w:bottom w:val="none" w:color="000000" w:sz="0" w:space="0"/>
          <w:right w:val="none" w:color="000000" w:sz="0" w:space="0"/>
        </w:pBdr>
        <w:tabs>
          <w:tab w:val="left" w:pos="360"/>
        </w:tabs>
        <w:spacing w:before="240" w:after="240" w:line="479"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本授权书声明：</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（投标人名称）授权</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（被授权人姓名）作为我方参加编号为</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项目采购活动的合法代理人，以本单位名义全权处理一切与该项目采购有关的事务。</w:t>
      </w:r>
    </w:p>
    <w:p w14:paraId="6549196D">
      <w:pPr>
        <w:pBdr>
          <w:top w:val="none" w:color="000000" w:sz="0" w:space="0"/>
          <w:left w:val="none" w:color="000000" w:sz="0" w:space="0"/>
          <w:bottom w:val="none" w:color="000000" w:sz="0" w:space="0"/>
          <w:right w:val="none" w:color="000000" w:sz="0" w:space="0"/>
        </w:pBdr>
        <w:tabs>
          <w:tab w:val="left" w:pos="360"/>
        </w:tabs>
        <w:spacing w:before="240" w:after="240" w:line="479"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本授权书自______年____月____日起生效，特此声明。</w:t>
      </w:r>
    </w:p>
    <w:p w14:paraId="248501FD">
      <w:pPr>
        <w:pBdr>
          <w:top w:val="none" w:color="000000" w:sz="0" w:space="0"/>
          <w:left w:val="none" w:color="000000" w:sz="0" w:space="0"/>
          <w:bottom w:val="none" w:color="000000" w:sz="0" w:space="0"/>
          <w:right w:val="none" w:color="000000" w:sz="0" w:space="0"/>
        </w:pBdr>
        <w:tabs>
          <w:tab w:val="left" w:pos="360"/>
        </w:tabs>
        <w:spacing w:before="240" w:after="240" w:line="479"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被授权人身份证号码：</w:t>
      </w:r>
    </w:p>
    <w:p w14:paraId="74CE6412">
      <w:pPr>
        <w:pBdr>
          <w:top w:val="none" w:color="000000" w:sz="0" w:space="0"/>
          <w:left w:val="none" w:color="000000" w:sz="0" w:space="0"/>
          <w:bottom w:val="none" w:color="000000" w:sz="0" w:space="0"/>
          <w:right w:val="none" w:color="000000" w:sz="0" w:space="0"/>
        </w:pBdr>
        <w:tabs>
          <w:tab w:val="left" w:pos="360"/>
        </w:tabs>
        <w:spacing w:before="240" w:after="240" w:line="479"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被授权人联系电话：（手机）</w:t>
      </w:r>
    </w:p>
    <w:p w14:paraId="67881919">
      <w:pPr>
        <w:pBdr>
          <w:top w:val="none" w:color="000000" w:sz="0" w:space="0"/>
          <w:left w:val="none" w:color="000000" w:sz="0" w:space="0"/>
          <w:bottom w:val="none" w:color="000000" w:sz="0" w:space="0"/>
          <w:right w:val="none" w:color="000000" w:sz="0" w:space="0"/>
        </w:pBdr>
        <w:tabs>
          <w:tab w:val="left" w:pos="360"/>
        </w:tabs>
        <w:spacing w:before="240" w:after="240" w:line="479" w:lineRule="atLeast"/>
        <w:ind w:left="0" w:right="0" w:firstLine="468"/>
        <w:rPr>
          <w:rFonts w:hint="eastAsia" w:ascii="宋体" w:hAnsi="宋体" w:eastAsia="宋体" w:cs="宋体"/>
          <w:color w:val="auto"/>
          <w:highlight w:val="none"/>
        </w:rPr>
      </w:pPr>
      <w:r>
        <w:rPr>
          <w:rFonts w:hint="eastAsia" w:ascii="宋体" w:hAnsi="宋体" w:eastAsia="宋体" w:cs="宋体"/>
          <w:color w:val="auto"/>
          <w:sz w:val="24"/>
          <w:highlight w:val="none"/>
        </w:rPr>
        <w:t>单位名称：（加盖电子公章）</w:t>
      </w:r>
    </w:p>
    <w:p w14:paraId="528038A4">
      <w:pPr>
        <w:pBdr>
          <w:top w:val="none" w:color="000000" w:sz="0" w:space="0"/>
          <w:left w:val="none" w:color="000000" w:sz="0" w:space="0"/>
          <w:bottom w:val="none" w:color="000000" w:sz="0" w:space="0"/>
          <w:right w:val="none" w:color="000000" w:sz="0" w:space="0"/>
        </w:pBdr>
        <w:tabs>
          <w:tab w:val="left" w:pos="360"/>
        </w:tabs>
        <w:spacing w:before="240" w:after="240" w:line="479"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单位地址：</w:t>
      </w:r>
    </w:p>
    <w:p w14:paraId="725D71DE">
      <w:pPr>
        <w:pBdr>
          <w:top w:val="none" w:color="000000" w:sz="0" w:space="0"/>
          <w:left w:val="none" w:color="000000" w:sz="0" w:space="0"/>
          <w:bottom w:val="none" w:color="000000" w:sz="0" w:space="0"/>
          <w:right w:val="none" w:color="000000" w:sz="0" w:space="0"/>
        </w:pBdr>
        <w:tabs>
          <w:tab w:val="left" w:pos="360"/>
        </w:tabs>
        <w:spacing w:before="240" w:after="240" w:line="479"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日期：</w:t>
      </w:r>
    </w:p>
    <w:p w14:paraId="5F3D68E4">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84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6978E3F6">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b/>
          <w:color w:val="auto"/>
          <w:sz w:val="21"/>
          <w:highlight w:val="none"/>
        </w:rPr>
        <w:t>被授权人的身份证的复印件:</w:t>
      </w:r>
    </w:p>
    <w:p w14:paraId="0833C9E0">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50AD0771">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5D25A24A">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3B449E4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572C76B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附件三、开标一览表</w:t>
      </w:r>
    </w:p>
    <w:p w14:paraId="4670E96B">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0B6ECDB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6"/>
          <w:highlight w:val="none"/>
        </w:rPr>
        <w:t>开标一览表</w:t>
      </w:r>
    </w:p>
    <w:p w14:paraId="5E8003EB">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5C76BA80">
      <w:pPr>
        <w:pBdr>
          <w:top w:val="none" w:color="000000" w:sz="0" w:space="0"/>
          <w:left w:val="none" w:color="000000" w:sz="0" w:space="0"/>
          <w:bottom w:val="none" w:color="000000" w:sz="0" w:space="0"/>
          <w:right w:val="none" w:color="000000" w:sz="0" w:space="0"/>
        </w:pBdr>
        <w:spacing w:before="0" w:after="0" w:line="439" w:lineRule="atLeast"/>
        <w:ind w:left="0" w:right="0" w:firstLine="474"/>
        <w:jc w:val="both"/>
        <w:rPr>
          <w:rFonts w:hint="eastAsia" w:ascii="宋体" w:hAnsi="宋体" w:eastAsia="宋体" w:cs="宋体"/>
          <w:color w:val="auto"/>
          <w:highlight w:val="none"/>
        </w:rPr>
      </w:pPr>
      <w:r>
        <w:rPr>
          <w:rFonts w:hint="eastAsia" w:ascii="宋体" w:hAnsi="宋体" w:eastAsia="宋体" w:cs="宋体"/>
          <w:b/>
          <w:color w:val="auto"/>
          <w:sz w:val="21"/>
          <w:highlight w:val="none"/>
        </w:rPr>
        <w:t>项目名称：</w:t>
      </w:r>
      <w:r>
        <w:rPr>
          <w:rFonts w:hint="eastAsia" w:ascii="宋体" w:hAnsi="宋体" w:eastAsia="宋体" w:cs="宋体"/>
          <w:b/>
          <w:color w:val="auto"/>
          <w:sz w:val="21"/>
          <w:highlight w:val="none"/>
          <w:lang w:val="en-US" w:eastAsia="zh-CN"/>
        </w:rPr>
        <w:t xml:space="preserve">                                    </w:t>
      </w:r>
      <w:r>
        <w:rPr>
          <w:rFonts w:hint="eastAsia" w:ascii="宋体" w:hAnsi="宋体" w:eastAsia="宋体" w:cs="宋体"/>
          <w:b/>
          <w:color w:val="auto"/>
          <w:sz w:val="21"/>
          <w:highlight w:val="none"/>
        </w:rPr>
        <w:t>项目编号：</w:t>
      </w:r>
    </w:p>
    <w:tbl>
      <w:tblPr>
        <w:tblStyle w:val="32"/>
        <w:tblW w:w="8671"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1"/>
        <w:gridCol w:w="7200"/>
      </w:tblGrid>
      <w:tr w14:paraId="4870B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8" w:hRule="atLeast"/>
        </w:trPr>
        <w:tc>
          <w:tcPr>
            <w:tcW w:w="1471" w:type="dxa"/>
            <w:noWrap w:val="0"/>
            <w:vAlign w:val="center"/>
          </w:tcPr>
          <w:p w14:paraId="0A3BFFEF">
            <w:pPr>
              <w:pStyle w:val="13"/>
              <w:spacing w:line="440" w:lineRule="exact"/>
              <w:ind w:firstLine="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投标总价</w:t>
            </w:r>
          </w:p>
        </w:tc>
        <w:tc>
          <w:tcPr>
            <w:tcW w:w="7200" w:type="dxa"/>
            <w:noWrap w:val="0"/>
            <w:vAlign w:val="center"/>
          </w:tcPr>
          <w:p w14:paraId="217DEE31">
            <w:pPr>
              <w:pStyle w:val="13"/>
              <w:spacing w:line="440" w:lineRule="exact"/>
              <w:ind w:firstLine="0"/>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小写：人民币</w:t>
            </w:r>
            <w:r>
              <w:rPr>
                <w:rFonts w:hint="eastAsia" w:ascii="宋体" w:hAnsi="宋体" w:eastAsia="宋体" w:cs="宋体"/>
                <w:color w:val="auto"/>
                <w:sz w:val="21"/>
                <w:szCs w:val="21"/>
                <w:highlight w:val="none"/>
              </w:rPr>
              <w:t xml:space="preserve">            元</w:t>
            </w:r>
            <w:r>
              <w:rPr>
                <w:rFonts w:hint="eastAsia" w:ascii="宋体" w:hAnsi="宋体" w:eastAsia="宋体" w:cs="宋体"/>
                <w:color w:val="auto"/>
                <w:szCs w:val="21"/>
                <w:highlight w:val="none"/>
              </w:rPr>
              <w:t xml:space="preserve">              </w:t>
            </w:r>
            <w:r>
              <w:rPr>
                <w:rFonts w:hint="eastAsia" w:ascii="宋体" w:hAnsi="宋体" w:eastAsia="宋体" w:cs="宋体"/>
                <w:bCs/>
                <w:color w:val="auto"/>
                <w:szCs w:val="21"/>
                <w:highlight w:val="none"/>
              </w:rPr>
              <w:t xml:space="preserve">    </w:t>
            </w:r>
          </w:p>
          <w:p w14:paraId="51069B1D">
            <w:pPr>
              <w:pStyle w:val="13"/>
              <w:spacing w:line="440" w:lineRule="exact"/>
              <w:ind w:firstLine="472" w:firstLineChars="225"/>
              <w:rPr>
                <w:rFonts w:hint="eastAsia" w:ascii="宋体" w:hAnsi="宋体" w:eastAsia="宋体" w:cs="宋体"/>
                <w:color w:val="auto"/>
                <w:szCs w:val="21"/>
                <w:highlight w:val="none"/>
              </w:rPr>
            </w:pPr>
          </w:p>
          <w:p w14:paraId="60D8EFBC">
            <w:pPr>
              <w:pStyle w:val="13"/>
              <w:spacing w:line="440" w:lineRule="exact"/>
              <w:ind w:firstLine="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大写：人民币    </w:t>
            </w:r>
          </w:p>
        </w:tc>
      </w:tr>
      <w:tr w14:paraId="694E3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471" w:type="dxa"/>
            <w:noWrap w:val="0"/>
            <w:vAlign w:val="center"/>
          </w:tcPr>
          <w:p w14:paraId="3564D651">
            <w:pPr>
              <w:pStyle w:val="13"/>
              <w:spacing w:line="440" w:lineRule="exact"/>
              <w:ind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合同履行期限</w:t>
            </w:r>
          </w:p>
        </w:tc>
        <w:tc>
          <w:tcPr>
            <w:tcW w:w="7200" w:type="dxa"/>
            <w:noWrap w:val="0"/>
            <w:vAlign w:val="center"/>
          </w:tcPr>
          <w:p w14:paraId="75D61910">
            <w:pPr>
              <w:pStyle w:val="13"/>
              <w:tabs>
                <w:tab w:val="left" w:pos="3624"/>
              </w:tabs>
              <w:spacing w:line="440" w:lineRule="exact"/>
              <w:ind w:firstLine="472" w:firstLineChars="225"/>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满足</w:t>
            </w:r>
            <w:r>
              <w:rPr>
                <w:rFonts w:hint="eastAsia" w:ascii="宋体" w:hAnsi="宋体" w:eastAsia="宋体" w:cs="宋体"/>
                <w:color w:val="auto"/>
                <w:szCs w:val="21"/>
                <w:highlight w:val="none"/>
                <w:u w:val="single"/>
                <w:lang w:val="en-US" w:eastAsia="zh-CN"/>
              </w:rPr>
              <w:t>招标</w:t>
            </w:r>
            <w:r>
              <w:rPr>
                <w:rFonts w:hint="eastAsia" w:ascii="宋体" w:hAnsi="宋体" w:eastAsia="宋体" w:cs="宋体"/>
                <w:color w:val="auto"/>
                <w:szCs w:val="21"/>
                <w:highlight w:val="none"/>
                <w:u w:val="single"/>
              </w:rPr>
              <w:t>文件要求。</w:t>
            </w:r>
          </w:p>
        </w:tc>
      </w:tr>
      <w:tr w14:paraId="203B1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trPr>
        <w:tc>
          <w:tcPr>
            <w:tcW w:w="1471" w:type="dxa"/>
            <w:noWrap w:val="0"/>
            <w:vAlign w:val="center"/>
          </w:tcPr>
          <w:p w14:paraId="11B9E2A4">
            <w:pPr>
              <w:pStyle w:val="13"/>
              <w:ind w:firstLin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标的是否全部由小微企业（含视同小微企业）提供</w:t>
            </w:r>
          </w:p>
        </w:tc>
        <w:tc>
          <w:tcPr>
            <w:tcW w:w="7200" w:type="dxa"/>
            <w:noWrap w:val="0"/>
            <w:vAlign w:val="center"/>
          </w:tcPr>
          <w:p w14:paraId="7DC950C4">
            <w:pPr>
              <w:pStyle w:val="13"/>
              <w:ind w:firstLine="472" w:firstLineChars="225"/>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填写“是”或“否</w:t>
            </w:r>
            <w:r>
              <w:rPr>
                <w:rFonts w:hint="eastAsia" w:ascii="宋体" w:hAnsi="宋体" w:eastAsia="宋体" w:cs="宋体"/>
                <w:color w:val="auto"/>
                <w:szCs w:val="21"/>
                <w:highlight w:val="none"/>
              </w:rPr>
              <w:t>”）</w:t>
            </w:r>
          </w:p>
        </w:tc>
      </w:tr>
      <w:tr w14:paraId="16B56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trPr>
        <w:tc>
          <w:tcPr>
            <w:tcW w:w="1471" w:type="dxa"/>
            <w:noWrap w:val="0"/>
            <w:vAlign w:val="center"/>
          </w:tcPr>
          <w:p w14:paraId="0C8F8113">
            <w:pPr>
              <w:pStyle w:val="13"/>
              <w:spacing w:line="440" w:lineRule="exact"/>
              <w:ind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c>
          <w:tcPr>
            <w:tcW w:w="7200" w:type="dxa"/>
            <w:noWrap w:val="0"/>
            <w:vAlign w:val="center"/>
          </w:tcPr>
          <w:p w14:paraId="12058D30">
            <w:pPr>
              <w:pStyle w:val="13"/>
              <w:spacing w:line="440" w:lineRule="exact"/>
              <w:ind w:firstLine="472" w:firstLineChars="225"/>
              <w:rPr>
                <w:rFonts w:hint="eastAsia" w:ascii="宋体" w:hAnsi="宋体" w:eastAsia="宋体" w:cs="宋体"/>
                <w:color w:val="auto"/>
                <w:szCs w:val="21"/>
                <w:highlight w:val="none"/>
                <w:u w:val="single"/>
              </w:rPr>
            </w:pPr>
          </w:p>
        </w:tc>
      </w:tr>
    </w:tbl>
    <w:p w14:paraId="18A25D1D">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474D6DD3">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0A7A1A6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0B7A98AB">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投标单位（加盖电子公章）：</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 </w:t>
      </w:r>
    </w:p>
    <w:p w14:paraId="2359AB50">
      <w:pPr>
        <w:numPr>
          <w:ilvl w:val="0"/>
          <w:numId w:val="0"/>
        </w:num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Chars="0"/>
        <w:rPr>
          <w:rFonts w:hint="eastAsia" w:ascii="宋体" w:hAnsi="宋体" w:eastAsia="宋体" w:cs="宋体"/>
          <w:color w:val="auto"/>
          <w:kern w:val="0"/>
          <w:szCs w:val="21"/>
          <w:highlight w:val="none"/>
        </w:rPr>
      </w:pPr>
    </w:p>
    <w:p w14:paraId="0E02F09B">
      <w:pPr>
        <w:numPr>
          <w:ilvl w:val="0"/>
          <w:numId w:val="0"/>
        </w:num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Chars="0"/>
        <w:rPr>
          <w:rFonts w:hint="eastAsia" w:ascii="宋体" w:hAnsi="宋体" w:eastAsia="宋体" w:cs="宋体"/>
          <w:color w:val="auto"/>
          <w:kern w:val="0"/>
          <w:szCs w:val="21"/>
          <w:highlight w:val="none"/>
        </w:rPr>
      </w:pPr>
    </w:p>
    <w:p w14:paraId="730A66DF">
      <w:pPr>
        <w:numPr>
          <w:ilvl w:val="0"/>
          <w:numId w:val="0"/>
        </w:num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Chars="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说明：</w:t>
      </w:r>
    </w:p>
    <w:p w14:paraId="174A6CE1">
      <w:pPr>
        <w:numPr>
          <w:ilvl w:val="0"/>
          <w:numId w:val="0"/>
        </w:num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Chars="0"/>
        <w:rPr>
          <w:rFonts w:hint="eastAsia" w:ascii="宋体" w:hAnsi="宋体" w:eastAsia="宋体" w:cs="宋体"/>
          <w:color w:val="auto"/>
          <w:highlight w:val="none"/>
        </w:rPr>
      </w:pPr>
      <w:r>
        <w:rPr>
          <w:rFonts w:hint="eastAsia" w:ascii="宋体" w:hAnsi="宋体" w:eastAsia="宋体" w:cs="宋体"/>
          <w:b/>
          <w:color w:val="auto"/>
          <w:sz w:val="21"/>
          <w:highlight w:val="none"/>
          <w:lang w:val="en-US" w:eastAsia="zh-CN"/>
        </w:rPr>
        <w:t>1、</w:t>
      </w:r>
      <w:r>
        <w:rPr>
          <w:rFonts w:hint="eastAsia" w:ascii="宋体" w:hAnsi="宋体" w:eastAsia="宋体" w:cs="宋体"/>
          <w:b/>
          <w:color w:val="auto"/>
          <w:sz w:val="21"/>
          <w:highlight w:val="none"/>
        </w:rPr>
        <w:t>本项目仅接受一个价格，不得填报有选择性报价方案。如有优惠条款须注明，但不得影响报价，影响项目履约交付。</w:t>
      </w:r>
    </w:p>
    <w:p w14:paraId="41CCC57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right="0"/>
        <w:rPr>
          <w:rFonts w:hint="eastAsia" w:ascii="宋体" w:hAnsi="宋体" w:eastAsia="宋体" w:cs="宋体"/>
          <w:color w:val="auto"/>
          <w:highlight w:val="none"/>
        </w:rPr>
      </w:pPr>
      <w:r>
        <w:rPr>
          <w:rFonts w:hint="eastAsia" w:ascii="宋体" w:hAnsi="宋体" w:eastAsia="宋体" w:cs="宋体"/>
          <w:b/>
          <w:color w:val="auto"/>
          <w:sz w:val="21"/>
          <w:highlight w:val="none"/>
        </w:rPr>
        <w:t>2、“投标标的是否全部由小微企业提供”栏内填写“是”或“否”。如填写“是”，投标人应按招标文件要求提供《中小企业声明函》、《残疾人福利性单位声明函》、《属于监狱企业的证明文件》。如未按要求提供、填写，不享受价格扣除。</w:t>
      </w:r>
    </w:p>
    <w:p w14:paraId="4FF639E6">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23D02ACC">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040BD785">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b/>
          <w:color w:val="auto"/>
          <w:sz w:val="21"/>
          <w:highlight w:val="none"/>
        </w:rPr>
        <w:t>附表—分项报价表格式</w:t>
      </w:r>
    </w:p>
    <w:p w14:paraId="2F09F2F8">
      <w:pPr>
        <w:pBdr>
          <w:top w:val="none" w:color="000000" w:sz="0" w:space="0"/>
          <w:left w:val="none" w:color="000000" w:sz="0" w:space="0"/>
          <w:bottom w:val="none" w:color="000000" w:sz="0" w:space="0"/>
          <w:right w:val="none" w:color="000000" w:sz="0" w:space="0"/>
        </w:pBdr>
        <w:spacing w:before="0" w:after="0" w:line="239" w:lineRule="atLeast"/>
        <w:ind w:left="0" w:right="0" w:firstLine="0"/>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56ACD7ED">
      <w:pPr>
        <w:pBdr>
          <w:top w:val="none" w:color="000000" w:sz="0" w:space="0"/>
          <w:left w:val="none" w:color="000000" w:sz="0" w:space="0"/>
          <w:bottom w:val="none" w:color="000000" w:sz="0" w:space="0"/>
          <w:right w:val="none" w:color="000000" w:sz="0" w:space="0"/>
        </w:pBdr>
        <w:spacing w:before="240" w:after="240"/>
        <w:ind w:left="0" w:right="0" w:firstLine="629"/>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（详见</w:t>
      </w:r>
      <w:r>
        <w:rPr>
          <w:rFonts w:hint="eastAsia" w:ascii="宋体" w:hAnsi="宋体" w:eastAsia="宋体" w:cs="宋体"/>
          <w:b/>
          <w:bCs/>
          <w:color w:val="auto"/>
          <w:highlight w:val="none"/>
          <w:lang w:eastAsia="zh-CN"/>
        </w:rPr>
        <w:t>工程量清单</w:t>
      </w:r>
      <w:r>
        <w:rPr>
          <w:rFonts w:hint="eastAsia" w:ascii="宋体" w:hAnsi="宋体" w:eastAsia="宋体" w:cs="宋体"/>
          <w:b/>
          <w:bCs/>
          <w:color w:val="auto"/>
          <w:highlight w:val="none"/>
        </w:rPr>
        <w:t>）</w:t>
      </w:r>
    </w:p>
    <w:p w14:paraId="7AA6CF43">
      <w:pPr>
        <w:pBdr>
          <w:top w:val="none" w:color="000000" w:sz="0" w:space="0"/>
          <w:left w:val="none" w:color="000000" w:sz="0" w:space="0"/>
          <w:bottom w:val="none" w:color="000000" w:sz="0" w:space="0"/>
          <w:right w:val="none" w:color="000000" w:sz="0" w:space="0"/>
        </w:pBdr>
        <w:spacing w:before="240" w:after="240"/>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51B7E376">
      <w:pPr>
        <w:pBdr>
          <w:top w:val="none" w:color="000000" w:sz="0" w:space="0"/>
          <w:left w:val="none" w:color="000000" w:sz="0" w:space="0"/>
          <w:bottom w:val="none" w:color="000000" w:sz="0" w:space="0"/>
          <w:right w:val="none" w:color="000000" w:sz="0" w:space="0"/>
        </w:pBdr>
        <w:spacing w:before="240" w:after="240"/>
        <w:ind w:left="0" w:right="0" w:firstLine="480"/>
        <w:rPr>
          <w:rFonts w:hint="eastAsia" w:ascii="宋体" w:hAnsi="宋体" w:eastAsia="宋体" w:cs="宋体"/>
          <w:b w:val="0"/>
          <w:bCs/>
          <w:color w:val="auto"/>
          <w:highlight w:val="none"/>
        </w:rPr>
      </w:pPr>
      <w:r>
        <w:rPr>
          <w:rFonts w:hint="eastAsia" w:ascii="宋体" w:hAnsi="宋体" w:eastAsia="宋体" w:cs="宋体"/>
          <w:color w:val="auto"/>
          <w:sz w:val="24"/>
          <w:highlight w:val="none"/>
        </w:rPr>
        <w:t>注：</w:t>
      </w:r>
      <w:r>
        <w:rPr>
          <w:rFonts w:hint="eastAsia" w:ascii="宋体" w:hAnsi="宋体" w:eastAsia="宋体" w:cs="宋体"/>
          <w:b w:val="0"/>
          <w:bCs/>
          <w:color w:val="auto"/>
          <w:sz w:val="24"/>
          <w:highlight w:val="none"/>
        </w:rPr>
        <w:t>投标人应按照</w:t>
      </w:r>
      <w:r>
        <w:rPr>
          <w:rFonts w:hint="eastAsia" w:ascii="宋体" w:hAnsi="宋体" w:eastAsia="宋体" w:cs="宋体"/>
          <w:b w:val="0"/>
          <w:bCs/>
          <w:color w:val="auto"/>
          <w:sz w:val="24"/>
          <w:highlight w:val="none"/>
          <w:lang w:val="en-US" w:eastAsia="zh-CN"/>
        </w:rPr>
        <w:t>采购人</w:t>
      </w:r>
      <w:r>
        <w:rPr>
          <w:rFonts w:hint="eastAsia" w:ascii="宋体" w:hAnsi="宋体" w:eastAsia="宋体" w:cs="宋体"/>
          <w:b w:val="0"/>
          <w:bCs/>
          <w:color w:val="auto"/>
          <w:sz w:val="24"/>
          <w:highlight w:val="none"/>
        </w:rPr>
        <w:t>提供的招标</w:t>
      </w:r>
      <w:r>
        <w:rPr>
          <w:rFonts w:hint="eastAsia" w:ascii="宋体" w:hAnsi="宋体" w:eastAsia="宋体" w:cs="宋体"/>
          <w:b w:val="0"/>
          <w:bCs/>
          <w:color w:val="auto"/>
          <w:sz w:val="24"/>
          <w:highlight w:val="none"/>
          <w:lang w:eastAsia="zh-CN"/>
        </w:rPr>
        <w:t>工程量清单</w:t>
      </w:r>
      <w:r>
        <w:rPr>
          <w:rFonts w:hint="eastAsia" w:ascii="宋体" w:hAnsi="宋体" w:eastAsia="宋体" w:cs="宋体"/>
          <w:b w:val="0"/>
          <w:bCs/>
          <w:color w:val="auto"/>
          <w:sz w:val="24"/>
          <w:highlight w:val="none"/>
        </w:rPr>
        <w:t>（另册）要求逐项填报工程量清单。漏报项视为价格已分摊到其他清单项中</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投标人不得擅自修改工程量清单项目名称、计量单位、工程数量或运算定义等，否则按否决投标处理。</w:t>
      </w:r>
    </w:p>
    <w:p w14:paraId="5F6EB761">
      <w:pPr>
        <w:pBdr>
          <w:top w:val="none" w:color="000000" w:sz="0" w:space="0"/>
          <w:left w:val="none" w:color="000000" w:sz="0" w:space="0"/>
          <w:bottom w:val="none" w:color="000000" w:sz="0" w:space="0"/>
          <w:right w:val="none" w:color="000000" w:sz="0" w:space="0"/>
        </w:pBdr>
        <w:spacing w:before="240" w:after="240"/>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5C1277BF">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4CF8CA8D">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3F42371A">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投标单位（加盖电子公章）：</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 </w:t>
      </w:r>
    </w:p>
    <w:p w14:paraId="35362F2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12B20E76">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8"/>
          <w:highlight w:val="none"/>
        </w:rPr>
        <w:t> </w:t>
      </w:r>
    </w:p>
    <w:p w14:paraId="762A3C86">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22D794D4">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b/>
          <w:color w:val="auto"/>
          <w:sz w:val="21"/>
          <w:highlight w:val="none"/>
        </w:rPr>
        <w:t>附件四、技术要求条款偏离表格式</w:t>
      </w:r>
    </w:p>
    <w:p w14:paraId="66109809">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435"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48FAC8E3">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420" w:right="0" w:firstLine="0"/>
        <w:jc w:val="center"/>
        <w:rPr>
          <w:rFonts w:hint="eastAsia" w:ascii="宋体" w:hAnsi="宋体" w:eastAsia="宋体" w:cs="宋体"/>
          <w:color w:val="auto"/>
          <w:highlight w:val="none"/>
        </w:rPr>
      </w:pPr>
      <w:r>
        <w:rPr>
          <w:rFonts w:hint="eastAsia" w:ascii="宋体" w:hAnsi="宋体" w:eastAsia="宋体" w:cs="宋体"/>
          <w:b/>
          <w:color w:val="auto"/>
          <w:sz w:val="36"/>
          <w:szCs w:val="36"/>
          <w:highlight w:val="none"/>
          <w:lang w:val="en-US" w:eastAsia="zh-CN"/>
        </w:rPr>
        <w:t>技术要求</w:t>
      </w:r>
      <w:r>
        <w:rPr>
          <w:rFonts w:hint="eastAsia" w:ascii="宋体" w:hAnsi="宋体" w:eastAsia="宋体" w:cs="宋体"/>
          <w:b/>
          <w:color w:val="auto"/>
          <w:sz w:val="36"/>
          <w:szCs w:val="36"/>
          <w:highlight w:val="none"/>
        </w:rPr>
        <w:t>条款</w:t>
      </w:r>
      <w:r>
        <w:rPr>
          <w:rFonts w:hint="eastAsia" w:ascii="宋体" w:hAnsi="宋体" w:eastAsia="宋体" w:cs="宋体"/>
          <w:b/>
          <w:color w:val="auto"/>
          <w:sz w:val="36"/>
          <w:highlight w:val="none"/>
        </w:rPr>
        <w:t>偏离表</w:t>
      </w:r>
    </w:p>
    <w:p w14:paraId="32CA966F">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3F3FF441">
      <w:pPr>
        <w:pBdr>
          <w:top w:val="none" w:color="000000" w:sz="0" w:space="0"/>
          <w:left w:val="none" w:color="000000" w:sz="0" w:space="0"/>
          <w:bottom w:val="none" w:color="000000" w:sz="0" w:space="0"/>
          <w:right w:val="none" w:color="000000" w:sz="0" w:space="0"/>
        </w:pBdr>
        <w:tabs>
          <w:tab w:val="left" w:pos="5397"/>
        </w:tabs>
        <w:spacing w:before="0" w:after="0" w:line="85" w:lineRule="atLeast"/>
        <w:ind w:left="0" w:right="0" w:firstLine="84"/>
        <w:rPr>
          <w:rFonts w:hint="eastAsia" w:ascii="宋体" w:hAnsi="宋体" w:eastAsia="宋体" w:cs="宋体"/>
          <w:color w:val="auto"/>
          <w:highlight w:val="none"/>
        </w:rPr>
      </w:pPr>
      <w:r>
        <w:rPr>
          <w:rFonts w:hint="eastAsia" w:ascii="宋体" w:hAnsi="宋体" w:eastAsia="宋体" w:cs="宋体"/>
          <w:color w:val="auto"/>
          <w:sz w:val="21"/>
          <w:highlight w:val="none"/>
        </w:rPr>
        <w:t>项目名称：</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项目编号：  </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42"/>
        <w:gridCol w:w="1678"/>
        <w:gridCol w:w="1931"/>
        <w:gridCol w:w="3012"/>
        <w:gridCol w:w="1246"/>
      </w:tblGrid>
      <w:tr w14:paraId="243FB00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42"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0CF01A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序号</w:t>
            </w:r>
          </w:p>
        </w:tc>
        <w:tc>
          <w:tcPr>
            <w:tcW w:w="1678"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0D48E9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招标文件条目号</w:t>
            </w:r>
          </w:p>
        </w:tc>
        <w:tc>
          <w:tcPr>
            <w:tcW w:w="1931"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CDBC47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条款内容</w:t>
            </w:r>
          </w:p>
        </w:tc>
        <w:tc>
          <w:tcPr>
            <w:tcW w:w="3012"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040418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投标响应</w:t>
            </w:r>
          </w:p>
        </w:tc>
        <w:tc>
          <w:tcPr>
            <w:tcW w:w="1246"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8A7227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偏离</w:t>
            </w:r>
          </w:p>
        </w:tc>
      </w:tr>
      <w:tr w14:paraId="617AB6F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4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66765C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76BFE4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93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FCA074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1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D5EBE2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46"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97CD00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2BC78C0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4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17BE07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EE956D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93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D752E9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1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B02E10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46"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279A71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6FF7029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4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D525FC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54F715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93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9734F5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1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2803FD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46"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513DB30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27E801E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4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096689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A6C0E1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93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76EE54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1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525AB3A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46"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CAE11D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24F35E8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4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6D34C2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D3393F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93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530E775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1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8D0519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46"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72A664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54A519E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4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644CD1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E315E2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93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FAAF45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1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1C38A3C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46"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4191AB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bl>
    <w:p w14:paraId="57BE73E2">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说明：投标文件采购需求部分内容响应存在正偏离或负偏离的，请在本表中逐条列出。未列出的，视为响应招标文件要求。如果行数不够，请自行增加。</w:t>
      </w:r>
    </w:p>
    <w:p w14:paraId="74CDBB15">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5B19854B">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0539D814">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投标单位（加盖电子公章）：</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 </w:t>
      </w:r>
    </w:p>
    <w:p w14:paraId="52965BC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780D5609">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734F4314">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31681E90">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5B5D1E5A">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417205DA">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1910C016">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0F0A58D3">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b/>
          <w:color w:val="auto"/>
          <w:sz w:val="21"/>
          <w:highlight w:val="none"/>
        </w:rPr>
        <w:t>附件五、商务条款偏离表格式</w:t>
      </w:r>
    </w:p>
    <w:p w14:paraId="3078D5CD">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234618F3">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420" w:right="0" w:firstLine="0"/>
        <w:jc w:val="center"/>
        <w:rPr>
          <w:rFonts w:hint="eastAsia" w:ascii="宋体" w:hAnsi="宋体" w:eastAsia="宋体" w:cs="宋体"/>
          <w:color w:val="auto"/>
          <w:highlight w:val="none"/>
        </w:rPr>
      </w:pPr>
      <w:r>
        <w:rPr>
          <w:rFonts w:hint="eastAsia" w:ascii="宋体" w:hAnsi="宋体" w:eastAsia="宋体" w:cs="宋体"/>
          <w:b/>
          <w:color w:val="auto"/>
          <w:sz w:val="36"/>
          <w:highlight w:val="none"/>
        </w:rPr>
        <w:t>商务条款偏离表</w:t>
      </w:r>
    </w:p>
    <w:p w14:paraId="338140E9">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0BE81581">
      <w:pPr>
        <w:pBdr>
          <w:top w:val="none" w:color="000000" w:sz="0" w:space="0"/>
          <w:left w:val="none" w:color="000000" w:sz="0" w:space="0"/>
          <w:bottom w:val="none" w:color="000000" w:sz="0" w:space="0"/>
          <w:right w:val="none" w:color="000000" w:sz="0" w:space="0"/>
        </w:pBdr>
        <w:tabs>
          <w:tab w:val="left" w:pos="5366"/>
        </w:tabs>
        <w:spacing w:before="0" w:after="0" w:line="85" w:lineRule="atLeast"/>
        <w:ind w:left="0" w:right="0" w:firstLine="96"/>
        <w:rPr>
          <w:rFonts w:hint="eastAsia" w:ascii="宋体" w:hAnsi="宋体" w:eastAsia="宋体" w:cs="宋体"/>
          <w:color w:val="auto"/>
          <w:highlight w:val="none"/>
        </w:rPr>
      </w:pPr>
      <w:r>
        <w:rPr>
          <w:rFonts w:hint="eastAsia" w:ascii="宋体" w:hAnsi="宋体" w:eastAsia="宋体" w:cs="宋体"/>
          <w:color w:val="auto"/>
          <w:sz w:val="21"/>
          <w:highlight w:val="none"/>
        </w:rPr>
        <w:t>项目名称：</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项目编号：         </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60"/>
        <w:gridCol w:w="1679"/>
        <w:gridCol w:w="2488"/>
        <w:gridCol w:w="3004"/>
        <w:gridCol w:w="1201"/>
      </w:tblGrid>
      <w:tr w14:paraId="3078E80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663F45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序号</w:t>
            </w:r>
          </w:p>
        </w:tc>
        <w:tc>
          <w:tcPr>
            <w:tcW w:w="1679"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01F106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招标文件条目号</w:t>
            </w:r>
          </w:p>
        </w:tc>
        <w:tc>
          <w:tcPr>
            <w:tcW w:w="2488"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72FE36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条款内容</w:t>
            </w:r>
          </w:p>
        </w:tc>
        <w:tc>
          <w:tcPr>
            <w:tcW w:w="3004"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CCB168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投标响应</w:t>
            </w:r>
          </w:p>
        </w:tc>
        <w:tc>
          <w:tcPr>
            <w:tcW w:w="1201"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BB8655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偏离</w:t>
            </w:r>
          </w:p>
        </w:tc>
      </w:tr>
      <w:tr w14:paraId="1657428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8A18FB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9"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57839E3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248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5962EF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04"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C1334B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0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340CE3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56A88F9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1E9790E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9"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0E7810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248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787241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04"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228FFD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0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27BDB9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062AB82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5E08CF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9"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42CFBB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248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19AA439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04"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447D1B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0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AB82D8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329C85B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78B95B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9"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8A643E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248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1FED3E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04"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BC4F74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0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50D2CF3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314609A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EAE79E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9"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F11991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248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1AE830A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04"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BFCE47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0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89A847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22E76E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AC202F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9"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99153F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248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74BE7D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04"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8D3C3D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0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87DD54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77A0ED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63287B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9"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250BB7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248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1C3FB25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04"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635429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0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8798FD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bl>
    <w:p w14:paraId="3B9BD842">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说明：投标文件商务部分内容响应存在正偏离或负偏离的，请在本表中逐条列出。未列出的，视为响应招标文件要求。如果行数不够，请自行增加。</w:t>
      </w:r>
    </w:p>
    <w:p w14:paraId="4BEB53BE">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39EEB13A">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69715332">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62FA48B3">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投标单位（加盖电子公章）：</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 </w:t>
      </w:r>
    </w:p>
    <w:p w14:paraId="76CBBB49">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754769C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4F86FDE9">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7A72B47B">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35CC4EC4">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r>
        <w:rPr>
          <w:rFonts w:hint="eastAsia" w:ascii="宋体" w:hAnsi="宋体" w:eastAsia="宋体" w:cs="宋体"/>
          <w:b/>
          <w:color w:val="auto"/>
          <w:sz w:val="24"/>
          <w:highlight w:val="none"/>
        </w:rPr>
        <w:t>附件</w:t>
      </w:r>
      <w:r>
        <w:rPr>
          <w:rFonts w:hint="eastAsia" w:ascii="宋体" w:hAnsi="宋体" w:eastAsia="宋体" w:cs="宋体"/>
          <w:b/>
          <w:color w:val="auto"/>
          <w:sz w:val="24"/>
          <w:highlight w:val="none"/>
          <w:lang w:val="en-US" w:eastAsia="zh-CN"/>
        </w:rPr>
        <w:t>六</w:t>
      </w:r>
      <w:r>
        <w:rPr>
          <w:rFonts w:hint="eastAsia" w:ascii="宋体" w:hAnsi="宋体" w:eastAsia="宋体" w:cs="宋体"/>
          <w:b/>
          <w:color w:val="auto"/>
          <w:sz w:val="24"/>
          <w:highlight w:val="none"/>
        </w:rPr>
        <w:t>、拟参与本项目人员一览表</w:t>
      </w:r>
    </w:p>
    <w:p w14:paraId="4C993EEF">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0252B33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拟参与本项目人员一览表</w:t>
      </w:r>
    </w:p>
    <w:p w14:paraId="4E59C48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3DD62BBA">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项目名称：</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lang w:val="en-US" w:eastAsia="zh-CN"/>
        </w:rPr>
        <w:tab/>
      </w:r>
      <w:r>
        <w:rPr>
          <w:rFonts w:hint="eastAsia" w:ascii="宋体" w:hAnsi="宋体" w:eastAsia="宋体" w:cs="宋体"/>
          <w:color w:val="auto"/>
          <w:sz w:val="21"/>
          <w:highlight w:val="none"/>
          <w:lang w:val="en-US" w:eastAsia="zh-CN"/>
        </w:rPr>
        <w:tab/>
      </w:r>
      <w:r>
        <w:rPr>
          <w:rFonts w:hint="eastAsia" w:ascii="宋体" w:hAnsi="宋体" w:eastAsia="宋体" w:cs="宋体"/>
          <w:color w:val="auto"/>
          <w:sz w:val="21"/>
          <w:highlight w:val="none"/>
          <w:lang w:val="en-US" w:eastAsia="zh-CN"/>
        </w:rPr>
        <w:tab/>
      </w:r>
      <w:r>
        <w:rPr>
          <w:rFonts w:hint="eastAsia" w:ascii="宋体" w:hAnsi="宋体" w:eastAsia="宋体" w:cs="宋体"/>
          <w:color w:val="auto"/>
          <w:sz w:val="21"/>
          <w:highlight w:val="none"/>
          <w:lang w:val="en-US" w:eastAsia="zh-CN"/>
        </w:rPr>
        <w:tab/>
      </w:r>
      <w:r>
        <w:rPr>
          <w:rFonts w:hint="eastAsia" w:ascii="宋体" w:hAnsi="宋体" w:eastAsia="宋体" w:cs="宋体"/>
          <w:color w:val="auto"/>
          <w:sz w:val="21"/>
          <w:highlight w:val="none"/>
          <w:lang w:val="en-US" w:eastAsia="zh-CN"/>
        </w:rPr>
        <w:tab/>
      </w:r>
      <w:r>
        <w:rPr>
          <w:rFonts w:hint="eastAsia" w:ascii="宋体" w:hAnsi="宋体" w:eastAsia="宋体" w:cs="宋体"/>
          <w:color w:val="auto"/>
          <w:sz w:val="21"/>
          <w:highlight w:val="none"/>
          <w:lang w:val="en-US" w:eastAsia="zh-CN"/>
        </w:rPr>
        <w:tab/>
      </w:r>
      <w:r>
        <w:rPr>
          <w:rFonts w:hint="eastAsia" w:ascii="宋体" w:hAnsi="宋体" w:eastAsia="宋体" w:cs="宋体"/>
          <w:color w:val="auto"/>
          <w:sz w:val="21"/>
          <w:highlight w:val="none"/>
          <w:lang w:val="en-US" w:eastAsia="zh-CN"/>
        </w:rPr>
        <w:tab/>
      </w:r>
      <w:r>
        <w:rPr>
          <w:rFonts w:hint="eastAsia" w:ascii="宋体" w:hAnsi="宋体" w:eastAsia="宋体" w:cs="宋体"/>
          <w:color w:val="auto"/>
          <w:sz w:val="21"/>
          <w:highlight w:val="none"/>
        </w:rPr>
        <w:t>项目编号：</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896"/>
        <w:gridCol w:w="663"/>
        <w:gridCol w:w="709"/>
        <w:gridCol w:w="1134"/>
        <w:gridCol w:w="1056"/>
        <w:gridCol w:w="1020"/>
        <w:gridCol w:w="1174"/>
        <w:gridCol w:w="1588"/>
        <w:gridCol w:w="851"/>
      </w:tblGrid>
      <w:tr w14:paraId="5203A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534" w:type="dxa"/>
            <w:noWrap w:val="0"/>
            <w:vAlign w:val="center"/>
          </w:tcPr>
          <w:p w14:paraId="23CE8F8B">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序号</w:t>
            </w:r>
          </w:p>
        </w:tc>
        <w:tc>
          <w:tcPr>
            <w:tcW w:w="896" w:type="dxa"/>
            <w:noWrap w:val="0"/>
            <w:vAlign w:val="center"/>
          </w:tcPr>
          <w:p w14:paraId="3C8BA533">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姓名</w:t>
            </w:r>
          </w:p>
        </w:tc>
        <w:tc>
          <w:tcPr>
            <w:tcW w:w="663" w:type="dxa"/>
            <w:noWrap w:val="0"/>
            <w:vAlign w:val="center"/>
          </w:tcPr>
          <w:p w14:paraId="583F9542">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性别</w:t>
            </w:r>
          </w:p>
        </w:tc>
        <w:tc>
          <w:tcPr>
            <w:tcW w:w="709" w:type="dxa"/>
            <w:noWrap w:val="0"/>
            <w:vAlign w:val="center"/>
          </w:tcPr>
          <w:p w14:paraId="49B7D4F1">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年龄</w:t>
            </w:r>
          </w:p>
        </w:tc>
        <w:tc>
          <w:tcPr>
            <w:tcW w:w="1134" w:type="dxa"/>
            <w:noWrap w:val="0"/>
            <w:vAlign w:val="center"/>
          </w:tcPr>
          <w:p w14:paraId="67D5AC8D">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学历及</w:t>
            </w:r>
          </w:p>
          <w:p w14:paraId="0E123A4F">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专业</w:t>
            </w:r>
          </w:p>
        </w:tc>
        <w:tc>
          <w:tcPr>
            <w:tcW w:w="1056" w:type="dxa"/>
            <w:noWrap w:val="0"/>
            <w:vAlign w:val="center"/>
          </w:tcPr>
          <w:p w14:paraId="17093F70">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执业</w:t>
            </w:r>
          </w:p>
          <w:p w14:paraId="633E00F6">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资格及证书号</w:t>
            </w:r>
          </w:p>
        </w:tc>
        <w:tc>
          <w:tcPr>
            <w:tcW w:w="1020" w:type="dxa"/>
            <w:noWrap w:val="0"/>
            <w:vAlign w:val="center"/>
          </w:tcPr>
          <w:p w14:paraId="301FDA78">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技术</w:t>
            </w:r>
          </w:p>
          <w:p w14:paraId="4F079DEB">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职称</w:t>
            </w:r>
          </w:p>
        </w:tc>
        <w:tc>
          <w:tcPr>
            <w:tcW w:w="1174" w:type="dxa"/>
            <w:noWrap w:val="0"/>
            <w:vAlign w:val="center"/>
          </w:tcPr>
          <w:p w14:paraId="3D34D1C7">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相关工作年限及工作经历</w:t>
            </w:r>
          </w:p>
        </w:tc>
        <w:tc>
          <w:tcPr>
            <w:tcW w:w="1588" w:type="dxa"/>
            <w:noWrap w:val="0"/>
            <w:vAlign w:val="center"/>
          </w:tcPr>
          <w:p w14:paraId="3EBAD081">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拟担任本项目何种工作</w:t>
            </w:r>
          </w:p>
        </w:tc>
        <w:tc>
          <w:tcPr>
            <w:tcW w:w="851" w:type="dxa"/>
            <w:noWrap w:val="0"/>
            <w:vAlign w:val="center"/>
          </w:tcPr>
          <w:p w14:paraId="06D3F7D3">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备注</w:t>
            </w:r>
          </w:p>
        </w:tc>
      </w:tr>
      <w:tr w14:paraId="2CD79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4" w:type="dxa"/>
            <w:noWrap w:val="0"/>
            <w:vAlign w:val="top"/>
          </w:tcPr>
          <w:p w14:paraId="5000389E">
            <w:pPr>
              <w:autoSpaceDE w:val="0"/>
              <w:autoSpaceDN w:val="0"/>
              <w:adjustRightInd w:val="0"/>
              <w:rPr>
                <w:rFonts w:hint="eastAsia" w:ascii="宋体" w:hAnsi="宋体" w:eastAsia="宋体" w:cs="宋体"/>
                <w:color w:val="auto"/>
                <w:szCs w:val="21"/>
                <w:highlight w:val="none"/>
                <w:lang w:val="zh-CN"/>
              </w:rPr>
            </w:pPr>
          </w:p>
        </w:tc>
        <w:tc>
          <w:tcPr>
            <w:tcW w:w="896" w:type="dxa"/>
            <w:noWrap w:val="0"/>
            <w:vAlign w:val="top"/>
          </w:tcPr>
          <w:p w14:paraId="2515960B">
            <w:pPr>
              <w:autoSpaceDE w:val="0"/>
              <w:autoSpaceDN w:val="0"/>
              <w:adjustRightInd w:val="0"/>
              <w:rPr>
                <w:rFonts w:hint="eastAsia" w:ascii="宋体" w:hAnsi="宋体" w:eastAsia="宋体" w:cs="宋体"/>
                <w:color w:val="auto"/>
                <w:szCs w:val="21"/>
                <w:highlight w:val="none"/>
                <w:lang w:val="zh-CN"/>
              </w:rPr>
            </w:pPr>
          </w:p>
        </w:tc>
        <w:tc>
          <w:tcPr>
            <w:tcW w:w="663" w:type="dxa"/>
            <w:noWrap w:val="0"/>
            <w:vAlign w:val="top"/>
          </w:tcPr>
          <w:p w14:paraId="4427A491">
            <w:pPr>
              <w:autoSpaceDE w:val="0"/>
              <w:autoSpaceDN w:val="0"/>
              <w:adjustRightInd w:val="0"/>
              <w:rPr>
                <w:rFonts w:hint="eastAsia" w:ascii="宋体" w:hAnsi="宋体" w:eastAsia="宋体" w:cs="宋体"/>
                <w:color w:val="auto"/>
                <w:szCs w:val="21"/>
                <w:highlight w:val="none"/>
                <w:lang w:val="zh-CN"/>
              </w:rPr>
            </w:pPr>
          </w:p>
        </w:tc>
        <w:tc>
          <w:tcPr>
            <w:tcW w:w="709" w:type="dxa"/>
            <w:noWrap w:val="0"/>
            <w:vAlign w:val="top"/>
          </w:tcPr>
          <w:p w14:paraId="7578F3A6">
            <w:pPr>
              <w:autoSpaceDE w:val="0"/>
              <w:autoSpaceDN w:val="0"/>
              <w:adjustRightInd w:val="0"/>
              <w:rPr>
                <w:rFonts w:hint="eastAsia" w:ascii="宋体" w:hAnsi="宋体" w:eastAsia="宋体" w:cs="宋体"/>
                <w:color w:val="auto"/>
                <w:szCs w:val="21"/>
                <w:highlight w:val="none"/>
                <w:lang w:val="zh-CN"/>
              </w:rPr>
            </w:pPr>
          </w:p>
        </w:tc>
        <w:tc>
          <w:tcPr>
            <w:tcW w:w="1134" w:type="dxa"/>
            <w:noWrap w:val="0"/>
            <w:vAlign w:val="top"/>
          </w:tcPr>
          <w:p w14:paraId="6914B5AC">
            <w:pPr>
              <w:autoSpaceDE w:val="0"/>
              <w:autoSpaceDN w:val="0"/>
              <w:adjustRightInd w:val="0"/>
              <w:rPr>
                <w:rFonts w:hint="eastAsia" w:ascii="宋体" w:hAnsi="宋体" w:eastAsia="宋体" w:cs="宋体"/>
                <w:color w:val="auto"/>
                <w:szCs w:val="21"/>
                <w:highlight w:val="none"/>
                <w:lang w:val="zh-CN"/>
              </w:rPr>
            </w:pPr>
          </w:p>
        </w:tc>
        <w:tc>
          <w:tcPr>
            <w:tcW w:w="1056" w:type="dxa"/>
            <w:noWrap w:val="0"/>
            <w:vAlign w:val="top"/>
          </w:tcPr>
          <w:p w14:paraId="4B1D5C72">
            <w:pPr>
              <w:autoSpaceDE w:val="0"/>
              <w:autoSpaceDN w:val="0"/>
              <w:adjustRightInd w:val="0"/>
              <w:rPr>
                <w:rFonts w:hint="eastAsia" w:ascii="宋体" w:hAnsi="宋体" w:eastAsia="宋体" w:cs="宋体"/>
                <w:color w:val="auto"/>
                <w:szCs w:val="21"/>
                <w:highlight w:val="none"/>
                <w:lang w:val="zh-CN"/>
              </w:rPr>
            </w:pPr>
          </w:p>
        </w:tc>
        <w:tc>
          <w:tcPr>
            <w:tcW w:w="1020" w:type="dxa"/>
            <w:noWrap w:val="0"/>
            <w:vAlign w:val="top"/>
          </w:tcPr>
          <w:p w14:paraId="0941A047">
            <w:pPr>
              <w:autoSpaceDE w:val="0"/>
              <w:autoSpaceDN w:val="0"/>
              <w:adjustRightInd w:val="0"/>
              <w:rPr>
                <w:rFonts w:hint="eastAsia" w:ascii="宋体" w:hAnsi="宋体" w:eastAsia="宋体" w:cs="宋体"/>
                <w:color w:val="auto"/>
                <w:szCs w:val="21"/>
                <w:highlight w:val="none"/>
                <w:lang w:val="zh-CN"/>
              </w:rPr>
            </w:pPr>
          </w:p>
        </w:tc>
        <w:tc>
          <w:tcPr>
            <w:tcW w:w="1174" w:type="dxa"/>
            <w:noWrap w:val="0"/>
            <w:vAlign w:val="top"/>
          </w:tcPr>
          <w:p w14:paraId="5DB66B59">
            <w:pPr>
              <w:autoSpaceDE w:val="0"/>
              <w:autoSpaceDN w:val="0"/>
              <w:adjustRightInd w:val="0"/>
              <w:rPr>
                <w:rFonts w:hint="eastAsia" w:ascii="宋体" w:hAnsi="宋体" w:eastAsia="宋体" w:cs="宋体"/>
                <w:color w:val="auto"/>
                <w:szCs w:val="21"/>
                <w:highlight w:val="none"/>
                <w:lang w:val="zh-CN"/>
              </w:rPr>
            </w:pPr>
          </w:p>
        </w:tc>
        <w:tc>
          <w:tcPr>
            <w:tcW w:w="1588" w:type="dxa"/>
            <w:noWrap w:val="0"/>
            <w:vAlign w:val="top"/>
          </w:tcPr>
          <w:p w14:paraId="22B93CC7">
            <w:pPr>
              <w:autoSpaceDE w:val="0"/>
              <w:autoSpaceDN w:val="0"/>
              <w:adjustRightInd w:val="0"/>
              <w:rPr>
                <w:rFonts w:hint="eastAsia" w:ascii="宋体" w:hAnsi="宋体" w:eastAsia="宋体" w:cs="宋体"/>
                <w:color w:val="auto"/>
                <w:szCs w:val="21"/>
                <w:highlight w:val="none"/>
                <w:lang w:val="zh-CN"/>
              </w:rPr>
            </w:pPr>
          </w:p>
        </w:tc>
        <w:tc>
          <w:tcPr>
            <w:tcW w:w="851" w:type="dxa"/>
            <w:noWrap w:val="0"/>
            <w:vAlign w:val="top"/>
          </w:tcPr>
          <w:p w14:paraId="398C8F02">
            <w:pPr>
              <w:autoSpaceDE w:val="0"/>
              <w:autoSpaceDN w:val="0"/>
              <w:adjustRightInd w:val="0"/>
              <w:rPr>
                <w:rFonts w:hint="eastAsia" w:ascii="宋体" w:hAnsi="宋体" w:eastAsia="宋体" w:cs="宋体"/>
                <w:color w:val="auto"/>
                <w:szCs w:val="21"/>
                <w:highlight w:val="none"/>
                <w:lang w:val="zh-CN"/>
              </w:rPr>
            </w:pPr>
          </w:p>
        </w:tc>
      </w:tr>
      <w:tr w14:paraId="0415A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4" w:type="dxa"/>
            <w:noWrap w:val="0"/>
            <w:vAlign w:val="top"/>
          </w:tcPr>
          <w:p w14:paraId="1A44DEBF">
            <w:pPr>
              <w:autoSpaceDE w:val="0"/>
              <w:autoSpaceDN w:val="0"/>
              <w:adjustRightInd w:val="0"/>
              <w:rPr>
                <w:rFonts w:hint="eastAsia" w:ascii="宋体" w:hAnsi="宋体" w:eastAsia="宋体" w:cs="宋体"/>
                <w:color w:val="auto"/>
                <w:szCs w:val="21"/>
                <w:highlight w:val="none"/>
                <w:lang w:val="zh-CN"/>
              </w:rPr>
            </w:pPr>
          </w:p>
        </w:tc>
        <w:tc>
          <w:tcPr>
            <w:tcW w:w="896" w:type="dxa"/>
            <w:noWrap w:val="0"/>
            <w:vAlign w:val="top"/>
          </w:tcPr>
          <w:p w14:paraId="56012137">
            <w:pPr>
              <w:autoSpaceDE w:val="0"/>
              <w:autoSpaceDN w:val="0"/>
              <w:adjustRightInd w:val="0"/>
              <w:rPr>
                <w:rFonts w:hint="eastAsia" w:ascii="宋体" w:hAnsi="宋体" w:eastAsia="宋体" w:cs="宋体"/>
                <w:color w:val="auto"/>
                <w:szCs w:val="21"/>
                <w:highlight w:val="none"/>
                <w:lang w:val="zh-CN"/>
              </w:rPr>
            </w:pPr>
          </w:p>
        </w:tc>
        <w:tc>
          <w:tcPr>
            <w:tcW w:w="663" w:type="dxa"/>
            <w:noWrap w:val="0"/>
            <w:vAlign w:val="top"/>
          </w:tcPr>
          <w:p w14:paraId="0BD73292">
            <w:pPr>
              <w:autoSpaceDE w:val="0"/>
              <w:autoSpaceDN w:val="0"/>
              <w:adjustRightInd w:val="0"/>
              <w:rPr>
                <w:rFonts w:hint="eastAsia" w:ascii="宋体" w:hAnsi="宋体" w:eastAsia="宋体" w:cs="宋体"/>
                <w:color w:val="auto"/>
                <w:szCs w:val="21"/>
                <w:highlight w:val="none"/>
                <w:lang w:val="zh-CN"/>
              </w:rPr>
            </w:pPr>
          </w:p>
        </w:tc>
        <w:tc>
          <w:tcPr>
            <w:tcW w:w="709" w:type="dxa"/>
            <w:noWrap w:val="0"/>
            <w:vAlign w:val="top"/>
          </w:tcPr>
          <w:p w14:paraId="69775834">
            <w:pPr>
              <w:autoSpaceDE w:val="0"/>
              <w:autoSpaceDN w:val="0"/>
              <w:adjustRightInd w:val="0"/>
              <w:rPr>
                <w:rFonts w:hint="eastAsia" w:ascii="宋体" w:hAnsi="宋体" w:eastAsia="宋体" w:cs="宋体"/>
                <w:color w:val="auto"/>
                <w:szCs w:val="21"/>
                <w:highlight w:val="none"/>
                <w:lang w:val="zh-CN"/>
              </w:rPr>
            </w:pPr>
          </w:p>
        </w:tc>
        <w:tc>
          <w:tcPr>
            <w:tcW w:w="1134" w:type="dxa"/>
            <w:noWrap w:val="0"/>
            <w:vAlign w:val="top"/>
          </w:tcPr>
          <w:p w14:paraId="41B03FAA">
            <w:pPr>
              <w:autoSpaceDE w:val="0"/>
              <w:autoSpaceDN w:val="0"/>
              <w:adjustRightInd w:val="0"/>
              <w:rPr>
                <w:rFonts w:hint="eastAsia" w:ascii="宋体" w:hAnsi="宋体" w:eastAsia="宋体" w:cs="宋体"/>
                <w:color w:val="auto"/>
                <w:szCs w:val="21"/>
                <w:highlight w:val="none"/>
                <w:lang w:val="zh-CN"/>
              </w:rPr>
            </w:pPr>
          </w:p>
        </w:tc>
        <w:tc>
          <w:tcPr>
            <w:tcW w:w="1056" w:type="dxa"/>
            <w:noWrap w:val="0"/>
            <w:vAlign w:val="top"/>
          </w:tcPr>
          <w:p w14:paraId="53F949C9">
            <w:pPr>
              <w:autoSpaceDE w:val="0"/>
              <w:autoSpaceDN w:val="0"/>
              <w:adjustRightInd w:val="0"/>
              <w:rPr>
                <w:rFonts w:hint="eastAsia" w:ascii="宋体" w:hAnsi="宋体" w:eastAsia="宋体" w:cs="宋体"/>
                <w:color w:val="auto"/>
                <w:szCs w:val="21"/>
                <w:highlight w:val="none"/>
                <w:lang w:val="zh-CN"/>
              </w:rPr>
            </w:pPr>
          </w:p>
        </w:tc>
        <w:tc>
          <w:tcPr>
            <w:tcW w:w="1020" w:type="dxa"/>
            <w:noWrap w:val="0"/>
            <w:vAlign w:val="top"/>
          </w:tcPr>
          <w:p w14:paraId="29B4CA71">
            <w:pPr>
              <w:autoSpaceDE w:val="0"/>
              <w:autoSpaceDN w:val="0"/>
              <w:adjustRightInd w:val="0"/>
              <w:rPr>
                <w:rFonts w:hint="eastAsia" w:ascii="宋体" w:hAnsi="宋体" w:eastAsia="宋体" w:cs="宋体"/>
                <w:color w:val="auto"/>
                <w:szCs w:val="21"/>
                <w:highlight w:val="none"/>
                <w:lang w:val="zh-CN"/>
              </w:rPr>
            </w:pPr>
          </w:p>
        </w:tc>
        <w:tc>
          <w:tcPr>
            <w:tcW w:w="1174" w:type="dxa"/>
            <w:noWrap w:val="0"/>
            <w:vAlign w:val="top"/>
          </w:tcPr>
          <w:p w14:paraId="1D23B775">
            <w:pPr>
              <w:autoSpaceDE w:val="0"/>
              <w:autoSpaceDN w:val="0"/>
              <w:adjustRightInd w:val="0"/>
              <w:rPr>
                <w:rFonts w:hint="eastAsia" w:ascii="宋体" w:hAnsi="宋体" w:eastAsia="宋体" w:cs="宋体"/>
                <w:color w:val="auto"/>
                <w:szCs w:val="21"/>
                <w:highlight w:val="none"/>
                <w:lang w:val="zh-CN"/>
              </w:rPr>
            </w:pPr>
          </w:p>
        </w:tc>
        <w:tc>
          <w:tcPr>
            <w:tcW w:w="1588" w:type="dxa"/>
            <w:noWrap w:val="0"/>
            <w:vAlign w:val="top"/>
          </w:tcPr>
          <w:p w14:paraId="6FE39109">
            <w:pPr>
              <w:autoSpaceDE w:val="0"/>
              <w:autoSpaceDN w:val="0"/>
              <w:adjustRightInd w:val="0"/>
              <w:rPr>
                <w:rFonts w:hint="eastAsia" w:ascii="宋体" w:hAnsi="宋体" w:eastAsia="宋体" w:cs="宋体"/>
                <w:color w:val="auto"/>
                <w:szCs w:val="21"/>
                <w:highlight w:val="none"/>
                <w:lang w:val="zh-CN"/>
              </w:rPr>
            </w:pPr>
          </w:p>
        </w:tc>
        <w:tc>
          <w:tcPr>
            <w:tcW w:w="851" w:type="dxa"/>
            <w:noWrap w:val="0"/>
            <w:vAlign w:val="top"/>
          </w:tcPr>
          <w:p w14:paraId="770920E9">
            <w:pPr>
              <w:autoSpaceDE w:val="0"/>
              <w:autoSpaceDN w:val="0"/>
              <w:adjustRightInd w:val="0"/>
              <w:rPr>
                <w:rFonts w:hint="eastAsia" w:ascii="宋体" w:hAnsi="宋体" w:eastAsia="宋体" w:cs="宋体"/>
                <w:color w:val="auto"/>
                <w:szCs w:val="21"/>
                <w:highlight w:val="none"/>
                <w:lang w:val="zh-CN"/>
              </w:rPr>
            </w:pPr>
          </w:p>
        </w:tc>
      </w:tr>
      <w:tr w14:paraId="0DF17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4" w:type="dxa"/>
            <w:noWrap w:val="0"/>
            <w:vAlign w:val="top"/>
          </w:tcPr>
          <w:p w14:paraId="6181FB2F">
            <w:pPr>
              <w:autoSpaceDE w:val="0"/>
              <w:autoSpaceDN w:val="0"/>
              <w:adjustRightInd w:val="0"/>
              <w:rPr>
                <w:rFonts w:hint="eastAsia" w:ascii="宋体" w:hAnsi="宋体" w:eastAsia="宋体" w:cs="宋体"/>
                <w:color w:val="auto"/>
                <w:szCs w:val="21"/>
                <w:highlight w:val="none"/>
                <w:lang w:val="zh-CN"/>
              </w:rPr>
            </w:pPr>
          </w:p>
        </w:tc>
        <w:tc>
          <w:tcPr>
            <w:tcW w:w="896" w:type="dxa"/>
            <w:noWrap w:val="0"/>
            <w:vAlign w:val="top"/>
          </w:tcPr>
          <w:p w14:paraId="63D813D2">
            <w:pPr>
              <w:autoSpaceDE w:val="0"/>
              <w:autoSpaceDN w:val="0"/>
              <w:adjustRightInd w:val="0"/>
              <w:rPr>
                <w:rFonts w:hint="eastAsia" w:ascii="宋体" w:hAnsi="宋体" w:eastAsia="宋体" w:cs="宋体"/>
                <w:color w:val="auto"/>
                <w:szCs w:val="21"/>
                <w:highlight w:val="none"/>
                <w:lang w:val="zh-CN"/>
              </w:rPr>
            </w:pPr>
          </w:p>
        </w:tc>
        <w:tc>
          <w:tcPr>
            <w:tcW w:w="663" w:type="dxa"/>
            <w:noWrap w:val="0"/>
            <w:vAlign w:val="top"/>
          </w:tcPr>
          <w:p w14:paraId="5525DB7A">
            <w:pPr>
              <w:autoSpaceDE w:val="0"/>
              <w:autoSpaceDN w:val="0"/>
              <w:adjustRightInd w:val="0"/>
              <w:rPr>
                <w:rFonts w:hint="eastAsia" w:ascii="宋体" w:hAnsi="宋体" w:eastAsia="宋体" w:cs="宋体"/>
                <w:color w:val="auto"/>
                <w:szCs w:val="21"/>
                <w:highlight w:val="none"/>
                <w:lang w:val="zh-CN"/>
              </w:rPr>
            </w:pPr>
          </w:p>
        </w:tc>
        <w:tc>
          <w:tcPr>
            <w:tcW w:w="709" w:type="dxa"/>
            <w:noWrap w:val="0"/>
            <w:vAlign w:val="top"/>
          </w:tcPr>
          <w:p w14:paraId="6408D2F9">
            <w:pPr>
              <w:autoSpaceDE w:val="0"/>
              <w:autoSpaceDN w:val="0"/>
              <w:adjustRightInd w:val="0"/>
              <w:rPr>
                <w:rFonts w:hint="eastAsia" w:ascii="宋体" w:hAnsi="宋体" w:eastAsia="宋体" w:cs="宋体"/>
                <w:color w:val="auto"/>
                <w:szCs w:val="21"/>
                <w:highlight w:val="none"/>
                <w:lang w:val="zh-CN"/>
              </w:rPr>
            </w:pPr>
          </w:p>
        </w:tc>
        <w:tc>
          <w:tcPr>
            <w:tcW w:w="1134" w:type="dxa"/>
            <w:noWrap w:val="0"/>
            <w:vAlign w:val="top"/>
          </w:tcPr>
          <w:p w14:paraId="6E2BE315">
            <w:pPr>
              <w:autoSpaceDE w:val="0"/>
              <w:autoSpaceDN w:val="0"/>
              <w:adjustRightInd w:val="0"/>
              <w:rPr>
                <w:rFonts w:hint="eastAsia" w:ascii="宋体" w:hAnsi="宋体" w:eastAsia="宋体" w:cs="宋体"/>
                <w:color w:val="auto"/>
                <w:szCs w:val="21"/>
                <w:highlight w:val="none"/>
                <w:lang w:val="zh-CN"/>
              </w:rPr>
            </w:pPr>
          </w:p>
        </w:tc>
        <w:tc>
          <w:tcPr>
            <w:tcW w:w="1056" w:type="dxa"/>
            <w:noWrap w:val="0"/>
            <w:vAlign w:val="top"/>
          </w:tcPr>
          <w:p w14:paraId="25A7951D">
            <w:pPr>
              <w:autoSpaceDE w:val="0"/>
              <w:autoSpaceDN w:val="0"/>
              <w:adjustRightInd w:val="0"/>
              <w:rPr>
                <w:rFonts w:hint="eastAsia" w:ascii="宋体" w:hAnsi="宋体" w:eastAsia="宋体" w:cs="宋体"/>
                <w:color w:val="auto"/>
                <w:szCs w:val="21"/>
                <w:highlight w:val="none"/>
                <w:lang w:val="zh-CN"/>
              </w:rPr>
            </w:pPr>
          </w:p>
        </w:tc>
        <w:tc>
          <w:tcPr>
            <w:tcW w:w="1020" w:type="dxa"/>
            <w:noWrap w:val="0"/>
            <w:vAlign w:val="top"/>
          </w:tcPr>
          <w:p w14:paraId="457D2B57">
            <w:pPr>
              <w:autoSpaceDE w:val="0"/>
              <w:autoSpaceDN w:val="0"/>
              <w:adjustRightInd w:val="0"/>
              <w:rPr>
                <w:rFonts w:hint="eastAsia" w:ascii="宋体" w:hAnsi="宋体" w:eastAsia="宋体" w:cs="宋体"/>
                <w:color w:val="auto"/>
                <w:szCs w:val="21"/>
                <w:highlight w:val="none"/>
                <w:lang w:val="zh-CN"/>
              </w:rPr>
            </w:pPr>
          </w:p>
        </w:tc>
        <w:tc>
          <w:tcPr>
            <w:tcW w:w="1174" w:type="dxa"/>
            <w:noWrap w:val="0"/>
            <w:vAlign w:val="top"/>
          </w:tcPr>
          <w:p w14:paraId="0E3BE627">
            <w:pPr>
              <w:autoSpaceDE w:val="0"/>
              <w:autoSpaceDN w:val="0"/>
              <w:adjustRightInd w:val="0"/>
              <w:rPr>
                <w:rFonts w:hint="eastAsia" w:ascii="宋体" w:hAnsi="宋体" w:eastAsia="宋体" w:cs="宋体"/>
                <w:color w:val="auto"/>
                <w:szCs w:val="21"/>
                <w:highlight w:val="none"/>
                <w:lang w:val="zh-CN"/>
              </w:rPr>
            </w:pPr>
          </w:p>
        </w:tc>
        <w:tc>
          <w:tcPr>
            <w:tcW w:w="1588" w:type="dxa"/>
            <w:noWrap w:val="0"/>
            <w:vAlign w:val="top"/>
          </w:tcPr>
          <w:p w14:paraId="190394BA">
            <w:pPr>
              <w:autoSpaceDE w:val="0"/>
              <w:autoSpaceDN w:val="0"/>
              <w:adjustRightInd w:val="0"/>
              <w:rPr>
                <w:rFonts w:hint="eastAsia" w:ascii="宋体" w:hAnsi="宋体" w:eastAsia="宋体" w:cs="宋体"/>
                <w:color w:val="auto"/>
                <w:szCs w:val="21"/>
                <w:highlight w:val="none"/>
                <w:lang w:val="zh-CN"/>
              </w:rPr>
            </w:pPr>
          </w:p>
        </w:tc>
        <w:tc>
          <w:tcPr>
            <w:tcW w:w="851" w:type="dxa"/>
            <w:noWrap w:val="0"/>
            <w:vAlign w:val="top"/>
          </w:tcPr>
          <w:p w14:paraId="7BC9D220">
            <w:pPr>
              <w:autoSpaceDE w:val="0"/>
              <w:autoSpaceDN w:val="0"/>
              <w:adjustRightInd w:val="0"/>
              <w:rPr>
                <w:rFonts w:hint="eastAsia" w:ascii="宋体" w:hAnsi="宋体" w:eastAsia="宋体" w:cs="宋体"/>
                <w:color w:val="auto"/>
                <w:szCs w:val="21"/>
                <w:highlight w:val="none"/>
                <w:lang w:val="zh-CN"/>
              </w:rPr>
            </w:pPr>
          </w:p>
        </w:tc>
      </w:tr>
      <w:tr w14:paraId="238BB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4" w:type="dxa"/>
            <w:noWrap w:val="0"/>
            <w:vAlign w:val="top"/>
          </w:tcPr>
          <w:p w14:paraId="156FA762">
            <w:pPr>
              <w:autoSpaceDE w:val="0"/>
              <w:autoSpaceDN w:val="0"/>
              <w:adjustRightInd w:val="0"/>
              <w:rPr>
                <w:rFonts w:hint="eastAsia" w:ascii="宋体" w:hAnsi="宋体" w:eastAsia="宋体" w:cs="宋体"/>
                <w:color w:val="auto"/>
                <w:szCs w:val="21"/>
                <w:highlight w:val="none"/>
                <w:lang w:val="zh-CN"/>
              </w:rPr>
            </w:pPr>
          </w:p>
        </w:tc>
        <w:tc>
          <w:tcPr>
            <w:tcW w:w="896" w:type="dxa"/>
            <w:noWrap w:val="0"/>
            <w:vAlign w:val="top"/>
          </w:tcPr>
          <w:p w14:paraId="6D954294">
            <w:pPr>
              <w:autoSpaceDE w:val="0"/>
              <w:autoSpaceDN w:val="0"/>
              <w:adjustRightInd w:val="0"/>
              <w:rPr>
                <w:rFonts w:hint="eastAsia" w:ascii="宋体" w:hAnsi="宋体" w:eastAsia="宋体" w:cs="宋体"/>
                <w:color w:val="auto"/>
                <w:szCs w:val="21"/>
                <w:highlight w:val="none"/>
                <w:lang w:val="zh-CN"/>
              </w:rPr>
            </w:pPr>
          </w:p>
        </w:tc>
        <w:tc>
          <w:tcPr>
            <w:tcW w:w="663" w:type="dxa"/>
            <w:noWrap w:val="0"/>
            <w:vAlign w:val="top"/>
          </w:tcPr>
          <w:p w14:paraId="675D8CE7">
            <w:pPr>
              <w:autoSpaceDE w:val="0"/>
              <w:autoSpaceDN w:val="0"/>
              <w:adjustRightInd w:val="0"/>
              <w:rPr>
                <w:rFonts w:hint="eastAsia" w:ascii="宋体" w:hAnsi="宋体" w:eastAsia="宋体" w:cs="宋体"/>
                <w:color w:val="auto"/>
                <w:szCs w:val="21"/>
                <w:highlight w:val="none"/>
                <w:lang w:val="zh-CN"/>
              </w:rPr>
            </w:pPr>
          </w:p>
        </w:tc>
        <w:tc>
          <w:tcPr>
            <w:tcW w:w="709" w:type="dxa"/>
            <w:noWrap w:val="0"/>
            <w:vAlign w:val="top"/>
          </w:tcPr>
          <w:p w14:paraId="1FFF10BF">
            <w:pPr>
              <w:autoSpaceDE w:val="0"/>
              <w:autoSpaceDN w:val="0"/>
              <w:adjustRightInd w:val="0"/>
              <w:rPr>
                <w:rFonts w:hint="eastAsia" w:ascii="宋体" w:hAnsi="宋体" w:eastAsia="宋体" w:cs="宋体"/>
                <w:color w:val="auto"/>
                <w:szCs w:val="21"/>
                <w:highlight w:val="none"/>
                <w:lang w:val="zh-CN"/>
              </w:rPr>
            </w:pPr>
          </w:p>
        </w:tc>
        <w:tc>
          <w:tcPr>
            <w:tcW w:w="1134" w:type="dxa"/>
            <w:noWrap w:val="0"/>
            <w:vAlign w:val="top"/>
          </w:tcPr>
          <w:p w14:paraId="5A456983">
            <w:pPr>
              <w:autoSpaceDE w:val="0"/>
              <w:autoSpaceDN w:val="0"/>
              <w:adjustRightInd w:val="0"/>
              <w:rPr>
                <w:rFonts w:hint="eastAsia" w:ascii="宋体" w:hAnsi="宋体" w:eastAsia="宋体" w:cs="宋体"/>
                <w:color w:val="auto"/>
                <w:szCs w:val="21"/>
                <w:highlight w:val="none"/>
                <w:lang w:val="zh-CN"/>
              </w:rPr>
            </w:pPr>
          </w:p>
        </w:tc>
        <w:tc>
          <w:tcPr>
            <w:tcW w:w="1056" w:type="dxa"/>
            <w:noWrap w:val="0"/>
            <w:vAlign w:val="top"/>
          </w:tcPr>
          <w:p w14:paraId="40E4FD2A">
            <w:pPr>
              <w:autoSpaceDE w:val="0"/>
              <w:autoSpaceDN w:val="0"/>
              <w:adjustRightInd w:val="0"/>
              <w:rPr>
                <w:rFonts w:hint="eastAsia" w:ascii="宋体" w:hAnsi="宋体" w:eastAsia="宋体" w:cs="宋体"/>
                <w:color w:val="auto"/>
                <w:szCs w:val="21"/>
                <w:highlight w:val="none"/>
                <w:lang w:val="zh-CN"/>
              </w:rPr>
            </w:pPr>
          </w:p>
        </w:tc>
        <w:tc>
          <w:tcPr>
            <w:tcW w:w="1020" w:type="dxa"/>
            <w:noWrap w:val="0"/>
            <w:vAlign w:val="top"/>
          </w:tcPr>
          <w:p w14:paraId="3DF612CC">
            <w:pPr>
              <w:autoSpaceDE w:val="0"/>
              <w:autoSpaceDN w:val="0"/>
              <w:adjustRightInd w:val="0"/>
              <w:rPr>
                <w:rFonts w:hint="eastAsia" w:ascii="宋体" w:hAnsi="宋体" w:eastAsia="宋体" w:cs="宋体"/>
                <w:color w:val="auto"/>
                <w:szCs w:val="21"/>
                <w:highlight w:val="none"/>
                <w:lang w:val="zh-CN"/>
              </w:rPr>
            </w:pPr>
          </w:p>
        </w:tc>
        <w:tc>
          <w:tcPr>
            <w:tcW w:w="1174" w:type="dxa"/>
            <w:noWrap w:val="0"/>
            <w:vAlign w:val="top"/>
          </w:tcPr>
          <w:p w14:paraId="3EB79CAE">
            <w:pPr>
              <w:autoSpaceDE w:val="0"/>
              <w:autoSpaceDN w:val="0"/>
              <w:adjustRightInd w:val="0"/>
              <w:rPr>
                <w:rFonts w:hint="eastAsia" w:ascii="宋体" w:hAnsi="宋体" w:eastAsia="宋体" w:cs="宋体"/>
                <w:color w:val="auto"/>
                <w:szCs w:val="21"/>
                <w:highlight w:val="none"/>
                <w:lang w:val="zh-CN"/>
              </w:rPr>
            </w:pPr>
          </w:p>
        </w:tc>
        <w:tc>
          <w:tcPr>
            <w:tcW w:w="1588" w:type="dxa"/>
            <w:noWrap w:val="0"/>
            <w:vAlign w:val="top"/>
          </w:tcPr>
          <w:p w14:paraId="61843E57">
            <w:pPr>
              <w:autoSpaceDE w:val="0"/>
              <w:autoSpaceDN w:val="0"/>
              <w:adjustRightInd w:val="0"/>
              <w:rPr>
                <w:rFonts w:hint="eastAsia" w:ascii="宋体" w:hAnsi="宋体" w:eastAsia="宋体" w:cs="宋体"/>
                <w:color w:val="auto"/>
                <w:szCs w:val="21"/>
                <w:highlight w:val="none"/>
                <w:lang w:val="zh-CN"/>
              </w:rPr>
            </w:pPr>
          </w:p>
        </w:tc>
        <w:tc>
          <w:tcPr>
            <w:tcW w:w="851" w:type="dxa"/>
            <w:noWrap w:val="0"/>
            <w:vAlign w:val="top"/>
          </w:tcPr>
          <w:p w14:paraId="28A9BCED">
            <w:pPr>
              <w:autoSpaceDE w:val="0"/>
              <w:autoSpaceDN w:val="0"/>
              <w:adjustRightInd w:val="0"/>
              <w:rPr>
                <w:rFonts w:hint="eastAsia" w:ascii="宋体" w:hAnsi="宋体" w:eastAsia="宋体" w:cs="宋体"/>
                <w:color w:val="auto"/>
                <w:szCs w:val="21"/>
                <w:highlight w:val="none"/>
                <w:lang w:val="zh-CN"/>
              </w:rPr>
            </w:pPr>
          </w:p>
        </w:tc>
      </w:tr>
      <w:tr w14:paraId="0AABB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4" w:type="dxa"/>
            <w:noWrap w:val="0"/>
            <w:vAlign w:val="top"/>
          </w:tcPr>
          <w:p w14:paraId="77EBDDF1">
            <w:pPr>
              <w:autoSpaceDE w:val="0"/>
              <w:autoSpaceDN w:val="0"/>
              <w:adjustRightInd w:val="0"/>
              <w:rPr>
                <w:rFonts w:hint="eastAsia" w:ascii="宋体" w:hAnsi="宋体" w:eastAsia="宋体" w:cs="宋体"/>
                <w:color w:val="auto"/>
                <w:szCs w:val="21"/>
                <w:highlight w:val="none"/>
                <w:lang w:val="zh-CN"/>
              </w:rPr>
            </w:pPr>
          </w:p>
        </w:tc>
        <w:tc>
          <w:tcPr>
            <w:tcW w:w="896" w:type="dxa"/>
            <w:noWrap w:val="0"/>
            <w:vAlign w:val="top"/>
          </w:tcPr>
          <w:p w14:paraId="4FBCDAA3">
            <w:pPr>
              <w:autoSpaceDE w:val="0"/>
              <w:autoSpaceDN w:val="0"/>
              <w:adjustRightInd w:val="0"/>
              <w:rPr>
                <w:rFonts w:hint="eastAsia" w:ascii="宋体" w:hAnsi="宋体" w:eastAsia="宋体" w:cs="宋体"/>
                <w:color w:val="auto"/>
                <w:szCs w:val="21"/>
                <w:highlight w:val="none"/>
                <w:lang w:val="zh-CN"/>
              </w:rPr>
            </w:pPr>
          </w:p>
        </w:tc>
        <w:tc>
          <w:tcPr>
            <w:tcW w:w="663" w:type="dxa"/>
            <w:noWrap w:val="0"/>
            <w:vAlign w:val="top"/>
          </w:tcPr>
          <w:p w14:paraId="48F342CF">
            <w:pPr>
              <w:autoSpaceDE w:val="0"/>
              <w:autoSpaceDN w:val="0"/>
              <w:adjustRightInd w:val="0"/>
              <w:rPr>
                <w:rFonts w:hint="eastAsia" w:ascii="宋体" w:hAnsi="宋体" w:eastAsia="宋体" w:cs="宋体"/>
                <w:color w:val="auto"/>
                <w:szCs w:val="21"/>
                <w:highlight w:val="none"/>
                <w:lang w:val="zh-CN"/>
              </w:rPr>
            </w:pPr>
          </w:p>
        </w:tc>
        <w:tc>
          <w:tcPr>
            <w:tcW w:w="709" w:type="dxa"/>
            <w:noWrap w:val="0"/>
            <w:vAlign w:val="top"/>
          </w:tcPr>
          <w:p w14:paraId="67C4F5E4">
            <w:pPr>
              <w:autoSpaceDE w:val="0"/>
              <w:autoSpaceDN w:val="0"/>
              <w:adjustRightInd w:val="0"/>
              <w:rPr>
                <w:rFonts w:hint="eastAsia" w:ascii="宋体" w:hAnsi="宋体" w:eastAsia="宋体" w:cs="宋体"/>
                <w:color w:val="auto"/>
                <w:szCs w:val="21"/>
                <w:highlight w:val="none"/>
                <w:lang w:val="zh-CN"/>
              </w:rPr>
            </w:pPr>
          </w:p>
        </w:tc>
        <w:tc>
          <w:tcPr>
            <w:tcW w:w="1134" w:type="dxa"/>
            <w:noWrap w:val="0"/>
            <w:vAlign w:val="top"/>
          </w:tcPr>
          <w:p w14:paraId="4715BB89">
            <w:pPr>
              <w:autoSpaceDE w:val="0"/>
              <w:autoSpaceDN w:val="0"/>
              <w:adjustRightInd w:val="0"/>
              <w:rPr>
                <w:rFonts w:hint="eastAsia" w:ascii="宋体" w:hAnsi="宋体" w:eastAsia="宋体" w:cs="宋体"/>
                <w:color w:val="auto"/>
                <w:szCs w:val="21"/>
                <w:highlight w:val="none"/>
                <w:lang w:val="zh-CN"/>
              </w:rPr>
            </w:pPr>
          </w:p>
        </w:tc>
        <w:tc>
          <w:tcPr>
            <w:tcW w:w="1056" w:type="dxa"/>
            <w:noWrap w:val="0"/>
            <w:vAlign w:val="top"/>
          </w:tcPr>
          <w:p w14:paraId="2729841C">
            <w:pPr>
              <w:autoSpaceDE w:val="0"/>
              <w:autoSpaceDN w:val="0"/>
              <w:adjustRightInd w:val="0"/>
              <w:rPr>
                <w:rFonts w:hint="eastAsia" w:ascii="宋体" w:hAnsi="宋体" w:eastAsia="宋体" w:cs="宋体"/>
                <w:color w:val="auto"/>
                <w:szCs w:val="21"/>
                <w:highlight w:val="none"/>
                <w:lang w:val="zh-CN"/>
              </w:rPr>
            </w:pPr>
          </w:p>
        </w:tc>
        <w:tc>
          <w:tcPr>
            <w:tcW w:w="1020" w:type="dxa"/>
            <w:noWrap w:val="0"/>
            <w:vAlign w:val="top"/>
          </w:tcPr>
          <w:p w14:paraId="4D939373">
            <w:pPr>
              <w:autoSpaceDE w:val="0"/>
              <w:autoSpaceDN w:val="0"/>
              <w:adjustRightInd w:val="0"/>
              <w:rPr>
                <w:rFonts w:hint="eastAsia" w:ascii="宋体" w:hAnsi="宋体" w:eastAsia="宋体" w:cs="宋体"/>
                <w:color w:val="auto"/>
                <w:szCs w:val="21"/>
                <w:highlight w:val="none"/>
                <w:lang w:val="zh-CN"/>
              </w:rPr>
            </w:pPr>
          </w:p>
        </w:tc>
        <w:tc>
          <w:tcPr>
            <w:tcW w:w="1174" w:type="dxa"/>
            <w:noWrap w:val="0"/>
            <w:vAlign w:val="top"/>
          </w:tcPr>
          <w:p w14:paraId="482D48B1">
            <w:pPr>
              <w:autoSpaceDE w:val="0"/>
              <w:autoSpaceDN w:val="0"/>
              <w:adjustRightInd w:val="0"/>
              <w:rPr>
                <w:rFonts w:hint="eastAsia" w:ascii="宋体" w:hAnsi="宋体" w:eastAsia="宋体" w:cs="宋体"/>
                <w:color w:val="auto"/>
                <w:szCs w:val="21"/>
                <w:highlight w:val="none"/>
                <w:lang w:val="zh-CN"/>
              </w:rPr>
            </w:pPr>
          </w:p>
        </w:tc>
        <w:tc>
          <w:tcPr>
            <w:tcW w:w="1588" w:type="dxa"/>
            <w:noWrap w:val="0"/>
            <w:vAlign w:val="top"/>
          </w:tcPr>
          <w:p w14:paraId="6239DD4A">
            <w:pPr>
              <w:autoSpaceDE w:val="0"/>
              <w:autoSpaceDN w:val="0"/>
              <w:adjustRightInd w:val="0"/>
              <w:rPr>
                <w:rFonts w:hint="eastAsia" w:ascii="宋体" w:hAnsi="宋体" w:eastAsia="宋体" w:cs="宋体"/>
                <w:color w:val="auto"/>
                <w:szCs w:val="21"/>
                <w:highlight w:val="none"/>
                <w:lang w:val="zh-CN"/>
              </w:rPr>
            </w:pPr>
          </w:p>
        </w:tc>
        <w:tc>
          <w:tcPr>
            <w:tcW w:w="851" w:type="dxa"/>
            <w:noWrap w:val="0"/>
            <w:vAlign w:val="top"/>
          </w:tcPr>
          <w:p w14:paraId="7E703412">
            <w:pPr>
              <w:autoSpaceDE w:val="0"/>
              <w:autoSpaceDN w:val="0"/>
              <w:adjustRightInd w:val="0"/>
              <w:rPr>
                <w:rFonts w:hint="eastAsia" w:ascii="宋体" w:hAnsi="宋体" w:eastAsia="宋体" w:cs="宋体"/>
                <w:color w:val="auto"/>
                <w:szCs w:val="21"/>
                <w:highlight w:val="none"/>
                <w:lang w:val="zh-CN"/>
              </w:rPr>
            </w:pPr>
          </w:p>
        </w:tc>
      </w:tr>
      <w:tr w14:paraId="212F2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4" w:type="dxa"/>
            <w:noWrap w:val="0"/>
            <w:vAlign w:val="top"/>
          </w:tcPr>
          <w:p w14:paraId="6067958E">
            <w:pPr>
              <w:autoSpaceDE w:val="0"/>
              <w:autoSpaceDN w:val="0"/>
              <w:adjustRightInd w:val="0"/>
              <w:rPr>
                <w:rFonts w:hint="eastAsia" w:ascii="宋体" w:hAnsi="宋体" w:eastAsia="宋体" w:cs="宋体"/>
                <w:color w:val="auto"/>
                <w:szCs w:val="21"/>
                <w:highlight w:val="none"/>
                <w:lang w:val="zh-CN"/>
              </w:rPr>
            </w:pPr>
          </w:p>
        </w:tc>
        <w:tc>
          <w:tcPr>
            <w:tcW w:w="896" w:type="dxa"/>
            <w:noWrap w:val="0"/>
            <w:vAlign w:val="top"/>
          </w:tcPr>
          <w:p w14:paraId="1400CA18">
            <w:pPr>
              <w:autoSpaceDE w:val="0"/>
              <w:autoSpaceDN w:val="0"/>
              <w:adjustRightInd w:val="0"/>
              <w:rPr>
                <w:rFonts w:hint="eastAsia" w:ascii="宋体" w:hAnsi="宋体" w:eastAsia="宋体" w:cs="宋体"/>
                <w:color w:val="auto"/>
                <w:szCs w:val="21"/>
                <w:highlight w:val="none"/>
                <w:lang w:val="zh-CN"/>
              </w:rPr>
            </w:pPr>
          </w:p>
        </w:tc>
        <w:tc>
          <w:tcPr>
            <w:tcW w:w="663" w:type="dxa"/>
            <w:noWrap w:val="0"/>
            <w:vAlign w:val="top"/>
          </w:tcPr>
          <w:p w14:paraId="4CA354A8">
            <w:pPr>
              <w:autoSpaceDE w:val="0"/>
              <w:autoSpaceDN w:val="0"/>
              <w:adjustRightInd w:val="0"/>
              <w:rPr>
                <w:rFonts w:hint="eastAsia" w:ascii="宋体" w:hAnsi="宋体" w:eastAsia="宋体" w:cs="宋体"/>
                <w:color w:val="auto"/>
                <w:szCs w:val="21"/>
                <w:highlight w:val="none"/>
                <w:lang w:val="zh-CN"/>
              </w:rPr>
            </w:pPr>
          </w:p>
        </w:tc>
        <w:tc>
          <w:tcPr>
            <w:tcW w:w="709" w:type="dxa"/>
            <w:noWrap w:val="0"/>
            <w:vAlign w:val="top"/>
          </w:tcPr>
          <w:p w14:paraId="7B41F721">
            <w:pPr>
              <w:autoSpaceDE w:val="0"/>
              <w:autoSpaceDN w:val="0"/>
              <w:adjustRightInd w:val="0"/>
              <w:rPr>
                <w:rFonts w:hint="eastAsia" w:ascii="宋体" w:hAnsi="宋体" w:eastAsia="宋体" w:cs="宋体"/>
                <w:color w:val="auto"/>
                <w:szCs w:val="21"/>
                <w:highlight w:val="none"/>
                <w:lang w:val="zh-CN"/>
              </w:rPr>
            </w:pPr>
          </w:p>
        </w:tc>
        <w:tc>
          <w:tcPr>
            <w:tcW w:w="1134" w:type="dxa"/>
            <w:noWrap w:val="0"/>
            <w:vAlign w:val="top"/>
          </w:tcPr>
          <w:p w14:paraId="42B940DA">
            <w:pPr>
              <w:autoSpaceDE w:val="0"/>
              <w:autoSpaceDN w:val="0"/>
              <w:adjustRightInd w:val="0"/>
              <w:rPr>
                <w:rFonts w:hint="eastAsia" w:ascii="宋体" w:hAnsi="宋体" w:eastAsia="宋体" w:cs="宋体"/>
                <w:color w:val="auto"/>
                <w:szCs w:val="21"/>
                <w:highlight w:val="none"/>
                <w:lang w:val="zh-CN"/>
              </w:rPr>
            </w:pPr>
          </w:p>
        </w:tc>
        <w:tc>
          <w:tcPr>
            <w:tcW w:w="1056" w:type="dxa"/>
            <w:noWrap w:val="0"/>
            <w:vAlign w:val="top"/>
          </w:tcPr>
          <w:p w14:paraId="5866FA8B">
            <w:pPr>
              <w:autoSpaceDE w:val="0"/>
              <w:autoSpaceDN w:val="0"/>
              <w:adjustRightInd w:val="0"/>
              <w:rPr>
                <w:rFonts w:hint="eastAsia" w:ascii="宋体" w:hAnsi="宋体" w:eastAsia="宋体" w:cs="宋体"/>
                <w:color w:val="auto"/>
                <w:szCs w:val="21"/>
                <w:highlight w:val="none"/>
                <w:lang w:val="zh-CN"/>
              </w:rPr>
            </w:pPr>
          </w:p>
        </w:tc>
        <w:tc>
          <w:tcPr>
            <w:tcW w:w="1020" w:type="dxa"/>
            <w:noWrap w:val="0"/>
            <w:vAlign w:val="top"/>
          </w:tcPr>
          <w:p w14:paraId="2F6445A3">
            <w:pPr>
              <w:autoSpaceDE w:val="0"/>
              <w:autoSpaceDN w:val="0"/>
              <w:adjustRightInd w:val="0"/>
              <w:rPr>
                <w:rFonts w:hint="eastAsia" w:ascii="宋体" w:hAnsi="宋体" w:eastAsia="宋体" w:cs="宋体"/>
                <w:color w:val="auto"/>
                <w:szCs w:val="21"/>
                <w:highlight w:val="none"/>
                <w:lang w:val="zh-CN"/>
              </w:rPr>
            </w:pPr>
          </w:p>
        </w:tc>
        <w:tc>
          <w:tcPr>
            <w:tcW w:w="1174" w:type="dxa"/>
            <w:noWrap w:val="0"/>
            <w:vAlign w:val="top"/>
          </w:tcPr>
          <w:p w14:paraId="4EA3FDFD">
            <w:pPr>
              <w:autoSpaceDE w:val="0"/>
              <w:autoSpaceDN w:val="0"/>
              <w:adjustRightInd w:val="0"/>
              <w:rPr>
                <w:rFonts w:hint="eastAsia" w:ascii="宋体" w:hAnsi="宋体" w:eastAsia="宋体" w:cs="宋体"/>
                <w:color w:val="auto"/>
                <w:szCs w:val="21"/>
                <w:highlight w:val="none"/>
                <w:lang w:val="zh-CN"/>
              </w:rPr>
            </w:pPr>
          </w:p>
        </w:tc>
        <w:tc>
          <w:tcPr>
            <w:tcW w:w="1588" w:type="dxa"/>
            <w:noWrap w:val="0"/>
            <w:vAlign w:val="top"/>
          </w:tcPr>
          <w:p w14:paraId="0DFD8092">
            <w:pPr>
              <w:autoSpaceDE w:val="0"/>
              <w:autoSpaceDN w:val="0"/>
              <w:adjustRightInd w:val="0"/>
              <w:rPr>
                <w:rFonts w:hint="eastAsia" w:ascii="宋体" w:hAnsi="宋体" w:eastAsia="宋体" w:cs="宋体"/>
                <w:color w:val="auto"/>
                <w:szCs w:val="21"/>
                <w:highlight w:val="none"/>
                <w:lang w:val="zh-CN"/>
              </w:rPr>
            </w:pPr>
          </w:p>
        </w:tc>
        <w:tc>
          <w:tcPr>
            <w:tcW w:w="851" w:type="dxa"/>
            <w:noWrap w:val="0"/>
            <w:vAlign w:val="top"/>
          </w:tcPr>
          <w:p w14:paraId="58AE0A8D">
            <w:pPr>
              <w:autoSpaceDE w:val="0"/>
              <w:autoSpaceDN w:val="0"/>
              <w:adjustRightInd w:val="0"/>
              <w:rPr>
                <w:rFonts w:hint="eastAsia" w:ascii="宋体" w:hAnsi="宋体" w:eastAsia="宋体" w:cs="宋体"/>
                <w:color w:val="auto"/>
                <w:szCs w:val="21"/>
                <w:highlight w:val="none"/>
                <w:lang w:val="zh-CN"/>
              </w:rPr>
            </w:pPr>
          </w:p>
        </w:tc>
      </w:tr>
    </w:tbl>
    <w:p w14:paraId="3B23A75E">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sz w:val="21"/>
          <w:highlight w:val="none"/>
        </w:rPr>
      </w:pPr>
    </w:p>
    <w:p w14:paraId="3747D43C">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投标单位（加盖电子公章）：</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 </w:t>
      </w:r>
    </w:p>
    <w:p w14:paraId="24ABF41D">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5BB5515E">
      <w:pPr>
        <w:widowControl/>
        <w:shd w:val="clear" w:color="auto" w:fill="FFFFFF"/>
        <w:spacing w:before="312" w:beforeLines="100" w:line="360" w:lineRule="auto"/>
        <w:jc w:val="center"/>
        <w:rPr>
          <w:rFonts w:hint="eastAsia" w:ascii="宋体" w:hAnsi="宋体" w:eastAsia="宋体" w:cs="宋体"/>
          <w:b/>
          <w:color w:val="auto"/>
          <w:kern w:val="0"/>
          <w:sz w:val="36"/>
          <w:szCs w:val="36"/>
          <w:highlight w:val="none"/>
        </w:rPr>
      </w:pPr>
      <w:r>
        <w:rPr>
          <w:rFonts w:hint="eastAsia" w:ascii="宋体" w:hAnsi="宋体" w:eastAsia="宋体" w:cs="宋体"/>
          <w:b/>
          <w:color w:val="auto"/>
          <w:sz w:val="21"/>
          <w:highlight w:val="none"/>
        </w:rPr>
        <w:t> </w:t>
      </w:r>
      <w:r>
        <w:rPr>
          <w:rFonts w:hint="eastAsia" w:ascii="宋体" w:hAnsi="宋体" w:eastAsia="宋体" w:cs="宋体"/>
          <w:b/>
          <w:color w:val="auto"/>
          <w:kern w:val="0"/>
          <w:sz w:val="36"/>
          <w:szCs w:val="36"/>
          <w:highlight w:val="none"/>
        </w:rPr>
        <w:t>拟参与本项目人员经历表</w:t>
      </w:r>
    </w:p>
    <w:tbl>
      <w:tblPr>
        <w:tblStyle w:val="32"/>
        <w:tblW w:w="4998" w:type="pct"/>
        <w:jc w:val="center"/>
        <w:tblLayout w:type="autofit"/>
        <w:tblCellMar>
          <w:top w:w="0" w:type="dxa"/>
          <w:left w:w="0" w:type="dxa"/>
          <w:bottom w:w="0" w:type="dxa"/>
          <w:right w:w="0" w:type="dxa"/>
        </w:tblCellMar>
      </w:tblPr>
      <w:tblGrid>
        <w:gridCol w:w="1348"/>
        <w:gridCol w:w="1582"/>
        <w:gridCol w:w="1135"/>
        <w:gridCol w:w="1447"/>
        <w:gridCol w:w="34"/>
        <w:gridCol w:w="2018"/>
        <w:gridCol w:w="71"/>
        <w:gridCol w:w="1726"/>
      </w:tblGrid>
      <w:tr w14:paraId="3EDAE785">
        <w:tblPrEx>
          <w:tblCellMar>
            <w:top w:w="0" w:type="dxa"/>
            <w:left w:w="0" w:type="dxa"/>
            <w:bottom w:w="0" w:type="dxa"/>
            <w:right w:w="0" w:type="dxa"/>
          </w:tblCellMar>
        </w:tblPrEx>
        <w:trPr>
          <w:trHeight w:val="764" w:hRule="atLeast"/>
          <w:jc w:val="center"/>
        </w:trPr>
        <w:tc>
          <w:tcPr>
            <w:tcW w:w="720" w:type="pct"/>
            <w:tcBorders>
              <w:top w:val="single" w:color="000000" w:sz="4" w:space="0"/>
              <w:left w:val="single" w:color="000000" w:sz="4" w:space="0"/>
              <w:bottom w:val="single" w:color="000000" w:sz="4" w:space="0"/>
              <w:right w:val="single" w:color="000000" w:sz="4" w:space="0"/>
            </w:tcBorders>
            <w:noWrap w:val="0"/>
            <w:vAlign w:val="center"/>
          </w:tcPr>
          <w:p w14:paraId="4BC3338D">
            <w:pPr>
              <w:pStyle w:val="186"/>
              <w:tabs>
                <w:tab w:val="left" w:pos="631"/>
              </w:tabs>
              <w:kinsoku w:val="0"/>
              <w:overflowPunct w:val="0"/>
              <w:ind w:right="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p>
        </w:tc>
        <w:tc>
          <w:tcPr>
            <w:tcW w:w="845" w:type="pct"/>
            <w:tcBorders>
              <w:top w:val="single" w:color="000000" w:sz="4" w:space="0"/>
              <w:left w:val="single" w:color="000000" w:sz="4" w:space="0"/>
              <w:bottom w:val="single" w:color="000000" w:sz="4" w:space="0"/>
              <w:right w:val="single" w:color="000000" w:sz="4" w:space="0"/>
            </w:tcBorders>
            <w:noWrap w:val="0"/>
            <w:vAlign w:val="center"/>
          </w:tcPr>
          <w:p w14:paraId="339BC9D5">
            <w:pPr>
              <w:pStyle w:val="186"/>
              <w:kinsoku w:val="0"/>
              <w:overflowPunct w:val="0"/>
              <w:spacing w:before="160"/>
              <w:ind w:right="15"/>
              <w:jc w:val="center"/>
              <w:rPr>
                <w:rFonts w:hint="eastAsia" w:ascii="宋体" w:hAnsi="宋体" w:eastAsia="宋体" w:cs="宋体"/>
                <w:color w:val="auto"/>
                <w:sz w:val="21"/>
                <w:szCs w:val="21"/>
                <w:highlight w:val="none"/>
              </w:rPr>
            </w:pPr>
          </w:p>
        </w:tc>
        <w:tc>
          <w:tcPr>
            <w:tcW w:w="606" w:type="pct"/>
            <w:tcBorders>
              <w:top w:val="single" w:color="000000" w:sz="4" w:space="0"/>
              <w:left w:val="single" w:color="000000" w:sz="4" w:space="0"/>
              <w:bottom w:val="single" w:color="000000" w:sz="4" w:space="0"/>
              <w:right w:val="single" w:color="000000" w:sz="4" w:space="0"/>
            </w:tcBorders>
            <w:noWrap w:val="0"/>
            <w:vAlign w:val="center"/>
          </w:tcPr>
          <w:p w14:paraId="1258720D">
            <w:pPr>
              <w:pStyle w:val="186"/>
              <w:kinsoku w:val="0"/>
              <w:overflowPunct w:val="0"/>
              <w:spacing w:before="160"/>
              <w:ind w:right="1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龄</w:t>
            </w:r>
          </w:p>
        </w:tc>
        <w:tc>
          <w:tcPr>
            <w:tcW w:w="790" w:type="pct"/>
            <w:gridSpan w:val="2"/>
            <w:tcBorders>
              <w:top w:val="single" w:color="000000" w:sz="4" w:space="0"/>
              <w:left w:val="single" w:color="000000" w:sz="4" w:space="0"/>
              <w:bottom w:val="single" w:color="000000" w:sz="4" w:space="0"/>
              <w:right w:val="single" w:color="000000" w:sz="4" w:space="0"/>
            </w:tcBorders>
            <w:noWrap w:val="0"/>
            <w:vAlign w:val="center"/>
          </w:tcPr>
          <w:p w14:paraId="6554789B">
            <w:pPr>
              <w:pStyle w:val="186"/>
              <w:kinsoku w:val="0"/>
              <w:overflowPunct w:val="0"/>
              <w:spacing w:before="160"/>
              <w:ind w:right="15"/>
              <w:jc w:val="center"/>
              <w:rPr>
                <w:rFonts w:hint="eastAsia" w:ascii="宋体" w:hAnsi="宋体" w:eastAsia="宋体" w:cs="宋体"/>
                <w:color w:val="auto"/>
                <w:sz w:val="21"/>
                <w:szCs w:val="21"/>
                <w:highlight w:val="none"/>
              </w:rPr>
            </w:pPr>
          </w:p>
        </w:tc>
        <w:tc>
          <w:tcPr>
            <w:tcW w:w="1078" w:type="pct"/>
            <w:tcBorders>
              <w:top w:val="single" w:color="000000" w:sz="4" w:space="0"/>
              <w:left w:val="single" w:color="000000" w:sz="4" w:space="0"/>
              <w:bottom w:val="single" w:color="000000" w:sz="4" w:space="0"/>
              <w:right w:val="single" w:color="000000" w:sz="4" w:space="0"/>
            </w:tcBorders>
            <w:noWrap w:val="0"/>
            <w:vAlign w:val="center"/>
          </w:tcPr>
          <w:p w14:paraId="35F6CA98">
            <w:pPr>
              <w:pStyle w:val="186"/>
              <w:kinsoku w:val="0"/>
              <w:overflowPunct w:val="0"/>
              <w:spacing w:before="160"/>
              <w:ind w:right="1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拟在本项目任职</w:t>
            </w:r>
          </w:p>
        </w:tc>
        <w:tc>
          <w:tcPr>
            <w:tcW w:w="957" w:type="pct"/>
            <w:gridSpan w:val="2"/>
            <w:tcBorders>
              <w:top w:val="single" w:color="000000" w:sz="4" w:space="0"/>
              <w:left w:val="single" w:color="000000" w:sz="4" w:space="0"/>
              <w:bottom w:val="single" w:color="000000" w:sz="4" w:space="0"/>
              <w:right w:val="single" w:color="000000" w:sz="4" w:space="0"/>
            </w:tcBorders>
            <w:noWrap w:val="0"/>
            <w:vAlign w:val="center"/>
          </w:tcPr>
          <w:p w14:paraId="25AF2771">
            <w:pPr>
              <w:pStyle w:val="186"/>
              <w:kinsoku w:val="0"/>
              <w:overflowPunct w:val="0"/>
              <w:spacing w:before="160"/>
              <w:ind w:right="15"/>
              <w:jc w:val="center"/>
              <w:rPr>
                <w:rFonts w:hint="eastAsia" w:ascii="宋体" w:hAnsi="宋体" w:eastAsia="宋体" w:cs="宋体"/>
                <w:color w:val="auto"/>
                <w:sz w:val="21"/>
                <w:szCs w:val="21"/>
                <w:highlight w:val="none"/>
              </w:rPr>
            </w:pPr>
          </w:p>
        </w:tc>
      </w:tr>
      <w:tr w14:paraId="788722C9">
        <w:tblPrEx>
          <w:tblCellMar>
            <w:top w:w="0" w:type="dxa"/>
            <w:left w:w="0" w:type="dxa"/>
            <w:bottom w:w="0" w:type="dxa"/>
            <w:right w:w="0" w:type="dxa"/>
          </w:tblCellMar>
        </w:tblPrEx>
        <w:trPr>
          <w:trHeight w:val="968" w:hRule="atLeast"/>
          <w:jc w:val="center"/>
        </w:trPr>
        <w:tc>
          <w:tcPr>
            <w:tcW w:w="720" w:type="pct"/>
            <w:tcBorders>
              <w:top w:val="single" w:color="000000" w:sz="4" w:space="0"/>
              <w:left w:val="single" w:color="000000" w:sz="4" w:space="0"/>
              <w:bottom w:val="single" w:color="000000" w:sz="4" w:space="0"/>
              <w:right w:val="single" w:color="000000" w:sz="4" w:space="0"/>
            </w:tcBorders>
            <w:noWrap w:val="0"/>
            <w:vAlign w:val="center"/>
          </w:tcPr>
          <w:p w14:paraId="7F88B6A6">
            <w:pPr>
              <w:pStyle w:val="186"/>
              <w:kinsoku w:val="0"/>
              <w:overflowPunct w:val="0"/>
              <w:spacing w:before="160"/>
              <w:ind w:right="1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技术职称</w:t>
            </w:r>
          </w:p>
        </w:tc>
        <w:tc>
          <w:tcPr>
            <w:tcW w:w="845" w:type="pct"/>
            <w:tcBorders>
              <w:top w:val="single" w:color="000000" w:sz="4" w:space="0"/>
              <w:left w:val="single" w:color="000000" w:sz="4" w:space="0"/>
              <w:bottom w:val="single" w:color="000000" w:sz="4" w:space="0"/>
              <w:right w:val="single" w:color="000000" w:sz="4" w:space="0"/>
            </w:tcBorders>
            <w:noWrap w:val="0"/>
            <w:vAlign w:val="center"/>
          </w:tcPr>
          <w:p w14:paraId="4F5ABF9B">
            <w:pPr>
              <w:pStyle w:val="186"/>
              <w:kinsoku w:val="0"/>
              <w:overflowPunct w:val="0"/>
              <w:spacing w:before="160"/>
              <w:ind w:right="15"/>
              <w:jc w:val="center"/>
              <w:rPr>
                <w:rFonts w:hint="eastAsia" w:ascii="宋体" w:hAnsi="宋体" w:eastAsia="宋体" w:cs="宋体"/>
                <w:color w:val="auto"/>
                <w:sz w:val="21"/>
                <w:szCs w:val="21"/>
                <w:highlight w:val="none"/>
              </w:rPr>
            </w:pPr>
          </w:p>
        </w:tc>
        <w:tc>
          <w:tcPr>
            <w:tcW w:w="606" w:type="pct"/>
            <w:tcBorders>
              <w:top w:val="single" w:color="000000" w:sz="4" w:space="0"/>
              <w:left w:val="single" w:color="000000" w:sz="4" w:space="0"/>
              <w:bottom w:val="single" w:color="000000" w:sz="4" w:space="0"/>
              <w:right w:val="single" w:color="000000" w:sz="4" w:space="0"/>
            </w:tcBorders>
            <w:noWrap w:val="0"/>
            <w:vAlign w:val="center"/>
          </w:tcPr>
          <w:p w14:paraId="3D004CCC">
            <w:pPr>
              <w:pStyle w:val="186"/>
              <w:kinsoku w:val="0"/>
              <w:overflowPunct w:val="0"/>
              <w:spacing w:before="160"/>
              <w:ind w:right="1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学    历</w:t>
            </w:r>
          </w:p>
        </w:tc>
        <w:tc>
          <w:tcPr>
            <w:tcW w:w="790" w:type="pct"/>
            <w:gridSpan w:val="2"/>
            <w:tcBorders>
              <w:top w:val="single" w:color="000000" w:sz="4" w:space="0"/>
              <w:left w:val="single" w:color="000000" w:sz="4" w:space="0"/>
              <w:bottom w:val="single" w:color="000000" w:sz="4" w:space="0"/>
              <w:right w:val="single" w:color="000000" w:sz="4" w:space="0"/>
            </w:tcBorders>
            <w:noWrap w:val="0"/>
            <w:vAlign w:val="center"/>
          </w:tcPr>
          <w:p w14:paraId="067B6DAF">
            <w:pPr>
              <w:pStyle w:val="186"/>
              <w:kinsoku w:val="0"/>
              <w:overflowPunct w:val="0"/>
              <w:spacing w:before="160"/>
              <w:ind w:right="15"/>
              <w:jc w:val="center"/>
              <w:rPr>
                <w:rFonts w:hint="eastAsia" w:ascii="宋体" w:hAnsi="宋体" w:eastAsia="宋体" w:cs="宋体"/>
                <w:color w:val="auto"/>
                <w:sz w:val="21"/>
                <w:szCs w:val="21"/>
                <w:highlight w:val="none"/>
              </w:rPr>
            </w:pPr>
          </w:p>
        </w:tc>
        <w:tc>
          <w:tcPr>
            <w:tcW w:w="1078" w:type="pct"/>
            <w:tcBorders>
              <w:top w:val="single" w:color="000000" w:sz="4" w:space="0"/>
              <w:left w:val="single" w:color="000000" w:sz="4" w:space="0"/>
              <w:bottom w:val="single" w:color="000000" w:sz="4" w:space="0"/>
              <w:right w:val="single" w:color="000000" w:sz="4" w:space="0"/>
            </w:tcBorders>
            <w:noWrap w:val="0"/>
            <w:vAlign w:val="center"/>
          </w:tcPr>
          <w:p w14:paraId="771EB8E7">
            <w:pPr>
              <w:pStyle w:val="186"/>
              <w:kinsoku w:val="0"/>
              <w:overflowPunct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执业或职业资格</w:t>
            </w:r>
          </w:p>
          <w:p w14:paraId="626A7584">
            <w:pPr>
              <w:pStyle w:val="186"/>
              <w:tabs>
                <w:tab w:val="left" w:pos="643"/>
              </w:tabs>
              <w:kinsoku w:val="0"/>
              <w:overflowPunct w:val="0"/>
              <w:spacing w:before="160"/>
              <w:ind w:left="1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证书名称</w:t>
            </w:r>
          </w:p>
        </w:tc>
        <w:tc>
          <w:tcPr>
            <w:tcW w:w="957" w:type="pct"/>
            <w:gridSpan w:val="2"/>
            <w:tcBorders>
              <w:top w:val="single" w:color="000000" w:sz="4" w:space="0"/>
              <w:left w:val="single" w:color="000000" w:sz="4" w:space="0"/>
              <w:bottom w:val="single" w:color="000000" w:sz="4" w:space="0"/>
              <w:right w:val="single" w:color="000000" w:sz="4" w:space="0"/>
            </w:tcBorders>
            <w:noWrap w:val="0"/>
            <w:vAlign w:val="center"/>
          </w:tcPr>
          <w:p w14:paraId="49334D84">
            <w:pPr>
              <w:pStyle w:val="186"/>
              <w:kinsoku w:val="0"/>
              <w:overflowPunct w:val="0"/>
              <w:jc w:val="center"/>
              <w:rPr>
                <w:rFonts w:hint="eastAsia" w:ascii="宋体" w:hAnsi="宋体" w:eastAsia="宋体" w:cs="宋体"/>
                <w:color w:val="auto"/>
                <w:kern w:val="0"/>
                <w:sz w:val="20"/>
                <w:szCs w:val="20"/>
                <w:highlight w:val="none"/>
                <w:lang w:bidi="ar"/>
              </w:rPr>
            </w:pPr>
          </w:p>
        </w:tc>
      </w:tr>
      <w:tr w14:paraId="24C77B7C">
        <w:tblPrEx>
          <w:tblCellMar>
            <w:top w:w="0" w:type="dxa"/>
            <w:left w:w="0" w:type="dxa"/>
            <w:bottom w:w="0" w:type="dxa"/>
            <w:right w:w="0" w:type="dxa"/>
          </w:tblCellMar>
        </w:tblPrEx>
        <w:trPr>
          <w:trHeight w:val="513" w:hRule="atLeast"/>
          <w:jc w:val="center"/>
        </w:trPr>
        <w:tc>
          <w:tcPr>
            <w:tcW w:w="720" w:type="pct"/>
            <w:tcBorders>
              <w:top w:val="single" w:color="000000" w:sz="4" w:space="0"/>
              <w:left w:val="single" w:color="000000" w:sz="4" w:space="0"/>
              <w:bottom w:val="single" w:color="000000" w:sz="4" w:space="0"/>
              <w:right w:val="single" w:color="000000" w:sz="4" w:space="0"/>
            </w:tcBorders>
            <w:noWrap w:val="0"/>
            <w:vAlign w:val="center"/>
          </w:tcPr>
          <w:p w14:paraId="7C5E39B2">
            <w:pPr>
              <w:pStyle w:val="186"/>
              <w:kinsoku w:val="0"/>
              <w:overflowPunct w:val="0"/>
              <w:ind w:right="1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工作年限</w:t>
            </w:r>
          </w:p>
        </w:tc>
        <w:tc>
          <w:tcPr>
            <w:tcW w:w="2242" w:type="pct"/>
            <w:gridSpan w:val="4"/>
            <w:tcBorders>
              <w:top w:val="single" w:color="000000" w:sz="4" w:space="0"/>
              <w:left w:val="single" w:color="000000" w:sz="4" w:space="0"/>
              <w:bottom w:val="single" w:color="000000" w:sz="4" w:space="0"/>
              <w:right w:val="single" w:color="000000" w:sz="4" w:space="0"/>
            </w:tcBorders>
            <w:noWrap w:val="0"/>
            <w:vAlign w:val="center"/>
          </w:tcPr>
          <w:p w14:paraId="5D8622BF">
            <w:pPr>
              <w:pStyle w:val="186"/>
              <w:kinsoku w:val="0"/>
              <w:overflowPunct w:val="0"/>
              <w:jc w:val="center"/>
              <w:rPr>
                <w:rFonts w:hint="eastAsia" w:ascii="宋体" w:hAnsi="宋体" w:eastAsia="宋体" w:cs="宋体"/>
                <w:color w:val="auto"/>
                <w:sz w:val="20"/>
                <w:szCs w:val="20"/>
                <w:highlight w:val="none"/>
              </w:rPr>
            </w:pPr>
          </w:p>
        </w:tc>
        <w:tc>
          <w:tcPr>
            <w:tcW w:w="1078" w:type="pct"/>
            <w:tcBorders>
              <w:top w:val="single" w:color="000000" w:sz="4" w:space="0"/>
              <w:left w:val="single" w:color="000000" w:sz="4" w:space="0"/>
              <w:bottom w:val="single" w:color="000000" w:sz="4" w:space="0"/>
              <w:right w:val="single" w:color="000000" w:sz="4" w:space="0"/>
            </w:tcBorders>
            <w:noWrap w:val="0"/>
            <w:vAlign w:val="center"/>
          </w:tcPr>
          <w:p w14:paraId="13C457F7">
            <w:pPr>
              <w:pStyle w:val="186"/>
              <w:kinsoku w:val="0"/>
              <w:overflowPunct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从事类似工作年限</w:t>
            </w:r>
          </w:p>
        </w:tc>
        <w:tc>
          <w:tcPr>
            <w:tcW w:w="957" w:type="pct"/>
            <w:gridSpan w:val="2"/>
            <w:tcBorders>
              <w:top w:val="single" w:color="000000" w:sz="4" w:space="0"/>
              <w:left w:val="single" w:color="000000" w:sz="4" w:space="0"/>
              <w:bottom w:val="single" w:color="000000" w:sz="4" w:space="0"/>
              <w:right w:val="single" w:color="000000" w:sz="4" w:space="0"/>
            </w:tcBorders>
            <w:noWrap w:val="0"/>
            <w:vAlign w:val="center"/>
          </w:tcPr>
          <w:p w14:paraId="071F3407">
            <w:pPr>
              <w:pStyle w:val="186"/>
              <w:kinsoku w:val="0"/>
              <w:overflowPunct w:val="0"/>
              <w:jc w:val="center"/>
              <w:rPr>
                <w:rFonts w:hint="eastAsia" w:ascii="宋体" w:hAnsi="宋体" w:eastAsia="宋体" w:cs="宋体"/>
                <w:color w:val="auto"/>
                <w:sz w:val="20"/>
                <w:szCs w:val="20"/>
                <w:highlight w:val="none"/>
              </w:rPr>
            </w:pPr>
          </w:p>
        </w:tc>
      </w:tr>
      <w:tr w14:paraId="1DE66B6E">
        <w:tblPrEx>
          <w:tblCellMar>
            <w:top w:w="0" w:type="dxa"/>
            <w:left w:w="0" w:type="dxa"/>
            <w:bottom w:w="0" w:type="dxa"/>
            <w:right w:w="0" w:type="dxa"/>
          </w:tblCellMar>
        </w:tblPrEx>
        <w:trPr>
          <w:trHeight w:val="513" w:hRule="atLeast"/>
          <w:jc w:val="center"/>
        </w:trPr>
        <w:tc>
          <w:tcPr>
            <w:tcW w:w="720" w:type="pct"/>
            <w:tcBorders>
              <w:top w:val="single" w:color="000000" w:sz="4" w:space="0"/>
              <w:left w:val="single" w:color="000000" w:sz="4" w:space="0"/>
              <w:bottom w:val="single" w:color="000000" w:sz="4" w:space="0"/>
              <w:right w:val="single" w:color="000000" w:sz="4" w:space="0"/>
            </w:tcBorders>
            <w:noWrap w:val="0"/>
            <w:vAlign w:val="center"/>
          </w:tcPr>
          <w:p w14:paraId="4CF124D1">
            <w:pPr>
              <w:pStyle w:val="186"/>
              <w:kinsoku w:val="0"/>
              <w:overflowPunct w:val="0"/>
              <w:ind w:right="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毕业学校</w:t>
            </w:r>
          </w:p>
        </w:tc>
        <w:tc>
          <w:tcPr>
            <w:tcW w:w="4279" w:type="pct"/>
            <w:gridSpan w:val="7"/>
            <w:tcBorders>
              <w:top w:val="single" w:color="000000" w:sz="4" w:space="0"/>
              <w:left w:val="single" w:color="000000" w:sz="4" w:space="0"/>
              <w:bottom w:val="single" w:color="000000" w:sz="4" w:space="0"/>
              <w:right w:val="single" w:color="000000" w:sz="4" w:space="0"/>
            </w:tcBorders>
            <w:noWrap w:val="0"/>
            <w:vAlign w:val="top"/>
          </w:tcPr>
          <w:p w14:paraId="6D6EC049">
            <w:pPr>
              <w:pStyle w:val="186"/>
              <w:tabs>
                <w:tab w:val="left" w:pos="1365"/>
                <w:tab w:val="left" w:pos="3892"/>
                <w:tab w:val="left" w:pos="5466"/>
                <w:tab w:val="left" w:pos="7145"/>
              </w:tabs>
              <w:kinsoku w:val="0"/>
              <w:overflowPunct w:val="0"/>
              <w:spacing w:before="186"/>
              <w:ind w:left="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年毕</w:t>
            </w:r>
            <w:r>
              <w:rPr>
                <w:rFonts w:hint="eastAsia" w:ascii="宋体" w:hAnsi="宋体" w:eastAsia="宋体" w:cs="宋体"/>
                <w:color w:val="auto"/>
                <w:spacing w:val="-3"/>
                <w:sz w:val="21"/>
                <w:szCs w:val="21"/>
                <w:highlight w:val="none"/>
              </w:rPr>
              <w:t>业</w:t>
            </w:r>
            <w:r>
              <w:rPr>
                <w:rFonts w:hint="eastAsia" w:ascii="宋体" w:hAnsi="宋体" w:eastAsia="宋体" w:cs="宋体"/>
                <w:color w:val="auto"/>
                <w:sz w:val="21"/>
                <w:szCs w:val="21"/>
                <w:highlight w:val="none"/>
              </w:rPr>
              <w:t>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pacing w:val="-3"/>
                <w:sz w:val="21"/>
                <w:szCs w:val="21"/>
                <w:highlight w:val="none"/>
              </w:rPr>
              <w:t>学</w:t>
            </w:r>
            <w:r>
              <w:rPr>
                <w:rFonts w:hint="eastAsia" w:ascii="宋体" w:hAnsi="宋体" w:eastAsia="宋体" w:cs="宋体"/>
                <w:color w:val="auto"/>
                <w:sz w:val="21"/>
                <w:szCs w:val="21"/>
                <w:highlight w:val="none"/>
              </w:rPr>
              <w:t>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pacing w:val="-3"/>
                <w:sz w:val="21"/>
                <w:szCs w:val="21"/>
                <w:highlight w:val="none"/>
              </w:rPr>
              <w:t>专</w:t>
            </w:r>
            <w:r>
              <w:rPr>
                <w:rFonts w:hint="eastAsia" w:ascii="宋体" w:hAnsi="宋体" w:eastAsia="宋体" w:cs="宋体"/>
                <w:color w:val="auto"/>
                <w:sz w:val="21"/>
                <w:szCs w:val="21"/>
                <w:highlight w:val="none"/>
              </w:rPr>
              <w:t>业</w:t>
            </w:r>
          </w:p>
        </w:tc>
      </w:tr>
      <w:tr w14:paraId="13D66E1C">
        <w:tblPrEx>
          <w:tblCellMar>
            <w:top w:w="0" w:type="dxa"/>
            <w:left w:w="0" w:type="dxa"/>
            <w:bottom w:w="0" w:type="dxa"/>
            <w:right w:w="0" w:type="dxa"/>
          </w:tblCellMar>
        </w:tblPrEx>
        <w:trPr>
          <w:trHeight w:val="510" w:hRule="atLeast"/>
          <w:jc w:val="center"/>
        </w:trPr>
        <w:tc>
          <w:tcPr>
            <w:tcW w:w="5000" w:type="pct"/>
            <w:gridSpan w:val="8"/>
            <w:tcBorders>
              <w:top w:val="single" w:color="000000" w:sz="4" w:space="0"/>
              <w:left w:val="single" w:color="000000" w:sz="4" w:space="0"/>
              <w:bottom w:val="single" w:color="000000" w:sz="4" w:space="0"/>
              <w:right w:val="single" w:color="000000" w:sz="4" w:space="0"/>
            </w:tcBorders>
            <w:noWrap w:val="0"/>
            <w:vAlign w:val="center"/>
          </w:tcPr>
          <w:p w14:paraId="306CDC6B">
            <w:pPr>
              <w:pStyle w:val="186"/>
              <w:tabs>
                <w:tab w:val="left" w:pos="1167"/>
              </w:tabs>
              <w:kinsoku w:val="0"/>
              <w:overflowPunct w:val="0"/>
              <w:ind w:left="1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主要工作经历</w:t>
            </w:r>
          </w:p>
        </w:tc>
      </w:tr>
      <w:tr w14:paraId="1D6C0DE7">
        <w:tblPrEx>
          <w:tblCellMar>
            <w:top w:w="0" w:type="dxa"/>
            <w:left w:w="0" w:type="dxa"/>
            <w:bottom w:w="0" w:type="dxa"/>
            <w:right w:w="0" w:type="dxa"/>
          </w:tblCellMar>
        </w:tblPrEx>
        <w:trPr>
          <w:trHeight w:val="611" w:hRule="atLeast"/>
          <w:jc w:val="center"/>
        </w:trPr>
        <w:tc>
          <w:tcPr>
            <w:tcW w:w="720" w:type="pct"/>
            <w:tcBorders>
              <w:top w:val="single" w:color="000000" w:sz="4" w:space="0"/>
              <w:left w:val="single" w:color="000000" w:sz="4" w:space="0"/>
              <w:bottom w:val="single" w:color="000000" w:sz="4" w:space="0"/>
              <w:right w:val="single" w:color="000000" w:sz="4" w:space="0"/>
            </w:tcBorders>
            <w:noWrap w:val="0"/>
            <w:vAlign w:val="center"/>
          </w:tcPr>
          <w:p w14:paraId="1507C9BA">
            <w:pPr>
              <w:pStyle w:val="186"/>
              <w:tabs>
                <w:tab w:val="left" w:pos="457"/>
              </w:tabs>
              <w:kinsoku w:val="0"/>
              <w:overflowPunct w:val="0"/>
              <w:spacing w:before="131"/>
              <w:ind w:left="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交/竣工验收时间</w:t>
            </w:r>
          </w:p>
        </w:tc>
        <w:tc>
          <w:tcPr>
            <w:tcW w:w="2224" w:type="pct"/>
            <w:gridSpan w:val="3"/>
            <w:tcBorders>
              <w:top w:val="single" w:color="000000" w:sz="4" w:space="0"/>
              <w:left w:val="single" w:color="000000" w:sz="4" w:space="0"/>
              <w:bottom w:val="single" w:color="000000" w:sz="4" w:space="0"/>
              <w:right w:val="single" w:color="000000" w:sz="4" w:space="0"/>
            </w:tcBorders>
            <w:noWrap w:val="0"/>
            <w:vAlign w:val="center"/>
          </w:tcPr>
          <w:p w14:paraId="65B90E4F">
            <w:pPr>
              <w:pStyle w:val="186"/>
              <w:kinsoku w:val="0"/>
              <w:overflowPunct w:val="0"/>
              <w:spacing w:before="131"/>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参加过的类似项目</w:t>
            </w:r>
          </w:p>
        </w:tc>
        <w:tc>
          <w:tcPr>
            <w:tcW w:w="1134" w:type="pct"/>
            <w:gridSpan w:val="3"/>
            <w:tcBorders>
              <w:top w:val="single" w:color="000000" w:sz="4" w:space="0"/>
              <w:left w:val="single" w:color="000000" w:sz="4" w:space="0"/>
              <w:bottom w:val="single" w:color="000000" w:sz="4" w:space="0"/>
              <w:right w:val="single" w:color="000000" w:sz="4" w:space="0"/>
            </w:tcBorders>
            <w:noWrap w:val="0"/>
            <w:vAlign w:val="center"/>
          </w:tcPr>
          <w:p w14:paraId="419EE587">
            <w:pPr>
              <w:pStyle w:val="186"/>
              <w:kinsoku w:val="0"/>
              <w:overflowPunct w:val="0"/>
              <w:spacing w:before="13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担任职务</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4B465F1E">
            <w:pPr>
              <w:pStyle w:val="186"/>
              <w:kinsoku w:val="0"/>
              <w:overflowPunct w:val="0"/>
              <w:spacing w:before="57" w:line="400" w:lineRule="atLeast"/>
              <w:ind w:right="10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发包人及联系电话</w:t>
            </w:r>
          </w:p>
        </w:tc>
      </w:tr>
      <w:tr w14:paraId="29B43D1E">
        <w:tblPrEx>
          <w:tblCellMar>
            <w:top w:w="0" w:type="dxa"/>
            <w:left w:w="0" w:type="dxa"/>
            <w:bottom w:w="0" w:type="dxa"/>
            <w:right w:w="0" w:type="dxa"/>
          </w:tblCellMar>
        </w:tblPrEx>
        <w:trPr>
          <w:trHeight w:val="839" w:hRule="atLeast"/>
          <w:jc w:val="center"/>
        </w:trPr>
        <w:tc>
          <w:tcPr>
            <w:tcW w:w="720" w:type="pct"/>
            <w:tcBorders>
              <w:top w:val="single" w:color="000000" w:sz="4" w:space="0"/>
              <w:left w:val="single" w:color="000000" w:sz="4" w:space="0"/>
              <w:bottom w:val="single" w:color="000000" w:sz="4" w:space="0"/>
              <w:right w:val="single" w:color="000000" w:sz="4" w:space="0"/>
            </w:tcBorders>
            <w:noWrap w:val="0"/>
            <w:vAlign w:val="center"/>
          </w:tcPr>
          <w:p w14:paraId="286E282E">
            <w:pPr>
              <w:widowControl/>
              <w:jc w:val="left"/>
              <w:textAlignment w:val="center"/>
              <w:rPr>
                <w:rFonts w:hint="eastAsia" w:ascii="宋体" w:hAnsi="宋体" w:eastAsia="宋体" w:cs="宋体"/>
                <w:color w:val="auto"/>
                <w:kern w:val="0"/>
                <w:sz w:val="22"/>
                <w:szCs w:val="22"/>
                <w:highlight w:val="none"/>
                <w:lang w:bidi="ar"/>
              </w:rPr>
            </w:pPr>
          </w:p>
        </w:tc>
        <w:tc>
          <w:tcPr>
            <w:tcW w:w="2224" w:type="pct"/>
            <w:gridSpan w:val="3"/>
            <w:tcBorders>
              <w:top w:val="single" w:color="000000" w:sz="4" w:space="0"/>
              <w:left w:val="single" w:color="000000" w:sz="4" w:space="0"/>
              <w:bottom w:val="single" w:color="000000" w:sz="4" w:space="0"/>
              <w:right w:val="single" w:color="000000" w:sz="4" w:space="0"/>
            </w:tcBorders>
            <w:noWrap w:val="0"/>
            <w:vAlign w:val="center"/>
          </w:tcPr>
          <w:p w14:paraId="7BE708CA">
            <w:pPr>
              <w:widowControl/>
              <w:jc w:val="left"/>
              <w:textAlignment w:val="center"/>
              <w:rPr>
                <w:rFonts w:hint="eastAsia" w:ascii="宋体" w:hAnsi="宋体" w:eastAsia="宋体" w:cs="宋体"/>
                <w:color w:val="auto"/>
                <w:sz w:val="20"/>
                <w:highlight w:val="none"/>
              </w:rPr>
            </w:pPr>
          </w:p>
        </w:tc>
        <w:tc>
          <w:tcPr>
            <w:tcW w:w="1134" w:type="pct"/>
            <w:gridSpan w:val="3"/>
            <w:tcBorders>
              <w:top w:val="single" w:color="000000" w:sz="4" w:space="0"/>
              <w:left w:val="single" w:color="000000" w:sz="4" w:space="0"/>
              <w:bottom w:val="single" w:color="000000" w:sz="4" w:space="0"/>
              <w:right w:val="single" w:color="000000" w:sz="4" w:space="0"/>
            </w:tcBorders>
            <w:noWrap w:val="0"/>
            <w:vAlign w:val="center"/>
          </w:tcPr>
          <w:p w14:paraId="2A1FC6DE">
            <w:pPr>
              <w:kinsoku w:val="0"/>
              <w:overflowPunct w:val="0"/>
              <w:jc w:val="center"/>
              <w:rPr>
                <w:rFonts w:hint="eastAsia" w:ascii="宋体" w:hAnsi="宋体" w:eastAsia="宋体" w:cs="宋体"/>
                <w:color w:val="auto"/>
                <w:sz w:val="20"/>
                <w:highlight w:val="none"/>
              </w:rPr>
            </w:pP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2C0785EC">
            <w:pPr>
              <w:pStyle w:val="186"/>
              <w:kinsoku w:val="0"/>
              <w:overflowPunct w:val="0"/>
              <w:jc w:val="center"/>
              <w:rPr>
                <w:rFonts w:hint="eastAsia" w:ascii="宋体" w:hAnsi="宋体" w:eastAsia="宋体" w:cs="宋体"/>
                <w:color w:val="auto"/>
                <w:sz w:val="20"/>
                <w:szCs w:val="20"/>
                <w:highlight w:val="none"/>
              </w:rPr>
            </w:pPr>
          </w:p>
        </w:tc>
      </w:tr>
      <w:tr w14:paraId="1251D64E">
        <w:tblPrEx>
          <w:tblCellMar>
            <w:top w:w="0" w:type="dxa"/>
            <w:left w:w="0" w:type="dxa"/>
            <w:bottom w:w="0" w:type="dxa"/>
            <w:right w:w="0" w:type="dxa"/>
          </w:tblCellMar>
        </w:tblPrEx>
        <w:trPr>
          <w:trHeight w:val="839" w:hRule="atLeast"/>
          <w:jc w:val="center"/>
        </w:trPr>
        <w:tc>
          <w:tcPr>
            <w:tcW w:w="720" w:type="pct"/>
            <w:tcBorders>
              <w:top w:val="single" w:color="000000" w:sz="4" w:space="0"/>
              <w:left w:val="single" w:color="000000" w:sz="4" w:space="0"/>
              <w:bottom w:val="single" w:color="000000" w:sz="4" w:space="0"/>
              <w:right w:val="single" w:color="000000" w:sz="4" w:space="0"/>
            </w:tcBorders>
            <w:noWrap w:val="0"/>
            <w:vAlign w:val="center"/>
          </w:tcPr>
          <w:p w14:paraId="2030C099">
            <w:pPr>
              <w:widowControl/>
              <w:jc w:val="left"/>
              <w:textAlignment w:val="center"/>
              <w:rPr>
                <w:rFonts w:hint="eastAsia" w:ascii="宋体" w:hAnsi="宋体" w:eastAsia="宋体" w:cs="宋体"/>
                <w:color w:val="auto"/>
                <w:kern w:val="0"/>
                <w:sz w:val="22"/>
                <w:szCs w:val="22"/>
                <w:highlight w:val="none"/>
                <w:lang w:bidi="ar"/>
              </w:rPr>
            </w:pPr>
          </w:p>
        </w:tc>
        <w:tc>
          <w:tcPr>
            <w:tcW w:w="2224" w:type="pct"/>
            <w:gridSpan w:val="3"/>
            <w:tcBorders>
              <w:top w:val="single" w:color="000000" w:sz="4" w:space="0"/>
              <w:left w:val="single" w:color="000000" w:sz="4" w:space="0"/>
              <w:bottom w:val="single" w:color="000000" w:sz="4" w:space="0"/>
              <w:right w:val="single" w:color="000000" w:sz="4" w:space="0"/>
            </w:tcBorders>
            <w:noWrap w:val="0"/>
            <w:vAlign w:val="center"/>
          </w:tcPr>
          <w:p w14:paraId="41659582">
            <w:pPr>
              <w:jc w:val="left"/>
              <w:rPr>
                <w:rFonts w:hint="eastAsia" w:ascii="宋体" w:hAnsi="宋体" w:eastAsia="宋体" w:cs="宋体"/>
                <w:color w:val="auto"/>
                <w:sz w:val="20"/>
                <w:highlight w:val="none"/>
              </w:rPr>
            </w:pPr>
          </w:p>
        </w:tc>
        <w:tc>
          <w:tcPr>
            <w:tcW w:w="1134" w:type="pct"/>
            <w:gridSpan w:val="3"/>
            <w:tcBorders>
              <w:top w:val="single" w:color="000000" w:sz="4" w:space="0"/>
              <w:left w:val="single" w:color="000000" w:sz="4" w:space="0"/>
              <w:bottom w:val="single" w:color="000000" w:sz="4" w:space="0"/>
              <w:right w:val="single" w:color="000000" w:sz="4" w:space="0"/>
            </w:tcBorders>
            <w:noWrap w:val="0"/>
            <w:vAlign w:val="center"/>
          </w:tcPr>
          <w:p w14:paraId="712E6C4F">
            <w:pPr>
              <w:kinsoku w:val="0"/>
              <w:overflowPunct w:val="0"/>
              <w:jc w:val="center"/>
              <w:rPr>
                <w:rFonts w:hint="eastAsia" w:ascii="宋体" w:hAnsi="宋体" w:eastAsia="宋体" w:cs="宋体"/>
                <w:color w:val="auto"/>
                <w:sz w:val="20"/>
                <w:highlight w:val="none"/>
                <w:shd w:val="clear" w:color="auto" w:fill="FFFFFF"/>
              </w:rPr>
            </w:pP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5BF5E2EE">
            <w:pPr>
              <w:kinsoku w:val="0"/>
              <w:overflowPunct w:val="0"/>
              <w:jc w:val="center"/>
              <w:rPr>
                <w:rFonts w:hint="eastAsia" w:ascii="宋体" w:hAnsi="宋体" w:eastAsia="宋体" w:cs="宋体"/>
                <w:color w:val="auto"/>
                <w:sz w:val="20"/>
                <w:highlight w:val="none"/>
                <w:shd w:val="clear" w:color="auto" w:fill="FFFFFF"/>
              </w:rPr>
            </w:pPr>
          </w:p>
        </w:tc>
      </w:tr>
      <w:tr w14:paraId="181F3B6A">
        <w:tblPrEx>
          <w:tblCellMar>
            <w:top w:w="0" w:type="dxa"/>
            <w:left w:w="0" w:type="dxa"/>
            <w:bottom w:w="0" w:type="dxa"/>
            <w:right w:w="0" w:type="dxa"/>
          </w:tblCellMar>
        </w:tblPrEx>
        <w:trPr>
          <w:trHeight w:val="839" w:hRule="atLeast"/>
          <w:jc w:val="center"/>
        </w:trPr>
        <w:tc>
          <w:tcPr>
            <w:tcW w:w="720" w:type="pct"/>
            <w:tcBorders>
              <w:top w:val="single" w:color="000000" w:sz="4" w:space="0"/>
              <w:left w:val="single" w:color="000000" w:sz="4" w:space="0"/>
              <w:bottom w:val="single" w:color="000000" w:sz="4" w:space="0"/>
              <w:right w:val="single" w:color="000000" w:sz="4" w:space="0"/>
            </w:tcBorders>
            <w:noWrap w:val="0"/>
            <w:vAlign w:val="center"/>
          </w:tcPr>
          <w:p w14:paraId="67F1EA1D">
            <w:pPr>
              <w:widowControl/>
              <w:jc w:val="left"/>
              <w:textAlignment w:val="center"/>
              <w:rPr>
                <w:rFonts w:hint="eastAsia" w:ascii="宋体" w:hAnsi="宋体" w:eastAsia="宋体" w:cs="宋体"/>
                <w:color w:val="auto"/>
                <w:kern w:val="0"/>
                <w:sz w:val="22"/>
                <w:szCs w:val="22"/>
                <w:highlight w:val="none"/>
                <w:lang w:bidi="ar"/>
              </w:rPr>
            </w:pPr>
          </w:p>
        </w:tc>
        <w:tc>
          <w:tcPr>
            <w:tcW w:w="2224" w:type="pct"/>
            <w:gridSpan w:val="3"/>
            <w:tcBorders>
              <w:top w:val="single" w:color="000000" w:sz="4" w:space="0"/>
              <w:left w:val="single" w:color="000000" w:sz="4" w:space="0"/>
              <w:bottom w:val="single" w:color="000000" w:sz="4" w:space="0"/>
              <w:right w:val="single" w:color="000000" w:sz="4" w:space="0"/>
            </w:tcBorders>
            <w:noWrap w:val="0"/>
            <w:vAlign w:val="center"/>
          </w:tcPr>
          <w:p w14:paraId="77E4F602">
            <w:pPr>
              <w:jc w:val="left"/>
              <w:rPr>
                <w:rFonts w:hint="eastAsia" w:ascii="宋体" w:hAnsi="宋体" w:eastAsia="宋体" w:cs="宋体"/>
                <w:color w:val="auto"/>
                <w:sz w:val="20"/>
                <w:highlight w:val="none"/>
              </w:rPr>
            </w:pPr>
          </w:p>
        </w:tc>
        <w:tc>
          <w:tcPr>
            <w:tcW w:w="1134" w:type="pct"/>
            <w:gridSpan w:val="3"/>
            <w:tcBorders>
              <w:top w:val="single" w:color="000000" w:sz="4" w:space="0"/>
              <w:left w:val="single" w:color="000000" w:sz="4" w:space="0"/>
              <w:bottom w:val="single" w:color="000000" w:sz="4" w:space="0"/>
              <w:right w:val="single" w:color="000000" w:sz="4" w:space="0"/>
            </w:tcBorders>
            <w:noWrap w:val="0"/>
            <w:vAlign w:val="center"/>
          </w:tcPr>
          <w:p w14:paraId="36ED67BD">
            <w:pPr>
              <w:kinsoku w:val="0"/>
              <w:overflowPunct w:val="0"/>
              <w:jc w:val="center"/>
              <w:rPr>
                <w:rFonts w:hint="eastAsia" w:ascii="宋体" w:hAnsi="宋体" w:eastAsia="宋体" w:cs="宋体"/>
                <w:color w:val="auto"/>
                <w:sz w:val="20"/>
                <w:highlight w:val="none"/>
                <w:shd w:val="clear" w:color="auto" w:fill="FFFFFF"/>
              </w:rPr>
            </w:pP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4580F9DC">
            <w:pPr>
              <w:kinsoku w:val="0"/>
              <w:overflowPunct w:val="0"/>
              <w:jc w:val="center"/>
              <w:rPr>
                <w:rFonts w:hint="eastAsia" w:ascii="宋体" w:hAnsi="宋体" w:eastAsia="宋体" w:cs="宋体"/>
                <w:color w:val="auto"/>
                <w:sz w:val="20"/>
                <w:highlight w:val="none"/>
                <w:shd w:val="clear" w:color="auto" w:fill="FFFFFF"/>
              </w:rPr>
            </w:pPr>
          </w:p>
        </w:tc>
      </w:tr>
    </w:tbl>
    <w:p w14:paraId="6E90ABD1">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b/>
          <w:bCs/>
          <w:color w:val="auto"/>
          <w:szCs w:val="21"/>
          <w:highlight w:val="none"/>
        </w:rPr>
        <w:t>注：表</w:t>
      </w:r>
      <w:r>
        <w:rPr>
          <w:rFonts w:hint="eastAsia" w:ascii="宋体" w:hAnsi="宋体" w:eastAsia="宋体" w:cs="宋体"/>
          <w:b/>
          <w:bCs/>
          <w:color w:val="auto"/>
          <w:szCs w:val="21"/>
          <w:highlight w:val="none"/>
          <w:lang w:val="zh-CN"/>
        </w:rPr>
        <w:t>后附人员相关证明材料</w:t>
      </w:r>
    </w:p>
    <w:p w14:paraId="7E25ADD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2111406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4"/>
          <w:highlight w:val="none"/>
        </w:rPr>
        <w:t>附件</w:t>
      </w:r>
      <w:r>
        <w:rPr>
          <w:rFonts w:hint="eastAsia" w:ascii="宋体" w:hAnsi="宋体" w:eastAsia="宋体" w:cs="宋体"/>
          <w:b/>
          <w:color w:val="auto"/>
          <w:sz w:val="24"/>
          <w:highlight w:val="none"/>
          <w:lang w:val="en-US" w:eastAsia="zh-CN"/>
        </w:rPr>
        <w:t>七</w:t>
      </w:r>
      <w:r>
        <w:rPr>
          <w:rFonts w:hint="eastAsia" w:ascii="宋体" w:hAnsi="宋体" w:eastAsia="宋体" w:cs="宋体"/>
          <w:b/>
          <w:color w:val="auto"/>
          <w:sz w:val="24"/>
          <w:highlight w:val="none"/>
        </w:rPr>
        <w:t>、 投标人类似业绩情况表</w:t>
      </w:r>
    </w:p>
    <w:p w14:paraId="30A1361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27519FE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投标人类似业绩情况表</w:t>
      </w:r>
    </w:p>
    <w:tbl>
      <w:tblPr>
        <w:tblStyle w:val="32"/>
        <w:tblW w:w="9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3"/>
        <w:gridCol w:w="1710"/>
        <w:gridCol w:w="1365"/>
        <w:gridCol w:w="1455"/>
        <w:gridCol w:w="1300"/>
        <w:gridCol w:w="1026"/>
        <w:gridCol w:w="1026"/>
        <w:gridCol w:w="1026"/>
      </w:tblGrid>
      <w:tr w14:paraId="1EB72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73" w:type="dxa"/>
            <w:noWrap w:val="0"/>
            <w:vAlign w:val="center"/>
          </w:tcPr>
          <w:p w14:paraId="05372450">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序号</w:t>
            </w:r>
          </w:p>
        </w:tc>
        <w:tc>
          <w:tcPr>
            <w:tcW w:w="1710" w:type="dxa"/>
            <w:noWrap w:val="0"/>
            <w:vAlign w:val="center"/>
          </w:tcPr>
          <w:p w14:paraId="7C4A8677">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项目名称</w:t>
            </w:r>
          </w:p>
        </w:tc>
        <w:tc>
          <w:tcPr>
            <w:tcW w:w="1365" w:type="dxa"/>
            <w:noWrap w:val="0"/>
            <w:vAlign w:val="center"/>
          </w:tcPr>
          <w:p w14:paraId="4D0C7113">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业主单位</w:t>
            </w:r>
          </w:p>
        </w:tc>
        <w:tc>
          <w:tcPr>
            <w:tcW w:w="1455" w:type="dxa"/>
            <w:noWrap w:val="0"/>
            <w:vAlign w:val="center"/>
          </w:tcPr>
          <w:p w14:paraId="6563EF34">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业主联系</w:t>
            </w:r>
          </w:p>
          <w:p w14:paraId="5C83C553">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方式</w:t>
            </w:r>
          </w:p>
        </w:tc>
        <w:tc>
          <w:tcPr>
            <w:tcW w:w="1300" w:type="dxa"/>
            <w:noWrap w:val="0"/>
            <w:vAlign w:val="center"/>
          </w:tcPr>
          <w:p w14:paraId="2CED7D54">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工作主要</w:t>
            </w:r>
          </w:p>
          <w:p w14:paraId="47131253">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内容</w:t>
            </w:r>
          </w:p>
        </w:tc>
        <w:tc>
          <w:tcPr>
            <w:tcW w:w="1026" w:type="dxa"/>
            <w:noWrap w:val="0"/>
            <w:vAlign w:val="center"/>
          </w:tcPr>
          <w:p w14:paraId="1CD110DB">
            <w:pPr>
              <w:autoSpaceDE w:val="0"/>
              <w:autoSpaceDN w:val="0"/>
              <w:adjustRightIn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w:t>
            </w:r>
          </w:p>
          <w:p w14:paraId="166A75FF">
            <w:pPr>
              <w:autoSpaceDE w:val="0"/>
              <w:autoSpaceDN w:val="0"/>
              <w:adjustRightIn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金额</w:t>
            </w:r>
          </w:p>
        </w:tc>
        <w:tc>
          <w:tcPr>
            <w:tcW w:w="1026" w:type="dxa"/>
            <w:noWrap w:val="0"/>
            <w:vAlign w:val="center"/>
          </w:tcPr>
          <w:p w14:paraId="032DC67D">
            <w:pPr>
              <w:autoSpaceDE w:val="0"/>
              <w:autoSpaceDN w:val="0"/>
              <w:adjustRightIn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合同签订时间</w:t>
            </w:r>
          </w:p>
        </w:tc>
        <w:tc>
          <w:tcPr>
            <w:tcW w:w="1026" w:type="dxa"/>
            <w:noWrap w:val="0"/>
            <w:vAlign w:val="center"/>
          </w:tcPr>
          <w:p w14:paraId="0C08847B">
            <w:pPr>
              <w:keepNext w:val="0"/>
              <w:keepLines w:val="0"/>
              <w:pageBreakBefore w:val="0"/>
              <w:widowControl/>
              <w:kinsoku/>
              <w:wordWrap/>
              <w:overflowPunct/>
              <w:topLinePunct w:val="0"/>
              <w:autoSpaceDE w:val="0"/>
              <w:autoSpaceDN w:val="0"/>
              <w:bidi w:val="0"/>
              <w:adjustRightInd w:val="0"/>
              <w:snapToGrid/>
              <w:ind w:left="-105" w:leftChars="-50" w:right="-105" w:rightChars="-50"/>
              <w:jc w:val="center"/>
              <w:textAlignment w:val="auto"/>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交/竣工</w:t>
            </w:r>
            <w:r>
              <w:rPr>
                <w:rFonts w:hint="eastAsia" w:ascii="宋体" w:hAnsi="宋体" w:eastAsia="宋体" w:cs="宋体"/>
                <w:b/>
                <w:color w:val="auto"/>
                <w:szCs w:val="21"/>
                <w:highlight w:val="none"/>
                <w:lang w:val="en-US" w:eastAsia="zh-CN"/>
              </w:rPr>
              <w:t>验收</w:t>
            </w:r>
            <w:r>
              <w:rPr>
                <w:rFonts w:hint="eastAsia" w:ascii="宋体" w:hAnsi="宋体" w:eastAsia="宋体" w:cs="宋体"/>
                <w:b/>
                <w:color w:val="auto"/>
                <w:szCs w:val="21"/>
                <w:highlight w:val="none"/>
              </w:rPr>
              <w:t>时间</w:t>
            </w:r>
          </w:p>
        </w:tc>
      </w:tr>
      <w:tr w14:paraId="3B08A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73" w:type="dxa"/>
            <w:noWrap w:val="0"/>
            <w:vAlign w:val="top"/>
          </w:tcPr>
          <w:p w14:paraId="5588C0E2">
            <w:pPr>
              <w:autoSpaceDE w:val="0"/>
              <w:autoSpaceDN w:val="0"/>
              <w:adjustRightInd w:val="0"/>
              <w:rPr>
                <w:rFonts w:hint="eastAsia" w:ascii="宋体" w:hAnsi="宋体" w:eastAsia="宋体" w:cs="宋体"/>
                <w:color w:val="auto"/>
                <w:szCs w:val="21"/>
                <w:highlight w:val="none"/>
                <w:lang w:val="zh-CN"/>
              </w:rPr>
            </w:pPr>
          </w:p>
        </w:tc>
        <w:tc>
          <w:tcPr>
            <w:tcW w:w="1710" w:type="dxa"/>
            <w:noWrap w:val="0"/>
            <w:vAlign w:val="top"/>
          </w:tcPr>
          <w:p w14:paraId="3DE07769">
            <w:pPr>
              <w:autoSpaceDE w:val="0"/>
              <w:autoSpaceDN w:val="0"/>
              <w:adjustRightInd w:val="0"/>
              <w:rPr>
                <w:rFonts w:hint="eastAsia" w:ascii="宋体" w:hAnsi="宋体" w:eastAsia="宋体" w:cs="宋体"/>
                <w:color w:val="auto"/>
                <w:szCs w:val="21"/>
                <w:highlight w:val="none"/>
                <w:lang w:val="zh-CN"/>
              </w:rPr>
            </w:pPr>
          </w:p>
        </w:tc>
        <w:tc>
          <w:tcPr>
            <w:tcW w:w="1365" w:type="dxa"/>
            <w:noWrap w:val="0"/>
            <w:vAlign w:val="top"/>
          </w:tcPr>
          <w:p w14:paraId="3192429E">
            <w:pPr>
              <w:autoSpaceDE w:val="0"/>
              <w:autoSpaceDN w:val="0"/>
              <w:adjustRightInd w:val="0"/>
              <w:rPr>
                <w:rFonts w:hint="eastAsia" w:ascii="宋体" w:hAnsi="宋体" w:eastAsia="宋体" w:cs="宋体"/>
                <w:color w:val="auto"/>
                <w:szCs w:val="21"/>
                <w:highlight w:val="none"/>
                <w:lang w:val="zh-CN"/>
              </w:rPr>
            </w:pPr>
          </w:p>
        </w:tc>
        <w:tc>
          <w:tcPr>
            <w:tcW w:w="1455" w:type="dxa"/>
            <w:noWrap w:val="0"/>
            <w:vAlign w:val="top"/>
          </w:tcPr>
          <w:p w14:paraId="4FA10D5C">
            <w:pPr>
              <w:autoSpaceDE w:val="0"/>
              <w:autoSpaceDN w:val="0"/>
              <w:adjustRightInd w:val="0"/>
              <w:rPr>
                <w:rFonts w:hint="eastAsia" w:ascii="宋体" w:hAnsi="宋体" w:eastAsia="宋体" w:cs="宋体"/>
                <w:color w:val="auto"/>
                <w:szCs w:val="21"/>
                <w:highlight w:val="none"/>
                <w:lang w:val="zh-CN"/>
              </w:rPr>
            </w:pPr>
          </w:p>
        </w:tc>
        <w:tc>
          <w:tcPr>
            <w:tcW w:w="1300" w:type="dxa"/>
            <w:noWrap w:val="0"/>
            <w:vAlign w:val="top"/>
          </w:tcPr>
          <w:p w14:paraId="31D7C89D">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39BB6ED1">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5216396E">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4FC8F64E">
            <w:pPr>
              <w:autoSpaceDE w:val="0"/>
              <w:autoSpaceDN w:val="0"/>
              <w:adjustRightInd w:val="0"/>
              <w:rPr>
                <w:rFonts w:hint="eastAsia" w:ascii="宋体" w:hAnsi="宋体" w:eastAsia="宋体" w:cs="宋体"/>
                <w:color w:val="auto"/>
                <w:szCs w:val="21"/>
                <w:highlight w:val="none"/>
                <w:lang w:val="zh-CN"/>
              </w:rPr>
            </w:pPr>
          </w:p>
        </w:tc>
      </w:tr>
      <w:tr w14:paraId="057D1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73" w:type="dxa"/>
            <w:noWrap w:val="0"/>
            <w:vAlign w:val="top"/>
          </w:tcPr>
          <w:p w14:paraId="4125C51D">
            <w:pPr>
              <w:autoSpaceDE w:val="0"/>
              <w:autoSpaceDN w:val="0"/>
              <w:adjustRightInd w:val="0"/>
              <w:rPr>
                <w:rFonts w:hint="eastAsia" w:ascii="宋体" w:hAnsi="宋体" w:eastAsia="宋体" w:cs="宋体"/>
                <w:color w:val="auto"/>
                <w:szCs w:val="21"/>
                <w:highlight w:val="none"/>
                <w:lang w:val="zh-CN"/>
              </w:rPr>
            </w:pPr>
          </w:p>
        </w:tc>
        <w:tc>
          <w:tcPr>
            <w:tcW w:w="1710" w:type="dxa"/>
            <w:noWrap w:val="0"/>
            <w:vAlign w:val="top"/>
          </w:tcPr>
          <w:p w14:paraId="35E8CCD4">
            <w:pPr>
              <w:autoSpaceDE w:val="0"/>
              <w:autoSpaceDN w:val="0"/>
              <w:adjustRightInd w:val="0"/>
              <w:rPr>
                <w:rFonts w:hint="eastAsia" w:ascii="宋体" w:hAnsi="宋体" w:eastAsia="宋体" w:cs="宋体"/>
                <w:color w:val="auto"/>
                <w:szCs w:val="21"/>
                <w:highlight w:val="none"/>
                <w:lang w:val="zh-CN"/>
              </w:rPr>
            </w:pPr>
          </w:p>
        </w:tc>
        <w:tc>
          <w:tcPr>
            <w:tcW w:w="1365" w:type="dxa"/>
            <w:noWrap w:val="0"/>
            <w:vAlign w:val="top"/>
          </w:tcPr>
          <w:p w14:paraId="01FDF2BA">
            <w:pPr>
              <w:autoSpaceDE w:val="0"/>
              <w:autoSpaceDN w:val="0"/>
              <w:adjustRightInd w:val="0"/>
              <w:rPr>
                <w:rFonts w:hint="eastAsia" w:ascii="宋体" w:hAnsi="宋体" w:eastAsia="宋体" w:cs="宋体"/>
                <w:color w:val="auto"/>
                <w:szCs w:val="21"/>
                <w:highlight w:val="none"/>
                <w:lang w:val="zh-CN"/>
              </w:rPr>
            </w:pPr>
          </w:p>
        </w:tc>
        <w:tc>
          <w:tcPr>
            <w:tcW w:w="1455" w:type="dxa"/>
            <w:noWrap w:val="0"/>
            <w:vAlign w:val="top"/>
          </w:tcPr>
          <w:p w14:paraId="3CBF8D42">
            <w:pPr>
              <w:autoSpaceDE w:val="0"/>
              <w:autoSpaceDN w:val="0"/>
              <w:adjustRightInd w:val="0"/>
              <w:rPr>
                <w:rFonts w:hint="eastAsia" w:ascii="宋体" w:hAnsi="宋体" w:eastAsia="宋体" w:cs="宋体"/>
                <w:color w:val="auto"/>
                <w:szCs w:val="21"/>
                <w:highlight w:val="none"/>
                <w:lang w:val="zh-CN"/>
              </w:rPr>
            </w:pPr>
          </w:p>
        </w:tc>
        <w:tc>
          <w:tcPr>
            <w:tcW w:w="1300" w:type="dxa"/>
            <w:noWrap w:val="0"/>
            <w:vAlign w:val="top"/>
          </w:tcPr>
          <w:p w14:paraId="0E0321B8">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427EEE5A">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754A922C">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07F1F043">
            <w:pPr>
              <w:autoSpaceDE w:val="0"/>
              <w:autoSpaceDN w:val="0"/>
              <w:adjustRightInd w:val="0"/>
              <w:rPr>
                <w:rFonts w:hint="eastAsia" w:ascii="宋体" w:hAnsi="宋体" w:eastAsia="宋体" w:cs="宋体"/>
                <w:color w:val="auto"/>
                <w:szCs w:val="21"/>
                <w:highlight w:val="none"/>
                <w:lang w:val="zh-CN"/>
              </w:rPr>
            </w:pPr>
          </w:p>
        </w:tc>
      </w:tr>
      <w:tr w14:paraId="443DE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73" w:type="dxa"/>
            <w:noWrap w:val="0"/>
            <w:vAlign w:val="top"/>
          </w:tcPr>
          <w:p w14:paraId="45A5FC84">
            <w:pPr>
              <w:autoSpaceDE w:val="0"/>
              <w:autoSpaceDN w:val="0"/>
              <w:adjustRightInd w:val="0"/>
              <w:rPr>
                <w:rFonts w:hint="eastAsia" w:ascii="宋体" w:hAnsi="宋体" w:eastAsia="宋体" w:cs="宋体"/>
                <w:color w:val="auto"/>
                <w:szCs w:val="21"/>
                <w:highlight w:val="none"/>
                <w:lang w:val="zh-CN"/>
              </w:rPr>
            </w:pPr>
          </w:p>
        </w:tc>
        <w:tc>
          <w:tcPr>
            <w:tcW w:w="1710" w:type="dxa"/>
            <w:noWrap w:val="0"/>
            <w:vAlign w:val="top"/>
          </w:tcPr>
          <w:p w14:paraId="15F40DA8">
            <w:pPr>
              <w:autoSpaceDE w:val="0"/>
              <w:autoSpaceDN w:val="0"/>
              <w:adjustRightInd w:val="0"/>
              <w:rPr>
                <w:rFonts w:hint="eastAsia" w:ascii="宋体" w:hAnsi="宋体" w:eastAsia="宋体" w:cs="宋体"/>
                <w:color w:val="auto"/>
                <w:szCs w:val="21"/>
                <w:highlight w:val="none"/>
                <w:lang w:val="zh-CN"/>
              </w:rPr>
            </w:pPr>
          </w:p>
        </w:tc>
        <w:tc>
          <w:tcPr>
            <w:tcW w:w="1365" w:type="dxa"/>
            <w:noWrap w:val="0"/>
            <w:vAlign w:val="top"/>
          </w:tcPr>
          <w:p w14:paraId="228B1379">
            <w:pPr>
              <w:autoSpaceDE w:val="0"/>
              <w:autoSpaceDN w:val="0"/>
              <w:adjustRightInd w:val="0"/>
              <w:rPr>
                <w:rFonts w:hint="eastAsia" w:ascii="宋体" w:hAnsi="宋体" w:eastAsia="宋体" w:cs="宋体"/>
                <w:color w:val="auto"/>
                <w:szCs w:val="21"/>
                <w:highlight w:val="none"/>
                <w:lang w:val="zh-CN"/>
              </w:rPr>
            </w:pPr>
          </w:p>
        </w:tc>
        <w:tc>
          <w:tcPr>
            <w:tcW w:w="1455" w:type="dxa"/>
            <w:noWrap w:val="0"/>
            <w:vAlign w:val="top"/>
          </w:tcPr>
          <w:p w14:paraId="5FE54871">
            <w:pPr>
              <w:autoSpaceDE w:val="0"/>
              <w:autoSpaceDN w:val="0"/>
              <w:adjustRightInd w:val="0"/>
              <w:rPr>
                <w:rFonts w:hint="eastAsia" w:ascii="宋体" w:hAnsi="宋体" w:eastAsia="宋体" w:cs="宋体"/>
                <w:color w:val="auto"/>
                <w:szCs w:val="21"/>
                <w:highlight w:val="none"/>
                <w:lang w:val="zh-CN"/>
              </w:rPr>
            </w:pPr>
          </w:p>
        </w:tc>
        <w:tc>
          <w:tcPr>
            <w:tcW w:w="1300" w:type="dxa"/>
            <w:noWrap w:val="0"/>
            <w:vAlign w:val="top"/>
          </w:tcPr>
          <w:p w14:paraId="66E4F220">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1A17F574">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0762F622">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29A5ED3E">
            <w:pPr>
              <w:autoSpaceDE w:val="0"/>
              <w:autoSpaceDN w:val="0"/>
              <w:adjustRightInd w:val="0"/>
              <w:rPr>
                <w:rFonts w:hint="eastAsia" w:ascii="宋体" w:hAnsi="宋体" w:eastAsia="宋体" w:cs="宋体"/>
                <w:color w:val="auto"/>
                <w:szCs w:val="21"/>
                <w:highlight w:val="none"/>
                <w:lang w:val="zh-CN"/>
              </w:rPr>
            </w:pPr>
          </w:p>
        </w:tc>
      </w:tr>
      <w:tr w14:paraId="21E8B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73" w:type="dxa"/>
            <w:noWrap w:val="0"/>
            <w:vAlign w:val="top"/>
          </w:tcPr>
          <w:p w14:paraId="389E6B12">
            <w:pPr>
              <w:autoSpaceDE w:val="0"/>
              <w:autoSpaceDN w:val="0"/>
              <w:adjustRightInd w:val="0"/>
              <w:rPr>
                <w:rFonts w:hint="eastAsia" w:ascii="宋体" w:hAnsi="宋体" w:eastAsia="宋体" w:cs="宋体"/>
                <w:color w:val="auto"/>
                <w:szCs w:val="21"/>
                <w:highlight w:val="none"/>
                <w:lang w:val="zh-CN"/>
              </w:rPr>
            </w:pPr>
          </w:p>
        </w:tc>
        <w:tc>
          <w:tcPr>
            <w:tcW w:w="1710" w:type="dxa"/>
            <w:noWrap w:val="0"/>
            <w:vAlign w:val="top"/>
          </w:tcPr>
          <w:p w14:paraId="19EEFFAC">
            <w:pPr>
              <w:autoSpaceDE w:val="0"/>
              <w:autoSpaceDN w:val="0"/>
              <w:adjustRightInd w:val="0"/>
              <w:rPr>
                <w:rFonts w:hint="eastAsia" w:ascii="宋体" w:hAnsi="宋体" w:eastAsia="宋体" w:cs="宋体"/>
                <w:color w:val="auto"/>
                <w:szCs w:val="21"/>
                <w:highlight w:val="none"/>
                <w:lang w:val="zh-CN"/>
              </w:rPr>
            </w:pPr>
          </w:p>
        </w:tc>
        <w:tc>
          <w:tcPr>
            <w:tcW w:w="1365" w:type="dxa"/>
            <w:noWrap w:val="0"/>
            <w:vAlign w:val="top"/>
          </w:tcPr>
          <w:p w14:paraId="2FC53905">
            <w:pPr>
              <w:autoSpaceDE w:val="0"/>
              <w:autoSpaceDN w:val="0"/>
              <w:adjustRightInd w:val="0"/>
              <w:rPr>
                <w:rFonts w:hint="eastAsia" w:ascii="宋体" w:hAnsi="宋体" w:eastAsia="宋体" w:cs="宋体"/>
                <w:color w:val="auto"/>
                <w:szCs w:val="21"/>
                <w:highlight w:val="none"/>
                <w:lang w:val="zh-CN"/>
              </w:rPr>
            </w:pPr>
          </w:p>
        </w:tc>
        <w:tc>
          <w:tcPr>
            <w:tcW w:w="1455" w:type="dxa"/>
            <w:noWrap w:val="0"/>
            <w:vAlign w:val="top"/>
          </w:tcPr>
          <w:p w14:paraId="22B7E54F">
            <w:pPr>
              <w:autoSpaceDE w:val="0"/>
              <w:autoSpaceDN w:val="0"/>
              <w:adjustRightInd w:val="0"/>
              <w:rPr>
                <w:rFonts w:hint="eastAsia" w:ascii="宋体" w:hAnsi="宋体" w:eastAsia="宋体" w:cs="宋体"/>
                <w:color w:val="auto"/>
                <w:szCs w:val="21"/>
                <w:highlight w:val="none"/>
                <w:lang w:val="zh-CN"/>
              </w:rPr>
            </w:pPr>
          </w:p>
        </w:tc>
        <w:tc>
          <w:tcPr>
            <w:tcW w:w="1300" w:type="dxa"/>
            <w:noWrap w:val="0"/>
            <w:vAlign w:val="top"/>
          </w:tcPr>
          <w:p w14:paraId="0FA3854E">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6F06D6C1">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735792C3">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16E388CB">
            <w:pPr>
              <w:autoSpaceDE w:val="0"/>
              <w:autoSpaceDN w:val="0"/>
              <w:adjustRightInd w:val="0"/>
              <w:rPr>
                <w:rFonts w:hint="eastAsia" w:ascii="宋体" w:hAnsi="宋体" w:eastAsia="宋体" w:cs="宋体"/>
                <w:color w:val="auto"/>
                <w:szCs w:val="21"/>
                <w:highlight w:val="none"/>
                <w:lang w:val="zh-CN"/>
              </w:rPr>
            </w:pPr>
          </w:p>
        </w:tc>
      </w:tr>
      <w:tr w14:paraId="4F997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73" w:type="dxa"/>
            <w:noWrap w:val="0"/>
            <w:vAlign w:val="top"/>
          </w:tcPr>
          <w:p w14:paraId="566E7ED9">
            <w:pPr>
              <w:autoSpaceDE w:val="0"/>
              <w:autoSpaceDN w:val="0"/>
              <w:adjustRightInd w:val="0"/>
              <w:rPr>
                <w:rFonts w:hint="eastAsia" w:ascii="宋体" w:hAnsi="宋体" w:eastAsia="宋体" w:cs="宋体"/>
                <w:color w:val="auto"/>
                <w:szCs w:val="21"/>
                <w:highlight w:val="none"/>
                <w:lang w:val="zh-CN"/>
              </w:rPr>
            </w:pPr>
          </w:p>
        </w:tc>
        <w:tc>
          <w:tcPr>
            <w:tcW w:w="1710" w:type="dxa"/>
            <w:noWrap w:val="0"/>
            <w:vAlign w:val="top"/>
          </w:tcPr>
          <w:p w14:paraId="761C5169">
            <w:pPr>
              <w:autoSpaceDE w:val="0"/>
              <w:autoSpaceDN w:val="0"/>
              <w:adjustRightInd w:val="0"/>
              <w:rPr>
                <w:rFonts w:hint="eastAsia" w:ascii="宋体" w:hAnsi="宋体" w:eastAsia="宋体" w:cs="宋体"/>
                <w:color w:val="auto"/>
                <w:szCs w:val="21"/>
                <w:highlight w:val="none"/>
                <w:lang w:val="zh-CN"/>
              </w:rPr>
            </w:pPr>
          </w:p>
        </w:tc>
        <w:tc>
          <w:tcPr>
            <w:tcW w:w="1365" w:type="dxa"/>
            <w:noWrap w:val="0"/>
            <w:vAlign w:val="top"/>
          </w:tcPr>
          <w:p w14:paraId="5F08EDC7">
            <w:pPr>
              <w:autoSpaceDE w:val="0"/>
              <w:autoSpaceDN w:val="0"/>
              <w:adjustRightInd w:val="0"/>
              <w:rPr>
                <w:rFonts w:hint="eastAsia" w:ascii="宋体" w:hAnsi="宋体" w:eastAsia="宋体" w:cs="宋体"/>
                <w:color w:val="auto"/>
                <w:szCs w:val="21"/>
                <w:highlight w:val="none"/>
                <w:lang w:val="zh-CN"/>
              </w:rPr>
            </w:pPr>
          </w:p>
        </w:tc>
        <w:tc>
          <w:tcPr>
            <w:tcW w:w="1455" w:type="dxa"/>
            <w:noWrap w:val="0"/>
            <w:vAlign w:val="top"/>
          </w:tcPr>
          <w:p w14:paraId="197C3BE6">
            <w:pPr>
              <w:autoSpaceDE w:val="0"/>
              <w:autoSpaceDN w:val="0"/>
              <w:adjustRightInd w:val="0"/>
              <w:rPr>
                <w:rFonts w:hint="eastAsia" w:ascii="宋体" w:hAnsi="宋体" w:eastAsia="宋体" w:cs="宋体"/>
                <w:color w:val="auto"/>
                <w:szCs w:val="21"/>
                <w:highlight w:val="none"/>
                <w:lang w:val="zh-CN"/>
              </w:rPr>
            </w:pPr>
          </w:p>
        </w:tc>
        <w:tc>
          <w:tcPr>
            <w:tcW w:w="1300" w:type="dxa"/>
            <w:noWrap w:val="0"/>
            <w:vAlign w:val="top"/>
          </w:tcPr>
          <w:p w14:paraId="072FE267">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317FD82C">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6A24F132">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12772338">
            <w:pPr>
              <w:autoSpaceDE w:val="0"/>
              <w:autoSpaceDN w:val="0"/>
              <w:adjustRightInd w:val="0"/>
              <w:rPr>
                <w:rFonts w:hint="eastAsia" w:ascii="宋体" w:hAnsi="宋体" w:eastAsia="宋体" w:cs="宋体"/>
                <w:color w:val="auto"/>
                <w:szCs w:val="21"/>
                <w:highlight w:val="none"/>
                <w:lang w:val="zh-CN"/>
              </w:rPr>
            </w:pPr>
          </w:p>
        </w:tc>
      </w:tr>
    </w:tbl>
    <w:p w14:paraId="46A6D0F9">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sz w:val="21"/>
          <w:highlight w:val="none"/>
        </w:rPr>
      </w:pPr>
    </w:p>
    <w:p w14:paraId="485AE0AE">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投标单位（加盖电子公章）：</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 </w:t>
      </w:r>
    </w:p>
    <w:p w14:paraId="5D5C870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69E4766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42A03F1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3931682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2AE7E4E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附件</w:t>
      </w:r>
      <w:r>
        <w:rPr>
          <w:rFonts w:hint="eastAsia" w:ascii="宋体" w:hAnsi="宋体" w:eastAsia="宋体" w:cs="宋体"/>
          <w:b/>
          <w:color w:val="auto"/>
          <w:sz w:val="21"/>
          <w:highlight w:val="none"/>
          <w:lang w:val="en-US" w:eastAsia="zh-CN"/>
        </w:rPr>
        <w:t>八</w:t>
      </w:r>
      <w:r>
        <w:rPr>
          <w:rFonts w:hint="eastAsia" w:ascii="宋体" w:hAnsi="宋体" w:eastAsia="宋体" w:cs="宋体"/>
          <w:b/>
          <w:color w:val="auto"/>
          <w:sz w:val="21"/>
          <w:highlight w:val="none"/>
        </w:rPr>
        <w:t>：企业声明函格式</w:t>
      </w:r>
    </w:p>
    <w:p w14:paraId="14A3B775">
      <w:pPr>
        <w:pBdr>
          <w:top w:val="none" w:color="000000" w:sz="0" w:space="0"/>
          <w:left w:val="none" w:color="000000" w:sz="0" w:space="0"/>
          <w:bottom w:val="none" w:color="000000" w:sz="0" w:space="0"/>
          <w:right w:val="none" w:color="000000" w:sz="0" w:space="0"/>
        </w:pBdr>
        <w:shd w:val="clear" w:color="FFFFFF" w:fill="FFFFFF"/>
        <w:spacing w:before="312" w:after="20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6"/>
          <w:highlight w:val="none"/>
          <w:u w:val="none"/>
        </w:rPr>
        <w:t>中小企业声明函（工程、服务）</w:t>
      </w:r>
    </w:p>
    <w:p w14:paraId="29576B20">
      <w:pPr>
        <w:pBdr>
          <w:top w:val="none" w:color="000000" w:sz="0" w:space="0"/>
          <w:left w:val="none" w:color="000000" w:sz="0" w:space="0"/>
          <w:bottom w:val="none" w:color="000000" w:sz="0" w:space="0"/>
          <w:right w:val="none" w:color="000000" w:sz="0" w:space="0"/>
        </w:pBdr>
        <w:shd w:val="clear" w:color="FFFFFF" w:fill="FFFFFF"/>
        <w:spacing w:before="0" w:after="20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39085983">
      <w:pPr>
        <w:pBdr>
          <w:top w:val="none" w:color="000000" w:sz="0" w:space="0"/>
          <w:left w:val="none" w:color="000000" w:sz="0" w:space="0"/>
          <w:bottom w:val="none" w:color="000000" w:sz="0" w:space="0"/>
          <w:right w:val="none" w:color="000000" w:sz="0" w:space="0"/>
        </w:pBdr>
        <w:shd w:val="clear" w:color="FFFFFF" w:fill="FFFFFF"/>
        <w:spacing w:before="0" w:after="200" w:line="85"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DC68962">
      <w:pPr>
        <w:pBdr>
          <w:top w:val="none" w:color="000000" w:sz="0" w:space="0"/>
          <w:left w:val="none" w:color="000000" w:sz="0" w:space="0"/>
          <w:bottom w:val="none" w:color="000000" w:sz="0" w:space="0"/>
          <w:right w:val="none" w:color="000000" w:sz="0" w:space="0"/>
        </w:pBdr>
        <w:shd w:val="clear" w:color="FFFFFF" w:fill="FFFFFF"/>
        <w:spacing w:before="0" w:after="200" w:line="85"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1. （</w:t>
      </w:r>
      <w:r>
        <w:rPr>
          <w:rFonts w:hint="eastAsia" w:ascii="宋体" w:hAnsi="宋体" w:eastAsia="宋体" w:cs="宋体"/>
          <w:color w:val="auto"/>
          <w:sz w:val="21"/>
          <w:highlight w:val="none"/>
          <w:u w:val="single"/>
        </w:rPr>
        <w:t>标的名称</w:t>
      </w:r>
      <w:r>
        <w:rPr>
          <w:rFonts w:hint="eastAsia" w:ascii="宋体" w:hAnsi="宋体" w:eastAsia="宋体" w:cs="宋体"/>
          <w:color w:val="auto"/>
          <w:sz w:val="21"/>
          <w:highlight w:val="none"/>
        </w:rPr>
        <w:t>），属于（</w:t>
      </w:r>
      <w:r>
        <w:rPr>
          <w:rFonts w:hint="eastAsia" w:ascii="宋体" w:hAnsi="宋体" w:eastAsia="宋体" w:cs="宋体"/>
          <w:color w:val="auto"/>
          <w:sz w:val="21"/>
          <w:highlight w:val="none"/>
          <w:u w:val="single"/>
        </w:rPr>
        <w:t>采购文件中明确的所属行业</w:t>
      </w:r>
      <w:r>
        <w:rPr>
          <w:rFonts w:hint="eastAsia" w:ascii="宋体" w:hAnsi="宋体" w:eastAsia="宋体" w:cs="宋体"/>
          <w:color w:val="auto"/>
          <w:sz w:val="21"/>
          <w:highlight w:val="none"/>
        </w:rPr>
        <w:t>）；承建（承接）企业为（</w:t>
      </w:r>
      <w:r>
        <w:rPr>
          <w:rFonts w:hint="eastAsia" w:ascii="宋体" w:hAnsi="宋体" w:eastAsia="宋体" w:cs="宋体"/>
          <w:color w:val="auto"/>
          <w:sz w:val="21"/>
          <w:highlight w:val="none"/>
          <w:u w:val="single"/>
        </w:rPr>
        <w:t>企业名称</w:t>
      </w:r>
      <w:r>
        <w:rPr>
          <w:rFonts w:hint="eastAsia" w:ascii="宋体" w:hAnsi="宋体" w:eastAsia="宋体" w:cs="宋体"/>
          <w:color w:val="auto"/>
          <w:sz w:val="21"/>
          <w:highlight w:val="none"/>
        </w:rPr>
        <w:t>），从业人员</w:t>
      </w:r>
      <w:r>
        <w:rPr>
          <w:rFonts w:hint="eastAsia" w:ascii="宋体" w:hAnsi="宋体" w:eastAsia="宋体" w:cs="宋体"/>
          <w:color w:val="auto"/>
          <w:sz w:val="21"/>
          <w:highlight w:val="none"/>
          <w:u w:val="single"/>
        </w:rPr>
        <w:tab/>
      </w:r>
      <w:r>
        <w:rPr>
          <w:rFonts w:hint="eastAsia" w:ascii="宋体" w:hAnsi="宋体" w:eastAsia="宋体" w:cs="宋体"/>
          <w:color w:val="auto"/>
          <w:sz w:val="21"/>
          <w:highlight w:val="none"/>
        </w:rPr>
        <w:t>人，营业收入为</w:t>
      </w:r>
      <w:r>
        <w:rPr>
          <w:rFonts w:hint="eastAsia" w:ascii="宋体" w:hAnsi="宋体" w:eastAsia="宋体" w:cs="宋体"/>
          <w:color w:val="auto"/>
          <w:sz w:val="21"/>
          <w:highlight w:val="none"/>
          <w:u w:val="single"/>
        </w:rPr>
        <w:tab/>
      </w:r>
      <w:r>
        <w:rPr>
          <w:rFonts w:hint="eastAsia" w:ascii="宋体" w:hAnsi="宋体" w:eastAsia="宋体" w:cs="宋体"/>
          <w:color w:val="auto"/>
          <w:sz w:val="21"/>
          <w:highlight w:val="none"/>
        </w:rPr>
        <w:t>万元，资产总额为</w:t>
      </w:r>
      <w:r>
        <w:rPr>
          <w:rFonts w:hint="eastAsia" w:ascii="宋体" w:hAnsi="宋体" w:eastAsia="宋体" w:cs="宋体"/>
          <w:color w:val="auto"/>
          <w:sz w:val="21"/>
          <w:highlight w:val="none"/>
          <w:u w:val="single"/>
        </w:rPr>
        <w:tab/>
      </w:r>
      <w:r>
        <w:rPr>
          <w:rFonts w:hint="eastAsia" w:ascii="宋体" w:hAnsi="宋体" w:eastAsia="宋体" w:cs="宋体"/>
          <w:color w:val="auto"/>
          <w:sz w:val="21"/>
          <w:highlight w:val="none"/>
        </w:rPr>
        <w:t>万元</w:t>
      </w:r>
      <w:r>
        <w:rPr>
          <w:rFonts w:hint="eastAsia" w:ascii="宋体" w:hAnsi="宋体" w:eastAsia="宋体" w:cs="宋体"/>
          <w:color w:val="auto"/>
          <w:sz w:val="21"/>
          <w:highlight w:val="none"/>
          <w:vertAlign w:val="superscript"/>
        </w:rPr>
        <w:t>1</w:t>
      </w:r>
      <w:r>
        <w:rPr>
          <w:rFonts w:hint="eastAsia" w:ascii="宋体" w:hAnsi="宋体" w:eastAsia="宋体" w:cs="宋体"/>
          <w:color w:val="auto"/>
          <w:sz w:val="21"/>
          <w:highlight w:val="none"/>
        </w:rPr>
        <w:t>，属于（</w:t>
      </w:r>
      <w:r>
        <w:rPr>
          <w:rFonts w:hint="eastAsia" w:ascii="宋体" w:hAnsi="宋体" w:eastAsia="宋体" w:cs="宋体"/>
          <w:color w:val="auto"/>
          <w:sz w:val="21"/>
          <w:highlight w:val="none"/>
          <w:u w:val="single"/>
        </w:rPr>
        <w:t>中型企业、小型企业、微型企业</w:t>
      </w:r>
      <w:r>
        <w:rPr>
          <w:rFonts w:hint="eastAsia" w:ascii="宋体" w:hAnsi="宋体" w:eastAsia="宋体" w:cs="宋体"/>
          <w:color w:val="auto"/>
          <w:sz w:val="21"/>
          <w:highlight w:val="none"/>
        </w:rPr>
        <w:t>）；</w:t>
      </w:r>
    </w:p>
    <w:p w14:paraId="1F1C0C54">
      <w:pPr>
        <w:pBdr>
          <w:top w:val="none" w:color="000000" w:sz="0" w:space="0"/>
          <w:left w:val="none" w:color="000000" w:sz="0" w:space="0"/>
          <w:bottom w:val="none" w:color="000000" w:sz="0" w:space="0"/>
          <w:right w:val="none" w:color="000000" w:sz="0" w:space="0"/>
        </w:pBdr>
        <w:shd w:val="clear" w:color="FFFFFF" w:fill="FFFFFF"/>
        <w:spacing w:before="0" w:after="200" w:line="85"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2. （</w:t>
      </w:r>
      <w:r>
        <w:rPr>
          <w:rFonts w:hint="eastAsia" w:ascii="宋体" w:hAnsi="宋体" w:eastAsia="宋体" w:cs="宋体"/>
          <w:color w:val="auto"/>
          <w:sz w:val="21"/>
          <w:highlight w:val="none"/>
          <w:u w:val="single"/>
        </w:rPr>
        <w:t>标的名称</w:t>
      </w:r>
      <w:r>
        <w:rPr>
          <w:rFonts w:hint="eastAsia" w:ascii="宋体" w:hAnsi="宋体" w:eastAsia="宋体" w:cs="宋体"/>
          <w:color w:val="auto"/>
          <w:sz w:val="21"/>
          <w:highlight w:val="none"/>
        </w:rPr>
        <w:t>），属于（</w:t>
      </w:r>
      <w:r>
        <w:rPr>
          <w:rFonts w:hint="eastAsia" w:ascii="宋体" w:hAnsi="宋体" w:eastAsia="宋体" w:cs="宋体"/>
          <w:color w:val="auto"/>
          <w:sz w:val="21"/>
          <w:highlight w:val="none"/>
          <w:u w:val="single"/>
        </w:rPr>
        <w:t>采购文件中明确的所属行业</w:t>
      </w:r>
      <w:r>
        <w:rPr>
          <w:rFonts w:hint="eastAsia" w:ascii="宋体" w:hAnsi="宋体" w:eastAsia="宋体" w:cs="宋体"/>
          <w:color w:val="auto"/>
          <w:sz w:val="21"/>
          <w:highlight w:val="none"/>
        </w:rPr>
        <w:t>）；承建（承接）企业为（</w:t>
      </w:r>
      <w:r>
        <w:rPr>
          <w:rFonts w:hint="eastAsia" w:ascii="宋体" w:hAnsi="宋体" w:eastAsia="宋体" w:cs="宋体"/>
          <w:color w:val="auto"/>
          <w:sz w:val="21"/>
          <w:highlight w:val="none"/>
          <w:u w:val="single"/>
        </w:rPr>
        <w:t>企业名称</w:t>
      </w:r>
      <w:r>
        <w:rPr>
          <w:rFonts w:hint="eastAsia" w:ascii="宋体" w:hAnsi="宋体" w:eastAsia="宋体" w:cs="宋体"/>
          <w:color w:val="auto"/>
          <w:sz w:val="21"/>
          <w:highlight w:val="none"/>
        </w:rPr>
        <w:t>），从业人员</w:t>
      </w:r>
      <w:r>
        <w:rPr>
          <w:rFonts w:hint="eastAsia" w:ascii="宋体" w:hAnsi="宋体" w:eastAsia="宋体" w:cs="宋体"/>
          <w:color w:val="auto"/>
          <w:sz w:val="21"/>
          <w:highlight w:val="none"/>
          <w:u w:val="single"/>
        </w:rPr>
        <w:tab/>
      </w:r>
      <w:r>
        <w:rPr>
          <w:rFonts w:hint="eastAsia" w:ascii="宋体" w:hAnsi="宋体" w:eastAsia="宋体" w:cs="宋体"/>
          <w:color w:val="auto"/>
          <w:sz w:val="21"/>
          <w:highlight w:val="none"/>
        </w:rPr>
        <w:t>人，营业收入为</w:t>
      </w:r>
      <w:r>
        <w:rPr>
          <w:rFonts w:hint="eastAsia" w:ascii="宋体" w:hAnsi="宋体" w:eastAsia="宋体" w:cs="宋体"/>
          <w:color w:val="auto"/>
          <w:sz w:val="21"/>
          <w:highlight w:val="none"/>
          <w:u w:val="single"/>
        </w:rPr>
        <w:tab/>
      </w:r>
      <w:r>
        <w:rPr>
          <w:rFonts w:hint="eastAsia" w:ascii="宋体" w:hAnsi="宋体" w:eastAsia="宋体" w:cs="宋体"/>
          <w:color w:val="auto"/>
          <w:sz w:val="21"/>
          <w:highlight w:val="none"/>
        </w:rPr>
        <w:t>万元，资产总额为</w:t>
      </w:r>
      <w:r>
        <w:rPr>
          <w:rFonts w:hint="eastAsia" w:ascii="宋体" w:hAnsi="宋体" w:eastAsia="宋体" w:cs="宋体"/>
          <w:color w:val="auto"/>
          <w:sz w:val="21"/>
          <w:highlight w:val="none"/>
          <w:u w:val="single"/>
        </w:rPr>
        <w:tab/>
      </w:r>
      <w:r>
        <w:rPr>
          <w:rFonts w:hint="eastAsia" w:ascii="宋体" w:hAnsi="宋体" w:eastAsia="宋体" w:cs="宋体"/>
          <w:color w:val="auto"/>
          <w:sz w:val="21"/>
          <w:highlight w:val="none"/>
        </w:rPr>
        <w:t>万元，属于（</w:t>
      </w:r>
      <w:r>
        <w:rPr>
          <w:rFonts w:hint="eastAsia" w:ascii="宋体" w:hAnsi="宋体" w:eastAsia="宋体" w:cs="宋体"/>
          <w:color w:val="auto"/>
          <w:sz w:val="21"/>
          <w:highlight w:val="none"/>
          <w:u w:val="single"/>
        </w:rPr>
        <w:t>中型企业、小型企业、微型企业</w:t>
      </w:r>
      <w:r>
        <w:rPr>
          <w:rFonts w:hint="eastAsia" w:ascii="宋体" w:hAnsi="宋体" w:eastAsia="宋体" w:cs="宋体"/>
          <w:color w:val="auto"/>
          <w:sz w:val="21"/>
          <w:highlight w:val="none"/>
        </w:rPr>
        <w:t>）；</w:t>
      </w:r>
    </w:p>
    <w:p w14:paraId="5F0BF528">
      <w:pPr>
        <w:pBdr>
          <w:top w:val="none" w:color="000000" w:sz="0" w:space="0"/>
          <w:left w:val="none" w:color="000000" w:sz="0" w:space="0"/>
          <w:bottom w:val="none" w:color="000000" w:sz="0" w:space="0"/>
          <w:right w:val="none" w:color="000000" w:sz="0" w:space="0"/>
        </w:pBdr>
        <w:shd w:val="clear" w:color="FFFFFF" w:fill="FFFFFF"/>
        <w:spacing w:before="0" w:after="200" w:line="85"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w:t>
      </w:r>
    </w:p>
    <w:p w14:paraId="6801157B">
      <w:pPr>
        <w:pBdr>
          <w:top w:val="none" w:color="000000" w:sz="0" w:space="0"/>
          <w:left w:val="none" w:color="000000" w:sz="0" w:space="0"/>
          <w:bottom w:val="none" w:color="000000" w:sz="0" w:space="0"/>
          <w:right w:val="none" w:color="000000" w:sz="0" w:space="0"/>
        </w:pBdr>
        <w:shd w:val="clear" w:color="FFFFFF" w:fill="FFFFFF"/>
        <w:spacing w:before="0" w:after="200" w:line="85"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以上企业，不属于大企业的分支机构，不存在控股股东为大企业的情形，也不存在与大企业的负责人为同一人的情形。</w:t>
      </w:r>
    </w:p>
    <w:p w14:paraId="3B3AD14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本企业对上述声明内容的真实性负责。如有虚假，将依法承担相应责任。</w:t>
      </w:r>
    </w:p>
    <w:p w14:paraId="2EB72CB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13FB68F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4FF2BE5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1E3DD6FB">
      <w:pPr>
        <w:pBdr>
          <w:top w:val="none" w:color="000000" w:sz="0" w:space="0"/>
          <w:left w:val="none" w:color="000000" w:sz="0" w:space="0"/>
          <w:bottom w:val="none" w:color="000000" w:sz="0" w:space="0"/>
          <w:right w:val="none" w:color="000000" w:sz="0" w:space="0"/>
        </w:pBdr>
        <w:spacing w:before="0" w:after="0" w:line="439" w:lineRule="atLeast"/>
        <w:ind w:left="0" w:right="0" w:firstLine="420"/>
        <w:jc w:val="right"/>
        <w:rPr>
          <w:rFonts w:hint="eastAsia" w:ascii="宋体" w:hAnsi="宋体" w:eastAsia="宋体" w:cs="宋体"/>
          <w:color w:val="auto"/>
          <w:highlight w:val="none"/>
        </w:rPr>
      </w:pPr>
      <w:r>
        <w:rPr>
          <w:rFonts w:hint="eastAsia" w:ascii="宋体" w:hAnsi="宋体" w:eastAsia="宋体" w:cs="宋体"/>
          <w:color w:val="auto"/>
          <w:sz w:val="21"/>
          <w:highlight w:val="none"/>
        </w:rPr>
        <w:t>企业名称（加盖电子公章）：</w:t>
      </w:r>
    </w:p>
    <w:p w14:paraId="2E37800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日期：</w:t>
      </w:r>
    </w:p>
    <w:p w14:paraId="24A85BE6">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24A6BC2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8"/>
          <w:highlight w:val="none"/>
        </w:rPr>
        <w:t>残疾人福利性单位声明函</w:t>
      </w:r>
    </w:p>
    <w:p w14:paraId="6786918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FBE14F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本单位对上述声明的真实性负责。如有虚假，将依法承担相应责任。</w:t>
      </w:r>
    </w:p>
    <w:p w14:paraId="7116FA47">
      <w:pPr>
        <w:pBdr>
          <w:top w:val="none" w:color="000000" w:sz="0" w:space="0"/>
          <w:left w:val="none" w:color="000000" w:sz="0" w:space="0"/>
          <w:bottom w:val="none" w:color="000000" w:sz="0" w:space="0"/>
          <w:right w:val="none" w:color="000000" w:sz="0" w:space="0"/>
        </w:pBdr>
        <w:spacing w:before="0" w:after="0" w:line="439" w:lineRule="atLeast"/>
        <w:ind w:left="0" w:right="0" w:firstLine="5040"/>
        <w:rPr>
          <w:rFonts w:hint="eastAsia" w:ascii="宋体" w:hAnsi="宋体" w:eastAsia="宋体" w:cs="宋体"/>
          <w:color w:val="auto"/>
          <w:highlight w:val="none"/>
        </w:rPr>
      </w:pPr>
      <w:r>
        <w:rPr>
          <w:rFonts w:hint="eastAsia" w:ascii="宋体" w:hAnsi="宋体" w:eastAsia="宋体" w:cs="宋体"/>
          <w:color w:val="auto"/>
          <w:sz w:val="21"/>
          <w:highlight w:val="none"/>
        </w:rPr>
        <w:t>单位名称（加盖电子公章）：</w:t>
      </w:r>
    </w:p>
    <w:p w14:paraId="539C02EA">
      <w:pPr>
        <w:pBdr>
          <w:top w:val="none" w:color="000000" w:sz="0" w:space="0"/>
          <w:left w:val="none" w:color="000000" w:sz="0" w:space="0"/>
          <w:bottom w:val="none" w:color="000000" w:sz="0" w:space="0"/>
          <w:right w:val="none" w:color="000000" w:sz="0" w:space="0"/>
        </w:pBdr>
        <w:spacing w:before="0" w:after="0" w:line="439" w:lineRule="atLeast"/>
        <w:ind w:left="0" w:right="0" w:firstLine="5040"/>
        <w:rPr>
          <w:rFonts w:hint="eastAsia" w:ascii="宋体" w:hAnsi="宋体" w:eastAsia="宋体" w:cs="宋体"/>
          <w:color w:val="auto"/>
          <w:highlight w:val="none"/>
        </w:rPr>
      </w:pPr>
      <w:r>
        <w:rPr>
          <w:rFonts w:hint="eastAsia" w:ascii="宋体" w:hAnsi="宋体" w:eastAsia="宋体" w:cs="宋体"/>
          <w:color w:val="auto"/>
          <w:sz w:val="21"/>
          <w:highlight w:val="none"/>
        </w:rPr>
        <w:t>日期：</w:t>
      </w:r>
    </w:p>
    <w:p w14:paraId="39189B6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71C5824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2070CE8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8"/>
          <w:highlight w:val="none"/>
        </w:rPr>
        <w:t>属于监狱企业的证明文件</w:t>
      </w:r>
    </w:p>
    <w:p w14:paraId="32986B2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（提供由省级以上监狱管理局、戒毒管理局(含新疆生产建设兵团)出具的属于监狱企业的证明文件）</w:t>
      </w:r>
    </w:p>
    <w:p w14:paraId="195B13E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55CFC22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6123B17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8"/>
          <w:highlight w:val="none"/>
        </w:rPr>
        <w:t>节能产品认证证书</w:t>
      </w:r>
    </w:p>
    <w:p w14:paraId="5CA76A0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（提供国家确定的认证机构出具的、处于有效期之内的产品认证证书）</w:t>
      </w:r>
    </w:p>
    <w:p w14:paraId="0008C5D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771D176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7FEBF4E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2C45135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8"/>
          <w:highlight w:val="none"/>
        </w:rPr>
        <w:t>环境标志产品认证证书</w:t>
      </w:r>
    </w:p>
    <w:p w14:paraId="4D3A971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（提供国家确定的认证机构出具的、处于有效期之内的产品认证证书）</w:t>
      </w:r>
    </w:p>
    <w:p w14:paraId="6EA62976">
      <w:pPr>
        <w:pBdr>
          <w:top w:val="none" w:color="000000" w:sz="0" w:space="0"/>
          <w:left w:val="none" w:color="000000" w:sz="0" w:space="0"/>
          <w:bottom w:val="none" w:color="000000" w:sz="0" w:space="0"/>
          <w:right w:val="none" w:color="000000" w:sz="0" w:space="0"/>
        </w:pBdr>
        <w:spacing w:before="240" w:after="240"/>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2EAA0CBE">
      <w:pPr>
        <w:pBdr>
          <w:top w:val="none" w:color="000000" w:sz="0" w:space="0"/>
          <w:left w:val="none" w:color="000000" w:sz="0" w:space="0"/>
          <w:bottom w:val="none" w:color="000000" w:sz="0" w:space="0"/>
          <w:right w:val="none" w:color="000000" w:sz="0" w:space="0"/>
        </w:pBdr>
        <w:spacing w:before="240" w:after="240"/>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0AD94712">
      <w:pPr>
        <w:pBdr>
          <w:top w:val="none" w:color="000000" w:sz="0" w:space="0"/>
          <w:left w:val="none" w:color="000000" w:sz="0" w:space="0"/>
          <w:bottom w:val="none" w:color="000000" w:sz="0" w:space="0"/>
          <w:right w:val="none" w:color="000000" w:sz="0" w:space="0"/>
        </w:pBdr>
        <w:spacing w:before="240" w:after="240"/>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5882117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8"/>
          <w:highlight w:val="none"/>
        </w:rPr>
        <w:t>进口产品转让技术、消化吸收再创新方案</w:t>
      </w:r>
    </w:p>
    <w:p w14:paraId="3E27B54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（对于允许进口产品参加的项目）</w:t>
      </w:r>
    </w:p>
    <w:p w14:paraId="7D938BD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640288E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2AEFCBF3">
      <w:pPr>
        <w:pStyle w:val="187"/>
        <w:ind w:firstLine="0" w:firstLineChars="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附件</w:t>
      </w:r>
      <w:r>
        <w:rPr>
          <w:rFonts w:hint="eastAsia" w:ascii="宋体" w:hAnsi="宋体" w:eastAsia="宋体" w:cs="宋体"/>
          <w:b/>
          <w:color w:val="auto"/>
          <w:szCs w:val="21"/>
          <w:highlight w:val="none"/>
          <w:lang w:val="en-US" w:eastAsia="zh-CN"/>
        </w:rPr>
        <w:t>九</w:t>
      </w:r>
      <w:r>
        <w:rPr>
          <w:rFonts w:hint="eastAsia" w:ascii="宋体" w:hAnsi="宋体" w:eastAsia="宋体" w:cs="宋体"/>
          <w:b/>
          <w:color w:val="auto"/>
          <w:szCs w:val="21"/>
          <w:highlight w:val="none"/>
        </w:rPr>
        <w:t>、</w:t>
      </w:r>
      <w:r>
        <w:rPr>
          <w:rFonts w:hint="eastAsia" w:ascii="宋体" w:hAnsi="宋体" w:eastAsia="宋体" w:cs="宋体"/>
          <w:b/>
          <w:color w:val="auto"/>
          <w:szCs w:val="21"/>
          <w:highlight w:val="none"/>
          <w:lang w:eastAsia="zh-CN"/>
        </w:rPr>
        <w:t>投标人</w:t>
      </w:r>
      <w:r>
        <w:rPr>
          <w:rFonts w:hint="eastAsia" w:ascii="宋体" w:hAnsi="宋体" w:eastAsia="宋体" w:cs="宋体"/>
          <w:b/>
          <w:color w:val="auto"/>
          <w:szCs w:val="21"/>
          <w:highlight w:val="none"/>
        </w:rPr>
        <w:t>的资格证明材料</w:t>
      </w:r>
    </w:p>
    <w:p w14:paraId="585B0151">
      <w:pPr>
        <w:ind w:firstLine="420" w:firstLineChars="200"/>
        <w:rPr>
          <w:rFonts w:hint="eastAsia" w:ascii="宋体" w:hAnsi="宋体" w:eastAsia="宋体" w:cs="宋体"/>
          <w:color w:val="auto"/>
          <w:szCs w:val="21"/>
          <w:highlight w:val="none"/>
        </w:rPr>
      </w:pPr>
    </w:p>
    <w:p w14:paraId="5D67FEFF">
      <w:pPr>
        <w:widowControl/>
        <w:shd w:val="clear" w:color="auto" w:fill="FFFFFF"/>
        <w:spacing w:before="240" w:beforeLines="100" w:line="360" w:lineRule="auto"/>
        <w:jc w:val="center"/>
        <w:rPr>
          <w:rFonts w:hint="eastAsia" w:ascii="宋体" w:hAnsi="宋体" w:eastAsia="宋体" w:cs="宋体"/>
          <w:b/>
          <w:color w:val="auto"/>
          <w:kern w:val="0"/>
          <w:sz w:val="36"/>
          <w:szCs w:val="36"/>
          <w:highlight w:val="none"/>
        </w:rPr>
      </w:pPr>
      <w:r>
        <w:rPr>
          <w:rFonts w:hint="eastAsia" w:ascii="宋体" w:hAnsi="宋体" w:eastAsia="宋体" w:cs="宋体"/>
          <w:b/>
          <w:color w:val="auto"/>
          <w:kern w:val="0"/>
          <w:sz w:val="36"/>
          <w:szCs w:val="36"/>
          <w:highlight w:val="none"/>
          <w:lang w:eastAsia="zh-CN"/>
        </w:rPr>
        <w:t>投标人</w:t>
      </w:r>
      <w:r>
        <w:rPr>
          <w:rFonts w:hint="eastAsia" w:ascii="宋体" w:hAnsi="宋体" w:eastAsia="宋体" w:cs="宋体"/>
          <w:b/>
          <w:color w:val="auto"/>
          <w:kern w:val="0"/>
          <w:sz w:val="36"/>
          <w:szCs w:val="36"/>
          <w:highlight w:val="none"/>
        </w:rPr>
        <w:t>基本情况表</w:t>
      </w:r>
    </w:p>
    <w:p w14:paraId="71DF3F2A">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：（公章）</w:t>
      </w:r>
    </w:p>
    <w:tbl>
      <w:tblPr>
        <w:tblStyle w:val="32"/>
        <w:tblW w:w="86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707"/>
        <w:gridCol w:w="1848"/>
        <w:gridCol w:w="2152"/>
        <w:gridCol w:w="1527"/>
      </w:tblGrid>
      <w:tr w14:paraId="55CF7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77" w:type="dxa"/>
            <w:tcBorders>
              <w:top w:val="single" w:color="auto" w:sz="4" w:space="0"/>
              <w:left w:val="single" w:color="auto" w:sz="4" w:space="0"/>
              <w:bottom w:val="single" w:color="auto" w:sz="4" w:space="0"/>
              <w:right w:val="single" w:color="auto" w:sz="4" w:space="0"/>
            </w:tcBorders>
            <w:noWrap w:val="0"/>
            <w:vAlign w:val="center"/>
          </w:tcPr>
          <w:p w14:paraId="2D45DDE8">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名称</w:t>
            </w:r>
          </w:p>
        </w:tc>
        <w:tc>
          <w:tcPr>
            <w:tcW w:w="2557" w:type="dxa"/>
            <w:gridSpan w:val="2"/>
            <w:tcBorders>
              <w:top w:val="single" w:color="auto" w:sz="4" w:space="0"/>
              <w:left w:val="single" w:color="auto" w:sz="4" w:space="0"/>
              <w:bottom w:val="single" w:color="auto" w:sz="4" w:space="0"/>
              <w:right w:val="single" w:color="auto" w:sz="4" w:space="0"/>
            </w:tcBorders>
            <w:noWrap w:val="0"/>
            <w:vAlign w:val="center"/>
          </w:tcPr>
          <w:p w14:paraId="29CB8C66">
            <w:pPr>
              <w:jc w:val="center"/>
              <w:rPr>
                <w:rFonts w:hint="eastAsia" w:ascii="宋体" w:hAnsi="宋体" w:eastAsia="宋体" w:cs="宋体"/>
                <w:color w:val="auto"/>
                <w:szCs w:val="21"/>
                <w:highlight w:val="none"/>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040BF207">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p>
        </w:tc>
        <w:tc>
          <w:tcPr>
            <w:tcW w:w="1528" w:type="dxa"/>
            <w:tcBorders>
              <w:top w:val="single" w:color="auto" w:sz="4" w:space="0"/>
              <w:left w:val="single" w:color="auto" w:sz="4" w:space="0"/>
              <w:bottom w:val="single" w:color="auto" w:sz="4" w:space="0"/>
              <w:right w:val="single" w:color="auto" w:sz="4" w:space="0"/>
            </w:tcBorders>
            <w:noWrap w:val="0"/>
            <w:vAlign w:val="center"/>
          </w:tcPr>
          <w:p w14:paraId="63E50D8A">
            <w:pPr>
              <w:jc w:val="center"/>
              <w:rPr>
                <w:rFonts w:hint="eastAsia" w:ascii="宋体" w:hAnsi="宋体" w:eastAsia="宋体" w:cs="宋体"/>
                <w:color w:val="auto"/>
                <w:szCs w:val="21"/>
                <w:highlight w:val="none"/>
              </w:rPr>
            </w:pPr>
          </w:p>
        </w:tc>
      </w:tr>
      <w:tr w14:paraId="419A4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77" w:type="dxa"/>
            <w:tcBorders>
              <w:top w:val="single" w:color="auto" w:sz="4" w:space="0"/>
              <w:left w:val="single" w:color="auto" w:sz="4" w:space="0"/>
              <w:bottom w:val="single" w:color="auto" w:sz="4" w:space="0"/>
              <w:right w:val="single" w:color="auto" w:sz="4" w:space="0"/>
            </w:tcBorders>
            <w:noWrap w:val="0"/>
            <w:vAlign w:val="center"/>
          </w:tcPr>
          <w:p w14:paraId="377026C8">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统一社会信用代码</w:t>
            </w:r>
          </w:p>
        </w:tc>
        <w:tc>
          <w:tcPr>
            <w:tcW w:w="2557" w:type="dxa"/>
            <w:gridSpan w:val="2"/>
            <w:tcBorders>
              <w:top w:val="single" w:color="auto" w:sz="4" w:space="0"/>
              <w:left w:val="single" w:color="auto" w:sz="4" w:space="0"/>
              <w:bottom w:val="single" w:color="auto" w:sz="4" w:space="0"/>
              <w:right w:val="single" w:color="auto" w:sz="4" w:space="0"/>
            </w:tcBorders>
            <w:noWrap w:val="0"/>
            <w:vAlign w:val="center"/>
          </w:tcPr>
          <w:p w14:paraId="15466F56">
            <w:pPr>
              <w:jc w:val="center"/>
              <w:rPr>
                <w:rFonts w:hint="eastAsia" w:ascii="宋体" w:hAnsi="宋体" w:eastAsia="宋体" w:cs="宋体"/>
                <w:color w:val="auto"/>
                <w:szCs w:val="21"/>
                <w:highlight w:val="none"/>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124B0EF5">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p>
        </w:tc>
        <w:tc>
          <w:tcPr>
            <w:tcW w:w="1528" w:type="dxa"/>
            <w:tcBorders>
              <w:top w:val="single" w:color="auto" w:sz="4" w:space="0"/>
              <w:left w:val="single" w:color="auto" w:sz="4" w:space="0"/>
              <w:bottom w:val="single" w:color="auto" w:sz="4" w:space="0"/>
              <w:right w:val="single" w:color="auto" w:sz="4" w:space="0"/>
            </w:tcBorders>
            <w:noWrap w:val="0"/>
            <w:vAlign w:val="center"/>
          </w:tcPr>
          <w:p w14:paraId="5FC0B852">
            <w:pPr>
              <w:jc w:val="center"/>
              <w:rPr>
                <w:rFonts w:hint="eastAsia" w:ascii="宋体" w:hAnsi="宋体" w:eastAsia="宋体" w:cs="宋体"/>
                <w:color w:val="auto"/>
                <w:szCs w:val="21"/>
                <w:highlight w:val="none"/>
              </w:rPr>
            </w:pPr>
          </w:p>
        </w:tc>
      </w:tr>
      <w:tr w14:paraId="6A42E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77" w:type="dxa"/>
            <w:tcBorders>
              <w:top w:val="single" w:color="auto" w:sz="4" w:space="0"/>
              <w:left w:val="single" w:color="auto" w:sz="4" w:space="0"/>
              <w:bottom w:val="single" w:color="auto" w:sz="4" w:space="0"/>
              <w:right w:val="single" w:color="auto" w:sz="4" w:space="0"/>
            </w:tcBorders>
            <w:noWrap w:val="0"/>
            <w:vAlign w:val="center"/>
          </w:tcPr>
          <w:p w14:paraId="66795088">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授权代表</w:t>
            </w:r>
          </w:p>
        </w:tc>
        <w:tc>
          <w:tcPr>
            <w:tcW w:w="2557" w:type="dxa"/>
            <w:gridSpan w:val="2"/>
            <w:tcBorders>
              <w:top w:val="single" w:color="auto" w:sz="4" w:space="0"/>
              <w:left w:val="single" w:color="auto" w:sz="4" w:space="0"/>
              <w:bottom w:val="single" w:color="auto" w:sz="4" w:space="0"/>
              <w:right w:val="single" w:color="auto" w:sz="4" w:space="0"/>
            </w:tcBorders>
            <w:noWrap w:val="0"/>
            <w:vAlign w:val="center"/>
          </w:tcPr>
          <w:p w14:paraId="3D0919E7">
            <w:pPr>
              <w:jc w:val="center"/>
              <w:rPr>
                <w:rFonts w:hint="eastAsia" w:ascii="宋体" w:hAnsi="宋体" w:eastAsia="宋体" w:cs="宋体"/>
                <w:color w:val="auto"/>
                <w:szCs w:val="21"/>
                <w:highlight w:val="none"/>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66428CD3">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p>
        </w:tc>
        <w:tc>
          <w:tcPr>
            <w:tcW w:w="1528" w:type="dxa"/>
            <w:tcBorders>
              <w:top w:val="single" w:color="auto" w:sz="4" w:space="0"/>
              <w:left w:val="single" w:color="auto" w:sz="4" w:space="0"/>
              <w:bottom w:val="single" w:color="auto" w:sz="4" w:space="0"/>
              <w:right w:val="single" w:color="auto" w:sz="4" w:space="0"/>
            </w:tcBorders>
            <w:noWrap w:val="0"/>
            <w:vAlign w:val="center"/>
          </w:tcPr>
          <w:p w14:paraId="3B0B2EE3">
            <w:pPr>
              <w:jc w:val="center"/>
              <w:rPr>
                <w:rFonts w:hint="eastAsia" w:ascii="宋体" w:hAnsi="宋体" w:eastAsia="宋体" w:cs="宋体"/>
                <w:color w:val="auto"/>
                <w:szCs w:val="21"/>
                <w:highlight w:val="none"/>
              </w:rPr>
            </w:pPr>
          </w:p>
        </w:tc>
      </w:tr>
      <w:tr w14:paraId="67091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77" w:type="dxa"/>
            <w:tcBorders>
              <w:top w:val="single" w:color="auto" w:sz="4" w:space="0"/>
              <w:left w:val="single" w:color="auto" w:sz="4" w:space="0"/>
              <w:bottom w:val="single" w:color="auto" w:sz="4" w:space="0"/>
              <w:right w:val="single" w:color="auto" w:sz="4" w:space="0"/>
            </w:tcBorders>
            <w:noWrap w:val="0"/>
            <w:vAlign w:val="center"/>
          </w:tcPr>
          <w:p w14:paraId="0A3F0F79">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电子邮箱</w:t>
            </w:r>
          </w:p>
        </w:tc>
        <w:tc>
          <w:tcPr>
            <w:tcW w:w="2557" w:type="dxa"/>
            <w:gridSpan w:val="2"/>
            <w:tcBorders>
              <w:top w:val="single" w:color="auto" w:sz="4" w:space="0"/>
              <w:left w:val="single" w:color="auto" w:sz="4" w:space="0"/>
              <w:bottom w:val="single" w:color="auto" w:sz="4" w:space="0"/>
              <w:right w:val="single" w:color="auto" w:sz="4" w:space="0"/>
            </w:tcBorders>
            <w:noWrap w:val="0"/>
            <w:vAlign w:val="center"/>
          </w:tcPr>
          <w:p w14:paraId="3278E0BB">
            <w:pPr>
              <w:jc w:val="center"/>
              <w:rPr>
                <w:rFonts w:hint="eastAsia" w:ascii="宋体" w:hAnsi="宋体" w:eastAsia="宋体" w:cs="宋体"/>
                <w:color w:val="auto"/>
                <w:szCs w:val="21"/>
                <w:highlight w:val="none"/>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0BD024EA">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传真</w:t>
            </w:r>
          </w:p>
        </w:tc>
        <w:tc>
          <w:tcPr>
            <w:tcW w:w="1528" w:type="dxa"/>
            <w:tcBorders>
              <w:top w:val="single" w:color="auto" w:sz="4" w:space="0"/>
              <w:left w:val="single" w:color="auto" w:sz="4" w:space="0"/>
              <w:bottom w:val="single" w:color="auto" w:sz="4" w:space="0"/>
              <w:right w:val="single" w:color="auto" w:sz="4" w:space="0"/>
            </w:tcBorders>
            <w:noWrap w:val="0"/>
            <w:vAlign w:val="center"/>
          </w:tcPr>
          <w:p w14:paraId="3DD73F2D">
            <w:pPr>
              <w:jc w:val="center"/>
              <w:rPr>
                <w:rFonts w:hint="eastAsia" w:ascii="宋体" w:hAnsi="宋体" w:eastAsia="宋体" w:cs="宋体"/>
                <w:color w:val="auto"/>
                <w:szCs w:val="21"/>
                <w:highlight w:val="none"/>
              </w:rPr>
            </w:pPr>
          </w:p>
        </w:tc>
      </w:tr>
      <w:tr w14:paraId="53CA6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77" w:type="dxa"/>
            <w:tcBorders>
              <w:top w:val="single" w:color="auto" w:sz="4" w:space="0"/>
              <w:left w:val="single" w:color="auto" w:sz="4" w:space="0"/>
              <w:bottom w:val="single" w:color="auto" w:sz="4" w:space="0"/>
              <w:right w:val="single" w:color="auto" w:sz="4" w:space="0"/>
            </w:tcBorders>
            <w:noWrap w:val="0"/>
            <w:vAlign w:val="center"/>
          </w:tcPr>
          <w:p w14:paraId="11DECD74">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上年营业收入</w:t>
            </w:r>
          </w:p>
        </w:tc>
        <w:tc>
          <w:tcPr>
            <w:tcW w:w="2557" w:type="dxa"/>
            <w:gridSpan w:val="2"/>
            <w:tcBorders>
              <w:top w:val="single" w:color="auto" w:sz="4" w:space="0"/>
              <w:left w:val="single" w:color="auto" w:sz="4" w:space="0"/>
              <w:bottom w:val="single" w:color="auto" w:sz="4" w:space="0"/>
              <w:right w:val="single" w:color="auto" w:sz="4" w:space="0"/>
            </w:tcBorders>
            <w:noWrap w:val="0"/>
            <w:vAlign w:val="center"/>
          </w:tcPr>
          <w:p w14:paraId="3FD7FEFF">
            <w:pPr>
              <w:jc w:val="center"/>
              <w:rPr>
                <w:rFonts w:hint="eastAsia" w:ascii="宋体" w:hAnsi="宋体" w:eastAsia="宋体" w:cs="宋体"/>
                <w:color w:val="auto"/>
                <w:szCs w:val="21"/>
                <w:highlight w:val="none"/>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2653A4AF">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员工总人数</w:t>
            </w:r>
          </w:p>
        </w:tc>
        <w:tc>
          <w:tcPr>
            <w:tcW w:w="1528" w:type="dxa"/>
            <w:tcBorders>
              <w:top w:val="single" w:color="auto" w:sz="4" w:space="0"/>
              <w:left w:val="single" w:color="auto" w:sz="4" w:space="0"/>
              <w:bottom w:val="single" w:color="auto" w:sz="4" w:space="0"/>
              <w:right w:val="single" w:color="auto" w:sz="4" w:space="0"/>
            </w:tcBorders>
            <w:noWrap w:val="0"/>
            <w:vAlign w:val="center"/>
          </w:tcPr>
          <w:p w14:paraId="3FDBAB2A">
            <w:pPr>
              <w:jc w:val="center"/>
              <w:rPr>
                <w:rFonts w:hint="eastAsia" w:ascii="宋体" w:hAnsi="宋体" w:eastAsia="宋体" w:cs="宋体"/>
                <w:color w:val="auto"/>
                <w:szCs w:val="21"/>
                <w:highlight w:val="none"/>
              </w:rPr>
            </w:pPr>
          </w:p>
        </w:tc>
      </w:tr>
      <w:tr w14:paraId="6282E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85" w:type="dxa"/>
            <w:gridSpan w:val="2"/>
            <w:tcBorders>
              <w:top w:val="single" w:color="auto" w:sz="4" w:space="0"/>
              <w:left w:val="single" w:color="auto" w:sz="4" w:space="0"/>
              <w:bottom w:val="single" w:color="auto" w:sz="4" w:space="0"/>
              <w:right w:val="single" w:color="auto" w:sz="4" w:space="0"/>
            </w:tcBorders>
            <w:noWrap w:val="0"/>
            <w:vAlign w:val="center"/>
          </w:tcPr>
          <w:p w14:paraId="2F4AECA3">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基本账户开户行及账号</w:t>
            </w:r>
          </w:p>
        </w:tc>
        <w:tc>
          <w:tcPr>
            <w:tcW w:w="5531" w:type="dxa"/>
            <w:gridSpan w:val="3"/>
            <w:tcBorders>
              <w:top w:val="single" w:color="auto" w:sz="4" w:space="0"/>
              <w:left w:val="single" w:color="auto" w:sz="4" w:space="0"/>
              <w:bottom w:val="single" w:color="auto" w:sz="4" w:space="0"/>
              <w:right w:val="single" w:color="auto" w:sz="4" w:space="0"/>
            </w:tcBorders>
            <w:noWrap w:val="0"/>
            <w:vAlign w:val="center"/>
          </w:tcPr>
          <w:p w14:paraId="2EFC138E">
            <w:pPr>
              <w:jc w:val="center"/>
              <w:rPr>
                <w:rFonts w:hint="eastAsia" w:ascii="宋体" w:hAnsi="宋体" w:eastAsia="宋体" w:cs="宋体"/>
                <w:color w:val="auto"/>
                <w:szCs w:val="21"/>
                <w:highlight w:val="none"/>
              </w:rPr>
            </w:pPr>
          </w:p>
        </w:tc>
      </w:tr>
      <w:tr w14:paraId="5FF34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85" w:type="dxa"/>
            <w:gridSpan w:val="2"/>
            <w:tcBorders>
              <w:top w:val="single" w:color="auto" w:sz="4" w:space="0"/>
              <w:left w:val="single" w:color="auto" w:sz="4" w:space="0"/>
              <w:bottom w:val="single" w:color="auto" w:sz="4" w:space="0"/>
              <w:right w:val="single" w:color="auto" w:sz="4" w:space="0"/>
            </w:tcBorders>
            <w:noWrap w:val="0"/>
            <w:vAlign w:val="center"/>
          </w:tcPr>
          <w:p w14:paraId="352BE6E5">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税务登记机关</w:t>
            </w:r>
          </w:p>
        </w:tc>
        <w:tc>
          <w:tcPr>
            <w:tcW w:w="5531" w:type="dxa"/>
            <w:gridSpan w:val="3"/>
            <w:tcBorders>
              <w:top w:val="single" w:color="auto" w:sz="4" w:space="0"/>
              <w:left w:val="single" w:color="auto" w:sz="4" w:space="0"/>
              <w:bottom w:val="single" w:color="auto" w:sz="4" w:space="0"/>
              <w:right w:val="single" w:color="auto" w:sz="4" w:space="0"/>
            </w:tcBorders>
            <w:noWrap w:val="0"/>
            <w:vAlign w:val="center"/>
          </w:tcPr>
          <w:p w14:paraId="1A369176">
            <w:pPr>
              <w:jc w:val="center"/>
              <w:rPr>
                <w:rFonts w:hint="eastAsia" w:ascii="宋体" w:hAnsi="宋体" w:eastAsia="宋体" w:cs="宋体"/>
                <w:color w:val="auto"/>
                <w:szCs w:val="21"/>
                <w:highlight w:val="none"/>
              </w:rPr>
            </w:pPr>
          </w:p>
        </w:tc>
      </w:tr>
      <w:tr w14:paraId="5894E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85" w:type="dxa"/>
            <w:gridSpan w:val="2"/>
            <w:tcBorders>
              <w:top w:val="single" w:color="auto" w:sz="4" w:space="0"/>
              <w:left w:val="single" w:color="auto" w:sz="4" w:space="0"/>
              <w:bottom w:val="single" w:color="auto" w:sz="4" w:space="0"/>
              <w:right w:val="single" w:color="auto" w:sz="4" w:space="0"/>
            </w:tcBorders>
            <w:noWrap w:val="0"/>
            <w:vAlign w:val="center"/>
          </w:tcPr>
          <w:p w14:paraId="3343735B">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资质名称</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4C63D12E">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等级</w:t>
            </w:r>
          </w:p>
        </w:tc>
        <w:tc>
          <w:tcPr>
            <w:tcW w:w="2154" w:type="dxa"/>
            <w:tcBorders>
              <w:top w:val="single" w:color="auto" w:sz="4" w:space="0"/>
              <w:left w:val="single" w:color="auto" w:sz="4" w:space="0"/>
              <w:bottom w:val="single" w:color="auto" w:sz="4" w:space="0"/>
              <w:right w:val="single" w:color="auto" w:sz="4" w:space="0"/>
            </w:tcBorders>
            <w:noWrap w:val="0"/>
            <w:vAlign w:val="center"/>
          </w:tcPr>
          <w:p w14:paraId="38121AE9">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发证机关</w:t>
            </w:r>
          </w:p>
        </w:tc>
        <w:tc>
          <w:tcPr>
            <w:tcW w:w="1528" w:type="dxa"/>
            <w:tcBorders>
              <w:top w:val="single" w:color="auto" w:sz="4" w:space="0"/>
              <w:left w:val="single" w:color="auto" w:sz="4" w:space="0"/>
              <w:bottom w:val="single" w:color="auto" w:sz="4" w:space="0"/>
              <w:right w:val="single" w:color="auto" w:sz="4" w:space="0"/>
            </w:tcBorders>
            <w:noWrap w:val="0"/>
            <w:vAlign w:val="center"/>
          </w:tcPr>
          <w:p w14:paraId="4ED030A7">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有效期</w:t>
            </w:r>
          </w:p>
        </w:tc>
      </w:tr>
      <w:tr w14:paraId="79235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85" w:type="dxa"/>
            <w:gridSpan w:val="2"/>
            <w:tcBorders>
              <w:top w:val="single" w:color="auto" w:sz="4" w:space="0"/>
              <w:left w:val="single" w:color="auto" w:sz="4" w:space="0"/>
              <w:bottom w:val="single" w:color="auto" w:sz="4" w:space="0"/>
              <w:right w:val="single" w:color="auto" w:sz="4" w:space="0"/>
            </w:tcBorders>
            <w:noWrap w:val="0"/>
            <w:vAlign w:val="center"/>
          </w:tcPr>
          <w:p w14:paraId="77956125">
            <w:pPr>
              <w:jc w:val="center"/>
              <w:rPr>
                <w:rFonts w:hint="eastAsia" w:ascii="宋体" w:hAnsi="宋体" w:eastAsia="宋体" w:cs="宋体"/>
                <w:color w:val="auto"/>
                <w:szCs w:val="21"/>
                <w:highlight w:val="none"/>
              </w:rPr>
            </w:pPr>
          </w:p>
        </w:tc>
        <w:tc>
          <w:tcPr>
            <w:tcW w:w="1849" w:type="dxa"/>
            <w:tcBorders>
              <w:top w:val="single" w:color="auto" w:sz="4" w:space="0"/>
              <w:left w:val="single" w:color="auto" w:sz="4" w:space="0"/>
              <w:bottom w:val="single" w:color="auto" w:sz="4" w:space="0"/>
              <w:right w:val="single" w:color="auto" w:sz="4" w:space="0"/>
            </w:tcBorders>
            <w:noWrap w:val="0"/>
            <w:vAlign w:val="center"/>
          </w:tcPr>
          <w:p w14:paraId="2B775800">
            <w:pPr>
              <w:jc w:val="center"/>
              <w:rPr>
                <w:rFonts w:hint="eastAsia" w:ascii="宋体" w:hAnsi="宋体" w:eastAsia="宋体" w:cs="宋体"/>
                <w:color w:val="auto"/>
                <w:szCs w:val="21"/>
                <w:highlight w:val="none"/>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7CD393DA">
            <w:pPr>
              <w:jc w:val="center"/>
              <w:rPr>
                <w:rFonts w:hint="eastAsia" w:ascii="宋体" w:hAnsi="宋体" w:eastAsia="宋体" w:cs="宋体"/>
                <w:color w:val="auto"/>
                <w:szCs w:val="21"/>
                <w:highlight w:val="none"/>
              </w:rPr>
            </w:pPr>
          </w:p>
        </w:tc>
        <w:tc>
          <w:tcPr>
            <w:tcW w:w="1528" w:type="dxa"/>
            <w:tcBorders>
              <w:top w:val="single" w:color="auto" w:sz="4" w:space="0"/>
              <w:left w:val="single" w:color="auto" w:sz="4" w:space="0"/>
              <w:bottom w:val="single" w:color="auto" w:sz="4" w:space="0"/>
              <w:right w:val="single" w:color="auto" w:sz="4" w:space="0"/>
            </w:tcBorders>
            <w:noWrap w:val="0"/>
            <w:vAlign w:val="center"/>
          </w:tcPr>
          <w:p w14:paraId="71064692">
            <w:pPr>
              <w:jc w:val="center"/>
              <w:rPr>
                <w:rFonts w:hint="eastAsia" w:ascii="宋体" w:hAnsi="宋体" w:eastAsia="宋体" w:cs="宋体"/>
                <w:color w:val="auto"/>
                <w:szCs w:val="21"/>
                <w:highlight w:val="none"/>
              </w:rPr>
            </w:pPr>
          </w:p>
        </w:tc>
      </w:tr>
      <w:tr w14:paraId="561CF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85" w:type="dxa"/>
            <w:gridSpan w:val="2"/>
            <w:tcBorders>
              <w:top w:val="single" w:color="auto" w:sz="4" w:space="0"/>
              <w:left w:val="single" w:color="auto" w:sz="4" w:space="0"/>
              <w:bottom w:val="single" w:color="auto" w:sz="4" w:space="0"/>
              <w:right w:val="single" w:color="auto" w:sz="4" w:space="0"/>
            </w:tcBorders>
            <w:noWrap w:val="0"/>
            <w:vAlign w:val="center"/>
          </w:tcPr>
          <w:p w14:paraId="17B0616B">
            <w:pPr>
              <w:jc w:val="center"/>
              <w:rPr>
                <w:rFonts w:hint="eastAsia" w:ascii="宋体" w:hAnsi="宋体" w:eastAsia="宋体" w:cs="宋体"/>
                <w:color w:val="auto"/>
                <w:szCs w:val="21"/>
                <w:highlight w:val="none"/>
              </w:rPr>
            </w:pPr>
          </w:p>
        </w:tc>
        <w:tc>
          <w:tcPr>
            <w:tcW w:w="1849" w:type="dxa"/>
            <w:tcBorders>
              <w:top w:val="single" w:color="auto" w:sz="4" w:space="0"/>
              <w:left w:val="single" w:color="auto" w:sz="4" w:space="0"/>
              <w:bottom w:val="single" w:color="auto" w:sz="4" w:space="0"/>
              <w:right w:val="single" w:color="auto" w:sz="4" w:space="0"/>
            </w:tcBorders>
            <w:noWrap w:val="0"/>
            <w:vAlign w:val="center"/>
          </w:tcPr>
          <w:p w14:paraId="7F9F188E">
            <w:pPr>
              <w:jc w:val="center"/>
              <w:rPr>
                <w:rFonts w:hint="eastAsia" w:ascii="宋体" w:hAnsi="宋体" w:eastAsia="宋体" w:cs="宋体"/>
                <w:color w:val="auto"/>
                <w:szCs w:val="21"/>
                <w:highlight w:val="none"/>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05631F9F">
            <w:pPr>
              <w:jc w:val="center"/>
              <w:rPr>
                <w:rFonts w:hint="eastAsia" w:ascii="宋体" w:hAnsi="宋体" w:eastAsia="宋体" w:cs="宋体"/>
                <w:color w:val="auto"/>
                <w:szCs w:val="21"/>
                <w:highlight w:val="none"/>
              </w:rPr>
            </w:pPr>
          </w:p>
        </w:tc>
        <w:tc>
          <w:tcPr>
            <w:tcW w:w="1528" w:type="dxa"/>
            <w:tcBorders>
              <w:top w:val="single" w:color="auto" w:sz="4" w:space="0"/>
              <w:left w:val="single" w:color="auto" w:sz="4" w:space="0"/>
              <w:bottom w:val="single" w:color="auto" w:sz="4" w:space="0"/>
              <w:right w:val="single" w:color="auto" w:sz="4" w:space="0"/>
            </w:tcBorders>
            <w:noWrap w:val="0"/>
            <w:vAlign w:val="center"/>
          </w:tcPr>
          <w:p w14:paraId="21EEF561">
            <w:pPr>
              <w:jc w:val="center"/>
              <w:rPr>
                <w:rFonts w:hint="eastAsia" w:ascii="宋体" w:hAnsi="宋体" w:eastAsia="宋体" w:cs="宋体"/>
                <w:color w:val="auto"/>
                <w:szCs w:val="21"/>
                <w:highlight w:val="none"/>
              </w:rPr>
            </w:pPr>
          </w:p>
        </w:tc>
      </w:tr>
      <w:tr w14:paraId="2101B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77" w:type="dxa"/>
            <w:tcBorders>
              <w:top w:val="single" w:color="auto" w:sz="4" w:space="0"/>
              <w:left w:val="single" w:color="auto" w:sz="4" w:space="0"/>
              <w:bottom w:val="single" w:color="auto" w:sz="4" w:space="0"/>
              <w:right w:val="single" w:color="auto" w:sz="4" w:space="0"/>
            </w:tcBorders>
            <w:noWrap w:val="0"/>
            <w:vAlign w:val="center"/>
          </w:tcPr>
          <w:p w14:paraId="5A6B35B4">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c>
          <w:tcPr>
            <w:tcW w:w="6239" w:type="dxa"/>
            <w:gridSpan w:val="4"/>
            <w:tcBorders>
              <w:top w:val="single" w:color="auto" w:sz="4" w:space="0"/>
              <w:left w:val="single" w:color="auto" w:sz="4" w:space="0"/>
              <w:bottom w:val="single" w:color="auto" w:sz="4" w:space="0"/>
              <w:right w:val="single" w:color="auto" w:sz="4" w:space="0"/>
            </w:tcBorders>
            <w:noWrap w:val="0"/>
            <w:vAlign w:val="center"/>
          </w:tcPr>
          <w:p w14:paraId="3FA44BAC">
            <w:pPr>
              <w:jc w:val="center"/>
              <w:rPr>
                <w:rFonts w:hint="eastAsia" w:ascii="宋体" w:hAnsi="宋体" w:eastAsia="宋体" w:cs="宋体"/>
                <w:color w:val="auto"/>
                <w:szCs w:val="21"/>
                <w:highlight w:val="none"/>
              </w:rPr>
            </w:pPr>
          </w:p>
        </w:tc>
      </w:tr>
    </w:tbl>
    <w:p w14:paraId="4AA6C06E">
      <w:pPr>
        <w:ind w:firstLine="420" w:firstLineChars="200"/>
        <w:rPr>
          <w:rFonts w:hint="eastAsia" w:ascii="宋体" w:hAnsi="宋体" w:eastAsia="宋体" w:cs="宋体"/>
          <w:color w:val="auto"/>
          <w:szCs w:val="21"/>
          <w:highlight w:val="none"/>
        </w:rPr>
      </w:pPr>
    </w:p>
    <w:p w14:paraId="3389250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9-1 法人或者其他组织的营业执照；</w:t>
      </w: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为自然人的提供其身份证复印件</w:t>
      </w:r>
    </w:p>
    <w:p w14:paraId="0961220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 </w:t>
      </w:r>
      <w:r>
        <w:rPr>
          <w:rFonts w:hint="eastAsia" w:ascii="宋体" w:hAnsi="宋体" w:eastAsia="宋体" w:cs="宋体"/>
          <w:bCs/>
          <w:color w:val="auto"/>
          <w:szCs w:val="21"/>
          <w:highlight w:val="none"/>
        </w:rPr>
        <w:t>2024或2025</w:t>
      </w:r>
      <w:r>
        <w:rPr>
          <w:rFonts w:hint="eastAsia" w:ascii="宋体" w:hAnsi="宋体" w:eastAsia="宋体" w:cs="宋体"/>
          <w:color w:val="auto"/>
          <w:szCs w:val="21"/>
          <w:highlight w:val="none"/>
        </w:rPr>
        <w:t>年度经审计的财务报告，成立不满一年的提供至少一个月财务报告，或</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截止时间前六个月内银行出具的资信证明</w:t>
      </w:r>
    </w:p>
    <w:p w14:paraId="3A442BC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9-3 履行合同所必需的设备和专业技术能力的证明材料</w:t>
      </w:r>
      <w:r>
        <w:rPr>
          <w:rFonts w:hint="eastAsia" w:ascii="宋体" w:hAnsi="宋体" w:eastAsia="宋体" w:cs="宋体"/>
          <w:color w:val="auto"/>
          <w:szCs w:val="21"/>
          <w:highlight w:val="none"/>
          <w:lang w:val="en-US" w:eastAsia="zh-CN"/>
        </w:rPr>
        <w:t>或</w:t>
      </w:r>
      <w:r>
        <w:rPr>
          <w:rFonts w:hint="eastAsia" w:ascii="宋体" w:hAnsi="宋体" w:eastAsia="宋体" w:cs="宋体"/>
          <w:color w:val="auto"/>
          <w:szCs w:val="21"/>
          <w:highlight w:val="none"/>
        </w:rPr>
        <w:t>提供承诺书</w:t>
      </w:r>
    </w:p>
    <w:p w14:paraId="27E9F88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9-4 参加本次政府采购活动前半年内至少一个月：①提供缴纳税收的凭证；②提供缴纳社会保险的凭据，依法享受免缴、缓缴的，提供证明材料）</w:t>
      </w:r>
    </w:p>
    <w:p w14:paraId="62B8461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9-5 参加政府采购活动前三年内，在经营活动中没有重大违法记录（提供承诺书）</w:t>
      </w:r>
    </w:p>
    <w:p w14:paraId="22B7C5E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9-6 特定资格条件证明材料（提供相关</w:t>
      </w:r>
      <w:r>
        <w:rPr>
          <w:rFonts w:hint="eastAsia" w:ascii="宋体" w:hAnsi="宋体" w:eastAsia="宋体" w:cs="宋体"/>
          <w:color w:val="auto"/>
          <w:szCs w:val="21"/>
          <w:highlight w:val="none"/>
          <w:lang w:val="en-US" w:eastAsia="zh-CN"/>
        </w:rPr>
        <w:t>有效</w:t>
      </w:r>
      <w:r>
        <w:rPr>
          <w:rFonts w:hint="eastAsia" w:ascii="宋体" w:hAnsi="宋体" w:eastAsia="宋体" w:cs="宋体"/>
          <w:color w:val="auto"/>
          <w:szCs w:val="21"/>
          <w:highlight w:val="none"/>
        </w:rPr>
        <w:t>证书</w:t>
      </w:r>
      <w:r>
        <w:rPr>
          <w:rFonts w:hint="eastAsia" w:ascii="宋体" w:hAnsi="宋体" w:eastAsia="宋体" w:cs="宋体"/>
          <w:color w:val="auto"/>
          <w:szCs w:val="21"/>
          <w:highlight w:val="none"/>
          <w:lang w:val="en-US" w:eastAsia="zh-CN"/>
        </w:rPr>
        <w:t>的</w:t>
      </w:r>
      <w:r>
        <w:rPr>
          <w:rFonts w:hint="eastAsia" w:ascii="宋体" w:hAnsi="宋体" w:eastAsia="宋体" w:cs="宋体"/>
          <w:color w:val="auto"/>
          <w:szCs w:val="21"/>
          <w:highlight w:val="none"/>
        </w:rPr>
        <w:t>扫描件</w:t>
      </w:r>
      <w:r>
        <w:rPr>
          <w:rFonts w:hint="eastAsia" w:ascii="宋体" w:hAnsi="宋体" w:eastAsia="宋体" w:cs="宋体"/>
          <w:color w:val="auto"/>
          <w:szCs w:val="21"/>
          <w:highlight w:val="none"/>
          <w:lang w:val="en-US" w:eastAsia="zh-CN"/>
        </w:rPr>
        <w:t>及承诺书</w:t>
      </w:r>
      <w:r>
        <w:rPr>
          <w:rFonts w:hint="eastAsia" w:ascii="宋体" w:hAnsi="宋体" w:eastAsia="宋体" w:cs="宋体"/>
          <w:color w:val="auto"/>
          <w:szCs w:val="21"/>
          <w:highlight w:val="none"/>
        </w:rPr>
        <w:t>）</w:t>
      </w:r>
    </w:p>
    <w:p w14:paraId="75AF601B">
      <w:pPr>
        <w:widowControl/>
        <w:shd w:val="clear" w:color="auto" w:fill="FFFFFF"/>
        <w:spacing w:before="240" w:beforeLines="100" w:line="360" w:lineRule="auto"/>
        <w:jc w:val="center"/>
        <w:rPr>
          <w:rFonts w:hint="eastAsia" w:ascii="宋体" w:hAnsi="宋体" w:eastAsia="宋体" w:cs="宋体"/>
          <w:b/>
          <w:color w:val="auto"/>
          <w:kern w:val="0"/>
          <w:sz w:val="36"/>
          <w:szCs w:val="36"/>
          <w:highlight w:val="none"/>
        </w:rPr>
      </w:pPr>
      <w:r>
        <w:rPr>
          <w:rFonts w:hint="eastAsia" w:ascii="宋体" w:hAnsi="宋体" w:eastAsia="宋体" w:cs="宋体"/>
          <w:b/>
          <w:color w:val="auto"/>
          <w:kern w:val="0"/>
          <w:sz w:val="36"/>
          <w:szCs w:val="36"/>
          <w:highlight w:val="none"/>
        </w:rPr>
        <w:t>无重大违法记录声明</w:t>
      </w:r>
    </w:p>
    <w:p w14:paraId="35E8C396">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2"/>
          <w:highlight w:val="none"/>
        </w:rPr>
        <w:t>致</w:t>
      </w:r>
      <w:r>
        <w:rPr>
          <w:rFonts w:hint="eastAsia" w:ascii="宋体" w:hAnsi="宋体" w:eastAsia="宋体" w:cs="宋体"/>
          <w:color w:val="auto"/>
          <w:szCs w:val="21"/>
          <w:highlight w:val="none"/>
        </w:rPr>
        <w:t>江苏省设备成套股份有限公司</w:t>
      </w:r>
      <w:r>
        <w:rPr>
          <w:rFonts w:hint="eastAsia" w:ascii="宋体" w:hAnsi="宋体" w:eastAsia="宋体" w:cs="宋体"/>
          <w:color w:val="auto"/>
          <w:szCs w:val="22"/>
          <w:highlight w:val="none"/>
        </w:rPr>
        <w:t>：</w:t>
      </w:r>
    </w:p>
    <w:p w14:paraId="1AD2EF80">
      <w:pPr>
        <w:widowControl/>
        <w:shd w:val="clear" w:color="auto" w:fill="FFFFFF"/>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我单位（</w:t>
      </w:r>
      <w:r>
        <w:rPr>
          <w:rFonts w:hint="eastAsia" w:ascii="宋体" w:hAnsi="宋体" w:eastAsia="宋体" w:cs="宋体"/>
          <w:color w:val="auto"/>
          <w:kern w:val="0"/>
          <w:szCs w:val="21"/>
          <w:highlight w:val="none"/>
          <w:lang w:val="en-US" w:eastAsia="zh-CN"/>
        </w:rPr>
        <w:t>投标人</w:t>
      </w:r>
      <w:r>
        <w:rPr>
          <w:rFonts w:hint="eastAsia" w:ascii="宋体" w:hAnsi="宋体" w:eastAsia="宋体" w:cs="宋体"/>
          <w:color w:val="auto"/>
          <w:kern w:val="0"/>
          <w:szCs w:val="21"/>
          <w:highlight w:val="none"/>
        </w:rPr>
        <w:t>名称）宣布声明和承诺如下：</w:t>
      </w:r>
    </w:p>
    <w:p w14:paraId="04BD9C15">
      <w:pPr>
        <w:widowControl/>
        <w:shd w:val="clear" w:color="auto" w:fill="FFFFFF"/>
        <w:spacing w:line="360" w:lineRule="auto"/>
        <w:ind w:firstLine="420" w:firstLineChars="200"/>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我单位参加本次采购活动前3年内在经营活动中</w:t>
      </w:r>
      <w:r>
        <w:rPr>
          <w:rFonts w:hint="eastAsia" w:ascii="宋体" w:hAnsi="宋体" w:eastAsia="宋体" w:cs="宋体"/>
          <w:color w:val="auto"/>
          <w:szCs w:val="22"/>
          <w:highlight w:val="none"/>
        </w:rPr>
        <w:t>（</w:t>
      </w:r>
      <w:r>
        <w:rPr>
          <w:rFonts w:hint="eastAsia" w:ascii="宋体" w:hAnsi="宋体" w:eastAsia="宋体" w:cs="宋体"/>
          <w:b/>
          <w:i/>
          <w:color w:val="auto"/>
          <w:szCs w:val="22"/>
          <w:highlight w:val="none"/>
          <w:u w:val="single"/>
        </w:rPr>
        <w:t>在下划线上如实填写：有或没有</w:t>
      </w:r>
      <w:r>
        <w:rPr>
          <w:rFonts w:hint="eastAsia" w:ascii="宋体" w:hAnsi="宋体" w:eastAsia="宋体" w:cs="宋体"/>
          <w:color w:val="auto"/>
          <w:szCs w:val="22"/>
          <w:highlight w:val="none"/>
        </w:rPr>
        <w:t>）</w:t>
      </w:r>
      <w:r>
        <w:rPr>
          <w:rFonts w:hint="eastAsia" w:ascii="宋体" w:hAnsi="宋体" w:eastAsia="宋体" w:cs="宋体"/>
          <w:b/>
          <w:color w:val="auto"/>
          <w:szCs w:val="22"/>
          <w:highlight w:val="none"/>
        </w:rPr>
        <w:t>重大违法记录</w:t>
      </w:r>
      <w:r>
        <w:rPr>
          <w:rFonts w:hint="eastAsia" w:ascii="宋体" w:hAnsi="宋体" w:eastAsia="宋体" w:cs="宋体"/>
          <w:b/>
          <w:color w:val="auto"/>
          <w:kern w:val="0"/>
          <w:szCs w:val="21"/>
          <w:highlight w:val="none"/>
        </w:rPr>
        <w:t>，且不是失信被执行人、重大税收违法案件当事人名单、政府采购严重违法失信行为记录名单的供应商。</w:t>
      </w:r>
    </w:p>
    <w:p w14:paraId="041DE51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（说明：政府采购法第二十二条第一款第五项所称重大违法记录，是指供应商因违法经营受到刑事处罚或者责令停产停业、吊销许可证或者执照、较大数额罚款等行政处罚。）</w:t>
      </w:r>
    </w:p>
    <w:p w14:paraId="3152B0C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0D492D83">
      <w:pPr>
        <w:pBdr>
          <w:top w:val="none" w:color="000000" w:sz="0" w:space="0"/>
          <w:left w:val="none" w:color="000000" w:sz="0" w:space="0"/>
          <w:bottom w:val="none" w:color="000000" w:sz="0" w:space="0"/>
          <w:right w:val="none" w:color="000000" w:sz="0" w:space="0"/>
        </w:pBdr>
        <w:spacing w:before="0" w:after="0" w:line="85" w:lineRule="atLeast"/>
        <w:ind w:left="0" w:right="0" w:firstLine="5103"/>
        <w:jc w:val="both"/>
        <w:rPr>
          <w:rFonts w:hint="eastAsia" w:ascii="宋体" w:hAnsi="宋体" w:eastAsia="宋体" w:cs="宋体"/>
          <w:color w:val="auto"/>
          <w:highlight w:val="none"/>
        </w:rPr>
      </w:pPr>
      <w:r>
        <w:rPr>
          <w:rFonts w:hint="eastAsia" w:ascii="宋体" w:hAnsi="宋体" w:eastAsia="宋体" w:cs="宋体"/>
          <w:color w:val="auto"/>
          <w:sz w:val="21"/>
          <w:highlight w:val="none"/>
        </w:rPr>
        <w:t>声明人：（加盖电子公章）</w:t>
      </w:r>
    </w:p>
    <w:p w14:paraId="5A05F0D2">
      <w:pPr>
        <w:pBdr>
          <w:top w:val="none" w:color="000000" w:sz="0" w:space="0"/>
          <w:left w:val="none" w:color="000000" w:sz="0" w:space="0"/>
          <w:bottom w:val="none" w:color="000000" w:sz="0" w:space="0"/>
          <w:right w:val="none" w:color="000000" w:sz="0" w:space="0"/>
        </w:pBdr>
        <w:spacing w:before="0" w:after="0" w:line="85" w:lineRule="atLeast"/>
        <w:ind w:left="0" w:right="0" w:firstLine="5040"/>
        <w:jc w:val="both"/>
        <w:rPr>
          <w:rFonts w:hint="eastAsia" w:ascii="宋体" w:hAnsi="宋体" w:eastAsia="宋体" w:cs="宋体"/>
          <w:color w:val="auto"/>
          <w:highlight w:val="none"/>
        </w:rPr>
      </w:pPr>
      <w:r>
        <w:rPr>
          <w:rFonts w:hint="eastAsia" w:ascii="宋体" w:hAnsi="宋体" w:eastAsia="宋体" w:cs="宋体"/>
          <w:color w:val="auto"/>
          <w:sz w:val="21"/>
          <w:highlight w:val="none"/>
        </w:rPr>
        <w:t>日期：    年   月</w:t>
      </w:r>
      <w:r>
        <w:rPr>
          <w:rFonts w:hint="eastAsia" w:ascii="宋体" w:hAnsi="宋体" w:eastAsia="宋体" w:cs="宋体"/>
          <w:color w:val="auto"/>
          <w:sz w:val="21"/>
          <w:highlight w:val="none"/>
        </w:rPr>
        <w:br w:type="page" w:clear="all"/>
      </w:r>
    </w:p>
    <w:p w14:paraId="3F22F22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附件十、 联合体协议及联合体授权委托书（如允许联合体）</w:t>
      </w:r>
    </w:p>
    <w:p w14:paraId="2FCA7DE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0EA3F18D">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b/>
          <w:color w:val="auto"/>
          <w:sz w:val="21"/>
          <w:highlight w:val="none"/>
        </w:rPr>
        <w:t>附件</w:t>
      </w:r>
      <w:r>
        <w:rPr>
          <w:rFonts w:hint="eastAsia" w:ascii="宋体" w:hAnsi="宋体" w:eastAsia="宋体" w:cs="宋体"/>
          <w:b/>
          <w:color w:val="auto"/>
          <w:sz w:val="21"/>
          <w:highlight w:val="none"/>
          <w:lang w:val="en-US" w:eastAsia="zh-CN"/>
        </w:rPr>
        <w:t>十一</w:t>
      </w:r>
      <w:r>
        <w:rPr>
          <w:rFonts w:hint="eastAsia" w:ascii="宋体" w:hAnsi="宋体" w:eastAsia="宋体" w:cs="宋体"/>
          <w:b/>
          <w:color w:val="auto"/>
          <w:sz w:val="21"/>
          <w:highlight w:val="none"/>
        </w:rPr>
        <w:t>、技术方案</w:t>
      </w:r>
    </w:p>
    <w:p w14:paraId="1CE13EFA">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30168282">
      <w:pPr>
        <w:pBdr>
          <w:top w:val="none" w:color="000000" w:sz="0" w:space="0"/>
          <w:left w:val="none" w:color="000000" w:sz="0" w:space="0"/>
          <w:bottom w:val="none" w:color="000000" w:sz="0" w:space="0"/>
          <w:right w:val="none" w:color="000000" w:sz="0" w:space="0"/>
        </w:pBdr>
        <w:spacing w:before="0" w:after="0"/>
        <w:ind w:left="0" w:right="0" w:firstLine="420"/>
        <w:rPr>
          <w:rFonts w:hint="eastAsia" w:ascii="宋体" w:hAnsi="宋体" w:eastAsia="宋体" w:cs="宋体"/>
          <w:b/>
          <w:bCs/>
          <w:color w:val="auto"/>
          <w:highlight w:val="none"/>
          <w:lang w:eastAsia="zh-CN"/>
        </w:rPr>
      </w:pPr>
      <w:r>
        <w:rPr>
          <w:rFonts w:hint="eastAsia" w:ascii="宋体" w:hAnsi="宋体" w:eastAsia="宋体" w:cs="宋体"/>
          <w:color w:val="auto"/>
          <w:sz w:val="21"/>
          <w:highlight w:val="none"/>
        </w:rPr>
        <w:t>根据采购人对项目的要求、评标标准的要求及项目本身的特点编写</w:t>
      </w:r>
      <w:r>
        <w:rPr>
          <w:rFonts w:hint="eastAsia" w:ascii="宋体" w:hAnsi="宋体" w:eastAsia="宋体" w:cs="宋体"/>
          <w:color w:val="auto"/>
          <w:sz w:val="21"/>
          <w:highlight w:val="none"/>
          <w:lang w:eastAsia="zh-CN"/>
        </w:rPr>
        <w:t>。</w:t>
      </w:r>
    </w:p>
    <w:p w14:paraId="36BF70F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p>
    <w:p w14:paraId="5DC180B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附件十</w:t>
      </w:r>
      <w:r>
        <w:rPr>
          <w:rFonts w:hint="eastAsia" w:ascii="宋体" w:hAnsi="宋体" w:eastAsia="宋体" w:cs="宋体"/>
          <w:b/>
          <w:color w:val="auto"/>
          <w:sz w:val="21"/>
          <w:highlight w:val="none"/>
          <w:lang w:val="en-US" w:eastAsia="zh-CN"/>
        </w:rPr>
        <w:t>二</w:t>
      </w:r>
      <w:r>
        <w:rPr>
          <w:rFonts w:hint="eastAsia" w:ascii="宋体" w:hAnsi="宋体" w:eastAsia="宋体" w:cs="宋体"/>
          <w:b/>
          <w:color w:val="auto"/>
          <w:sz w:val="21"/>
          <w:highlight w:val="none"/>
        </w:rPr>
        <w:t>、其他</w:t>
      </w:r>
    </w:p>
    <w:p w14:paraId="324D535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22C31B0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66BE49D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6F69051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5F0F1D8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2E63703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768CB6E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520D3E8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7BB5CA5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408C8B4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43CA50E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16CF6E5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4F608C9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42724C1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57E86D5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p>
    <w:p w14:paraId="24446941">
      <w:pPr>
        <w:rPr>
          <w:rFonts w:hint="eastAsia" w:ascii="宋体" w:hAnsi="宋体" w:eastAsia="宋体" w:cs="宋体"/>
          <w:color w:val="auto"/>
          <w:highlight w:val="none"/>
        </w:rPr>
      </w:pPr>
    </w:p>
    <w:sectPr>
      <w:pgSz w:w="11906" w:h="16838"/>
      <w:pgMar w:top="1134" w:right="850" w:bottom="1134" w:left="1701" w:header="709" w:footer="709"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724CC">
    <w:pPr>
      <w:pStyle w:val="21"/>
      <w:tabs>
        <w:tab w:val="center" w:pos="4153"/>
        <w:tab w:val="right" w:pos="8306"/>
        <w:tab w:val="clear" w:pos="7143"/>
        <w:tab w:val="clear" w:pos="14287"/>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BA306">
    <w:pPr>
      <w:pStyle w:val="21"/>
      <w:tabs>
        <w:tab w:val="center" w:pos="4153"/>
        <w:tab w:val="right" w:pos="8306"/>
        <w:tab w:val="clear" w:pos="7143"/>
        <w:tab w:val="clear" w:pos="14287"/>
      </w:tabs>
    </w:pPr>
    <w:r>
      <w:pict>
        <v:shape id="_x0000_s4099" o:spid="_x0000_s4099"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weight="1.25pt"/>
          <v:imagedata o:title=""/>
          <o:lock v:ext="edit" aspectratio="f"/>
          <v:textbox inset="0mm,0mm,0mm,0mm" style="mso-fit-shape-to-text:t;">
            <w:txbxContent>
              <w:p w14:paraId="5BDF2207">
                <w:pPr>
                  <w:pStyle w:val="21"/>
                  <w:tabs>
                    <w:tab w:val="center" w:pos="4153"/>
                    <w:tab w:val="right" w:pos="8306"/>
                    <w:tab w:val="clear" w:pos="7143"/>
                    <w:tab w:val="clear" w:pos="14287"/>
                  </w:tabs>
                  <w:rPr>
                    <w:sz w:val="21"/>
                    <w:szCs w:val="22"/>
                  </w:rPr>
                </w:pPr>
                <w:r>
                  <w:rPr>
                    <w:sz w:val="21"/>
                    <w:szCs w:val="22"/>
                  </w:rPr>
                  <w:fldChar w:fldCharType="begin"/>
                </w:r>
                <w:r>
                  <w:rPr>
                    <w:sz w:val="21"/>
                    <w:szCs w:val="22"/>
                  </w:rPr>
                  <w:instrText xml:space="preserve"> PAGE  \* MERGEFORMAT </w:instrText>
                </w:r>
                <w:r>
                  <w:rPr>
                    <w:sz w:val="21"/>
                    <w:szCs w:val="22"/>
                  </w:rPr>
                  <w:fldChar w:fldCharType="separate"/>
                </w:r>
                <w:r>
                  <w:rPr>
                    <w:sz w:val="21"/>
                    <w:szCs w:val="22"/>
                  </w:rPr>
                  <w:t>17</w:t>
                </w:r>
                <w:r>
                  <w:rPr>
                    <w:sz w:val="21"/>
                    <w:szCs w:val="22"/>
                  </w:rP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A25BD0">
    <w:pPr>
      <w:pStyle w:val="21"/>
      <w:tabs>
        <w:tab w:val="center" w:pos="4153"/>
        <w:tab w:val="right" w:pos="8306"/>
        <w:tab w:val="clear" w:pos="7143"/>
        <w:tab w:val="clear" w:pos="14287"/>
      </w:tabs>
      <w:jc w:val="center"/>
    </w:pPr>
    <w:r>
      <w:pict>
        <v:shape id="_x0000_s4098" o:spid="_x0000_s4098"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path/>
          <v:fill on="f" focussize="0,0"/>
          <v:stroke on="f"/>
          <v:imagedata o:title=""/>
          <o:lock v:ext="edit" aspectratio="f"/>
          <v:textbox inset="0mm,0mm,0mm,0mm" style="mso-fit-shape-to-text:t;">
            <w:txbxContent>
              <w:p w14:paraId="573BF6C2">
                <w:pPr>
                  <w:pStyle w:val="21"/>
                  <w:tabs>
                    <w:tab w:val="center" w:pos="4153"/>
                    <w:tab w:val="right" w:pos="8306"/>
                    <w:tab w:val="clear" w:pos="7143"/>
                    <w:tab w:val="clear" w:pos="14287"/>
                  </w:tabs>
                  <w:jc w:val="center"/>
                </w:pPr>
                <w:r>
                  <w:fldChar w:fldCharType="begin"/>
                </w:r>
                <w:r>
                  <w:instrText xml:space="preserve">PAGE   \* MERGEFORMAT</w:instrText>
                </w:r>
                <w:r>
                  <w:fldChar w:fldCharType="separate"/>
                </w:r>
                <w:r>
                  <w:rPr>
                    <w:lang w:val="zh-CN"/>
                  </w:rPr>
                  <w:t>31</w:t>
                </w:r>
                <w:r>
                  <w:fldChar w:fldCharType="end"/>
                </w:r>
              </w:p>
            </w:txbxContent>
          </v:textbox>
        </v:shape>
      </w:pict>
    </w:r>
  </w:p>
  <w:p w14:paraId="44F85618">
    <w:pPr>
      <w:pStyle w:val="21"/>
      <w:tabs>
        <w:tab w:val="center" w:pos="4153"/>
        <w:tab w:val="right" w:pos="8306"/>
        <w:tab w:val="clear" w:pos="7143"/>
        <w:tab w:val="clear" w:pos="14287"/>
      </w:tabs>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EF16AB"/>
    <w:multiLevelType w:val="multilevel"/>
    <w:tmpl w:val="0EEF16AB"/>
    <w:lvl w:ilvl="0" w:tentative="0">
      <w:start w:val="11"/>
      <w:numFmt w:val="decimal"/>
      <w:lvlText w:val="%1"/>
      <w:lvlJc w:val="left"/>
      <w:pPr>
        <w:ind w:left="450" w:hanging="450"/>
      </w:pPr>
      <w:rPr>
        <w:rFonts w:hint="default"/>
      </w:rPr>
    </w:lvl>
    <w:lvl w:ilvl="1" w:tentative="0">
      <w:start w:val="6"/>
      <w:numFmt w:val="decimal"/>
      <w:lvlText w:val="%1.%2"/>
      <w:lvlJc w:val="left"/>
      <w:pPr>
        <w:ind w:left="450" w:hanging="45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
    <w:nsid w:val="121977D8"/>
    <w:multiLevelType w:val="multilevel"/>
    <w:tmpl w:val="121977D8"/>
    <w:lvl w:ilvl="0" w:tentative="0">
      <w:start w:val="12"/>
      <w:numFmt w:val="decimal"/>
      <w:lvlText w:val="%1"/>
      <w:lvlJc w:val="left"/>
      <w:pPr>
        <w:ind w:left="450" w:hanging="450"/>
      </w:pPr>
      <w:rPr>
        <w:rFonts w:hint="default"/>
      </w:rPr>
    </w:lvl>
    <w:lvl w:ilvl="1" w:tentative="0">
      <w:start w:val="1"/>
      <w:numFmt w:val="decimal"/>
      <w:lvlText w:val="%1.%2"/>
      <w:lvlJc w:val="left"/>
      <w:pPr>
        <w:ind w:left="450" w:hanging="45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2">
    <w:nsid w:val="59ADCABA"/>
    <w:multiLevelType w:val="multilevel"/>
    <w:tmpl w:val="59ADCABA"/>
    <w:lvl w:ilvl="0" w:tentative="0">
      <w:start w:val="29"/>
      <w:numFmt w:val="decimal"/>
      <w:lvlText w:val="%1、"/>
      <w:lvlJc w:val="left"/>
      <w:pPr>
        <w:ind w:left="0" w:firstLine="0"/>
      </w:pPr>
    </w:lvl>
    <w:lvl w:ilvl="1" w:tentative="0">
      <w:start w:val="1"/>
      <w:numFmt w:val="bullet"/>
      <w:lvlText w:val="&quot;o&quot;"/>
      <w:lvlJc w:val="left"/>
      <w:pPr>
        <w:ind w:left="1440" w:hanging="360"/>
      </w:pPr>
      <w:rPr>
        <w:rFonts w:hint="default" w:ascii="Courier New" w:hAnsi="Courier New" w:eastAsia="Courier New" w:cs="Courier New"/>
      </w:rPr>
    </w:lvl>
    <w:lvl w:ilvl="2" w:tentative="0">
      <w:start w:val="1"/>
      <w:numFmt w:val="bullet"/>
      <w:lvlText w:val="&quot;§&quot;"/>
      <w:lvlJc w:val="left"/>
      <w:pPr>
        <w:ind w:left="2160" w:hanging="360"/>
      </w:pPr>
      <w:rPr>
        <w:rFonts w:hint="default" w:ascii="Wingdings" w:hAnsi="Wingdings" w:eastAsia="Wingdings" w:cs="Wingdings"/>
      </w:rPr>
    </w:lvl>
    <w:lvl w:ilvl="3" w:tentative="0">
      <w:start w:val="1"/>
      <w:numFmt w:val="bullet"/>
      <w:lvlText w:val="&quot;·&quot;"/>
      <w:lvlJc w:val="left"/>
      <w:pPr>
        <w:ind w:left="2880" w:hanging="360"/>
      </w:pPr>
      <w:rPr>
        <w:rFonts w:hint="default" w:ascii="Symbol" w:hAnsi="Symbol" w:eastAsia="Symbol" w:cs="Symbol"/>
      </w:rPr>
    </w:lvl>
    <w:lvl w:ilvl="4" w:tentative="0">
      <w:start w:val="1"/>
      <w:numFmt w:val="bullet"/>
      <w:lvlText w:val="&quot;o&quot;"/>
      <w:lvlJc w:val="left"/>
      <w:pPr>
        <w:ind w:left="3600" w:hanging="360"/>
      </w:pPr>
      <w:rPr>
        <w:rFonts w:hint="default" w:ascii="Courier New" w:hAnsi="Courier New" w:eastAsia="Courier New" w:cs="Courier New"/>
      </w:rPr>
    </w:lvl>
    <w:lvl w:ilvl="5" w:tentative="0">
      <w:start w:val="1"/>
      <w:numFmt w:val="bullet"/>
      <w:lvlText w:val="&quot;§&quot;"/>
      <w:lvlJc w:val="left"/>
      <w:pPr>
        <w:ind w:left="4320" w:hanging="360"/>
      </w:pPr>
      <w:rPr>
        <w:rFonts w:hint="default" w:ascii="Wingdings" w:hAnsi="Wingdings" w:eastAsia="Wingdings" w:cs="Wingdings"/>
      </w:rPr>
    </w:lvl>
    <w:lvl w:ilvl="6" w:tentative="0">
      <w:start w:val="1"/>
      <w:numFmt w:val="bullet"/>
      <w:lvlText w:val="&quot;·&quot;"/>
      <w:lvlJc w:val="left"/>
      <w:pPr>
        <w:ind w:left="5040" w:hanging="360"/>
      </w:pPr>
      <w:rPr>
        <w:rFonts w:hint="default" w:ascii="Symbol" w:hAnsi="Symbol" w:eastAsia="Symbol" w:cs="Symbol"/>
      </w:rPr>
    </w:lvl>
    <w:lvl w:ilvl="7" w:tentative="0">
      <w:start w:val="1"/>
      <w:numFmt w:val="bullet"/>
      <w:lvlText w:val="&quot;o&quot;"/>
      <w:lvlJc w:val="left"/>
      <w:pPr>
        <w:ind w:left="5760" w:hanging="360"/>
      </w:pPr>
      <w:rPr>
        <w:rFonts w:hint="default" w:ascii="Courier New" w:hAnsi="Courier New" w:eastAsia="Courier New" w:cs="Courier New"/>
      </w:rPr>
    </w:lvl>
    <w:lvl w:ilvl="8" w:tentative="0">
      <w:start w:val="1"/>
      <w:numFmt w:val="bullet"/>
      <w:lvlText w:val="&quot;§&quot;"/>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bordersDoNotSurroundHeader w:val="0"/>
  <w:bordersDoNotSurroundFooter w:val="0"/>
  <w:documentProtection w:enforcement="0"/>
  <w:defaultTabStop w:val="709"/>
  <w:displayHorizontalDrawingGridEvery w:val="1"/>
  <w:displayVerticalDrawingGridEvery w:val="1"/>
  <w:noPunctuationKerning w:val="1"/>
  <w:characterSpacingControl w:val="doNotCompress"/>
  <w:hdrShapeDefaults>
    <o:shapelayout v:ext="edit">
      <o:idmap v:ext="edit" data="3,4"/>
    </o:shapelayout>
  </w:hdrShapeDefaults>
  <w:compat>
    <w:doNotExpandShiftReturn/>
    <w:doNotWrapTextWithPunct/>
    <w:doNotUseEastAsianBreakRules/>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902C2"/>
    <w:rsid w:val="01217EFD"/>
    <w:rsid w:val="02040753"/>
    <w:rsid w:val="03985E55"/>
    <w:rsid w:val="03DC1737"/>
    <w:rsid w:val="04F42BDC"/>
    <w:rsid w:val="077F1DD0"/>
    <w:rsid w:val="099C2E14"/>
    <w:rsid w:val="0A06626A"/>
    <w:rsid w:val="0A1C46F3"/>
    <w:rsid w:val="0A7F2DEC"/>
    <w:rsid w:val="0B862806"/>
    <w:rsid w:val="0BA81030"/>
    <w:rsid w:val="0C281010"/>
    <w:rsid w:val="0C6C62F9"/>
    <w:rsid w:val="0D8E495E"/>
    <w:rsid w:val="0F361F71"/>
    <w:rsid w:val="11D25FA0"/>
    <w:rsid w:val="125F27C9"/>
    <w:rsid w:val="12E52A16"/>
    <w:rsid w:val="14C925EF"/>
    <w:rsid w:val="14CC6AA1"/>
    <w:rsid w:val="172414FA"/>
    <w:rsid w:val="17AF09B5"/>
    <w:rsid w:val="19944FA5"/>
    <w:rsid w:val="1A5342E4"/>
    <w:rsid w:val="1ADC1279"/>
    <w:rsid w:val="1B115B38"/>
    <w:rsid w:val="1B9154C5"/>
    <w:rsid w:val="1CDE3281"/>
    <w:rsid w:val="1D007944"/>
    <w:rsid w:val="1D8848A1"/>
    <w:rsid w:val="1DBB017D"/>
    <w:rsid w:val="1F187E58"/>
    <w:rsid w:val="21734497"/>
    <w:rsid w:val="236D11B5"/>
    <w:rsid w:val="2398555C"/>
    <w:rsid w:val="24095E05"/>
    <w:rsid w:val="24770576"/>
    <w:rsid w:val="266748C4"/>
    <w:rsid w:val="26F7510D"/>
    <w:rsid w:val="287E269F"/>
    <w:rsid w:val="28C72F8E"/>
    <w:rsid w:val="291C7002"/>
    <w:rsid w:val="29214463"/>
    <w:rsid w:val="2B2428B7"/>
    <w:rsid w:val="2BE03317"/>
    <w:rsid w:val="2C2424C6"/>
    <w:rsid w:val="2C9C09A8"/>
    <w:rsid w:val="2E083756"/>
    <w:rsid w:val="2F2757D2"/>
    <w:rsid w:val="30D27246"/>
    <w:rsid w:val="31E74306"/>
    <w:rsid w:val="32CA0203"/>
    <w:rsid w:val="32EF352F"/>
    <w:rsid w:val="34DB15D1"/>
    <w:rsid w:val="352B0C6C"/>
    <w:rsid w:val="36406870"/>
    <w:rsid w:val="36AA0BFF"/>
    <w:rsid w:val="375546D0"/>
    <w:rsid w:val="37C42410"/>
    <w:rsid w:val="38C02AD1"/>
    <w:rsid w:val="395B2197"/>
    <w:rsid w:val="3AB900AC"/>
    <w:rsid w:val="3B081C8C"/>
    <w:rsid w:val="3B3D2A8B"/>
    <w:rsid w:val="3B80120B"/>
    <w:rsid w:val="3C022F17"/>
    <w:rsid w:val="3DE72877"/>
    <w:rsid w:val="3FA10382"/>
    <w:rsid w:val="44483A79"/>
    <w:rsid w:val="44DF4016"/>
    <w:rsid w:val="45137ED3"/>
    <w:rsid w:val="458839F4"/>
    <w:rsid w:val="45B51A13"/>
    <w:rsid w:val="47464CF6"/>
    <w:rsid w:val="476B6BD2"/>
    <w:rsid w:val="49297C2A"/>
    <w:rsid w:val="49F42EAF"/>
    <w:rsid w:val="4A952DB9"/>
    <w:rsid w:val="4B11098D"/>
    <w:rsid w:val="4BB84D1D"/>
    <w:rsid w:val="4C4E195F"/>
    <w:rsid w:val="4C684698"/>
    <w:rsid w:val="4CDF6854"/>
    <w:rsid w:val="4CF10029"/>
    <w:rsid w:val="4D683769"/>
    <w:rsid w:val="4E360D7B"/>
    <w:rsid w:val="4F937FD5"/>
    <w:rsid w:val="50632B3C"/>
    <w:rsid w:val="52920B41"/>
    <w:rsid w:val="541B3C32"/>
    <w:rsid w:val="54313F88"/>
    <w:rsid w:val="54324779"/>
    <w:rsid w:val="54B32C96"/>
    <w:rsid w:val="57F8000E"/>
    <w:rsid w:val="58660163"/>
    <w:rsid w:val="593257A1"/>
    <w:rsid w:val="59FF5F31"/>
    <w:rsid w:val="5B7E095D"/>
    <w:rsid w:val="5BED4BFC"/>
    <w:rsid w:val="5D4D0A95"/>
    <w:rsid w:val="5D78456B"/>
    <w:rsid w:val="5E2C27BF"/>
    <w:rsid w:val="5F9E149B"/>
    <w:rsid w:val="61C8276E"/>
    <w:rsid w:val="63054983"/>
    <w:rsid w:val="647E189B"/>
    <w:rsid w:val="663351E3"/>
    <w:rsid w:val="664F0CB2"/>
    <w:rsid w:val="66BC2921"/>
    <w:rsid w:val="686A0590"/>
    <w:rsid w:val="689B59AF"/>
    <w:rsid w:val="69800C3F"/>
    <w:rsid w:val="6A2B2CE6"/>
    <w:rsid w:val="6B1C7B90"/>
    <w:rsid w:val="6D4E1533"/>
    <w:rsid w:val="6E307B45"/>
    <w:rsid w:val="6E6A4E35"/>
    <w:rsid w:val="6EA03C18"/>
    <w:rsid w:val="6EB06F74"/>
    <w:rsid w:val="704770DF"/>
    <w:rsid w:val="71035757"/>
    <w:rsid w:val="71B22F13"/>
    <w:rsid w:val="71CC030F"/>
    <w:rsid w:val="71DE3CE7"/>
    <w:rsid w:val="72111C83"/>
    <w:rsid w:val="72655E01"/>
    <w:rsid w:val="74935123"/>
    <w:rsid w:val="74D12C88"/>
    <w:rsid w:val="760B4F58"/>
    <w:rsid w:val="76666BE5"/>
    <w:rsid w:val="77690171"/>
    <w:rsid w:val="77A13DC6"/>
    <w:rsid w:val="79FA156C"/>
    <w:rsid w:val="7B203504"/>
    <w:rsid w:val="7B522AA8"/>
    <w:rsid w:val="7B60463D"/>
    <w:rsid w:val="7BD849B9"/>
    <w:rsid w:val="7C6A6DD3"/>
    <w:rsid w:val="7C7918E3"/>
    <w:rsid w:val="7E1E063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1"/>
      <w:szCs w:val="22"/>
    </w:rPr>
  </w:style>
  <w:style w:type="paragraph" w:styleId="3">
    <w:name w:val="heading 1"/>
    <w:basedOn w:val="1"/>
    <w:next w:val="1"/>
    <w:link w:val="38"/>
    <w:qFormat/>
    <w:uiPriority w:val="9"/>
    <w:pPr>
      <w:keepNext/>
      <w:keepLines/>
      <w:spacing w:before="480" w:after="200"/>
      <w:outlineLvl w:val="0"/>
    </w:pPr>
    <w:rPr>
      <w:rFonts w:ascii="Arial" w:hAnsi="Arial" w:eastAsia="Arial" w:cs="Arial"/>
      <w:sz w:val="40"/>
      <w:szCs w:val="40"/>
    </w:rPr>
  </w:style>
  <w:style w:type="paragraph" w:styleId="4">
    <w:name w:val="heading 2"/>
    <w:link w:val="39"/>
    <w:unhideWhenUsed/>
    <w:qFormat/>
    <w:uiPriority w:val="9"/>
    <w:pPr>
      <w:keepNext/>
      <w:keepLines/>
      <w:spacing w:before="360" w:after="200"/>
      <w:outlineLvl w:val="1"/>
    </w:pPr>
    <w:rPr>
      <w:rFonts w:ascii="Arial" w:hAnsi="Arial" w:eastAsia="Arial" w:cs="Arial"/>
      <w:sz w:val="34"/>
      <w:szCs w:val="22"/>
    </w:rPr>
  </w:style>
  <w:style w:type="paragraph" w:styleId="5">
    <w:name w:val="heading 3"/>
    <w:link w:val="40"/>
    <w:unhideWhenUsed/>
    <w:qFormat/>
    <w:uiPriority w:val="9"/>
    <w:pPr>
      <w:keepNext/>
      <w:keepLines/>
      <w:spacing w:before="320" w:after="200"/>
      <w:outlineLvl w:val="2"/>
    </w:pPr>
    <w:rPr>
      <w:rFonts w:ascii="Arial" w:hAnsi="Arial" w:eastAsia="Arial" w:cs="Arial"/>
      <w:sz w:val="30"/>
      <w:szCs w:val="30"/>
    </w:rPr>
  </w:style>
  <w:style w:type="paragraph" w:styleId="6">
    <w:name w:val="heading 4"/>
    <w:link w:val="4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link w:val="42"/>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link w:val="43"/>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link w:val="44"/>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link w:val="45"/>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link w:val="46"/>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customStyle="1" w:styleId="2">
    <w:name w:val="列表段落1"/>
    <w:basedOn w:val="1"/>
    <w:qFormat/>
    <w:uiPriority w:val="99"/>
    <w:pPr>
      <w:ind w:firstLine="420" w:firstLineChars="200"/>
    </w:pPr>
    <w:rPr>
      <w:rFonts w:ascii="Times New Roman" w:hAnsi="Times New Roman" w:eastAsia="宋体" w:cs="Times New Roman"/>
      <w:szCs w:val="20"/>
    </w:rPr>
  </w:style>
  <w:style w:type="paragraph" w:styleId="12">
    <w:name w:val="toc 7"/>
    <w:unhideWhenUsed/>
    <w:qFormat/>
    <w:uiPriority w:val="39"/>
    <w:pPr>
      <w:spacing w:after="57"/>
      <w:ind w:left="1701" w:right="0" w:firstLine="0"/>
    </w:pPr>
    <w:rPr>
      <w:rFonts w:asciiTheme="minorHAnsi" w:hAnsiTheme="minorHAnsi" w:eastAsiaTheme="minorEastAsia" w:cstheme="minorBidi"/>
      <w:sz w:val="21"/>
      <w:szCs w:val="22"/>
    </w:rPr>
  </w:style>
  <w:style w:type="paragraph" w:styleId="13">
    <w:name w:val="Normal Indent"/>
    <w:basedOn w:val="1"/>
    <w:qFormat/>
    <w:uiPriority w:val="0"/>
    <w:pPr>
      <w:ind w:firstLine="420"/>
    </w:pPr>
  </w:style>
  <w:style w:type="paragraph" w:styleId="14">
    <w:name w:val="caption"/>
    <w:semiHidden/>
    <w:unhideWhenUsed/>
    <w:qFormat/>
    <w:uiPriority w:val="35"/>
    <w:pPr>
      <w:spacing w:line="276" w:lineRule="auto"/>
    </w:pPr>
    <w:rPr>
      <w:rFonts w:asciiTheme="minorHAnsi" w:hAnsiTheme="minorHAnsi" w:eastAsiaTheme="minorEastAsia" w:cstheme="minorBidi"/>
      <w:b/>
      <w:bCs/>
      <w:color w:val="4F81BD" w:themeColor="accent1"/>
      <w:sz w:val="18"/>
      <w:szCs w:val="18"/>
    </w:rPr>
  </w:style>
  <w:style w:type="paragraph" w:styleId="15">
    <w:name w:val="Body Text"/>
    <w:basedOn w:val="1"/>
    <w:qFormat/>
    <w:uiPriority w:val="99"/>
    <w:rPr>
      <w:kern w:val="0"/>
      <w:sz w:val="20"/>
    </w:rPr>
  </w:style>
  <w:style w:type="paragraph" w:styleId="16">
    <w:name w:val="toc 5"/>
    <w:unhideWhenUsed/>
    <w:qFormat/>
    <w:uiPriority w:val="39"/>
    <w:pPr>
      <w:spacing w:after="57"/>
      <w:ind w:left="1134" w:right="0" w:firstLine="0"/>
    </w:pPr>
    <w:rPr>
      <w:rFonts w:asciiTheme="minorHAnsi" w:hAnsiTheme="minorHAnsi" w:eastAsiaTheme="minorEastAsia" w:cstheme="minorBidi"/>
      <w:sz w:val="21"/>
      <w:szCs w:val="22"/>
    </w:rPr>
  </w:style>
  <w:style w:type="paragraph" w:styleId="17">
    <w:name w:val="toc 3"/>
    <w:unhideWhenUsed/>
    <w:qFormat/>
    <w:uiPriority w:val="39"/>
    <w:pPr>
      <w:spacing w:after="57"/>
      <w:ind w:left="567" w:right="0" w:firstLine="0"/>
    </w:pPr>
    <w:rPr>
      <w:rFonts w:asciiTheme="minorHAnsi" w:hAnsiTheme="minorHAnsi" w:eastAsiaTheme="minorEastAsia" w:cstheme="minorBidi"/>
      <w:sz w:val="21"/>
      <w:szCs w:val="22"/>
    </w:rPr>
  </w:style>
  <w:style w:type="paragraph" w:styleId="18">
    <w:name w:val="toc 8"/>
    <w:unhideWhenUsed/>
    <w:qFormat/>
    <w:uiPriority w:val="39"/>
    <w:pPr>
      <w:spacing w:after="57"/>
      <w:ind w:left="1984" w:right="0" w:firstLine="0"/>
    </w:pPr>
    <w:rPr>
      <w:rFonts w:asciiTheme="minorHAnsi" w:hAnsiTheme="minorHAnsi" w:eastAsiaTheme="minorEastAsia" w:cstheme="minorBidi"/>
      <w:sz w:val="21"/>
      <w:szCs w:val="22"/>
    </w:rPr>
  </w:style>
  <w:style w:type="paragraph" w:styleId="19">
    <w:name w:val="Body Text Indent 2"/>
    <w:basedOn w:val="1"/>
    <w:qFormat/>
    <w:uiPriority w:val="99"/>
    <w:pPr>
      <w:ind w:left="630" w:firstLine="645"/>
    </w:pPr>
    <w:rPr>
      <w:kern w:val="0"/>
      <w:sz w:val="20"/>
    </w:rPr>
  </w:style>
  <w:style w:type="paragraph" w:styleId="20">
    <w:name w:val="endnote text"/>
    <w:link w:val="184"/>
    <w:semiHidden/>
    <w:unhideWhenUsed/>
    <w:qFormat/>
    <w:uiPriority w:val="99"/>
    <w:pPr>
      <w:spacing w:after="0" w:line="240" w:lineRule="auto"/>
    </w:pPr>
    <w:rPr>
      <w:rFonts w:asciiTheme="minorHAnsi" w:hAnsiTheme="minorHAnsi" w:eastAsiaTheme="minorEastAsia" w:cstheme="minorBidi"/>
      <w:sz w:val="20"/>
      <w:szCs w:val="22"/>
    </w:rPr>
  </w:style>
  <w:style w:type="paragraph" w:styleId="21">
    <w:name w:val="footer"/>
    <w:basedOn w:val="1"/>
    <w:link w:val="57"/>
    <w:unhideWhenUsed/>
    <w:qFormat/>
    <w:uiPriority w:val="99"/>
    <w:pPr>
      <w:tabs>
        <w:tab w:val="center" w:pos="7143"/>
        <w:tab w:val="right" w:pos="14287"/>
      </w:tabs>
      <w:spacing w:after="0" w:line="240" w:lineRule="auto"/>
    </w:pPr>
    <w:rPr>
      <w:sz w:val="21"/>
      <w:szCs w:val="22"/>
    </w:rPr>
  </w:style>
  <w:style w:type="paragraph" w:styleId="22">
    <w:name w:val="header"/>
    <w:link w:val="55"/>
    <w:unhideWhenUsed/>
    <w:qFormat/>
    <w:uiPriority w:val="99"/>
    <w:pPr>
      <w:tabs>
        <w:tab w:val="center" w:pos="7143"/>
        <w:tab w:val="right" w:pos="14287"/>
      </w:tabs>
      <w:spacing w:after="0" w:line="240" w:lineRule="auto"/>
    </w:pPr>
    <w:rPr>
      <w:rFonts w:asciiTheme="minorHAnsi" w:hAnsiTheme="minorHAnsi" w:eastAsiaTheme="minorEastAsia" w:cstheme="minorBidi"/>
      <w:sz w:val="21"/>
      <w:szCs w:val="22"/>
    </w:rPr>
  </w:style>
  <w:style w:type="paragraph" w:styleId="23">
    <w:name w:val="toc 1"/>
    <w:unhideWhenUsed/>
    <w:qFormat/>
    <w:uiPriority w:val="39"/>
    <w:pPr>
      <w:spacing w:after="57"/>
      <w:ind w:left="0" w:right="0" w:firstLine="0"/>
    </w:pPr>
    <w:rPr>
      <w:rFonts w:asciiTheme="minorHAnsi" w:hAnsiTheme="minorHAnsi" w:eastAsiaTheme="minorEastAsia" w:cstheme="minorBidi"/>
      <w:sz w:val="21"/>
      <w:szCs w:val="22"/>
    </w:rPr>
  </w:style>
  <w:style w:type="paragraph" w:styleId="24">
    <w:name w:val="toc 4"/>
    <w:unhideWhenUsed/>
    <w:qFormat/>
    <w:uiPriority w:val="39"/>
    <w:pPr>
      <w:spacing w:after="57"/>
      <w:ind w:left="850" w:right="0" w:firstLine="0"/>
    </w:pPr>
    <w:rPr>
      <w:rFonts w:asciiTheme="minorHAnsi" w:hAnsiTheme="minorHAnsi" w:eastAsiaTheme="minorEastAsia" w:cstheme="minorBidi"/>
      <w:sz w:val="21"/>
      <w:szCs w:val="22"/>
    </w:rPr>
  </w:style>
  <w:style w:type="paragraph" w:styleId="25">
    <w:name w:val="Subtitle"/>
    <w:link w:val="50"/>
    <w:qFormat/>
    <w:uiPriority w:val="11"/>
    <w:pPr>
      <w:spacing w:before="200" w:after="200"/>
    </w:pPr>
    <w:rPr>
      <w:rFonts w:asciiTheme="minorHAnsi" w:hAnsiTheme="minorHAnsi" w:eastAsiaTheme="minorEastAsia" w:cstheme="minorBidi"/>
      <w:sz w:val="24"/>
      <w:szCs w:val="24"/>
    </w:rPr>
  </w:style>
  <w:style w:type="paragraph" w:styleId="26">
    <w:name w:val="footnote text"/>
    <w:link w:val="183"/>
    <w:semiHidden/>
    <w:unhideWhenUsed/>
    <w:qFormat/>
    <w:uiPriority w:val="99"/>
    <w:pPr>
      <w:spacing w:after="40" w:line="240" w:lineRule="auto"/>
    </w:pPr>
    <w:rPr>
      <w:rFonts w:asciiTheme="minorHAnsi" w:hAnsiTheme="minorHAnsi" w:eastAsiaTheme="minorEastAsia" w:cstheme="minorBidi"/>
      <w:sz w:val="18"/>
      <w:szCs w:val="22"/>
    </w:rPr>
  </w:style>
  <w:style w:type="paragraph" w:styleId="27">
    <w:name w:val="toc 6"/>
    <w:unhideWhenUsed/>
    <w:qFormat/>
    <w:uiPriority w:val="39"/>
    <w:pPr>
      <w:spacing w:after="57"/>
      <w:ind w:left="1417" w:right="0" w:firstLine="0"/>
    </w:pPr>
    <w:rPr>
      <w:rFonts w:asciiTheme="minorHAnsi" w:hAnsiTheme="minorHAnsi" w:eastAsiaTheme="minorEastAsia" w:cstheme="minorBidi"/>
      <w:sz w:val="21"/>
      <w:szCs w:val="22"/>
    </w:rPr>
  </w:style>
  <w:style w:type="paragraph" w:styleId="28">
    <w:name w:val="table of figures"/>
    <w:unhideWhenUsed/>
    <w:qFormat/>
    <w:uiPriority w:val="99"/>
    <w:pPr>
      <w:spacing w:after="0" w:afterAutospacing="0"/>
    </w:pPr>
    <w:rPr>
      <w:rFonts w:asciiTheme="minorHAnsi" w:hAnsiTheme="minorHAnsi" w:eastAsiaTheme="minorEastAsia" w:cstheme="minorBidi"/>
      <w:sz w:val="21"/>
      <w:szCs w:val="22"/>
    </w:rPr>
  </w:style>
  <w:style w:type="paragraph" w:styleId="29">
    <w:name w:val="toc 2"/>
    <w:unhideWhenUsed/>
    <w:qFormat/>
    <w:uiPriority w:val="39"/>
    <w:pPr>
      <w:spacing w:after="57"/>
      <w:ind w:left="283" w:right="0" w:firstLine="0"/>
    </w:pPr>
    <w:rPr>
      <w:rFonts w:asciiTheme="minorHAnsi" w:hAnsiTheme="minorHAnsi" w:eastAsiaTheme="minorEastAsia" w:cstheme="minorBidi"/>
      <w:sz w:val="21"/>
      <w:szCs w:val="22"/>
    </w:rPr>
  </w:style>
  <w:style w:type="paragraph" w:styleId="30">
    <w:name w:val="toc 9"/>
    <w:unhideWhenUsed/>
    <w:qFormat/>
    <w:uiPriority w:val="39"/>
    <w:pPr>
      <w:spacing w:after="57"/>
      <w:ind w:left="2268" w:right="0" w:firstLine="0"/>
    </w:pPr>
    <w:rPr>
      <w:rFonts w:asciiTheme="minorHAnsi" w:hAnsiTheme="minorHAnsi" w:eastAsiaTheme="minorEastAsia" w:cstheme="minorBidi"/>
      <w:sz w:val="21"/>
      <w:szCs w:val="22"/>
    </w:rPr>
  </w:style>
  <w:style w:type="paragraph" w:styleId="31">
    <w:name w:val="Title"/>
    <w:link w:val="49"/>
    <w:qFormat/>
    <w:uiPriority w:val="10"/>
    <w:pPr>
      <w:spacing w:before="300" w:after="200"/>
      <w:contextualSpacing/>
    </w:pPr>
    <w:rPr>
      <w:rFonts w:asciiTheme="minorHAnsi" w:hAnsiTheme="minorHAnsi" w:eastAsiaTheme="minorEastAsia" w:cstheme="minorBidi"/>
      <w:sz w:val="48"/>
      <w:szCs w:val="48"/>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rPr>
  </w:style>
  <w:style w:type="character" w:styleId="37">
    <w:name w:val="footnote reference"/>
    <w:unhideWhenUsed/>
    <w:qFormat/>
    <w:uiPriority w:val="99"/>
    <w:rPr>
      <w:vertAlign w:val="superscript"/>
    </w:rPr>
  </w:style>
  <w:style w:type="character" w:customStyle="1" w:styleId="38">
    <w:name w:val="Heading 1 Char"/>
    <w:link w:val="3"/>
    <w:qFormat/>
    <w:uiPriority w:val="9"/>
    <w:rPr>
      <w:rFonts w:ascii="Arial" w:hAnsi="Arial" w:eastAsia="Arial" w:cs="Arial"/>
      <w:sz w:val="40"/>
      <w:szCs w:val="40"/>
    </w:rPr>
  </w:style>
  <w:style w:type="character" w:customStyle="1" w:styleId="39">
    <w:name w:val="Heading 2 Char"/>
    <w:link w:val="4"/>
    <w:qFormat/>
    <w:uiPriority w:val="9"/>
    <w:rPr>
      <w:rFonts w:ascii="Arial" w:hAnsi="Arial" w:eastAsia="Arial" w:cs="Arial"/>
      <w:sz w:val="34"/>
    </w:rPr>
  </w:style>
  <w:style w:type="character" w:customStyle="1" w:styleId="40">
    <w:name w:val="Heading 3 Char"/>
    <w:link w:val="5"/>
    <w:qFormat/>
    <w:uiPriority w:val="9"/>
    <w:rPr>
      <w:rFonts w:ascii="Arial" w:hAnsi="Arial" w:eastAsia="Arial" w:cs="Arial"/>
      <w:sz w:val="30"/>
      <w:szCs w:val="30"/>
    </w:rPr>
  </w:style>
  <w:style w:type="character" w:customStyle="1" w:styleId="41">
    <w:name w:val="Heading 4 Char"/>
    <w:link w:val="6"/>
    <w:qFormat/>
    <w:uiPriority w:val="9"/>
    <w:rPr>
      <w:rFonts w:ascii="Arial" w:hAnsi="Arial" w:eastAsia="Arial" w:cs="Arial"/>
      <w:b/>
      <w:bCs/>
      <w:sz w:val="26"/>
      <w:szCs w:val="26"/>
    </w:rPr>
  </w:style>
  <w:style w:type="character" w:customStyle="1" w:styleId="42">
    <w:name w:val="Heading 5 Char"/>
    <w:link w:val="7"/>
    <w:qFormat/>
    <w:uiPriority w:val="9"/>
    <w:rPr>
      <w:rFonts w:ascii="Arial" w:hAnsi="Arial" w:eastAsia="Arial" w:cs="Arial"/>
      <w:b/>
      <w:bCs/>
      <w:sz w:val="24"/>
      <w:szCs w:val="24"/>
    </w:rPr>
  </w:style>
  <w:style w:type="character" w:customStyle="1" w:styleId="43">
    <w:name w:val="Heading 6 Char"/>
    <w:link w:val="8"/>
    <w:qFormat/>
    <w:uiPriority w:val="9"/>
    <w:rPr>
      <w:rFonts w:ascii="Arial" w:hAnsi="Arial" w:eastAsia="Arial" w:cs="Arial"/>
      <w:b/>
      <w:bCs/>
      <w:sz w:val="22"/>
      <w:szCs w:val="22"/>
    </w:rPr>
  </w:style>
  <w:style w:type="character" w:customStyle="1" w:styleId="44">
    <w:name w:val="Heading 7 Char"/>
    <w:link w:val="9"/>
    <w:qFormat/>
    <w:uiPriority w:val="9"/>
    <w:rPr>
      <w:rFonts w:ascii="Arial" w:hAnsi="Arial" w:eastAsia="Arial" w:cs="Arial"/>
      <w:b/>
      <w:bCs/>
      <w:i/>
      <w:iCs/>
      <w:sz w:val="22"/>
      <w:szCs w:val="22"/>
    </w:rPr>
  </w:style>
  <w:style w:type="character" w:customStyle="1" w:styleId="45">
    <w:name w:val="Heading 8 Char"/>
    <w:link w:val="10"/>
    <w:qFormat/>
    <w:uiPriority w:val="9"/>
    <w:rPr>
      <w:rFonts w:ascii="Arial" w:hAnsi="Arial" w:eastAsia="Arial" w:cs="Arial"/>
      <w:i/>
      <w:iCs/>
      <w:sz w:val="22"/>
      <w:szCs w:val="22"/>
    </w:rPr>
  </w:style>
  <w:style w:type="character" w:customStyle="1" w:styleId="46">
    <w:name w:val="Heading 9 Char"/>
    <w:link w:val="11"/>
    <w:qFormat/>
    <w:uiPriority w:val="9"/>
    <w:rPr>
      <w:rFonts w:ascii="Arial" w:hAnsi="Arial" w:eastAsia="Arial" w:cs="Arial"/>
      <w:i/>
      <w:iCs/>
      <w:sz w:val="21"/>
      <w:szCs w:val="21"/>
    </w:rPr>
  </w:style>
  <w:style w:type="paragraph" w:styleId="47">
    <w:name w:val="List Paragraph"/>
    <w:qFormat/>
    <w:uiPriority w:val="34"/>
    <w:pPr>
      <w:ind w:left="720"/>
      <w:contextualSpacing/>
    </w:pPr>
    <w:rPr>
      <w:rFonts w:asciiTheme="minorHAnsi" w:hAnsiTheme="minorHAnsi" w:eastAsiaTheme="minorEastAsia" w:cstheme="minorBidi"/>
      <w:sz w:val="21"/>
      <w:szCs w:val="22"/>
    </w:rPr>
  </w:style>
  <w:style w:type="paragraph" w:styleId="48">
    <w:name w:val="No Spacing"/>
    <w:qFormat/>
    <w:uiPriority w:val="1"/>
    <w:pPr>
      <w:spacing w:before="0" w:after="0" w:line="240" w:lineRule="auto"/>
    </w:pPr>
    <w:rPr>
      <w:rFonts w:asciiTheme="minorHAnsi" w:hAnsiTheme="minorHAnsi" w:eastAsiaTheme="minorEastAsia" w:cstheme="minorBidi"/>
      <w:sz w:val="21"/>
      <w:szCs w:val="22"/>
    </w:rPr>
  </w:style>
  <w:style w:type="character" w:customStyle="1" w:styleId="49">
    <w:name w:val="Title Char"/>
    <w:link w:val="31"/>
    <w:qFormat/>
    <w:uiPriority w:val="10"/>
    <w:rPr>
      <w:sz w:val="48"/>
      <w:szCs w:val="48"/>
    </w:rPr>
  </w:style>
  <w:style w:type="character" w:customStyle="1" w:styleId="50">
    <w:name w:val="Subtitle Char"/>
    <w:link w:val="25"/>
    <w:qFormat/>
    <w:uiPriority w:val="11"/>
    <w:rPr>
      <w:sz w:val="24"/>
      <w:szCs w:val="24"/>
    </w:rPr>
  </w:style>
  <w:style w:type="paragraph" w:styleId="51">
    <w:name w:val="Quote"/>
    <w:link w:val="52"/>
    <w:qFormat/>
    <w:uiPriority w:val="29"/>
    <w:pPr>
      <w:ind w:left="720" w:right="720"/>
    </w:pPr>
    <w:rPr>
      <w:rFonts w:asciiTheme="minorHAnsi" w:hAnsiTheme="minorHAnsi" w:eastAsiaTheme="minorEastAsia" w:cstheme="minorBidi"/>
      <w:i/>
      <w:sz w:val="21"/>
      <w:szCs w:val="22"/>
    </w:rPr>
  </w:style>
  <w:style w:type="character" w:customStyle="1" w:styleId="52">
    <w:name w:val="Quote Char"/>
    <w:link w:val="51"/>
    <w:qFormat/>
    <w:uiPriority w:val="29"/>
    <w:rPr>
      <w:i/>
    </w:rPr>
  </w:style>
  <w:style w:type="paragraph" w:styleId="53">
    <w:name w:val="Intense Quote"/>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rFonts w:asciiTheme="minorHAnsi" w:hAnsiTheme="minorHAnsi" w:eastAsiaTheme="minorEastAsia" w:cstheme="minorBidi"/>
      <w:i/>
      <w:sz w:val="21"/>
      <w:szCs w:val="22"/>
    </w:rPr>
  </w:style>
  <w:style w:type="character" w:customStyle="1" w:styleId="54">
    <w:name w:val="Intense Quote Char"/>
    <w:link w:val="53"/>
    <w:qFormat/>
    <w:uiPriority w:val="30"/>
    <w:rPr>
      <w:i/>
    </w:rPr>
  </w:style>
  <w:style w:type="character" w:customStyle="1" w:styleId="55">
    <w:name w:val="Header Char"/>
    <w:link w:val="22"/>
    <w:qFormat/>
    <w:uiPriority w:val="99"/>
  </w:style>
  <w:style w:type="character" w:customStyle="1" w:styleId="56">
    <w:name w:val="Footer Char"/>
    <w:link w:val="21"/>
    <w:qFormat/>
    <w:uiPriority w:val="99"/>
  </w:style>
  <w:style w:type="character" w:customStyle="1" w:styleId="57">
    <w:name w:val="Caption Char"/>
    <w:link w:val="21"/>
    <w:qFormat/>
    <w:uiPriority w:val="99"/>
  </w:style>
  <w:style w:type="table" w:customStyle="1" w:styleId="5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Footnote Text Char"/>
    <w:link w:val="26"/>
    <w:qFormat/>
    <w:uiPriority w:val="99"/>
    <w:rPr>
      <w:sz w:val="18"/>
    </w:rPr>
  </w:style>
  <w:style w:type="character" w:customStyle="1" w:styleId="184">
    <w:name w:val="Endnote Text Char"/>
    <w:link w:val="20"/>
    <w:qFormat/>
    <w:uiPriority w:val="99"/>
    <w:rPr>
      <w:sz w:val="20"/>
    </w:rPr>
  </w:style>
  <w:style w:type="paragraph" w:customStyle="1" w:styleId="185">
    <w:name w:val="TOC Heading"/>
    <w:unhideWhenUsed/>
    <w:qFormat/>
    <w:uiPriority w:val="39"/>
    <w:rPr>
      <w:rFonts w:asciiTheme="minorHAnsi" w:hAnsiTheme="minorHAnsi" w:eastAsiaTheme="minorEastAsia" w:cstheme="minorBidi"/>
      <w:sz w:val="21"/>
      <w:szCs w:val="22"/>
    </w:rPr>
  </w:style>
  <w:style w:type="paragraph" w:customStyle="1" w:styleId="186">
    <w:name w:val="Table Paragraph"/>
    <w:basedOn w:val="1"/>
    <w:qFormat/>
    <w:uiPriority w:val="1"/>
    <w:rPr>
      <w:sz w:val="24"/>
      <w:szCs w:val="24"/>
    </w:rPr>
  </w:style>
  <w:style w:type="paragraph" w:customStyle="1" w:styleId="187">
    <w:name w:val="首行缩进"/>
    <w:basedOn w:val="1"/>
    <w:qFormat/>
    <w:uiPriority w:val="99"/>
    <w:pPr>
      <w:spacing w:line="360" w:lineRule="auto"/>
      <w:ind w:firstLine="480" w:firstLineChars="200"/>
      <w:jc w:val="left"/>
    </w:pPr>
    <w:rPr>
      <w:rFonts w:ascii="宋体" w:hAnsi="宋体"/>
      <w:sz w:val="24"/>
    </w:rPr>
  </w:style>
  <w:style w:type="paragraph" w:customStyle="1" w:styleId="188">
    <w:name w:val="图例"/>
    <w:basedOn w:val="1"/>
    <w:qFormat/>
    <w:uiPriority w:val="0"/>
    <w:pPr>
      <w:spacing w:before="120" w:after="120" w:line="360" w:lineRule="auto"/>
      <w:jc w:val="center"/>
    </w:pPr>
    <w:rPr>
      <w:rFonts w:ascii="Calibri" w:hAnsi="Calibri" w:eastAsia="仿宋_GB2312"/>
      <w:b/>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9" textRotate="1"/>
    <customShpInfo spid="_x0000_s409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69</Pages>
  <Words>2833</Words>
  <Characters>3235</Characters>
  <TotalTime>63</TotalTime>
  <ScaleCrop>false</ScaleCrop>
  <LinksUpToDate>false</LinksUpToDate>
  <CharactersWithSpaces>3293</CharactersWithSpaces>
  <Application>WPS Office_12.1.0.22089_F1E327BC-269C-435d-A152-05C5408002CA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2026-03-25T02:04:00Z</dcterms:created>
  <dc:creator>Apache POI</dc:creator>
  <cp:lastModifiedBy>jaybruce</cp:lastModifiedBy>
  <dcterms:modified xsi:type="dcterms:W3CDTF">2026-06-09T02:52:35Z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eyJoZGlkIjoiYzkyMjVlNmIxNGI0MTg1MTdkMmE1N2UzMzIyNWU2MWQiLCJ1c2VySWQiOiI2NTU5MTIxNzcifQ==</vt:lpwstr>
  </property>
  <property fmtid="{D5CDD505-2E9C-101B-9397-08002B2CF9AE}" pid="3" name="KSOProductBuildVer">
    <vt:lpwstr>2052-12.1.0.22089</vt:lpwstr>
  </property>
  <property fmtid="{D5CDD505-2E9C-101B-9397-08002B2CF9AE}" pid="4" name="ICV">
    <vt:lpwstr>7FB3D5797DDA4F60B3623AB3249C1A92_12</vt:lpwstr>
  </property>
</Properties>
</file>