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671"/>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671"/>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71"/>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71"/>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671"/>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rPr>
          <w:rFonts w:hint="eastAsia" w:ascii="黑体" w:hAnsi="华文中宋" w:eastAsia="黑体"/>
          <w:bCs/>
          <w:color w:val="000000"/>
          <w:spacing w:val="20"/>
          <w:sz w:val="72"/>
          <w:szCs w:val="72"/>
          <w:highlight w:val="none"/>
        </w:rPr>
      </w:r>
      <w:r/>
    </w:p>
    <w:p>
      <w:pPr>
        <w:pStyle w:val="671"/>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71"/>
        <w:jc w:val="center"/>
        <w:tabs>
          <w:tab w:val="left" w:pos="9921" w:leader="none"/>
        </w:tabs>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hint="eastAsia" w:ascii="华文中宋" w:hAnsi="华文中宋" w:eastAsia="华文中宋"/>
          <w:bCs/>
          <w:color w:val="000000"/>
          <w:sz w:val="30"/>
          <w:highlight w:val="none"/>
        </w:rPr>
      </w:r>
      <w:r/>
    </w:p>
    <w:p>
      <w:pPr>
        <w:pStyle w:val="671"/>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71"/>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71"/>
        <w:jc w:val="center"/>
        <w:rPr>
          <w:rFonts w:hint="eastAsia"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公开</w:t>
      </w:r>
      <w:r>
        <w:rPr>
          <w:rFonts w:hint="eastAsia" w:ascii="黑体" w:hAnsi="华文中宋" w:eastAsia="黑体"/>
          <w:bCs/>
          <w:color w:val="000000"/>
          <w:spacing w:val="20"/>
          <w:sz w:val="48"/>
          <w:szCs w:val="48"/>
          <w:highlight w:val="none"/>
        </w:rPr>
      </w:r>
      <w:r/>
    </w:p>
    <w:p>
      <w:pPr>
        <w:pStyle w:val="671"/>
        <w:jc w:val="center"/>
        <w:rPr>
          <w:rFonts w:hint="eastAsia" w:ascii="黑体" w:hAnsi="华文中宋"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1.00pt"/>
            </w:pict>
          </mc:Fallback>
        </mc:AlternateContent>
      </w:r>
      <w:r>
        <w:rPr>
          <w:rFonts w:hint="eastAsia" w:ascii="黑体" w:hAnsi="华文中宋" w:eastAsia="黑体"/>
          <w:bCs/>
          <w:color w:val="000000"/>
          <w:spacing w:val="20"/>
          <w:sz w:val="52"/>
          <w:szCs w:val="52"/>
          <w:highlight w:val="none"/>
        </w:rPr>
        <w:t xml:space="preserve">招标文件</w:t>
      </w:r>
      <w:r>
        <w:rPr>
          <w:rFonts w:hint="eastAsia" w:ascii="黑体" w:hAnsi="华文中宋" w:eastAsia="黑体"/>
          <w:bCs/>
          <w:color w:val="000000"/>
          <w:spacing w:val="20"/>
          <w:sz w:val="52"/>
          <w:szCs w:val="52"/>
          <w:highlight w:val="none"/>
        </w:rPr>
      </w:r>
      <w:r/>
    </w:p>
    <w:p>
      <w:pPr>
        <w:pStyle w:val="671"/>
        <w:jc w:val="center"/>
        <w:rPr>
          <w:rFonts w:ascii="黑体" w:hAnsi="华文中宋" w:eastAsia="黑体" w:cs="Times New Roman"/>
          <w:bCs/>
          <w:color w:val="000000"/>
          <w:spacing w:val="20"/>
          <w:sz w:val="52"/>
          <w:szCs w:val="52"/>
          <w:highlight w:val="none"/>
        </w:rPr>
      </w:pPr>
      <w:r>
        <w:rPr>
          <w:rFonts w:ascii="黑体" w:hAnsi="华文中宋" w:eastAsia="黑体" w:cs="Times New Roman"/>
          <w:bCs/>
          <w:color w:val="000000"/>
          <w:spacing w:val="20"/>
          <w:sz w:val="52"/>
          <w:szCs w:val="52"/>
          <w:highlight w:val="none"/>
        </w:rPr>
      </w:r>
      <w:r/>
    </w:p>
    <w:p>
      <w:pPr>
        <w:pStyle w:val="671"/>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71"/>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671"/>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JSZC-320200-JSZH-G2026-0030</w:t>
      </w:r>
      <w:r>
        <w:rPr>
          <w:rFonts w:hint="eastAsia" w:ascii="黑体" w:hAnsi="华文中宋" w:eastAsia="黑体"/>
          <w:bCs/>
          <w:color w:val="000000"/>
          <w:sz w:val="30"/>
          <w:szCs w:val="30"/>
          <w:highlight w:val="none"/>
          <w:lang w:eastAsia="zh-CN"/>
        </w:rPr>
      </w:r>
      <w:r/>
    </w:p>
    <w:p>
      <w:pPr>
        <w:pStyle w:val="671"/>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2026年度食堂外包运营服务项目</w:t>
      </w:r>
      <w:r>
        <w:rPr>
          <w:rFonts w:hint="eastAsia" w:ascii="黑体" w:hAnsi="华文中宋" w:eastAsia="黑体"/>
          <w:bCs/>
          <w:color w:val="000000"/>
          <w:sz w:val="30"/>
          <w:szCs w:val="30"/>
          <w:highlight w:val="none"/>
          <w:lang w:eastAsia="zh-CN"/>
        </w:rPr>
      </w:r>
      <w:r/>
    </w:p>
    <w:p>
      <w:pPr>
        <w:pStyle w:val="671"/>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671"/>
        <w:ind w:firstLine="900"/>
        <w:jc w:val="left"/>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采购代理机构：江苏智汇锡建工程项目管理有限公司</w:t>
      </w:r>
      <w:r>
        <w:rPr>
          <w:rFonts w:hint="eastAsia" w:ascii="黑体" w:hAnsi="华文中宋" w:eastAsia="黑体"/>
          <w:bCs/>
          <w:color w:val="000000"/>
          <w:sz w:val="30"/>
          <w:szCs w:val="30"/>
          <w:highlight w:val="none"/>
        </w:rPr>
      </w:r>
      <w:r/>
    </w:p>
    <w:p>
      <w:pPr>
        <w:pStyle w:val="671"/>
        <w:rPr>
          <w:rFonts w:hint="eastAsia" w:ascii="华文中宋" w:hAnsi="华文中宋" w:eastAsia="华文中宋"/>
          <w:bCs/>
          <w:color w:val="000000"/>
          <w:sz w:val="32"/>
          <w:highlight w:val="none"/>
        </w:rPr>
      </w:pPr>
      <w:r>
        <w:rPr>
          <w:rFonts w:hint="eastAsia" w:ascii="华文中宋" w:hAnsi="华文中宋" w:eastAsia="华文中宋"/>
          <w:bCs/>
          <w:color w:val="000000"/>
          <w:sz w:val="32"/>
          <w:highlight w:val="none"/>
        </w:rPr>
      </w:r>
      <w:r/>
    </w:p>
    <w:p>
      <w:pPr>
        <w:pStyle w:val="671"/>
        <w:jc w:val="center"/>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lang w:eastAsia="zh-CN"/>
        </w:rPr>
        <w:t xml:space="preserve">二〇二六</w:t>
      </w:r>
      <w:r>
        <w:rPr>
          <w:rFonts w:hint="eastAsia" w:ascii="黑体" w:hAnsi="华文中宋" w:eastAsia="黑体"/>
          <w:bCs/>
          <w:color w:val="000000"/>
          <w:sz w:val="30"/>
          <w:szCs w:val="30"/>
          <w:highlight w:val="none"/>
        </w:rPr>
        <w:t xml:space="preserve">年</w:t>
      </w:r>
      <w:r>
        <w:rPr>
          <w:rFonts w:hint="eastAsia" w:ascii="黑体" w:hAnsi="华文中宋" w:eastAsia="黑体"/>
          <w:bCs/>
          <w:color w:val="000000"/>
          <w:sz w:val="30"/>
          <w:szCs w:val="30"/>
          <w:highlight w:val="none"/>
          <w:lang w:val="en-US" w:eastAsia="zh-CN"/>
        </w:rPr>
        <w:t xml:space="preserve">五</w:t>
      </w:r>
      <w:r>
        <w:rPr>
          <w:rFonts w:hint="eastAsia" w:ascii="黑体" w:hAnsi="华文中宋" w:eastAsia="黑体"/>
          <w:bCs/>
          <w:color w:val="000000"/>
          <w:sz w:val="30"/>
          <w:szCs w:val="30"/>
          <w:highlight w:val="none"/>
        </w:rPr>
        <w:t xml:space="preserve">月</w:t>
      </w:r>
      <w:r>
        <w:rPr>
          <w:rFonts w:hint="eastAsia" w:ascii="黑体" w:hAnsi="华文中宋" w:eastAsia="黑体"/>
          <w:bCs/>
          <w:color w:val="000000"/>
          <w:sz w:val="30"/>
          <w:szCs w:val="30"/>
          <w:highlight w:val="none"/>
        </w:rPr>
      </w:r>
      <w:r/>
    </w:p>
    <w:p>
      <w:pPr>
        <w:pStyle w:val="671"/>
        <w:jc w:val="center"/>
        <w:rPr>
          <w:rStyle w:val="814"/>
          <w:rFonts w:eastAsia="黑体"/>
          <w:bCs/>
          <w:color w:val="000000"/>
          <w:sz w:val="48"/>
          <w:highlight w:val="none"/>
        </w:rPr>
      </w:pPr>
      <w:r>
        <w:rPr>
          <w:rStyle w:val="814"/>
          <w:rFonts w:eastAsia="黑体"/>
          <w:bCs/>
          <w:color w:val="000000"/>
          <w:sz w:val="48"/>
          <w:highlight w:val="none"/>
        </w:rPr>
        <w:br w:type="page" w:clear="all"/>
      </w:r>
      <w:r>
        <w:rPr>
          <w:rStyle w:val="814"/>
          <w:rFonts w:hint="eastAsia" w:eastAsia="黑体"/>
          <w:bCs/>
          <w:color w:val="000000"/>
          <w:sz w:val="48"/>
          <w:highlight w:val="none"/>
        </w:rPr>
        <w:t xml:space="preserve">目录</w:t>
      </w:r>
      <w:r>
        <w:rPr>
          <w:rStyle w:val="814"/>
          <w:rFonts w:eastAsia="黑体"/>
          <w:bCs/>
          <w:color w:val="000000"/>
          <w:sz w:val="48"/>
          <w:highlight w:val="none"/>
        </w:rPr>
      </w:r>
      <w:r/>
    </w:p>
    <w:p>
      <w:pPr>
        <w:pStyle w:val="702"/>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TOC \o "1-1" \h \u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_Toc22661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一</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投标邀请函</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_Toc22661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3</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02"/>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_Toc22097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二</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投标人须知</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_Toc22097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7</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02"/>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_Toc29749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三</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项目技术要求和有关说明</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_Toc29749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18</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02"/>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_Toc24542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四</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合同书（格式文本）</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_Toc24542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24</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02"/>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_Toc27478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lang w:val="en-US" w:eastAsia="zh-CN"/>
        </w:rPr>
        <w:t xml:space="preserve">五、</w:t>
      </w:r>
      <w:r>
        <w:rPr>
          <w:rFonts w:hint="eastAsia" w:ascii="宋体" w:hAnsi="宋体" w:eastAsia="宋体" w:cs="宋体"/>
          <w:b/>
          <w:bCs w:val="0"/>
          <w:color w:val="000000"/>
          <w:sz w:val="30"/>
          <w:szCs w:val="30"/>
          <w:highlight w:val="none"/>
        </w:rPr>
        <w:t xml:space="preserve">合同条款</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_Toc27478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25</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702"/>
        <w:spacing w:line="360" w:lineRule="auto"/>
        <w:tabs>
          <w:tab w:val="right" w:pos="9746" w:leader="dot"/>
        </w:tabs>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HYPERLINK \l _Toc16968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六</w:t>
      </w:r>
      <w:r>
        <w:rPr>
          <w:rFonts w:hint="eastAsia" w:ascii="宋体" w:hAnsi="宋体" w:eastAsia="宋体" w:cs="宋体"/>
          <w:b/>
          <w:bCs w:val="0"/>
          <w:color w:val="000000"/>
          <w:sz w:val="30"/>
          <w:szCs w:val="30"/>
          <w:highlight w:val="none"/>
          <w:lang w:eastAsia="zh-CN"/>
        </w:rPr>
        <w:t xml:space="preserve">、</w:t>
      </w:r>
      <w:r>
        <w:rPr>
          <w:rFonts w:hint="eastAsia" w:ascii="宋体" w:hAnsi="宋体" w:eastAsia="宋体" w:cs="宋体"/>
          <w:b/>
          <w:bCs w:val="0"/>
          <w:color w:val="000000"/>
          <w:sz w:val="30"/>
          <w:szCs w:val="30"/>
          <w:highlight w:val="none"/>
        </w:rPr>
        <w:t xml:space="preserve">附件</w:t>
      </w:r>
      <w:r>
        <w:rPr>
          <w:rFonts w:hint="eastAsia" w:ascii="宋体" w:hAnsi="宋体" w:eastAsia="宋体" w:cs="宋体"/>
          <w:b/>
          <w:bCs w:val="0"/>
          <w:color w:val="000000"/>
          <w:sz w:val="30"/>
          <w:szCs w:val="30"/>
          <w:highlight w:val="none"/>
        </w:rPr>
        <w:tab/>
      </w:r>
      <w:r>
        <w:rPr>
          <w:rFonts w:hint="eastAsia" w:ascii="宋体" w:hAnsi="宋体" w:eastAsia="宋体" w:cs="宋体"/>
          <w:b/>
          <w:bCs w:val="0"/>
          <w:color w:val="000000"/>
          <w:sz w:val="30"/>
          <w:szCs w:val="30"/>
          <w:highlight w:val="none"/>
        </w:rPr>
        <w:fldChar w:fldCharType="begin"/>
      </w:r>
      <w:r>
        <w:rPr>
          <w:rFonts w:hint="eastAsia" w:ascii="宋体" w:hAnsi="宋体" w:eastAsia="宋体" w:cs="宋体"/>
          <w:b/>
          <w:bCs w:val="0"/>
          <w:color w:val="000000"/>
          <w:sz w:val="30"/>
          <w:szCs w:val="30"/>
          <w:highlight w:val="none"/>
        </w:rPr>
        <w:instrText xml:space="preserve"> PAGEREF _Toc16968 \h </w:instrText>
      </w:r>
      <w:r>
        <w:rPr>
          <w:rFonts w:hint="eastAsia" w:ascii="宋体" w:hAnsi="宋体" w:eastAsia="宋体" w:cs="宋体"/>
          <w:b/>
          <w:bCs w:val="0"/>
          <w:color w:val="000000"/>
          <w:sz w:val="30"/>
          <w:szCs w:val="30"/>
          <w:highlight w:val="none"/>
        </w:rPr>
        <w:fldChar w:fldCharType="separate"/>
      </w:r>
      <w:r>
        <w:rPr>
          <w:rFonts w:hint="eastAsia" w:ascii="宋体" w:hAnsi="宋体" w:eastAsia="宋体" w:cs="宋体"/>
          <w:b/>
          <w:bCs w:val="0"/>
          <w:color w:val="000000"/>
          <w:sz w:val="30"/>
          <w:szCs w:val="30"/>
          <w:highlight w:val="none"/>
        </w:rPr>
        <w:t xml:space="preserve">28</w:t>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71"/>
        <w:jc w:val="center"/>
        <w:spacing w:line="36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fldChar w:fldCharType="end"/>
      </w:r>
      <w:r>
        <w:rPr>
          <w:rFonts w:hint="eastAsia" w:ascii="宋体" w:hAnsi="宋体" w:eastAsia="宋体" w:cs="宋体"/>
          <w:b/>
          <w:bCs w:val="0"/>
          <w:color w:val="000000"/>
          <w:sz w:val="30"/>
          <w:szCs w:val="30"/>
          <w:highlight w:val="none"/>
        </w:rPr>
      </w:r>
      <w:r/>
    </w:p>
    <w:p>
      <w:pPr>
        <w:pStyle w:val="671"/>
        <w:jc w:val="center"/>
        <w:spacing w:line="360" w:lineRule="auto"/>
        <w:rPr>
          <w:rFonts w:ascii="黑体" w:eastAsia="黑体"/>
          <w:bCs/>
          <w:color w:val="000000"/>
          <w:sz w:val="28"/>
          <w:szCs w:val="28"/>
          <w:highlight w:val="none"/>
        </w:rPr>
        <w:outlineLvl w:val="0"/>
      </w:pPr>
      <w:r/>
      <w:bookmarkStart w:id="0" w:name="报价方须知前附表"/>
      <w:r/>
      <w:bookmarkEnd w:id="0"/>
      <w:r>
        <w:rPr>
          <w:rFonts w:ascii="黑体" w:eastAsia="黑体"/>
          <w:bCs/>
          <w:color w:val="000000"/>
          <w:sz w:val="28"/>
          <w:szCs w:val="28"/>
          <w:highlight w:val="none"/>
        </w:rPr>
        <w:br w:type="page" w:clear="all"/>
      </w:r>
      <w:bookmarkStart w:id="1" w:name="_Toc22661"/>
      <w:r>
        <w:rPr>
          <w:rFonts w:hint="eastAsia" w:ascii="黑体" w:eastAsia="黑体"/>
          <w:bCs/>
          <w:color w:val="000000"/>
          <w:sz w:val="28"/>
          <w:szCs w:val="28"/>
          <w:highlight w:val="none"/>
        </w:rPr>
        <w:t xml:space="preserve">一</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投标邀请函</w:t>
      </w:r>
      <w:bookmarkEnd w:id="1"/>
      <w:r>
        <w:rPr>
          <w:rFonts w:ascii="黑体" w:eastAsia="黑体"/>
          <w:bCs/>
          <w:color w:val="000000"/>
          <w:sz w:val="28"/>
          <w:szCs w:val="28"/>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江苏智汇锡建工程项目管理有限公司受</w:t>
      </w:r>
      <w:r>
        <w:rPr>
          <w:rFonts w:hint="eastAsia" w:ascii="宋体" w:hAnsi="宋体"/>
          <w:bCs/>
          <w:color w:val="000000"/>
          <w:sz w:val="24"/>
          <w:szCs w:val="24"/>
          <w:highlight w:val="none"/>
          <w:lang w:eastAsia="zh-CN"/>
        </w:rPr>
        <w:t xml:space="preserve">无锡市食品安全检验检测中心</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2026年度食堂外包运营服务项目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hint="eastAsia" w:ascii="宋体" w:hAnsi="宋体"/>
          <w:bCs/>
          <w:color w:val="000000"/>
          <w:sz w:val="24"/>
          <w:szCs w:val="24"/>
          <w:highlight w:val="none"/>
        </w:rPr>
      </w:r>
      <w:r/>
    </w:p>
    <w:p>
      <w:pPr>
        <w:pStyle w:val="671"/>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hint="eastAsia" w:ascii="黑体" w:hAnsi="黑体" w:eastAsia="黑体"/>
          <w:bCs/>
          <w:color w:val="000000"/>
          <w:sz w:val="24"/>
          <w:szCs w:val="24"/>
          <w:highlight w:val="none"/>
        </w:rPr>
      </w:r>
      <w:r/>
    </w:p>
    <w:p>
      <w:pPr>
        <w:pStyle w:val="67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2026年度食堂外包运营服务项目</w:t>
      </w:r>
      <w:r>
        <w:rPr>
          <w:rFonts w:hint="eastAsia" w:ascii="宋体" w:hAnsi="宋体" w:eastAsia="宋体" w:cs="宋体"/>
          <w:color w:val="000000"/>
          <w:sz w:val="24"/>
          <w:szCs w:val="24"/>
          <w:highlight w:val="none"/>
          <w:lang w:eastAsia="zh-CN"/>
        </w:rPr>
      </w:r>
      <w:r/>
    </w:p>
    <w:p>
      <w:pPr>
        <w:pStyle w:val="67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JSZC-320200-JSZH-G2026-0030</w:t>
      </w:r>
      <w:r>
        <w:rPr>
          <w:rFonts w:hint="eastAsia" w:ascii="宋体" w:hAnsi="宋体" w:eastAsia="宋体" w:cs="宋体"/>
          <w:color w:val="000000"/>
          <w:sz w:val="24"/>
          <w:szCs w:val="24"/>
          <w:highlight w:val="none"/>
          <w:lang w:eastAsia="zh-CN"/>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3.合同履行期限：</w:t>
      </w:r>
      <w:r>
        <w:rPr>
          <w:rFonts w:hint="eastAsia" w:ascii="宋体" w:hAnsi="宋体" w:eastAsia="宋体" w:cs="Times New Roman"/>
          <w:bCs/>
          <w:color w:val="000000"/>
          <w:sz w:val="24"/>
          <w:szCs w:val="24"/>
        </w:rPr>
        <w:t xml:space="preserve">合同签订生效后壹年</w:t>
      </w:r>
      <w:r>
        <w:rPr>
          <w:rFonts w:hint="eastAsia" w:ascii="宋体" w:hAnsi="宋体" w:cs="宋体"/>
          <w:color w:val="000000"/>
          <w:sz w:val="24"/>
          <w:szCs w:val="24"/>
          <w:highlight w:val="none"/>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w:t>
      </w:r>
      <w:r>
        <w:rPr>
          <w:rFonts w:hint="eastAsia" w:ascii="宋体" w:hAnsi="宋体" w:cs="宋体"/>
          <w:color w:val="000000"/>
          <w:sz w:val="24"/>
          <w:szCs w:val="24"/>
          <w:highlight w:val="none"/>
          <w:lang w:val="en-US" w:eastAsia="zh-CN"/>
        </w:rPr>
        <w:t xml:space="preserve">112.5万元</w:t>
      </w:r>
      <w:r>
        <w:rPr>
          <w:rFonts w:hint="eastAsia" w:ascii="宋体" w:hAnsi="宋体" w:cs="宋体"/>
          <w:color w:val="000000"/>
          <w:sz w:val="24"/>
          <w:szCs w:val="24"/>
          <w:highlight w:val="none"/>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5.最高限价：</w:t>
      </w:r>
      <w:r>
        <w:rPr>
          <w:rFonts w:hint="eastAsia" w:ascii="宋体" w:hAnsi="宋体" w:cs="宋体"/>
          <w:color w:val="000000"/>
          <w:sz w:val="24"/>
          <w:szCs w:val="24"/>
          <w:highlight w:val="none"/>
          <w:lang w:val="en-US" w:eastAsia="zh-CN"/>
        </w:rPr>
        <w:t xml:space="preserve">112.5万元</w:t>
      </w:r>
      <w:r>
        <w:rPr>
          <w:rFonts w:hint="eastAsia" w:ascii="宋体" w:hAnsi="宋体" w:cs="宋体"/>
          <w:color w:val="000000"/>
          <w:sz w:val="24"/>
          <w:szCs w:val="24"/>
          <w:highlight w:val="none"/>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rPr>
          <w:rFonts w:hint="eastAsia" w:ascii="宋体" w:hAnsi="宋体" w:cs="宋体"/>
          <w:color w:val="000000"/>
          <w:sz w:val="24"/>
          <w:szCs w:val="24"/>
          <w:highlight w:val="none"/>
        </w:rPr>
      </w:r>
      <w:r/>
    </w:p>
    <w:p>
      <w:pPr>
        <w:pStyle w:val="67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7.采购人：</w:t>
      </w:r>
      <w:r>
        <w:rPr>
          <w:rFonts w:hint="eastAsia" w:ascii="宋体" w:hAnsi="宋体" w:cs="宋体"/>
          <w:color w:val="000000"/>
          <w:sz w:val="24"/>
          <w:szCs w:val="24"/>
          <w:highlight w:val="none"/>
          <w:lang w:eastAsia="zh-CN"/>
        </w:rPr>
        <w:t xml:space="preserve">无锡市食品安全检验检测中心</w:t>
      </w:r>
      <w:r>
        <w:rPr>
          <w:rFonts w:hint="eastAsia" w:ascii="宋体" w:hAnsi="宋体" w:eastAsia="宋体" w:cs="宋体"/>
          <w:color w:val="000000"/>
          <w:sz w:val="24"/>
          <w:szCs w:val="24"/>
          <w:highlight w:val="none"/>
          <w:lang w:eastAsia="zh-CN"/>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8.本项目标的所属行业：</w:t>
      </w:r>
      <w:r>
        <w:rPr>
          <w:rFonts w:hint="eastAsia" w:ascii="宋体" w:hAnsi="宋体" w:cs="宋体"/>
          <w:b/>
          <w:bCs/>
          <w:color w:val="000000"/>
          <w:sz w:val="24"/>
          <w:szCs w:val="24"/>
          <w:highlight w:val="none"/>
          <w:lang w:eastAsia="zh-CN"/>
        </w:rPr>
        <w:t xml:space="preserve">餐饮业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7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9.本项目是否专门面向中小企业：是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71"/>
        <w:ind w:firstLine="480"/>
        <w:jc w:val="left"/>
        <w:spacing w:line="360" w:lineRule="auto"/>
        <w:widowControl/>
        <w:rPr>
          <w:lang w:val="en-US" w:eastAsia="zh-CN"/>
        </w:rPr>
      </w:pPr>
      <w:r>
        <w:rPr>
          <w:rFonts w:hint="eastAsia" w:ascii="宋体" w:hAnsi="宋体" w:cs="宋体"/>
          <w:color w:val="000000"/>
          <w:sz w:val="24"/>
          <w:szCs w:val="24"/>
          <w:highlight w:val="none"/>
          <w:lang w:val="en-US" w:eastAsia="zh-CN"/>
        </w:rPr>
        <w:t xml:space="preserve">10.</w:t>
      </w:r>
      <w:r>
        <w:rPr>
          <w:rFonts w:hint="eastAsia" w:ascii="宋体" w:hAnsi="宋体"/>
          <w:color w:val="000000"/>
          <w:sz w:val="24"/>
          <w:szCs w:val="24"/>
          <w:highlight w:val="none"/>
        </w:rPr>
        <w:t xml:space="preserve">本项目不接受联合体投标。</w:t>
      </w:r>
      <w:r>
        <w:rPr>
          <w:lang w:val="en-US" w:eastAsia="zh-CN"/>
        </w:rPr>
      </w:r>
      <w:r/>
    </w:p>
    <w:p>
      <w:pPr>
        <w:pStyle w:val="671"/>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hint="eastAsia" w:ascii="黑体" w:hAnsi="黑体" w:eastAsia="黑体" w:cs="宋体"/>
          <w:color w:val="000000"/>
          <w:sz w:val="24"/>
          <w:szCs w:val="24"/>
          <w:highlight w:val="none"/>
        </w:rPr>
      </w:r>
      <w:r/>
    </w:p>
    <w:p>
      <w:pPr>
        <w:pStyle w:val="671"/>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671"/>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2.落实政府采购政策需满足的资格要求：本项目专门面向中小企业采购（残疾人福利性单位、监狱企业视同小型、微型企业）；</w:t>
      </w:r>
      <w:r>
        <w:rPr>
          <w:rFonts w:hint="eastAsia" w:ascii="宋体" w:hAnsi="宋体"/>
          <w:color w:val="000000"/>
          <w:sz w:val="24"/>
          <w:szCs w:val="24"/>
          <w:highlight w:val="none"/>
        </w:rPr>
      </w:r>
      <w:r/>
    </w:p>
    <w:p>
      <w:pPr>
        <w:pStyle w:val="671"/>
        <w:ind w:firstLine="480"/>
        <w:jc w:val="left"/>
        <w:spacing w:line="360" w:lineRule="auto"/>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671"/>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hint="eastAsia" w:ascii="黑体" w:hAnsi="黑体" w:eastAsia="黑体" w:cs="宋体"/>
          <w:color w:val="000000"/>
          <w:sz w:val="24"/>
          <w:szCs w:val="24"/>
          <w:highlight w:val="none"/>
        </w:rPr>
      </w:r>
      <w:r/>
    </w:p>
    <w:p>
      <w:pPr>
        <w:pStyle w:val="671"/>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1.请有意参加本项目采购活动的供应商按以下流程进行操作：</w:t>
      </w:r>
      <w:r>
        <w:rPr>
          <w:rFonts w:hint="eastAsia" w:ascii="宋体" w:hAnsi="宋体"/>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（1）访问“江苏政府采购网”点击“苏采云”进行账号注册，注册完成后需在系统中填写资质信息并提交审核。也可以直接通过http://jszfcg.jsczt.cn/进入注册界面。</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eastAsia="宋体" w:cs="Times New Roman"/>
          <w:color w:val="000000"/>
          <w:sz w:val="24"/>
          <w:szCs w:val="24"/>
          <w:highlight w:val="none"/>
          <w:lang w:val="en-US" w:eastAsia="zh-CN"/>
        </w:rPr>
        <w:t xml:space="preserve">一楼</w:t>
      </w:r>
      <w:r>
        <w:rPr>
          <w:rFonts w:hint="eastAsia" w:ascii="宋体" w:hAnsi="宋体" w:eastAsia="宋体" w:cs="Times New Roman"/>
          <w:color w:val="000000"/>
          <w:sz w:val="24"/>
          <w:szCs w:val="24"/>
          <w:highlight w:val="none"/>
        </w:rPr>
        <w:t xml:space="preserve">窗口），办理指南链接：http://jsxcmm.com/help/help.html。</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（3）CA驱动下载：</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在“苏采云”账号登录页面，点击“驱动下载”链接中的“政务CA、方正签章控件驱动安装包及安装说明”可以直接下载驱动安装包，安装包中附有驱动安装手册。</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ascii="宋体" w:hAnsi="宋体" w:eastAsia="宋体" w:cs="Times New Roman"/>
          <w:color w:val="000000"/>
          <w:sz w:val="24"/>
          <w:szCs w:val="24"/>
          <w:highlight w:val="none"/>
        </w:rPr>
      </w:r>
      <w:r/>
    </w:p>
    <w:p>
      <w:pPr>
        <w:pStyle w:val="671"/>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"http://cz.wuxi.gov.cn/doc/2023/10/11/4080287.shtml" \t "_blank" </w:instrText>
      </w:r>
      <w:r>
        <w:rPr>
          <w:rFonts w:hint="eastAsia"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“苏采云”系统供应商操作手册</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671"/>
        <w:ind w:firstLine="480"/>
        <w:spacing w:line="360" w:lineRule="auto"/>
        <w:rPr>
          <w:rFonts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（四）完成项目报名，获取采购文件</w:t>
      </w:r>
      <w:r>
        <w:rPr>
          <w:rFonts w:ascii="黑体" w:hAnsi="黑体" w:eastAsia="黑体" w:cs="Times New Roman"/>
          <w:bCs/>
          <w:color w:val="000000"/>
          <w:sz w:val="24"/>
          <w:szCs w:val="24"/>
          <w:highlight w:val="none"/>
        </w:rPr>
      </w:r>
      <w:r/>
    </w:p>
    <w:p>
      <w:pPr>
        <w:pStyle w:val="671"/>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000000"/>
          <w:sz w:val="24"/>
          <w:szCs w:val="24"/>
          <w:highlight w:val="none"/>
          <w:lang w:eastAsia="zh-CN"/>
        </w:rPr>
        <w:t xml:space="preserve">http://jszfcg.jsczt.cn/jszc/login</w:t>
      </w:r>
      <w:r>
        <w:rPr>
          <w:rFonts w:hint="eastAsia" w:ascii="宋体" w:hAnsi="宋体" w:eastAsia="宋体" w:cs="Times New Roman"/>
          <w:bCs/>
          <w:color w:val="000000"/>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eastAsia="宋体" w:cs="Times New Roman"/>
          <w:bCs/>
          <w:color w:val="000000"/>
          <w:sz w:val="24"/>
          <w:szCs w:val="24"/>
          <w:highlight w:val="none"/>
        </w:rPr>
      </w:r>
      <w:r/>
    </w:p>
    <w:p>
      <w:pPr>
        <w:pStyle w:val="671"/>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ascii="宋体" w:hAnsi="宋体" w:eastAsia="宋体" w:cs="Times New Roman"/>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bCs/>
          <w:color w:val="000000"/>
          <w:sz w:val="24"/>
          <w:szCs w:val="24"/>
          <w:highlight w:val="none"/>
        </w:rPr>
      </w:r>
      <w:r/>
    </w:p>
    <w:p>
      <w:pPr>
        <w:pStyle w:val="671"/>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（五）公开答疑时间、地点</w:t>
      </w:r>
      <w:r>
        <w:rPr>
          <w:rFonts w:hint="eastAsia" w:ascii="黑体" w:hAnsi="黑体" w:eastAsia="黑体"/>
          <w:bCs/>
          <w:color w:val="000000"/>
          <w:sz w:val="24"/>
          <w:szCs w:val="24"/>
          <w:highlight w:val="none"/>
        </w:rPr>
      </w:r>
      <w:r/>
    </w:p>
    <w:p>
      <w:pPr>
        <w:pStyle w:val="671"/>
        <w:ind w:firstLine="480"/>
        <w:jc w:val="left"/>
        <w:spacing w:line="360" w:lineRule="auto"/>
        <w:widowControl/>
        <w:rPr>
          <w:rFonts w:hint="eastAsia"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江苏智汇锡建工程项目管理有限公司</w:t>
      </w:r>
      <w:r>
        <w:rPr>
          <w:rFonts w:hint="eastAsia" w:ascii="宋体" w:hAnsi="宋体"/>
          <w:bCs/>
          <w:color w:val="000000"/>
          <w:sz w:val="24"/>
          <w:szCs w:val="24"/>
          <w:highlight w:val="none"/>
        </w:rPr>
        <w:t xml:space="preserve">将以线上不见面、电话咨询、传真等方式开展线上答疑服务。截止至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投标人如有需要对招标文件要求澄清的问题，请以书面形式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JSZC-320200-JSZH-G2026-0030</w:t>
      </w:r>
      <w:r>
        <w:rPr>
          <w:rFonts w:hint="eastAsia" w:ascii="宋体" w:hAnsi="宋体" w:cs="宋体"/>
          <w:color w:val="000000"/>
          <w:sz w:val="24"/>
          <w:szCs w:val="24"/>
          <w:highlight w:val="none"/>
        </w:rPr>
        <w:t xml:space="preserve">项目需澄清问题”</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并于答疑</w:t>
      </w:r>
      <w:r>
        <w:rPr>
          <w:rFonts w:hint="eastAsia" w:ascii="宋体" w:hAnsi="宋体" w:cs="宋体"/>
          <w:bCs/>
          <w:color w:val="000000"/>
          <w:sz w:val="24"/>
          <w:szCs w:val="24"/>
          <w:highlight w:val="none"/>
        </w:rPr>
        <w:t xml:space="preserve">截止时间前</w:t>
      </w:r>
      <w:r>
        <w:rPr>
          <w:rFonts w:hint="eastAsia" w:ascii="宋体" w:hAnsi="宋体" w:cs="宋体"/>
          <w:color w:val="000000"/>
          <w:sz w:val="24"/>
          <w:szCs w:val="24"/>
          <w:highlight w:val="none"/>
        </w:rPr>
        <w:t xml:space="preserve">传真给项目联</w:t>
      </w:r>
      <w:r>
        <w:rPr>
          <w:rFonts w:hint="eastAsia" w:ascii="宋体" w:hAnsi="宋体"/>
          <w:color w:val="000000"/>
          <w:sz w:val="24"/>
          <w:szCs w:val="24"/>
          <w:highlight w:val="none"/>
        </w:rPr>
        <w:t xml:space="preserve">系人</w:t>
      </w:r>
      <w:r>
        <w:rPr>
          <w:rFonts w:hint="eastAsia" w:ascii="宋体" w:hAnsi="宋体"/>
          <w:bCs/>
          <w:color w:val="000000"/>
          <w:sz w:val="24"/>
          <w:szCs w:val="24"/>
          <w:highlight w:val="none"/>
        </w:rPr>
        <w:t xml:space="preserve">。若未在法定时间内提出澄清，由此造成的损失及风险由投标人自行承担。</w:t>
      </w:r>
      <w:r>
        <w:rPr>
          <w:rFonts w:hint="eastAsia" w:ascii="宋体" w:hAnsi="宋体"/>
          <w:color w:val="000000"/>
          <w:sz w:val="24"/>
          <w:szCs w:val="24"/>
          <w:highlight w:val="none"/>
        </w:rPr>
      </w:r>
      <w:r/>
    </w:p>
    <w:p>
      <w:pPr>
        <w:pStyle w:val="671"/>
        <w:ind w:firstLine="480"/>
        <w:jc w:val="left"/>
        <w:spacing w:line="360" w:lineRule="auto"/>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（六）网上投标及开标、定标时间、地点</w:t>
      </w:r>
      <w:r>
        <w:rPr>
          <w:rFonts w:hint="eastAsia" w:ascii="黑体" w:hAnsi="黑体" w:eastAsia="黑体" w:cs="宋体"/>
          <w:color w:val="000000"/>
          <w:sz w:val="24"/>
          <w:szCs w:val="24"/>
          <w:highlight w:val="none"/>
        </w:rPr>
      </w:r>
      <w:r/>
    </w:p>
    <w:p>
      <w:pPr>
        <w:pStyle w:val="671"/>
        <w:ind w:firstLine="480"/>
        <w:jc w:val="left"/>
        <w:spacing w:line="360" w:lineRule="auto"/>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sz w:val="24"/>
          <w:szCs w:val="24"/>
          <w:highlight w:val="none"/>
        </w:rPr>
      </w:r>
      <w:r/>
    </w:p>
    <w:p>
      <w:pPr>
        <w:pStyle w:val="671"/>
        <w:ind w:firstLine="480"/>
        <w:jc w:val="left"/>
        <w:spacing w:line="360" w:lineRule="auto"/>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网上投标截止时间：202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:30（投标</w:t>
      </w:r>
      <w:r>
        <w:rPr>
          <w:rFonts w:hint="eastAsia" w:ascii="宋体" w:hAnsi="宋体"/>
          <w:color w:val="000000"/>
          <w:sz w:val="24"/>
          <w:szCs w:val="24"/>
          <w:highlight w:val="none"/>
        </w:rPr>
        <w:t xml:space="preserve">截止时间后的投标文件恕不接受</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网上投标解密时间：202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日开启解密后半小时。</w:t>
      </w:r>
      <w:r>
        <w:rPr>
          <w:rFonts w:hint="eastAsia" w:ascii="宋体" w:hAnsi="宋体" w:cs="宋体"/>
          <w:color w:val="000000"/>
          <w:sz w:val="24"/>
          <w:szCs w:val="24"/>
          <w:highlight w:val="none"/>
        </w:rPr>
      </w:r>
      <w:r/>
    </w:p>
    <w:p>
      <w:pPr>
        <w:pStyle w:val="671"/>
        <w:ind w:firstLine="480"/>
        <w:jc w:val="left"/>
        <w:spacing w:line="360" w:lineRule="auto"/>
        <w:widowControl/>
        <w:rPr>
          <w:rFonts w:hint="eastAsia" w:ascii="宋体" w:hAnsi="宋体"/>
          <w:bCs/>
          <w:color w:val="000000"/>
          <w:sz w:val="24"/>
          <w:szCs w:val="24"/>
          <w:highlight w:val="none"/>
        </w:rPr>
      </w:pPr>
      <w:r>
        <w:rPr>
          <w:rFonts w:hint="eastAsia" w:ascii="宋体" w:hAnsi="宋体"/>
          <w:color w:val="000000"/>
          <w:sz w:val="24"/>
          <w:szCs w:val="24"/>
          <w:highlight w:val="none"/>
        </w:rPr>
        <w:t xml:space="preserve">投标及开标地点：</w:t>
      </w:r>
      <w:bookmarkStart w:id="2" w:name="_Toc28359007"/>
      <w:r>
        <w:rPr>
          <w:rFonts w:hint="eastAsia" w:ascii="宋体" w:hAnsi="宋体" w:cs="宋体"/>
          <w:color w:val="000000"/>
          <w:sz w:val="24"/>
          <w:szCs w:val="24"/>
          <w:highlight w:val="none"/>
        </w:rPr>
        <w:t xml:space="preserve">“苏采云”系统（网址：http://jszfcg.jsczt.cn/）</w:t>
      </w:r>
      <w:bookmarkEnd w:id="2"/>
      <w:r>
        <w:rPr>
          <w:rFonts w:hint="eastAsia" w:ascii="宋体" w:hAnsi="宋体"/>
          <w:bCs/>
          <w:color w:val="000000"/>
          <w:sz w:val="24"/>
          <w:szCs w:val="24"/>
          <w:highlight w:val="none"/>
        </w:rPr>
      </w:r>
      <w:r/>
    </w:p>
    <w:p>
      <w:pPr>
        <w:pStyle w:val="671"/>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rPr>
          <w:rFonts w:ascii="宋体"/>
          <w:bCs/>
          <w:color w:val="000000"/>
          <w:sz w:val="24"/>
          <w:szCs w:val="24"/>
          <w:highlight w:val="none"/>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定标地点：</w:t>
      </w:r>
      <w:r>
        <w:rPr>
          <w:rFonts w:hint="eastAsia" w:ascii="宋体" w:hAnsi="宋体"/>
          <w:color w:val="000000"/>
          <w:sz w:val="24"/>
          <w:szCs w:val="24"/>
          <w:highlight w:val="none"/>
        </w:rPr>
        <w:t xml:space="preserve">江苏智汇锡建工程项目管理有限公司（无锡市新吴区和风路19号启迪协信中心6号楼9楼）会议室</w:t>
      </w:r>
      <w:r>
        <w:rPr>
          <w:rFonts w:hint="eastAsia" w:ascii="宋体" w:hAnsi="宋体" w:cs="宋体"/>
          <w:color w:val="000000"/>
          <w:sz w:val="24"/>
          <w:szCs w:val="24"/>
          <w:highlight w:val="none"/>
        </w:rPr>
      </w:r>
      <w:r/>
    </w:p>
    <w:p>
      <w:pPr>
        <w:pStyle w:val="671"/>
        <w:ind w:firstLine="480"/>
        <w:spacing w:line="360" w:lineRule="auto"/>
        <w:rPr>
          <w:rFonts w:ascii="宋体"/>
          <w:bCs/>
          <w:color w:val="000000"/>
          <w:sz w:val="24"/>
          <w:szCs w:val="24"/>
          <w:highlight w:val="none"/>
        </w:rPr>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671"/>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（八）采购方法：</w:t>
      </w:r>
      <w:r>
        <w:rPr>
          <w:rFonts w:hint="eastAsia" w:ascii="黑体" w:hAnsi="黑体" w:eastAsia="黑体"/>
          <w:bCs/>
          <w:color w:val="000000"/>
          <w:sz w:val="24"/>
          <w:szCs w:val="24"/>
          <w:highlight w:val="none"/>
        </w:rPr>
      </w:r>
      <w:r/>
    </w:p>
    <w:p>
      <w:pPr>
        <w:pStyle w:val="671"/>
        <w:ind w:firstLine="480"/>
        <w:spacing w:line="360" w:lineRule="auto"/>
        <w:rPr>
          <w:rFonts w:hint="eastAsia"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本次采购采用《江苏省政府采购（苏采云）平台》进行招标投标活动，招标、投标、评标和中标结果发布全程电子化。</w:t>
      </w:r>
      <w:r>
        <w:rPr>
          <w:rFonts w:hint="eastAsia" w:ascii="黑体" w:hAnsi="黑体" w:eastAsia="黑体"/>
          <w:bCs/>
          <w:color w:val="000000"/>
          <w:sz w:val="24"/>
          <w:szCs w:val="24"/>
          <w:highlight w:val="none"/>
        </w:rPr>
      </w:r>
      <w:r/>
    </w:p>
    <w:p>
      <w:pPr>
        <w:pStyle w:val="671"/>
        <w:ind w:firstLine="480"/>
        <w:spacing w:line="360" w:lineRule="auto"/>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（九）其他</w:t>
      </w:r>
      <w:r>
        <w:rPr>
          <w:rFonts w:hint="eastAsia" w:ascii="黑体" w:hAnsi="黑体" w:eastAsia="黑体"/>
          <w:bCs/>
          <w:color w:val="000000"/>
          <w:sz w:val="24"/>
          <w:szCs w:val="24"/>
          <w:highlight w:val="none"/>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有关本次采购活动程序方面的问题，可来人、来函（传真）或电话联系。</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采购人：无锡市食品安全检验检测中心</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采购人地址：无锡市长江南路35-210</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eastAsia="zh-CN"/>
        </w:rPr>
      </w:pPr>
      <w:r>
        <w:rPr>
          <w:rFonts w:hint="eastAsia" w:cs="宋体"/>
          <w:color w:val="000000"/>
          <w:highlight w:val="none"/>
          <w:lang w:val="zh-CN"/>
        </w:rPr>
        <w:t xml:space="preserve">联系人：</w:t>
      </w:r>
      <w:r>
        <w:rPr>
          <w:rFonts w:hint="eastAsia" w:cs="宋体"/>
          <w:color w:val="000000"/>
          <w:highlight w:val="none"/>
          <w:lang w:eastAsia="zh-CN"/>
        </w:rPr>
        <w:t xml:space="preserve">陶工</w:t>
      </w:r>
      <w:r>
        <w:rPr>
          <w:rFonts w:hint="eastAsia" w:cs="宋体"/>
          <w:color w:val="000000"/>
          <w:highlight w:val="none"/>
          <w:lang w:eastAsia="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eastAsia="zh-CN"/>
        </w:rPr>
      </w:pPr>
      <w:r>
        <w:rPr>
          <w:rFonts w:hint="eastAsia" w:cs="宋体"/>
          <w:color w:val="000000"/>
          <w:highlight w:val="none"/>
          <w:lang w:eastAsia="zh-CN"/>
        </w:rPr>
        <w:t xml:space="preserve">联系</w:t>
      </w:r>
      <w:r>
        <w:rPr>
          <w:rFonts w:hint="eastAsia" w:cs="宋体"/>
          <w:color w:val="000000"/>
          <w:highlight w:val="none"/>
          <w:lang w:val="en-US" w:eastAsia="zh-CN"/>
        </w:rPr>
        <w:t xml:space="preserve">电话</w:t>
      </w:r>
      <w:r>
        <w:rPr>
          <w:rFonts w:hint="eastAsia" w:cs="宋体"/>
          <w:color w:val="000000"/>
          <w:highlight w:val="none"/>
          <w:lang w:eastAsia="zh-CN"/>
        </w:rPr>
        <w:t xml:space="preserve">：0510-68093011</w:t>
      </w:r>
      <w:r>
        <w:rPr>
          <w:rFonts w:hint="eastAsia" w:cs="宋体"/>
          <w:color w:val="000000"/>
          <w:highlight w:val="none"/>
          <w:lang w:val="zh-CN" w:eastAsia="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采购代理机构：江苏智汇锡建工程项目管理有限公司</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采购代理机构统一</w:t>
      </w:r>
      <w:r>
        <w:rPr>
          <w:rFonts w:hint="eastAsia" w:cs="宋体"/>
          <w:color w:val="000000"/>
          <w:highlight w:val="none"/>
        </w:rPr>
        <w:t xml:space="preserve">社会</w:t>
      </w:r>
      <w:r>
        <w:rPr>
          <w:rFonts w:hint="eastAsia" w:cs="宋体"/>
          <w:color w:val="000000"/>
          <w:highlight w:val="none"/>
          <w:lang w:val="zh-CN"/>
        </w:rPr>
        <w:t xml:space="preserve">信用代码：91320214727400523L</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联系人：徐丽平、吴雨洁</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rPr>
      </w:pPr>
      <w:r>
        <w:rPr>
          <w:rFonts w:hint="eastAsia" w:cs="宋体"/>
          <w:color w:val="000000"/>
          <w:highlight w:val="none"/>
          <w:lang w:val="zh-CN"/>
        </w:rPr>
        <w:t xml:space="preserve">联系电话：0510-82796055</w:t>
      </w:r>
      <w:r>
        <w:rPr>
          <w:rFonts w:hint="eastAsia" w:cs="宋体"/>
          <w:color w:val="000000"/>
          <w:highlight w:val="none"/>
        </w:rPr>
      </w:r>
      <w:r/>
    </w:p>
    <w:p>
      <w:pPr>
        <w:pStyle w:val="801"/>
        <w:ind w:firstLine="480"/>
        <w:spacing w:before="0" w:beforeAutospacing="0" w:after="0" w:afterAutospacing="0" w:line="460" w:lineRule="exact"/>
        <w:tabs>
          <w:tab w:val="left" w:pos="0" w:leader="none"/>
        </w:tabs>
        <w:rPr>
          <w:rFonts w:hint="eastAsia" w:eastAsia="宋体" w:cs="宋体"/>
          <w:color w:val="000000"/>
          <w:highlight w:val="none"/>
          <w:lang w:val="zh-CN" w:eastAsia="zh-CN"/>
        </w:rPr>
      </w:pPr>
      <w:r>
        <w:rPr>
          <w:rFonts w:hint="eastAsia" w:cs="宋体"/>
          <w:color w:val="000000"/>
          <w:highlight w:val="none"/>
          <w:lang w:val="zh-CN"/>
        </w:rPr>
        <w:t xml:space="preserve">联系地址：</w:t>
      </w:r>
      <w:r>
        <w:rPr>
          <w:rFonts w:hint="eastAsia"/>
          <w:bCs/>
          <w:color w:val="000000"/>
          <w:highlight w:val="none"/>
          <w:lang w:eastAsia="zh-CN"/>
        </w:rPr>
        <w:t xml:space="preserve">无锡市新吴区和风路19号启迪协信中心6号楼9楼</w:t>
      </w:r>
      <w:r>
        <w:rPr>
          <w:rFonts w:hint="eastAsia" w:eastAsia="宋体" w:cs="宋体"/>
          <w:color w:val="000000"/>
          <w:highlight w:val="none"/>
          <w:lang w:val="zh-CN" w:eastAsia="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邮政编码：214000</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cs="宋体"/>
          <w:color w:val="000000"/>
          <w:highlight w:val="none"/>
          <w:lang w:val="zh-CN"/>
        </w:rPr>
      </w:pPr>
      <w:r>
        <w:rPr>
          <w:rFonts w:hint="eastAsia" w:cs="宋体"/>
          <w:color w:val="000000"/>
          <w:highlight w:val="none"/>
          <w:lang w:val="zh-CN"/>
        </w:rPr>
        <w:t xml:space="preserve">电子邮件地址：jszh009@163.com</w:t>
      </w:r>
      <w:r>
        <w:rPr>
          <w:rFonts w:hint="eastAsia" w:cs="宋体"/>
          <w:color w:val="000000"/>
          <w:highlight w:val="none"/>
          <w:lang w:val="zh-CN"/>
        </w:rPr>
      </w:r>
      <w:r/>
    </w:p>
    <w:p>
      <w:pPr>
        <w:pStyle w:val="801"/>
        <w:ind w:firstLine="480"/>
        <w:spacing w:before="0" w:beforeAutospacing="0" w:after="0" w:afterAutospacing="0" w:line="460" w:lineRule="exact"/>
        <w:tabs>
          <w:tab w:val="left" w:pos="0" w:leader="none"/>
        </w:tabs>
        <w:rPr>
          <w:rFonts w:hint="eastAsia" w:ascii="黑体" w:hAnsi="黑体" w:eastAsia="黑体"/>
          <w:bCs/>
          <w:color w:val="000000"/>
          <w:highlight w:val="none"/>
        </w:rPr>
      </w:pPr>
      <w:r>
        <w:rPr>
          <w:rFonts w:hint="eastAsia" w:ascii="黑体" w:hAnsi="黑体" w:eastAsia="黑体"/>
          <w:bCs/>
          <w:color w:val="000000"/>
          <w:highlight w:val="none"/>
        </w:rPr>
        <w:t xml:space="preserve">（十）其他</w:t>
      </w:r>
      <w:r>
        <w:rPr>
          <w:rFonts w:hint="eastAsia" w:ascii="黑体" w:hAnsi="黑体" w:eastAsia="黑体"/>
          <w:bCs/>
          <w:color w:val="000000"/>
          <w:highlight w:val="none"/>
        </w:rPr>
      </w:r>
      <w:r/>
    </w:p>
    <w:p>
      <w:pPr>
        <w:pStyle w:val="671"/>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cs="宋体"/>
          <w:color w:val="000000"/>
          <w:sz w:val="24"/>
          <w:szCs w:val="24"/>
          <w:highlight w:val="none"/>
          <w:lang w:val="zh-CN"/>
        </w:rPr>
      </w:r>
      <w:r/>
    </w:p>
    <w:p>
      <w:pPr>
        <w:pStyle w:val="671"/>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本项目为不见面开标，仅需在任意地点登录苏采云平台参加开标会议，供应商无需到达开标现场。</w:t>
      </w:r>
      <w:r>
        <w:rPr>
          <w:rFonts w:hint="eastAsia" w:ascii="宋体" w:hAnsi="宋体" w:cs="宋体"/>
          <w:color w:val="000000"/>
          <w:sz w:val="24"/>
          <w:szCs w:val="24"/>
          <w:highlight w:val="none"/>
          <w:lang w:val="zh-CN"/>
        </w:rPr>
      </w:r>
      <w:r/>
    </w:p>
    <w:p>
      <w:pPr>
        <w:pStyle w:val="671"/>
        <w:ind w:firstLine="48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纸质投标文件：本项目为不见面开标，报价人无需递交纸质投标文件至现场，</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份：一正、</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zh-CN"/>
        </w:rPr>
        <w:t xml:space="preserve">副）。</w:t>
      </w:r>
      <w:r>
        <w:rPr>
          <w:rFonts w:hint="eastAsia" w:ascii="宋体" w:hAnsi="宋体" w:cs="宋体"/>
          <w:color w:val="000000"/>
          <w:sz w:val="24"/>
          <w:szCs w:val="24"/>
          <w:highlight w:val="none"/>
          <w:lang w:val="zh-CN"/>
        </w:rPr>
      </w:r>
      <w:r/>
    </w:p>
    <w:p>
      <w:pPr>
        <w:pStyle w:val="671"/>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000000"/>
          <w:sz w:val="24"/>
          <w:szCs w:val="24"/>
          <w:highlight w:val="none"/>
        </w:rPr>
      </w:r>
      <w:r/>
    </w:p>
    <w:p>
      <w:pPr>
        <w:pStyle w:val="801"/>
        <w:ind w:firstLine="560"/>
        <w:jc w:val="both"/>
        <w:spacing w:before="0" w:beforeAutospacing="0" w:after="0" w:afterAutospacing="0" w:line="460" w:lineRule="exact"/>
        <w:tabs>
          <w:tab w:val="left" w:pos="0" w:leader="none"/>
        </w:tabs>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01"/>
        <w:ind w:firstLine="560"/>
        <w:jc w:val="center"/>
        <w:spacing w:before="0" w:beforeAutospacing="0" w:after="0" w:afterAutospacing="0" w:line="460" w:lineRule="exact"/>
        <w:tabs>
          <w:tab w:val="left" w:pos="0" w:leader="none"/>
        </w:tabs>
        <w:rPr>
          <w:rFonts w:hint="eastAsia" w:ascii="黑体" w:eastAsia="黑体"/>
          <w:bCs/>
          <w:color w:val="000000"/>
          <w:sz w:val="28"/>
          <w:szCs w:val="28"/>
          <w:highlight w:val="none"/>
        </w:rPr>
        <w:outlineLvl w:val="0"/>
      </w:pPr>
      <w:r>
        <w:rPr>
          <w:rFonts w:ascii="黑体" w:eastAsia="黑体"/>
          <w:bCs/>
          <w:color w:val="000000"/>
          <w:sz w:val="28"/>
          <w:szCs w:val="28"/>
          <w:highlight w:val="none"/>
        </w:rPr>
        <w:br w:type="page" w:clear="all"/>
      </w:r>
      <w:bookmarkStart w:id="3" w:name="_Toc22097"/>
      <w:r>
        <w:rPr>
          <w:rFonts w:hint="eastAsia" w:ascii="黑体" w:eastAsia="黑体"/>
          <w:bCs/>
          <w:color w:val="000000"/>
          <w:sz w:val="28"/>
          <w:szCs w:val="28"/>
          <w:highlight w:val="none"/>
        </w:rPr>
        <w:t xml:space="preserve">二</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投标人须知</w:t>
      </w:r>
      <w:bookmarkEnd w:id="3"/>
      <w:r>
        <w:rPr>
          <w:rFonts w:hint="eastAsia" w:ascii="黑体" w:eastAsia="黑体"/>
          <w:bCs/>
          <w:color w:val="000000"/>
          <w:sz w:val="28"/>
          <w:szCs w:val="28"/>
          <w:highlight w:val="none"/>
        </w:rPr>
      </w:r>
      <w:r/>
    </w:p>
    <w:p>
      <w:pPr>
        <w:pStyle w:val="671"/>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（一）遵循原则：</w:t>
      </w:r>
      <w:r>
        <w:rPr>
          <w:rFonts w:hint="eastAsia" w:ascii="黑体" w:hAnsi="宋体" w:eastAsia="黑体"/>
          <w:bCs/>
          <w:color w:val="000000"/>
          <w:sz w:val="24"/>
          <w:szCs w:val="24"/>
          <w:highlight w:val="none"/>
        </w:rPr>
      </w:r>
      <w:r/>
    </w:p>
    <w:p>
      <w:pPr>
        <w:pStyle w:val="671"/>
        <w:ind w:firstLine="480"/>
        <w:spacing w:line="360" w:lineRule="auto"/>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hint="eastAsia" w:ascii="黑体" w:hAnsi="宋体" w:eastAsia="黑体"/>
          <w:bCs/>
          <w:color w:val="000000"/>
          <w:sz w:val="24"/>
          <w:szCs w:val="24"/>
          <w:highlight w:val="none"/>
        </w:rPr>
      </w:r>
      <w:r/>
    </w:p>
    <w:p>
      <w:pPr>
        <w:pStyle w:val="671"/>
        <w:ind w:left="1200" w:hanging="720"/>
        <w:spacing w:line="360" w:lineRule="auto"/>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（二） </w:t>
      </w:r>
      <w:r>
        <w:rPr>
          <w:rFonts w:hint="eastAsia" w:ascii="黑体" w:hAnsi="宋体" w:eastAsia="黑体"/>
          <w:bCs/>
          <w:color w:val="000000"/>
          <w:sz w:val="24"/>
          <w:szCs w:val="24"/>
          <w:highlight w:val="none"/>
        </w:rPr>
        <w:t xml:space="preserve">招标文件：</w:t>
      </w:r>
      <w:r>
        <w:rPr>
          <w:rFonts w:hint="eastAsia" w:ascii="黑体" w:hAnsi="宋体" w:eastAsia="黑体"/>
          <w:bCs/>
          <w:color w:val="000000"/>
          <w:sz w:val="24"/>
          <w:szCs w:val="24"/>
          <w:highlight w:val="none"/>
        </w:rPr>
      </w:r>
      <w:r/>
    </w:p>
    <w:p>
      <w:pPr>
        <w:pStyle w:val="671"/>
        <w:numPr>
          <w:ilvl w:val="0"/>
          <w:numId w:val="3"/>
        </w:numPr>
        <w:ind w:left="0" w:firstLine="523"/>
        <w:spacing w:line="360" w:lineRule="auto"/>
        <w:tabs>
          <w:tab w:val="left" w:pos="-126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招标文件包括本文件目录所列全部内容，投标人应仔细阅读，并在投标文件中充分响应招标文件的所有要求。</w:t>
      </w:r>
      <w:r>
        <w:rPr>
          <w:rFonts w:ascii="宋体"/>
          <w:bCs/>
          <w:color w:val="000000"/>
          <w:sz w:val="24"/>
          <w:szCs w:val="24"/>
          <w:highlight w:val="none"/>
        </w:rPr>
      </w:r>
      <w:r/>
    </w:p>
    <w:p>
      <w:pPr>
        <w:pStyle w:val="671"/>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招标文件中的“法定代表人”是指投标人的营业执照的“法定代表人”或相关部门的登记证明文件中的“负责人”。</w:t>
      </w:r>
      <w:r>
        <w:rPr>
          <w:rFonts w:ascii="宋体"/>
          <w:bCs/>
          <w:color w:val="000000"/>
          <w:sz w:val="24"/>
          <w:szCs w:val="24"/>
          <w:highlight w:val="none"/>
        </w:rPr>
      </w:r>
      <w:r/>
    </w:p>
    <w:p>
      <w:pPr>
        <w:pStyle w:val="671"/>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投标供应商应在苏采云平台（</w:t>
      </w:r>
      <w:r>
        <w:rPr>
          <w:rFonts w:hint="eastAsia" w:ascii="宋体" w:hAnsi="宋体"/>
          <w:bCs/>
          <w:color w:val="000000"/>
          <w:sz w:val="24"/>
          <w:szCs w:val="24"/>
          <w:highlight w:val="none"/>
          <w:lang w:eastAsia="zh-CN"/>
        </w:rPr>
        <w:t xml:space="preserve">http://jszfcg.jsczt.cn/jszc/login</w:t>
      </w:r>
      <w:r>
        <w:rPr>
          <w:rFonts w:hint="eastAsia" w:ascii="宋体" w:hAnsi="宋体"/>
          <w:bCs/>
          <w:color w:val="000000"/>
          <w:sz w:val="24"/>
          <w:szCs w:val="24"/>
          <w:highlight w:val="none"/>
        </w:rPr>
        <w:t xml:space="preserve">）下载招标文件及有关资料，按要求制作、上传投标文件，对招标文件各项内容做出实质性响应，否则投标无效。</w:t>
      </w:r>
      <w:r>
        <w:rPr>
          <w:rFonts w:ascii="宋体"/>
          <w:bCs/>
          <w:color w:val="000000"/>
          <w:sz w:val="24"/>
          <w:szCs w:val="24"/>
          <w:highlight w:val="none"/>
        </w:rPr>
      </w:r>
      <w:r/>
    </w:p>
    <w:p>
      <w:pPr>
        <w:pStyle w:val="671"/>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ascii="宋体"/>
          <w:bCs/>
          <w:color w:val="000000"/>
          <w:sz w:val="24"/>
          <w:szCs w:val="24"/>
          <w:highlight w:val="none"/>
        </w:rPr>
      </w:r>
      <w:r/>
    </w:p>
    <w:p>
      <w:pPr>
        <w:pStyle w:val="671"/>
        <w:ind w:firstLine="480"/>
        <w:spacing w:line="360" w:lineRule="auto"/>
        <w:tabs>
          <w:tab w:val="left" w:pos="630"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（三）招标文件的解释：</w:t>
      </w:r>
      <w:r>
        <w:rPr>
          <w:rFonts w:hint="eastAsia" w:ascii="黑体" w:hAnsi="宋体" w:eastAsia="黑体"/>
          <w:bCs/>
          <w:color w:val="000000"/>
          <w:sz w:val="24"/>
          <w:szCs w:val="24"/>
          <w:highlight w:val="none"/>
        </w:rPr>
      </w:r>
      <w:r/>
    </w:p>
    <w:p>
      <w:pPr>
        <w:pStyle w:val="671"/>
        <w:ind w:left="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本文件的最终解释权归采购人。</w:t>
      </w:r>
      <w:r>
        <w:rPr>
          <w:rFonts w:ascii="宋体"/>
          <w:bCs/>
          <w:color w:val="000000"/>
          <w:sz w:val="24"/>
          <w:szCs w:val="24"/>
          <w:highlight w:val="none"/>
        </w:rPr>
      </w:r>
      <w:r/>
    </w:p>
    <w:p>
      <w:pPr>
        <w:pStyle w:val="671"/>
        <w:ind w:left="1200" w:hanging="720"/>
        <w:spacing w:line="360" w:lineRule="auto"/>
        <w:tabs>
          <w:tab w:val="left" w:pos="945" w:leader="none"/>
        </w:tabs>
        <w:rPr>
          <w:rFonts w:hint="eastAsia" w:ascii="黑体" w:hAnsi="宋体" w:eastAsia="黑体"/>
          <w:bCs/>
          <w:color w:val="000000"/>
          <w:sz w:val="24"/>
          <w:szCs w:val="24"/>
          <w:highlight w:val="none"/>
        </w:rPr>
      </w:pPr>
      <w:r>
        <w:rPr>
          <w:rFonts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t xml:space="preserve">四</w:t>
      </w:r>
      <w:r>
        <w:rPr>
          <w:rFonts w:ascii="黑体" w:hAnsi="宋体" w:eastAsia="黑体"/>
          <w:bCs/>
          <w:color w:val="000000"/>
          <w:sz w:val="24"/>
          <w:szCs w:val="24"/>
          <w:highlight w:val="none"/>
        </w:rPr>
        <w:t xml:space="preserve">） </w:t>
      </w:r>
      <w:r>
        <w:rPr>
          <w:rFonts w:hint="eastAsia" w:ascii="黑体" w:hAnsi="宋体" w:eastAsia="黑体"/>
          <w:bCs/>
          <w:color w:val="000000"/>
          <w:sz w:val="24"/>
          <w:szCs w:val="24"/>
          <w:highlight w:val="none"/>
        </w:rPr>
        <w:t xml:space="preserve">招标文件的补充或修正：</w:t>
      </w:r>
      <w:r>
        <w:rPr>
          <w:rFonts w:hint="eastAsia" w:ascii="黑体" w:hAnsi="宋体" w:eastAsia="黑体"/>
          <w:bCs/>
          <w:color w:val="000000"/>
          <w:sz w:val="24"/>
          <w:szCs w:val="24"/>
          <w:highlight w:val="none"/>
        </w:rPr>
      </w:r>
      <w:r/>
    </w:p>
    <w:p>
      <w:pPr>
        <w:pStyle w:val="671"/>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hint="eastAsia" w:ascii="宋体" w:hAnsi="宋体"/>
          <w:bCs/>
          <w:color w:val="000000"/>
          <w:sz w:val="24"/>
          <w:szCs w:val="24"/>
          <w:highlight w:val="none"/>
        </w:rPr>
      </w:r>
      <w:r/>
    </w:p>
    <w:p>
      <w:pPr>
        <w:pStyle w:val="671"/>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rPr>
          <w:rFonts w:ascii="宋体"/>
          <w:bCs/>
          <w:color w:val="000000"/>
          <w:sz w:val="24"/>
          <w:szCs w:val="24"/>
          <w:highlight w:val="none"/>
        </w:rPr>
      </w:r>
      <w:r/>
    </w:p>
    <w:p>
      <w:pPr>
        <w:pStyle w:val="671"/>
        <w:ind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文件使自己的权益受到损害的，可以自获取</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文件之日或者</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采购人、采购代理机构提出质疑。</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rPr>
          <w:rFonts w:hint="eastAsia" w:ascii="宋体" w:hAnsi="宋体"/>
          <w:bCs/>
          <w:color w:val="000000"/>
          <w:sz w:val="24"/>
          <w:szCs w:val="24"/>
          <w:highlight w:val="none"/>
        </w:rPr>
      </w:r>
      <w:r/>
    </w:p>
    <w:p>
      <w:pPr>
        <w:pStyle w:val="671"/>
        <w:ind w:left="1200" w:hanging="72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（五）质疑与投诉</w:t>
      </w:r>
      <w:r>
        <w:rPr>
          <w:rFonts w:hint="eastAsia" w:ascii="黑体" w:hAnsi="宋体" w:eastAsia="黑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的，可以对该文件提出质疑。对</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提出质疑的，应当在获取</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或者</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w:t>
      </w:r>
      <w:r>
        <w:rPr>
          <w:rFonts w:hint="eastAsia" w:ascii="宋体" w:hAnsi="宋体"/>
          <w:bCs/>
          <w:color w:val="000000"/>
          <w:sz w:val="24"/>
          <w:szCs w:val="24"/>
          <w:highlight w:val="none"/>
        </w:rPr>
        <w:t xml:space="preserve">须在</w:t>
      </w:r>
      <w:r>
        <w:rPr>
          <w:rFonts w:ascii="宋体" w:hAnsi="宋体"/>
          <w:bCs/>
          <w:color w:val="000000"/>
          <w:sz w:val="24"/>
          <w:szCs w:val="24"/>
          <w:highlight w:val="none"/>
        </w:rPr>
        <w:t xml:space="preserve">法定质疑期内一次性提出针对同一采购程序环节的质疑。</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质疑的受理与答复</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接收单位：江苏智汇锡建工程项目管理有限公司</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bCs/>
          <w:color w:val="000000"/>
          <w:sz w:val="24"/>
          <w:szCs w:val="24"/>
          <w:highlight w:val="none"/>
          <w:lang w:eastAsia="zh-CN"/>
        </w:rPr>
        <w:t xml:space="preserve">无锡市新吴区和风路19号启迪协信中心6号楼9楼</w:t>
      </w:r>
      <w:r>
        <w:rPr>
          <w:rFonts w:hint="eastAsia" w:ascii="宋体" w:hAnsi="宋体" w:eastAsia="宋体"/>
          <w:bCs/>
          <w:color w:val="000000"/>
          <w:sz w:val="24"/>
          <w:szCs w:val="24"/>
          <w:highlight w:val="none"/>
          <w:lang w:eastAsia="zh-CN"/>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联系人：吴雨洁</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电话：0510-82796055</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采购人应当在收到质疑函后7个工作日内作出答复，并以书面形式通知质疑供应商和其他有关供应商。</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投诉的提起</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质疑供应商对采购人的答复不满意，或者采购人未在规定时间内作出答复的，可以在答复期满后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应当提交投诉书和必要的证明材料，并按照被投诉采购人（以下简称被投诉人）和与投诉事项有关的供应商数量提供投诉书的副本。投诉书应当包括下列内容：</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hint="eastAsia" w:ascii="宋体" w:hAnsi="宋体"/>
          <w:bCs/>
          <w:color w:val="000000"/>
          <w:sz w:val="24"/>
          <w:szCs w:val="24"/>
          <w:highlight w:val="none"/>
        </w:rPr>
      </w:r>
      <w:r/>
    </w:p>
    <w:p>
      <w:pPr>
        <w:pStyle w:val="671"/>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360" w:lineRule="auto"/>
        <w:rPr>
          <w:rFonts w:ascii="宋体"/>
          <w:bCs/>
          <w:color w:val="000000"/>
          <w:sz w:val="24"/>
          <w:szCs w:val="24"/>
          <w:highlight w:val="none"/>
        </w:rPr>
      </w:pPr>
      <w:r>
        <w:rPr>
          <w:rFonts w:hint="eastAsia" w:ascii="黑体" w:hAnsi="宋体" w:eastAsia="黑体"/>
          <w:bCs/>
          <w:color w:val="000000"/>
          <w:sz w:val="24"/>
          <w:szCs w:val="24"/>
          <w:highlight w:val="none"/>
        </w:rPr>
        <w:t xml:space="preserve">（六）投标文件的组成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rPr>
          <w:rFonts w:ascii="宋体"/>
          <w:bCs/>
          <w:color w:val="000000"/>
          <w:sz w:val="24"/>
          <w:szCs w:val="24"/>
          <w:highlight w:val="none"/>
        </w:rPr>
      </w:r>
      <w:r/>
    </w:p>
    <w:p>
      <w:pPr>
        <w:pStyle w:val="671"/>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资格、资信证明文件（</w:t>
      </w:r>
      <w:r>
        <w:rPr>
          <w:rFonts w:hint="eastAsia" w:ascii="宋体" w:hAnsi="宋体"/>
          <w:b/>
          <w:bCs/>
          <w:color w:val="000000"/>
          <w:sz w:val="24"/>
          <w:szCs w:val="24"/>
          <w:highlight w:val="none"/>
        </w:rPr>
        <w:t xml:space="preserve">扫描后上传，身份证应为正、反面</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71"/>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71"/>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具有独立承担民事责任能力的投标人营业执照或相关部门的登记证明文件（投标人如</w:t>
      </w:r>
      <w:r>
        <w:rPr>
          <w:rFonts w:hint="eastAsia" w:ascii="宋体" w:hAnsi="宋体" w:cs="宋体"/>
          <w:color w:val="000000"/>
          <w:sz w:val="24"/>
          <w:szCs w:val="24"/>
          <w:highlight w:val="none"/>
        </w:rPr>
        <w:t xml:space="preserve">允许以分支机构身份参加投标的，提供投标人分支机构的营业执照</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投标人法定代表人授权委托书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格式见附件，法定代表人亲自参加投标的除外</w:t>
      </w:r>
      <w:r>
        <w:rPr>
          <w:rFonts w:hint="eastAsia" w:ascii="宋体" w:hAnsi="宋体"/>
          <w:color w:val="000000"/>
          <w:sz w:val="24"/>
          <w:szCs w:val="24"/>
          <w:highlight w:val="none"/>
        </w:rPr>
        <w:t xml:space="preserve">）（投标人如</w:t>
      </w:r>
      <w:r>
        <w:rPr>
          <w:rFonts w:hint="eastAsia" w:ascii="宋体" w:hAnsi="宋体" w:cs="宋体"/>
          <w:color w:val="000000"/>
          <w:sz w:val="24"/>
          <w:szCs w:val="24"/>
          <w:highlight w:val="none"/>
        </w:rPr>
        <w:t xml:space="preserve">允许以分支机构身份参加投标的，请自行</w:t>
      </w:r>
      <w:r>
        <w:rPr>
          <w:rFonts w:ascii="宋体" w:hAnsi="宋体" w:cs="宋体"/>
          <w:color w:val="000000"/>
          <w:sz w:val="24"/>
          <w:szCs w:val="24"/>
          <w:highlight w:val="none"/>
        </w:rPr>
        <w:t xml:space="preserve">将“</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更改为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负责人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，分支机构投标</w:t>
      </w:r>
      <w:r>
        <w:rPr>
          <w:rFonts w:ascii="宋体" w:hAnsi="宋体" w:cs="宋体"/>
          <w:color w:val="000000"/>
          <w:sz w:val="24"/>
          <w:szCs w:val="24"/>
          <w:highlight w:val="none"/>
        </w:rPr>
        <w:t xml:space="preserve">时</w:t>
      </w:r>
      <w:r>
        <w:rPr>
          <w:rFonts w:hint="eastAsia" w:ascii="宋体" w:hAnsi="宋体" w:cs="宋体"/>
          <w:color w:val="000000"/>
          <w:sz w:val="24"/>
          <w:szCs w:val="24"/>
          <w:highlight w:val="none"/>
        </w:rPr>
        <w:t xml:space="preserve">涉及采购文件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要求的部分</w:t>
      </w:r>
      <w:r>
        <w:rPr>
          <w:rFonts w:ascii="宋体" w:hAnsi="宋体" w:cs="宋体"/>
          <w:color w:val="000000"/>
          <w:sz w:val="24"/>
          <w:szCs w:val="24"/>
          <w:highlight w:val="none"/>
        </w:rPr>
        <w:t xml:space="preserve">，其</w:t>
      </w:r>
      <w:r>
        <w:rPr>
          <w:rFonts w:hint="eastAsia" w:ascii="宋体" w:hAnsi="宋体" w:cs="宋体"/>
          <w:color w:val="000000"/>
          <w:sz w:val="24"/>
          <w:szCs w:val="24"/>
          <w:highlight w:val="none"/>
        </w:rPr>
        <w:t xml:space="preserve">具体要求</w:t>
      </w:r>
      <w:r>
        <w:rPr>
          <w:rFonts w:ascii="宋体" w:hAnsi="宋体" w:cs="宋体"/>
          <w:color w:val="000000"/>
          <w:sz w:val="24"/>
          <w:szCs w:val="24"/>
          <w:highlight w:val="none"/>
        </w:rPr>
        <w:t xml:space="preserve">视同本条规定</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投标人法定代表人身份证；</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投标人法定代表人授权代表身份证（</w:t>
      </w:r>
      <w:r>
        <w:rPr>
          <w:rFonts w:hint="eastAsia" w:ascii="宋体" w:hAnsi="宋体"/>
          <w:b/>
          <w:bCs/>
          <w:color w:val="000000"/>
          <w:sz w:val="24"/>
          <w:szCs w:val="24"/>
          <w:highlight w:val="none"/>
        </w:rPr>
        <w:t xml:space="preserve">法定代表人亲自参加投标的除外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投标人近一年中任意一个月份（不含投标当月）为其法定代表人授权代表缴纳社保的证明（</w:t>
      </w:r>
      <w:r>
        <w:rPr>
          <w:rFonts w:hint="eastAsia" w:ascii="宋体" w:hAnsi="宋体"/>
          <w:b/>
          <w:bCs/>
          <w:color w:val="000000"/>
          <w:sz w:val="24"/>
          <w:szCs w:val="24"/>
          <w:highlight w:val="none"/>
        </w:rPr>
        <w:t xml:space="preserve">由相关主管部门出具，新成立公司除外、法定代表人亲自参加投标的除外</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投标人近一年中任意一个月份（不含投标当月）的财务状况报告（资产负债表和利润表）或由会计师事务所出具的近两年中</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2024年或2025年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任意一个年度的审计报告和所附已审财务报告；</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投标人近一年中任意一个月份（不含投标当月）的依法缴纳税收的相关材料（提供相关主管部门证明或银行代扣证明）；</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投标人近一年中任意一个月份（不含投标当月）的依法缴纳社会保障资金的相关材料（提供相关主管部门证明或银行代扣证明）；</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承诺书</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中小企业声明函（</w:t>
      </w:r>
      <w:r>
        <w:rPr>
          <w:rFonts w:hint="eastAsia" w:ascii="宋体"/>
          <w:b/>
          <w:color w:val="000000"/>
          <w:sz w:val="24"/>
          <w:szCs w:val="24"/>
          <w:highlight w:val="none"/>
        </w:rPr>
        <w:t xml:space="preserve">格式见附件</w:t>
      </w:r>
      <w:r>
        <w:rPr>
          <w:rFonts w:hint="eastAsia" w:ascii="宋体"/>
          <w:bCs/>
          <w:color w:val="000000"/>
          <w:sz w:val="24"/>
          <w:szCs w:val="24"/>
          <w:highlight w:val="none"/>
        </w:rPr>
        <w:t xml:space="preserve">）；</w:t>
      </w:r>
      <w:r>
        <w:rPr>
          <w:rFonts w:ascii="宋体"/>
          <w:bCs/>
          <w:color w:val="000000"/>
          <w:sz w:val="24"/>
          <w:szCs w:val="24"/>
          <w:highlight w:val="none"/>
        </w:rPr>
      </w:r>
      <w:r/>
    </w:p>
    <w:p>
      <w:pPr>
        <w:pStyle w:val="671"/>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采购人要求的特定资质证明扫描件（</w:t>
      </w:r>
      <w:r>
        <w:rPr>
          <w:rFonts w:hint="eastAsia" w:ascii="宋体" w:hAnsi="宋体"/>
          <w:b/>
          <w:bCs/>
          <w:color w:val="000000"/>
          <w:sz w:val="24"/>
          <w:szCs w:val="24"/>
          <w:highlight w:val="none"/>
        </w:rPr>
        <w:t xml:space="preserve">详见“投标邀请函”－“投标人资格要求”之3中要求）</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ind w:firstLine="480"/>
        <w:spacing w:line="360" w:lineRule="auto"/>
        <w:tabs>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3.</w:t>
      </w:r>
      <w:r>
        <w:rPr>
          <w:rFonts w:hint="eastAsia" w:ascii="宋体" w:hAnsi="宋体"/>
          <w:bCs/>
          <w:color w:val="000000"/>
          <w:sz w:val="24"/>
          <w:szCs w:val="24"/>
          <w:highlight w:val="none"/>
        </w:rPr>
        <w:t xml:space="preserve">开标一览表（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4.</w:t>
      </w:r>
      <w:r>
        <w:rPr>
          <w:rFonts w:hint="eastAsia" w:ascii="宋体" w:hAnsi="宋体"/>
          <w:bCs/>
          <w:color w:val="000000"/>
          <w:sz w:val="24"/>
          <w:szCs w:val="24"/>
          <w:highlight w:val="none"/>
        </w:rPr>
        <w:t xml:space="preserve">报价明细表（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5.</w:t>
      </w:r>
      <w:r>
        <w:rPr>
          <w:rFonts w:hint="eastAsia" w:ascii="宋体" w:hAnsi="宋体"/>
          <w:bCs/>
          <w:color w:val="000000"/>
          <w:sz w:val="24"/>
          <w:szCs w:val="24"/>
          <w:highlight w:val="none"/>
        </w:rPr>
        <w:t xml:space="preserve">投标偏离表（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6.</w:t>
      </w:r>
      <w:r>
        <w:rPr>
          <w:rFonts w:hint="eastAsia" w:ascii="宋体" w:hAnsi="宋体"/>
          <w:bCs/>
          <w:color w:val="000000"/>
          <w:sz w:val="24"/>
          <w:szCs w:val="24"/>
          <w:highlight w:val="none"/>
        </w:rPr>
        <w:t xml:space="preserve">项目管理机构配备情况表（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7.</w:t>
      </w:r>
      <w:r>
        <w:rPr>
          <w:rFonts w:hint="eastAsia" w:ascii="宋体" w:hAnsi="宋体"/>
          <w:bCs/>
          <w:color w:val="000000"/>
          <w:sz w:val="24"/>
          <w:szCs w:val="24"/>
          <w:highlight w:val="none"/>
        </w:rPr>
        <w:t xml:space="preserve">项目负责人简历表（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8.</w:t>
      </w:r>
      <w:r>
        <w:rPr>
          <w:rFonts w:hint="eastAsia" w:ascii="宋体" w:hAnsi="宋体"/>
          <w:bCs/>
          <w:color w:val="000000"/>
          <w:sz w:val="24"/>
          <w:szCs w:val="24"/>
          <w:highlight w:val="none"/>
        </w:rPr>
        <w:t xml:space="preserve">投标单位情况表（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2"/>
        <w:spacing w:line="360" w:lineRule="auto"/>
        <w:rPr>
          <w:rFonts w:hint="eastAsia" w:ascii="宋体" w:hAnsi="宋体" w:eastAsia="宋体" w:cs="Times New Roman"/>
          <w:b/>
          <w:color w:val="000000"/>
          <w:sz w:val="24"/>
          <w:szCs w:val="24"/>
          <w:highlight w:val="none"/>
        </w:rPr>
      </w:pPr>
      <w:r>
        <w:rPr>
          <w:rFonts w:hint="eastAsia" w:ascii="宋体" w:hAnsi="宋体"/>
          <w:bCs/>
          <w:color w:val="000000"/>
          <w:sz w:val="24"/>
          <w:szCs w:val="24"/>
          <w:highlight w:val="none"/>
          <w:lang w:eastAsia="zh-CN"/>
        </w:rPr>
        <w:t xml:space="preserve">9.</w:t>
      </w:r>
      <w:r>
        <w:rPr>
          <w:rFonts w:hint="eastAsia" w:ascii="宋体" w:hAnsi="宋体"/>
          <w:bCs/>
          <w:color w:val="000000"/>
          <w:sz w:val="24"/>
          <w:szCs w:val="24"/>
          <w:highlight w:val="none"/>
        </w:rPr>
        <w:t xml:space="preserve">技术文件</w:t>
      </w:r>
      <w:r>
        <w:rPr>
          <w:rFonts w:hint="eastAsia" w:ascii="宋体" w:hAnsi="宋体" w:eastAsia="宋体" w:cs="Times New Roman"/>
          <w:b/>
          <w:color w:val="000000"/>
          <w:sz w:val="24"/>
          <w:szCs w:val="24"/>
          <w:highlight w:val="none"/>
        </w:rPr>
        <w:t xml:space="preserve">（内容参照评标办法</w:t>
      </w:r>
      <w:r>
        <w:rPr>
          <w:rFonts w:hint="eastAsia" w:ascii="宋体" w:hAnsi="宋体" w:cs="Times New Roman"/>
          <w:b/>
          <w:color w:val="000000"/>
          <w:sz w:val="24"/>
          <w:szCs w:val="24"/>
          <w:highlight w:val="none"/>
          <w:lang w:eastAsia="zh-CN"/>
        </w:rPr>
        <w:t xml:space="preserve">，</w:t>
      </w:r>
      <w:r>
        <w:rPr>
          <w:rFonts w:hint="eastAsia" w:ascii="宋体" w:hAnsi="宋体" w:cs="Times New Roman"/>
          <w:b/>
          <w:color w:val="000000"/>
          <w:sz w:val="24"/>
          <w:szCs w:val="24"/>
          <w:highlight w:val="none"/>
          <w:lang w:val="en-US" w:eastAsia="zh-CN"/>
        </w:rPr>
        <w:t xml:space="preserve">格式自拟</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10.</w:t>
      </w:r>
      <w:r>
        <w:rPr>
          <w:rFonts w:hint="eastAsia" w:ascii="宋体" w:hAnsi="宋体"/>
          <w:bCs/>
          <w:color w:val="000000"/>
          <w:sz w:val="24"/>
          <w:szCs w:val="24"/>
          <w:highlight w:val="none"/>
        </w:rPr>
        <w:t xml:space="preserve">评分标准中对应的其他所需证明材料（如有自行添加）</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11.</w:t>
      </w:r>
      <w:r>
        <w:rPr>
          <w:rFonts w:hint="eastAsia" w:ascii="宋体" w:hAnsi="宋体"/>
          <w:bCs/>
          <w:color w:val="000000"/>
          <w:sz w:val="24"/>
          <w:szCs w:val="24"/>
          <w:highlight w:val="none"/>
        </w:rPr>
        <w:t xml:space="preserve">要求采购人提供的配合（如有自拟并自行添加）</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12.</w:t>
      </w:r>
      <w:r>
        <w:rPr>
          <w:rFonts w:hint="eastAsia" w:ascii="宋体" w:hAnsi="宋体"/>
          <w:bCs/>
          <w:color w:val="000000"/>
          <w:sz w:val="24"/>
          <w:szCs w:val="24"/>
          <w:highlight w:val="none"/>
        </w:rPr>
        <w:t xml:space="preserve">其他（报价人认为有必要提供的声明和文件，如有自拟并自行添加）</w:t>
      </w:r>
      <w:r>
        <w:rPr>
          <w:rFonts w:hint="eastAsia" w:ascii="宋体" w:hAnsi="宋体"/>
          <w:bCs/>
          <w:color w:val="000000"/>
          <w:sz w:val="24"/>
          <w:szCs w:val="24"/>
          <w:highlight w:val="none"/>
        </w:rPr>
      </w:r>
      <w:r/>
    </w:p>
    <w:p>
      <w:pPr>
        <w:pStyle w:val="6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上述1-</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color w:val="000000"/>
          <w:sz w:val="24"/>
          <w:szCs w:val="24"/>
          <w:highlight w:val="none"/>
        </w:rPr>
      </w:r>
      <w:r/>
    </w:p>
    <w:p>
      <w:pPr>
        <w:pStyle w:val="671"/>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（七）投标文件的制作：</w:t>
      </w:r>
      <w:r>
        <w:rPr>
          <w:rFonts w:hint="eastAsia" w:ascii="黑体" w:hAnsi="宋体" w:eastAsia="黑体"/>
          <w:bCs/>
          <w:color w:val="000000"/>
          <w:sz w:val="24"/>
          <w:szCs w:val="24"/>
          <w:highlight w:val="none"/>
        </w:rPr>
      </w:r>
      <w:r/>
    </w:p>
    <w:p>
      <w:pPr>
        <w:pStyle w:val="671"/>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所有文件、往来函件均应使用简体中文（规格、型号辅助符号例外）。</w:t>
      </w:r>
      <w:r>
        <w:rPr>
          <w:rFonts w:ascii="宋体"/>
          <w:bCs/>
          <w:color w:val="000000"/>
          <w:sz w:val="24"/>
          <w:szCs w:val="24"/>
          <w:highlight w:val="none"/>
        </w:rPr>
      </w:r>
      <w:r/>
    </w:p>
    <w:p>
      <w:pPr>
        <w:pStyle w:val="671"/>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投标文件由投标人按要求如实填写，须有投标人（签章）、法定代表人或法定代表人授权代表签章，方为有效，未尽事宜可自行补充。</w:t>
      </w:r>
      <w:r>
        <w:rPr>
          <w:rFonts w:ascii="宋体"/>
          <w:bCs/>
          <w:color w:val="000000"/>
          <w:sz w:val="24"/>
          <w:szCs w:val="24"/>
          <w:highlight w:val="none"/>
        </w:rPr>
      </w:r>
      <w:r/>
    </w:p>
    <w:p>
      <w:pPr>
        <w:pStyle w:val="671"/>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color w:val="000000"/>
          <w:sz w:val="24"/>
          <w:szCs w:val="24"/>
          <w:highlight w:val="none"/>
          <w:lang w:val="zh-CN"/>
        </w:rPr>
        <w:t xml:space="preserve">如无特别说明，</w:t>
      </w:r>
      <w:r>
        <w:rPr>
          <w:rFonts w:hint="eastAsia" w:ascii="宋体" w:hAnsi="宋体"/>
          <w:bCs/>
          <w:color w:val="000000"/>
          <w:sz w:val="24"/>
          <w:szCs w:val="24"/>
          <w:highlight w:val="none"/>
        </w:rPr>
        <w:t xml:space="preserve">投标人报价一律以人民币为投标结算货币，结算单位为“元”。</w:t>
      </w:r>
      <w:r>
        <w:rPr>
          <w:rFonts w:ascii="宋体"/>
          <w:bCs/>
          <w:color w:val="000000"/>
          <w:sz w:val="24"/>
          <w:szCs w:val="24"/>
          <w:highlight w:val="none"/>
        </w:rPr>
      </w:r>
      <w:r/>
    </w:p>
    <w:p>
      <w:pPr>
        <w:pStyle w:val="671"/>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投标费用自理。</w:t>
      </w:r>
      <w:r>
        <w:rPr>
          <w:rFonts w:ascii="宋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（八）网上投标</w:t>
      </w:r>
      <w:r>
        <w:rPr>
          <w:rFonts w:hint="eastAsia" w:ascii="黑体" w:hAnsi="宋体" w:eastAsia="黑体"/>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投标供应商应由其法定代表人或法定代表人授权代表在规定的网上投标时间内，凭CA数字证书</w:t>
      </w:r>
      <w:r>
        <w:rPr>
          <w:rFonts w:hint="eastAsia" w:ascii="宋体" w:hAnsi="宋体"/>
          <w:bCs/>
          <w:color w:val="000000"/>
          <w:sz w:val="24"/>
          <w:szCs w:val="24"/>
          <w:highlight w:val="none"/>
          <w:lang w:eastAsia="zh-CN"/>
        </w:rPr>
        <w:t xml:space="preserve">登录</w:t>
      </w:r>
      <w:r>
        <w:rPr>
          <w:rFonts w:hint="eastAsia" w:ascii="宋体" w:hAnsi="宋体"/>
          <w:bCs/>
          <w:color w:val="000000"/>
          <w:sz w:val="24"/>
          <w:szCs w:val="24"/>
          <w:highlight w:val="none"/>
        </w:rPr>
        <w:t xml:space="preserve">苏采云平台获取招标文件，在投标客户端制作投标文件（电子数据），并在投标截止时间之前上传投标文件。</w:t>
      </w:r>
      <w:r>
        <w:rPr>
          <w:rFonts w:hint="eastAsia" w:ascii="宋体" w:hAnsi="宋体"/>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投标供应商应对CA数字证书妥善保管，如被他人盗用投标，后果自负。</w:t>
      </w:r>
      <w:r>
        <w:rPr>
          <w:rFonts w:hint="eastAsia" w:ascii="宋体" w:hAnsi="宋体"/>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投标供应商按招标文件规定的网上解密时间进行解密，如未按时解密后果自负。</w:t>
      </w:r>
      <w:r>
        <w:rPr>
          <w:rFonts w:hint="eastAsia" w:ascii="宋体" w:hAnsi="宋体"/>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投标供应商应当对招标文件提出的要求和条件作出实质性响应，并在电子投标系统逐条应答。</w:t>
      </w:r>
      <w:r>
        <w:rPr>
          <w:rFonts w:hint="eastAsia" w:ascii="宋体" w:hAnsi="宋体"/>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Cs/>
          <w:color w:val="000000"/>
          <w:sz w:val="24"/>
          <w:szCs w:val="24"/>
          <w:highlight w:val="none"/>
        </w:rPr>
        <w:t xml:space="preserve">投标供应商应对要求提供的资格证明文件（如资质证书、资格证书）、技术资料</w:t>
      </w:r>
      <w:r>
        <w:rPr>
          <w:rFonts w:hint="eastAsia" w:ascii="宋体" w:hAnsi="宋体"/>
          <w:b w:val="0"/>
          <w:bCs/>
          <w:color w:val="000000"/>
          <w:sz w:val="24"/>
          <w:szCs w:val="24"/>
          <w:highlight w:val="none"/>
        </w:rPr>
        <w:t xml:space="preserve">（如白皮书、彩页、手册、检测报告等）扫描上传至投标系统。</w:t>
      </w:r>
      <w:r>
        <w:rPr>
          <w:rFonts w:hint="eastAsia" w:ascii="宋体" w:hAnsi="宋体"/>
          <w:b w:val="0"/>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投标供应商进行网上投标请参照《政府采购项目电子交易管理操作指南－供应商》。</w:t>
      </w:r>
      <w:r>
        <w:rPr>
          <w:rFonts w:hint="eastAsia" w:ascii="宋体" w:hAnsi="宋体"/>
          <w:b w:val="0"/>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ascii="宋体" w:hAnsi="宋体" w:eastAsia="宋体" w:cs="Times New Roman"/>
          <w:b w:val="0"/>
          <w:bCs/>
          <w:color w:val="000000"/>
          <w:sz w:val="24"/>
          <w:szCs w:val="24"/>
          <w:highlight w:val="none"/>
        </w:rPr>
      </w:pPr>
      <w:r>
        <w:rPr>
          <w:rFonts w:hint="eastAsia" w:ascii="宋体" w:hAnsi="宋体"/>
          <w:b w:val="0"/>
          <w:bCs/>
          <w:color w:val="000000"/>
          <w:sz w:val="24"/>
          <w:szCs w:val="24"/>
          <w:highlight w:val="none"/>
        </w:rPr>
        <w:t xml:space="preserve">因投标供应商原因造成投标文件未解密的，视为撤销其投标文件，部分投标文件未解密的，其他投标文件的开标可以继续进行。</w:t>
      </w:r>
      <w:r>
        <w:rPr>
          <w:rFonts w:ascii="宋体" w:hAnsi="宋体" w:eastAsia="宋体" w:cs="Times New Roman"/>
          <w:b w:val="0"/>
          <w:bCs/>
          <w:color w:val="000000"/>
          <w:sz w:val="24"/>
          <w:szCs w:val="24"/>
          <w:highlight w:val="none"/>
        </w:rPr>
      </w:r>
      <w:r/>
    </w:p>
    <w:p>
      <w:pPr>
        <w:pStyle w:val="671"/>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sz w:val="24"/>
          <w:szCs w:val="24"/>
          <w:highlight w:val="none"/>
        </w:rPr>
      </w:pPr>
      <w:r>
        <w:rPr>
          <w:rFonts w:hint="eastAsia" w:ascii="宋体" w:hAnsi="宋体" w:eastAsia="宋体" w:cs="Times New Roman"/>
          <w:b/>
          <w:bCs w:val="0"/>
          <w:color w:val="000000"/>
          <w:sz w:val="24"/>
          <w:szCs w:val="24"/>
          <w:highlight w:val="none"/>
        </w:rPr>
        <w:t xml:space="preserve">请投标人实时关注评标过程，一旦发现有询标函，请按时回复</w:t>
      </w:r>
      <w:r>
        <w:rPr>
          <w:rFonts w:hint="eastAsia" w:ascii="宋体" w:hAnsi="宋体" w:cs="Times New Roman"/>
          <w:b/>
          <w:bCs w:val="0"/>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rPr>
        <w:t xml:space="preserve">因投标人未尽注意义务，而造成的损失及风险（包括但不限于未中标）由投标人自行承担。</w:t>
      </w:r>
      <w:r>
        <w:rPr>
          <w:rFonts w:hint="eastAsia" w:ascii="宋体" w:hAnsi="宋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（九）无效投标文件的确认：</w:t>
      </w:r>
      <w:r>
        <w:rPr>
          <w:rFonts w:hint="eastAsia" w:ascii="黑体" w:hAnsi="宋体" w:eastAsia="黑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hint="eastAsia" w:ascii="黑体" w:hAnsi="宋体" w:eastAsia="黑体"/>
          <w:bCs/>
          <w:color w:val="000000"/>
          <w:sz w:val="24"/>
          <w:szCs w:val="24"/>
          <w:highlight w:val="none"/>
        </w:rPr>
      </w:r>
      <w:r/>
    </w:p>
    <w:p>
      <w:pPr>
        <w:pStyle w:val="671"/>
        <w:numPr>
          <w:ilvl w:val="0"/>
          <w:numId w:val="7"/>
        </w:numPr>
        <w:ind w:left="762" w:hanging="210"/>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未按规定在江苏省政府采购（苏采云）平台注册的；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电子投标文件未按规定期限投标的，纸质投标文件（如有）未按规定的期限、地点送达的；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电子投标文件未按招标文件要求签章的；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投标人未按招标文件要求解密电子投标文件的；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投标人的法定代表人授权代表，无法定代表人授权委托书的；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不具备招标文件中规定的资格要求或未按招标文件规定的要求提供资格、资信证明文件的；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color w:val="000000"/>
          <w:sz w:val="24"/>
          <w:szCs w:val="24"/>
          <w:highlight w:val="none"/>
        </w:rPr>
        <w:t xml:space="preserve">被“信用中国”网站（</w:t>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"http://www.creditchina.gov.cn" </w:instrText>
      </w:r>
      <w:r>
        <w:rPr>
          <w:rFonts w:ascii="Times New Roman" w:hAnsi="Times New Roman" w:eastAsia="宋体" w:cs="Times New Roman"/>
          <w:color w:val="000000"/>
          <w:highlight w:val="none"/>
        </w:rPr>
        <w:fldChar w:fldCharType="separate"/>
      </w:r>
      <w:r>
        <w:rPr>
          <w:rFonts w:hint="eastAsia"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fldChar w:fldCharType="end"/>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投标文件未按招标文件规定的内容和要求填写的；没有在投标系统指定位置上传对应文件、材料的；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电子投标文件图片、字迹模糊不清、无法辨认的；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投标文件中有招标文件未允许提供的选择性内容；</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不同投标人委托同一单位或者个人办理投标事宜的；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不同投标人的单位负责人为同一人或者存在直接控股、管理关系的；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不同投标人的投标文件的上传形式、目录序号、排版格式、文字风格等存在明显的相似性或一致性，特征显示由同一单位或者同一个人编制的；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项目（标段）投标总价超过本项目（标段）预算或最高限价的；</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提供虚假材料的（包括工商营业执照、财务报表、资格证明文件等）；</w:t>
      </w:r>
      <w:r>
        <w:rPr>
          <w:rFonts w:ascii="宋体" w:hAnsi="Times New Roman"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投标文件含有采购人不能接受的附加条件的；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eastAsia="宋体" w:cs="Times New Roman"/>
          <w:bCs/>
          <w:color w:val="000000"/>
          <w:sz w:val="24"/>
          <w:szCs w:val="24"/>
          <w:highlight w:val="none"/>
        </w:rPr>
      </w:r>
      <w:r/>
    </w:p>
    <w:p>
      <w:pPr>
        <w:pStyle w:val="671"/>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评标委员会启动异常低价投标（响应）审查的情形和具体要求，包括：</w:t>
      </w:r>
      <w:r>
        <w:rPr>
          <w:rFonts w:hint="eastAsia" w:ascii="宋体" w:hAnsi="宋体" w:eastAsia="宋体" w:cs="Times New Roman"/>
          <w:bCs/>
          <w:color w:val="000000"/>
          <w:sz w:val="24"/>
          <w:szCs w:val="24"/>
          <w:highlight w:val="none"/>
        </w:rPr>
      </w:r>
      <w:r/>
    </w:p>
    <w:p>
      <w:pPr>
        <w:pStyle w:val="671"/>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（1）评审过程中出现下列情形之一的，评标委员会应当启动异常低价投标（响应）审查程序：</w:t>
      </w:r>
      <w:r>
        <w:rPr>
          <w:rFonts w:hint="eastAsia" w:ascii="宋体" w:hAnsi="宋体" w:eastAsia="宋体" w:cs="Times New Roman"/>
          <w:bCs/>
          <w:color w:val="000000"/>
          <w:sz w:val="24"/>
          <w:szCs w:val="24"/>
          <w:highlight w:val="none"/>
        </w:rPr>
      </w:r>
      <w:r/>
    </w:p>
    <w:p>
      <w:pPr>
        <w:pStyle w:val="671"/>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①投标（响应）报价低于采购项目预算50%的，即投标（响应）报价&lt;采购项目预算×50%；</w:t>
      </w:r>
      <w:r>
        <w:rPr>
          <w:rFonts w:hint="eastAsia" w:ascii="宋体" w:hAnsi="宋体" w:eastAsia="宋体" w:cs="Times New Roman"/>
          <w:bCs/>
          <w:color w:val="000000"/>
          <w:sz w:val="24"/>
          <w:szCs w:val="24"/>
          <w:highlight w:val="none"/>
        </w:rPr>
      </w:r>
      <w:r/>
    </w:p>
    <w:p>
      <w:pPr>
        <w:pStyle w:val="671"/>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②投标（响应）报价低于采购项目最高限价45%的，即投标（响应）报价&lt;采购项目最高限价×45%；</w:t>
      </w:r>
      <w:r>
        <w:rPr>
          <w:rFonts w:hint="eastAsia" w:ascii="宋体" w:hAnsi="宋体" w:eastAsia="宋体" w:cs="Times New Roman"/>
          <w:bCs/>
          <w:color w:val="000000"/>
          <w:sz w:val="24"/>
          <w:szCs w:val="24"/>
          <w:highlight w:val="none"/>
        </w:rPr>
      </w:r>
      <w:r/>
    </w:p>
    <w:p>
      <w:pPr>
        <w:pStyle w:val="671"/>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③评标委员会认定的供应商报价过低、有可能影响产品质量或者不能诚信履约的其他情形。</w:t>
      </w:r>
      <w:r>
        <w:rPr>
          <w:rFonts w:hint="eastAsia" w:ascii="宋体" w:hAnsi="宋体" w:eastAsia="宋体" w:cs="Times New Roman"/>
          <w:bCs/>
          <w:color w:val="000000"/>
          <w:sz w:val="24"/>
          <w:szCs w:val="24"/>
          <w:highlight w:val="none"/>
        </w:rPr>
      </w:r>
      <w:r/>
    </w:p>
    <w:p>
      <w:pPr>
        <w:pStyle w:val="671"/>
        <w:numPr>
          <w:ilvl w:val="0"/>
          <w:numId w:val="0"/>
        </w:numPr>
        <w:ind w:firstLine="480"/>
        <w:spacing w:line="360" w:lineRule="auto"/>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除单一来源采购项目外，为采购项目提供整体设计、规范编制或者项目管理、监理、检测等服务的；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投标文件内容不全或不符合招标文件中规定的其他实质性要求的；</w:t>
      </w:r>
      <w:r>
        <w:rPr>
          <w:rFonts w:ascii="宋体" w:hAnsi="宋体" w:eastAsia="宋体" w:cs="Times New Roman"/>
          <w:bCs/>
          <w:color w:val="000000"/>
          <w:sz w:val="24"/>
          <w:szCs w:val="24"/>
          <w:highlight w:val="none"/>
        </w:rPr>
      </w:r>
      <w:r/>
    </w:p>
    <w:p>
      <w:pPr>
        <w:pStyle w:val="671"/>
        <w:numPr>
          <w:ilvl w:val="0"/>
          <w:numId w:val="7"/>
        </w:numPr>
        <w:ind w:left="1" w:firstLine="523"/>
        <w:spacing w:line="360" w:lineRule="auto"/>
        <w:tabs>
          <w:tab w:val="left" w:pos="762" w:leader="none"/>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法律法规和招标文件规定的其他无效情形。</w:t>
      </w:r>
      <w:r>
        <w:rPr>
          <w:rFonts w:ascii="宋体" w:hAnsi="宋体" w:eastAsia="宋体" w:cs="Times New Roman"/>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（十）开标、评标：</w:t>
      </w:r>
      <w:r>
        <w:rPr>
          <w:rFonts w:hint="eastAsia" w:ascii="黑体" w:hAnsi="宋体" w:eastAsia="黑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所有投标单位在招标文件规定的时间内解密各自投标文件；</w:t>
      </w:r>
      <w:r>
        <w:rPr>
          <w:rFonts w:asci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hint="eastAsia" w:ascii="宋体" w:hAns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rPr>
          <w:rFonts w:ascii="宋体"/>
          <w:bCs/>
          <w:color w:val="000000"/>
          <w:sz w:val="24"/>
          <w:szCs w:val="24"/>
          <w:highlight w:val="none"/>
        </w:rPr>
      </w:r>
      <w:r/>
    </w:p>
    <w:p>
      <w:pPr>
        <w:pStyle w:val="671"/>
        <w:ind w:firstLine="480"/>
        <w:spacing w:line="360" w:lineRule="auto"/>
        <w:tabs>
          <w:tab w:val="left" w:pos="630" w:leader="none"/>
          <w:tab w:val="left" w:pos="945" w:leader="none"/>
          <w:tab w:val="left" w:pos="1155" w:leader="none"/>
          <w:tab w:val="left" w:pos="1554"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671"/>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大写金额和小写金额不一致的，以大写金额为准；</w:t>
      </w:r>
      <w:r>
        <w:rPr>
          <w:rFonts w:hint="eastAsia" w:ascii="宋体" w:hAnsi="宋体"/>
          <w:bCs/>
          <w:color w:val="000000"/>
          <w:sz w:val="24"/>
          <w:szCs w:val="24"/>
          <w:highlight w:val="none"/>
        </w:rPr>
      </w:r>
      <w:r/>
    </w:p>
    <w:p>
      <w:pPr>
        <w:pStyle w:val="671"/>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单价金额小数点或者百分比有明显错位的，以开标一览表的总价为准，并修改单价；</w:t>
      </w:r>
      <w:r>
        <w:rPr>
          <w:rFonts w:hint="eastAsia" w:ascii="宋体" w:hAnsi="宋体"/>
          <w:bCs/>
          <w:color w:val="000000"/>
          <w:sz w:val="24"/>
          <w:szCs w:val="24"/>
          <w:highlight w:val="none"/>
        </w:rPr>
      </w:r>
      <w:r/>
    </w:p>
    <w:p>
      <w:pPr>
        <w:pStyle w:val="671"/>
        <w:ind w:firstLine="480"/>
        <w:spacing w:line="360" w:lineRule="auto"/>
        <w:tabs>
          <w:tab w:val="left" w:pos="630"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总价金额与按单价汇总金额不一致的，以单价金额计算结果为准。</w:t>
      </w:r>
      <w:r>
        <w:rPr>
          <w:rFonts w:hint="eastAsia" w:ascii="宋体" w:hAnsi="宋体"/>
          <w:bCs/>
          <w:color w:val="000000"/>
          <w:sz w:val="24"/>
          <w:szCs w:val="24"/>
          <w:highlight w:val="none"/>
        </w:rPr>
      </w:r>
      <w:r/>
    </w:p>
    <w:p>
      <w:pPr>
        <w:pStyle w:val="671"/>
        <w:ind w:firstLine="48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电子投标文件与纸质投标文件（如有）不符的，以电子投标文件为准。</w:t>
      </w:r>
      <w:r>
        <w:rPr>
          <w:rFonts w:hint="eastAsia" w:ascii="宋体" w:hAns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投标人未参加开标的，视同认可开标结果。</w:t>
      </w:r>
      <w:r>
        <w:rPr>
          <w:rFonts w:hint="eastAsia" w:ascii="宋体" w:hAns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评标程序</w:t>
      </w:r>
      <w:r>
        <w:rPr>
          <w:rFonts w:ascii="宋体"/>
          <w:bCs/>
          <w:color w:val="000000"/>
          <w:sz w:val="24"/>
          <w:szCs w:val="24"/>
          <w:highlight w:val="none"/>
        </w:rPr>
      </w:r>
      <w:r/>
    </w:p>
    <w:p>
      <w:pPr>
        <w:pStyle w:val="671"/>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评标工作由江苏智汇锡建工程项目管理有限公司负责组织，具体评标事务由依法组建的评标委员会负责。</w:t>
      </w:r>
      <w:r>
        <w:rPr>
          <w:rFonts w:hint="eastAsia" w:ascii="宋体" w:hAnsi="宋体"/>
          <w:bCs/>
          <w:color w:val="000000"/>
          <w:sz w:val="24"/>
          <w:szCs w:val="24"/>
          <w:highlight w:val="none"/>
        </w:rPr>
      </w:r>
      <w:r/>
    </w:p>
    <w:p>
      <w:pPr>
        <w:pStyle w:val="671"/>
        <w:numPr>
          <w:ilvl w:val="0"/>
          <w:numId w:val="9"/>
        </w:numPr>
        <w:ind w:left="0" w:firstLine="523"/>
        <w:spacing w:line="360" w:lineRule="auto"/>
        <w:tabs>
          <w:tab w:val="left" w:pos="630" w:leader="none"/>
          <w:tab w:val="left" w:pos="945" w:leader="none"/>
          <w:tab w:val="left" w:pos="1104"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投标文件初审。初审分为资格性检查和符合性检查。</w:t>
      </w:r>
      <w:r>
        <w:rPr>
          <w:rFonts w:hint="eastAsia" w:ascii="宋体" w:hAnsi="宋体" w:cs="宋体"/>
          <w:bCs/>
          <w:color w:val="000000"/>
          <w:sz w:val="24"/>
          <w:szCs w:val="24"/>
          <w:highlight w:val="none"/>
        </w:rPr>
      </w:r>
      <w:r/>
    </w:p>
    <w:p>
      <w:pPr>
        <w:pStyle w:val="671"/>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资格性检查。采购人和代理机构依据法律法规和招标文件的规定，对投标文件中的资格证明、投标（报价）承诺函等进行审查；通过“信用中国”网站（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szCs w:val="24"/>
          <w:highlight w:val="none"/>
        </w:rPr>
        <w:t xml:space="preserve">以确定投标供应商是否具备投标资格。信用</w:t>
      </w:r>
      <w:r>
        <w:rPr>
          <w:rFonts w:hint="eastAsia" w:ascii="宋体" w:hAnsi="宋体" w:cs="宋体"/>
          <w:color w:val="000000"/>
          <w:sz w:val="24"/>
          <w:szCs w:val="24"/>
          <w:highlight w:val="none"/>
        </w:rPr>
        <w:t xml:space="preserve">查询结果以网页打印的形式留存并归档。</w:t>
      </w:r>
      <w:r>
        <w:rPr>
          <w:rFonts w:hint="eastAsia" w:ascii="宋体" w:hAnsi="宋体" w:cs="宋体"/>
          <w:bCs/>
          <w:color w:val="000000"/>
          <w:sz w:val="24"/>
          <w:szCs w:val="24"/>
          <w:highlight w:val="none"/>
        </w:rPr>
      </w:r>
      <w:r/>
    </w:p>
    <w:p>
      <w:pPr>
        <w:pStyle w:val="671"/>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671"/>
        <w:numPr>
          <w:ilvl w:val="0"/>
          <w:numId w:val="9"/>
        </w:numPr>
        <w:ind w:left="0" w:firstLine="523"/>
        <w:spacing w:line="360" w:lineRule="auto"/>
        <w:tabs>
          <w:tab w:val="left" w:pos="525" w:leader="none"/>
          <w:tab w:val="left" w:pos="945" w:leader="none"/>
          <w:tab w:val="left" w:pos="1104" w:leader="none"/>
          <w:tab w:val="left" w:pos="1155" w:leader="none"/>
        </w:tabs>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sz w:val="24"/>
          <w:szCs w:val="24"/>
          <w:highlight w:val="none"/>
        </w:rPr>
        <w:t xml:space="preserve">者补正应当</w:t>
      </w:r>
      <w:r>
        <w:rPr>
          <w:rFonts w:hint="eastAsia" w:ascii="宋体" w:hAnsi="宋体"/>
          <w:bCs/>
          <w:color w:val="000000"/>
          <w:sz w:val="24"/>
          <w:szCs w:val="24"/>
          <w:highlight w:val="none"/>
        </w:rPr>
        <w:t xml:space="preserve">通过政府采购交易管理一体化系统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szCs w:val="24"/>
          <w:highlight w:val="none"/>
        </w:rPr>
        <w:t xml:space="preserve">应答并加盖电子公章，且不得超出投标文件的范围或者改变投标文件的实质性内容。</w:t>
      </w:r>
      <w:r>
        <w:rPr>
          <w:rFonts w:hint="eastAsia" w:ascii="宋体" w:hAnsi="宋体"/>
          <w:bCs/>
          <w:color w:val="000000"/>
          <w:sz w:val="24"/>
          <w:szCs w:val="24"/>
          <w:highlight w:val="none"/>
        </w:rPr>
      </w:r>
      <w:r/>
    </w:p>
    <w:p>
      <w:pPr>
        <w:pStyle w:val="671"/>
        <w:numPr>
          <w:ilvl w:val="0"/>
          <w:numId w:val="9"/>
        </w:numPr>
        <w:ind w:left="0" w:firstLine="523"/>
        <w:spacing w:line="360" w:lineRule="auto"/>
        <w:tabs>
          <w:tab w:val="left" w:pos="945" w:leader="none"/>
          <w:tab w:val="left" w:pos="1104"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评标方法</w:t>
      </w:r>
      <w:r>
        <w:rPr>
          <w:rFonts w:ascii="宋体"/>
          <w:bCs/>
          <w:color w:val="000000"/>
          <w:sz w:val="24"/>
          <w:szCs w:val="24"/>
          <w:highlight w:val="none"/>
        </w:rPr>
      </w:r>
      <w:r/>
    </w:p>
    <w:p>
      <w:pPr>
        <w:pStyle w:val="671"/>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rPr>
          <w:rFonts w:ascii="宋体"/>
          <w:bCs/>
          <w:color w:val="000000"/>
          <w:sz w:val="24"/>
          <w:szCs w:val="24"/>
          <w:highlight w:val="none"/>
        </w:rPr>
      </w:r>
      <w:r/>
    </w:p>
    <w:p>
      <w:pPr>
        <w:pStyle w:val="671"/>
        <w:ind w:firstLine="523"/>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bCs/>
          <w:color w:val="000000"/>
          <w:sz w:val="24"/>
          <w:szCs w:val="24"/>
          <w:highlight w:val="none"/>
        </w:rPr>
      </w:r>
      <w:r/>
    </w:p>
    <w:p>
      <w:pPr>
        <w:pStyle w:val="671"/>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评分标准</w:t>
      </w:r>
      <w:r>
        <w:rPr>
          <w:rFonts w:hint="eastAsia" w:ascii="宋体" w:hAnsi="宋体"/>
          <w:bCs/>
          <w:color w:val="000000"/>
          <w:sz w:val="24"/>
          <w:szCs w:val="24"/>
          <w:highlight w:val="none"/>
        </w:rPr>
      </w:r>
      <w:r/>
    </w:p>
    <w:p>
      <w:pPr>
        <w:pStyle w:val="671"/>
        <w:ind w:left="524"/>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详见附件。</w:t>
      </w:r>
      <w:r>
        <w:rPr>
          <w:rFonts w:hint="eastAsia" w:ascii="宋体" w:hAnsi="宋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（十一）定标：</w:t>
      </w:r>
      <w:r>
        <w:rPr>
          <w:rFonts w:hint="eastAsia" w:ascii="黑体" w:hAnsi="宋体" w:eastAsia="黑体"/>
          <w:bCs/>
          <w:color w:val="000000"/>
          <w:sz w:val="24"/>
          <w:szCs w:val="24"/>
          <w:highlight w:val="none"/>
        </w:rPr>
      </w:r>
      <w:r/>
    </w:p>
    <w:p>
      <w:pPr>
        <w:pStyle w:val="671"/>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000000"/>
          <w:sz w:val="24"/>
          <w:szCs w:val="24"/>
          <w:highlight w:val="none"/>
          <w:lang w:eastAsia="zh-CN"/>
        </w:rPr>
        <w:t xml:space="preserve">江苏政府采购网、中国政府采购网</w:t>
      </w:r>
      <w:r>
        <w:rPr>
          <w:rFonts w:hint="eastAsia" w:ascii="宋体" w:hAnsi="宋体"/>
          <w:bCs/>
          <w:color w:val="000000"/>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bCs/>
          <w:color w:val="000000"/>
          <w:sz w:val="24"/>
          <w:szCs w:val="24"/>
          <w:highlight w:val="none"/>
        </w:rPr>
      </w:r>
      <w:r/>
    </w:p>
    <w:p>
      <w:pPr>
        <w:pStyle w:val="671"/>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江苏智汇锡建工程项目管理有限公司向中标供应商发出中标通知书。</w:t>
      </w:r>
      <w:r>
        <w:rPr>
          <w:rFonts w:hint="eastAsia" w:ascii="宋体" w:hAnsi="宋体"/>
          <w:bCs/>
          <w:color w:val="000000"/>
          <w:sz w:val="24"/>
          <w:szCs w:val="24"/>
          <w:highlight w:val="none"/>
        </w:rPr>
      </w:r>
      <w:r/>
    </w:p>
    <w:p>
      <w:pPr>
        <w:pStyle w:val="671"/>
        <w:numPr>
          <w:ilvl w:val="0"/>
          <w:numId w:val="11"/>
        </w:numPr>
        <w:ind w:left="0" w:firstLine="523"/>
        <w:spacing w:line="360" w:lineRule="auto"/>
        <w:tabs>
          <w:tab w:val="left" w:pos="525" w:leader="none"/>
          <w:tab w:val="left" w:pos="552"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投标供应商电子投标文件将作为电子档案保存。</w:t>
      </w:r>
      <w:r>
        <w:rPr>
          <w:rFonts w:ascii="宋体"/>
          <w:bCs/>
          <w:color w:val="000000"/>
          <w:sz w:val="24"/>
          <w:szCs w:val="24"/>
          <w:highlight w:val="none"/>
        </w:rPr>
      </w:r>
      <w:r/>
    </w:p>
    <w:p>
      <w:pPr>
        <w:pStyle w:val="671"/>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（十二）废标的确认：</w:t>
      </w:r>
      <w:r>
        <w:rPr>
          <w:rFonts w:hint="eastAsia" w:ascii="黑体" w:hAnsi="宋体" w:eastAsia="黑体"/>
          <w:bCs/>
          <w:color w:val="000000"/>
          <w:sz w:val="24"/>
          <w:szCs w:val="24"/>
          <w:highlight w:val="none"/>
        </w:rPr>
      </w:r>
      <w:r/>
    </w:p>
    <w:p>
      <w:pPr>
        <w:pStyle w:val="671"/>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ascii="宋体"/>
          <w:bCs/>
          <w:color w:val="000000"/>
          <w:sz w:val="24"/>
          <w:szCs w:val="24"/>
          <w:highlight w:val="none"/>
        </w:rPr>
      </w:r>
      <w:r/>
    </w:p>
    <w:p>
      <w:pPr>
        <w:pStyle w:val="671"/>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rPr>
          <w:rFonts w:ascii="宋体"/>
          <w:bCs/>
          <w:color w:val="000000"/>
          <w:sz w:val="24"/>
          <w:szCs w:val="24"/>
          <w:highlight w:val="none"/>
        </w:rPr>
      </w:r>
      <w:r/>
    </w:p>
    <w:p>
      <w:pPr>
        <w:pStyle w:val="671"/>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ascii="宋体"/>
          <w:bCs/>
          <w:color w:val="000000"/>
          <w:sz w:val="24"/>
          <w:szCs w:val="24"/>
          <w:highlight w:val="none"/>
        </w:rPr>
      </w:r>
      <w:r/>
    </w:p>
    <w:p>
      <w:pPr>
        <w:pStyle w:val="671"/>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rPr>
          <w:rFonts w:ascii="宋体"/>
          <w:bCs/>
          <w:color w:val="000000"/>
          <w:sz w:val="24"/>
          <w:szCs w:val="24"/>
          <w:highlight w:val="none"/>
        </w:rPr>
      </w:r>
      <w:r/>
    </w:p>
    <w:p>
      <w:pPr>
        <w:pStyle w:val="671"/>
        <w:numPr>
          <w:ilvl w:val="0"/>
          <w:numId w:val="12"/>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ascii="宋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（十三）中标无效的确认：</w:t>
      </w:r>
      <w:r>
        <w:rPr>
          <w:rFonts w:hint="eastAsia" w:ascii="黑体" w:hAnsi="宋体" w:eastAsia="黑体"/>
          <w:bCs/>
          <w:color w:val="000000"/>
          <w:sz w:val="24"/>
          <w:szCs w:val="24"/>
          <w:highlight w:val="none"/>
        </w:rPr>
      </w:r>
      <w:r/>
    </w:p>
    <w:p>
      <w:pPr>
        <w:pStyle w:val="671"/>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ascii="宋体"/>
          <w:bCs/>
          <w:color w:val="000000"/>
          <w:sz w:val="24"/>
          <w:szCs w:val="24"/>
          <w:highlight w:val="none"/>
        </w:rPr>
      </w:r>
      <w:r/>
    </w:p>
    <w:p>
      <w:pPr>
        <w:pStyle w:val="671"/>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采取不正当手段诋毁、排挤其他投标人的；</w:t>
      </w:r>
      <w:r>
        <w:rPr>
          <w:rFonts w:ascii="宋体"/>
          <w:bCs/>
          <w:color w:val="000000"/>
          <w:sz w:val="24"/>
          <w:szCs w:val="24"/>
          <w:highlight w:val="none"/>
        </w:rPr>
      </w:r>
      <w:r/>
    </w:p>
    <w:p>
      <w:pPr>
        <w:pStyle w:val="671"/>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与招标采购单位、其他投标人恶意串通的；</w:t>
      </w:r>
      <w:r>
        <w:rPr>
          <w:rFonts w:ascii="宋体"/>
          <w:bCs/>
          <w:color w:val="000000"/>
          <w:sz w:val="24"/>
          <w:szCs w:val="24"/>
          <w:highlight w:val="none"/>
        </w:rPr>
      </w:r>
      <w:r/>
    </w:p>
    <w:p>
      <w:pPr>
        <w:pStyle w:val="671"/>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ascii="宋体"/>
          <w:bCs/>
          <w:color w:val="000000"/>
          <w:sz w:val="24"/>
          <w:szCs w:val="24"/>
          <w:highlight w:val="none"/>
        </w:rPr>
      </w:r>
      <w:r/>
    </w:p>
    <w:p>
      <w:pPr>
        <w:pStyle w:val="671"/>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bCs/>
          <w:color w:val="000000"/>
          <w:sz w:val="24"/>
          <w:szCs w:val="24"/>
          <w:highlight w:val="none"/>
        </w:rPr>
      </w:r>
      <w:r/>
    </w:p>
    <w:p>
      <w:pPr>
        <w:pStyle w:val="671"/>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ascii="宋体"/>
          <w:bCs/>
          <w:color w:val="000000"/>
          <w:sz w:val="24"/>
          <w:szCs w:val="24"/>
          <w:highlight w:val="none"/>
        </w:rPr>
      </w:r>
      <w:r/>
    </w:p>
    <w:p>
      <w:pPr>
        <w:pStyle w:val="671"/>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（十四）签订</w:t>
      </w:r>
      <w:r>
        <w:rPr>
          <w:rFonts w:hint="eastAsia" w:ascii="黑体" w:hAnsi="宋体" w:eastAsia="黑体"/>
          <w:b/>
          <w:color w:val="000000"/>
          <w:sz w:val="24"/>
          <w:szCs w:val="24"/>
          <w:highlight w:val="none"/>
        </w:rPr>
        <w:t xml:space="preserve">、履行</w:t>
      </w:r>
      <w:r>
        <w:rPr>
          <w:rFonts w:hint="eastAsia" w:ascii="黑体" w:hAnsi="宋体" w:eastAsia="黑体"/>
          <w:bCs/>
          <w:color w:val="000000"/>
          <w:sz w:val="24"/>
          <w:szCs w:val="24"/>
          <w:highlight w:val="none"/>
        </w:rPr>
        <w:t xml:space="preserve">合同：</w:t>
      </w:r>
      <w:r>
        <w:rPr>
          <w:rFonts w:hint="eastAsia" w:ascii="黑体" w:hAnsi="宋体" w:eastAsia="黑体"/>
          <w:bCs/>
          <w:color w:val="000000"/>
          <w:sz w:val="24"/>
          <w:szCs w:val="24"/>
          <w:highlight w:val="none"/>
        </w:rPr>
      </w:r>
      <w:r/>
    </w:p>
    <w:p>
      <w:pPr>
        <w:pStyle w:val="671"/>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ascii="宋体" w:hAnsi="宋体"/>
          <w:bCs/>
          <w:color w:val="000000"/>
          <w:sz w:val="24"/>
          <w:szCs w:val="24"/>
          <w:highlight w:val="none"/>
        </w:rPr>
        <w:t xml:space="preserve">采购人应当自中标通知书发出之日起三十日内，按照招标文件和中标供应商投标文件的约定，在</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见证部分详见招标文件合同书（格式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），见证后的格式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不得作任何修改。</w:t>
      </w:r>
      <w:r>
        <w:rPr>
          <w:rFonts w:ascii="宋体"/>
          <w:bCs/>
          <w:color w:val="000000"/>
          <w:sz w:val="24"/>
          <w:szCs w:val="24"/>
          <w:highlight w:val="none"/>
        </w:rPr>
      </w:r>
      <w:r/>
    </w:p>
    <w:p>
      <w:pPr>
        <w:pStyle w:val="671"/>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中标方非因不可抗力未履行招、投标文件和合同规定的义务，一经查实，</w:t>
      </w:r>
      <w:r>
        <w:rPr>
          <w:rFonts w:hint="eastAsia" w:ascii="宋体" w:hAnsi="宋体"/>
          <w:color w:val="000000"/>
          <w:sz w:val="24"/>
          <w:highlight w:val="none"/>
        </w:rPr>
        <w:t xml:space="preserve">江苏智汇锡建工程项目管理有限公司</w:t>
      </w:r>
      <w:r>
        <w:rPr>
          <w:rFonts w:hint="eastAsia" w:ascii="宋体" w:hAnsi="宋体"/>
          <w:bCs/>
          <w:color w:val="000000"/>
          <w:sz w:val="24"/>
          <w:szCs w:val="24"/>
          <w:highlight w:val="none"/>
        </w:rPr>
        <w:t xml:space="preserve">将根据具体情况提请政府采购管理部门作出相应处理。</w:t>
      </w:r>
      <w:r>
        <w:rPr>
          <w:rFonts w:ascii="宋体"/>
          <w:bCs/>
          <w:color w:val="000000"/>
          <w:sz w:val="24"/>
          <w:szCs w:val="24"/>
          <w:highlight w:val="none"/>
        </w:rPr>
      </w:r>
      <w:r/>
    </w:p>
    <w:p>
      <w:pPr>
        <w:pStyle w:val="671"/>
        <w:ind w:firstLine="480"/>
        <w:spacing w:line="360" w:lineRule="auto"/>
        <w:tabs>
          <w:tab w:val="left" w:pos="945" w:leader="none"/>
        </w:tabs>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（十五）注意事项：</w:t>
      </w:r>
      <w:r>
        <w:rPr>
          <w:rFonts w:hint="eastAsia" w:ascii="黑体" w:hAnsi="宋体" w:eastAsia="黑体"/>
          <w:bCs/>
          <w:color w:val="000000"/>
          <w:sz w:val="24"/>
          <w:szCs w:val="24"/>
          <w:highlight w:val="none"/>
        </w:rPr>
      </w:r>
      <w:r/>
    </w:p>
    <w:p>
      <w:pPr>
        <w:pStyle w:val="671"/>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bCs/>
          <w:color w:val="000000"/>
          <w:sz w:val="24"/>
          <w:szCs w:val="24"/>
          <w:highlight w:val="none"/>
        </w:rPr>
      </w:r>
      <w:r/>
    </w:p>
    <w:p>
      <w:pPr>
        <w:pStyle w:val="671"/>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中标后无正当理由不与采购人签订合同的；</w:t>
      </w:r>
      <w:r>
        <w:rPr>
          <w:rFonts w:ascii="宋体"/>
          <w:bCs/>
          <w:color w:val="000000"/>
          <w:sz w:val="24"/>
          <w:szCs w:val="24"/>
          <w:highlight w:val="none"/>
        </w:rPr>
      </w:r>
      <w:r/>
    </w:p>
    <w:p>
      <w:pPr>
        <w:pStyle w:val="671"/>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拒绝履行合同义务的。</w:t>
      </w:r>
      <w:r>
        <w:rPr>
          <w:rFonts w:ascii="宋体"/>
          <w:bCs/>
          <w:color w:val="000000"/>
          <w:sz w:val="24"/>
          <w:szCs w:val="24"/>
          <w:highlight w:val="none"/>
        </w:rPr>
      </w:r>
      <w:r/>
    </w:p>
    <w:p>
      <w:pPr>
        <w:pStyle w:val="671"/>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（十六）中标服务费：</w:t>
      </w:r>
      <w:r>
        <w:rPr>
          <w:rFonts w:hint="eastAsia" w:ascii="黑体" w:hAnsi="宋体" w:eastAsia="黑体"/>
          <w:bCs/>
          <w:color w:val="000000"/>
          <w:sz w:val="24"/>
          <w:szCs w:val="24"/>
          <w:highlight w:val="none"/>
        </w:rPr>
      </w:r>
      <w:r/>
    </w:p>
    <w:p>
      <w:pPr>
        <w:pStyle w:val="671"/>
        <w:ind w:firstLine="480"/>
        <w:spacing w:line="360" w:lineRule="auto"/>
        <w:tabs>
          <w:tab w:val="left" w:pos="1140" w:leader="none"/>
        </w:tabs>
        <w:rPr>
          <w:rFonts w:hint="eastAsia" w:ascii="宋体" w:hAnsi="宋体"/>
          <w:bCs/>
          <w:color w:val="000000"/>
          <w:sz w:val="24"/>
          <w:highlight w:val="none"/>
        </w:rPr>
      </w:pPr>
      <w:r>
        <w:rPr>
          <w:rFonts w:hint="eastAsia" w:ascii="宋体" w:hAnsi="宋体"/>
          <w:color w:val="000000"/>
          <w:sz w:val="24"/>
          <w:highlight w:val="none"/>
        </w:rPr>
        <w:t xml:space="preserve">1.本项目以中标金额为计费基础，按差额定率累进法计算：100万以下费率为1.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%，100万-500万费率0.</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bCs/>
          <w:color w:val="000000"/>
          <w:sz w:val="24"/>
          <w:highlight w:val="none"/>
        </w:rPr>
      </w:r>
      <w:r/>
    </w:p>
    <w:p>
      <w:pPr>
        <w:pStyle w:val="671"/>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招标代理服务费包含在本项目投标总报价中，</w:t>
      </w:r>
      <w:r>
        <w:rPr>
          <w:rFonts w:hint="eastAsia" w:ascii="宋体" w:hAnsi="宋体"/>
          <w:bCs/>
          <w:color w:val="000000"/>
          <w:sz w:val="24"/>
          <w:highlight w:val="none"/>
        </w:rPr>
        <w:t xml:space="preserve">领取中标通知书时由中标供应商向采购代理机构一次性付清。</w:t>
      </w:r>
      <w:r>
        <w:rPr>
          <w:rFonts w:hint="eastAsia" w:ascii="宋体" w:hAnsi="宋体"/>
          <w:bCs/>
          <w:color w:val="000000"/>
          <w:sz w:val="24"/>
          <w:highlight w:val="none"/>
        </w:rPr>
      </w:r>
      <w:r/>
    </w:p>
    <w:p>
      <w:pPr>
        <w:pStyle w:val="671"/>
        <w:ind w:firstLine="480"/>
        <w:spacing w:line="360" w:lineRule="auto"/>
        <w:tabs>
          <w:tab w:val="left" w:pos="1140" w:leader="none"/>
        </w:tabs>
        <w:rPr>
          <w:rFonts w:hint="eastAsia" w:ascii="宋体" w:hAnsi="宋体"/>
          <w:bCs/>
          <w:color w:val="000000"/>
          <w:sz w:val="24"/>
          <w:highlight w:val="none"/>
        </w:rPr>
      </w:pPr>
      <w:r>
        <w:rPr>
          <w:rFonts w:hint="eastAsia" w:ascii="宋体" w:hAnsi="宋体"/>
          <w:bCs/>
          <w:color w:val="000000"/>
          <w:sz w:val="24"/>
          <w:highlight w:val="none"/>
        </w:rPr>
        <w:t xml:space="preserve">3.中标供应商如果未按规定缴纳采购代理服务费，采购代理机构将保留诉讼的权利。</w:t>
      </w:r>
      <w:r>
        <w:rPr>
          <w:rFonts w:hint="eastAsia" w:ascii="宋体" w:hAnsi="宋体"/>
          <w:bCs/>
          <w:color w:val="000000"/>
          <w:sz w:val="24"/>
          <w:highlight w:val="none"/>
        </w:rPr>
      </w:r>
      <w:r/>
    </w:p>
    <w:p>
      <w:pPr>
        <w:pStyle w:val="671"/>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（十七）合同融资、履约担保</w:t>
      </w:r>
      <w:r>
        <w:rPr>
          <w:rFonts w:hint="eastAsia" w:ascii="黑体" w:hAnsi="宋体" w:eastAsia="黑体"/>
          <w:bCs/>
          <w:color w:val="000000"/>
          <w:sz w:val="24"/>
          <w:szCs w:val="24"/>
          <w:highlight w:val="none"/>
        </w:rPr>
      </w:r>
      <w:r/>
    </w:p>
    <w:p>
      <w:pPr>
        <w:pStyle w:val="671"/>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1.中标、成交供应商可采用合同融资形式，中标人可凭政府采购合同办理融资贷款，详见无锡市政府采购网“政采贷”专栏。</w:t>
      </w:r>
      <w:r>
        <w:rPr>
          <w:rFonts w:hint="eastAsia" w:ascii="宋体" w:hAnsi="宋体"/>
          <w:bCs/>
          <w:color w:val="000000"/>
          <w:sz w:val="24"/>
          <w:szCs w:val="24"/>
          <w:highlight w:val="none"/>
        </w:rPr>
      </w:r>
      <w:r/>
    </w:p>
    <w:p>
      <w:pPr>
        <w:pStyle w:val="671"/>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bCs/>
          <w:color w:val="000000"/>
          <w:sz w:val="24"/>
          <w:szCs w:val="24"/>
          <w:highlight w:val="none"/>
        </w:rPr>
      </w:r>
      <w:r/>
    </w:p>
    <w:p>
      <w:pPr>
        <w:pStyle w:val="671"/>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000000"/>
          <w:sz w:val="24"/>
          <w:szCs w:val="24"/>
          <w:highlight w:val="none"/>
        </w:rPr>
      </w:r>
      <w:r/>
    </w:p>
    <w:p>
      <w:pPr>
        <w:pStyle w:val="671"/>
        <w:jc w:val="center"/>
        <w:spacing w:line="360" w:lineRule="auto"/>
        <w:tabs>
          <w:tab w:val="left" w:pos="630" w:leader="none"/>
          <w:tab w:val="left" w:pos="735" w:leader="none"/>
          <w:tab w:val="left" w:pos="945" w:leader="none"/>
        </w:tabs>
        <w:rPr>
          <w:rFonts w:ascii="黑体" w:eastAsia="黑体"/>
          <w:bCs/>
          <w:color w:val="000000"/>
          <w:sz w:val="30"/>
          <w:szCs w:val="30"/>
          <w:highlight w:val="none"/>
        </w:rPr>
        <w:outlineLvl w:val="0"/>
      </w:pPr>
      <w:r>
        <w:rPr>
          <w:rFonts w:hint="eastAsia" w:ascii="黑体" w:eastAsia="黑体"/>
          <w:bCs/>
          <w:color w:val="000000"/>
          <w:sz w:val="30"/>
          <w:szCs w:val="30"/>
          <w:highlight w:val="none"/>
        </w:rPr>
        <w:br w:type="page" w:clear="all"/>
      </w:r>
      <w:bookmarkStart w:id="4" w:name="_Toc29749"/>
      <w:r>
        <w:rPr>
          <w:rFonts w:hint="eastAsia" w:ascii="黑体" w:eastAsia="黑体"/>
          <w:bCs/>
          <w:color w:val="000000"/>
          <w:sz w:val="30"/>
          <w:szCs w:val="30"/>
          <w:highlight w:val="none"/>
        </w:rPr>
        <w:t xml:space="preserve">三</w:t>
      </w:r>
      <w:r>
        <w:rPr>
          <w:rFonts w:hint="eastAsia" w:ascii="黑体" w:eastAsia="黑体"/>
          <w:bCs/>
          <w:color w:val="000000"/>
          <w:sz w:val="30"/>
          <w:szCs w:val="30"/>
          <w:highlight w:val="none"/>
          <w:lang w:eastAsia="zh-CN"/>
        </w:rPr>
        <w:t xml:space="preserve">、</w:t>
      </w:r>
      <w:r>
        <w:rPr>
          <w:rFonts w:hint="eastAsia" w:ascii="黑体" w:eastAsia="黑体"/>
          <w:b/>
          <w:color w:val="000000"/>
          <w:sz w:val="30"/>
          <w:szCs w:val="30"/>
          <w:highlight w:val="none"/>
        </w:rPr>
        <w:t xml:space="preserve">项目技术要求和有关说明</w:t>
      </w:r>
      <w:bookmarkEnd w:id="4"/>
      <w:r>
        <w:rPr>
          <w:rFonts w:ascii="黑体" w:eastAsia="黑体"/>
          <w:bCs/>
          <w:color w:val="000000"/>
          <w:sz w:val="30"/>
          <w:szCs w:val="30"/>
          <w:highlight w:val="none"/>
        </w:rPr>
      </w:r>
      <w:r/>
    </w:p>
    <w:p>
      <w:pPr>
        <w:pStyle w:val="671"/>
        <w:ind w:firstLine="480"/>
        <w:spacing w:after="5" w:line="400" w:lineRule="exact"/>
        <w:rPr>
          <w:rFonts w:ascii="宋体" w:hAnsi="宋体" w:eastAsia="宋体" w:cs="宋体"/>
          <w:color w:val="000000"/>
          <w:sz w:val="24"/>
          <w:szCs w:val="24"/>
        </w:rPr>
      </w:pPr>
      <w:r>
        <w:rPr>
          <w:rFonts w:hint="eastAsia" w:ascii="宋体" w:hAnsi="宋体" w:eastAsia="宋体" w:cs="Times New Roman"/>
          <w:bCs/>
          <w:color w:val="000000"/>
          <w:sz w:val="24"/>
          <w:szCs w:val="24"/>
        </w:rPr>
        <w:t xml:space="preserve">本次采购项目为无锡市食品安全检验检测中心食堂运营服务，</w:t>
      </w:r>
      <w:r>
        <w:rPr>
          <w:rFonts w:hint="eastAsia" w:ascii="宋体" w:hAnsi="宋体" w:eastAsia="宋体" w:cs="Times New Roman"/>
          <w:color w:val="000000"/>
          <w:sz w:val="24"/>
          <w:szCs w:val="24"/>
        </w:rPr>
        <w:t xml:space="preserve">投标人可对采购方（无锡市食品安全检验检测中心）实地情况自行踏勘，</w:t>
      </w:r>
      <w:r>
        <w:rPr>
          <w:rFonts w:hint="eastAsia" w:ascii="宋体" w:hAnsi="宋体" w:eastAsia="宋体" w:cs="Times New Roman"/>
          <w:bCs/>
          <w:color w:val="000000"/>
          <w:sz w:val="24"/>
          <w:szCs w:val="24"/>
        </w:rPr>
        <w:t xml:space="preserve">相关需求和服务要求如下：</w:t>
      </w:r>
      <w:r>
        <w:rPr>
          <w:rFonts w:ascii="宋体" w:hAnsi="宋体" w:eastAsia="宋体" w:cs="宋体"/>
          <w:color w:val="000000"/>
          <w:sz w:val="24"/>
          <w:szCs w:val="24"/>
        </w:rPr>
      </w:r>
      <w:r/>
    </w:p>
    <w:p>
      <w:pPr>
        <w:pStyle w:val="671"/>
        <w:ind w:firstLine="482"/>
        <w:spacing w:after="5" w:line="400" w:lineRule="exact"/>
        <w:rPr>
          <w:rFonts w:ascii="黑体" w:hAnsi="Calibri" w:eastAsia="黑体" w:cs="黑体"/>
          <w:color w:val="000000"/>
          <w:sz w:val="24"/>
          <w:szCs w:val="24"/>
        </w:rPr>
      </w:pPr>
      <w:r>
        <w:rPr>
          <w:rFonts w:hint="eastAsia" w:ascii="宋体" w:hAnsi="宋体" w:eastAsia="宋体" w:cs="Times New Roman"/>
          <w:b/>
          <w:bCs/>
          <w:color w:val="000000"/>
          <w:sz w:val="24"/>
          <w:szCs w:val="24"/>
        </w:rPr>
        <w:t xml:space="preserve">1、服务要求</w:t>
      </w:r>
      <w:r>
        <w:rPr>
          <w:rFonts w:ascii="黑体" w:hAnsi="Calibri" w:eastAsia="黑体" w:cs="黑体"/>
          <w:color w:val="000000"/>
          <w:sz w:val="24"/>
          <w:szCs w:val="24"/>
        </w:rPr>
      </w:r>
      <w:r/>
    </w:p>
    <w:p>
      <w:pPr>
        <w:pStyle w:val="671"/>
        <w:ind w:firstLine="240"/>
        <w:spacing w:after="5" w:line="360" w:lineRule="auto"/>
        <w:rPr>
          <w:rFonts w:ascii="宋体" w:hAnsi="宋体" w:eastAsia="宋体" w:cs="Times New Roman"/>
          <w:bCs/>
          <w:sz w:val="24"/>
          <w:szCs w:val="24"/>
        </w:rPr>
      </w:pPr>
      <w:r>
        <w:rPr>
          <w:rFonts w:hint="eastAsia" w:ascii="宋体" w:hAnsi="宋体" w:eastAsia="宋体" w:cs="Times New Roman"/>
          <w:color w:val="000000"/>
          <w:sz w:val="24"/>
          <w:szCs w:val="24"/>
        </w:rPr>
        <w:t xml:space="preserve">（1）项目内容</w:t>
      </w:r>
      <w:r>
        <w:rPr>
          <w:rFonts w:hint="eastAsia" w:ascii="宋体" w:hAnsi="宋体" w:eastAsia="宋体" w:cs="Times New Roman"/>
          <w:bCs/>
          <w:color w:val="000000"/>
          <w:sz w:val="24"/>
          <w:szCs w:val="24"/>
        </w:rPr>
        <w:t xml:space="preserve">：无锡市食品安全检验检测中心食堂运营服务，用餐天数</w:t>
      </w:r>
      <w:r>
        <w:rPr>
          <w:rFonts w:hint="eastAsia" w:ascii="宋体" w:hAnsi="宋体" w:eastAsia="宋体" w:cs="Times New Roman"/>
          <w:bCs/>
          <w:color w:val="000000"/>
          <w:sz w:val="24"/>
          <w:szCs w:val="24"/>
          <w:lang w:val="en-GB"/>
        </w:rPr>
        <w:t xml:space="preserve">约</w:t>
      </w:r>
      <w:r>
        <w:rPr>
          <w:rFonts w:hint="eastAsia" w:ascii="宋体" w:hAnsi="宋体" w:eastAsia="宋体" w:cs="Times New Roman"/>
          <w:bCs/>
          <w:color w:val="000000"/>
          <w:sz w:val="24"/>
          <w:szCs w:val="24"/>
        </w:rPr>
        <w:t xml:space="preserve">为250天/年，每餐标准30元左右，每天满足提供150人次左右的就餐服务。（结算时如未满90人次的，按90人次计算，超出90人次，按实结算）</w:t>
      </w:r>
      <w:r>
        <w:rPr>
          <w:rFonts w:hint="eastAsia" w:ascii="宋体" w:hAnsi="宋体" w:eastAsia="宋体" w:cs="Times New Roman"/>
          <w:bCs/>
          <w:sz w:val="24"/>
          <w:szCs w:val="24"/>
        </w:rPr>
        <w:t xml:space="preserve">。</w:t>
      </w:r>
      <w:r>
        <w:rPr>
          <w:rFonts w:ascii="宋体" w:hAnsi="宋体" w:eastAsia="宋体" w:cs="Times New Roman"/>
          <w:bCs/>
          <w:sz w:val="24"/>
          <w:szCs w:val="24"/>
        </w:rPr>
      </w:r>
      <w:r/>
    </w:p>
    <w:p>
      <w:pPr>
        <w:pStyle w:val="671"/>
        <w:ind w:firstLine="240"/>
        <w:spacing w:after="5" w:line="360" w:lineRule="auto"/>
        <w:rPr>
          <w:rFonts w:ascii="宋体" w:hAnsi="宋体" w:eastAsia="宋体" w:cs="Times New Roman"/>
          <w:bCs/>
          <w:color w:val="ff0000"/>
          <w:sz w:val="24"/>
          <w:szCs w:val="24"/>
        </w:rPr>
      </w:pPr>
      <w:r>
        <w:rPr>
          <w:rFonts w:hint="eastAsia" w:ascii="宋体" w:hAnsi="宋体" w:eastAsia="宋体" w:cs="Times New Roman"/>
          <w:bCs/>
          <w:color w:val="000000"/>
          <w:sz w:val="24"/>
          <w:szCs w:val="24"/>
        </w:rPr>
        <w:t xml:space="preserve">（2）中标单位负责</w:t>
      </w:r>
      <w:r>
        <w:rPr>
          <w:rFonts w:hint="eastAsia" w:ascii="宋体" w:hAnsi="宋体" w:eastAsia="宋体" w:cs="宋体"/>
          <w:color w:val="323e32"/>
          <w:sz w:val="24"/>
          <w:szCs w:val="24"/>
        </w:rPr>
        <w:t xml:space="preserve">派遣能满足</w:t>
      </w:r>
      <w:r>
        <w:rPr>
          <w:rFonts w:hint="eastAsia" w:ascii="宋体" w:hAnsi="宋体" w:eastAsia="宋体" w:cs="宋体"/>
          <w:sz w:val="24"/>
          <w:szCs w:val="24"/>
        </w:rPr>
        <w:t xml:space="preserve">采购方用餐需求的相关操作人员、服务人员，负责经采购方认可的各类</w:t>
      </w:r>
      <w:r>
        <w:rPr>
          <w:rFonts w:hint="eastAsia" w:ascii="宋体" w:hAnsi="宋体" w:eastAsia="宋体" w:cs="Times New Roman"/>
          <w:bCs/>
          <w:color w:val="000000"/>
          <w:sz w:val="24"/>
          <w:szCs w:val="24"/>
        </w:rPr>
        <w:t xml:space="preserve">食材、调料等，</w:t>
      </w:r>
      <w:r>
        <w:rPr>
          <w:rFonts w:hint="eastAsia" w:ascii="宋体" w:hAnsi="宋体" w:eastAsia="宋体" w:cs="宋体"/>
          <w:sz w:val="24"/>
          <w:szCs w:val="24"/>
        </w:rPr>
        <w:t xml:space="preserve">确保采购方准时用餐。</w:t>
      </w:r>
      <w:r>
        <w:rPr>
          <w:rFonts w:ascii="宋体" w:hAnsi="宋体" w:eastAsia="宋体" w:cs="Times New Roman"/>
          <w:bCs/>
          <w:color w:val="ff0000"/>
          <w:sz w:val="24"/>
          <w:szCs w:val="24"/>
        </w:rPr>
      </w:r>
      <w:r/>
    </w:p>
    <w:p>
      <w:pPr>
        <w:pStyle w:val="671"/>
        <w:ind w:firstLine="240"/>
        <w:spacing w:after="5"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bCs/>
          <w:color w:val="000000"/>
          <w:sz w:val="24"/>
          <w:szCs w:val="24"/>
        </w:rPr>
        <w:t xml:space="preserve">服务期限：合同签订生效后壹年。</w:t>
      </w:r>
      <w:r>
        <w:rPr>
          <w:rFonts w:ascii="宋体" w:hAnsi="宋体" w:eastAsia="宋体" w:cs="Times New Roman"/>
          <w:bCs/>
          <w:color w:val="000000"/>
          <w:sz w:val="24"/>
          <w:szCs w:val="24"/>
        </w:rPr>
      </w:r>
      <w:r/>
    </w:p>
    <w:p>
      <w:pPr>
        <w:pStyle w:val="671"/>
        <w:ind w:firstLine="240"/>
        <w:spacing w:after="5" w:line="360" w:lineRule="auto"/>
        <w:rPr>
          <w:rFonts w:ascii="Times New Roman" w:hAnsi="Times New Roman" w:eastAsia="宋体" w:cs="Times New Roman"/>
          <w:sz w:val="24"/>
          <w:szCs w:val="24"/>
        </w:rPr>
      </w:pPr>
      <w:r>
        <w:rPr>
          <w:rFonts w:hint="eastAsia" w:ascii="宋体" w:hAnsi="宋体" w:eastAsia="宋体" w:cs="Times New Roman"/>
          <w:bCs/>
          <w:color w:val="000000"/>
          <w:sz w:val="24"/>
          <w:szCs w:val="24"/>
        </w:rPr>
        <w:t xml:space="preserve">（4）</w:t>
      </w:r>
      <w:r>
        <w:rPr>
          <w:rFonts w:hint="eastAsia" w:ascii="宋体" w:hAnsi="宋体" w:eastAsia="宋体" w:cs="Times New Roman"/>
          <w:color w:val="000000"/>
          <w:sz w:val="24"/>
          <w:szCs w:val="24"/>
        </w:rPr>
        <w:t xml:space="preserve">付款方式：成交后，经采购单位每月考核合格后，按月结算，中标方应当于每月的月初出具上月结算发票，采购单位最晚应当于次月的30日前付款。连续三个月考核不合格者（考核得分低于70分），采购方有权依照法律程序解除合同，并追究供方的违约责任。</w:t>
      </w:r>
      <w:r>
        <w:rPr>
          <w:rFonts w:ascii="Times New Roman" w:hAnsi="Times New Roman" w:eastAsia="宋体" w:cs="Times New Roman"/>
          <w:sz w:val="24"/>
          <w:szCs w:val="24"/>
        </w:rPr>
      </w:r>
      <w:r/>
    </w:p>
    <w:p>
      <w:pPr>
        <w:pStyle w:val="671"/>
        <w:ind w:firstLine="240"/>
        <w:spacing w:after="5"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rPr>
        <w:t xml:space="preserve">（5）人员要求：工作认真具有极强的工作责任心，</w:t>
      </w:r>
      <w:r>
        <w:rPr>
          <w:rFonts w:hint="eastAsia" w:ascii="宋体" w:hAnsi="宋体" w:eastAsia="宋体" w:cs="仿宋"/>
          <w:bCs/>
          <w:color w:val="000000"/>
          <w:sz w:val="24"/>
          <w:szCs w:val="24"/>
        </w:rPr>
        <w:t xml:space="preserve">所进驻员工年龄男性不超过55周岁、女性不超过50周岁</w:t>
      </w:r>
      <w:r>
        <w:rPr>
          <w:rFonts w:hint="eastAsia" w:ascii="宋体" w:hAnsi="宋体" w:eastAsia="宋体" w:cs="Times New Roman"/>
          <w:bCs/>
          <w:color w:val="000000"/>
          <w:sz w:val="24"/>
          <w:szCs w:val="24"/>
        </w:rPr>
        <w:t xml:space="preserve">，本项目共需工作人员5名，其中现场经理兼厨师长2人、厨工3人。</w:t>
      </w:r>
      <w:r>
        <w:rPr>
          <w:rFonts w:hint="eastAsia" w:ascii="宋体" w:hAnsi="宋体" w:eastAsia="宋体" w:cs="Times New Roman"/>
          <w:bCs/>
          <w:color w:val="000000"/>
          <w:sz w:val="24"/>
          <w:szCs w:val="24"/>
          <w:lang w:eastAsia="zh-CN"/>
        </w:rPr>
      </w:r>
      <w:r/>
    </w:p>
    <w:p>
      <w:pPr>
        <w:pStyle w:val="671"/>
        <w:ind w:firstLine="240"/>
        <w:spacing w:after="5"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（6）岗位要求：所有人员持食品安全健康证上岗；实行现场项目经理负责制。</w:t>
      </w:r>
      <w:r>
        <w:rPr>
          <w:rFonts w:ascii="宋体" w:hAnsi="宋体" w:eastAsia="宋体" w:cs="Times New Roman"/>
          <w:bCs/>
          <w:color w:val="000000"/>
          <w:sz w:val="24"/>
          <w:szCs w:val="24"/>
        </w:rPr>
      </w:r>
      <w:r/>
    </w:p>
    <w:p>
      <w:pPr>
        <w:pStyle w:val="671"/>
        <w:ind w:firstLine="24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中标单位根据采购单位要求定岗，但员工工资不得低于无锡最低保障工资，并需要根据国家劳动部门规定缴纳相应社保及公积金等。员工工资、社保及公积金费用、税金、商业保险、福利费、餐费等法定费用为不可让利部分（不可竞争费用），须按项目总配置人数计算，投标总价不得低于上述相关费用的合计，否则作为无效投标处理。</w:t>
      </w:r>
      <w:r>
        <w:rPr>
          <w:rFonts w:ascii="宋体" w:hAnsi="宋体" w:eastAsia="宋体" w:cs="Times New Roman"/>
          <w:color w:val="000000"/>
          <w:sz w:val="24"/>
          <w:szCs w:val="24"/>
        </w:rPr>
      </w:r>
      <w:r/>
    </w:p>
    <w:p>
      <w:pPr>
        <w:pStyle w:val="671"/>
        <w:ind w:firstLine="24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（8）中标人</w:t>
      </w:r>
      <w:r>
        <w:rPr>
          <w:rFonts w:hint="eastAsia" w:ascii="宋体" w:hAnsi="宋体" w:eastAsia="宋体" w:cs="宋体"/>
          <w:color w:val="000000"/>
          <w:sz w:val="24"/>
          <w:szCs w:val="24"/>
        </w:rPr>
        <w:t xml:space="preserve">需要有足够的后备编制外人员，</w:t>
      </w:r>
      <w:r>
        <w:rPr>
          <w:rFonts w:hint="eastAsia" w:ascii="宋体" w:hAnsi="宋体" w:eastAsia="宋体" w:cs="Times New Roman"/>
          <w:color w:val="000000"/>
          <w:sz w:val="24"/>
          <w:szCs w:val="24"/>
        </w:rPr>
        <w:t xml:space="preserve">根据采购人要求提供临时性保障服务。</w:t>
      </w:r>
      <w:r>
        <w:rPr>
          <w:rFonts w:ascii="宋体" w:hAnsi="宋体" w:eastAsia="宋体" w:cs="Times New Roman"/>
          <w:color w:val="000000"/>
          <w:sz w:val="24"/>
          <w:szCs w:val="24"/>
        </w:rPr>
      </w:r>
      <w:r/>
    </w:p>
    <w:p>
      <w:pPr>
        <w:pStyle w:val="671"/>
        <w:ind w:firstLine="24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（9）若现场服务人数及方式改变中标方与采购方协商解决。</w:t>
      </w:r>
      <w:r>
        <w:rPr>
          <w:rFonts w:ascii="宋体" w:hAnsi="宋体" w:eastAsia="宋体" w:cs="Times New Roman"/>
          <w:color w:val="000000"/>
          <w:sz w:val="24"/>
          <w:szCs w:val="24"/>
        </w:rPr>
      </w:r>
      <w:r/>
    </w:p>
    <w:p>
      <w:pPr>
        <w:pStyle w:val="671"/>
        <w:ind w:firstLine="482"/>
        <w:spacing w:after="5" w:line="40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2、食堂简介和要求：</w:t>
      </w:r>
      <w:r>
        <w:rPr>
          <w:rFonts w:ascii="宋体" w:hAnsi="宋体" w:eastAsia="宋体" w:cs="Times New Roman"/>
          <w:b/>
          <w:bCs/>
          <w:color w:val="000000"/>
          <w:sz w:val="24"/>
          <w:szCs w:val="24"/>
        </w:rPr>
      </w:r>
      <w:r/>
    </w:p>
    <w:p>
      <w:pPr>
        <w:pStyle w:val="671"/>
        <w:ind w:firstLine="480"/>
        <w:spacing w:after="5" w:line="400" w:lineRule="exact"/>
        <w:rPr>
          <w:rFonts w:ascii="宋体" w:hAnsi="宋体" w:eastAsia="宋体" w:cs="宋体"/>
          <w:sz w:val="24"/>
          <w:szCs w:val="24"/>
        </w:rPr>
      </w:pPr>
      <w:r>
        <w:rPr>
          <w:rFonts w:hint="eastAsia" w:ascii="宋体" w:hAnsi="宋体" w:eastAsia="宋体" w:cs="宋体"/>
          <w:sz w:val="24"/>
          <w:szCs w:val="24"/>
        </w:rPr>
        <w:t xml:space="preserve">（1）无锡市食品安全检验检测中心餐厅位于二楼，公共面积近190平方米，可提供约92个餐位。厨房操作间近110平方米，含10平方米的办公、仓库区域。</w:t>
      </w:r>
      <w:r>
        <w:rPr>
          <w:rFonts w:ascii="宋体" w:hAnsi="宋体" w:eastAsia="宋体" w:cs="宋体"/>
          <w:sz w:val="24"/>
          <w:szCs w:val="24"/>
        </w:rPr>
      </w:r>
      <w:r/>
    </w:p>
    <w:p>
      <w:pPr>
        <w:pStyle w:val="671"/>
        <w:ind w:firstLine="480"/>
        <w:spacing w:after="5" w:line="400" w:lineRule="exact"/>
        <w:rPr>
          <w:rFonts w:ascii="宋体" w:hAnsi="宋体" w:eastAsia="宋体" w:cs="宋体"/>
          <w:sz w:val="24"/>
          <w:szCs w:val="24"/>
        </w:rPr>
      </w:pPr>
      <w:r>
        <w:rPr>
          <w:rFonts w:hint="eastAsia" w:ascii="宋体" w:hAnsi="宋体" w:eastAsia="宋体" w:cs="宋体"/>
          <w:sz w:val="24"/>
          <w:szCs w:val="24"/>
        </w:rPr>
        <w:t xml:space="preserve">（2）餐饮供应时间：中餐：11:00——12：30，用餐人数90人。特殊情况各餐就餐人数及开餐时间以采购方通知为准，中标方需配合执行。</w:t>
      </w:r>
      <w:r>
        <w:rPr>
          <w:rFonts w:ascii="宋体" w:hAnsi="宋体" w:eastAsia="宋体" w:cs="宋体"/>
          <w:sz w:val="24"/>
          <w:szCs w:val="24"/>
        </w:rPr>
      </w:r>
      <w:r/>
    </w:p>
    <w:p>
      <w:pPr>
        <w:pStyle w:val="671"/>
        <w:ind w:firstLine="482"/>
        <w:spacing w:after="5" w:line="40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3、餐饮运行模式：</w:t>
      </w:r>
      <w:r>
        <w:rPr>
          <w:rFonts w:ascii="宋体" w:hAnsi="宋体" w:eastAsia="宋体" w:cs="Times New Roman"/>
          <w:b/>
          <w:bCs/>
          <w:color w:val="000000"/>
          <w:sz w:val="24"/>
          <w:szCs w:val="24"/>
        </w:rPr>
      </w:r>
      <w:r/>
    </w:p>
    <w:p>
      <w:pPr>
        <w:pStyle w:val="671"/>
        <w:ind w:firstLine="480"/>
        <w:spacing w:after="5" w:line="400" w:lineRule="exact"/>
        <w:rPr>
          <w:rFonts w:ascii="宋体" w:hAnsi="宋体" w:eastAsia="宋体" w:cs="宋体"/>
          <w:sz w:val="24"/>
          <w:szCs w:val="24"/>
        </w:rPr>
      </w:pPr>
      <w:r>
        <w:rPr>
          <w:rFonts w:hint="eastAsia" w:ascii="宋体" w:hAnsi="宋体" w:eastAsia="宋体" w:cs="宋体"/>
          <w:sz w:val="24"/>
          <w:szCs w:val="24"/>
        </w:rPr>
        <w:t xml:space="preserve">投标采用全包管理的餐饮运行管理模式。服务外包单位负责食品原材料采购、核价及成本核算；服务外包单位提供服务人员及技术服务，负责菜点工艺流程实施与管理，按采购人要求提供人员餐饮分餐配送和食堂环境清扫。</w:t>
      </w:r>
      <w:r>
        <w:rPr>
          <w:rFonts w:ascii="宋体" w:hAnsi="宋体" w:eastAsia="宋体" w:cs="宋体"/>
          <w:sz w:val="24"/>
          <w:szCs w:val="24"/>
        </w:rPr>
      </w:r>
      <w:r/>
    </w:p>
    <w:p>
      <w:pPr>
        <w:pStyle w:val="671"/>
        <w:ind w:firstLine="482"/>
        <w:spacing w:after="5" w:line="40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4、餐饮供应要求</w:t>
      </w:r>
      <w:r>
        <w:rPr>
          <w:rFonts w:hint="eastAsia" w:ascii="宋体" w:hAnsi="宋体" w:eastAsia="宋体" w:cs="Times New Roman"/>
          <w:b/>
          <w:bCs/>
          <w:color w:val="000000"/>
          <w:sz w:val="24"/>
          <w:szCs w:val="24"/>
          <w:lang w:eastAsia="zh-CN"/>
        </w:rPr>
        <w:t xml:space="preserve">：</w:t>
      </w:r>
      <w:r>
        <w:rPr>
          <w:rFonts w:ascii="宋体" w:hAnsi="宋体" w:eastAsia="宋体" w:cs="Times New Roman"/>
          <w:b/>
          <w:bCs/>
          <w:color w:val="000000"/>
          <w:sz w:val="24"/>
          <w:szCs w:val="24"/>
        </w:rPr>
      </w:r>
      <w:r/>
    </w:p>
    <w:p>
      <w:pPr>
        <w:pStyle w:val="6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午餐每套标准为大荤2个（2选1），小荤3个（3选2），蔬菜3个（3选2），汤1份，主食副食各1份，水果一份；每季度举办1次美食周活动，提供不同地区的特色美食。每1-2周提供一次特色餐，如馄饨、水饺、面条、菜饭、炒饭等（均不得提供速冻品），中标人应在每周五下午4点前将下一周的菜单报采购人认可；遇传统节假日、纪念日等特殊节日，中标人午餐需提供相对应的餐食，如夏至提供馄饨，七一建党日、员工生日提供面条和蛋糕</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；遇夏季高温，中标人免费向采购人职工供应消暑饮食，如绿豆汤等；具体供应菜单、售价及成本均需提前报招标人认可。</w:t>
      </w:r>
      <w:r>
        <w:rPr>
          <w:rFonts w:hint="eastAsia" w:ascii="宋体" w:hAnsi="宋体" w:eastAsia="宋体" w:cs="宋体"/>
          <w:sz w:val="24"/>
          <w:szCs w:val="24"/>
        </w:rPr>
      </w:r>
      <w:r/>
    </w:p>
    <w:p>
      <w:pPr>
        <w:pStyle w:val="671"/>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（2）中标单位还需根据采购方要求</w:t>
      </w:r>
      <w:r>
        <w:rPr>
          <w:rFonts w:hint="eastAsia" w:ascii="宋体" w:hAnsi="宋体" w:eastAsia="宋体" w:cs="宋体"/>
          <w:sz w:val="24"/>
          <w:szCs w:val="24"/>
          <w:lang w:eastAsia="zh-CN"/>
        </w:rPr>
        <w:t xml:space="preserve">提供其他</w:t>
      </w:r>
      <w:r>
        <w:rPr>
          <w:rFonts w:hint="eastAsia" w:ascii="宋体" w:hAnsi="宋体" w:eastAsia="宋体" w:cs="宋体"/>
          <w:sz w:val="24"/>
          <w:szCs w:val="24"/>
        </w:rPr>
        <w:t xml:space="preserve">临时性服务。</w:t>
      </w:r>
      <w:r>
        <w:rPr>
          <w:rFonts w:ascii="宋体" w:hAnsi="宋体" w:eastAsia="宋体" w:cs="宋体"/>
          <w:sz w:val="24"/>
          <w:szCs w:val="24"/>
        </w:rPr>
      </w:r>
      <w:r/>
    </w:p>
    <w:p>
      <w:pPr>
        <w:pStyle w:val="671"/>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5、采购方提供条件</w:t>
      </w:r>
      <w:r>
        <w:rPr>
          <w:rFonts w:hint="eastAsia" w:ascii="宋体" w:hAnsi="宋体" w:eastAsia="宋体" w:cs="Times New Roman"/>
          <w:b/>
          <w:bCs/>
          <w:color w:val="000000"/>
          <w:sz w:val="24"/>
          <w:szCs w:val="24"/>
          <w:lang w:eastAsia="zh-CN"/>
        </w:rPr>
        <w:t xml:space="preserve">：</w:t>
      </w:r>
      <w:r>
        <w:rPr>
          <w:rFonts w:ascii="宋体" w:hAnsi="宋体" w:eastAsia="宋体" w:cs="Times New Roman"/>
          <w:b/>
          <w:bCs/>
          <w:color w:val="000000"/>
          <w:sz w:val="24"/>
          <w:szCs w:val="24"/>
        </w:rPr>
      </w:r>
      <w:r/>
    </w:p>
    <w:p>
      <w:pPr>
        <w:pStyle w:val="671"/>
        <w:ind w:firstLine="480"/>
        <w:spacing w:line="360" w:lineRule="auto"/>
        <w:rPr>
          <w:rFonts w:hint="eastAsia" w:ascii="宋体" w:hAnsi="宋体" w:eastAsia="宋体" w:cs="Times New Roman"/>
          <w:bCs/>
          <w:color w:val="000000"/>
          <w:sz w:val="24"/>
          <w:szCs w:val="24"/>
        </w:rPr>
      </w:pPr>
      <w:r>
        <w:rPr>
          <w:rFonts w:hint="eastAsia" w:ascii="宋体" w:hAnsi="宋体" w:eastAsia="宋体" w:cs="宋体"/>
          <w:sz w:val="24"/>
          <w:szCs w:val="24"/>
        </w:rPr>
        <w:t xml:space="preserve">（1）</w:t>
      </w:r>
      <w:r>
        <w:rPr>
          <w:rFonts w:hint="eastAsia" w:ascii="宋体" w:hAnsi="宋体" w:eastAsia="宋体" w:cs="Times New Roman"/>
          <w:bCs/>
          <w:color w:val="000000"/>
          <w:sz w:val="24"/>
          <w:szCs w:val="24"/>
        </w:rPr>
        <w:t xml:space="preserve">采购单位提供食物原材料、食堂及厨房硬件设备、餐具、厨具、炊具、餐桌椅、排风设备、排污设备、洗碗设备、泔水、废油处理设备（设施），能源（水、电、气）、厨房食堂虫害控制。</w:t>
      </w:r>
      <w:r>
        <w:rPr>
          <w:rFonts w:hint="eastAsia" w:ascii="宋体" w:hAnsi="宋体" w:eastAsia="宋体" w:cs="Times New Roman"/>
          <w:color w:val="000000"/>
          <w:sz w:val="24"/>
          <w:szCs w:val="24"/>
        </w:rPr>
        <w:t xml:space="preserve">食堂内所需的低值易耗用品如消毒、洗涤、保洁、手套、口罩等用品，洗碗机洗碗液、餐巾纸、洗手液、垃圾袋等客用易耗品。</w:t>
      </w:r>
      <w:r>
        <w:rPr>
          <w:rFonts w:hint="eastAsia" w:ascii="宋体" w:hAnsi="宋体" w:eastAsia="宋体" w:cs="Times New Roman"/>
          <w:bCs/>
          <w:color w:val="000000"/>
          <w:sz w:val="24"/>
          <w:szCs w:val="24"/>
        </w:rPr>
      </w:r>
      <w:r/>
    </w:p>
    <w:p>
      <w:pPr>
        <w:pStyle w:val="671"/>
        <w:ind w:firstLine="480"/>
        <w:spacing w:line="360" w:lineRule="auto"/>
        <w:rPr>
          <w:rFonts w:ascii="宋体" w:hAnsi="宋体" w:eastAsia="宋体" w:cs="Times New Roman"/>
          <w:bCs/>
          <w:color w:val="000000"/>
          <w:sz w:val="24"/>
          <w:szCs w:val="24"/>
        </w:rPr>
      </w:pPr>
      <w:r>
        <w:rPr>
          <w:rFonts w:hint="eastAsia" w:ascii="宋体" w:hAnsi="宋体" w:eastAsia="宋体" w:cs="宋体"/>
          <w:sz w:val="24"/>
          <w:szCs w:val="24"/>
        </w:rPr>
        <w:t xml:space="preserve">（2）采购方提供中标单位项目经理办公室（值班室）1间，员工更衣室2间、食品仓库1间、非食品仓库1间的使用权。</w:t>
      </w:r>
      <w:r>
        <w:rPr>
          <w:rFonts w:hint="eastAsia" w:ascii="宋体" w:hAnsi="宋体" w:eastAsia="宋体" w:cs="Times New Roman"/>
          <w:bCs/>
          <w:color w:val="000000"/>
          <w:sz w:val="24"/>
          <w:szCs w:val="24"/>
        </w:rPr>
        <w:t xml:space="preserve">中标单位须在合同结束交回采购单位上述设施设备和各类物品并保证其完整和完好性。</w:t>
      </w:r>
      <w:r>
        <w:rPr>
          <w:rFonts w:ascii="宋体" w:hAnsi="宋体" w:eastAsia="宋体" w:cs="Times New Roman"/>
          <w:bCs/>
          <w:color w:val="000000"/>
          <w:sz w:val="24"/>
          <w:szCs w:val="24"/>
        </w:rPr>
      </w:r>
      <w:r/>
    </w:p>
    <w:p>
      <w:pPr>
        <w:pStyle w:val="671"/>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（3）采购单位对所供厨房用品允许每年有低于5%（含</w:t>
      </w:r>
      <w:r>
        <w:rPr>
          <w:rFonts w:ascii="宋体" w:hAnsi="宋体" w:eastAsia="宋体" w:cs="Times New Roman"/>
          <w:bCs/>
          <w:color w:val="000000"/>
          <w:sz w:val="24"/>
          <w:szCs w:val="24"/>
        </w:rPr>
        <w:t xml:space="preserve">5%</w:t>
      </w:r>
      <w:r>
        <w:rPr>
          <w:rFonts w:hint="eastAsia" w:ascii="宋体" w:hAnsi="宋体" w:eastAsia="宋体" w:cs="Times New Roman"/>
          <w:bCs/>
          <w:color w:val="000000"/>
          <w:sz w:val="24"/>
          <w:szCs w:val="24"/>
        </w:rPr>
        <w:t xml:space="preserve">）的合理损耗，超出部分的损耗由中标方承担并及时补齐。</w:t>
      </w:r>
      <w:r>
        <w:rPr>
          <w:rFonts w:ascii="宋体" w:hAnsi="宋体" w:eastAsia="宋体" w:cs="Times New Roman"/>
          <w:bCs/>
          <w:color w:val="000000"/>
          <w:sz w:val="24"/>
          <w:szCs w:val="24"/>
        </w:rPr>
      </w:r>
      <w:r/>
    </w:p>
    <w:p>
      <w:pPr>
        <w:pStyle w:val="671"/>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（4）采购单位不承担中标单位员工在合同期内所发生的一切费用，如工资、投标人服务方案中法定节假日上班人数的加班费、社会保险费、福利费、服装费、体检费、培训费、工伤、生病住院、意外伤</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亡）害等任何费用，如发生费用全部由中标单位承担。</w:t>
      </w:r>
      <w:r>
        <w:rPr>
          <w:rFonts w:ascii="宋体" w:hAnsi="宋体" w:eastAsia="宋体" w:cs="Times New Roman"/>
          <w:bCs/>
          <w:color w:val="000000"/>
          <w:sz w:val="24"/>
          <w:szCs w:val="24"/>
        </w:rPr>
      </w:r>
      <w:r/>
    </w:p>
    <w:p>
      <w:pPr>
        <w:pStyle w:val="671"/>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（5）采购单位有权对中标方每天菜品的份量、质量、品质色味进行监督、验收。</w:t>
      </w:r>
      <w:r>
        <w:rPr>
          <w:rFonts w:ascii="宋体" w:hAnsi="宋体" w:eastAsia="宋体" w:cs="Times New Roman"/>
          <w:bCs/>
          <w:color w:val="000000"/>
          <w:sz w:val="24"/>
          <w:szCs w:val="24"/>
        </w:rPr>
      </w:r>
      <w:r/>
    </w:p>
    <w:p>
      <w:pPr>
        <w:pStyle w:val="671"/>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6、中标单位的责任</w:t>
      </w:r>
      <w:r>
        <w:rPr>
          <w:rFonts w:hint="eastAsia" w:ascii="宋体" w:hAnsi="宋体" w:eastAsia="宋体" w:cs="Times New Roman"/>
          <w:b/>
          <w:bCs/>
          <w:color w:val="000000"/>
          <w:sz w:val="24"/>
          <w:szCs w:val="24"/>
          <w:lang w:eastAsia="zh-CN"/>
        </w:rPr>
        <w:t xml:space="preserve">：</w:t>
      </w:r>
      <w:r>
        <w:rPr>
          <w:rFonts w:ascii="宋体" w:hAnsi="宋体" w:eastAsia="宋体" w:cs="Times New Roman"/>
          <w:b/>
          <w:bCs/>
          <w:color w:val="000000"/>
          <w:sz w:val="24"/>
          <w:szCs w:val="24"/>
        </w:rPr>
      </w:r>
      <w:r/>
    </w:p>
    <w:p>
      <w:pPr>
        <w:pStyle w:val="671"/>
        <w:ind w:firstLine="480"/>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（1）中标单位负责将泔水、废油放置到采购方指定地点、食物加工制作、销售、管理团队、厨房和食堂清洁（含仓库外走廊）。</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（2）中标单位负责食品原材料采购、搬运、运输等工作。</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（3）投标方投标包括所有费用，含员工工资及政策规定的人员成本、体检、培训、政策性规费、运行所需要的管理费及所有不可预测的风险成本。</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（4）中标单位是食堂安全、消防第一责任人，日常加强消防演练和安全检查，并做好相关记录，杜绝消防安全隐患。</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（5）中标单位未经采购方同意，不得在食堂内进行食品外加工，一经发现将作违约处理。门卫有权例行检查，发现问题拒绝其出门。</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（6）中标单位必须健全食堂逐日消耗、食品留样制度、索证登记制度，并积极协助配合采购方搞好成本核算和膳食管理。</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（7）中标单位采购食品原材料按食品验收程序规范操作，采购方负责监督检查。</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（8）中标单位要教育所属员工要爱护食堂设施，爱护餐具及食堂用品，杜绝监守自盗、私自夹带及其它违纪违法行为，否则依法追究其责任。</w:t>
      </w:r>
      <w:r>
        <w:rPr>
          <w:rFonts w:ascii="宋体" w:hAnsi="宋体" w:eastAsia="宋体" w:cs="Times New Roman"/>
          <w:color w:val="000000"/>
          <w:sz w:val="24"/>
          <w:szCs w:val="24"/>
          <w:lang w:val="en-US" w:eastAsia="zh-CN" w:bidi="ar-SA"/>
        </w:rPr>
      </w:r>
      <w:r/>
    </w:p>
    <w:p>
      <w:pPr>
        <w:pStyle w:val="671"/>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7、餐企的具备条件和提供的服务要求：</w:t>
      </w:r>
      <w:r>
        <w:rPr>
          <w:rFonts w:ascii="宋体" w:hAnsi="宋体" w:eastAsia="宋体" w:cs="Times New Roman"/>
          <w:b/>
          <w:bCs/>
          <w:color w:val="000000"/>
          <w:sz w:val="24"/>
          <w:szCs w:val="24"/>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投标人应是一支精干、高效、专业、敬业、健康有品牌的餐饮服务团队，有能力为用餐人员提供安全、优质、高效、满意的餐饮服务。企业内设机构必须齐全，有严谨的人事、财务、销售、业务及服务管理体系，注重企业文化。</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（2）严格执行《食品卫生法》的各项规定，所有服务员、洗菜员、厨师人员必须持健康证上岗，每年不少于1次健康体检，严格执行清洁消毒规定，不得提供变质、变味的饭菜。</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所有员工进入岗位前必须穿戴统—工作服，使用—次性卫生手套、口罩，所有人员在工作时间内必须穿防滑鞋，所有人员不得自带任何食物进出工作区域，无关人员不得进入工作区域，工作时不得会客、吸烟、吃食品、大声喧哗和聊天。</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（4）严格遵守采购方的用餐时间，保证按时正点开餐，在开餐前15分钟确保所有饭菜品全部摆放到位，开餐前5分钟所有服务人员站立到指定岗位等待开餐。</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（5）餐期间厨房保证食品菜肴不断档，就餐人员离开后及时擦拭干净备第二餐次人员使用，用餐时段结束后彻底清洁用餐区域，余留食品按规定处理。</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（6）日常保洁工作，要求地面清洁，下水道通畅，无积水，工作场所整洁，无积灰，墙壁无霉斑，各种餐具用品做到卫生、洁净、消毒；餐室（厨房）无蝇、无虫，排油烟设施罩清洁不滴油。</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中标单位管理人员每天应到所服务的区域巡视，每周发放服务周检评价表，听取意见，及时整改。服务周检评价表上应有采购方部门负责人签名，中标单位管理人员每月到采购方所服务的部门发放用餐满意度调查表，作为考核工作质量的重要依据。</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（8）服务的满意度不得低于80%，如采购方接到关于餐饮方面投诉，中标单位必须立即进行整改，如造成重大影响或经济损失的，采购方有权按法律程序终止合同，并追究法律责任和经济赔偿。</w:t>
      </w:r>
      <w:r>
        <w:rPr>
          <w:rFonts w:ascii="宋体" w:hAnsi="宋体" w:eastAsia="宋体" w:cs="Times New Roman"/>
          <w:color w:val="000000"/>
          <w:sz w:val="24"/>
          <w:szCs w:val="24"/>
          <w:lang w:val="en-US" w:eastAsia="zh-CN" w:bidi="ar-SA"/>
        </w:rPr>
      </w:r>
      <w:r/>
    </w:p>
    <w:p>
      <w:pPr>
        <w:pStyle w:val="671"/>
        <w:ind w:firstLine="482"/>
        <w:spacing w:line="360" w:lineRule="auto"/>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8、其他说明：</w:t>
      </w:r>
      <w:r>
        <w:rPr>
          <w:rFonts w:ascii="宋体" w:hAnsi="宋体" w:eastAsia="宋体" w:cs="Times New Roman"/>
          <w:b/>
          <w:bCs/>
          <w:color w:val="000000"/>
          <w:sz w:val="24"/>
          <w:szCs w:val="24"/>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（1）投</w:t>
      </w:r>
      <w:r>
        <w:rPr>
          <w:rFonts w:hint="eastAsia" w:ascii="宋体" w:hAnsi="宋体" w:eastAsia="宋体" w:cs="Times New Roman"/>
          <w:color w:val="000000"/>
          <w:sz w:val="24"/>
          <w:szCs w:val="24"/>
          <w:lang w:val="en-US" w:eastAsia="zh-CN" w:bidi="ar-SA"/>
        </w:rPr>
        <w:t xml:space="preserve">标报价包括所有费用，含员工工资（符合无锡市最低工资标准且必须缴纳社会保险费）、社保福利费、公积金、法定节假日加班费（外出需求除外）、法定税费、公众责任保险费、员工餐费和合理利润外，还应包括体检、管理、劳务、服装、培训、通讯、安全保卫、交通补贴、调整风险及政策性文件规定等各项应有费用。以及为完成采购文件规定的餐饮工作所涉及到的一切各类食材相关费用。投标人报价时应充分考虑服务期内所有可能影响到报价的因素，一旦中标，总价将包定，即为合同价，不予调整。如发生漏、缺、少项，都将被认为是投标人的报价让利行为，损失自负。</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（2）食堂需维修、添置设备、设施，由中标单位书面上报，费用采购方承担，如中标单位因操作不当损坏设备设施影响用餐，维修费、误餐费由中标单位承担（在承包费中冲抵）。</w:t>
      </w:r>
      <w:r>
        <w:rPr>
          <w:rFonts w:ascii="宋体" w:hAnsi="宋体" w:eastAsia="宋体" w:cs="Times New Roman"/>
          <w:color w:val="000000"/>
          <w:sz w:val="24"/>
          <w:szCs w:val="24"/>
          <w:lang w:val="en-US" w:eastAsia="zh-CN" w:bidi="ar-SA"/>
        </w:rPr>
      </w:r>
      <w:r/>
    </w:p>
    <w:p>
      <w:pPr>
        <w:pStyle w:val="671"/>
        <w:ind w:firstLine="458"/>
        <w:jc w:val="both"/>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（3）在中标单位服务期间，因中标单位管理、工艺流程不到位，引起病源性传播或食物中毒，一切责任由中标单位负责，并承担相应的法律和经济责任。</w:t>
      </w:r>
      <w:r>
        <w:rPr>
          <w:rFonts w:ascii="宋体" w:hAnsi="宋体" w:eastAsia="宋体" w:cs="Times New Roman"/>
          <w:color w:val="000000"/>
          <w:sz w:val="24"/>
          <w:szCs w:val="24"/>
          <w:lang w:val="en-US" w:eastAsia="zh-CN" w:bidi="ar-SA"/>
        </w:rPr>
      </w:r>
      <w:r/>
    </w:p>
    <w:p>
      <w:pPr>
        <w:pStyle w:val="671"/>
        <w:jc w:val="center"/>
        <w:spacing w:line="360" w:lineRule="auto"/>
        <w:rPr>
          <w:rFonts w:ascii="宋体" w:hAnsi="宋体" w:eastAsia="宋体" w:cs="Times New Roman"/>
          <w:sz w:val="24"/>
          <w:szCs w:val="24"/>
        </w:rPr>
      </w:pPr>
      <w:r>
        <w:rPr>
          <w:rFonts w:hint="eastAsia" w:ascii="宋体" w:hAnsi="宋体" w:eastAsia="宋体" w:cs="Times New Roman"/>
          <w:b/>
          <w:sz w:val="24"/>
          <w:szCs w:val="24"/>
        </w:rPr>
        <w:t xml:space="preserve">餐厅管理考核细则</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一、服务人员</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1、人员变动率3个月超过10%，全年超过30%（采购方认为不合格要求更换的除外）的扣5分。</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2、着装整洁。在工作岗位上穿统一工作服，售卖处戴一次性手套口罩等，未按规定扣1分。</w:t>
      </w:r>
      <w:r>
        <w:rPr>
          <w:rFonts w:ascii="宋体" w:hAnsi="宋体" w:eastAsia="宋体" w:cs="Times New Roman"/>
          <w:sz w:val="24"/>
          <w:szCs w:val="24"/>
        </w:rPr>
      </w:r>
      <w:r/>
    </w:p>
    <w:p>
      <w:pPr>
        <w:pStyle w:val="671"/>
        <w:numPr>
          <w:ilvl w:val="0"/>
          <w:numId w:val="15"/>
        </w:numPr>
        <w:ind w:left="840" w:hanging="360"/>
        <w:spacing w:line="360" w:lineRule="auto"/>
        <w:tabs>
          <w:tab w:val="left" w:pos="840" w:leader="none"/>
        </w:tabs>
        <w:rPr>
          <w:rFonts w:ascii="宋体" w:hAnsi="宋体" w:eastAsia="宋体" w:cs="Times New Roman"/>
          <w:sz w:val="24"/>
          <w:szCs w:val="24"/>
        </w:rPr>
      </w:pPr>
      <w:r>
        <w:rPr>
          <w:rFonts w:hint="eastAsia" w:ascii="宋体" w:hAnsi="宋体" w:eastAsia="宋体" w:cs="Times New Roman"/>
          <w:sz w:val="24"/>
          <w:szCs w:val="24"/>
        </w:rPr>
        <w:t xml:space="preserve">个人要讲卫生。做到勤理发修胡须、勤洗澡、勤修指甲、勤换衣物。未按规定扣1分</w:t>
      </w:r>
      <w:r>
        <w:rPr>
          <w:rFonts w:ascii="宋体" w:hAnsi="宋体" w:eastAsia="宋体" w:cs="Times New Roman"/>
          <w:sz w:val="24"/>
          <w:szCs w:val="24"/>
        </w:rPr>
      </w:r>
      <w:r/>
    </w:p>
    <w:p>
      <w:pPr>
        <w:pStyle w:val="671"/>
        <w:numPr>
          <w:ilvl w:val="0"/>
          <w:numId w:val="15"/>
        </w:numPr>
        <w:ind w:left="840" w:hanging="360"/>
        <w:spacing w:line="360" w:lineRule="auto"/>
        <w:tabs>
          <w:tab w:val="left" w:pos="840" w:leader="none"/>
        </w:tabs>
        <w:rPr>
          <w:rFonts w:ascii="宋体" w:hAnsi="宋体" w:eastAsia="宋体" w:cs="Times New Roman"/>
          <w:sz w:val="24"/>
          <w:szCs w:val="24"/>
        </w:rPr>
      </w:pPr>
      <w:r>
        <w:rPr>
          <w:rFonts w:hint="eastAsia" w:ascii="宋体" w:hAnsi="宋体" w:eastAsia="宋体" w:cs="Times New Roman"/>
          <w:sz w:val="24"/>
          <w:szCs w:val="24"/>
        </w:rPr>
        <w:t xml:space="preserve">不得在工作岗位上吸烟、吐痰、闲聊等。未按规定扣1分。</w:t>
      </w:r>
      <w:r>
        <w:rPr>
          <w:rFonts w:ascii="宋体" w:hAnsi="宋体" w:eastAsia="宋体" w:cs="Times New Roman"/>
          <w:sz w:val="24"/>
          <w:szCs w:val="24"/>
        </w:rPr>
      </w:r>
      <w:r/>
    </w:p>
    <w:p>
      <w:pPr>
        <w:pStyle w:val="671"/>
        <w:numPr>
          <w:ilvl w:val="0"/>
          <w:numId w:val="15"/>
        </w:numPr>
        <w:ind w:left="840" w:hanging="360"/>
        <w:spacing w:line="360" w:lineRule="auto"/>
        <w:tabs>
          <w:tab w:val="left" w:pos="840" w:leader="none"/>
        </w:tabs>
        <w:rPr>
          <w:rFonts w:ascii="宋体" w:hAnsi="宋体" w:eastAsia="宋体" w:cs="Times New Roman"/>
          <w:sz w:val="24"/>
          <w:szCs w:val="24"/>
        </w:rPr>
      </w:pPr>
      <w:r>
        <w:rPr>
          <w:rFonts w:hint="eastAsia" w:ascii="宋体" w:hAnsi="宋体" w:eastAsia="宋体" w:cs="Times New Roman"/>
          <w:sz w:val="24"/>
          <w:szCs w:val="24"/>
        </w:rPr>
        <w:t xml:space="preserve">员工请假超过3天，未及时安排人员上班，扣5分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二、服务态度</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1、未按规定时间开饭超过10分钟。扣2分</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2、服务时说话不文明，态度生硬扣1分（要求做到微笑服务，和蔼可亲，热情大方，不卑不亢）</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3、服务时与就餐人员发生吵架对骂或是打架斗殴视情况扣3-20分</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4、员工之间发生吵架对骂或打架斗殴的视情扣3-20分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三、日常保洁</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1、餐厅、操作间、更衣室等脏乱，积灰，蜘蛛网等现象扣2分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2、灶台及周围使用后没有打扫干净，地板、面板墩头使用后未打扫干净，油烟机未清理有油污的扣2分/次</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3、售饭菜窗口，餐桌、餐椅未打扫干净或摆放不整齐扣2分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4、下水道不通外溢未处理，洗碗池有脏污扣2分</w:t>
      </w:r>
      <w:r>
        <w:rPr>
          <w:rFonts w:ascii="宋体" w:hAnsi="宋体" w:eastAsia="宋体" w:cs="Times New Roman"/>
          <w:sz w:val="24"/>
          <w:szCs w:val="24"/>
        </w:rPr>
      </w:r>
      <w:r/>
    </w:p>
    <w:p>
      <w:pPr>
        <w:pStyle w:val="671"/>
        <w:ind w:firstLine="24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四、餐饮卫生</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1、出售的主副食有杂物（苍蝇、烟头、头发、清洁球丝等）或夹生扣2-5分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2、油炸食品有异味扣2分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3、出售霉烂变质食品扣20-50分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4、生熟未分开存放或菜品被严重烧焦、炒糊、盐味过重等现象扣2分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5、剩饭剩菜未及时处理或妥善保存造成损失的扣1分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6、出售食品时不用专用工具直接用手接触的扣1分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7、餐饮工具用后未洗、未洗净或未消毒投入使用或抽检不合格的扣1分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8、荤菜素菜未洗干净使用的扣1分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9、造成食物中毒事故的扣50分。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10、未按采购方要求供应品种或抽样检测不合格的，每天扣2-5分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11、原料、半成品、成品原则上做的日清，确有剩余应按食品安全法要求妥善保管，未及时按规定存放的发现一次扣2分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五、台账记录</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1、仓库进出没有明细的扣2分，管理不到位扣5分。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、设施维护保养不到位扣</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、固定资产及易耗品盘点记录不明的扣2分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、餐券使用或未打卡就餐记录不明的扣5分，并承担相应后果。</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六、安全管理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1、值班人员擅离岗位的扣5分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2、贵重物品未按规定存放，保管造成损失的扣2分，并追究相应责任。</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3、违反操作规程造成事故的扣</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分，并追究相应责任。</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4、餐厅出现安全隐患，未能及时处理的扣3分。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5、故意损害采购方财物设备的扣5分，并追究相应责任。</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6、发生餐厅火灾、重大伤害事故、重大财产损失的，扣50分，并追究相应责任。</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7、按合同要求，全面完成餐饮任务得满分，达不到要求的视情扣分。</w:t>
      </w:r>
      <w:r>
        <w:rPr>
          <w:rFonts w:ascii="宋体" w:hAnsi="宋体" w:eastAsia="宋体" w:cs="Times New Roman"/>
          <w:sz w:val="24"/>
          <w:szCs w:val="24"/>
        </w:rPr>
      </w:r>
      <w:r/>
    </w:p>
    <w:p>
      <w:pPr>
        <w:pStyle w:val="671"/>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七、节能管理</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1、未能及时关闭水电气等设备的扣1-5分</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、私自乱拉乱接的扣1分</w:t>
      </w:r>
      <w:r>
        <w:rPr>
          <w:rFonts w:ascii="宋体" w:hAnsi="宋体" w:eastAsia="宋体" w:cs="Times New Roman"/>
          <w:sz w:val="24"/>
          <w:szCs w:val="24"/>
        </w:rPr>
      </w:r>
      <w:r/>
    </w:p>
    <w:p>
      <w:pPr>
        <w:pStyle w:val="671"/>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备注：以上扣分标准均为每人每次扣分值。</w:t>
      </w:r>
      <w:r>
        <w:rPr>
          <w:rFonts w:ascii="宋体" w:hAnsi="宋体" w:eastAsia="宋体" w:cs="Times New Roman"/>
          <w:sz w:val="24"/>
          <w:szCs w:val="24"/>
        </w:rPr>
      </w:r>
      <w:r/>
    </w:p>
    <w:p>
      <w:pPr>
        <w:pStyle w:val="671"/>
        <w:jc w:val="left"/>
        <w:spacing w:line="360" w:lineRule="auto"/>
        <w:widowControl/>
        <w:rPr>
          <w:rFonts w:ascii="宋体" w:hAnsi="宋体" w:eastAsia="宋体" w:cs="Times New Roman"/>
          <w:b/>
          <w:bCs/>
          <w:sz w:val="24"/>
          <w:szCs w:val="24"/>
        </w:rPr>
      </w:pPr>
      <w:r>
        <w:rPr>
          <w:rFonts w:hint="eastAsia" w:ascii="宋体" w:hAnsi="宋体" w:eastAsia="宋体" w:cs="Times New Roman"/>
          <w:b/>
          <w:bCs/>
          <w:sz w:val="24"/>
          <w:szCs w:val="24"/>
        </w:rPr>
        <w:t xml:space="preserve">（三）有关说明： </w:t>
      </w:r>
      <w:r>
        <w:rPr>
          <w:rFonts w:ascii="宋体" w:hAnsi="宋体" w:eastAsia="宋体" w:cs="Times New Roman"/>
          <w:b/>
          <w:bCs/>
          <w:sz w:val="24"/>
          <w:szCs w:val="24"/>
        </w:rPr>
      </w:r>
      <w:r/>
    </w:p>
    <w:p>
      <w:pPr>
        <w:pStyle w:val="671"/>
        <w:numPr>
          <w:ilvl w:val="0"/>
          <w:numId w:val="16"/>
        </w:numPr>
        <w:ind w:firstLine="480"/>
        <w:spacing w:line="360" w:lineRule="auto"/>
        <w:tabs>
          <w:tab w:val="left" w:pos="52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投标人投标时应充分考虑服务期内所有可能影响到投标的因素（包括最低工资标准和社保基数的政策性调整、税金、保险、国家法定节假日加班费、福利费、高温费等），一旦投标结束最终成交，总价将包定，不予调整。</w:t>
      </w:r>
      <w:r>
        <w:rPr>
          <w:rFonts w:hint="eastAsia" w:ascii="宋体" w:hAnsi="宋体"/>
          <w:bCs/>
          <w:color w:val="000000"/>
          <w:sz w:val="24"/>
          <w:highlight w:val="none"/>
          <w:lang w:val="en-US" w:eastAsia="zh-CN"/>
        </w:rPr>
        <w:t xml:space="preserve">招标代理服务费包含在本项目投标总报价中。</w:t>
      </w:r>
      <w:r>
        <w:rPr>
          <w:rFonts w:hint="eastAsia" w:ascii="宋体" w:hAnsi="宋体" w:eastAsia="宋体" w:cs="Times New Roman"/>
          <w:bCs/>
          <w:sz w:val="24"/>
          <w:szCs w:val="24"/>
        </w:rPr>
        <w:t xml:space="preserve">如发生漏、缺、少项，都将被认为是成交人的投标让利行为，损失自负。拟投入本项目人员中如有按国家规定可不缴纳社保的人员，投标人需提供相关证明材料。</w:t>
      </w:r>
      <w:r>
        <w:rPr>
          <w:rFonts w:ascii="宋体" w:hAnsi="宋体" w:eastAsia="宋体" w:cs="Times New Roman"/>
          <w:bCs/>
          <w:sz w:val="24"/>
          <w:szCs w:val="24"/>
        </w:rPr>
      </w:r>
      <w:r/>
    </w:p>
    <w:p>
      <w:pPr>
        <w:pStyle w:val="671"/>
        <w:ind w:firstLine="480"/>
        <w:spacing w:line="360" w:lineRule="auto"/>
        <w:tabs>
          <w:tab w:val="left" w:pos="52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2、投标人报价时应根据《</w:t>
      </w:r>
      <w:r>
        <w:rPr>
          <w:rFonts w:ascii="Arial" w:hAnsi="Arial" w:eastAsia="Arial" w:cs="Arial"/>
          <w:color w:val="000000"/>
          <w:sz w:val="21"/>
          <w:highlight w:val="none"/>
        </w:rPr>
        <w:t xml:space="preserve">项目管理机构配备情况表</w:t>
      </w:r>
      <w:r>
        <w:rPr>
          <w:rFonts w:hint="eastAsia" w:ascii="宋体" w:hAnsi="宋体" w:eastAsia="宋体" w:cs="Times New Roman"/>
          <w:bCs/>
          <w:sz w:val="24"/>
          <w:szCs w:val="24"/>
        </w:rPr>
        <w:t xml:space="preserve">》分别列出各岗位的人员配置及相应费用。</w:t>
      </w:r>
      <w:r>
        <w:rPr>
          <w:rFonts w:ascii="宋体" w:hAnsi="宋体" w:eastAsia="宋体" w:cs="Times New Roman"/>
          <w:bCs/>
          <w:sz w:val="24"/>
          <w:szCs w:val="24"/>
        </w:rPr>
      </w:r>
      <w:r/>
    </w:p>
    <w:p>
      <w:pPr>
        <w:pStyle w:val="671"/>
        <w:ind w:firstLine="480"/>
        <w:spacing w:line="360" w:lineRule="auto"/>
        <w:tabs>
          <w:tab w:val="left" w:pos="52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3、中标单位应按照相关规定，与所有聘用人员依法签订劳动合同。</w:t>
      </w:r>
      <w:r>
        <w:rPr>
          <w:rFonts w:ascii="宋体" w:hAnsi="宋体" w:eastAsia="宋体" w:cs="Times New Roman"/>
          <w:bCs/>
          <w:sz w:val="24"/>
          <w:szCs w:val="24"/>
        </w:rPr>
      </w:r>
      <w:r/>
    </w:p>
    <w:p>
      <w:pPr>
        <w:pStyle w:val="671"/>
        <w:ind w:firstLine="480"/>
        <w:spacing w:line="360" w:lineRule="auto"/>
        <w:tabs>
          <w:tab w:val="left" w:pos="52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4、服务期限：</w:t>
      </w:r>
      <w:r>
        <w:rPr>
          <w:rFonts w:hint="eastAsia" w:ascii="宋体" w:hAnsi="宋体" w:eastAsia="宋体" w:cs="Times New Roman"/>
          <w:sz w:val="24"/>
          <w:szCs w:val="24"/>
        </w:rPr>
        <w:t xml:space="preserve">合同签订生效后采购方通知服务日期起壹年。</w:t>
      </w:r>
      <w:r>
        <w:rPr>
          <w:rFonts w:ascii="宋体" w:hAnsi="宋体" w:eastAsia="宋体" w:cs="Times New Roman"/>
          <w:bCs/>
          <w:sz w:val="24"/>
          <w:szCs w:val="24"/>
        </w:rPr>
      </w:r>
      <w:r/>
    </w:p>
    <w:p>
      <w:pPr>
        <w:pStyle w:val="671"/>
        <w:ind w:firstLine="480"/>
        <w:spacing w:line="360" w:lineRule="auto"/>
        <w:tabs>
          <w:tab w:val="left" w:pos="52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5、投标人必须在满足招标文件要求的基础上进行报价，如有偏离请于偏离表中说明。</w:t>
      </w:r>
      <w:r>
        <w:rPr>
          <w:rFonts w:ascii="宋体" w:hAnsi="宋体" w:eastAsia="宋体" w:cs="Times New Roman"/>
          <w:bCs/>
          <w:sz w:val="24"/>
          <w:szCs w:val="24"/>
        </w:rPr>
      </w:r>
      <w:r/>
    </w:p>
    <w:p>
      <w:pPr>
        <w:pStyle w:val="671"/>
        <w:ind w:firstLine="480"/>
        <w:spacing w:line="360" w:lineRule="auto"/>
        <w:tabs>
          <w:tab w:val="left" w:pos="525" w:leader="none"/>
          <w:tab w:val="left" w:pos="630" w:leader="none"/>
          <w:tab w:val="left" w:pos="73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6、本项目合同履行地点：无锡市食品安全检验检测中心。</w:t>
      </w:r>
      <w:r>
        <w:rPr>
          <w:rFonts w:ascii="宋体" w:hAnsi="宋体" w:eastAsia="宋体" w:cs="Times New Roman"/>
          <w:bCs/>
          <w:sz w:val="24"/>
          <w:szCs w:val="24"/>
        </w:rPr>
      </w:r>
      <w:r/>
    </w:p>
    <w:p>
      <w:pPr>
        <w:pStyle w:val="671"/>
        <w:ind w:firstLine="480"/>
        <w:spacing w:line="360" w:lineRule="auto"/>
        <w:tabs>
          <w:tab w:val="left" w:pos="525" w:leader="none"/>
          <w:tab w:val="left" w:pos="630" w:leader="none"/>
          <w:tab w:val="left" w:pos="73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ascii="宋体" w:hAnsi="宋体" w:eastAsia="宋体" w:cs="Times New Roman"/>
          <w:bCs/>
          <w:sz w:val="24"/>
          <w:szCs w:val="24"/>
        </w:rPr>
      </w:r>
      <w:r/>
    </w:p>
    <w:p>
      <w:pPr>
        <w:pStyle w:val="671"/>
        <w:ind w:firstLine="480"/>
        <w:spacing w:line="360" w:lineRule="auto"/>
        <w:tabs>
          <w:tab w:val="left" w:pos="525" w:leader="none"/>
          <w:tab w:val="left" w:pos="630" w:leader="none"/>
          <w:tab w:val="left" w:pos="735" w:leader="none"/>
          <w:tab w:val="left" w:pos="945" w:leader="none"/>
        </w:tabs>
        <w:rPr>
          <w:rFonts w:ascii="宋体" w:hAnsi="宋体" w:eastAsia="宋体" w:cs="Times New Roman"/>
          <w:bCs/>
          <w:sz w:val="24"/>
          <w:szCs w:val="24"/>
        </w:rPr>
      </w:pPr>
      <w:r>
        <w:rPr>
          <w:rFonts w:hint="eastAsia" w:ascii="宋体" w:hAnsi="宋体" w:eastAsia="宋体" w:cs="Times New Roman"/>
          <w:bCs/>
          <w:sz w:val="24"/>
          <w:szCs w:val="24"/>
        </w:rPr>
        <w:t xml:space="preserve">8、根据国家扶持中小企业的有关政策，请按锡财购</w:t>
      </w:r>
      <w:r>
        <w:rPr>
          <w:rFonts w:hint="eastAsia" w:ascii="宋体" w:hAnsi="宋体" w:eastAsia="宋体" w:cs="Times New Roman"/>
          <w:bCs/>
          <w:sz w:val="24"/>
          <w:szCs w:val="24"/>
          <w:lang w:eastAsia="zh-CN"/>
        </w:rPr>
        <w:t xml:space="preserve">〔2013〕5号</w:t>
      </w:r>
      <w:r>
        <w:rPr>
          <w:rFonts w:hint="eastAsia" w:ascii="宋体" w:hAnsi="宋体" w:eastAsia="宋体" w:cs="Times New Roman"/>
          <w:bCs/>
          <w:sz w:val="24"/>
          <w:szCs w:val="24"/>
        </w:rPr>
        <w:t xml:space="preserve">文件执行。</w:t>
      </w:r>
      <w:r>
        <w:rPr>
          <w:rFonts w:ascii="宋体" w:hAnsi="宋体" w:eastAsia="宋体" w:cs="Times New Roman"/>
          <w:bCs/>
          <w:sz w:val="24"/>
          <w:szCs w:val="24"/>
        </w:rPr>
      </w:r>
      <w:r/>
    </w:p>
    <w:p>
      <w:pPr>
        <w:pStyle w:val="671"/>
        <w:ind w:firstLine="480"/>
        <w:jc w:val="left"/>
        <w:keepLines w:val="0"/>
        <w:keepNext w:val="0"/>
        <w:pageBreakBefore w:val="0"/>
        <w:spacing w:line="360" w:lineRule="auto"/>
        <w:widowControl w:val="off"/>
        <w:rPr>
          <w:rFonts w:ascii="宋体" w:hAnsi="宋体" w:eastAsia="宋体" w:cs="宋体"/>
          <w:color w:val="000000"/>
          <w:sz w:val="24"/>
          <w:szCs w:val="24"/>
          <w:highlight w:val="none"/>
          <w:u w:val="none"/>
          <w:lang w:val="en-US" w:eastAsia="zh-CN" w:bidi="ar-SA"/>
        </w:rPr>
      </w:pPr>
      <w:r>
        <w:rPr>
          <w:rFonts w:hint="eastAsia" w:ascii="宋体" w:hAnsi="宋体" w:eastAsia="宋体" w:cs="Times New Roman"/>
          <w:bCs/>
          <w:sz w:val="24"/>
          <w:szCs w:val="24"/>
        </w:rPr>
        <w:t xml:space="preserve">9、中标供应商为残疾人福利性单位的，其《残疾人福利性单位声明函》将随中标公告同时发布，接受社会监督。投标人提供的《残疾人福利性单位声明函》与事实不符的，依照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bCs/>
          <w:sz w:val="24"/>
          <w:szCs w:val="24"/>
          <w:lang w:eastAsia="zh-CN"/>
        </w:rPr>
        <w:t xml:space="preserve">《中华人民共和国政府采购法》</w:t>
      </w:r>
      <w:r>
        <w:rPr>
          <w:rFonts w:hint="eastAsia" w:ascii="宋体" w:hAnsi="宋体" w:eastAsia="宋体" w:cs="Times New Roman"/>
          <w:bCs/>
          <w:sz w:val="24"/>
          <w:szCs w:val="24"/>
        </w:rPr>
        <w:t xml:space="preserve">第七十七条第一款的规定追究法律责任。</w:t>
      </w:r>
      <w:r>
        <w:rPr>
          <w:rFonts w:ascii="宋体" w:hAnsi="宋体" w:eastAsia="宋体" w:cs="宋体"/>
          <w:color w:val="000000"/>
          <w:sz w:val="24"/>
          <w:szCs w:val="24"/>
          <w:highlight w:val="none"/>
          <w:u w:val="none"/>
          <w:lang w:val="en-US" w:eastAsia="zh-CN" w:bidi="ar-SA"/>
        </w:rPr>
      </w:r>
      <w:r/>
    </w:p>
    <w:p>
      <w:pPr>
        <w:pStyle w:val="671"/>
        <w:spacing w:line="360" w:lineRule="auto"/>
        <w:rPr>
          <w:color w:val="000000"/>
          <w:highlight w:val="none"/>
        </w:rPr>
      </w:pPr>
      <w:r>
        <w:rPr>
          <w:rFonts w:hint="eastAsia" w:ascii="宋体" w:hAnsi="宋体"/>
          <w:bCs/>
          <w:color w:val="000000"/>
          <w:sz w:val="24"/>
          <w:highlight w:val="none"/>
        </w:rPr>
        <w:br w:type="page" w:clear="all"/>
      </w:r>
      <w:r>
        <w:rPr>
          <w:color w:val="000000"/>
          <w:highlight w:val="none"/>
        </w:rPr>
      </w:r>
      <w:r/>
    </w:p>
    <w:p>
      <w:pPr>
        <w:pStyle w:val="671"/>
        <w:ind w:firstLine="560"/>
        <w:jc w:val="center"/>
        <w:spacing w:line="360" w:lineRule="auto"/>
        <w:rPr>
          <w:rFonts w:hint="eastAsia" w:ascii="黑体" w:hAnsi="宋体" w:eastAsia="黑体"/>
          <w:b/>
          <w:color w:val="000000"/>
          <w:sz w:val="28"/>
          <w:szCs w:val="28"/>
          <w:highlight w:val="none"/>
        </w:rPr>
        <w:outlineLvl w:val="0"/>
      </w:pPr>
      <w:r/>
      <w:bookmarkStart w:id="5" w:name="_Toc24542"/>
      <w:r>
        <w:rPr>
          <w:rFonts w:hint="eastAsia" w:ascii="黑体" w:eastAsia="黑体"/>
          <w:bCs/>
          <w:color w:val="000000"/>
          <w:sz w:val="28"/>
          <w:szCs w:val="28"/>
          <w:highlight w:val="none"/>
        </w:rPr>
        <w:t xml:space="preserve">四</w:t>
      </w:r>
      <w:r>
        <w:rPr>
          <w:rFonts w:hint="eastAsia" w:ascii="黑体" w:eastAsia="黑体"/>
          <w:bCs/>
          <w:color w:val="000000"/>
          <w:sz w:val="28"/>
          <w:szCs w:val="28"/>
          <w:highlight w:val="none"/>
          <w:lang w:eastAsia="zh-CN"/>
        </w:rPr>
        <w:t xml:space="preserve">、</w:t>
      </w:r>
      <w:r>
        <w:rPr>
          <w:rFonts w:hint="eastAsia" w:ascii="黑体" w:hAnsi="宋体" w:eastAsia="黑体"/>
          <w:b/>
          <w:color w:val="000000"/>
          <w:sz w:val="28"/>
          <w:szCs w:val="28"/>
          <w:highlight w:val="none"/>
        </w:rPr>
        <w:t xml:space="preserve">合同书（</w:t>
      </w:r>
      <w:r>
        <w:rPr>
          <w:rFonts w:hint="eastAsia" w:ascii="黑体" w:hAnsi="宋体" w:eastAsia="黑体"/>
          <w:color w:val="000000"/>
          <w:sz w:val="28"/>
          <w:szCs w:val="28"/>
          <w:highlight w:val="none"/>
        </w:rPr>
        <w:t xml:space="preserve">格式文本</w:t>
      </w:r>
      <w:r>
        <w:rPr>
          <w:rFonts w:hint="eastAsia" w:ascii="黑体" w:hAnsi="宋体" w:eastAsia="黑体"/>
          <w:b/>
          <w:color w:val="000000"/>
          <w:sz w:val="28"/>
          <w:szCs w:val="28"/>
          <w:highlight w:val="none"/>
        </w:rPr>
        <w:t xml:space="preserve">）</w:t>
      </w:r>
      <w:bookmarkEnd w:id="5"/>
      <w:r>
        <w:rPr>
          <w:rFonts w:hint="eastAsia" w:ascii="黑体" w:hAnsi="宋体" w:eastAsia="黑体"/>
          <w:b/>
          <w:color w:val="000000"/>
          <w:sz w:val="28"/>
          <w:szCs w:val="28"/>
          <w:highlight w:val="none"/>
        </w:rPr>
      </w:r>
      <w:r/>
    </w:p>
    <w:p>
      <w:pPr>
        <w:pStyle w:val="671"/>
        <w:ind w:firstLine="480"/>
        <w:spacing w:line="400" w:lineRule="exact"/>
        <w:rPr>
          <w:rFonts w:ascii="黑体" w:eastAsia="黑体"/>
          <w:b/>
          <w:color w:val="000000"/>
          <w:sz w:val="28"/>
          <w:szCs w:val="28"/>
          <w:highlight w:val="none"/>
        </w:rPr>
      </w:pPr>
      <w:r>
        <w:rPr>
          <w:rFonts w:hint="eastAsia" w:ascii="宋体" w:hAnsi="宋体"/>
          <w:b/>
          <w:color w:val="000000"/>
          <w:sz w:val="24"/>
          <w:szCs w:val="24"/>
          <w:highlight w:val="none"/>
        </w:rPr>
        <w:t xml:space="preserve">根据《中华人民共和国政府采购法》及相关法规、《中华人民共和国民法典》，遵循平等、自愿、公平和诚实信用的原则，</w:t>
      </w:r>
      <w:r>
        <w:rPr>
          <w:rFonts w:hint="eastAsia" w:ascii="宋体" w:hAnsi="宋体"/>
          <w:b/>
          <w:color w:val="000000"/>
          <w:sz w:val="24"/>
          <w:szCs w:val="24"/>
          <w:highlight w:val="none"/>
          <w:lang w:val="en-US" w:eastAsia="zh-CN"/>
        </w:rPr>
        <w:t xml:space="preserve">甲乙</w:t>
      </w:r>
      <w:r>
        <w:rPr>
          <w:rFonts w:hint="eastAsia" w:ascii="宋体" w:hAnsi="宋体"/>
          <w:b/>
          <w:color w:val="000000"/>
          <w:sz w:val="24"/>
          <w:szCs w:val="24"/>
          <w:highlight w:val="none"/>
        </w:rPr>
        <w:t xml:space="preserve">双方就</w:t>
      </w:r>
      <w:r>
        <w:rPr>
          <w:rFonts w:hint="eastAsia" w:ascii="宋体" w:hAnsi="宋体"/>
          <w:b/>
          <w:color w:val="000000"/>
          <w:sz w:val="24"/>
          <w:szCs w:val="24"/>
          <w:highlight w:val="none"/>
          <w:u w:val="single"/>
        </w:rPr>
        <w:t xml:space="preserve">           项目</w:t>
      </w:r>
      <w:r>
        <w:rPr>
          <w:rFonts w:hint="eastAsia" w:ascii="宋体" w:hAnsi="宋体"/>
          <w:b/>
          <w:color w:val="000000"/>
          <w:sz w:val="24"/>
          <w:szCs w:val="24"/>
          <w:highlight w:val="none"/>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rPr>
        <w:t xml:space="preserve">）实施及有关事项协商一致，共同达成如下协议：</w:t>
      </w:r>
      <w:r>
        <w:rPr>
          <w:rFonts w:ascii="黑体" w:eastAsia="黑体"/>
          <w:b/>
          <w:color w:val="000000"/>
          <w:sz w:val="28"/>
          <w:szCs w:val="28"/>
          <w:highlight w:val="none"/>
        </w:rPr>
      </w:r>
      <w:r/>
    </w:p>
    <w:p>
      <w:pPr>
        <w:pStyle w:val="671"/>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甲</w:t>
      </w:r>
      <w:r>
        <w:rPr>
          <w:rFonts w:hint="eastAsia" w:ascii="宋体" w:hAnsi="宋体" w:cs="宋体"/>
          <w:bCs/>
          <w:color w:val="000000"/>
          <w:sz w:val="24"/>
          <w:highlight w:val="none"/>
        </w:rPr>
        <w:t xml:space="preserve">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71"/>
        <w:spacing w:line="4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一、政府采购编号：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二、采购内容：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三、中标总金额：（</w:t>
      </w:r>
      <w:r>
        <w:rPr>
          <w:rFonts w:hint="eastAsia" w:ascii="宋体" w:hAnsi="宋体" w:cs="宋体"/>
          <w:bCs/>
          <w:color w:val="000000"/>
          <w:sz w:val="24"/>
          <w:highlight w:val="none"/>
          <w:u w:val="single"/>
        </w:rPr>
        <w:t xml:space="preserve">大写）：                   ；（小写）：        元；</w:t>
      </w:r>
      <w:r>
        <w:rPr>
          <w:rFonts w:hint="eastAsia" w:ascii="宋体" w:hAnsi="宋体" w:cs="宋体"/>
          <w:bCs/>
          <w:color w:val="000000"/>
          <w:sz w:val="24"/>
          <w:highlight w:val="none"/>
          <w:u w:val="singl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四、质量要求及验收标准：</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671"/>
        <w:ind w:firstLine="480"/>
        <w:spacing w:line="400" w:lineRule="exact"/>
        <w:tabs>
          <w:tab w:val="left" w:pos="840" w:leader="none"/>
          <w:tab w:val="left" w:pos="1155" w:leader="none"/>
        </w:tabs>
        <w:rPr>
          <w:rFonts w:hint="eastAsia" w:ascii="宋体" w:hAnsi="宋体" w:eastAsia="宋体" w:cs="宋体"/>
          <w:bCs/>
          <w:color w:val="000000"/>
          <w:sz w:val="24"/>
          <w:highlight w:val="none"/>
          <w:u w:val="single"/>
        </w:rPr>
      </w:pPr>
      <w:r>
        <w:rPr>
          <w:rFonts w:hint="eastAsia" w:ascii="宋体" w:hAnsi="宋体" w:cs="宋体"/>
          <w:bCs/>
          <w:color w:val="000000"/>
          <w:sz w:val="24"/>
          <w:highlight w:val="none"/>
        </w:rPr>
        <w:t xml:space="preserve">五、服务期或完工期：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六、服务地点和方式：</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rPr>
        <w:t xml:space="preserve">；</w:t>
      </w:r>
      <w:r>
        <w:rPr>
          <w:rFonts w:hint="eastAsia" w:ascii="宋体" w:hAnsi="宋体" w:cs="宋体"/>
          <w:bCs/>
          <w:color w:val="000000"/>
          <w:sz w:val="24"/>
          <w:highlight w:val="none"/>
          <w:u w:val="single"/>
        </w:rPr>
      </w:r>
      <w:r/>
    </w:p>
    <w:p>
      <w:pPr>
        <w:pStyle w:val="671"/>
        <w:ind w:firstLine="480"/>
        <w:spacing w:line="400" w:lineRule="exact"/>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七、服务费支付步骤和办法：</w:t>
      </w:r>
      <w:r>
        <w:rPr>
          <w:rFonts w:hint="eastAsia" w:ascii="宋体" w:hAnsi="宋体" w:cs="宋体"/>
          <w:b/>
          <w:bCs/>
          <w:color w:val="000000"/>
          <w:sz w:val="24"/>
          <w:highlight w:val="none"/>
          <w:u w:val="single"/>
          <w:lang w:eastAsia="zh-CN"/>
        </w:rPr>
        <w:t xml:space="preserve">成交后，经采购单位每月考核合格后，按月结算，中标方应当于每月的月初出具上月结算发票，采购单位最晚应当于次月的30日前付款。连续三个月考核不合格者（考核得分低于70分），采购方有权依照法律程序解除合同，并追究供方的违约责任。</w:t>
      </w:r>
      <w:r>
        <w:rPr>
          <w:rFonts w:hint="eastAsia" w:ascii="宋体" w:hAnsi="宋体" w:eastAsia="宋体" w:cs="宋体"/>
          <w:color w:val="000000"/>
          <w:sz w:val="24"/>
          <w:highlight w:val="none"/>
          <w:lang w:eastAsia="zh-CN"/>
        </w:rPr>
      </w:r>
      <w:r/>
    </w:p>
    <w:p>
      <w:pPr>
        <w:pStyle w:val="671"/>
        <w:ind w:firstLine="480"/>
        <w:spacing w:line="400" w:lineRule="exact"/>
        <w:tabs>
          <w:tab w:val="left" w:pos="0" w:leader="none"/>
          <w:tab w:val="left" w:pos="1260" w:leader="none"/>
        </w:tabs>
        <w:rPr>
          <w:rFonts w:hint="eastAsia" w:ascii="宋体" w:hAnsi="宋体"/>
          <w:bCs/>
          <w:color w:val="000000"/>
          <w:sz w:val="24"/>
          <w:highlight w:val="none"/>
        </w:rPr>
      </w:pPr>
      <w:r>
        <w:rPr>
          <w:rFonts w:hint="eastAsia" w:ascii="宋体" w:hAnsi="宋体"/>
          <w:b/>
          <w:color w:val="000000"/>
          <w:sz w:val="24"/>
          <w:highlight w:val="none"/>
        </w:rPr>
        <w:t xml:space="preserve">八、违约责任：</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671"/>
        <w:ind w:firstLine="480"/>
        <w:spacing w:line="400" w:lineRule="exact"/>
        <w:tabs>
          <w:tab w:val="left" w:pos="0" w:leader="none"/>
          <w:tab w:val="left" w:pos="1260" w:leader="none"/>
        </w:tabs>
        <w:rPr>
          <w:rFonts w:hint="eastAsia" w:ascii="宋体" w:hAnsi="宋体"/>
          <w:bCs/>
          <w:color w:val="000000"/>
          <w:sz w:val="24"/>
          <w:szCs w:val="24"/>
          <w:highlight w:val="none"/>
          <w:u w:val="single"/>
        </w:rPr>
      </w:pPr>
      <w:r>
        <w:rPr>
          <w:rFonts w:hint="eastAsia" w:ascii="宋体" w:hAnsi="宋体"/>
          <w:b/>
          <w:bCs/>
          <w:color w:val="000000"/>
          <w:sz w:val="24"/>
          <w:highlight w:val="none"/>
        </w:rPr>
        <w:t xml:space="preserve">九、其他</w:t>
      </w:r>
      <w:r>
        <w:rPr>
          <w:rFonts w:hint="eastAsia" w:ascii="宋体" w:hAnsi="宋体"/>
          <w:b/>
          <w:color w:val="000000"/>
          <w:sz w:val="24"/>
          <w:highlight w:val="none"/>
        </w:rPr>
        <w:t xml:space="preserve">事项：</w:t>
      </w:r>
      <w:r>
        <w:rPr>
          <w:rFonts w:hint="eastAsia" w:ascii="宋体" w:hAnsi="宋体"/>
          <w:bCs/>
          <w:color w:val="000000"/>
          <w:sz w:val="24"/>
          <w:szCs w:val="24"/>
          <w:highlight w:val="none"/>
          <w:u w:val="single"/>
        </w:rPr>
        <w:t xml:space="preserve">详见合同条款； </w:t>
      </w:r>
      <w:r>
        <w:rPr>
          <w:rFonts w:hint="eastAsia" w:ascii="宋体" w:hAnsi="宋体"/>
          <w:bCs/>
          <w:color w:val="000000"/>
          <w:sz w:val="24"/>
          <w:szCs w:val="24"/>
          <w:highlight w:val="none"/>
          <w:u w:val="single"/>
        </w:rPr>
      </w:r>
      <w:r/>
    </w:p>
    <w:p>
      <w:pPr>
        <w:pStyle w:val="671"/>
        <w:ind w:firstLine="480"/>
        <w:jc w:val="left"/>
        <w:spacing w:line="400" w:lineRule="exact"/>
        <w:widowControl/>
        <w:rPr>
          <w:rFonts w:hint="eastAsia" w:ascii="宋体" w:hAnsi="宋体"/>
          <w:bCs/>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szCs w:val="24"/>
          <w:highlight w:val="none"/>
        </w:rPr>
        <w:t xml:space="preserve">解决争议的方式：</w:t>
      </w:r>
      <w:r>
        <w:rPr>
          <w:rFonts w:hint="eastAsia" w:ascii="宋体" w:hAnsi="宋体"/>
          <w:bCs/>
          <w:color w:val="000000"/>
          <w:sz w:val="24"/>
          <w:szCs w:val="24"/>
          <w:highlight w:val="none"/>
          <w:u w:val="single"/>
        </w:rPr>
        <w:t xml:space="preserve">详见合同条款；</w:t>
      </w:r>
      <w:r>
        <w:rPr>
          <w:rFonts w:hint="eastAsia" w:ascii="宋体" w:hAnsi="宋体"/>
          <w:bCs/>
          <w:color w:val="000000"/>
          <w:sz w:val="24"/>
          <w:highlight w:val="none"/>
        </w:rPr>
      </w:r>
      <w:r/>
    </w:p>
    <w:p>
      <w:pPr>
        <w:pStyle w:val="671"/>
        <w:ind w:firstLine="480"/>
        <w:jc w:val="left"/>
        <w:spacing w:line="400" w:lineRule="exact"/>
        <w:widowControl/>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十一、</w:t>
      </w:r>
      <w:r>
        <w:rPr>
          <w:rFonts w:hint="eastAsia" w:ascii="宋体" w:hAnsi="宋体" w:cs="宋体"/>
          <w:bCs/>
          <w:color w:val="000000"/>
          <w:sz w:val="24"/>
          <w:highlight w:val="none"/>
        </w:rPr>
        <w:t xml:space="preserve">合同不可分割部分：招标文件、投标文件、合同条款及中标通知书，供方在投标、评标过程中所作其他有关承诺、声明、书面澄清等均为合同不可分割的部分，与主合同具有同等法律效力。</w:t>
      </w:r>
      <w:r>
        <w:rPr>
          <w:rFonts w:hint="eastAsia" w:ascii="宋体" w:hAnsi="宋体"/>
          <w:bCs/>
          <w:color w:val="000000"/>
          <w:sz w:val="24"/>
          <w:szCs w:val="24"/>
          <w:highlight w:val="none"/>
          <w:u w:val="singl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十二、合同备案：合同一式五份，</w:t>
      </w:r>
      <w:r>
        <w:rPr>
          <w:rFonts w:hint="eastAsia" w:ascii="宋体" w:hAnsi="宋体" w:cs="宋体"/>
          <w:bCs/>
          <w:color w:val="000000"/>
          <w:sz w:val="24"/>
          <w:highlight w:val="none"/>
          <w:lang w:val="en-US" w:eastAsia="zh-CN"/>
        </w:rPr>
        <w:t xml:space="preserve">甲乙</w:t>
      </w:r>
      <w:r>
        <w:rPr>
          <w:rFonts w:hint="eastAsia" w:ascii="宋体" w:hAnsi="宋体" w:cs="宋体"/>
          <w:bCs/>
          <w:color w:val="000000"/>
          <w:sz w:val="24"/>
          <w:highlight w:val="none"/>
        </w:rPr>
        <w:t xml:space="preserve">双方各执二份，见证方一份。</w:t>
      </w:r>
      <w:r>
        <w:rPr>
          <w:rFonts w:hint="eastAsia" w:ascii="宋体" w:hAnsi="宋体" w:cs="宋体"/>
          <w:bCs/>
          <w:color w:val="000000"/>
          <w:sz w:val="24"/>
          <w:highlight w:val="none"/>
        </w:rPr>
      </w:r>
      <w:r/>
    </w:p>
    <w:p>
      <w:pPr>
        <w:pStyle w:val="671"/>
        <w:ind w:firstLine="480"/>
        <w:spacing w:line="400" w:lineRule="exact"/>
        <w:tabs>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十三、合同生效：本合同由</w:t>
      </w:r>
      <w:r>
        <w:rPr>
          <w:rFonts w:hint="eastAsia" w:ascii="宋体" w:hAnsi="宋体" w:cs="宋体"/>
          <w:bCs/>
          <w:color w:val="000000"/>
          <w:sz w:val="24"/>
          <w:highlight w:val="none"/>
          <w:lang w:val="en-US" w:eastAsia="zh-CN"/>
        </w:rPr>
        <w:t xml:space="preserve">甲乙</w:t>
      </w:r>
      <w:r>
        <w:rPr>
          <w:rFonts w:hint="eastAsia" w:ascii="宋体" w:hAnsi="宋体" w:cs="宋体"/>
          <w:bCs/>
          <w:color w:val="000000"/>
          <w:sz w:val="24"/>
          <w:highlight w:val="none"/>
        </w:rPr>
        <w:t xml:space="preserve">双方签字</w:t>
      </w:r>
      <w:r>
        <w:rPr>
          <w:rFonts w:hint="eastAsia" w:ascii="宋体" w:hAnsi="宋体" w:cs="宋体"/>
          <w:bCs/>
          <w:color w:val="000000"/>
          <w:sz w:val="24"/>
          <w:highlight w:val="none"/>
          <w:lang w:val="en-US" w:eastAsia="zh-CN"/>
        </w:rPr>
        <w:t xml:space="preserve">或</w:t>
      </w:r>
      <w:r>
        <w:rPr>
          <w:rFonts w:hint="eastAsia" w:ascii="宋体" w:hAnsi="宋体" w:cs="宋体"/>
          <w:bCs/>
          <w:color w:val="000000"/>
          <w:sz w:val="24"/>
          <w:highlight w:val="none"/>
        </w:rPr>
        <w:t xml:space="preserve">盖章后生效。</w:t>
      </w:r>
      <w:r>
        <w:rPr>
          <w:rFonts w:hint="eastAsia" w:ascii="宋体" w:hAnsi="宋体" w:cs="宋体"/>
          <w:bCs/>
          <w:color w:val="000000"/>
          <w:sz w:val="24"/>
          <w:highlight w:val="none"/>
        </w:rPr>
      </w:r>
      <w:r/>
    </w:p>
    <w:p>
      <w:pPr>
        <w:pStyle w:val="987"/>
        <w:rPr>
          <w:color w:val="000000"/>
          <w:highlight w:val="none"/>
        </w:rPr>
      </w:pPr>
      <w:r>
        <w:rPr>
          <w:color w:val="000000"/>
          <w:highlight w:val="none"/>
        </w:rPr>
      </w:r>
      <w:r/>
    </w:p>
    <w:p>
      <w:pPr>
        <w:pStyle w:val="671"/>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甲</w:t>
      </w:r>
      <w:r>
        <w:rPr>
          <w:rFonts w:hint="eastAsia" w:ascii="宋体" w:hAnsi="宋体" w:cs="宋体"/>
          <w:bCs/>
          <w:color w:val="000000"/>
          <w:sz w:val="24"/>
          <w:highlight w:val="none"/>
        </w:rPr>
        <w:t xml:space="preserve">方（采购人）：（盖章）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方（中标方）：（盖章）</w:t>
      </w:r>
      <w:r>
        <w:rPr>
          <w:rFonts w:hint="eastAsia" w:ascii="宋体" w:hAnsi="宋体" w:cs="宋体"/>
          <w:bCs/>
          <w:color w:val="000000"/>
          <w:sz w:val="24"/>
          <w:highlight w:val="none"/>
          <w:u w:val="single"/>
        </w:rPr>
      </w:r>
      <w:r/>
    </w:p>
    <w:p>
      <w:pPr>
        <w:pStyle w:val="671"/>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                        法定（授权）代表人：</w:t>
      </w:r>
      <w:r>
        <w:rPr>
          <w:rFonts w:hint="eastAsia" w:ascii="宋体" w:hAnsi="宋体" w:cs="宋体"/>
          <w:bCs/>
          <w:color w:val="000000"/>
          <w:sz w:val="24"/>
          <w:highlight w:val="none"/>
          <w:u w:val="single"/>
        </w:rPr>
      </w:r>
      <w:r/>
    </w:p>
    <w:p>
      <w:pPr>
        <w:pStyle w:val="671"/>
        <w:ind w:firstLine="8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年  月  日                              年  月  日</w:t>
      </w:r>
      <w:r>
        <w:rPr>
          <w:rFonts w:hint="eastAsia" w:ascii="宋体" w:hAnsi="宋体" w:cs="宋体"/>
          <w:bCs/>
          <w:color w:val="000000"/>
          <w:sz w:val="24"/>
          <w:highlight w:val="none"/>
          <w:u w:val="single"/>
        </w:rPr>
      </w:r>
      <w:r/>
    </w:p>
    <w:p>
      <w:pPr>
        <w:pStyle w:val="671"/>
        <w:ind w:firstLine="32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方户名：</w:t>
      </w:r>
      <w:r>
        <w:rPr>
          <w:rFonts w:hint="eastAsia" w:ascii="宋体" w:hAnsi="宋体" w:cs="宋体"/>
          <w:bCs/>
          <w:color w:val="000000"/>
          <w:sz w:val="24"/>
          <w:highlight w:val="none"/>
          <w:u w:val="single"/>
        </w:rPr>
      </w:r>
      <w:r/>
    </w:p>
    <w:p>
      <w:pPr>
        <w:pStyle w:val="671"/>
        <w:ind w:firstLine="5040"/>
        <w:spacing w:line="4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方开户银行：</w:t>
      </w:r>
      <w:r>
        <w:rPr>
          <w:rFonts w:hint="eastAsia" w:ascii="宋体" w:hAnsi="宋体" w:cs="宋体"/>
          <w:bCs/>
          <w:color w:val="000000"/>
          <w:sz w:val="24"/>
          <w:highlight w:val="none"/>
          <w:u w:val="single"/>
        </w:rPr>
      </w:r>
      <w:r/>
    </w:p>
    <w:p>
      <w:pPr>
        <w:pStyle w:val="671"/>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乙</w:t>
      </w:r>
      <w:r>
        <w:rPr>
          <w:rFonts w:hint="eastAsia" w:ascii="宋体" w:hAnsi="宋体" w:cs="宋体"/>
          <w:bCs/>
          <w:color w:val="000000"/>
          <w:sz w:val="24"/>
          <w:highlight w:val="none"/>
        </w:rPr>
        <w:t xml:space="preserve">方账号：</w:t>
      </w:r>
      <w:r>
        <w:rPr>
          <w:rFonts w:hint="eastAsia" w:ascii="宋体" w:hAnsi="宋体" w:cs="宋体"/>
          <w:bCs/>
          <w:color w:val="000000"/>
          <w:sz w:val="24"/>
          <w:highlight w:val="none"/>
        </w:rPr>
      </w:r>
      <w:r/>
    </w:p>
    <w:p>
      <w:pPr>
        <w:pStyle w:val="671"/>
        <w:spacing w:line="460" w:lineRule="exact"/>
        <w:rPr>
          <w:rFonts w:hint="eastAsia" w:ascii="黑体" w:hAnsi="黑体" w:eastAsia="黑体"/>
          <w:bCs/>
          <w:color w:val="000000"/>
          <w:sz w:val="28"/>
          <w:szCs w:val="28"/>
          <w:highlight w:val="none"/>
        </w:rPr>
      </w:pPr>
      <w:r>
        <w:rPr>
          <w:rFonts w:hint="eastAsia" w:ascii="宋体" w:hAnsi="宋体" w:cs="宋体"/>
          <w:bCs/>
          <w:color w:val="000000"/>
          <w:sz w:val="24"/>
          <w:highlight w:val="none"/>
        </w:rPr>
        <w:t xml:space="preserve">见证方（公章）：                          日期：</w:t>
      </w:r>
      <w:r>
        <w:rPr>
          <w:rFonts w:hint="eastAsia" w:ascii="黑体" w:hAnsi="黑体" w:eastAsia="黑体"/>
          <w:bCs/>
          <w:color w:val="000000"/>
          <w:sz w:val="28"/>
          <w:szCs w:val="28"/>
          <w:highlight w:val="none"/>
        </w:rPr>
      </w:r>
      <w:r/>
    </w:p>
    <w:p>
      <w:pPr>
        <w:pStyle w:val="671"/>
        <w:rPr>
          <w:rFonts w:hint="eastAsia" w:ascii="黑体" w:hAnsi="黑体" w:eastAsia="黑体"/>
          <w:bCs/>
          <w:color w:val="000000"/>
          <w:sz w:val="28"/>
          <w:szCs w:val="28"/>
          <w:highlight w:val="none"/>
        </w:rPr>
      </w:pPr>
      <w:r>
        <w:rPr>
          <w:rFonts w:hint="eastAsia" w:ascii="黑体" w:hAnsi="黑体" w:eastAsia="黑体"/>
          <w:bCs/>
          <w:color w:val="000000"/>
          <w:sz w:val="28"/>
          <w:szCs w:val="28"/>
          <w:highlight w:val="none"/>
        </w:rPr>
        <w:br w:type="page" w:clear="all"/>
      </w:r>
      <w:r>
        <w:rPr>
          <w:rFonts w:hint="eastAsia" w:ascii="黑体" w:hAnsi="黑体" w:eastAsia="黑体"/>
          <w:bCs/>
          <w:color w:val="000000"/>
          <w:sz w:val="28"/>
          <w:szCs w:val="28"/>
          <w:highlight w:val="none"/>
        </w:rPr>
      </w:r>
      <w:r/>
    </w:p>
    <w:p>
      <w:pPr>
        <w:pStyle w:val="671"/>
        <w:jc w:val="center"/>
        <w:rPr>
          <w:rFonts w:hint="eastAsia" w:ascii="黑体" w:hAnsi="黑体" w:eastAsia="黑体"/>
          <w:bCs/>
          <w:color w:val="000000"/>
          <w:sz w:val="28"/>
          <w:szCs w:val="28"/>
          <w:highlight w:val="none"/>
        </w:rPr>
        <w:outlineLvl w:val="0"/>
      </w:pPr>
      <w:r/>
      <w:bookmarkStart w:id="6" w:name="_Toc27478"/>
      <w:r>
        <w:rPr>
          <w:rFonts w:hint="eastAsia" w:ascii="黑体" w:hAnsi="黑体" w:eastAsia="黑体"/>
          <w:bCs/>
          <w:color w:val="000000"/>
          <w:sz w:val="28"/>
          <w:szCs w:val="28"/>
          <w:highlight w:val="none"/>
          <w:lang w:val="en-US" w:eastAsia="zh-CN"/>
        </w:rPr>
        <w:t xml:space="preserve">五、</w:t>
      </w:r>
      <w:r>
        <w:rPr>
          <w:rFonts w:hint="eastAsia" w:ascii="黑体" w:hAnsi="黑体" w:eastAsia="黑体"/>
          <w:bCs/>
          <w:color w:val="000000"/>
          <w:sz w:val="28"/>
          <w:szCs w:val="28"/>
          <w:highlight w:val="none"/>
        </w:rPr>
        <w:t xml:space="preserve">合同条款</w:t>
      </w:r>
      <w:bookmarkEnd w:id="6"/>
      <w:r>
        <w:rPr>
          <w:rFonts w:hint="eastAsia" w:ascii="黑体" w:hAnsi="黑体" w:eastAsia="黑体"/>
          <w:bCs/>
          <w:color w:val="000000"/>
          <w:sz w:val="28"/>
          <w:szCs w:val="28"/>
          <w:highlight w:val="none"/>
          <w:lang w:eastAsia="zh-CN"/>
        </w:rPr>
        <w:t xml:space="preserve">（</w:t>
      </w:r>
      <w:r>
        <w:rPr>
          <w:rFonts w:hint="eastAsia" w:ascii="黑体" w:hAnsi="Calibri" w:eastAsia="黑体"/>
          <w:bCs/>
          <w:color w:val="000000"/>
          <w:sz w:val="28"/>
          <w:szCs w:val="28"/>
          <w:highlight w:val="none"/>
        </w:rPr>
        <w:t xml:space="preserve">格式文本</w:t>
      </w:r>
      <w:r>
        <w:rPr>
          <w:rFonts w:hint="eastAsia" w:ascii="黑体" w:hAnsi="Calibri" w:eastAsia="黑体"/>
          <w:bCs/>
          <w:color w:val="000000"/>
          <w:sz w:val="28"/>
          <w:szCs w:val="28"/>
          <w:highlight w:val="none"/>
          <w:lang w:eastAsia="zh-CN"/>
        </w:rPr>
        <w:t xml:space="preserve">）</w:t>
      </w:r>
      <w:r>
        <w:rPr>
          <w:rFonts w:hint="eastAsia" w:ascii="黑体" w:hAnsi="黑体" w:eastAsia="黑体"/>
          <w:bCs/>
          <w:color w:val="000000"/>
          <w:sz w:val="28"/>
          <w:szCs w:val="28"/>
          <w:highlight w:val="none"/>
        </w:rPr>
      </w:r>
      <w:r/>
    </w:p>
    <w:p>
      <w:pPr>
        <w:pStyle w:val="671"/>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（根据相关法律规定以及招标文件确定事项订立）</w:t>
      </w:r>
      <w:r>
        <w:rPr>
          <w:rFonts w:hint="eastAsia" w:ascii="宋体" w:hAnsi="宋体"/>
          <w:bCs/>
          <w:color w:val="000000"/>
          <w:sz w:val="24"/>
          <w:szCs w:val="24"/>
          <w:highlight w:val="none"/>
        </w:rPr>
      </w:r>
      <w:r/>
    </w:p>
    <w:p>
      <w:pPr>
        <w:pStyle w:val="671"/>
        <w:ind w:firstLine="420"/>
        <w:jc w:val="left"/>
        <w:spacing w:line="40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zh-CN"/>
        </w:rPr>
        <w:t xml:space="preserve">根据《中华人民共和国政府采购法》《中华人民共和国民法典》等法律法规的规定，甲乙双方按照采购结果签订本合同。</w:t>
      </w:r>
      <w:r>
        <w:rPr>
          <w:rFonts w:hint="eastAsia" w:ascii="宋体" w:hAnsi="宋体" w:cs="宋体"/>
          <w:color w:val="000000"/>
          <w:sz w:val="24"/>
          <w:highlight w:val="none"/>
        </w:rPr>
        <w:t xml:space="preserve">在合同有效期间，甲、乙双方必须遵守国家法律、法规和履行本合同条款，以保护甲、乙双方的合法权益不受侵犯。</w:t>
      </w:r>
      <w:r>
        <w:rPr>
          <w:rFonts w:ascii="宋体" w:hAnsi="宋体" w:eastAsia="宋体" w:cs="Times New Roman"/>
          <w:color w:val="000000"/>
          <w:sz w:val="24"/>
          <w:highlight w:val="none"/>
        </w:rPr>
      </w:r>
      <w:r/>
    </w:p>
    <w:p>
      <w:pPr>
        <w:pStyle w:val="671"/>
        <w:spacing w:line="400" w:lineRule="exact"/>
        <w:rPr>
          <w:rFonts w:ascii="楷体_GB2312" w:hAnsi="Times New Roman" w:eastAsia="楷体_GB2312" w:cs="Times New Roman"/>
          <w:color w:val="000000"/>
          <w:sz w:val="24"/>
          <w:highlight w:val="none"/>
        </w:rPr>
      </w:pPr>
      <w:r>
        <w:rPr>
          <w:rFonts w:ascii="楷体_GB2312" w:hAnsi="Times New Roman" w:eastAsia="楷体_GB2312"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第一条餐饮服务外包内容</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采用全包管理的餐饮运行管理模式。服务外包单位负责食品原材料采购、核价及成本核算；服务外包单位提供服务人员及技术服务，负责菜点工艺流程实施与管理，按采购人要求提供人员餐饮分餐配送和食堂环境清扫。采购单位按合同约定支付服务外包单位费用。</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第二条甲方责任</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1、为乙方提供必备的工作条件。</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2、按合同约定的时间和方式向乙方支付餐饮服务外包费。</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第三条乙方责任</w:t>
      </w:r>
      <w:r>
        <w:rPr>
          <w:rFonts w:ascii="宋体" w:hAnsi="宋体" w:eastAsia="宋体" w:cs="Times New Roman"/>
          <w:color w:val="000000"/>
          <w:sz w:val="24"/>
          <w:highlight w:val="none"/>
        </w:rPr>
      </w:r>
      <w:r/>
    </w:p>
    <w:p>
      <w:pPr>
        <w:pStyle w:val="671"/>
        <w:ind w:left="239" w:firstLine="307"/>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1、乙方指派</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名服务人员为甲方提供服务。</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2、严格执行《食品卫生法》等各项规定，并遵守甲方符合法律规定的各项规章制度。</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3、负责泔水、废油定点处理、食物加工制作、销售、管理团队、厨房设备维护、厨房和餐厅清洁。</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4、负责食品原材料搬运，配合采购方验收、运输等工作。</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5、加强对服务人员的在岗培训、监督和管理，确保服务的优质高效。</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第四条食堂服务外包费及支付方式</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1、本合同项下餐饮服务外包费用（　壹　年）：</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人民币（大写）</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元整；人民币（小写）</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元整。</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支付方式：成交后，经采购单位每月考核合格后，按月结算，中标方应当于每月的月初出具上月结算发票，采购单位最晚应当于次月的30日前付款。连续三个月考核不合格者（考核得分低于70分），采购方有权依照法律程序解除合同，并追究供方的违约责任。</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第五条合同期限</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合同期限：</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第六条违约责任</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1、甲方无正当理由，违反有关规定，使乙方未能完成规定管理目标的，乙方有权要求甲方在一定期限内解决，逾期未解决，造成乙方经济损失的，由甲方向乙方偿付合同总价5%的违约金。</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2、甲方无正当理由逾期付款时，每逾期1天甲方向乙方偿付欠款总额的5‰滞纳金，但累计滞纳金总额不超过欠款总额的5% 。</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乙方无正当理由，违反有关规定，未能达到规定管理目标及质量保证的，甲方有权要求乙方限期整改，逾期未整改，造成甲方经济损失的，甲方有权扣留乙方全部履约保证金，同时乙方应向甲方支付合同总价5%的违约金。</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4、乙方无正当理由，违反有关规定，擅自收费或擅自提高收费标准的，对擅自收费部分或超出标准的部分，甲方有权要求乙方双倍返还；造成甲方经济损失的，乙方应给予甲方经济赔偿。</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5、乙方在承担上述3、4款一项或多项违约责任后，仍应继续履行合同规定的义务（甲方解除合同的除外）。甲方未能及时追究乙方的任何一项违约责任并不表明甲方放弃追究乙方该项或其他违约责任。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第七条合同的变更及终止</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1、除</w:t>
      </w:r>
      <w:r>
        <w:rPr>
          <w:rFonts w:hint="eastAsia" w:ascii="宋体" w:hAnsi="宋体" w:eastAsia="宋体" w:cs="Times New Roman"/>
          <w:color w:val="000000"/>
          <w:sz w:val="24"/>
          <w:highlight w:val="none"/>
          <w:lang w:eastAsia="zh-CN"/>
        </w:rPr>
        <w:t xml:space="preserve">《中华人民共和国政府采购法》</w:t>
      </w:r>
      <w:r>
        <w:rPr>
          <w:rFonts w:hint="eastAsia" w:ascii="宋体" w:hAnsi="宋体" w:eastAsia="宋体" w:cs="Times New Roman"/>
          <w:color w:val="000000"/>
          <w:sz w:val="24"/>
          <w:highlight w:val="none"/>
        </w:rPr>
        <w:t xml:space="preserve">第49条、第50条第二款规定的情形外，本合同一经签订，甲乙双方不得擅自变更、中止或终止合同。</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2、本合同终止时，乙方应移交餐饮服务管理权，协助甲方作好餐饮服务的交接和善后工作，移交或配合甲方移交工作用房和全部档案资料等。</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第八条合同生效及其他</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1、合同经甲乙双方代表签字并盖章，且经见证后即生效。</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1）方式处理：</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（1）向无锡仲裁委员会申请仲裁。</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（2）向需方所在地法院提起诉讼。</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3、合同在执行过程中出现的未尽事宜，双方在不违背本合同和招标文件的原则下协商解决，协商结果以书面形式签订补充协议，且补充协议与本合同具有同等效力。</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4、合同中未有约定的按照有关的法律法规以及国家行业标准或技术文件规定予以解决。</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5、甲乙双方确认：对本合同条款及后果均已知悉，一致确认不存在欺诈、胁迫、乘人之危、重大误解、显失公平等任何可能导致合同无效或被撤销的情形。</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第十条 双方认为需要约定的其它事项。</w:t>
      </w:r>
      <w:r>
        <w:rPr>
          <w:rFonts w:ascii="宋体" w:hAnsi="宋体" w:eastAsia="宋体" w:cs="Times New Roman"/>
          <w:color w:val="000000"/>
          <w:sz w:val="24"/>
          <w:highlight w:val="none"/>
        </w:rPr>
      </w:r>
      <w:r/>
    </w:p>
    <w:p>
      <w:pPr>
        <w:pStyle w:val="671"/>
        <w:ind w:firstLine="480"/>
        <w:spacing w:line="360" w:lineRule="auto"/>
        <w:tabs>
          <w:tab w:val="left" w:pos="0" w:leader="none"/>
          <w:tab w:val="left" w:pos="525" w:leader="none"/>
          <w:tab w:val="left" w:pos="945" w:leader="none"/>
        </w:tabs>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1、加班人数的确认为：投标人服务方案中节假日、法定节假日上班人数之外的人员数量。</w:t>
      </w:r>
      <w:r>
        <w:rPr>
          <w:rFonts w:ascii="宋体" w:hAnsi="宋体" w:eastAsia="宋体" w:cs="Times New Roman"/>
          <w:color w:val="000000"/>
          <w:sz w:val="24"/>
          <w:highlight w:val="none"/>
        </w:rPr>
      </w:r>
      <w:r/>
    </w:p>
    <w:p>
      <w:pPr>
        <w:pStyle w:val="671"/>
        <w:ind w:firstLine="480"/>
        <w:jc w:val="left"/>
        <w:spacing w:line="360" w:lineRule="auto"/>
        <w:widowControl/>
        <w:rPr>
          <w:rFonts w:ascii="宋体" w:hAnsi="宋体" w:eastAsia="宋体" w:cs="宋体"/>
          <w:bCs/>
          <w:color w:val="000000"/>
          <w:sz w:val="24"/>
          <w:highlight w:val="none"/>
        </w:rPr>
      </w:pPr>
      <w:r>
        <w:rPr>
          <w:rFonts w:hint="eastAsia" w:ascii="宋体" w:hAnsi="宋体" w:eastAsia="宋体" w:cs="Times New Roman"/>
          <w:color w:val="000000"/>
          <w:sz w:val="24"/>
          <w:highlight w:val="none"/>
        </w:rPr>
        <w:t xml:space="preserve">2、本项目服务需求外的特殊保障任务时所产生的额外加班费，经双方协商确认另行结算。日加班费计算方法是，以中标单位加班人员当年月工资标准÷21.75作为计算基数。</w:t>
      </w:r>
      <w:r>
        <w:rPr>
          <w:rFonts w:ascii="宋体" w:hAnsi="宋体" w:eastAsia="宋体" w:cs="宋体"/>
          <w:bCs/>
          <w:color w:val="000000"/>
          <w:sz w:val="24"/>
          <w:highlight w:val="none"/>
        </w:rPr>
      </w:r>
      <w:r/>
    </w:p>
    <w:p>
      <w:pPr>
        <w:pStyle w:val="67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71"/>
        <w:jc w:val="center"/>
        <w:rPr>
          <w:rFonts w:ascii="黑体" w:eastAsia="黑体"/>
          <w:bCs/>
          <w:color w:val="000000"/>
          <w:sz w:val="28"/>
          <w:szCs w:val="28"/>
          <w:highlight w:val="none"/>
        </w:rPr>
        <w:outlineLvl w:val="0"/>
      </w:pPr>
      <w:r>
        <w:rPr>
          <w:rFonts w:hint="eastAsia" w:ascii="宋体" w:hAnsi="宋体" w:cs="宋体"/>
          <w:b/>
          <w:color w:val="000000"/>
          <w:spacing w:val="-4"/>
          <w:sz w:val="24"/>
          <w:highlight w:val="none"/>
        </w:rPr>
        <w:br w:type="page" w:clear="all"/>
      </w:r>
      <w:bookmarkStart w:id="7" w:name="_Toc16968"/>
      <w:r>
        <w:rPr>
          <w:rFonts w:hint="eastAsia" w:ascii="黑体" w:eastAsia="黑体"/>
          <w:bCs/>
          <w:color w:val="000000"/>
          <w:sz w:val="28"/>
          <w:szCs w:val="28"/>
          <w:highlight w:val="none"/>
        </w:rPr>
        <w:t xml:space="preserve">六</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rPr>
        <w:t xml:space="preserve">附件</w:t>
      </w:r>
      <w:bookmarkEnd w:id="7"/>
      <w:r>
        <w:rPr>
          <w:rFonts w:ascii="黑体" w:eastAsia="黑体"/>
          <w:bCs/>
          <w:color w:val="000000"/>
          <w:sz w:val="28"/>
          <w:szCs w:val="28"/>
          <w:highlight w:val="none"/>
        </w:rPr>
      </w:r>
      <w:r/>
    </w:p>
    <w:p>
      <w:pPr>
        <w:pStyle w:val="671"/>
        <w:ind w:firstLine="480"/>
        <w:jc w:val="left"/>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附件一：评分标准</w:t>
      </w:r>
      <w:r>
        <w:rPr>
          <w:rFonts w:ascii="黑体" w:eastAsia="黑体"/>
          <w:bCs/>
          <w:color w:val="000000"/>
          <w:sz w:val="24"/>
          <w:szCs w:val="24"/>
          <w:highlight w:val="none"/>
        </w:rPr>
      </w:r>
      <w:r/>
    </w:p>
    <w:p>
      <w:pPr>
        <w:pStyle w:val="67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hint="eastAsia" w:ascii="宋体" w:hAnsi="宋体" w:cs="宋体"/>
          <w:b/>
          <w:bCs/>
          <w:color w:val="000000"/>
          <w:sz w:val="24"/>
          <w:highlight w:val="none"/>
        </w:rPr>
      </w:r>
      <w:r/>
    </w:p>
    <w:p>
      <w:pPr>
        <w:pStyle w:val="6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（一）评分项目及分值（总分100分）</w:t>
      </w:r>
      <w:r>
        <w:rPr>
          <w:rFonts w:hint="eastAsia" w:ascii="宋体" w:hAnsi="宋体" w:cs="宋体"/>
          <w:color w:val="000000"/>
          <w:sz w:val="24"/>
          <w:highlight w:val="none"/>
        </w:rPr>
      </w:r>
      <w:r/>
    </w:p>
    <w:p>
      <w:pPr>
        <w:pStyle w:val="671"/>
        <w:ind w:firstLine="482"/>
        <w:spacing w:line="360" w:lineRule="auto"/>
        <w:tabs>
          <w:tab w:val="left" w:pos="52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w:t>
      </w:r>
      <w:r>
        <w:rPr>
          <w:rFonts w:hint="eastAsia" w:ascii="宋体" w:hAnsi="宋体" w:cs="宋体"/>
          <w:b/>
          <w:color w:val="000000"/>
          <w:sz w:val="24"/>
          <w:highlight w:val="none"/>
          <w:lang w:val="en-US" w:eastAsia="zh-CN"/>
        </w:rPr>
        <w:tab/>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0分</w:t>
      </w:r>
      <w:r>
        <w:rPr>
          <w:rFonts w:hint="eastAsia" w:ascii="宋体" w:hAnsi="宋体" w:cs="宋体"/>
          <w:b/>
          <w:color w:val="000000"/>
          <w:sz w:val="24"/>
          <w:highlight w:val="none"/>
        </w:rPr>
      </w:r>
      <w:r/>
    </w:p>
    <w:p>
      <w:pPr>
        <w:pStyle w:val="671"/>
        <w:ind w:firstLine="482"/>
        <w:spacing w:line="360" w:lineRule="auto"/>
        <w:tabs>
          <w:tab w:val="left" w:pos="52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2.投标供应商评价</w:t>
      </w:r>
      <w:r>
        <w:rPr>
          <w:rFonts w:hint="eastAsia" w:ascii="宋体" w:hAnsi="宋体" w:cs="宋体"/>
          <w:b/>
          <w:color w:val="000000"/>
          <w:sz w:val="24"/>
          <w:highlight w:val="none"/>
          <w:lang w:val="en-US" w:eastAsia="zh-CN"/>
        </w:rPr>
        <w:tab/>
      </w:r>
      <w:r>
        <w:rPr>
          <w:rFonts w:hint="eastAsia" w:ascii="宋体" w:hAnsi="宋体" w:cs="宋体"/>
          <w:b/>
          <w:color w:val="000000"/>
          <w:sz w:val="24"/>
          <w:highlight w:val="none"/>
          <w:lang w:val="en-US" w:eastAsia="zh-CN"/>
        </w:rPr>
        <w:t xml:space="preserve">20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671"/>
        <w:ind w:firstLine="482"/>
        <w:spacing w:line="360" w:lineRule="auto"/>
        <w:tabs>
          <w:tab w:val="left" w:pos="525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3.技术文件</w:t>
      </w:r>
      <w:r>
        <w:rPr>
          <w:rFonts w:hint="eastAsia" w:ascii="宋体" w:hAnsi="宋体" w:cs="宋体"/>
          <w:b/>
          <w:color w:val="000000"/>
          <w:sz w:val="24"/>
          <w:highlight w:val="none"/>
          <w:lang w:val="en-US" w:eastAsia="zh-CN"/>
        </w:rPr>
        <w:tab/>
      </w:r>
      <w:r>
        <w:rPr>
          <w:rFonts w:hint="eastAsia" w:ascii="宋体" w:hAnsi="宋体" w:cs="宋体"/>
          <w:b/>
          <w:color w:val="000000"/>
          <w:sz w:val="24"/>
          <w:highlight w:val="none"/>
          <w:lang w:val="en-US" w:eastAsia="zh-CN"/>
        </w:rPr>
        <w:t xml:space="preserve">60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67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（二）各项目评分标准</w:t>
      </w:r>
      <w:r>
        <w:rPr>
          <w:rFonts w:hint="eastAsia" w:ascii="宋体" w:hAnsi="宋体" w:cs="宋体"/>
          <w:color w:val="000000"/>
          <w:sz w:val="24"/>
          <w:highlight w:val="none"/>
        </w:rPr>
      </w:r>
      <w:r/>
    </w:p>
    <w:p>
      <w:pPr>
        <w:pStyle w:val="671"/>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1.投标报价（</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0分）</w:t>
      </w:r>
      <w:r>
        <w:rPr>
          <w:rFonts w:hint="eastAsia" w:ascii="宋体" w:hAnsi="宋体" w:cs="宋体"/>
          <w:b/>
          <w:bCs/>
          <w:color w:val="000000"/>
          <w:sz w:val="24"/>
          <w:szCs w:val="24"/>
          <w:highlight w:val="none"/>
        </w:rPr>
      </w:r>
      <w:r/>
    </w:p>
    <w:p>
      <w:pPr>
        <w:pStyle w:val="671"/>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cs="宋体"/>
          <w:bCs/>
          <w:color w:val="000000"/>
          <w:sz w:val="24"/>
          <w:szCs w:val="24"/>
          <w:highlight w:val="none"/>
        </w:rPr>
      </w:r>
      <w:r/>
    </w:p>
    <w:p>
      <w:pPr>
        <w:pStyle w:val="671"/>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rPr>
          <w:rFonts w:hint="eastAsia" w:ascii="宋体" w:hAnsi="宋体" w:cs="宋体"/>
          <w:bCs/>
          <w:color w:val="000000"/>
          <w:sz w:val="24"/>
          <w:szCs w:val="24"/>
          <w:highlight w:val="none"/>
        </w:rPr>
      </w:r>
      <w:r/>
    </w:p>
    <w:p>
      <w:pPr>
        <w:pStyle w:val="671"/>
        <w:ind w:firstLine="482"/>
        <w:spacing w:line="360" w:lineRule="auto"/>
        <w:tabs>
          <w:tab w:val="left" w:pos="420" w:leader="none"/>
          <w:tab w:val="left" w:pos="945"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2.</w:t>
      </w:r>
      <w:r>
        <w:rPr>
          <w:rFonts w:hint="eastAsia" w:ascii="宋体" w:hAnsi="宋体" w:cs="宋体"/>
          <w:b/>
          <w:bCs/>
          <w:color w:val="000000"/>
          <w:sz w:val="24"/>
          <w:szCs w:val="24"/>
          <w:highlight w:val="none"/>
        </w:rPr>
        <w:t xml:space="preserve">投标供应商评价（</w:t>
      </w:r>
      <w:r>
        <w:rPr>
          <w:rFonts w:hint="eastAsia" w:ascii="宋体" w:hAnsi="宋体" w:cs="宋体"/>
          <w:b/>
          <w:bCs/>
          <w:color w:val="000000"/>
          <w:sz w:val="24"/>
          <w:szCs w:val="24"/>
          <w:highlight w:val="none"/>
          <w:lang w:val="en-US" w:eastAsia="zh-CN"/>
        </w:rPr>
        <w:t xml:space="preserve">20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67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（1）投标供应商具有</w:t>
      </w:r>
      <w:r>
        <w:rPr>
          <w:rFonts w:hint="eastAsia" w:ascii="宋体" w:hAnsi="宋体"/>
          <w:color w:val="000000"/>
          <w:sz w:val="24"/>
          <w:szCs w:val="24"/>
        </w:rPr>
        <w:t xml:space="preserve">质量管理体系认证证书、环境管理体系认证证书、职业健康管理体系认证证书</w:t>
      </w:r>
      <w:r>
        <w:rPr>
          <w:rFonts w:hint="eastAsia" w:ascii="宋体" w:hAnsi="宋体" w:cs="宋体"/>
          <w:bCs/>
          <w:color w:val="000000"/>
          <w:sz w:val="24"/>
          <w:highlight w:val="none"/>
        </w:rPr>
        <w:t xml:space="preserve">的，且在有效期内，有一个得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分【提供</w:t>
      </w:r>
      <w:r>
        <w:rPr>
          <w:rFonts w:hint="eastAsia" w:ascii="宋体" w:hAnsi="宋体" w:eastAsia="宋体" w:cs="Times New Roman"/>
          <w:bCs/>
          <w:color w:val="000000"/>
          <w:sz w:val="24"/>
          <w:szCs w:val="24"/>
          <w:highlight w:val="none"/>
        </w:rPr>
        <w:t xml:space="preserve">证书扫描件上传至电子投标文件，未按要求提供不得分】</w:t>
      </w:r>
      <w:r>
        <w:rPr>
          <w:rFonts w:hint="eastAsia" w:ascii="宋体" w:hAnsi="宋体" w:cs="宋体"/>
          <w:bCs/>
          <w:color w:val="000000"/>
          <w:sz w:val="24"/>
          <w:highlight w:val="none"/>
        </w:rPr>
      </w:r>
      <w:r/>
    </w:p>
    <w:p>
      <w:pPr>
        <w:pStyle w:val="67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（2）投标供应商自20</w:t>
      </w:r>
      <w:r>
        <w:rPr>
          <w:rFonts w:hint="eastAsia" w:ascii="宋体" w:hAnsi="宋体" w:cs="宋体"/>
          <w:bCs/>
          <w:color w:val="000000"/>
          <w:sz w:val="24"/>
          <w:highlight w:val="none"/>
          <w:lang w:val="en-US" w:eastAsia="zh-CN"/>
        </w:rPr>
        <w:t xml:space="preserve">23</w:t>
      </w:r>
      <w:r>
        <w:rPr>
          <w:rFonts w:hint="eastAsia" w:ascii="宋体" w:hAnsi="宋体" w:cs="宋体"/>
          <w:bCs/>
          <w:color w:val="000000"/>
          <w:sz w:val="24"/>
          <w:highlight w:val="none"/>
        </w:rPr>
        <w:t xml:space="preserve">年1月1</w:t>
      </w:r>
      <w:r>
        <w:rPr>
          <w:rFonts w:hint="eastAsia" w:ascii="宋体" w:hAnsi="宋体" w:eastAsia="宋体" w:cs="宋体"/>
          <w:bCs/>
          <w:color w:val="000000"/>
          <w:sz w:val="24"/>
          <w:highlight w:val="none"/>
        </w:rPr>
        <w:t xml:space="preserve">日以来承担过类似项目，有1个得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分【时间以合同签订日期为准，</w:t>
      </w:r>
      <w:r>
        <w:rPr>
          <w:rFonts w:hint="eastAsia" w:ascii="宋体" w:hAnsi="宋体"/>
          <w:sz w:val="24"/>
          <w:szCs w:val="24"/>
        </w:rPr>
        <w:t xml:space="preserve">并附未发生过重大安全及食品卫生安全事故的证明材料，必须有被服务单位出具的相关有效证明，</w:t>
      </w:r>
      <w:r>
        <w:rPr>
          <w:rFonts w:hint="eastAsia" w:ascii="宋体" w:hAnsi="宋体"/>
          <w:bCs/>
          <w:sz w:val="24"/>
          <w:szCs w:val="24"/>
        </w:rPr>
        <w:t xml:space="preserve">提供上述资料扫描件上传至电子</w:t>
      </w:r>
      <w:r>
        <w:rPr>
          <w:rFonts w:hint="eastAsia" w:ascii="宋体" w:hAnsi="宋体"/>
          <w:bCs/>
          <w:sz w:val="24"/>
          <w:szCs w:val="24"/>
          <w:lang w:val="en-US" w:eastAsia="zh-CN"/>
        </w:rPr>
        <w:t xml:space="preserve">投标</w:t>
      </w:r>
      <w:r>
        <w:rPr>
          <w:rFonts w:hint="eastAsia" w:ascii="宋体" w:hAnsi="宋体"/>
          <w:bCs/>
          <w:sz w:val="24"/>
          <w:szCs w:val="24"/>
        </w:rPr>
        <w:t xml:space="preserve">文件，</w:t>
      </w:r>
      <w:r>
        <w:rPr>
          <w:rFonts w:hint="eastAsia" w:ascii="宋体" w:hAnsi="宋体"/>
          <w:sz w:val="24"/>
          <w:szCs w:val="24"/>
        </w:rPr>
        <w:t xml:space="preserve">未按要求提供不得分】</w:t>
      </w:r>
      <w:r>
        <w:rPr>
          <w:rFonts w:hint="eastAsia" w:ascii="宋体" w:hAnsi="宋体" w:cs="宋体"/>
          <w:bCs/>
          <w:color w:val="000000"/>
          <w:sz w:val="24"/>
          <w:highlight w:val="none"/>
        </w:rPr>
      </w:r>
      <w:r/>
    </w:p>
    <w:p>
      <w:pPr>
        <w:pStyle w:val="671"/>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人员配备（13分）</w:t>
      </w:r>
      <w:r>
        <w:rPr>
          <w:rFonts w:hint="eastAsia" w:ascii="宋体" w:hAnsi="宋体" w:cs="宋体"/>
          <w:bCs/>
          <w:color w:val="000000"/>
          <w:sz w:val="24"/>
          <w:highlight w:val="none"/>
          <w:lang w:val="en-US" w:eastAsia="zh-CN"/>
        </w:rPr>
      </w:r>
      <w:r/>
    </w:p>
    <w:p>
      <w:pPr>
        <w:pStyle w:val="671"/>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1）人员年龄要求（3分）：投标人须按照人员最低配置需求配备人员，所进驻员工年龄男性不得超过55周岁、女性不得超过50周岁。平均年龄在50周岁（含）以下的得2分，平均年龄在45周岁以下的得3分。</w:t>
      </w:r>
      <w:r>
        <w:rPr>
          <w:rFonts w:hint="eastAsia" w:ascii="宋体" w:hAnsi="宋体" w:cs="宋体"/>
          <w:bCs/>
          <w:color w:val="000000"/>
          <w:sz w:val="24"/>
          <w:highlight w:val="none"/>
          <w:lang w:val="en-US" w:eastAsia="zh-CN"/>
        </w:rPr>
      </w:r>
      <w:r/>
    </w:p>
    <w:p>
      <w:pPr>
        <w:pStyle w:val="671"/>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2）项目经理兼厨师长要求（2分）：持有高级技师（一级）及以上厨师资格证书，得2分。</w:t>
      </w:r>
      <w:r>
        <w:rPr>
          <w:rFonts w:hint="eastAsia" w:ascii="宋体" w:hAnsi="宋体" w:cs="宋体"/>
          <w:bCs/>
          <w:color w:val="000000"/>
          <w:sz w:val="24"/>
          <w:highlight w:val="none"/>
          <w:lang w:val="en-US" w:eastAsia="zh-CN"/>
        </w:rPr>
      </w:r>
      <w:r/>
    </w:p>
    <w:p>
      <w:pPr>
        <w:pStyle w:val="671"/>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3）厨师要求（2分）：拟配备的厨师中持有国家职业三级（含）及以上厨师资格证书的有一个得1分，最多得2分。</w:t>
      </w:r>
      <w:r>
        <w:rPr>
          <w:rFonts w:hint="eastAsia" w:ascii="宋体" w:hAnsi="宋体" w:cs="宋体"/>
          <w:bCs/>
          <w:color w:val="000000"/>
          <w:sz w:val="24"/>
          <w:highlight w:val="none"/>
          <w:lang w:val="en-US" w:eastAsia="zh-CN"/>
        </w:rPr>
      </w:r>
      <w:r/>
    </w:p>
    <w:p>
      <w:pPr>
        <w:pStyle w:val="671"/>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4）点心师要求（2分）：点心师中持有面点师资格证书的有1人得2分，最高得2分</w:t>
      </w:r>
      <w:r>
        <w:rPr>
          <w:rFonts w:hint="eastAsia" w:ascii="宋体" w:hAnsi="宋体" w:cs="宋体"/>
          <w:bCs/>
          <w:color w:val="000000"/>
          <w:sz w:val="24"/>
          <w:highlight w:val="none"/>
          <w:lang w:val="en-US" w:eastAsia="zh-CN"/>
        </w:rPr>
      </w:r>
      <w:r/>
    </w:p>
    <w:p>
      <w:pPr>
        <w:pStyle w:val="671"/>
        <w:ind w:firstLine="480"/>
        <w:jc w:val="left"/>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5）其他人员要求（4分）：投标单位针对本项目拟派的服务人员从事食堂餐饮工作一年及以上的，有1人得1分，最高得4分；本项最高得4分。</w:t>
      </w:r>
      <w:r>
        <w:rPr>
          <w:rFonts w:hint="eastAsia" w:ascii="宋体" w:hAnsi="宋体" w:cs="宋体"/>
          <w:bCs/>
          <w:color w:val="000000"/>
          <w:sz w:val="24"/>
          <w:highlight w:val="none"/>
          <w:lang w:val="en-US" w:eastAsia="zh-CN"/>
        </w:rPr>
      </w:r>
      <w:r/>
    </w:p>
    <w:p>
      <w:pPr>
        <w:pStyle w:val="671"/>
        <w:ind w:firstLine="480"/>
        <w:jc w:val="left"/>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val="en-US" w:eastAsia="zh-CN"/>
        </w:rPr>
        <w:t xml:space="preserve">提供以上所有人员的有效证书（或文件）和法定的社保收缴部门出具的投标供应商为其缴纳的近一年中任意一个月（不含投标当月）的社保证明，提供上述资料扫描件上传至电子</w:t>
      </w:r>
      <w:r>
        <w:rPr>
          <w:rFonts w:hint="eastAsia" w:ascii="宋体" w:hAnsi="宋体"/>
          <w:bCs/>
          <w:sz w:val="24"/>
          <w:szCs w:val="24"/>
          <w:lang w:val="en-US" w:eastAsia="zh-CN"/>
        </w:rPr>
        <w:t xml:space="preserve">投标</w:t>
      </w:r>
      <w:r>
        <w:rPr>
          <w:rFonts w:hint="eastAsia" w:ascii="宋体" w:hAnsi="宋体"/>
          <w:bCs/>
          <w:sz w:val="24"/>
          <w:szCs w:val="24"/>
        </w:rPr>
        <w:t xml:space="preserve">文件</w:t>
      </w:r>
      <w:r>
        <w:rPr>
          <w:rFonts w:hint="eastAsia" w:ascii="宋体" w:hAnsi="宋体" w:cs="宋体"/>
          <w:bCs/>
          <w:color w:val="000000"/>
          <w:sz w:val="24"/>
          <w:highlight w:val="none"/>
          <w:lang w:val="en-US" w:eastAsia="zh-CN"/>
        </w:rPr>
        <w:t xml:space="preserve">，未按要求提供不得分。</w:t>
      </w:r>
      <w:r>
        <w:rPr>
          <w:rFonts w:hint="eastAsia" w:ascii="宋体" w:hAnsi="宋体" w:eastAsia="宋体" w:cs="Times New Roman"/>
          <w:bCs/>
          <w:color w:val="000000"/>
          <w:sz w:val="24"/>
          <w:szCs w:val="24"/>
          <w:highlight w:val="none"/>
        </w:rPr>
        <w:t xml:space="preserve">】</w:t>
      </w:r>
      <w:r>
        <w:rPr>
          <w:rFonts w:hint="eastAsia" w:ascii="宋体" w:hAnsi="宋体" w:eastAsia="宋体" w:cs="宋体"/>
          <w:color w:val="000000"/>
          <w:highlight w:val="none"/>
          <w:lang w:eastAsia="zh-CN"/>
        </w:rPr>
      </w:r>
      <w:r/>
    </w:p>
    <w:p>
      <w:pPr>
        <w:pStyle w:val="671"/>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3.技术文件（</w:t>
      </w:r>
      <w:r>
        <w:rPr>
          <w:rFonts w:hint="eastAsia" w:ascii="宋体" w:hAnsi="宋体" w:cs="宋体"/>
          <w:b/>
          <w:bCs/>
          <w:color w:val="000000"/>
          <w:sz w:val="24"/>
          <w:szCs w:val="24"/>
          <w:highlight w:val="none"/>
          <w:lang w:val="en-US" w:eastAsia="zh-CN"/>
        </w:rPr>
        <w:t xml:space="preserve">60</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）食堂运营服务方案（6分）包括但不限于：①经营方针（2分）；②管理措施（2分）；③服务理念（2分）。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6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）人员配置及培训方案（6分）包括但不限于：①人员配置（2分）；②岗位要求（2分）；③培训计划（2分）。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6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）菜品保障方案（6分）包括但不限于：①食谱的搭配（2分）；②营养概念及营养均衡的菜品设计（2分）；③食物种类、食谱（2分）。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6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）原材料管理方案（6分）包括但不限于：①原材料采购验收方案（2分）；②原材料保管方案（2分）；③原材料加工方案（2分）。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6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）食品质量控制方案（4分）包括但不限于：①项目考核办法（2分）；②原材料存储的控制（2分）。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4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val="zh-CN"/>
        </w:rPr>
        <w:t xml:space="preserve">）食堂运营安全方案（8分）包括但不限于：①食品安全管理（2分）；②食堂安全管理（2分）；③消防安全管理（2分）；④安全管理制度（2分）。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8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）食堂运营卫生方案（6分）包括但不限于：①食堂卫生标准（1.5分）；②食品卫生制度（1.5分）；③内外环境卫生管理制度（1.5分）；④食堂垃圾管理制度（1.5分）。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1.5分；方案较详细，针对性、可操作性较强，思路较合理得1分，方案简单，针对性、可操作性一般，有待完善的不得分；未进行阐述或不满足采购需求的不得分，本项最高得6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）食堂运营日常管理规章制度（4分）包括但不限于：①日常运行管理制度（2分）；②员工管理制度（2分）。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4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9、食堂运营突发事件应急预案（6分）包括但不限于：①日常运行应急预案（2分）；②会务应急预案（2分）；③突发事件应急预案（2分）。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2分；方案较详细，针对性、可操作性较强，思路较合理得1分，方案简单，针对性、可操作性一般，有待完善的不得分；未进行阐述或不满足采购需求的不得分，本项最高得6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10、会务服务及特色服务（8分）包括但不限于：①会务服务方案（4分）；②会务培训方案（4分）。</w:t>
      </w:r>
      <w:r>
        <w:rPr>
          <w:rFonts w:hint="eastAsia" w:ascii="宋体" w:hAnsi="宋体" w:cs="宋体"/>
          <w:bCs/>
          <w:color w:val="000000"/>
          <w:sz w:val="24"/>
          <w:szCs w:val="24"/>
          <w:highlight w:val="none"/>
          <w:lang w:val="zh-CN"/>
        </w:rPr>
      </w:r>
      <w:r/>
    </w:p>
    <w:p>
      <w:pPr>
        <w:pStyle w:val="671"/>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内容进行了阐述且方案详细完整，针对性强、可操作性强，思路合理的得4分；方案较详细，针对性、可操作性较强，思路较合理得2分，方案简单，针对性、可操作性一般，有待完善的不得分；未进行阐述或不满足采购需求的不得分，本项最高得8分。</w:t>
      </w:r>
      <w:r>
        <w:rPr>
          <w:rFonts w:hint="eastAsia" w:ascii="宋体" w:hAnsi="宋体" w:cs="宋体"/>
          <w:bCs/>
          <w:color w:val="000000"/>
          <w:sz w:val="24"/>
          <w:szCs w:val="24"/>
          <w:highlight w:val="none"/>
          <w:lang w:val="zh-CN"/>
        </w:rPr>
      </w:r>
      <w:r/>
    </w:p>
    <w:p>
      <w:pPr>
        <w:pStyle w:val="671"/>
        <w:ind w:firstLine="482"/>
        <w:jc w:val="left"/>
        <w:spacing w:line="360" w:lineRule="auto"/>
        <w:tabs>
          <w:tab w:val="left" w:pos="1401" w:leader="none"/>
        </w:tabs>
        <w:rPr>
          <w:rFonts w:ascii="黑体" w:eastAsia="黑体"/>
          <w:bCs/>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 xml:space="preserve">附件二：投标文件格式</w:t>
      </w:r>
      <w:r>
        <w:rPr>
          <w:rFonts w:ascii="黑体" w:eastAsia="黑体"/>
          <w:bCs/>
          <w:color w:val="000000"/>
          <w:sz w:val="24"/>
          <w:szCs w:val="24"/>
          <w:highlight w:val="none"/>
        </w:rPr>
      </w:r>
      <w:r/>
    </w:p>
    <w:p>
      <w:pPr>
        <w:pStyle w:val="671"/>
        <w:rPr>
          <w:rFonts w:ascii="黑体" w:eastAsia="黑体"/>
          <w:bCs/>
          <w:color w:val="000000"/>
          <w:sz w:val="32"/>
          <w:highlight w:val="none"/>
        </w:rPr>
      </w:pPr>
      <w:r>
        <w:rPr>
          <w:rFonts w:ascii="黑体" w:eastAsia="黑体"/>
          <w:bCs/>
          <w:color w:val="000000"/>
          <w:sz w:val="32"/>
          <w:highlight w:val="none"/>
        </w:rPr>
      </w:r>
      <w:r/>
    </w:p>
    <w:p>
      <w:pPr>
        <w:pStyle w:val="825"/>
        <w:rPr>
          <w:rFonts w:ascii="黑体" w:eastAsia="黑体"/>
          <w:color w:val="000000"/>
          <w:sz w:val="32"/>
          <w:highlight w:val="none"/>
        </w:rPr>
      </w:pPr>
      <w:r>
        <w:rPr>
          <w:rFonts w:ascii="黑体" w:eastAsia="黑体"/>
          <w:color w:val="000000"/>
          <w:sz w:val="32"/>
          <w:highlight w:val="none"/>
        </w:rPr>
      </w:r>
      <w:r/>
    </w:p>
    <w:p>
      <w:pPr>
        <w:pStyle w:val="825"/>
        <w:rPr>
          <w:rFonts w:ascii="黑体" w:eastAsia="黑体"/>
          <w:color w:val="000000"/>
          <w:sz w:val="32"/>
          <w:highlight w:val="none"/>
        </w:rPr>
      </w:pPr>
      <w:r>
        <w:rPr>
          <w:rFonts w:ascii="黑体" w:eastAsia="黑体"/>
          <w:color w:val="000000"/>
          <w:sz w:val="32"/>
          <w:highlight w:val="none"/>
        </w:rPr>
      </w:r>
      <w:r/>
    </w:p>
    <w:p>
      <w:pPr>
        <w:pStyle w:val="825"/>
        <w:rPr>
          <w:rFonts w:ascii="黑体" w:eastAsia="黑体"/>
          <w:color w:val="000000"/>
          <w:sz w:val="32"/>
          <w:highlight w:val="none"/>
        </w:rPr>
      </w:pPr>
      <w:r>
        <w:rPr>
          <w:rFonts w:ascii="黑体" w:eastAsia="黑体"/>
          <w:color w:val="000000"/>
          <w:sz w:val="32"/>
          <w:highlight w:val="none"/>
        </w:rPr>
      </w:r>
      <w:r/>
    </w:p>
    <w:p>
      <w:pPr>
        <w:pStyle w:val="825"/>
        <w:rPr>
          <w:rFonts w:ascii="黑体" w:eastAsia="黑体"/>
          <w:color w:val="000000"/>
          <w:sz w:val="32"/>
          <w:highlight w:val="none"/>
        </w:rPr>
      </w:pPr>
      <w:r>
        <w:rPr>
          <w:rFonts w:ascii="黑体" w:eastAsia="黑体"/>
          <w:color w:val="000000"/>
          <w:sz w:val="32"/>
          <w:highlight w:val="none"/>
        </w:rPr>
      </w:r>
      <w:r/>
    </w:p>
    <w:p>
      <w:pPr>
        <w:pStyle w:val="825"/>
        <w:rPr>
          <w:rFonts w:ascii="黑体" w:eastAsia="黑体"/>
          <w:color w:val="000000"/>
          <w:sz w:val="32"/>
          <w:highlight w:val="none"/>
        </w:rPr>
      </w:pPr>
      <w:r>
        <w:rPr>
          <w:rFonts w:ascii="黑体" w:eastAsia="黑体"/>
          <w:color w:val="000000"/>
          <w:sz w:val="32"/>
          <w:highlight w:val="none"/>
        </w:rPr>
      </w:r>
      <w:r/>
    </w:p>
    <w:p>
      <w:pPr>
        <w:pStyle w:val="825"/>
        <w:rPr>
          <w:rFonts w:ascii="黑体" w:eastAsia="黑体"/>
          <w:color w:val="000000"/>
          <w:sz w:val="32"/>
          <w:highlight w:val="none"/>
        </w:rPr>
      </w:pPr>
      <w:r>
        <w:rPr>
          <w:rFonts w:ascii="黑体" w:eastAsia="黑体"/>
          <w:color w:val="000000"/>
          <w:sz w:val="32"/>
          <w:highlight w:val="none"/>
        </w:rPr>
      </w:r>
      <w:r/>
    </w:p>
    <w:p>
      <w:pPr>
        <w:pStyle w:val="671"/>
        <w:rPr>
          <w:rFonts w:ascii="黑体" w:eastAsia="黑体"/>
          <w:bCs/>
          <w:color w:val="000000"/>
          <w:sz w:val="32"/>
          <w:highlight w:val="none"/>
        </w:rPr>
      </w:pPr>
      <w:r>
        <w:rPr>
          <w:rFonts w:ascii="黑体" w:eastAsia="黑体"/>
          <w:bCs/>
          <w:color w:val="000000"/>
          <w:sz w:val="32"/>
          <w:highlight w:val="none"/>
        </w:rPr>
      </w:r>
      <w:r/>
    </w:p>
    <w:p>
      <w:pPr>
        <w:pStyle w:val="671"/>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671"/>
        <w:jc w:val="center"/>
        <w:rPr>
          <w:rFonts w:ascii="黑体" w:eastAsia="黑体"/>
          <w:bCs/>
          <w:color w:val="000000"/>
          <w:sz w:val="72"/>
          <w:highlight w:val="none"/>
        </w:rPr>
      </w:pPr>
      <w:r>
        <w:rPr>
          <w:rFonts w:ascii="黑体" w:eastAsia="黑体"/>
          <w:bCs/>
          <w:color w:val="000000"/>
          <w:sz w:val="72"/>
          <w:highlight w:val="none"/>
        </w:rPr>
      </w:r>
      <w:r/>
    </w:p>
    <w:p>
      <w:pPr>
        <w:pStyle w:val="671"/>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671"/>
        <w:jc w:val="center"/>
        <w:rPr>
          <w:rFonts w:ascii="黑体" w:eastAsia="黑体"/>
          <w:bCs/>
          <w:color w:val="000000"/>
          <w:sz w:val="72"/>
          <w:highlight w:val="none"/>
        </w:rPr>
      </w:pPr>
      <w:r>
        <w:rPr>
          <w:rFonts w:ascii="黑体" w:eastAsia="黑体"/>
          <w:bCs/>
          <w:color w:val="000000"/>
          <w:sz w:val="72"/>
          <w:highlight w:val="none"/>
        </w:rPr>
      </w:r>
      <w:r/>
    </w:p>
    <w:p>
      <w:pPr>
        <w:pStyle w:val="671"/>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671"/>
        <w:jc w:val="center"/>
        <w:rPr>
          <w:rFonts w:ascii="黑体" w:eastAsia="黑体"/>
          <w:bCs/>
          <w:color w:val="000000"/>
          <w:sz w:val="52"/>
          <w:szCs w:val="52"/>
          <w:highlight w:val="none"/>
        </w:rPr>
      </w:pPr>
      <w:r>
        <w:rPr>
          <w:rFonts w:ascii="黑体" w:eastAsia="黑体"/>
          <w:bCs/>
          <w:color w:val="000000"/>
          <w:sz w:val="52"/>
          <w:szCs w:val="52"/>
          <w:highlight w:val="none"/>
        </w:rPr>
      </w:r>
      <w:r/>
    </w:p>
    <w:p>
      <w:pPr>
        <w:pStyle w:val="671"/>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671"/>
        <w:rPr>
          <w:rFonts w:ascii="楷体_GB2312" w:eastAsia="楷体_GB2312"/>
          <w:bCs/>
          <w:color w:val="000000"/>
          <w:sz w:val="72"/>
          <w:highlight w:val="none"/>
        </w:rPr>
      </w:pPr>
      <w:r>
        <w:rPr>
          <w:rFonts w:ascii="楷体_GB2312" w:eastAsia="楷体_GB2312"/>
          <w:bCs/>
          <w:color w:val="000000"/>
          <w:sz w:val="72"/>
          <w:highlight w:val="none"/>
        </w:rPr>
      </w:r>
      <w:r/>
    </w:p>
    <w:p>
      <w:pPr>
        <w:pStyle w:val="671"/>
        <w:rPr>
          <w:rFonts w:ascii="楷体_GB2312" w:eastAsia="楷体_GB2312"/>
          <w:bCs/>
          <w:color w:val="000000"/>
          <w:sz w:val="28"/>
          <w:highlight w:val="none"/>
        </w:rPr>
      </w:pPr>
      <w:r>
        <w:rPr>
          <w:rFonts w:ascii="楷体_GB2312" w:eastAsia="楷体_GB2312"/>
          <w:bCs/>
          <w:color w:val="000000"/>
          <w:sz w:val="28"/>
          <w:highlight w:val="none"/>
        </w:rPr>
      </w:r>
      <w:r/>
    </w:p>
    <w:p>
      <w:pPr>
        <w:pStyle w:val="671"/>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JSZC-320200-JSZH-G2026-0030</w:t>
      </w:r>
      <w:r>
        <w:rPr>
          <w:rFonts w:hint="eastAsia" w:ascii="黑体" w:eastAsia="黑体"/>
          <w:bCs/>
          <w:color w:val="000000"/>
          <w:sz w:val="28"/>
          <w:szCs w:val="28"/>
          <w:highlight w:val="none"/>
          <w:lang w:eastAsia="zh-CN"/>
        </w:rPr>
      </w:r>
      <w:r/>
    </w:p>
    <w:p>
      <w:pPr>
        <w:pStyle w:val="671"/>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2026年度食堂外包运营服务项目</w:t>
      </w:r>
      <w:r>
        <w:rPr>
          <w:rFonts w:hint="eastAsia" w:ascii="黑体" w:eastAsia="黑体"/>
          <w:bCs/>
          <w:color w:val="000000"/>
          <w:sz w:val="28"/>
          <w:szCs w:val="28"/>
          <w:highlight w:val="none"/>
          <w:lang w:eastAsia="zh-CN"/>
        </w:rPr>
      </w:r>
      <w:r/>
    </w:p>
    <w:p>
      <w:pPr>
        <w:pStyle w:val="671"/>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w:t>
      </w:r>
      <w:r>
        <w:rPr>
          <w:rFonts w:ascii="黑体" w:eastAsia="黑体"/>
          <w:bCs/>
          <w:color w:val="000000"/>
          <w:sz w:val="28"/>
          <w:szCs w:val="28"/>
          <w:highlight w:val="none"/>
        </w:rPr>
      </w:r>
      <w:r/>
    </w:p>
    <w:p>
      <w:pPr>
        <w:pStyle w:val="671"/>
        <w:rPr>
          <w:rFonts w:ascii="黑体" w:eastAsia="黑体"/>
          <w:bCs/>
          <w:color w:val="000000"/>
          <w:sz w:val="32"/>
          <w:highlight w:val="none"/>
        </w:rPr>
      </w:pPr>
      <w:r>
        <w:rPr>
          <w:rFonts w:ascii="黑体" w:eastAsia="黑体"/>
          <w:bCs/>
          <w:color w:val="000000"/>
          <w:sz w:val="32"/>
          <w:highlight w:val="none"/>
        </w:rPr>
      </w:r>
      <w:r/>
    </w:p>
    <w:p>
      <w:pPr>
        <w:pStyle w:val="671"/>
        <w:jc w:val="center"/>
        <w:rPr>
          <w:rFonts w:ascii="黑体" w:eastAsia="黑体"/>
          <w:bCs/>
          <w:color w:val="000000"/>
          <w:sz w:val="36"/>
          <w:szCs w:val="36"/>
          <w:highlight w:val="none"/>
        </w:rPr>
      </w:pPr>
      <w:r>
        <w:rPr>
          <w:rFonts w:hint="eastAsia" w:ascii="黑体" w:eastAsia="黑体"/>
          <w:bCs/>
          <w:color w:val="000000"/>
          <w:sz w:val="36"/>
          <w:szCs w:val="36"/>
          <w:highlight w:val="none"/>
          <w:lang w:eastAsia="zh-CN"/>
        </w:rPr>
        <w:t xml:space="preserve">二〇二六</w:t>
      </w:r>
      <w:r>
        <w:rPr>
          <w:rFonts w:hint="eastAsia" w:ascii="黑体" w:eastAsia="黑体"/>
          <w:bCs/>
          <w:color w:val="000000"/>
          <w:sz w:val="36"/>
          <w:szCs w:val="36"/>
          <w:highlight w:val="none"/>
        </w:rPr>
        <w:t xml:space="preserve">年  月  日</w:t>
      </w:r>
      <w:r>
        <w:rPr>
          <w:rFonts w:ascii="黑体" w:eastAsia="黑体"/>
          <w:bCs/>
          <w:color w:val="000000"/>
          <w:sz w:val="36"/>
          <w:szCs w:val="36"/>
          <w:highlight w:val="none"/>
        </w:rPr>
      </w:r>
      <w:r/>
    </w:p>
    <w:p>
      <w:pPr>
        <w:pStyle w:val="671"/>
        <w:rPr>
          <w:rFonts w:hint="eastAsia" w:ascii="黑体" w:hAnsi="宋体" w:eastAsia="黑体"/>
          <w:bCs/>
          <w:color w:val="000000"/>
          <w:sz w:val="24"/>
          <w:szCs w:val="24"/>
          <w:highlight w:val="none"/>
        </w:rPr>
      </w:pPr>
      <w:r/>
      <w:bookmarkStart w:id="8" w:name="一．报价函（格式）"/>
      <w:r/>
      <w:bookmarkEnd w:id="8"/>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24"/>
          <w:szCs w:val="24"/>
          <w:highlight w:val="none"/>
        </w:rPr>
      </w:r>
      <w:r/>
    </w:p>
    <w:p>
      <w:pPr>
        <w:pStyle w:val="671"/>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71"/>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无锡市食品安全检验检测中心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JSZC-320200-JSZH-G2026-0030</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71"/>
        <w:numPr>
          <w:ilvl w:val="0"/>
          <w:numId w:val="17"/>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15"/>
          <w:rFonts w:hint="eastAsia"/>
          <w:bCs/>
          <w:color w:val="000000"/>
          <w:highlight w:val="none"/>
        </w:rPr>
      </w:pPr>
      <w:r>
        <w:rPr>
          <w:rFonts w:hint="eastAsia" w:ascii="宋体" w:hAnsi="宋体"/>
          <w:bCs/>
          <w:color w:val="000000"/>
          <w:sz w:val="24"/>
          <w:szCs w:val="24"/>
          <w:highlight w:val="none"/>
        </w:rPr>
        <w:t xml:space="preserve">我方愿意提供江苏智汇锡建工程项目管理有限公司在招标文件中要求的文件、资料。</w:t>
      </w:r>
      <w:r>
        <w:rPr>
          <w:rStyle w:val="815"/>
          <w:rFonts w:hint="eastAsia"/>
          <w:bCs/>
          <w:color w:val="000000"/>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我方认为贵局有权决定中标者。</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71"/>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7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67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67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                              传真：</w:t>
      </w:r>
      <w:r>
        <w:rPr>
          <w:rFonts w:ascii="宋体"/>
          <w:bCs/>
          <w:color w:val="000000"/>
          <w:sz w:val="24"/>
          <w:szCs w:val="24"/>
          <w:highlight w:val="none"/>
        </w:rPr>
      </w:r>
      <w:r/>
    </w:p>
    <w:p>
      <w:pPr>
        <w:pStyle w:val="671"/>
        <w:ind w:firstLine="48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通讯地址：                          邮编：</w:t>
      </w:r>
      <w:r>
        <w:rPr>
          <w:rFonts w:hint="eastAsia" w:ascii="宋体" w:hAnsi="宋体"/>
          <w:bCs/>
          <w:color w:val="000000"/>
          <w:sz w:val="24"/>
          <w:szCs w:val="24"/>
          <w:highlight w:val="none"/>
        </w:rPr>
      </w:r>
      <w:r/>
    </w:p>
    <w:p>
      <w:pPr>
        <w:pStyle w:val="671"/>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rPr>
          <w:rFonts w:ascii="黑体" w:eastAsia="黑体"/>
          <w:bCs/>
          <w:color w:val="000000"/>
          <w:sz w:val="28"/>
          <w:szCs w:val="28"/>
          <w:highlight w:val="none"/>
        </w:rPr>
      </w:r>
      <w:r/>
    </w:p>
    <w:p>
      <w:pPr>
        <w:pStyle w:val="671"/>
        <w:spacing w:line="360" w:lineRule="auto"/>
        <w:rPr>
          <w:rFonts w:ascii="黑体" w:eastAsia="黑体"/>
          <w:bCs/>
          <w:color w:val="000000"/>
          <w:sz w:val="36"/>
          <w:highlight w:val="none"/>
        </w:rPr>
      </w:pPr>
      <w:r>
        <w:rPr>
          <w:rFonts w:ascii="黑体" w:eastAsia="黑体"/>
          <w:bCs/>
          <w:color w:val="000000"/>
          <w:sz w:val="36"/>
          <w:highlight w:val="none"/>
        </w:rPr>
      </w:r>
      <w:r/>
    </w:p>
    <w:p>
      <w:pPr>
        <w:pStyle w:val="671"/>
        <w:jc w:val="center"/>
        <w:rPr>
          <w:rFonts w:ascii="黑体" w:eastAsia="黑体"/>
          <w:bCs/>
          <w:color w:val="000000"/>
          <w:sz w:val="28"/>
          <w:szCs w:val="28"/>
          <w:highlight w:val="none"/>
        </w:rPr>
      </w:pPr>
      <w:r/>
      <w:bookmarkStart w:id="9" w:name="报价方关于资格的声明函（格式）"/>
      <w:r/>
      <w:bookmarkEnd w:id="9"/>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671"/>
        <w:jc w:val="center"/>
        <w:rPr>
          <w:rFonts w:ascii="黑体" w:eastAsia="黑体"/>
          <w:bCs/>
          <w:color w:val="000000"/>
          <w:sz w:val="32"/>
          <w:highlight w:val="none"/>
        </w:rPr>
      </w:pPr>
      <w:r>
        <w:rPr>
          <w:rFonts w:ascii="黑体" w:eastAsia="黑体"/>
          <w:bCs/>
          <w:color w:val="000000"/>
          <w:sz w:val="32"/>
          <w:highlight w:val="none"/>
        </w:rPr>
      </w:r>
      <w:r/>
    </w:p>
    <w:p>
      <w:pPr>
        <w:pStyle w:val="671"/>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671"/>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671"/>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无锡市食品安全检验检测中心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spacing w:line="480" w:lineRule="auto"/>
        <w:rPr>
          <w:rFonts w:ascii="宋体"/>
          <w:bCs/>
          <w:color w:val="000000"/>
          <w:sz w:val="24"/>
          <w:szCs w:val="24"/>
          <w:highlight w:val="none"/>
        </w:rPr>
      </w:pPr>
      <w:r>
        <w:rPr>
          <w:rFonts w:ascii="宋体"/>
          <w:bCs/>
          <w:color w:val="000000"/>
          <w:sz w:val="24"/>
          <w:szCs w:val="24"/>
          <w:highlight w:val="none"/>
        </w:rPr>
      </w:r>
      <w:r/>
    </w:p>
    <w:p>
      <w:pPr>
        <w:pStyle w:val="67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我公司（单位）参加本次项目（</w:t>
      </w:r>
      <w:r>
        <w:rPr>
          <w:rFonts w:hint="eastAsia" w:ascii="宋体" w:hAnsi="宋体"/>
          <w:bCs/>
          <w:color w:val="000000"/>
          <w:sz w:val="24"/>
          <w:szCs w:val="24"/>
          <w:highlight w:val="none"/>
          <w:lang w:eastAsia="zh-CN"/>
        </w:rPr>
        <w:t xml:space="preserve">JSZC-320200-JSZH-G2026-0030</w:t>
      </w:r>
      <w:r>
        <w:rPr>
          <w:rFonts w:hint="eastAsia" w:ascii="宋体" w:hAnsi="宋体"/>
          <w:bCs/>
          <w:color w:val="000000"/>
          <w:sz w:val="24"/>
          <w:szCs w:val="24"/>
          <w:highlight w:val="none"/>
        </w:rPr>
        <w:t xml:space="preserve">）政府采购活动前三年内，在经营活动中没有重大违法记录，我公司（单位）愿针对本次项目（</w:t>
      </w:r>
      <w:r>
        <w:rPr>
          <w:rFonts w:hint="eastAsia" w:ascii="宋体" w:hAnsi="宋体"/>
          <w:bCs/>
          <w:color w:val="000000"/>
          <w:sz w:val="24"/>
          <w:szCs w:val="24"/>
          <w:highlight w:val="none"/>
          <w:lang w:eastAsia="zh-CN"/>
        </w:rPr>
        <w:t xml:space="preserve">JSZC-320200-JSZH-G2026-0030</w:t>
      </w:r>
      <w:r>
        <w:rPr>
          <w:rFonts w:hint="eastAsia" w:ascii="宋体" w:hAnsi="宋体"/>
          <w:bCs/>
          <w:color w:val="000000"/>
          <w:sz w:val="24"/>
          <w:szCs w:val="24"/>
          <w:highlight w:val="none"/>
        </w:rPr>
        <w:t xml:space="preserve">）进行投标，投标文件中所有关于投标资格的文件、证明、陈述均是真实的、准确的。若有违背，我公司（单位）愿意承担由此而产生的一切后果。</w:t>
      </w:r>
      <w:r>
        <w:rPr>
          <w:rFonts w:hint="eastAsia" w:ascii="宋体" w:hAnsi="宋体"/>
          <w:bCs/>
          <w:color w:val="000000"/>
          <w:sz w:val="24"/>
          <w:szCs w:val="24"/>
          <w:highlight w:val="none"/>
        </w:rPr>
      </w:r>
      <w:r/>
    </w:p>
    <w:p>
      <w:pPr>
        <w:pStyle w:val="671"/>
        <w:spacing w:line="480" w:lineRule="auto"/>
        <w:rPr>
          <w:rFonts w:ascii="宋体"/>
          <w:bCs/>
          <w:color w:val="000000"/>
          <w:sz w:val="24"/>
          <w:szCs w:val="24"/>
          <w:highlight w:val="none"/>
        </w:rPr>
      </w:pPr>
      <w:r>
        <w:rPr>
          <w:rFonts w:ascii="宋体"/>
          <w:bCs/>
          <w:color w:val="000000"/>
          <w:sz w:val="24"/>
          <w:szCs w:val="24"/>
          <w:highlight w:val="none"/>
        </w:rPr>
      </w:r>
      <w:r/>
    </w:p>
    <w:p>
      <w:pPr>
        <w:pStyle w:val="671"/>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671"/>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671"/>
        <w:spacing w:line="480" w:lineRule="auto"/>
        <w:rPr>
          <w:rFonts w:ascii="宋体"/>
          <w:bCs/>
          <w:color w:val="000000"/>
          <w:sz w:val="24"/>
          <w:szCs w:val="24"/>
          <w:highlight w:val="none"/>
        </w:rPr>
      </w:pPr>
      <w:r>
        <w:rPr>
          <w:rFonts w:ascii="宋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20"/>
        <w:rPr>
          <w:rFonts w:hint="eastAsia" w:ascii="黑体" w:hAnsi="宋体" w:eastAsia="黑体"/>
          <w:bCs/>
          <w:color w:val="000000"/>
          <w:sz w:val="24"/>
          <w:szCs w:val="24"/>
          <w:highlight w:val="none"/>
        </w:rPr>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rPr>
          <w:rFonts w:ascii="黑体" w:eastAsia="黑体"/>
          <w:bCs/>
          <w:color w:val="000000"/>
          <w:sz w:val="28"/>
          <w:szCs w:val="28"/>
          <w:highlight w:val="none"/>
        </w:rPr>
      </w:r>
      <w:r/>
    </w:p>
    <w:p>
      <w:pPr>
        <w:pStyle w:val="671"/>
        <w:rPr>
          <w:rFonts w:ascii="黑体" w:eastAsia="黑体"/>
          <w:bCs/>
          <w:color w:val="000000"/>
          <w:sz w:val="28"/>
          <w:szCs w:val="28"/>
          <w:highlight w:val="none"/>
        </w:rPr>
      </w:pPr>
      <w:r>
        <w:rPr>
          <w:rFonts w:ascii="黑体" w:eastAsia="黑体"/>
          <w:bCs/>
          <w:color w:val="000000"/>
          <w:sz w:val="28"/>
          <w:szCs w:val="28"/>
          <w:highlight w:val="none"/>
        </w:rPr>
      </w:r>
      <w:r/>
    </w:p>
    <w:p>
      <w:pPr>
        <w:pStyle w:val="67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671"/>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671"/>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671"/>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671"/>
        <w:spacing w:line="600" w:lineRule="exact"/>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无锡市食品安全检验检测中心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1"/>
        <w:ind w:firstLine="480"/>
        <w:spacing w:line="600" w:lineRule="exact"/>
        <w:rPr>
          <w:rFonts w:hint="eastAsia" w:ascii="宋体" w:hAnsi="宋体"/>
          <w:bCs/>
          <w:color w:val="000000"/>
          <w:sz w:val="24"/>
          <w:szCs w:val="24"/>
          <w:highlight w:val="none"/>
        </w:rPr>
      </w:pP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JSZC-320200-JSZH-G2026-0030</w:t>
      </w:r>
      <w:r>
        <w:rPr>
          <w:rFonts w:hint="eastAsia" w:ascii="宋体" w:hAnsi="宋体"/>
          <w:bCs/>
          <w:color w:val="000000"/>
          <w:sz w:val="24"/>
          <w:szCs w:val="24"/>
          <w:highlight w:val="none"/>
        </w:rPr>
        <w:t xml:space="preserve">）的投标、参与开标、评标、签约等具体工作，并签署全部有关的文件、协议及合同。</w:t>
      </w:r>
      <w:r>
        <w:rPr>
          <w:rFonts w:hint="eastAsia" w:ascii="宋体" w:hAnsi="宋体"/>
          <w:bCs/>
          <w:color w:val="000000"/>
          <w:sz w:val="24"/>
          <w:szCs w:val="24"/>
          <w:highlight w:val="none"/>
        </w:rPr>
      </w:r>
      <w:r/>
    </w:p>
    <w:p>
      <w:pPr>
        <w:pStyle w:val="671"/>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671"/>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671"/>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671"/>
        <w:ind w:firstLine="525"/>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姓名：          性别：           电话：</w:t>
      </w:r>
      <w:r>
        <w:rPr>
          <w:rFonts w:ascii="宋体"/>
          <w:bCs/>
          <w:color w:val="000000"/>
          <w:sz w:val="24"/>
          <w:szCs w:val="24"/>
          <w:highlight w:val="none"/>
        </w:rPr>
      </w:r>
      <w:r/>
    </w:p>
    <w:p>
      <w:pPr>
        <w:pStyle w:val="671"/>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671"/>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671"/>
        <w:ind w:firstLine="41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671"/>
        <w:ind w:firstLine="40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671"/>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671"/>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（四）（投标人）中小企业声明函（格式）：</w:t>
      </w:r>
      <w:r>
        <w:rPr>
          <w:rFonts w:ascii="黑体" w:eastAsia="黑体"/>
          <w:bCs/>
          <w:color w:val="000000"/>
          <w:sz w:val="28"/>
          <w:szCs w:val="28"/>
          <w:highlight w:val="none"/>
        </w:rPr>
      </w:r>
      <w:r/>
    </w:p>
    <w:p>
      <w:pPr>
        <w:pStyle w:val="671"/>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671"/>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bCs/>
          <w:color w:val="000000"/>
          <w:sz w:val="24"/>
          <w:szCs w:val="24"/>
          <w:highlight w:val="none"/>
        </w:rPr>
      </w:r>
      <w:r/>
    </w:p>
    <w:p>
      <w:pPr>
        <w:pStyle w:val="67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hint="eastAsia" w:ascii="宋体" w:hAnsi="宋体"/>
          <w:bCs/>
          <w:color w:val="000000"/>
          <w:sz w:val="24"/>
          <w:szCs w:val="24"/>
          <w:highlight w:val="none"/>
        </w:rPr>
      </w:r>
      <w:r/>
    </w:p>
    <w:p>
      <w:pPr>
        <w:pStyle w:val="671"/>
        <w:ind w:firstLine="480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671"/>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rPr>
          <w:color w:val="000000"/>
          <w:highlight w:val="none"/>
        </w:rPr>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rPr>
          <w:color w:val="000000"/>
          <w:highlight w:val="none"/>
        </w:rPr>
      </w:r>
      <w:r/>
    </w:p>
    <w:p>
      <w:pPr>
        <w:pStyle w:val="671"/>
        <w:ind w:firstLine="420"/>
        <w:rPr>
          <w:color w:val="000000"/>
          <w:highlight w:val="none"/>
        </w:rPr>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71"/>
        <w:ind w:firstLine="420"/>
        <w:rPr>
          <w:rFonts w:hint="eastAsia" w:ascii="黑体" w:hAnsi="宋体" w:eastAsia="黑体"/>
          <w:bCs/>
          <w:color w:val="000000"/>
          <w:sz w:val="24"/>
          <w:szCs w:val="24"/>
          <w:highlight w:val="none"/>
        </w:rPr>
      </w:pPr>
      <w:r>
        <w:rPr>
          <w:rFonts w:hint="eastAsia"/>
          <w:color w:val="000000"/>
          <w:highlight w:val="none"/>
        </w:rPr>
        <w:t xml:space="preserve">3.投标时本表附在《明细报价表》之后（如有）。</w:t>
      </w: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（五）（投标人）残疾人福利性单位声明函（格式）：</w:t>
      </w:r>
      <w:r>
        <w:rPr>
          <w:rFonts w:hint="eastAsia" w:ascii="黑体" w:hAnsi="宋体" w:eastAsia="黑体"/>
          <w:bCs/>
          <w:color w:val="000000"/>
          <w:sz w:val="24"/>
          <w:szCs w:val="24"/>
          <w:highlight w:val="none"/>
        </w:rPr>
      </w:r>
      <w:r/>
    </w:p>
    <w:p>
      <w:pPr>
        <w:pStyle w:val="671"/>
        <w:spacing w:line="480" w:lineRule="auto"/>
        <w:rPr>
          <w:rFonts w:ascii="宋体"/>
          <w:bCs/>
          <w:color w:val="000000"/>
          <w:sz w:val="24"/>
          <w:szCs w:val="24"/>
          <w:highlight w:val="none"/>
        </w:rPr>
      </w:pPr>
      <w:r>
        <w:rPr>
          <w:rFonts w:ascii="宋体"/>
          <w:bCs/>
          <w:color w:val="000000"/>
          <w:sz w:val="24"/>
          <w:szCs w:val="24"/>
          <w:highlight w:val="none"/>
        </w:rPr>
      </w:r>
      <w:r/>
    </w:p>
    <w:p>
      <w:pPr>
        <w:pStyle w:val="67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71"/>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hint="eastAsia" w:ascii="宋体" w:hAnsi="宋体"/>
          <w:bCs/>
          <w:color w:val="000000"/>
          <w:sz w:val="24"/>
          <w:szCs w:val="24"/>
          <w:highlight w:val="none"/>
        </w:rPr>
      </w:r>
      <w:r/>
    </w:p>
    <w:p>
      <w:pPr>
        <w:pStyle w:val="671"/>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hint="eastAsia" w:ascii="宋体" w:hAnsi="宋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（六）承诺书（格式）：</w:t>
      </w:r>
      <w:r>
        <w:rPr>
          <w:rFonts w:hint="eastAsia" w:ascii="黑体" w:hAnsi="宋体" w:eastAsia="黑体"/>
          <w:bCs/>
          <w:color w:val="000000"/>
          <w:sz w:val="24"/>
          <w:szCs w:val="24"/>
          <w:highlight w:val="none"/>
        </w:rPr>
      </w:r>
      <w:r/>
    </w:p>
    <w:p>
      <w:pPr>
        <w:pStyle w:val="67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1"/>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71"/>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JSZC-320200-JSZH-G2026-0030</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hint="eastAsia" w:ascii="宋体" w:hAnsi="宋体"/>
          <w:color w:val="000000"/>
          <w:sz w:val="24"/>
          <w:szCs w:val="24"/>
          <w:highlight w:val="none"/>
        </w:rPr>
      </w:r>
      <w:r/>
    </w:p>
    <w:p>
      <w:pPr>
        <w:pStyle w:val="671"/>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JSZC-320200-JSZH-G2026-0030</w:t>
      </w:r>
      <w:r>
        <w:rPr>
          <w:rFonts w:hint="eastAsia" w:ascii="宋体" w:hAnsi="宋体"/>
          <w:bCs/>
          <w:color w:val="000000"/>
          <w:sz w:val="24"/>
          <w:szCs w:val="24"/>
          <w:highlight w:val="none"/>
        </w:rPr>
        <w:t xml:space="preserve">）所提供的服务符合招标文件要求；</w:t>
      </w:r>
      <w:r>
        <w:rPr>
          <w:rFonts w:hint="eastAsia" w:ascii="宋体" w:hAnsi="宋体" w:cs="宋体"/>
          <w:color w:val="000000"/>
          <w:sz w:val="24"/>
          <w:szCs w:val="24"/>
          <w:highlight w:val="none"/>
        </w:rPr>
      </w:r>
      <w:r/>
    </w:p>
    <w:p>
      <w:pPr>
        <w:pStyle w:val="671"/>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hint="eastAsia" w:ascii="宋体" w:hAnsi="宋体" w:cs="宋体"/>
          <w:color w:val="000000"/>
          <w:sz w:val="24"/>
          <w:szCs w:val="24"/>
          <w:highlight w:val="none"/>
        </w:rPr>
      </w:r>
      <w:r/>
    </w:p>
    <w:p>
      <w:pPr>
        <w:pStyle w:val="6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Style w:val="816"/>
          <w:rFonts w:hint="eastAsia" w:ascii="宋体" w:hAnsi="宋体"/>
          <w:bCs/>
          <w:color w:val="000000"/>
          <w:sz w:val="24"/>
          <w:szCs w:val="24"/>
          <w:highlight w:val="none"/>
        </w:rPr>
        <w:t xml:space="preserve">www.creditchina.gov.cn</w:t>
      </w:r>
      <w:r>
        <w:rPr>
          <w:rStyle w:val="816"/>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r>
      <w:r/>
    </w:p>
    <w:p>
      <w:pPr>
        <w:pStyle w:val="6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6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6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67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p>
      <w:pPr>
        <w:pStyle w:val="671"/>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p>
      <w:pPr>
        <w:pStyle w:val="671"/>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671"/>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671"/>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67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hint="eastAsia" w:ascii="宋体" w:hAnsi="宋体"/>
          <w:bCs/>
          <w:color w:val="000000"/>
          <w:sz w:val="24"/>
          <w:szCs w:val="24"/>
          <w:highlight w:val="none"/>
        </w:rPr>
      </w:r>
      <w:r/>
    </w:p>
    <w:p>
      <w:pPr>
        <w:pStyle w:val="67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ind w:firstLine="420"/>
        <w:spacing w:line="480" w:lineRule="auto"/>
        <w:rPr>
          <w:rFonts w:ascii="宋体"/>
          <w:bCs/>
          <w:color w:val="000000"/>
          <w:sz w:val="24"/>
          <w:szCs w:val="24"/>
          <w:highlight w:val="none"/>
        </w:rPr>
      </w:pPr>
      <w:r>
        <w:rPr>
          <w:rFonts w:hint="eastAsia" w:ascii="宋体" w:hAnsi="宋体"/>
          <w:bCs/>
          <w:color w:val="000000"/>
          <w:szCs w:val="21"/>
          <w:highlight w:val="none"/>
        </w:rPr>
        <w:t xml:space="preserve">注：以上内容由投标单位根据采购要求可自行完善。</w:t>
      </w:r>
      <w:r>
        <w:rPr>
          <w:rFonts w:ascii="宋体"/>
          <w:bCs/>
          <w:color w:val="000000"/>
          <w:sz w:val="24"/>
          <w:szCs w:val="24"/>
          <w:highlight w:val="none"/>
        </w:rPr>
      </w:r>
      <w:r/>
    </w:p>
    <w:p>
      <w:pPr>
        <w:pStyle w:val="6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jc w:val="left"/>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（七）开标一览表（格式）：</w:t>
      </w:r>
      <w:r>
        <w:rPr>
          <w:rFonts w:ascii="黑体" w:eastAsia="黑体"/>
          <w:bCs/>
          <w:color w:val="000000"/>
          <w:sz w:val="28"/>
          <w:szCs w:val="28"/>
          <w:highlight w:val="none"/>
        </w:rPr>
      </w:r>
      <w:r/>
    </w:p>
    <w:p>
      <w:pPr>
        <w:pStyle w:val="67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1"/>
        <w:spacing w:line="300" w:lineRule="auto"/>
        <w:rPr>
          <w:rFonts w:hint="eastAsia" w:ascii="宋体" w:hAnsi="宋体" w:cs="宋体"/>
          <w:color w:val="000000"/>
          <w:highlight w:val="none"/>
        </w:rPr>
      </w:pPr>
      <w:r>
        <w:rPr>
          <w:rFonts w:hint="eastAsia" w:ascii="宋体" w:hAnsi="宋体" w:cs="宋体"/>
          <w:color w:val="000000"/>
          <w:highlight w:val="none"/>
        </w:rPr>
      </w:r>
      <w:r/>
    </w:p>
    <w:p>
      <w:pPr>
        <w:pStyle w:val="671"/>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JSZC-320200-JSZH-G2026-0030</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trHeight w:val="567"/>
        </w:trPr>
        <w:tc>
          <w:tcPr>
            <w:tcW w:w="5282" w:type="dxa"/>
            <w:vAlign w:val="center"/>
            <w:textDirection w:val="lrTb"/>
            <w:noWrap/>
          </w:tcPr>
          <w:p>
            <w:pPr>
              <w:pStyle w:val="671"/>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项目名称</w:t>
            </w:r>
            <w:r>
              <w:rPr>
                <w:rFonts w:hint="eastAsia" w:ascii="宋体" w:hAnsi="宋体"/>
                <w:b/>
                <w:bCs/>
                <w:color w:val="000000"/>
                <w:sz w:val="24"/>
                <w:szCs w:val="24"/>
                <w:highlight w:val="none"/>
              </w:rPr>
            </w:r>
            <w:r/>
          </w:p>
        </w:tc>
        <w:tc>
          <w:tcPr>
            <w:tcW w:w="4798" w:type="dxa"/>
            <w:vAlign w:val="center"/>
            <w:textDirection w:val="lrTb"/>
            <w:noWrap/>
          </w:tcPr>
          <w:p>
            <w:pPr>
              <w:pStyle w:val="671"/>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投标报价</w:t>
            </w:r>
            <w:r>
              <w:rPr>
                <w:rFonts w:hint="eastAsia" w:ascii="宋体" w:hAnsi="宋体"/>
                <w:b/>
                <w:bCs/>
                <w:color w:val="000000"/>
                <w:sz w:val="24"/>
                <w:szCs w:val="24"/>
                <w:highlight w:val="none"/>
              </w:rPr>
            </w:r>
            <w:r/>
          </w:p>
        </w:tc>
      </w:tr>
      <w:tr>
        <w:trPr>
          <w:cantSplit/>
          <w:trHeight w:val="1229"/>
        </w:trPr>
        <w:tc>
          <w:tcPr>
            <w:tcW w:w="5282" w:type="dxa"/>
            <w:vAlign w:val="center"/>
            <w:textDirection w:val="lrTb"/>
            <w:noWrap/>
          </w:tcPr>
          <w:p>
            <w:pPr>
              <w:pStyle w:val="972"/>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2026年度食堂外包运营服务项目</w:t>
            </w:r>
            <w:r>
              <w:rPr>
                <w:rFonts w:hint="eastAsia" w:hAnsi="宋体" w:eastAsia="宋体"/>
                <w:bCs/>
                <w:color w:val="000000"/>
                <w:szCs w:val="24"/>
                <w:highlight w:val="none"/>
                <w:lang w:eastAsia="zh-CN"/>
              </w:rPr>
            </w:r>
            <w:r/>
          </w:p>
        </w:tc>
        <w:tc>
          <w:tcPr>
            <w:tcW w:w="4798" w:type="dxa"/>
            <w:vAlign w:val="center"/>
            <w:textDirection w:val="lrTb"/>
            <w:noWrap/>
          </w:tcPr>
          <w:p>
            <w:pPr>
              <w:pStyle w:val="972"/>
              <w:spacing w:line="360" w:lineRule="auto"/>
              <w:rPr>
                <w:rFonts w:hint="eastAsia" w:hAnsi="宋体"/>
                <w:bCs/>
                <w:color w:val="000000"/>
                <w:szCs w:val="24"/>
                <w:highlight w:val="none"/>
              </w:rPr>
            </w:pPr>
            <w:r>
              <w:rPr>
                <w:rFonts w:hint="eastAsia" w:hAnsi="宋体"/>
                <w:bCs/>
                <w:color w:val="000000"/>
                <w:szCs w:val="24"/>
                <w:highlight w:val="none"/>
              </w:rPr>
              <w:t xml:space="preserve">投标报价（小写）：</w:t>
            </w:r>
            <w:r>
              <w:rPr>
                <w:rFonts w:hint="eastAsia" w:hAnsi="宋体"/>
                <w:bCs/>
                <w:color w:val="000000"/>
                <w:szCs w:val="24"/>
                <w:highlight w:val="none"/>
                <w:u w:val="single"/>
              </w:rPr>
              <w:t xml:space="preserve">           </w:t>
            </w:r>
            <w:r>
              <w:rPr>
                <w:rFonts w:hint="eastAsia" w:hAnsi="宋体"/>
                <w:bCs/>
                <w:color w:val="000000"/>
                <w:szCs w:val="24"/>
                <w:highlight w:val="none"/>
              </w:rPr>
              <w:t xml:space="preserve">元　　　        </w:t>
            </w:r>
            <w:r>
              <w:rPr>
                <w:rFonts w:hint="eastAsia" w:hAnsi="宋体"/>
                <w:bCs/>
                <w:color w:val="000000"/>
                <w:szCs w:val="24"/>
                <w:highlight w:val="none"/>
              </w:rPr>
            </w:r>
            <w:r/>
          </w:p>
          <w:p>
            <w:pPr>
              <w:pStyle w:val="972"/>
              <w:spacing w:line="360" w:lineRule="auto"/>
              <w:rPr>
                <w:bCs/>
                <w:color w:val="000000"/>
                <w:highlight w:val="none"/>
              </w:rPr>
            </w:pPr>
            <w:r>
              <w:rPr>
                <w:rFonts w:hint="eastAsia" w:hAnsi="宋体"/>
                <w:bCs/>
                <w:color w:val="000000"/>
                <w:szCs w:val="24"/>
                <w:highlight w:val="none"/>
              </w:rPr>
              <w:t xml:space="preserve">投标报价（大写）：</w:t>
            </w:r>
            <w:r>
              <w:rPr>
                <w:rFonts w:hint="eastAsia" w:hAnsi="宋体"/>
                <w:bCs/>
                <w:color w:val="000000"/>
                <w:szCs w:val="24"/>
                <w:highlight w:val="none"/>
                <w:u w:val="single"/>
              </w:rPr>
              <w:t xml:space="preserve"> 　</w:t>
            </w:r>
            <w:r>
              <w:rPr>
                <w:rFonts w:hint="eastAsia"/>
                <w:bCs/>
                <w:color w:val="000000"/>
                <w:highlight w:val="none"/>
                <w:u w:val="single"/>
              </w:rPr>
              <w:t xml:space="preserve">　　     </w:t>
            </w:r>
            <w:r>
              <w:rPr>
                <w:bCs/>
                <w:color w:val="000000"/>
                <w:highlight w:val="none"/>
              </w:rPr>
            </w:r>
            <w:r/>
          </w:p>
        </w:tc>
      </w:tr>
      <w:tr>
        <w:trPr>
          <w:cantSplit/>
          <w:trHeight w:val="641"/>
        </w:trPr>
        <w:tc>
          <w:tcPr>
            <w:gridSpan w:val="2"/>
            <w:tcW w:w="10080" w:type="dxa"/>
            <w:vAlign w:val="center"/>
            <w:textDirection w:val="lrTb"/>
            <w:noWrap/>
          </w:tcPr>
          <w:p>
            <w:pPr>
              <w:pStyle w:val="671"/>
              <w:jc w:val="left"/>
              <w:spacing w:line="300" w:lineRule="auto"/>
              <w:rPr>
                <w:rFonts w:hint="eastAsia" w:ascii="宋体" w:hAnsi="宋体" w:cs="宋体"/>
                <w:color w:val="000000"/>
                <w:sz w:val="24"/>
                <w:highlight w:val="none"/>
              </w:rPr>
            </w:pPr>
            <w:r>
              <w:rPr>
                <w:rFonts w:hint="eastAsia" w:ascii="宋体" w:hAnsi="宋体"/>
                <w:color w:val="000000"/>
                <w:sz w:val="24"/>
                <w:highlight w:val="none"/>
              </w:rPr>
              <w:t xml:space="preserve">服务期：</w:t>
            </w:r>
            <w:r>
              <w:rPr>
                <w:rFonts w:hint="eastAsia" w:ascii="宋体" w:hAnsi="宋体" w:cs="宋体"/>
                <w:color w:val="000000"/>
                <w:sz w:val="24"/>
                <w:highlight w:val="none"/>
              </w:rPr>
            </w:r>
            <w:r/>
          </w:p>
        </w:tc>
      </w:tr>
      <w:tr>
        <w:trPr>
          <w:cantSplit/>
          <w:trHeight w:val="826"/>
        </w:trPr>
        <w:tc>
          <w:tcPr>
            <w:gridSpan w:val="2"/>
            <w:tcW w:w="10080" w:type="dxa"/>
            <w:vAlign w:val="center"/>
            <w:textDirection w:val="lrTb"/>
            <w:noWrap/>
          </w:tcPr>
          <w:p>
            <w:pPr>
              <w:pStyle w:val="671"/>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服务质量：</w:t>
            </w:r>
            <w:r>
              <w:rPr>
                <w:rFonts w:hint="eastAsia" w:ascii="宋体" w:hAnsi="宋体" w:cs="宋体"/>
                <w:color w:val="000000"/>
                <w:sz w:val="24"/>
                <w:highlight w:val="none"/>
              </w:rPr>
            </w:r>
            <w:r/>
          </w:p>
        </w:tc>
      </w:tr>
      <w:tr>
        <w:trPr>
          <w:cantSplit/>
          <w:trHeight w:val="788"/>
        </w:trPr>
        <w:tc>
          <w:tcPr>
            <w:gridSpan w:val="2"/>
            <w:tcW w:w="10080" w:type="dxa"/>
            <w:vAlign w:val="center"/>
            <w:textDirection w:val="lrTb"/>
            <w:noWrap/>
          </w:tcPr>
          <w:p>
            <w:pPr>
              <w:pStyle w:val="671"/>
              <w:jc w:val="left"/>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rPr>
                <w:rFonts w:hint="eastAsia" w:ascii="宋体" w:hAnsi="宋体" w:cs="宋体"/>
                <w:color w:val="000000"/>
                <w:sz w:val="24"/>
                <w:highlight w:val="none"/>
              </w:rPr>
            </w:r>
            <w:r/>
          </w:p>
        </w:tc>
      </w:tr>
    </w:tbl>
    <w:p>
      <w:pPr>
        <w:pStyle w:val="671"/>
        <w:spacing w:before="5"/>
        <w:rPr>
          <w:b/>
          <w:bCs/>
          <w:color w:val="000000"/>
          <w:sz w:val="24"/>
          <w:szCs w:val="24"/>
          <w:highlight w:val="none"/>
        </w:rPr>
      </w:pPr>
      <w:r>
        <w:rPr>
          <w:b/>
          <w:bCs/>
          <w:color w:val="000000"/>
          <w:sz w:val="24"/>
          <w:szCs w:val="24"/>
          <w:highlight w:val="none"/>
        </w:rPr>
      </w:r>
      <w:r/>
    </w:p>
    <w:p>
      <w:pPr>
        <w:pStyle w:val="671"/>
        <w:spacing w:before="5"/>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671"/>
        <w:spacing w:line="400" w:lineRule="exact"/>
        <w:rPr>
          <w:rFonts w:ascii="黑体" w:eastAsia="黑体"/>
          <w:bCs/>
          <w:color w:val="000000"/>
          <w:sz w:val="32"/>
          <w:highlight w:val="none"/>
        </w:rPr>
      </w:pPr>
      <w:r>
        <w:rPr>
          <w:rFonts w:ascii="黑体" w:eastAsia="黑体"/>
          <w:bCs/>
          <w:color w:val="000000"/>
          <w:sz w:val="32"/>
          <w:highlight w:val="none"/>
        </w:rPr>
      </w:r>
      <w:r/>
    </w:p>
    <w:p>
      <w:pPr>
        <w:pStyle w:val="671"/>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填写说明：</w:t>
      </w:r>
      <w:r>
        <w:rPr>
          <w:rFonts w:hint="eastAsia" w:ascii="宋体" w:hAnsi="宋体" w:cs="宋体"/>
          <w:b/>
          <w:bCs/>
          <w:color w:val="000000"/>
          <w:sz w:val="24"/>
          <w:highlight w:val="none"/>
        </w:rPr>
      </w:r>
      <w:r/>
    </w:p>
    <w:p>
      <w:pPr>
        <w:pStyle w:val="671"/>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1.评标时一律按开标一览表中内容为准，开标一览表中必须盖章或签字。</w:t>
      </w:r>
      <w:r>
        <w:rPr>
          <w:rFonts w:hint="eastAsia" w:ascii="宋体" w:hAnsi="宋体" w:cs="宋体"/>
          <w:b/>
          <w:bCs/>
          <w:color w:val="000000"/>
          <w:sz w:val="24"/>
          <w:highlight w:val="none"/>
        </w:rPr>
      </w:r>
      <w:r/>
    </w:p>
    <w:p>
      <w:pPr>
        <w:pStyle w:val="671"/>
        <w:spacing w:line="500" w:lineRule="exact"/>
        <w:rPr>
          <w:rFonts w:hint="eastAsia" w:ascii="宋体" w:hAnsi="宋体" w:cs="宋体"/>
          <w:b/>
          <w:color w:val="000000"/>
          <w:sz w:val="24"/>
          <w:highlight w:val="none"/>
        </w:rPr>
      </w:pPr>
      <w:r>
        <w:rPr>
          <w:rFonts w:hint="eastAsia" w:ascii="宋体" w:hAnsi="宋体" w:cs="宋体"/>
          <w:b/>
          <w:bCs/>
          <w:color w:val="000000"/>
          <w:sz w:val="24"/>
          <w:highlight w:val="none"/>
        </w:rPr>
        <w:t xml:space="preserve">2.供应商的投标报价的总额应是供应商在报价文件中提出的各项支付金额的总和，也应是完成投标文件所列采购需求的全部费用。</w:t>
      </w:r>
      <w:r>
        <w:rPr>
          <w:rFonts w:hint="eastAsia" w:ascii="宋体" w:hAnsi="宋体" w:cs="宋体"/>
          <w:b/>
          <w:color w:val="000000"/>
          <w:sz w:val="24"/>
          <w:highlight w:val="none"/>
        </w:rPr>
      </w:r>
      <w:r/>
    </w:p>
    <w:p>
      <w:pPr>
        <w:pStyle w:val="671"/>
        <w:rPr>
          <w:rFonts w:ascii="黑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（八）报价明细表（格式）：</w:t>
      </w:r>
      <w:r>
        <w:rPr>
          <w:rFonts w:ascii="黑体" w:eastAsia="黑体"/>
          <w:bCs/>
          <w:color w:val="000000"/>
          <w:sz w:val="28"/>
          <w:szCs w:val="28"/>
          <w:highlight w:val="none"/>
        </w:rPr>
      </w:r>
      <w:r/>
    </w:p>
    <w:p>
      <w:pPr>
        <w:pStyle w:val="671"/>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投标明细报价表</w:t>
      </w:r>
      <w:r>
        <w:rPr>
          <w:rFonts w:hint="eastAsia" w:ascii="宋体" w:hAnsi="宋体" w:cs="宋体"/>
          <w:bCs/>
          <w:color w:val="000000"/>
          <w:sz w:val="24"/>
          <w:highlight w:val="none"/>
        </w:rPr>
      </w:r>
      <w:r/>
    </w:p>
    <w:p>
      <w:pPr>
        <w:pStyle w:val="67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投标供应商名称（盖章）                                 项目编号： </w:t>
      </w:r>
      <w:r>
        <w:rPr>
          <w:rFonts w:hint="eastAsia" w:ascii="宋体" w:hAnsi="宋体" w:cs="宋体"/>
          <w:bCs/>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693"/>
        <w:gridCol w:w="993"/>
        <w:gridCol w:w="992"/>
        <w:gridCol w:w="1772"/>
        <w:gridCol w:w="1630"/>
        <w:gridCol w:w="913"/>
      </w:tblGrid>
      <w:tr>
        <w:trPr>
          <w:trHeight w:val="607"/>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ascii="宋体" w:hAnsi="宋体" w:eastAsia="宋体" w:cs="宋体"/>
                <w:b/>
                <w:sz w:val="21"/>
                <w:szCs w:val="21"/>
                <w:highlight w:val="none"/>
              </w:rPr>
            </w:r>
            <w:r/>
          </w:p>
        </w:tc>
        <w:tc>
          <w:tcPr>
            <w:tcW w:w="2693"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项目名称</w:t>
            </w: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b/>
                <w:sz w:val="21"/>
                <w:szCs w:val="21"/>
                <w:highlight w:val="none"/>
              </w:rPr>
            </w:pPr>
            <w:r>
              <w:rPr>
                <w:rFonts w:ascii="宋体" w:hAnsi="宋体" w:eastAsia="宋体" w:cs="宋体"/>
                <w:b/>
                <w:sz w:val="21"/>
                <w:szCs w:val="21"/>
                <w:highlight w:val="none"/>
              </w:rPr>
              <w:t xml:space="preserve">单位</w:t>
            </w:r>
            <w:r>
              <w:rPr>
                <w:rFonts w:ascii="宋体" w:hAnsi="宋体" w:eastAsia="宋体" w:cs="宋体"/>
                <w:b/>
                <w:sz w:val="21"/>
                <w:szCs w:val="21"/>
                <w:highlight w:val="none"/>
              </w:rPr>
            </w:r>
            <w:r/>
          </w:p>
        </w:tc>
        <w:tc>
          <w:tcPr>
            <w:tcW w:w="992" w:type="dxa"/>
            <w:vAlign w:val="center"/>
            <w:textDirection w:val="lrTb"/>
            <w:noWrap w:val="false"/>
          </w:tcPr>
          <w:p>
            <w:pPr>
              <w:pStyle w:val="671"/>
              <w:jc w:val="center"/>
              <w:rPr>
                <w:rFonts w:ascii="宋体" w:hAnsi="宋体" w:eastAsia="宋体" w:cs="宋体"/>
                <w:b/>
                <w:sz w:val="21"/>
                <w:szCs w:val="21"/>
                <w:highlight w:val="none"/>
              </w:rPr>
            </w:pPr>
            <w:r>
              <w:rPr>
                <w:rFonts w:ascii="宋体" w:hAnsi="宋体" w:eastAsia="宋体" w:cs="宋体"/>
                <w:b/>
                <w:sz w:val="21"/>
                <w:szCs w:val="21"/>
                <w:highlight w:val="none"/>
              </w:rPr>
              <w:t xml:space="preserve">数量</w:t>
            </w:r>
            <w:r>
              <w:rPr>
                <w:rFonts w:ascii="宋体" w:hAnsi="宋体" w:eastAsia="宋体" w:cs="宋体"/>
                <w:b/>
                <w:sz w:val="21"/>
                <w:szCs w:val="21"/>
                <w:highlight w:val="none"/>
              </w:rPr>
            </w:r>
            <w:r/>
          </w:p>
        </w:tc>
        <w:tc>
          <w:tcPr>
            <w:tcW w:w="1772"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单价</w:t>
            </w:r>
            <w:r>
              <w:rPr>
                <w:rFonts w:hint="eastAsia" w:ascii="宋体" w:hAnsi="宋体" w:eastAsia="宋体" w:cs="宋体"/>
                <w:b/>
                <w:sz w:val="21"/>
                <w:szCs w:val="21"/>
                <w:highlight w:val="none"/>
              </w:rPr>
              <w:t xml:space="preserve">（元/月）</w:t>
            </w:r>
            <w:r>
              <w:rPr>
                <w:rFonts w:ascii="宋体" w:hAnsi="宋体" w:eastAsia="宋体" w:cs="宋体"/>
                <w:b/>
                <w:sz w:val="21"/>
                <w:szCs w:val="21"/>
                <w:highlight w:val="none"/>
              </w:rPr>
            </w:r>
            <w:r/>
          </w:p>
        </w:tc>
        <w:tc>
          <w:tcPr>
            <w:tcW w:w="1630"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合价（元/年）</w:t>
            </w:r>
            <w:r>
              <w:rPr>
                <w:rFonts w:ascii="宋体" w:hAnsi="宋体" w:eastAsia="宋体" w:cs="宋体"/>
                <w:b/>
                <w:sz w:val="21"/>
                <w:szCs w:val="21"/>
                <w:highlight w:val="none"/>
              </w:rPr>
            </w:r>
            <w:r/>
          </w:p>
        </w:tc>
        <w:tc>
          <w:tcPr>
            <w:tcW w:w="913"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备注</w:t>
            </w:r>
            <w:r>
              <w:rPr>
                <w:rFonts w:ascii="宋体" w:hAnsi="宋体" w:eastAsia="宋体" w:cs="宋体"/>
                <w:b/>
                <w:sz w:val="21"/>
                <w:szCs w:val="21"/>
                <w:highlight w:val="none"/>
              </w:rPr>
            </w:r>
            <w:r/>
          </w:p>
        </w:tc>
      </w:tr>
      <w:tr>
        <w:trPr>
          <w:trHeight w:val="436"/>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1</w:t>
            </w:r>
            <w:r>
              <w:rPr>
                <w:rFonts w:ascii="宋体" w:hAnsi="宋体" w:eastAsia="宋体" w:cs="宋体"/>
                <w:b/>
                <w:sz w:val="21"/>
                <w:szCs w:val="21"/>
                <w:highlight w:val="none"/>
              </w:rPr>
            </w:r>
            <w:r/>
          </w:p>
        </w:tc>
        <w:tc>
          <w:tcPr>
            <w:tcW w:w="2693" w:type="dxa"/>
            <w:vAlign w:val="top"/>
            <w:textDirection w:val="lrTb"/>
            <w:noWrap w:val="false"/>
          </w:tcPr>
          <w:p>
            <w:pPr>
              <w:pStyle w:val="671"/>
              <w:jc w:val="center"/>
              <w:rPr>
                <w:rFonts w:ascii="宋体" w:hAnsi="宋体" w:eastAsia="宋体" w:cs="宋体"/>
                <w:b/>
                <w:sz w:val="21"/>
                <w:szCs w:val="21"/>
                <w:highlight w:val="none"/>
              </w:rPr>
            </w:pP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457"/>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2</w:t>
            </w:r>
            <w:r>
              <w:rPr>
                <w:rFonts w:ascii="宋体" w:hAnsi="宋体" w:eastAsia="宋体" w:cs="宋体"/>
                <w:b/>
                <w:sz w:val="21"/>
                <w:szCs w:val="21"/>
                <w:highlight w:val="none"/>
              </w:rPr>
            </w:r>
            <w:r/>
          </w:p>
        </w:tc>
        <w:tc>
          <w:tcPr>
            <w:tcW w:w="2693" w:type="dxa"/>
            <w:vAlign w:val="top"/>
            <w:textDirection w:val="lrTb"/>
            <w:noWrap w:val="false"/>
          </w:tcPr>
          <w:p>
            <w:pPr>
              <w:pStyle w:val="671"/>
              <w:jc w:val="center"/>
              <w:rPr>
                <w:rFonts w:ascii="宋体" w:hAnsi="宋体" w:eastAsia="宋体" w:cs="宋体"/>
                <w:b/>
                <w:sz w:val="21"/>
                <w:szCs w:val="21"/>
                <w:highlight w:val="none"/>
              </w:rPr>
            </w:pP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rPr>
                <w:rFonts w:ascii="宋体" w:hAnsi="宋体" w:eastAsia="宋体" w:cs="宋体"/>
                <w:sz w:val="21"/>
                <w:szCs w:val="21"/>
                <w:highlight w:val="none"/>
              </w:rPr>
            </w:pPr>
            <w:r>
              <w:rPr>
                <w:rFonts w:ascii="宋体" w:hAnsi="宋体" w:eastAsia="宋体" w:cs="宋体"/>
                <w:sz w:val="21"/>
                <w:szCs w:val="21"/>
                <w:highlight w:val="none"/>
              </w:rPr>
            </w:r>
            <w:r/>
          </w:p>
        </w:tc>
      </w:tr>
      <w:tr>
        <w:trPr>
          <w:trHeight w:val="555"/>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3</w:t>
            </w:r>
            <w:r>
              <w:rPr>
                <w:rFonts w:ascii="宋体" w:hAnsi="宋体" w:eastAsia="宋体" w:cs="宋体"/>
                <w:b/>
                <w:sz w:val="21"/>
                <w:szCs w:val="21"/>
                <w:highlight w:val="none"/>
              </w:rPr>
            </w:r>
            <w:r/>
          </w:p>
        </w:tc>
        <w:tc>
          <w:tcPr>
            <w:tcW w:w="2693" w:type="dxa"/>
            <w:vAlign w:val="center"/>
            <w:textDirection w:val="lrTb"/>
            <w:noWrap w:val="false"/>
          </w:tcPr>
          <w:p>
            <w:pPr>
              <w:pStyle w:val="671"/>
              <w:jc w:val="center"/>
              <w:rPr>
                <w:rFonts w:ascii="宋体" w:hAnsi="宋体" w:eastAsia="宋体" w:cs="宋体"/>
                <w:b/>
                <w:sz w:val="21"/>
                <w:szCs w:val="21"/>
                <w:highlight w:val="none"/>
              </w:rPr>
            </w:pP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559"/>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4</w:t>
            </w:r>
            <w:r>
              <w:rPr>
                <w:rFonts w:ascii="宋体" w:hAnsi="宋体" w:eastAsia="宋体" w:cs="宋体"/>
                <w:b/>
                <w:sz w:val="21"/>
                <w:szCs w:val="21"/>
                <w:highlight w:val="none"/>
              </w:rPr>
            </w:r>
            <w:r/>
          </w:p>
        </w:tc>
        <w:tc>
          <w:tcPr>
            <w:tcW w:w="2693" w:type="dxa"/>
            <w:vAlign w:val="center"/>
            <w:textDirection w:val="lrTb"/>
            <w:noWrap w:val="false"/>
          </w:tcPr>
          <w:p>
            <w:pPr>
              <w:pStyle w:val="671"/>
              <w:jc w:val="left"/>
              <w:rPr>
                <w:rFonts w:ascii="宋体" w:hAnsi="宋体" w:eastAsia="宋体" w:cs="宋体"/>
                <w:b/>
                <w:sz w:val="21"/>
                <w:szCs w:val="21"/>
                <w:highlight w:val="none"/>
              </w:rPr>
            </w:pP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529"/>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5</w:t>
            </w:r>
            <w:r>
              <w:rPr>
                <w:rFonts w:ascii="宋体" w:hAnsi="宋体" w:eastAsia="宋体" w:cs="宋体"/>
                <w:b/>
                <w:sz w:val="21"/>
                <w:szCs w:val="21"/>
                <w:highlight w:val="none"/>
              </w:rPr>
            </w:r>
            <w:r/>
          </w:p>
        </w:tc>
        <w:tc>
          <w:tcPr>
            <w:tcW w:w="2693" w:type="dxa"/>
            <w:vAlign w:val="center"/>
            <w:textDirection w:val="lrTb"/>
            <w:noWrap w:val="false"/>
          </w:tcPr>
          <w:p>
            <w:pPr>
              <w:pStyle w:val="671"/>
              <w:jc w:val="left"/>
              <w:rPr>
                <w:rFonts w:ascii="宋体" w:hAnsi="宋体" w:eastAsia="宋体" w:cs="宋体"/>
                <w:b/>
                <w:sz w:val="21"/>
                <w:szCs w:val="21"/>
                <w:highlight w:val="none"/>
              </w:rPr>
            </w:pP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510"/>
        </w:trPr>
        <w:tc>
          <w:tcPr>
            <w:tcW w:w="817" w:type="dxa"/>
            <w:vAlign w:val="center"/>
            <w:textDirection w:val="lrTb"/>
            <w:noWrap w:val="false"/>
          </w:tcPr>
          <w:p>
            <w:pPr>
              <w:pStyle w:val="671"/>
              <w:jc w:val="center"/>
              <w:rPr>
                <w:rFonts w:ascii="宋体" w:hAnsi="宋体" w:eastAsia="宋体" w:cs="宋体"/>
                <w:b/>
                <w:sz w:val="21"/>
                <w:szCs w:val="21"/>
                <w:highlight w:val="none"/>
              </w:rPr>
            </w:pPr>
            <w:r>
              <w:rPr>
                <w:rFonts w:hint="eastAsia" w:ascii="宋体" w:hAnsi="宋体" w:eastAsia="宋体" w:cs="宋体"/>
                <w:b/>
                <w:sz w:val="21"/>
                <w:szCs w:val="21"/>
                <w:highlight w:val="none"/>
              </w:rPr>
              <w:t xml:space="preserve">6</w:t>
            </w:r>
            <w:r>
              <w:rPr>
                <w:rFonts w:ascii="宋体" w:hAnsi="宋体" w:eastAsia="宋体" w:cs="宋体"/>
                <w:b/>
                <w:sz w:val="21"/>
                <w:szCs w:val="21"/>
                <w:highlight w:val="none"/>
              </w:rPr>
            </w:r>
            <w:r/>
          </w:p>
        </w:tc>
        <w:tc>
          <w:tcPr>
            <w:tcW w:w="2693" w:type="dxa"/>
            <w:vAlign w:val="center"/>
            <w:textDirection w:val="lrTb"/>
            <w:noWrap w:val="false"/>
          </w:tcPr>
          <w:p>
            <w:pPr>
              <w:pStyle w:val="671"/>
              <w:jc w:val="left"/>
              <w:rPr>
                <w:rFonts w:ascii="宋体" w:hAnsi="宋体" w:eastAsia="宋体" w:cs="宋体"/>
                <w:b/>
                <w:sz w:val="21"/>
                <w:szCs w:val="21"/>
                <w:highlight w:val="none"/>
              </w:rPr>
            </w:pPr>
            <w:r>
              <w:rPr>
                <w:rFonts w:ascii="宋体" w:hAnsi="宋体" w:eastAsia="宋体" w:cs="宋体"/>
                <w:b/>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541"/>
        </w:trPr>
        <w:tc>
          <w:tcPr>
            <w:tcW w:w="817" w:type="dxa"/>
            <w:vAlign w:val="center"/>
            <w:textDirection w:val="lrTb"/>
            <w:noWrap w:val="false"/>
          </w:tcPr>
          <w:p>
            <w:pPr>
              <w:pStyle w:val="671"/>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ascii="宋体" w:hAnsi="宋体" w:eastAsia="宋体" w:cs="宋体"/>
                <w:sz w:val="21"/>
                <w:szCs w:val="21"/>
                <w:highlight w:val="none"/>
              </w:rPr>
            </w:r>
            <w:r/>
          </w:p>
        </w:tc>
        <w:tc>
          <w:tcPr>
            <w:tcW w:w="26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9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77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1630"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r>
        <w:trPr>
          <w:trHeight w:val="541"/>
        </w:trPr>
        <w:tc>
          <w:tcPr>
            <w:tcW w:w="817"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2693" w:type="dxa"/>
            <w:vAlign w:val="center"/>
            <w:textDirection w:val="lrTb"/>
            <w:noWrap w:val="false"/>
          </w:tcPr>
          <w:p>
            <w:pPr>
              <w:pStyle w:val="671"/>
              <w:jc w:val="left"/>
              <w:rPr>
                <w:rFonts w:ascii="宋体" w:hAnsi="宋体" w:eastAsia="宋体" w:cs="宋体"/>
                <w:b/>
                <w:sz w:val="21"/>
                <w:szCs w:val="21"/>
                <w:highlight w:val="none"/>
              </w:rPr>
            </w:pPr>
            <w:r>
              <w:rPr>
                <w:rFonts w:hint="eastAsia" w:ascii="宋体" w:hAnsi="宋体" w:eastAsia="宋体" w:cs="宋体"/>
                <w:b/>
                <w:sz w:val="21"/>
                <w:szCs w:val="21"/>
                <w:highlight w:val="none"/>
              </w:rPr>
              <w:t xml:space="preserve">合计：</w:t>
            </w:r>
            <w:r>
              <w:rPr>
                <w:rFonts w:ascii="宋体" w:hAnsi="宋体" w:eastAsia="宋体" w:cs="宋体"/>
                <w:b/>
                <w:sz w:val="21"/>
                <w:szCs w:val="21"/>
                <w:highlight w:val="none"/>
              </w:rPr>
            </w:r>
            <w:r/>
          </w:p>
        </w:tc>
        <w:tc>
          <w:tcPr>
            <w:gridSpan w:val="2"/>
            <w:tcW w:w="1985"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3402"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c>
          <w:tcPr>
            <w:tcW w:w="913" w:type="dxa"/>
            <w:vAlign w:val="center"/>
            <w:textDirection w:val="lrTb"/>
            <w:noWrap w:val="false"/>
          </w:tcPr>
          <w:p>
            <w:pPr>
              <w:pStyle w:val="671"/>
              <w:jc w:val="center"/>
              <w:rPr>
                <w:rFonts w:ascii="宋体" w:hAnsi="宋体" w:eastAsia="宋体" w:cs="宋体"/>
                <w:sz w:val="21"/>
                <w:szCs w:val="21"/>
                <w:highlight w:val="none"/>
              </w:rPr>
            </w:pPr>
            <w:r>
              <w:rPr>
                <w:rFonts w:ascii="宋体" w:hAnsi="宋体" w:eastAsia="宋体" w:cs="宋体"/>
                <w:sz w:val="21"/>
                <w:szCs w:val="21"/>
                <w:highlight w:val="none"/>
              </w:rPr>
            </w:r>
            <w:r/>
          </w:p>
        </w:tc>
      </w:tr>
    </w:tbl>
    <w:p>
      <w:pPr>
        <w:pStyle w:val="671"/>
        <w:ind w:firstLine="480"/>
        <w:jc w:val="both"/>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w:t>
      </w:r>
      <w:bookmarkStart w:id="10" w:name="_Toc8964"/>
      <w:r>
        <w:rPr>
          <w:rFonts w:hint="eastAsia" w:ascii="宋体" w:hAnsi="宋体" w:eastAsia="宋体" w:cs="Times New Roman"/>
          <w:color w:val="000000"/>
          <w:sz w:val="24"/>
          <w:szCs w:val="24"/>
          <w:highlight w:val="none"/>
          <w:lang w:val="en-US" w:eastAsia="zh-CN" w:bidi="ar-SA"/>
        </w:rPr>
        <w:t xml:space="preserve">1、投标供应商应当根据“采购需求和有关说明”的内容在上表中详细填写；</w:t>
      </w:r>
      <w:bookmarkEnd w:id="10"/>
      <w:r>
        <w:rPr>
          <w:rFonts w:ascii="宋体" w:hAnsi="宋体" w:eastAsia="宋体" w:cs="Times New Roman"/>
          <w:color w:val="000000"/>
          <w:sz w:val="24"/>
          <w:szCs w:val="24"/>
          <w:highlight w:val="none"/>
          <w:lang w:val="en-US" w:eastAsia="zh-CN" w:bidi="ar-SA"/>
        </w:rPr>
      </w:r>
      <w:r/>
    </w:p>
    <w:p>
      <w:pPr>
        <w:pStyle w:val="671"/>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2.表格不够可自行延长。</w:t>
      </w:r>
      <w:r>
        <w:rPr>
          <w:rFonts w:hint="eastAsia" w:ascii="宋体" w:hAnsi="宋体" w:eastAsia="宋体" w:cs="Times New Roman"/>
          <w:color w:val="000000"/>
          <w:sz w:val="24"/>
          <w:szCs w:val="24"/>
          <w:highlight w:val="none"/>
          <w:lang w:val="en-US" w:eastAsia="zh-CN" w:bidi="ar-SA"/>
        </w:rPr>
      </w:r>
      <w:r/>
    </w:p>
    <w:p>
      <w:pPr>
        <w:pStyle w:val="671"/>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71"/>
        <w:ind w:firstLine="1024"/>
        <w:jc w:val="both"/>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671"/>
        <w:spacing w:line="480" w:lineRule="auto"/>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法定代表人或授权代表签字或盖章：</w:t>
      </w:r>
      <w:r>
        <w:rPr>
          <w:rFonts w:ascii="宋体" w:hAnsi="宋体" w:eastAsia="宋体" w:cs="Times New Roman"/>
          <w:bCs/>
          <w:color w:val="000000"/>
          <w:sz w:val="24"/>
          <w:highlight w:val="none"/>
        </w:rPr>
      </w:r>
      <w:r/>
    </w:p>
    <w:p>
      <w:pPr>
        <w:pStyle w:val="671"/>
        <w:spacing w:line="480" w:lineRule="auto"/>
        <w:rPr>
          <w:rFonts w:ascii="宋体" w:hAnsi="宋体" w:eastAsia="宋体" w:cs="Times New Roman"/>
          <w:color w:val="000000"/>
          <w:sz w:val="24"/>
          <w:szCs w:val="24"/>
          <w:highlight w:val="none"/>
        </w:rPr>
      </w:pPr>
      <w:r>
        <w:rPr>
          <w:rFonts w:hint="eastAsia" w:ascii="宋体" w:hAnsi="宋体" w:eastAsia="宋体" w:cs="Times New Roman"/>
          <w:bCs/>
          <w:color w:val="000000"/>
          <w:sz w:val="24"/>
          <w:highlight w:val="none"/>
        </w:rPr>
        <w:t xml:space="preserve">日期：</w:t>
      </w:r>
      <w:r>
        <w:rPr>
          <w:rFonts w:ascii="宋体" w:hAnsi="宋体" w:eastAsia="宋体" w:cs="Times New Roman"/>
          <w:color w:val="000000"/>
          <w:sz w:val="24"/>
          <w:szCs w:val="24"/>
          <w:highlight w:val="none"/>
        </w:rPr>
      </w:r>
      <w:r/>
    </w:p>
    <w:p>
      <w:pPr>
        <w:pStyle w:val="988"/>
        <w:ind w:left="150"/>
        <w:spacing w:line="400" w:lineRule="exact"/>
        <w:rPr>
          <w:rFonts w:hint="eastAsia" w:hAnsi="宋体"/>
          <w:bCs/>
          <w:color w:val="000000"/>
          <w:szCs w:val="21"/>
          <w:highlight w:val="none"/>
        </w:rPr>
      </w:pPr>
      <w:r>
        <w:rPr>
          <w:rFonts w:hint="eastAsia" w:hAnsi="宋体"/>
          <w:bCs/>
          <w:color w:val="000000"/>
          <w:szCs w:val="21"/>
          <w:highlight w:val="none"/>
        </w:rPr>
      </w:r>
      <w:r/>
    </w:p>
    <w:p>
      <w:pPr>
        <w:pStyle w:val="671"/>
        <w:spacing w:line="480" w:lineRule="auto"/>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（九）投标偏离表（格式）：</w:t>
      </w:r>
      <w:r>
        <w:rPr>
          <w:rFonts w:ascii="黑体" w:eastAsia="黑体"/>
          <w:color w:val="000000"/>
          <w:sz w:val="28"/>
          <w:szCs w:val="28"/>
          <w:highlight w:val="none"/>
        </w:rPr>
      </w:r>
      <w:r/>
    </w:p>
    <w:p>
      <w:pPr>
        <w:pStyle w:val="671"/>
        <w:ind w:firstLine="49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1"/>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671"/>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采购项目编号：</w:t>
      </w:r>
      <w:r>
        <w:rPr>
          <w:rFonts w:hint="eastAsia" w:ascii="黑体" w:eastAsia="黑体"/>
          <w:bCs/>
          <w:color w:val="000000"/>
          <w:sz w:val="24"/>
          <w:szCs w:val="24"/>
          <w:highlight w:val="none"/>
          <w:lang w:eastAsia="zh-CN"/>
        </w:rPr>
        <w:t xml:space="preserve">JSZC-320200-JSZH-G2026-0030</w:t>
      </w:r>
      <w:r>
        <w:rPr>
          <w:rFonts w:hint="eastAsia" w:ascii="黑体" w:eastAsia="黑体"/>
          <w:bCs/>
          <w:color w:val="000000"/>
          <w:sz w:val="24"/>
          <w:szCs w:val="24"/>
          <w:highlight w:val="none"/>
          <w:lang w:eastAsia="zh-CN"/>
        </w:rPr>
      </w:r>
      <w:r/>
    </w:p>
    <w:tbl>
      <w:tblPr>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671"/>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671"/>
              <w:jc w:val="center"/>
              <w:rPr>
                <w:rFonts w:ascii="宋体"/>
                <w:bCs/>
                <w:color w:val="000000"/>
                <w:highlight w:val="none"/>
              </w:rPr>
            </w:pPr>
            <w:r>
              <w:rPr>
                <w:rFonts w:ascii="宋体"/>
                <w:bCs/>
                <w:color w:val="000000"/>
                <w:highlight w:val="none"/>
              </w:rPr>
            </w:r>
            <w:r/>
          </w:p>
        </w:tc>
      </w:tr>
    </w:tbl>
    <w:p>
      <w:pPr>
        <w:pStyle w:val="671"/>
        <w:rPr>
          <w:rFonts w:ascii="宋体"/>
          <w:b/>
          <w:color w:val="000000"/>
          <w:sz w:val="24"/>
          <w:szCs w:val="24"/>
          <w:highlight w:val="none"/>
        </w:rPr>
      </w:pPr>
      <w:r>
        <w:rPr>
          <w:rFonts w:ascii="宋体"/>
          <w:b/>
          <w:color w:val="000000"/>
          <w:sz w:val="24"/>
          <w:szCs w:val="24"/>
          <w:highlight w:val="none"/>
        </w:rPr>
      </w:r>
      <w:r/>
    </w:p>
    <w:p>
      <w:pPr>
        <w:pStyle w:val="671"/>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671"/>
        <w:rPr>
          <w:rFonts w:ascii="宋体"/>
          <w:bCs/>
          <w:color w:val="000000"/>
          <w:sz w:val="30"/>
          <w:highlight w:val="none"/>
        </w:rPr>
      </w:pPr>
      <w:r>
        <w:rPr>
          <w:rFonts w:ascii="宋体"/>
          <w:bCs/>
          <w:color w:val="000000"/>
          <w:sz w:val="30"/>
          <w:highlight w:val="none"/>
        </w:rPr>
      </w:r>
      <w:r/>
    </w:p>
    <w:p>
      <w:pPr>
        <w:pStyle w:val="671"/>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hint="eastAsia" w:ascii="宋体" w:hAnsi="宋体"/>
          <w:bCs/>
          <w:color w:val="000000"/>
          <w:sz w:val="24"/>
          <w:szCs w:val="24"/>
          <w:highlight w:val="none"/>
        </w:rPr>
      </w:r>
      <w:r/>
    </w:p>
    <w:p>
      <w:pPr>
        <w:pStyle w:val="671"/>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）如无任何服务偏离，请于本表“偏离说明”中注明“无偏离”；</w:t>
      </w:r>
      <w:r>
        <w:rPr>
          <w:rFonts w:hint="eastAsia" w:ascii="宋体" w:hAnsi="宋体"/>
          <w:bCs/>
          <w:color w:val="000000"/>
          <w:sz w:val="24"/>
          <w:szCs w:val="24"/>
          <w:highlight w:val="none"/>
        </w:rPr>
      </w:r>
      <w:r/>
    </w:p>
    <w:p>
      <w:pPr>
        <w:pStyle w:val="671"/>
        <w:rPr>
          <w:rFonts w:ascii="宋体"/>
          <w:bCs/>
          <w:color w:val="000000"/>
          <w:sz w:val="24"/>
          <w:szCs w:val="24"/>
          <w:highlight w:val="none"/>
        </w:rPr>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bCs/>
          <w:color w:val="000000"/>
          <w:sz w:val="24"/>
          <w:szCs w:val="24"/>
          <w:highlight w:val="none"/>
        </w:rPr>
      </w:r>
      <w:r/>
    </w:p>
    <w:p>
      <w:pPr>
        <w:pStyle w:val="671"/>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ind w:firstLine="42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671"/>
        <w:jc w:val="left"/>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（十）项目管理机构配备情况表（格式）</w:t>
      </w:r>
      <w:r>
        <w:rPr>
          <w:rFonts w:hint="eastAsia" w:ascii="黑体" w:hAnsi="宋体" w:eastAsia="黑体"/>
          <w:bCs/>
          <w:color w:val="000000"/>
          <w:sz w:val="24"/>
          <w:szCs w:val="24"/>
          <w:highlight w:val="none"/>
        </w:rPr>
      </w:r>
      <w:r/>
    </w:p>
    <w:p>
      <w:pPr>
        <w:pStyle w:val="671"/>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项目管理机构配备情况表</w:t>
      </w:r>
      <w:r>
        <w:rPr>
          <w:rFonts w:hint="eastAsia" w:ascii="宋体" w:hAnsi="宋体"/>
          <w:bCs/>
          <w:color w:val="000000"/>
          <w:sz w:val="24"/>
          <w:szCs w:val="24"/>
          <w:highlight w:val="none"/>
        </w:rPr>
      </w:r>
      <w:r/>
    </w:p>
    <w:p>
      <w:pPr>
        <w:pStyle w:val="807"/>
        <w:ind w:firstLine="210"/>
        <w:rPr>
          <w:rFonts w:hint="eastAsia" w:ascii="宋体" w:hAnsi="宋体" w:cs="宋体"/>
          <w:color w:val="000000"/>
          <w:highlight w:val="none"/>
        </w:rPr>
      </w:pPr>
      <w:r>
        <w:rPr>
          <w:rFonts w:hint="eastAsia" w:ascii="宋体" w:hAnsi="宋体" w:cs="宋体"/>
          <w:color w:val="000000"/>
          <w:highlight w:val="none"/>
        </w:rPr>
      </w:r>
      <w:r/>
    </w:p>
    <w:p>
      <w:pPr>
        <w:pStyle w:val="671"/>
        <w:spacing w:line="360" w:lineRule="auto"/>
        <w:rPr>
          <w:rFonts w:hint="eastAsia" w:ascii="宋体" w:hAnsi="宋体" w:cs="宋体"/>
          <w:bCs/>
          <w:color w:val="000000"/>
          <w:szCs w:val="21"/>
          <w:highlight w:val="none"/>
        </w:rPr>
      </w:pPr>
      <w:r>
        <w:rPr>
          <w:rFonts w:hint="eastAsia" w:ascii="宋体" w:hAnsi="宋体" w:cs="宋体"/>
          <w:bCs/>
          <w:color w:val="000000"/>
          <w:sz w:val="24"/>
          <w:szCs w:val="24"/>
          <w:highlight w:val="none"/>
        </w:rPr>
        <w:t xml:space="preserve">供应商名称（盖章）                                       项目编号： </w:t>
      </w:r>
      <w:r>
        <w:rPr>
          <w:rFonts w:hint="eastAsia" w:ascii="宋体" w:hAnsi="宋体" w:cs="宋体"/>
          <w:bCs/>
          <w:color w:val="000000"/>
          <w:szCs w:val="2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序号</w:t>
            </w:r>
            <w:r>
              <w:rPr>
                <w:rFonts w:hint="eastAsia" w:ascii="宋体" w:hAnsi="宋体" w:cs="宋体"/>
                <w:color w:val="000000"/>
                <w:spacing w:val="20"/>
                <w:sz w:val="24"/>
                <w:highlight w:val="none"/>
              </w:rPr>
            </w:r>
            <w:r/>
          </w:p>
        </w:tc>
        <w:tc>
          <w:tcPr>
            <w:tcW w:w="1047"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姓名</w:t>
            </w:r>
            <w:r>
              <w:rPr>
                <w:rFonts w:hint="eastAsia" w:ascii="宋体" w:hAnsi="宋体" w:cs="宋体"/>
                <w:color w:val="000000"/>
                <w:spacing w:val="20"/>
                <w:sz w:val="24"/>
                <w:highlight w:val="none"/>
              </w:rPr>
            </w:r>
            <w:r/>
          </w:p>
        </w:tc>
        <w:tc>
          <w:tcPr>
            <w:tcW w:w="730"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性别</w:t>
            </w:r>
            <w:r>
              <w:rPr>
                <w:rFonts w:hint="eastAsia" w:ascii="宋体" w:hAnsi="宋体" w:cs="宋体"/>
                <w:color w:val="000000"/>
                <w:spacing w:val="20"/>
                <w:sz w:val="24"/>
                <w:highlight w:val="none"/>
              </w:rPr>
            </w:r>
            <w:r/>
          </w:p>
        </w:tc>
        <w:tc>
          <w:tcPr>
            <w:tcW w:w="709"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年龄</w:t>
            </w:r>
            <w:r>
              <w:rPr>
                <w:rFonts w:hint="eastAsia" w:ascii="宋体" w:hAnsi="宋体" w:cs="宋体"/>
                <w:color w:val="000000"/>
                <w:spacing w:val="20"/>
                <w:sz w:val="24"/>
                <w:highlight w:val="none"/>
              </w:rPr>
            </w:r>
            <w:r/>
          </w:p>
        </w:tc>
        <w:tc>
          <w:tcPr>
            <w:tcW w:w="1477"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岗位名称</w:t>
            </w:r>
            <w:r>
              <w:rPr>
                <w:rFonts w:hint="eastAsia" w:ascii="宋体" w:hAnsi="宋体" w:cs="宋体"/>
                <w:color w:val="000000"/>
                <w:spacing w:val="20"/>
                <w:sz w:val="24"/>
                <w:highlight w:val="none"/>
              </w:rPr>
            </w:r>
            <w:r/>
          </w:p>
        </w:tc>
        <w:tc>
          <w:tcPr>
            <w:tcW w:w="1236"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学历</w:t>
            </w:r>
            <w:r>
              <w:rPr>
                <w:rFonts w:hint="eastAsia" w:ascii="宋体" w:hAnsi="宋体" w:cs="宋体"/>
                <w:color w:val="000000"/>
                <w:spacing w:val="20"/>
                <w:sz w:val="24"/>
                <w:highlight w:val="none"/>
              </w:rPr>
            </w:r>
            <w:r/>
          </w:p>
        </w:tc>
        <w:tc>
          <w:tcPr>
            <w:tcW w:w="1236"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职称</w:t>
            </w:r>
            <w:r>
              <w:rPr>
                <w:rFonts w:hint="eastAsia" w:ascii="宋体" w:hAnsi="宋体" w:cs="宋体"/>
                <w:color w:val="000000"/>
                <w:spacing w:val="20"/>
                <w:sz w:val="24"/>
                <w:highlight w:val="none"/>
              </w:rPr>
            </w:r>
            <w:r/>
          </w:p>
        </w:tc>
        <w:tc>
          <w:tcPr>
            <w:tcW w:w="1857"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主要资历、经验及承担过的项目</w:t>
            </w:r>
            <w:r>
              <w:rPr>
                <w:rFonts w:hint="eastAsia" w:ascii="宋体" w:hAnsi="宋体" w:cs="宋体"/>
                <w:color w:val="000000"/>
                <w:spacing w:val="20"/>
                <w:sz w:val="24"/>
                <w:highlight w:val="none"/>
              </w:rPr>
            </w:r>
            <w:r/>
          </w:p>
        </w:tc>
        <w:tc>
          <w:tcPr>
            <w:tcW w:w="932" w:type="dxa"/>
            <w:vAlign w:val="center"/>
            <w:textDirection w:val="lrTb"/>
            <w:noWrap/>
          </w:tcPr>
          <w:p>
            <w:pPr>
              <w:pStyle w:val="671"/>
              <w:jc w:val="center"/>
              <w:spacing w:line="300" w:lineRule="exact"/>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备注</w:t>
            </w:r>
            <w:r>
              <w:rPr>
                <w:rFonts w:hint="eastAsia" w:ascii="宋体" w:hAnsi="宋体" w:cs="宋体"/>
                <w:color w:val="000000"/>
                <w:spacing w:val="20"/>
                <w:sz w:val="24"/>
                <w:highlight w:val="none"/>
              </w:rPr>
            </w:r>
            <w:r/>
          </w:p>
        </w:tc>
      </w:tr>
      <w:tr>
        <w:trPr>
          <w:trHeight w:val="521"/>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7"/>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3"/>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1"/>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03"/>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95"/>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65"/>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50"/>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47"/>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30"/>
        </w:trPr>
        <w:tc>
          <w:tcPr>
            <w:tcW w:w="741"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c>
        <w:tc>
          <w:tcPr>
            <w:tcW w:w="104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0"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09"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7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36"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7"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32" w:type="dxa"/>
            <w:vAlign w:val="center"/>
            <w:textDirection w:val="lrTb"/>
            <w:noWrap/>
          </w:tcPr>
          <w:p>
            <w:pPr>
              <w:pStyle w:val="671"/>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71"/>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法定代表人或法定代表人授权代表签字或盖章：</w:t>
      </w:r>
      <w:r>
        <w:rPr>
          <w:rFonts w:hint="eastAsia" w:ascii="宋体" w:hAnsi="宋体"/>
          <w:bCs/>
          <w:color w:val="000000"/>
          <w:sz w:val="24"/>
          <w:highlight w:val="none"/>
        </w:rPr>
      </w:r>
      <w:r/>
    </w:p>
    <w:p>
      <w:pPr>
        <w:pStyle w:val="671"/>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671"/>
        <w:spacing w:line="480" w:lineRule="auto"/>
        <w:rPr>
          <w:rFonts w:hint="eastAsia" w:ascii="宋体" w:hAnsi="宋体"/>
          <w:bCs/>
          <w:color w:val="000000"/>
          <w:szCs w:val="21"/>
          <w:highlight w:val="none"/>
        </w:rPr>
      </w:pPr>
      <w:r>
        <w:rPr>
          <w:rFonts w:hint="eastAsia" w:ascii="宋体" w:hAnsi="宋体"/>
          <w:bCs/>
          <w:color w:val="000000"/>
          <w:szCs w:val="21"/>
          <w:highlight w:val="none"/>
        </w:rPr>
        <w:t xml:space="preserve">注：1、上表可自行延长。</w:t>
      </w:r>
      <w:r>
        <w:rPr>
          <w:rFonts w:hint="eastAsia" w:ascii="宋体" w:hAnsi="宋体"/>
          <w:bCs/>
          <w:color w:val="000000"/>
          <w:szCs w:val="21"/>
          <w:highlight w:val="none"/>
        </w:rPr>
      </w:r>
      <w:r/>
    </w:p>
    <w:p>
      <w:pPr>
        <w:pStyle w:val="671"/>
        <w:spacing w:line="480" w:lineRule="auto"/>
        <w:rPr>
          <w:rFonts w:hint="eastAsia" w:ascii="宋体" w:hAnsi="宋体"/>
          <w:bCs/>
          <w:color w:val="000000"/>
          <w:szCs w:val="21"/>
          <w:highlight w:val="none"/>
        </w:rPr>
      </w:pPr>
      <w:r>
        <w:rPr>
          <w:rFonts w:hint="eastAsia" w:ascii="宋体" w:hAnsi="宋体"/>
          <w:bCs/>
          <w:color w:val="000000"/>
          <w:szCs w:val="21"/>
          <w:highlight w:val="none"/>
          <w:lang w:eastAsia="zh-CN"/>
        </w:rPr>
        <w:t xml:space="preserve">2.</w:t>
      </w:r>
      <w:r>
        <w:rPr>
          <w:rFonts w:hint="eastAsia" w:ascii="宋体" w:hAnsi="宋体"/>
          <w:bCs/>
          <w:color w:val="000000"/>
          <w:szCs w:val="21"/>
          <w:highlight w:val="none"/>
        </w:rPr>
        <w:t xml:space="preserve">请附相关资格证明（如有）扫描件</w:t>
      </w:r>
      <w:r>
        <w:rPr>
          <w:rFonts w:hint="eastAsia" w:ascii="宋体" w:hAnsi="宋体"/>
          <w:bCs/>
          <w:color w:val="000000"/>
          <w:szCs w:val="21"/>
          <w:highlight w:val="none"/>
        </w:rPr>
      </w:r>
      <w:r/>
    </w:p>
    <w:p>
      <w:pPr>
        <w:pStyle w:val="671"/>
        <w:jc w:val="left"/>
        <w:spacing w:line="460" w:lineRule="exact"/>
        <w:rPr>
          <w:rFonts w:hint="eastAsia"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（十一）项目负责人简历表（格式）</w:t>
      </w:r>
      <w:r>
        <w:rPr>
          <w:rFonts w:hint="eastAsia" w:ascii="黑体" w:hAnsi="宋体" w:eastAsia="黑体"/>
          <w:bCs/>
          <w:color w:val="000000"/>
          <w:sz w:val="24"/>
          <w:szCs w:val="24"/>
          <w:highlight w:val="none"/>
        </w:rPr>
      </w:r>
      <w:r/>
    </w:p>
    <w:p>
      <w:pPr>
        <w:pStyle w:val="67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项目负责人简历表</w:t>
      </w:r>
      <w:r>
        <w:rPr>
          <w:rFonts w:ascii="黑体" w:eastAsia="黑体"/>
          <w:bCs/>
          <w:color w:val="000000"/>
          <w:sz w:val="28"/>
          <w:szCs w:val="28"/>
          <w:highlight w:val="none"/>
        </w:rPr>
      </w:r>
      <w:r/>
    </w:p>
    <w:p>
      <w:pPr>
        <w:pStyle w:val="973"/>
        <w:rPr>
          <w:rFonts w:hint="eastAsia" w:ascii="黑体" w:eastAsia="黑体"/>
          <w:bCs w:val="0"/>
          <w:color w:val="000000"/>
          <w:highlight w:val="none"/>
        </w:rPr>
      </w:pPr>
      <w:r>
        <w:rPr>
          <w:rFonts w:hint="eastAsia" w:ascii="黑体" w:eastAsia="黑体"/>
          <w:bCs w:val="0"/>
          <w:color w:val="000000"/>
          <w:highlight w:val="none"/>
        </w:rPr>
      </w:r>
      <w:r/>
    </w:p>
    <w:p>
      <w:pPr>
        <w:pStyle w:val="973"/>
        <w:jc w:val="both"/>
        <w:rPr>
          <w:rFonts w:hint="eastAsia" w:ascii="黑体" w:eastAsia="黑体"/>
          <w:bCs w:val="0"/>
          <w:color w:val="000000"/>
          <w:highlight w:val="none"/>
        </w:rPr>
      </w:pPr>
      <w:r>
        <w:rPr>
          <w:rFonts w:hint="eastAsia" w:ascii="黑体" w:eastAsia="黑体"/>
          <w:bCs w:val="0"/>
          <w:color w:val="000000"/>
          <w:highlight w:val="none"/>
        </w:rPr>
        <w:t xml:space="preserve">投标供应商名称（盖章）                             采购项目编号：       </w:t>
      </w:r>
      <w:r>
        <w:rPr>
          <w:rFonts w:hint="eastAsia" w:ascii="黑体" w:eastAsia="黑体"/>
          <w:bCs w:val="0"/>
          <w:color w:val="000000"/>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851" w:type="dxa"/>
            <w:vAlign w:val="center"/>
            <w:textDirection w:val="lrTb"/>
            <w:noWrap/>
          </w:tcPr>
          <w:p>
            <w:pPr>
              <w:pStyle w:val="744"/>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2394" w:type="dxa"/>
            <w:vAlign w:val="center"/>
            <w:textDirection w:val="lrTb"/>
            <w:noWrap/>
          </w:tcPr>
          <w:p>
            <w:pPr>
              <w:pStyle w:val="744"/>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083" w:type="dxa"/>
            <w:vAlign w:val="center"/>
            <w:textDirection w:val="lrTb"/>
            <w:noWrap/>
          </w:tcPr>
          <w:p>
            <w:pPr>
              <w:pStyle w:val="744"/>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2"/>
            <w:tcW w:w="3612" w:type="dxa"/>
            <w:vAlign w:val="center"/>
            <w:textDirection w:val="lrTb"/>
            <w:noWrap/>
          </w:tcPr>
          <w:p>
            <w:pPr>
              <w:pStyle w:val="744"/>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45"/>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851" w:type="dxa"/>
            <w:vAlign w:val="center"/>
            <w:textDirection w:val="lrTb"/>
            <w:noWrap/>
          </w:tcPr>
          <w:p>
            <w:pPr>
              <w:pStyle w:val="744"/>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tc>
        <w:tc>
          <w:tcPr>
            <w:gridSpan w:val="2"/>
            <w:tcW w:w="3477" w:type="dxa"/>
            <w:vAlign w:val="center"/>
            <w:textDirection w:val="lrTb"/>
            <w:noWrap/>
          </w:tcPr>
          <w:p>
            <w:pPr>
              <w:pStyle w:val="744"/>
              <w:ind w:firstLine="48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54" w:type="dxa"/>
            <w:vAlign w:val="center"/>
            <w:textDirection w:val="lrTb"/>
            <w:noWrap/>
          </w:tcPr>
          <w:p>
            <w:pPr>
              <w:pStyle w:val="744"/>
              <w:ind w:firstLine="0"/>
              <w:jc w:val="center"/>
              <w:rPr>
                <w:rFonts w:hint="eastAsia" w:ascii="宋体" w:hAnsi="宋体" w:cs="宋体"/>
                <w:color w:val="000000"/>
                <w:sz w:val="24"/>
                <w:highlight w:val="none"/>
              </w:rPr>
            </w:pPr>
            <w:r>
              <w:rPr>
                <w:rFonts w:hint="eastAsia" w:ascii="宋体" w:hAnsi="宋体" w:cs="宋体"/>
                <w:color w:val="000000"/>
                <w:sz w:val="24"/>
                <w:highlight w:val="none"/>
              </w:rPr>
              <w:t xml:space="preserve">出生年月</w:t>
            </w:r>
            <w:r>
              <w:rPr>
                <w:rFonts w:hint="eastAsia" w:ascii="宋体" w:hAnsi="宋体" w:cs="宋体"/>
                <w:color w:val="000000"/>
                <w:sz w:val="24"/>
                <w:highlight w:val="none"/>
              </w:rPr>
            </w:r>
            <w:r/>
          </w:p>
        </w:tc>
        <w:tc>
          <w:tcPr>
            <w:tcW w:w="2358" w:type="dxa"/>
            <w:vAlign w:val="center"/>
            <w:textDirection w:val="lrTb"/>
            <w:noWrap/>
          </w:tcPr>
          <w:p>
            <w:pPr>
              <w:pStyle w:val="744"/>
              <w:ind w:firstLine="480"/>
              <w:jc w:val="center"/>
              <w:rPr>
                <w:rFonts w:hint="eastAsia" w:ascii="宋体" w:hAnsi="宋体" w:cs="宋体"/>
                <w:color w:val="000000"/>
                <w:sz w:val="24"/>
                <w:highlight w:val="none"/>
              </w:rPr>
            </w:pPr>
            <w:r>
              <w:rPr>
                <w:rFonts w:hint="eastAsia" w:ascii="宋体" w:hAnsi="宋体" w:cs="宋体"/>
                <w:color w:val="000000"/>
                <w:sz w:val="24"/>
                <w:highlight w:val="none"/>
              </w:rPr>
              <w:t xml:space="preserve">年     月</w:t>
            </w:r>
            <w:r>
              <w:rPr>
                <w:rFonts w:hint="eastAsia" w:ascii="宋体" w:hAnsi="宋体" w:cs="宋体"/>
                <w:color w:val="000000"/>
                <w:sz w:val="24"/>
                <w:highlight w:val="none"/>
              </w:rPr>
            </w:r>
            <w:r/>
          </w:p>
        </w:tc>
      </w:tr>
      <w:tr>
        <w:trPr>
          <w:cantSplit/>
          <w:trHeight w:val="645"/>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gridSpan w:val="5"/>
            <w:tcW w:w="8940" w:type="dxa"/>
            <w:vAlign w:val="center"/>
            <w:textDirection w:val="lrTb"/>
            <w:noWrap/>
          </w:tcPr>
          <w:p>
            <w:pPr>
              <w:pStyle w:val="744"/>
              <w:ind w:firstLine="0"/>
              <w:rPr>
                <w:rFonts w:hint="eastAsia" w:ascii="宋体" w:hAnsi="宋体" w:cs="宋体"/>
                <w:color w:val="000000"/>
                <w:sz w:val="24"/>
                <w:highlight w:val="none"/>
              </w:rPr>
            </w:pPr>
            <w:r>
              <w:rPr>
                <w:rFonts w:hint="eastAsia" w:ascii="宋体" w:hAnsi="宋体" w:cs="宋体"/>
                <w:color w:val="000000"/>
                <w:sz w:val="24"/>
                <w:highlight w:val="none"/>
              </w:rPr>
              <w:t xml:space="preserve">联系电话/传真：</w:t>
            </w:r>
            <w:r>
              <w:rPr>
                <w:rFonts w:hint="eastAsia" w:ascii="宋体" w:hAnsi="宋体" w:cs="宋体"/>
                <w:color w:val="000000"/>
                <w:sz w:val="24"/>
                <w:highlight w:val="none"/>
              </w:rPr>
            </w:r>
            <w:r/>
          </w:p>
        </w:tc>
      </w:tr>
      <w:tr>
        <w:trPr>
          <w:cantSplit/>
          <w:trHeight w:val="1964"/>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gridSpan w:val="5"/>
            <w:tcW w:w="8940" w:type="dxa"/>
            <w:vAlign w:val="top"/>
            <w:textDirection w:val="lrTb"/>
            <w:noWrap/>
          </w:tcPr>
          <w:p>
            <w:pPr>
              <w:pStyle w:val="744"/>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从事本项工作时间及工作经历：</w:t>
            </w:r>
            <w:r>
              <w:rPr>
                <w:rFonts w:hint="eastAsia" w:ascii="宋体" w:hAnsi="宋体" w:cs="宋体"/>
                <w:color w:val="000000"/>
                <w:sz w:val="24"/>
                <w:highlight w:val="none"/>
              </w:rPr>
            </w:r>
            <w:r/>
          </w:p>
        </w:tc>
      </w:tr>
      <w:tr>
        <w:trPr>
          <w:cantSplit/>
          <w:trHeight w:val="625"/>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gridSpan w:val="5"/>
            <w:tcW w:w="8940" w:type="dxa"/>
            <w:vAlign w:val="center"/>
            <w:textDirection w:val="lrTb"/>
            <w:noWrap/>
          </w:tcPr>
          <w:p>
            <w:pPr>
              <w:pStyle w:val="744"/>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拥有关于本项服务方面的职称：</w:t>
            </w:r>
            <w:r>
              <w:rPr>
                <w:rFonts w:hint="eastAsia" w:ascii="宋体" w:hAnsi="宋体" w:cs="宋体"/>
                <w:color w:val="000000"/>
                <w:sz w:val="24"/>
                <w:highlight w:val="none"/>
              </w:rPr>
            </w:r>
            <w:r/>
          </w:p>
        </w:tc>
      </w:tr>
      <w:tr>
        <w:trPr>
          <w:cantSplit/>
          <w:trHeight w:val="641"/>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gridSpan w:val="5"/>
            <w:tcW w:w="8940" w:type="dxa"/>
            <w:vAlign w:val="center"/>
            <w:textDirection w:val="lrTb"/>
            <w:noWrap/>
          </w:tcPr>
          <w:p>
            <w:pPr>
              <w:pStyle w:val="744"/>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曾获得的关于本项服务方面的奖励情况：</w:t>
            </w:r>
            <w:r>
              <w:rPr>
                <w:rFonts w:hint="eastAsia" w:ascii="宋体" w:hAnsi="宋体" w:cs="宋体"/>
                <w:color w:val="000000"/>
                <w:sz w:val="24"/>
                <w:highlight w:val="none"/>
              </w:rPr>
            </w:r>
            <w:r/>
          </w:p>
        </w:tc>
      </w:tr>
      <w:tr>
        <w:trPr>
          <w:cantSplit/>
          <w:trHeight w:val="1708"/>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gridSpan w:val="5"/>
            <w:tcW w:w="8940" w:type="dxa"/>
            <w:vAlign w:val="top"/>
            <w:textDirection w:val="lrTb"/>
            <w:noWrap/>
          </w:tcPr>
          <w:p>
            <w:pPr>
              <w:pStyle w:val="744"/>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近5年内负责的服务项目：</w:t>
            </w:r>
            <w:r>
              <w:rPr>
                <w:rFonts w:hint="eastAsia" w:ascii="宋体" w:hAnsi="宋体" w:cs="宋体"/>
                <w:color w:val="000000"/>
                <w:sz w:val="24"/>
                <w:highlight w:val="none"/>
              </w:rPr>
            </w:r>
            <w:r/>
          </w:p>
        </w:tc>
      </w:tr>
      <w:tr>
        <w:trPr>
          <w:cantSplit/>
          <w:trHeight w:val="607"/>
        </w:trPr>
        <w:tc>
          <w:tcPr>
            <w:tcW w:w="775" w:type="dxa"/>
            <w:vAlign w:val="center"/>
            <w:textDirection w:val="lrTb"/>
            <w:noWrap/>
          </w:tcPr>
          <w:p>
            <w:pPr>
              <w:pStyle w:val="6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c>
          <w:tcPr>
            <w:gridSpan w:val="5"/>
            <w:tcW w:w="8940" w:type="dxa"/>
            <w:vAlign w:val="center"/>
            <w:textDirection w:val="lrTb"/>
            <w:noWrap/>
          </w:tcPr>
          <w:p>
            <w:pPr>
              <w:pStyle w:val="744"/>
              <w:ind w:firstLine="0"/>
              <w:jc w:val="left"/>
              <w:rPr>
                <w:rFonts w:hint="eastAsia"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hint="eastAsia" w:ascii="宋体" w:hAnsi="宋体" w:cs="宋体"/>
                <w:color w:val="000000"/>
                <w:sz w:val="24"/>
                <w:highlight w:val="none"/>
              </w:rPr>
            </w:r>
            <w:r/>
          </w:p>
        </w:tc>
      </w:tr>
    </w:tbl>
    <w:p>
      <w:pPr>
        <w:pStyle w:val="671"/>
        <w:ind w:firstLine="312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671"/>
        <w:ind w:firstLine="3600"/>
        <w:spacing w:line="360" w:lineRule="auto"/>
        <w:rPr>
          <w:rFonts w:hint="eastAsia" w:ascii="宋体" w:hAnsi="宋体" w:cs="宋体"/>
          <w:bCs/>
          <w:color w:val="000000"/>
          <w:szCs w:val="21"/>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Cs w:val="21"/>
          <w:highlight w:val="none"/>
        </w:rPr>
      </w:r>
      <w:r/>
    </w:p>
    <w:p>
      <w:pPr>
        <w:pStyle w:val="671"/>
        <w:ind w:firstLine="24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注：请附身份证、相关资格证明（如有）扫描件。</w:t>
      </w:r>
      <w:r>
        <w:rPr>
          <w:rFonts w:hint="eastAsia" w:ascii="宋体" w:hAnsi="宋体" w:cs="宋体"/>
          <w:color w:val="000000"/>
          <w:sz w:val="24"/>
          <w:highlight w:val="none"/>
          <w:lang w:val="zh-CN"/>
        </w:rPr>
      </w:r>
      <w:r/>
    </w:p>
    <w:p>
      <w:pPr>
        <w:pStyle w:val="671"/>
        <w:jc w:val="left"/>
        <w:spacing w:line="460" w:lineRule="exact"/>
        <w:rPr>
          <w:rFonts w:hint="eastAsia" w:ascii="黑体" w:hAnsi="宋体" w:eastAsia="黑体"/>
          <w:bCs/>
          <w:color w:val="000000"/>
          <w:sz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（十二）投标人基本情况声明</w:t>
      </w:r>
      <w:r>
        <w:rPr>
          <w:rFonts w:hint="eastAsia" w:ascii="黑体" w:hAnsi="宋体" w:eastAsia="黑体"/>
          <w:bCs/>
          <w:color w:val="000000"/>
          <w:sz w:val="24"/>
          <w:highlight w:val="none"/>
        </w:rPr>
      </w:r>
      <w:r/>
    </w:p>
    <w:p>
      <w:pPr>
        <w:pStyle w:val="671"/>
        <w:jc w:val="center"/>
        <w:spacing w:line="460" w:lineRule="exact"/>
        <w:rPr>
          <w:rFonts w:hint="eastAsia" w:ascii="宋体" w:hAnsi="宋体"/>
          <w:color w:val="000000"/>
          <w:sz w:val="24"/>
          <w:highlight w:val="none"/>
        </w:rPr>
      </w:pPr>
      <w:r>
        <w:rPr>
          <w:rFonts w:hint="eastAsia" w:ascii="宋体" w:hAnsi="宋体"/>
          <w:color w:val="000000"/>
          <w:sz w:val="24"/>
          <w:highlight w:val="none"/>
        </w:rPr>
        <w:t xml:space="preserve">（内容写不完的栏目可相应扩展）</w:t>
      </w:r>
      <w:r>
        <w:rPr>
          <w:rFonts w:hint="eastAsia" w:ascii="宋体" w:hAnsi="宋体"/>
          <w:color w:val="000000"/>
          <w:sz w:val="24"/>
          <w:highlight w:val="none"/>
        </w:rPr>
      </w:r>
      <w:r/>
    </w:p>
    <w:p>
      <w:pPr>
        <w:pStyle w:val="744"/>
        <w:ind w:firstLine="480"/>
        <w:rPr>
          <w:rFonts w:hint="eastAsia" w:ascii="宋体" w:hAnsi="宋体"/>
          <w:color w:val="000000"/>
          <w:sz w:val="24"/>
          <w:highlight w:val="none"/>
        </w:rPr>
      </w:pPr>
      <w:r>
        <w:rPr>
          <w:rFonts w:hint="eastAsia" w:ascii="宋体" w:hAnsi="宋体"/>
          <w:color w:val="000000"/>
          <w:sz w:val="24"/>
          <w:highlight w:val="none"/>
        </w:rPr>
        <w:t xml:space="preserve">投标人情况表1</w:t>
      </w:r>
      <w:r>
        <w:rPr>
          <w:rFonts w:hint="eastAsia" w:ascii="宋体" w:hAnsi="宋体"/>
          <w:color w:val="000000"/>
          <w:sz w:val="24"/>
          <w:highlight w:val="none"/>
        </w:rPr>
      </w:r>
      <w:r/>
    </w:p>
    <w:p>
      <w:pPr>
        <w:pStyle w:val="744"/>
        <w:ind w:firstLine="480"/>
        <w:rPr>
          <w:rFonts w:hint="eastAsia" w:ascii="宋体" w:hAnsi="宋体"/>
          <w:color w:val="000000"/>
          <w:sz w:val="24"/>
          <w:highlight w:val="none"/>
        </w:rPr>
      </w:pPr>
      <w:r>
        <w:rPr>
          <w:rFonts w:hint="eastAsia" w:ascii="宋体" w:hAnsi="宋体"/>
          <w:color w:val="000000"/>
          <w:sz w:val="24"/>
          <w:highlight w:val="none"/>
        </w:rPr>
        <w:t xml:space="preserve">单位名称（盖章）</w:t>
      </w:r>
      <w:r>
        <w:rPr>
          <w:rFonts w:hint="eastAsia" w:ascii="宋体" w:hAnsi="宋体"/>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w:t>
            </w:r>
            <w:r>
              <w:rPr>
                <w:rFonts w:hint="eastAsia" w:ascii="宋体" w:hAnsi="宋体"/>
                <w:color w:val="000000"/>
                <w:sz w:val="24"/>
                <w:highlight w:val="none"/>
              </w:rPr>
            </w:r>
            <w:r/>
          </w:p>
        </w:tc>
        <w:tc>
          <w:tcPr>
            <w:gridSpan w:val="2"/>
            <w:tcW w:w="2259"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成立日期</w:t>
            </w:r>
            <w:r>
              <w:rPr>
                <w:rFonts w:hint="eastAsia" w:ascii="宋体" w:hAnsi="宋体"/>
                <w:color w:val="000000"/>
                <w:sz w:val="24"/>
                <w:highlight w:val="none"/>
              </w:rPr>
            </w:r>
            <w:r/>
          </w:p>
        </w:tc>
        <w:tc>
          <w:tcPr>
            <w:tcW w:w="2601"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企业地址</w:t>
            </w:r>
            <w:r>
              <w:rPr>
                <w:rFonts w:hint="eastAsia" w:ascii="宋体" w:hAnsi="宋体"/>
                <w:color w:val="000000"/>
                <w:sz w:val="24"/>
                <w:highlight w:val="none"/>
              </w:rPr>
            </w:r>
            <w:r/>
          </w:p>
        </w:tc>
        <w:tc>
          <w:tcPr>
            <w:gridSpan w:val="2"/>
            <w:tcW w:w="2259"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75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注册资本</w:t>
            </w:r>
            <w:r>
              <w:rPr>
                <w:rFonts w:hint="eastAsia" w:ascii="宋体" w:hAnsi="宋体"/>
                <w:color w:val="000000"/>
                <w:sz w:val="24"/>
                <w:highlight w:val="none"/>
              </w:rPr>
            </w:r>
            <w:r/>
          </w:p>
        </w:tc>
        <w:tc>
          <w:tcPr>
            <w:tcW w:w="2601" w:type="dxa"/>
            <w:vAlign w:val="top"/>
            <w:textDirection w:val="lrTb"/>
            <w:noWrap/>
          </w:tcPr>
          <w:p>
            <w:pPr>
              <w:pStyle w:val="744"/>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经营范围</w:t>
            </w:r>
            <w:r>
              <w:rPr>
                <w:rFonts w:hint="eastAsia" w:ascii="宋体" w:hAnsi="宋体"/>
                <w:color w:val="000000"/>
                <w:sz w:val="24"/>
                <w:highlight w:val="none"/>
              </w:rPr>
            </w:r>
            <w:r/>
          </w:p>
        </w:tc>
        <w:tc>
          <w:tcPr>
            <w:gridSpan w:val="4"/>
            <w:tcW w:w="661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职工人数</w:t>
            </w:r>
            <w:r>
              <w:rPr>
                <w:rFonts w:hint="eastAsia" w:ascii="宋体" w:hAnsi="宋体"/>
                <w:color w:val="000000"/>
                <w:sz w:val="24"/>
                <w:highlight w:val="none"/>
              </w:rPr>
            </w:r>
            <w:r/>
          </w:p>
        </w:tc>
        <w:tc>
          <w:tcPr>
            <w:tcW w:w="21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p>
            <w:pPr>
              <w:pStyle w:val="744"/>
              <w:ind w:left="478"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中级职称人数</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44"/>
              <w:ind w:left="478" w:firstLine="0"/>
              <w:spacing w:line="400" w:lineRule="exact"/>
              <w:rPr>
                <w:rFonts w:ascii="宋体" w:hAnsi="宋体" w:eastAsia="宋体"/>
                <w:color w:val="000000"/>
                <w:sz w:val="24"/>
                <w:highlight w:val="none"/>
                <w:lang w:val="en-US" w:eastAsia="zh-CN"/>
              </w:rPr>
            </w:pPr>
            <w:r>
              <w:rPr>
                <w:rFonts w:hint="eastAsia" w:ascii="宋体" w:hAnsi="宋体"/>
                <w:color w:val="000000"/>
                <w:sz w:val="24"/>
                <w:highlight w:val="none"/>
              </w:rPr>
              <w:t xml:space="preserve">高级职称人数</w:t>
            </w:r>
            <w:r>
              <w:rPr>
                <w:rFonts w:hint="eastAsia" w:ascii="宋体" w:hAnsi="宋体"/>
                <w:color w:val="000000"/>
                <w:sz w:val="24"/>
                <w:highlight w:val="none"/>
                <w:lang w:val="en-US" w:eastAsia="zh-CN"/>
              </w:rPr>
              <w:t xml:space="preserve">  </w:t>
            </w:r>
            <w:r>
              <w:rPr>
                <w:rFonts w:ascii="宋体" w:hAnsi="宋体" w:eastAsia="宋体"/>
                <w:color w:val="000000"/>
                <w:sz w:val="24"/>
                <w:highlight w:val="none"/>
                <w:lang w:val="en-US" w:eastAsia="zh-CN"/>
              </w:rPr>
            </w:r>
            <w:r/>
          </w:p>
        </w:tc>
      </w:tr>
      <w:tr>
        <w:trPr>
          <w:trHeight w:val="566"/>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年12月资产总额</w:t>
            </w:r>
            <w:r>
              <w:rPr>
                <w:rFonts w:hint="eastAsia" w:ascii="宋体" w:hAnsi="宋体"/>
                <w:color w:val="000000"/>
                <w:sz w:val="24"/>
                <w:highlight w:val="none"/>
              </w:rPr>
            </w:r>
            <w:r/>
          </w:p>
        </w:tc>
        <w:tc>
          <w:tcPr>
            <w:tcW w:w="21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净资产</w:t>
            </w:r>
            <w:r>
              <w:rPr>
                <w:rFonts w:hint="eastAsia" w:ascii="宋体" w:hAnsi="宋体"/>
                <w:color w:val="000000"/>
                <w:sz w:val="24"/>
                <w:highlight w:val="none"/>
              </w:rPr>
            </w:r>
            <w:r/>
          </w:p>
        </w:tc>
        <w:tc>
          <w:tcPr>
            <w:tcW w:w="2601" w:type="dxa"/>
            <w:vAlign w:val="top"/>
            <w:textDirection w:val="lrTb"/>
            <w:noWrap/>
          </w:tcPr>
          <w:p>
            <w:pPr>
              <w:pStyle w:val="744"/>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年12月股东权益</w:t>
            </w:r>
            <w:r>
              <w:rPr>
                <w:rFonts w:hint="eastAsia" w:ascii="宋体" w:hAnsi="宋体"/>
                <w:color w:val="000000"/>
                <w:sz w:val="24"/>
                <w:highlight w:val="none"/>
              </w:rPr>
            </w:r>
            <w:r/>
          </w:p>
        </w:tc>
        <w:tc>
          <w:tcPr>
            <w:tcW w:w="21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 万元</w:t>
            </w:r>
            <w:r>
              <w:rPr>
                <w:rFonts w:hint="eastAsia" w:ascii="宋体" w:hAnsi="宋体"/>
                <w:color w:val="000000"/>
                <w:sz w:val="24"/>
                <w:highlight w:val="none"/>
              </w:rPr>
            </w:r>
            <w:r/>
          </w:p>
        </w:tc>
        <w:tc>
          <w:tcPr>
            <w:gridSpan w:val="2"/>
            <w:tcW w:w="1906"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hint="eastAsia" w:ascii="宋体" w:hAnsi="宋体"/>
                <w:color w:val="000000"/>
                <w:sz w:val="24"/>
                <w:highlight w:val="none"/>
              </w:rPr>
            </w:r>
            <w:r/>
          </w:p>
        </w:tc>
        <w:tc>
          <w:tcPr>
            <w:tcW w:w="2601" w:type="dxa"/>
            <w:vAlign w:val="top"/>
            <w:textDirection w:val="lrTb"/>
            <w:noWrap/>
          </w:tcPr>
          <w:p>
            <w:pPr>
              <w:pStyle w:val="744"/>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r>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年实现利润</w:t>
            </w:r>
            <w:r>
              <w:rPr>
                <w:rFonts w:hint="eastAsia" w:ascii="宋体" w:hAnsi="宋体"/>
                <w:color w:val="000000"/>
                <w:sz w:val="24"/>
                <w:highlight w:val="none"/>
              </w:rPr>
            </w:r>
            <w:r/>
          </w:p>
        </w:tc>
        <w:tc>
          <w:tcPr>
            <w:tcW w:w="2110" w:type="dxa"/>
            <w:vAlign w:val="top"/>
            <w:textDirection w:val="lrTb"/>
            <w:noWrap/>
          </w:tcPr>
          <w:p>
            <w:pPr>
              <w:pStyle w:val="744"/>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万元</w:t>
            </w:r>
            <w:r>
              <w:rPr>
                <w:rFonts w:hint="eastAsia" w:ascii="宋体" w:hAnsi="宋体"/>
                <w:color w:val="000000"/>
                <w:sz w:val="24"/>
                <w:highlight w:val="none"/>
              </w:rPr>
            </w:r>
            <w:r/>
          </w:p>
        </w:tc>
        <w:tc>
          <w:tcPr>
            <w:gridSpan w:val="2"/>
            <w:tcW w:w="1906"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601"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tcW w:w="2510"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办公面积</w:t>
            </w:r>
            <w:r>
              <w:rPr>
                <w:rFonts w:hint="eastAsia" w:ascii="宋体" w:hAnsi="宋体"/>
                <w:color w:val="000000"/>
                <w:sz w:val="24"/>
                <w:highlight w:val="none"/>
              </w:rPr>
            </w:r>
            <w:r/>
          </w:p>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110" w:type="dxa"/>
            <w:vAlign w:val="top"/>
            <w:textDirection w:val="lrTb"/>
            <w:noWrap/>
          </w:tcPr>
          <w:p>
            <w:pPr>
              <w:pStyle w:val="744"/>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平方米</w:t>
            </w:r>
            <w:r>
              <w:rPr>
                <w:rFonts w:hint="eastAsia" w:ascii="宋体" w:hAnsi="宋体"/>
                <w:color w:val="000000"/>
                <w:sz w:val="24"/>
                <w:highlight w:val="none"/>
              </w:rPr>
            </w:r>
            <w:r/>
          </w:p>
        </w:tc>
        <w:tc>
          <w:tcPr>
            <w:gridSpan w:val="2"/>
            <w:tcW w:w="1906"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其中：</w:t>
            </w:r>
            <w:r>
              <w:rPr>
                <w:rFonts w:hint="eastAsia" w:ascii="宋体" w:hAnsi="宋体"/>
                <w:color w:val="000000"/>
                <w:sz w:val="24"/>
                <w:highlight w:val="none"/>
              </w:rPr>
            </w:r>
            <w:r/>
          </w:p>
        </w:tc>
        <w:tc>
          <w:tcPr>
            <w:tcW w:w="2601"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hint="eastAsia" w:ascii="宋体" w:hAnsi="宋体"/>
                <w:color w:val="000000"/>
                <w:sz w:val="24"/>
                <w:highlight w:val="none"/>
              </w:rPr>
            </w:r>
            <w:r/>
          </w:p>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hint="eastAsia" w:ascii="宋体" w:hAnsi="宋体"/>
                <w:color w:val="000000"/>
                <w:sz w:val="24"/>
                <w:highlight w:val="none"/>
              </w:rPr>
            </w:r>
            <w:r/>
          </w:p>
        </w:tc>
      </w:tr>
      <w:tr>
        <w:trPr>
          <w:trHeight w:val="590"/>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单位简历及内设机构情况</w:t>
            </w: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595"/>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单位优势及特长</w:t>
            </w: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trHeight w:val="965"/>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违纪或</w:t>
            </w:r>
            <w:r>
              <w:rPr>
                <w:rFonts w:ascii="宋体" w:hAnsi="宋体"/>
                <w:color w:val="000000"/>
                <w:sz w:val="24"/>
                <w:highlight w:val="none"/>
              </w:rPr>
              <w:t xml:space="preserve">其他原因被投诉或起诉的情况及说明</w:t>
            </w: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（包括解决方式和结果）</w:t>
            </w:r>
            <w:r>
              <w:rPr>
                <w:rFonts w:hint="eastAsia" w:ascii="宋体" w:hAnsi="宋体"/>
                <w:color w:val="000000"/>
                <w:sz w:val="24"/>
                <w:highlight w:val="none"/>
              </w:rPr>
            </w:r>
            <w:r/>
          </w:p>
        </w:tc>
      </w:tr>
      <w:tr>
        <w:trPr>
          <w:trHeight w:val="1004"/>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hint="eastAsia" w:ascii="宋体" w:hAnsi="宋体"/>
                <w:color w:val="000000"/>
                <w:sz w:val="24"/>
                <w:highlight w:val="none"/>
              </w:rPr>
            </w:r>
            <w:r/>
          </w:p>
        </w:tc>
        <w:tc>
          <w:tcPr>
            <w:gridSpan w:val="3"/>
            <w:tcW w:w="4507" w:type="dxa"/>
            <w:vAlign w:val="top"/>
            <w:textDirection w:val="lrTb"/>
            <w:noWrap/>
          </w:tcPr>
          <w:p>
            <w:pPr>
              <w:pStyle w:val="671"/>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rHeight w:val="747"/>
        </w:trPr>
        <w:tc>
          <w:tcPr>
            <w:gridSpan w:val="2"/>
            <w:tcW w:w="4620" w:type="dxa"/>
            <w:vAlign w:val="center"/>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t xml:space="preserve">其他需要说明的情况</w:t>
            </w:r>
            <w:r>
              <w:rPr>
                <w:rFonts w:hint="eastAsia" w:ascii="宋体" w:hAnsi="宋体"/>
                <w:color w:val="000000"/>
                <w:sz w:val="24"/>
                <w:highlight w:val="none"/>
              </w:rPr>
            </w:r>
            <w:r/>
          </w:p>
        </w:tc>
        <w:tc>
          <w:tcPr>
            <w:gridSpan w:val="3"/>
            <w:tcW w:w="4507" w:type="dxa"/>
            <w:vAlign w:val="top"/>
            <w:textDirection w:val="lrTb"/>
            <w:noWrap/>
          </w:tcPr>
          <w:p>
            <w:pPr>
              <w:pStyle w:val="744"/>
              <w:ind w:firstLine="0"/>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744"/>
        <w:ind w:firstLine="480"/>
        <w:rPr>
          <w:rFonts w:hint="eastAsia" w:ascii="宋体" w:hAnsi="宋体"/>
          <w:color w:val="000000"/>
          <w:sz w:val="24"/>
          <w:highlight w:val="none"/>
        </w:rPr>
      </w:pPr>
      <w:r>
        <w:rPr>
          <w:rFonts w:hint="eastAsia" w:ascii="宋体" w:hAnsi="宋体"/>
          <w:color w:val="000000"/>
          <w:sz w:val="24"/>
          <w:highlight w:val="none"/>
        </w:rPr>
        <w:t xml:space="preserve">注：本表可以扩展。</w:t>
      </w:r>
      <w:r>
        <w:rPr>
          <w:rFonts w:hint="eastAsia" w:ascii="宋体" w:hAnsi="宋体"/>
          <w:color w:val="000000"/>
          <w:sz w:val="24"/>
          <w:highlight w:val="none"/>
        </w:rPr>
      </w:r>
      <w:r/>
    </w:p>
    <w:p>
      <w:pPr>
        <w:pStyle w:val="671"/>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法定代表人或授权代表签字或盖章：</w:t>
      </w:r>
      <w:r>
        <w:rPr>
          <w:rFonts w:hint="eastAsia" w:ascii="宋体" w:hAnsi="宋体"/>
          <w:color w:val="000000"/>
          <w:sz w:val="24"/>
          <w:szCs w:val="24"/>
          <w:highlight w:val="none"/>
        </w:rPr>
      </w:r>
      <w:r/>
    </w:p>
    <w:p>
      <w:pPr>
        <w:pStyle w:val="671"/>
        <w:ind w:firstLine="480"/>
        <w:spacing w:line="360" w:lineRule="auto"/>
        <w:rPr>
          <w:rFonts w:hint="eastAsia" w:ascii="黑体" w:hAnsi="宋体" w:eastAsia="黑体"/>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（十三）技术方案（格式自拟）</w:t>
      </w:r>
      <w:r>
        <w:rPr>
          <w:rFonts w:hint="eastAsia" w:ascii="黑体" w:hAnsi="宋体" w:eastAsia="黑体"/>
          <w:color w:val="000000"/>
          <w:sz w:val="24"/>
          <w:szCs w:val="24"/>
          <w:highlight w:val="none"/>
        </w:rPr>
      </w:r>
      <w:r/>
    </w:p>
    <w:p>
      <w:pPr>
        <w:pStyle w:val="671"/>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1"/>
        <w:ind w:firstLine="48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技术方案</w:t>
      </w:r>
      <w:r>
        <w:rPr>
          <w:rFonts w:hint="eastAsia" w:ascii="宋体" w:hAnsi="宋体"/>
          <w:b/>
          <w:bCs/>
          <w:color w:val="000000"/>
          <w:sz w:val="24"/>
          <w:szCs w:val="24"/>
          <w:highlight w:val="none"/>
        </w:rPr>
      </w:r>
      <w:r/>
    </w:p>
    <w:p>
      <w:pPr>
        <w:pStyle w:val="971"/>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Pr>
        <w:rFonts w:hint="eastAsia" w:ascii="宋体" w:hAnsi="宋体"/>
        <w:lang w:eastAsia="zh-CN"/>
      </w:rPr>
      <w:t xml:space="preserve">JSZC-320200-JSZH-G2026-0030</w:t>
    </w:r>
    <w:r>
      <w:rPr>
        <w:rFonts w:hint="eastAsia" w:ascii="宋体" w:hAnsi="宋体"/>
      </w:rPr>
      <w:t xml:space="preserve">                             </w:t>
    </w:r>
    <w:r>
      <w:rPr>
        <w:rFonts w:hint="eastAsia" w:ascii="宋体" w:hAnsi="宋体"/>
        <w:lang w:eastAsia="zh-CN"/>
      </w:rPr>
      <w:t xml:space="preserve">2026年度食堂外包运营服务项目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pPr>
    <w:r>
      <w:rPr>
        <w:rFonts w:hint="eastAsia" w:ascii="宋体" w:hAnsi="宋体"/>
        <w:lang w:eastAsia="zh-CN"/>
      </w:rPr>
      <w:t xml:space="preserve">JSZC-320200-JSZH-G2026-00302026年度食堂外包运营服务项目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671"/>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671"/>
        <w:ind w:left="1361" w:hanging="420"/>
        <w:tabs>
          <w:tab w:val="num" w:pos="1361" w:leader="none"/>
        </w:tabs>
      </w:pPr>
      <w:rPr>
        <w:rFonts w:cs="Times New Roman"/>
      </w:rPr>
    </w:lvl>
    <w:lvl w:ilvl="2">
      <w:start w:val="1"/>
      <w:numFmt w:val="lowerRoman"/>
      <w:isLgl w:val="false"/>
      <w:suff w:val="tab"/>
      <w:lvlText w:val="%3."/>
      <w:lvlJc w:val="right"/>
      <w:pPr>
        <w:pStyle w:val="671"/>
        <w:ind w:left="1781" w:hanging="420"/>
        <w:tabs>
          <w:tab w:val="num" w:pos="1781" w:leader="none"/>
        </w:tabs>
      </w:pPr>
      <w:rPr>
        <w:rFonts w:cs="Times New Roman"/>
      </w:rPr>
    </w:lvl>
    <w:lvl w:ilvl="3">
      <w:start w:val="1"/>
      <w:numFmt w:val="decimal"/>
      <w:isLgl w:val="false"/>
      <w:suff w:val="tab"/>
      <w:lvlText w:val="%4."/>
      <w:lvlJc w:val="left"/>
      <w:pPr>
        <w:pStyle w:val="671"/>
        <w:ind w:left="2201" w:hanging="420"/>
        <w:tabs>
          <w:tab w:val="num" w:pos="2201" w:leader="none"/>
        </w:tabs>
      </w:pPr>
      <w:rPr>
        <w:rFonts w:cs="Times New Roman"/>
      </w:rPr>
    </w:lvl>
    <w:lvl w:ilvl="4">
      <w:start w:val="1"/>
      <w:numFmt w:val="lowerLetter"/>
      <w:isLgl w:val="false"/>
      <w:suff w:val="tab"/>
      <w:lvlText w:val="%5)"/>
      <w:lvlJc w:val="left"/>
      <w:pPr>
        <w:pStyle w:val="671"/>
        <w:ind w:left="2621" w:hanging="420"/>
        <w:tabs>
          <w:tab w:val="num" w:pos="2621" w:leader="none"/>
        </w:tabs>
      </w:pPr>
      <w:rPr>
        <w:rFonts w:cs="Times New Roman"/>
      </w:rPr>
    </w:lvl>
    <w:lvl w:ilvl="5">
      <w:start w:val="1"/>
      <w:numFmt w:val="lowerRoman"/>
      <w:isLgl w:val="false"/>
      <w:suff w:val="tab"/>
      <w:lvlText w:val="%6."/>
      <w:lvlJc w:val="right"/>
      <w:pPr>
        <w:pStyle w:val="671"/>
        <w:ind w:left="3041" w:hanging="420"/>
        <w:tabs>
          <w:tab w:val="num" w:pos="3041" w:leader="none"/>
        </w:tabs>
      </w:pPr>
      <w:rPr>
        <w:rFonts w:cs="Times New Roman"/>
      </w:rPr>
    </w:lvl>
    <w:lvl w:ilvl="6">
      <w:start w:val="1"/>
      <w:numFmt w:val="decimal"/>
      <w:isLgl w:val="false"/>
      <w:suff w:val="tab"/>
      <w:lvlText w:val="%7."/>
      <w:lvlJc w:val="left"/>
      <w:pPr>
        <w:pStyle w:val="671"/>
        <w:ind w:left="3461" w:hanging="420"/>
        <w:tabs>
          <w:tab w:val="num" w:pos="3461" w:leader="none"/>
        </w:tabs>
      </w:pPr>
      <w:rPr>
        <w:rFonts w:cs="Times New Roman"/>
      </w:rPr>
    </w:lvl>
    <w:lvl w:ilvl="7">
      <w:start w:val="1"/>
      <w:numFmt w:val="lowerLetter"/>
      <w:isLgl w:val="false"/>
      <w:suff w:val="tab"/>
      <w:lvlText w:val="%8)"/>
      <w:lvlJc w:val="left"/>
      <w:pPr>
        <w:pStyle w:val="671"/>
        <w:ind w:left="3881" w:hanging="420"/>
        <w:tabs>
          <w:tab w:val="num" w:pos="3881" w:leader="none"/>
        </w:tabs>
      </w:pPr>
      <w:rPr>
        <w:rFonts w:cs="Times New Roman"/>
      </w:rPr>
    </w:lvl>
    <w:lvl w:ilvl="8">
      <w:start w:val="1"/>
      <w:numFmt w:val="lowerRoman"/>
      <w:isLgl w:val="false"/>
      <w:suff w:val="tab"/>
      <w:lvlText w:val="%9."/>
      <w:lvlJc w:val="right"/>
      <w:pPr>
        <w:pStyle w:val="671"/>
        <w:ind w:left="4301" w:hanging="420"/>
        <w:tabs>
          <w:tab w:val="num" w:pos="4301" w:leader="none"/>
        </w:tabs>
      </w:pPr>
      <w:rPr>
        <w:rFonts w:cs="Times New Roman"/>
      </w:rPr>
    </w:lvl>
  </w:abstractNum>
  <w:abstractNum w:abstractNumId="1">
    <w:multiLevelType w:val="hybridMultilevel"/>
    <w:lvl w:ilvl="0">
      <w:start w:val="1"/>
      <w:numFmt w:val="decimal"/>
      <w:isLgl w:val="false"/>
      <w:suff w:val="tab"/>
      <w:lvlText w:val="%1．"/>
      <w:lvlJc w:val="left"/>
      <w:pPr>
        <w:pStyle w:val="671"/>
        <w:ind w:left="898" w:hanging="720"/>
        <w:tabs>
          <w:tab w:val="num" w:pos="898" w:leader="none"/>
        </w:tabs>
      </w:pPr>
      <w:rPr>
        <w:rFonts w:hint="eastAsia" w:cs="Times New Roman"/>
        <w:color w:val="000000"/>
      </w:rPr>
    </w:lvl>
    <w:lvl w:ilvl="1">
      <w:start w:val="1"/>
      <w:numFmt w:val="lowerLetter"/>
      <w:isLgl w:val="false"/>
      <w:suff w:val="tab"/>
      <w:lvlText w:val="%2)"/>
      <w:lvlJc w:val="left"/>
      <w:pPr>
        <w:pStyle w:val="671"/>
        <w:ind w:left="840" w:hanging="420"/>
        <w:tabs>
          <w:tab w:val="num" w:pos="840" w:leader="none"/>
        </w:tabs>
      </w:pPr>
      <w:rPr>
        <w:rFonts w:cs="Times New Roman"/>
      </w:rPr>
    </w:lvl>
    <w:lvl w:ilvl="2">
      <w:start w:val="1"/>
      <w:numFmt w:val="lowerRoman"/>
      <w:isLgl w:val="false"/>
      <w:suff w:val="tab"/>
      <w:lvlText w:val="%3."/>
      <w:lvlJc w:val="right"/>
      <w:pPr>
        <w:pStyle w:val="671"/>
        <w:ind w:left="1260" w:hanging="420"/>
        <w:tabs>
          <w:tab w:val="num" w:pos="1260" w:leader="none"/>
        </w:tabs>
      </w:pPr>
      <w:rPr>
        <w:rFonts w:cs="Times New Roman"/>
      </w:rPr>
    </w:lvl>
    <w:lvl w:ilvl="3">
      <w:start w:val="1"/>
      <w:numFmt w:val="decimal"/>
      <w:isLgl w:val="false"/>
      <w:suff w:val="tab"/>
      <w:lvlText w:val="%4."/>
      <w:lvlJc w:val="left"/>
      <w:pPr>
        <w:pStyle w:val="671"/>
        <w:ind w:left="1680" w:hanging="420"/>
        <w:tabs>
          <w:tab w:val="num" w:pos="1680" w:leader="none"/>
        </w:tabs>
      </w:pPr>
      <w:rPr>
        <w:rFonts w:cs="Times New Roman"/>
      </w:rPr>
    </w:lvl>
    <w:lvl w:ilvl="4">
      <w:start w:val="1"/>
      <w:numFmt w:val="lowerLetter"/>
      <w:isLgl w:val="false"/>
      <w:suff w:val="tab"/>
      <w:lvlText w:val="%5)"/>
      <w:lvlJc w:val="left"/>
      <w:pPr>
        <w:pStyle w:val="671"/>
        <w:ind w:left="2100" w:hanging="420"/>
        <w:tabs>
          <w:tab w:val="num" w:pos="2100" w:leader="none"/>
        </w:tabs>
      </w:pPr>
      <w:rPr>
        <w:rFonts w:cs="Times New Roman"/>
      </w:rPr>
    </w:lvl>
    <w:lvl w:ilvl="5">
      <w:start w:val="1"/>
      <w:numFmt w:val="lowerRoman"/>
      <w:isLgl w:val="false"/>
      <w:suff w:val="tab"/>
      <w:lvlText w:val="%6."/>
      <w:lvlJc w:val="right"/>
      <w:pPr>
        <w:pStyle w:val="671"/>
        <w:ind w:left="2520" w:hanging="420"/>
        <w:tabs>
          <w:tab w:val="num" w:pos="2520" w:leader="none"/>
        </w:tabs>
      </w:pPr>
      <w:rPr>
        <w:rFonts w:cs="Times New Roman"/>
      </w:rPr>
    </w:lvl>
    <w:lvl w:ilvl="6">
      <w:start w:val="1"/>
      <w:numFmt w:val="decimal"/>
      <w:isLgl w:val="false"/>
      <w:suff w:val="tab"/>
      <w:lvlText w:val="%7."/>
      <w:lvlJc w:val="left"/>
      <w:pPr>
        <w:pStyle w:val="671"/>
        <w:ind w:left="2940" w:hanging="420"/>
        <w:tabs>
          <w:tab w:val="num" w:pos="2940" w:leader="none"/>
        </w:tabs>
      </w:pPr>
      <w:rPr>
        <w:rFonts w:cs="Times New Roman"/>
      </w:rPr>
    </w:lvl>
    <w:lvl w:ilvl="7">
      <w:start w:val="1"/>
      <w:numFmt w:val="lowerLetter"/>
      <w:isLgl w:val="false"/>
      <w:suff w:val="tab"/>
      <w:lvlText w:val="%8)"/>
      <w:lvlJc w:val="left"/>
      <w:pPr>
        <w:pStyle w:val="671"/>
        <w:ind w:left="3360" w:hanging="420"/>
        <w:tabs>
          <w:tab w:val="num" w:pos="3360" w:leader="none"/>
        </w:tabs>
      </w:pPr>
      <w:rPr>
        <w:rFonts w:cs="Times New Roman"/>
      </w:rPr>
    </w:lvl>
    <w:lvl w:ilvl="8">
      <w:start w:val="1"/>
      <w:numFmt w:val="lowerRoman"/>
      <w:isLgl w:val="false"/>
      <w:suff w:val="tab"/>
      <w:lvlText w:val="%9."/>
      <w:lvlJc w:val="right"/>
      <w:pPr>
        <w:pStyle w:val="671"/>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671"/>
        <w:ind w:left="630" w:hanging="420"/>
        <w:tabs>
          <w:tab w:val="num" w:pos="630" w:leader="none"/>
        </w:tabs>
      </w:pPr>
      <w:rPr>
        <w:rFonts w:cs="Times New Roman"/>
      </w:rPr>
    </w:lvl>
    <w:lvl w:ilvl="1">
      <w:start w:val="1"/>
      <w:numFmt w:val="decimal"/>
      <w:isLgl w:val="false"/>
      <w:suff w:val="tab"/>
      <w:lvlText w:val="（%2）"/>
      <w:lvlJc w:val="left"/>
      <w:pPr>
        <w:pStyle w:val="671"/>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671"/>
        <w:ind w:left="1470" w:hanging="420"/>
        <w:tabs>
          <w:tab w:val="num" w:pos="1470" w:leader="none"/>
        </w:tabs>
      </w:pPr>
      <w:rPr>
        <w:rFonts w:cs="Times New Roman"/>
      </w:rPr>
    </w:lvl>
    <w:lvl w:ilvl="3">
      <w:start w:val="1"/>
      <w:numFmt w:val="decimal"/>
      <w:isLgl w:val="false"/>
      <w:suff w:val="tab"/>
      <w:lvlText w:val="%4."/>
      <w:lvlJc w:val="left"/>
      <w:pPr>
        <w:pStyle w:val="671"/>
        <w:ind w:left="1890" w:hanging="420"/>
        <w:tabs>
          <w:tab w:val="num" w:pos="1890" w:leader="none"/>
        </w:tabs>
      </w:pPr>
      <w:rPr>
        <w:rFonts w:cs="Times New Roman"/>
      </w:rPr>
    </w:lvl>
    <w:lvl w:ilvl="4">
      <w:start w:val="1"/>
      <w:numFmt w:val="lowerLetter"/>
      <w:isLgl w:val="false"/>
      <w:suff w:val="tab"/>
      <w:lvlText w:val="%5)"/>
      <w:lvlJc w:val="left"/>
      <w:pPr>
        <w:pStyle w:val="671"/>
        <w:ind w:left="2310" w:hanging="420"/>
        <w:tabs>
          <w:tab w:val="num" w:pos="2310" w:leader="none"/>
        </w:tabs>
      </w:pPr>
      <w:rPr>
        <w:rFonts w:cs="Times New Roman"/>
      </w:rPr>
    </w:lvl>
    <w:lvl w:ilvl="5">
      <w:start w:val="1"/>
      <w:numFmt w:val="lowerRoman"/>
      <w:isLgl w:val="false"/>
      <w:suff w:val="tab"/>
      <w:lvlText w:val="%6."/>
      <w:lvlJc w:val="right"/>
      <w:pPr>
        <w:pStyle w:val="671"/>
        <w:ind w:left="2730" w:hanging="420"/>
        <w:tabs>
          <w:tab w:val="num" w:pos="2730" w:leader="none"/>
        </w:tabs>
      </w:pPr>
      <w:rPr>
        <w:rFonts w:cs="Times New Roman"/>
      </w:rPr>
    </w:lvl>
    <w:lvl w:ilvl="6">
      <w:start w:val="1"/>
      <w:numFmt w:val="decimal"/>
      <w:isLgl w:val="false"/>
      <w:suff w:val="tab"/>
      <w:lvlText w:val="%7."/>
      <w:lvlJc w:val="left"/>
      <w:pPr>
        <w:pStyle w:val="671"/>
        <w:ind w:left="3150" w:hanging="420"/>
        <w:tabs>
          <w:tab w:val="num" w:pos="3150" w:leader="none"/>
        </w:tabs>
      </w:pPr>
      <w:rPr>
        <w:rFonts w:cs="Times New Roman"/>
      </w:rPr>
    </w:lvl>
    <w:lvl w:ilvl="7">
      <w:start w:val="1"/>
      <w:numFmt w:val="lowerLetter"/>
      <w:isLgl w:val="false"/>
      <w:suff w:val="tab"/>
      <w:lvlText w:val="%8)"/>
      <w:lvlJc w:val="left"/>
      <w:pPr>
        <w:pStyle w:val="671"/>
        <w:ind w:left="3570" w:hanging="420"/>
        <w:tabs>
          <w:tab w:val="num" w:pos="3570" w:leader="none"/>
        </w:tabs>
      </w:pPr>
      <w:rPr>
        <w:rFonts w:cs="Times New Roman"/>
      </w:rPr>
    </w:lvl>
    <w:lvl w:ilvl="8">
      <w:start w:val="1"/>
      <w:numFmt w:val="lowerRoman"/>
      <w:isLgl w:val="false"/>
      <w:suff w:val="tab"/>
      <w:lvlText w:val="%9."/>
      <w:lvlJc w:val="right"/>
      <w:pPr>
        <w:pStyle w:val="671"/>
        <w:ind w:left="3990" w:hanging="420"/>
        <w:tabs>
          <w:tab w:val="num" w:pos="3990" w:leader="none"/>
        </w:tabs>
      </w:pPr>
      <w:rPr>
        <w:rFonts w:cs="Times New Roman"/>
      </w:rPr>
    </w:lvl>
  </w:abstractNum>
  <w:abstractNum w:abstractNumId="3">
    <w:multiLevelType w:val="hybridMultilevel"/>
    <w:lvl w:ilvl="0">
      <w:start w:val="1"/>
      <w:numFmt w:val="decimal"/>
      <w:isLgl w:val="false"/>
      <w:suff w:val="tab"/>
      <w:lvlText w:val="（%1）"/>
      <w:lvlJc w:val="left"/>
      <w:pPr>
        <w:pStyle w:val="671"/>
        <w:ind w:left="1710" w:hanging="720"/>
        <w:tabs>
          <w:tab w:val="num" w:pos="1710" w:leader="none"/>
        </w:tabs>
      </w:pPr>
      <w:rPr>
        <w:rFonts w:hint="eastAsia" w:cs="Times New Roman"/>
      </w:rPr>
    </w:lvl>
    <w:lvl w:ilvl="1">
      <w:start w:val="2"/>
      <w:numFmt w:val="decimal"/>
      <w:isLgl w:val="false"/>
      <w:suff w:val="tab"/>
      <w:lvlText w:val="%2."/>
      <w:lvlJc w:val="left"/>
      <w:pPr>
        <w:pStyle w:val="671"/>
        <w:ind w:left="1770" w:hanging="360"/>
        <w:tabs>
          <w:tab w:val="num" w:pos="1770" w:leader="none"/>
        </w:tabs>
      </w:pPr>
      <w:rPr>
        <w:rFonts w:cs="Times New Roman"/>
      </w:rPr>
    </w:lvl>
    <w:lvl w:ilvl="2">
      <w:start w:val="1"/>
      <w:numFmt w:val="lowerRoman"/>
      <w:isLgl w:val="false"/>
      <w:suff w:val="tab"/>
      <w:lvlText w:val="%3."/>
      <w:lvlJc w:val="right"/>
      <w:pPr>
        <w:pStyle w:val="671"/>
        <w:ind w:left="2250" w:hanging="420"/>
        <w:tabs>
          <w:tab w:val="num" w:pos="2250" w:leader="none"/>
        </w:tabs>
      </w:pPr>
      <w:rPr>
        <w:rFonts w:cs="Times New Roman"/>
      </w:rPr>
    </w:lvl>
    <w:lvl w:ilvl="3">
      <w:start w:val="1"/>
      <w:numFmt w:val="decimal"/>
      <w:isLgl w:val="false"/>
      <w:suff w:val="tab"/>
      <w:lvlText w:val="%4."/>
      <w:lvlJc w:val="left"/>
      <w:pPr>
        <w:pStyle w:val="671"/>
        <w:ind w:left="2670" w:hanging="420"/>
        <w:tabs>
          <w:tab w:val="num" w:pos="2670" w:leader="none"/>
        </w:tabs>
      </w:pPr>
      <w:rPr>
        <w:rFonts w:cs="Times New Roman"/>
      </w:rPr>
    </w:lvl>
    <w:lvl w:ilvl="4">
      <w:start w:val="1"/>
      <w:numFmt w:val="lowerLetter"/>
      <w:isLgl w:val="false"/>
      <w:suff w:val="tab"/>
      <w:lvlText w:val="%5)"/>
      <w:lvlJc w:val="left"/>
      <w:pPr>
        <w:pStyle w:val="671"/>
        <w:ind w:left="3090" w:hanging="420"/>
        <w:tabs>
          <w:tab w:val="num" w:pos="3090" w:leader="none"/>
        </w:tabs>
      </w:pPr>
      <w:rPr>
        <w:rFonts w:cs="Times New Roman"/>
      </w:rPr>
    </w:lvl>
    <w:lvl w:ilvl="5">
      <w:start w:val="1"/>
      <w:numFmt w:val="lowerRoman"/>
      <w:isLgl w:val="false"/>
      <w:suff w:val="tab"/>
      <w:lvlText w:val="%6."/>
      <w:lvlJc w:val="right"/>
      <w:pPr>
        <w:pStyle w:val="671"/>
        <w:ind w:left="3510" w:hanging="420"/>
        <w:tabs>
          <w:tab w:val="num" w:pos="3510" w:leader="none"/>
        </w:tabs>
      </w:pPr>
      <w:rPr>
        <w:rFonts w:cs="Times New Roman"/>
      </w:rPr>
    </w:lvl>
    <w:lvl w:ilvl="6">
      <w:start w:val="1"/>
      <w:numFmt w:val="decimal"/>
      <w:isLgl w:val="false"/>
      <w:suff w:val="tab"/>
      <w:lvlText w:val="%7."/>
      <w:lvlJc w:val="left"/>
      <w:pPr>
        <w:pStyle w:val="671"/>
        <w:ind w:left="3930" w:hanging="420"/>
        <w:tabs>
          <w:tab w:val="num" w:pos="3930" w:leader="none"/>
        </w:tabs>
      </w:pPr>
      <w:rPr>
        <w:rFonts w:cs="Times New Roman"/>
      </w:rPr>
    </w:lvl>
    <w:lvl w:ilvl="7">
      <w:start w:val="1"/>
      <w:numFmt w:val="lowerLetter"/>
      <w:isLgl w:val="false"/>
      <w:suff w:val="tab"/>
      <w:lvlText w:val="%8)"/>
      <w:lvlJc w:val="left"/>
      <w:pPr>
        <w:pStyle w:val="671"/>
        <w:ind w:left="4350" w:hanging="420"/>
        <w:tabs>
          <w:tab w:val="num" w:pos="4350" w:leader="none"/>
        </w:tabs>
      </w:pPr>
      <w:rPr>
        <w:rFonts w:cs="Times New Roman"/>
      </w:rPr>
    </w:lvl>
    <w:lvl w:ilvl="8">
      <w:start w:val="1"/>
      <w:numFmt w:val="lowerRoman"/>
      <w:isLgl w:val="false"/>
      <w:suff w:val="tab"/>
      <w:lvlText w:val="%9."/>
      <w:lvlJc w:val="right"/>
      <w:pPr>
        <w:pStyle w:val="671"/>
        <w:ind w:left="4770" w:hanging="420"/>
        <w:tabs>
          <w:tab w:val="num" w:pos="4770" w:leader="none"/>
        </w:tabs>
      </w:pPr>
      <w:rPr>
        <w:rFonts w:cs="Times New Roman"/>
      </w:rPr>
    </w:lvl>
  </w:abstractNum>
  <w:abstractNum w:abstractNumId="4">
    <w:multiLevelType w:val="hybridMultilevel"/>
    <w:lvl w:ilvl="0">
      <w:start w:val="1"/>
      <w:numFmt w:val="bullet"/>
      <w:pStyle w:val="766"/>
      <w:isLgl w:val="false"/>
      <w:suff w:val="tab"/>
      <w:lvlText w:val=""/>
      <w:lvlJc w:val="left"/>
      <w:pPr>
        <w:pStyle w:val="671"/>
        <w:ind w:left="420" w:hanging="420"/>
        <w:tabs>
          <w:tab w:val="num" w:pos="420" w:leader="none"/>
        </w:tabs>
      </w:pPr>
      <w:rPr>
        <w:rFonts w:ascii="Wingdings" w:hAnsi="Wingdings"/>
      </w:rPr>
    </w:lvl>
    <w:lvl w:ilvl="1">
      <w:start w:val="1"/>
      <w:numFmt w:val="bullet"/>
      <w:isLgl w:val="false"/>
      <w:suff w:val="tab"/>
      <w:lvlText w:val=""/>
      <w:lvlJc w:val="left"/>
      <w:pPr>
        <w:pStyle w:val="671"/>
        <w:ind w:left="3165" w:hanging="420"/>
        <w:tabs>
          <w:tab w:val="num" w:pos="3165" w:leader="none"/>
        </w:tabs>
      </w:pPr>
      <w:rPr>
        <w:rFonts w:ascii="Wingdings" w:hAnsi="Wingdings"/>
      </w:rPr>
    </w:lvl>
    <w:lvl w:ilvl="2">
      <w:start w:val="1"/>
      <w:numFmt w:val="bullet"/>
      <w:isLgl w:val="false"/>
      <w:suff w:val="tab"/>
      <w:lvlText w:val=""/>
      <w:lvlJc w:val="left"/>
      <w:pPr>
        <w:pStyle w:val="671"/>
        <w:ind w:left="3585" w:hanging="420"/>
        <w:tabs>
          <w:tab w:val="num" w:pos="3585" w:leader="none"/>
        </w:tabs>
      </w:pPr>
      <w:rPr>
        <w:rFonts w:ascii="Wingdings" w:hAnsi="Wingdings"/>
      </w:rPr>
    </w:lvl>
    <w:lvl w:ilvl="3">
      <w:start w:val="1"/>
      <w:numFmt w:val="bullet"/>
      <w:isLgl w:val="false"/>
      <w:suff w:val="tab"/>
      <w:lvlText w:val=""/>
      <w:lvlJc w:val="left"/>
      <w:pPr>
        <w:pStyle w:val="671"/>
        <w:ind w:left="4005" w:hanging="420"/>
        <w:tabs>
          <w:tab w:val="num" w:pos="4005" w:leader="none"/>
        </w:tabs>
      </w:pPr>
      <w:rPr>
        <w:rFonts w:ascii="Wingdings" w:hAnsi="Wingdings"/>
      </w:rPr>
    </w:lvl>
    <w:lvl w:ilvl="4">
      <w:start w:val="1"/>
      <w:numFmt w:val="bullet"/>
      <w:isLgl w:val="false"/>
      <w:suff w:val="tab"/>
      <w:lvlText w:val=""/>
      <w:lvlJc w:val="left"/>
      <w:pPr>
        <w:pStyle w:val="671"/>
        <w:ind w:left="4425" w:hanging="420"/>
        <w:tabs>
          <w:tab w:val="num" w:pos="4425" w:leader="none"/>
        </w:tabs>
      </w:pPr>
      <w:rPr>
        <w:rFonts w:ascii="Wingdings" w:hAnsi="Wingdings"/>
      </w:rPr>
    </w:lvl>
    <w:lvl w:ilvl="5">
      <w:start w:val="1"/>
      <w:numFmt w:val="bullet"/>
      <w:isLgl w:val="false"/>
      <w:suff w:val="tab"/>
      <w:lvlText w:val=""/>
      <w:lvlJc w:val="left"/>
      <w:pPr>
        <w:pStyle w:val="671"/>
        <w:ind w:left="4845" w:hanging="420"/>
        <w:tabs>
          <w:tab w:val="num" w:pos="4845" w:leader="none"/>
        </w:tabs>
      </w:pPr>
      <w:rPr>
        <w:rFonts w:ascii="Wingdings" w:hAnsi="Wingdings"/>
      </w:rPr>
    </w:lvl>
    <w:lvl w:ilvl="6">
      <w:start w:val="1"/>
      <w:numFmt w:val="bullet"/>
      <w:isLgl w:val="false"/>
      <w:suff w:val="tab"/>
      <w:lvlText w:val=""/>
      <w:lvlJc w:val="left"/>
      <w:pPr>
        <w:pStyle w:val="671"/>
        <w:ind w:left="5265" w:hanging="420"/>
        <w:tabs>
          <w:tab w:val="num" w:pos="5265" w:leader="none"/>
        </w:tabs>
      </w:pPr>
      <w:rPr>
        <w:rFonts w:ascii="Wingdings" w:hAnsi="Wingdings"/>
      </w:rPr>
    </w:lvl>
    <w:lvl w:ilvl="7">
      <w:start w:val="1"/>
      <w:numFmt w:val="bullet"/>
      <w:isLgl w:val="false"/>
      <w:suff w:val="tab"/>
      <w:lvlText w:val=""/>
      <w:lvlJc w:val="left"/>
      <w:pPr>
        <w:pStyle w:val="671"/>
        <w:ind w:left="5685" w:hanging="420"/>
        <w:tabs>
          <w:tab w:val="num" w:pos="5685" w:leader="none"/>
        </w:tabs>
      </w:pPr>
      <w:rPr>
        <w:rFonts w:ascii="Wingdings" w:hAnsi="Wingdings"/>
      </w:rPr>
    </w:lvl>
    <w:lvl w:ilvl="8">
      <w:start w:val="1"/>
      <w:numFmt w:val="bullet"/>
      <w:isLgl w:val="false"/>
      <w:suff w:val="tab"/>
      <w:lvlText w:val=""/>
      <w:lvlJc w:val="left"/>
      <w:pPr>
        <w:pStyle w:val="671"/>
        <w:ind w:left="6105" w:hanging="420"/>
        <w:tabs>
          <w:tab w:val="num"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67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1"/>
        <w:ind w:left="840" w:hanging="420"/>
        <w:tabs>
          <w:tab w:val="num" w:pos="840" w:leader="none"/>
        </w:tabs>
      </w:pPr>
      <w:rPr>
        <w:rFonts w:cs="Times New Roman"/>
      </w:rPr>
    </w:lvl>
    <w:lvl w:ilvl="2">
      <w:start w:val="10"/>
      <w:numFmt w:val="decimal"/>
      <w:isLgl w:val="false"/>
      <w:suff w:val="tab"/>
      <w:lvlText w:val="%3."/>
      <w:lvlJc w:val="left"/>
      <w:pPr>
        <w:pStyle w:val="671"/>
        <w:ind w:left="1200" w:hanging="360"/>
        <w:tabs>
          <w:tab w:val="num" w:pos="1200" w:leader="none"/>
        </w:tabs>
      </w:pPr>
      <w:rPr>
        <w:rFonts w:cs="Times New Roman"/>
      </w:rPr>
    </w:lvl>
    <w:lvl w:ilvl="3">
      <w:start w:val="1"/>
      <w:numFmt w:val="decimal"/>
      <w:isLgl w:val="false"/>
      <w:suff w:val="tab"/>
      <w:lvlText w:val="%4."/>
      <w:lvlJc w:val="left"/>
      <w:pPr>
        <w:pStyle w:val="671"/>
        <w:ind w:left="1680" w:hanging="420"/>
        <w:tabs>
          <w:tab w:val="num" w:pos="1680" w:leader="none"/>
        </w:tabs>
      </w:pPr>
      <w:rPr>
        <w:rFonts w:cs="Times New Roman"/>
      </w:rPr>
    </w:lvl>
    <w:lvl w:ilvl="4">
      <w:start w:val="1"/>
      <w:numFmt w:val="lowerLetter"/>
      <w:isLgl w:val="false"/>
      <w:suff w:val="tab"/>
      <w:lvlText w:val="%5)"/>
      <w:lvlJc w:val="left"/>
      <w:pPr>
        <w:pStyle w:val="671"/>
        <w:ind w:left="2100" w:hanging="420"/>
        <w:tabs>
          <w:tab w:val="num" w:pos="2100" w:leader="none"/>
        </w:tabs>
      </w:pPr>
      <w:rPr>
        <w:rFonts w:cs="Times New Roman"/>
      </w:rPr>
    </w:lvl>
    <w:lvl w:ilvl="5">
      <w:start w:val="1"/>
      <w:numFmt w:val="lowerRoman"/>
      <w:isLgl w:val="false"/>
      <w:suff w:val="tab"/>
      <w:lvlText w:val="%6."/>
      <w:lvlJc w:val="right"/>
      <w:pPr>
        <w:pStyle w:val="671"/>
        <w:ind w:left="2520" w:hanging="420"/>
        <w:tabs>
          <w:tab w:val="num" w:pos="2520" w:leader="none"/>
        </w:tabs>
      </w:pPr>
      <w:rPr>
        <w:rFonts w:cs="Times New Roman"/>
      </w:rPr>
    </w:lvl>
    <w:lvl w:ilvl="6">
      <w:start w:val="1"/>
      <w:numFmt w:val="decimal"/>
      <w:isLgl w:val="false"/>
      <w:suff w:val="tab"/>
      <w:lvlText w:val="%7."/>
      <w:lvlJc w:val="left"/>
      <w:pPr>
        <w:pStyle w:val="671"/>
        <w:ind w:left="2940" w:hanging="420"/>
        <w:tabs>
          <w:tab w:val="num" w:pos="2940" w:leader="none"/>
        </w:tabs>
      </w:pPr>
      <w:rPr>
        <w:rFonts w:cs="Times New Roman"/>
      </w:rPr>
    </w:lvl>
    <w:lvl w:ilvl="7">
      <w:start w:val="1"/>
      <w:numFmt w:val="lowerLetter"/>
      <w:isLgl w:val="false"/>
      <w:suff w:val="tab"/>
      <w:lvlText w:val="%8)"/>
      <w:lvlJc w:val="left"/>
      <w:pPr>
        <w:pStyle w:val="671"/>
        <w:ind w:left="3360" w:hanging="420"/>
        <w:tabs>
          <w:tab w:val="num" w:pos="3360" w:leader="none"/>
        </w:tabs>
      </w:pPr>
      <w:rPr>
        <w:rFonts w:cs="Times New Roman"/>
      </w:rPr>
    </w:lvl>
    <w:lvl w:ilvl="8">
      <w:start w:val="1"/>
      <w:numFmt w:val="lowerRoman"/>
      <w:isLgl w:val="false"/>
      <w:suff w:val="tab"/>
      <w:lvlText w:val="%9."/>
      <w:lvlJc w:val="right"/>
      <w:pPr>
        <w:pStyle w:val="671"/>
        <w:ind w:left="3780" w:hanging="420"/>
        <w:tabs>
          <w:tab w:val="num" w:pos="3780" w:leader="none"/>
        </w:tabs>
      </w:pPr>
      <w:rPr>
        <w:rFonts w:cs="Times New Roman"/>
      </w:rPr>
    </w:lvl>
  </w:abstractNum>
  <w:abstractNum w:abstractNumId="6">
    <w:multiLevelType w:val="hybridMultilevel"/>
    <w:lvl w:ilvl="0">
      <w:start w:val="1"/>
      <w:numFmt w:val="decimal"/>
      <w:isLgl w:val="false"/>
      <w:suff w:val="nothing"/>
      <w:lvlText w:val="%1、"/>
      <w:lvlJc w:val="left"/>
      <w:pPr>
        <w:pStyle w:val="6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54"/>
      <w:isLgl w:val="false"/>
      <w:suff w:val="tab"/>
      <w:lvlText w:val="%1."/>
      <w:lvlJc w:val="left"/>
      <w:pPr>
        <w:pStyle w:val="671"/>
        <w:ind w:left="360" w:hanging="360"/>
        <w:tabs>
          <w:tab w:val="num" w:pos="360" w:leader="none"/>
        </w:tabs>
      </w:pPr>
      <w:rPr>
        <w:rFonts w:cs="Times New Roman"/>
      </w:rPr>
    </w:lvl>
    <w:lvl w:ilvl="1">
      <w:start w:val="1"/>
      <w:numFmt w:val="lowerLetter"/>
      <w:isLgl w:val="false"/>
      <w:suff w:val="tab"/>
      <w:lvlText w:val="%2)"/>
      <w:lvlJc w:val="left"/>
      <w:pPr>
        <w:pStyle w:val="671"/>
        <w:ind w:left="840" w:hanging="420"/>
        <w:tabs>
          <w:tab w:val="num" w:pos="840" w:leader="none"/>
        </w:tabs>
      </w:pPr>
      <w:rPr>
        <w:rFonts w:cs="Times New Roman"/>
      </w:rPr>
    </w:lvl>
    <w:lvl w:ilvl="2">
      <w:start w:val="1"/>
      <w:numFmt w:val="lowerRoman"/>
      <w:isLgl w:val="false"/>
      <w:suff w:val="tab"/>
      <w:lvlText w:val="%3."/>
      <w:lvlJc w:val="right"/>
      <w:pPr>
        <w:pStyle w:val="671"/>
        <w:ind w:left="1260" w:hanging="420"/>
        <w:tabs>
          <w:tab w:val="num" w:pos="1260" w:leader="none"/>
        </w:tabs>
      </w:pPr>
      <w:rPr>
        <w:rFonts w:cs="Times New Roman"/>
      </w:rPr>
    </w:lvl>
    <w:lvl w:ilvl="3">
      <w:start w:val="1"/>
      <w:numFmt w:val="decimal"/>
      <w:isLgl w:val="false"/>
      <w:suff w:val="tab"/>
      <w:lvlText w:val="%4."/>
      <w:lvlJc w:val="left"/>
      <w:pPr>
        <w:pStyle w:val="671"/>
        <w:ind w:left="1680" w:hanging="420"/>
        <w:tabs>
          <w:tab w:val="num" w:pos="1680" w:leader="none"/>
        </w:tabs>
      </w:pPr>
      <w:rPr>
        <w:rFonts w:cs="Times New Roman"/>
      </w:rPr>
    </w:lvl>
    <w:lvl w:ilvl="4">
      <w:start w:val="1"/>
      <w:numFmt w:val="lowerLetter"/>
      <w:isLgl w:val="false"/>
      <w:suff w:val="tab"/>
      <w:lvlText w:val="%5)"/>
      <w:lvlJc w:val="left"/>
      <w:pPr>
        <w:pStyle w:val="671"/>
        <w:ind w:left="2100" w:hanging="420"/>
        <w:tabs>
          <w:tab w:val="num" w:pos="2100" w:leader="none"/>
        </w:tabs>
      </w:pPr>
      <w:rPr>
        <w:rFonts w:cs="Times New Roman"/>
      </w:rPr>
    </w:lvl>
    <w:lvl w:ilvl="5">
      <w:start w:val="1"/>
      <w:numFmt w:val="lowerRoman"/>
      <w:isLgl w:val="false"/>
      <w:suff w:val="tab"/>
      <w:lvlText w:val="%6."/>
      <w:lvlJc w:val="right"/>
      <w:pPr>
        <w:pStyle w:val="671"/>
        <w:ind w:left="2520" w:hanging="420"/>
        <w:tabs>
          <w:tab w:val="num" w:pos="2520" w:leader="none"/>
        </w:tabs>
      </w:pPr>
      <w:rPr>
        <w:rFonts w:cs="Times New Roman"/>
      </w:rPr>
    </w:lvl>
    <w:lvl w:ilvl="6">
      <w:start w:val="1"/>
      <w:numFmt w:val="decimal"/>
      <w:isLgl w:val="false"/>
      <w:suff w:val="tab"/>
      <w:lvlText w:val="%7."/>
      <w:lvlJc w:val="left"/>
      <w:pPr>
        <w:pStyle w:val="671"/>
        <w:ind w:left="2940" w:hanging="420"/>
        <w:tabs>
          <w:tab w:val="num" w:pos="2940" w:leader="none"/>
        </w:tabs>
      </w:pPr>
      <w:rPr>
        <w:rFonts w:cs="Times New Roman"/>
      </w:rPr>
    </w:lvl>
    <w:lvl w:ilvl="7">
      <w:start w:val="1"/>
      <w:numFmt w:val="lowerLetter"/>
      <w:isLgl w:val="false"/>
      <w:suff w:val="tab"/>
      <w:lvlText w:val="%8)"/>
      <w:lvlJc w:val="left"/>
      <w:pPr>
        <w:pStyle w:val="671"/>
        <w:ind w:left="3360" w:hanging="420"/>
        <w:tabs>
          <w:tab w:val="num" w:pos="3360" w:leader="none"/>
        </w:tabs>
      </w:pPr>
      <w:rPr>
        <w:rFonts w:cs="Times New Roman"/>
      </w:rPr>
    </w:lvl>
    <w:lvl w:ilvl="8">
      <w:start w:val="1"/>
      <w:numFmt w:val="lowerRoman"/>
      <w:isLgl w:val="false"/>
      <w:suff w:val="tab"/>
      <w:lvlText w:val="%9."/>
      <w:lvlJc w:val="right"/>
      <w:pPr>
        <w:pStyle w:val="671"/>
        <w:ind w:left="3780" w:hanging="420"/>
        <w:tabs>
          <w:tab w:val="num" w:pos="3780" w:leader="none"/>
        </w:tabs>
      </w:pPr>
      <w:rPr>
        <w:rFonts w:cs="Times New Roman"/>
      </w:rPr>
    </w:lvl>
  </w:abstractNum>
  <w:abstractNum w:abstractNumId="8">
    <w:multiLevelType w:val="hybridMultilevel"/>
    <w:lvl w:ilvl="0">
      <w:start w:val="1"/>
      <w:numFmt w:val="decimal"/>
      <w:isLgl w:val="false"/>
      <w:suff w:val="tab"/>
      <w:lvlText w:val="（%1）"/>
      <w:lvlJc w:val="left"/>
      <w:pPr>
        <w:pStyle w:val="671"/>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671"/>
        <w:ind w:left="762" w:hanging="210"/>
        <w:tabs>
          <w:tab w:val="num" w:pos="762" w:leader="none"/>
        </w:tabs>
      </w:pPr>
      <w:rPr>
        <w:rFonts w:hint="eastAsia"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671"/>
        <w:ind w:left="762" w:hanging="210"/>
        <w:tabs>
          <w:tab w:val="num" w:pos="762" w:leader="none"/>
        </w:tabs>
      </w:pPr>
      <w:rPr>
        <w:rFonts w:hint="eastAsia"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671"/>
        <w:ind w:left="552" w:hanging="420"/>
        <w:tabs>
          <w:tab w:val="num" w:pos="552" w:leader="none"/>
        </w:tabs>
      </w:pPr>
      <w:rPr>
        <w:rFonts w:hint="eastAsia"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71"/>
        <w:ind w:left="447" w:hanging="420"/>
        <w:tabs>
          <w:tab w:val="num" w:pos="552" w:leader="none"/>
        </w:tabs>
      </w:pPr>
      <w:rPr>
        <w:rFonts w:hint="eastAsia"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3">
    <w:multiLevelType w:val="hybridMultilevel"/>
    <w:lvl w:ilvl="0">
      <w:start w:val="3"/>
      <w:numFmt w:val="decimal"/>
      <w:isLgl w:val="false"/>
      <w:suff w:val="tab"/>
      <w:lvlText w:val="%1、"/>
      <w:lvlJc w:val="left"/>
      <w:pPr>
        <w:pStyle w:val="671"/>
        <w:ind w:left="840" w:hanging="360"/>
        <w:tabs>
          <w:tab w:val="num" w:pos="840" w:leader="none"/>
        </w:tabs>
      </w:pPr>
    </w:lvl>
    <w:lvl w:ilvl="1">
      <w:start w:val="2"/>
      <w:numFmt w:val="japaneseCounting"/>
      <w:isLgl w:val="false"/>
      <w:suff w:val="tab"/>
      <w:lvlText w:val="%2、"/>
      <w:lvlJc w:val="left"/>
      <w:pPr>
        <w:pStyle w:val="671"/>
        <w:ind w:left="1380" w:hanging="480"/>
        <w:tabs>
          <w:tab w:val="num" w:pos="1380" w:leader="none"/>
        </w:tabs>
      </w:pPr>
    </w:lvl>
    <w:lvl w:ilvl="2">
      <w:start w:val="1"/>
      <w:numFmt w:val="lowerRoman"/>
      <w:isLgl w:val="false"/>
      <w:suff w:val="tab"/>
      <w:lvlText w:val="%3."/>
      <w:lvlJc w:val="right"/>
      <w:pPr>
        <w:pStyle w:val="671"/>
        <w:ind w:left="1740" w:hanging="420"/>
        <w:tabs>
          <w:tab w:val="num" w:pos="1740" w:leader="none"/>
        </w:tabs>
      </w:pPr>
    </w:lvl>
    <w:lvl w:ilvl="3">
      <w:start w:val="1"/>
      <w:numFmt w:val="decimal"/>
      <w:isLgl w:val="false"/>
      <w:suff w:val="tab"/>
      <w:lvlText w:val="%4."/>
      <w:lvlJc w:val="left"/>
      <w:pPr>
        <w:pStyle w:val="671"/>
        <w:ind w:left="2160" w:hanging="420"/>
        <w:tabs>
          <w:tab w:val="num" w:pos="2160" w:leader="none"/>
        </w:tabs>
      </w:pPr>
    </w:lvl>
    <w:lvl w:ilvl="4">
      <w:start w:val="1"/>
      <w:numFmt w:val="lowerLetter"/>
      <w:isLgl w:val="false"/>
      <w:suff w:val="tab"/>
      <w:lvlText w:val="%5)"/>
      <w:lvlJc w:val="left"/>
      <w:pPr>
        <w:pStyle w:val="671"/>
        <w:ind w:left="2580" w:hanging="420"/>
        <w:tabs>
          <w:tab w:val="num" w:pos="2580" w:leader="none"/>
        </w:tabs>
      </w:pPr>
    </w:lvl>
    <w:lvl w:ilvl="5">
      <w:start w:val="1"/>
      <w:numFmt w:val="lowerRoman"/>
      <w:isLgl w:val="false"/>
      <w:suff w:val="tab"/>
      <w:lvlText w:val="%6."/>
      <w:lvlJc w:val="right"/>
      <w:pPr>
        <w:pStyle w:val="671"/>
        <w:ind w:left="3000" w:hanging="420"/>
        <w:tabs>
          <w:tab w:val="num" w:pos="3000" w:leader="none"/>
        </w:tabs>
      </w:pPr>
    </w:lvl>
    <w:lvl w:ilvl="6">
      <w:start w:val="1"/>
      <w:numFmt w:val="decimal"/>
      <w:isLgl w:val="false"/>
      <w:suff w:val="tab"/>
      <w:lvlText w:val="%7."/>
      <w:lvlJc w:val="left"/>
      <w:pPr>
        <w:pStyle w:val="671"/>
        <w:ind w:left="3420" w:hanging="420"/>
        <w:tabs>
          <w:tab w:val="num" w:pos="3420" w:leader="none"/>
        </w:tabs>
      </w:pPr>
    </w:lvl>
    <w:lvl w:ilvl="7">
      <w:start w:val="1"/>
      <w:numFmt w:val="lowerLetter"/>
      <w:isLgl w:val="false"/>
      <w:suff w:val="tab"/>
      <w:lvlText w:val="%8)"/>
      <w:lvlJc w:val="left"/>
      <w:pPr>
        <w:pStyle w:val="671"/>
        <w:ind w:left="3840" w:hanging="420"/>
        <w:tabs>
          <w:tab w:val="num" w:pos="3840" w:leader="none"/>
        </w:tabs>
      </w:pPr>
    </w:lvl>
    <w:lvl w:ilvl="8">
      <w:start w:val="1"/>
      <w:numFmt w:val="lowerRoman"/>
      <w:isLgl w:val="false"/>
      <w:suff w:val="tab"/>
      <w:lvlText w:val="%9."/>
      <w:lvlJc w:val="right"/>
      <w:pPr>
        <w:pStyle w:val="671"/>
        <w:ind w:left="4260" w:hanging="420"/>
        <w:tabs>
          <w:tab w:val="num" w:pos="4260" w:leader="none"/>
        </w:tabs>
      </w:pPr>
    </w:lvl>
  </w:abstractNum>
  <w:abstractNum w:abstractNumId="14">
    <w:multiLevelType w:val="hybridMultilevel"/>
    <w:lvl w:ilvl="0">
      <w:start w:val="1"/>
      <w:numFmt w:val="decimal"/>
      <w:isLgl w:val="false"/>
      <w:suff w:val="tab"/>
      <w:lvlText w:val="%1．"/>
      <w:lvlJc w:val="left"/>
      <w:pPr>
        <w:pStyle w:val="671"/>
        <w:ind w:left="552" w:hanging="420"/>
        <w:tabs>
          <w:tab w:val="num" w:pos="552" w:leader="none"/>
        </w:tabs>
      </w:pPr>
      <w:rPr>
        <w:rFonts w:hint="eastAsia"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671"/>
        <w:ind w:left="570" w:hanging="420"/>
        <w:tabs>
          <w:tab w:val="num" w:pos="570" w:leader="none"/>
        </w:tabs>
      </w:pPr>
      <w:rPr>
        <w:rFonts w:hint="eastAsia" w:cs="Times New Roman"/>
      </w:rPr>
    </w:lvl>
    <w:lvl w:ilvl="1">
      <w:start w:val="1"/>
      <w:numFmt w:val="bullet"/>
      <w:isLgl w:val="false"/>
      <w:suff w:val="tab"/>
      <w:lvlText w:val="o"/>
      <w:lvlJc w:val="left"/>
      <w:pPr>
        <w:pStyle w:val="671"/>
        <w:ind w:left="1440" w:hanging="360"/>
      </w:pPr>
      <w:rPr>
        <w:rFonts w:ascii="Courier New" w:hAnsi="Courier New" w:eastAsia="Courier New" w:cs="Courier New"/>
      </w:rPr>
    </w:lvl>
    <w:lvl w:ilvl="2">
      <w:start w:val="1"/>
      <w:numFmt w:val="bullet"/>
      <w:isLgl w:val="false"/>
      <w:suff w:val="tab"/>
      <w:lvlText w:val="§"/>
      <w:lvlJc w:val="left"/>
      <w:pPr>
        <w:pStyle w:val="671"/>
        <w:ind w:left="2160" w:hanging="360"/>
      </w:pPr>
      <w:rPr>
        <w:rFonts w:ascii="Wingdings" w:hAnsi="Wingdings" w:eastAsia="Wingdings" w:cs="Wingdings"/>
      </w:rPr>
    </w:lvl>
    <w:lvl w:ilvl="3">
      <w:start w:val="1"/>
      <w:numFmt w:val="bullet"/>
      <w:isLgl w:val="false"/>
      <w:suff w:val="tab"/>
      <w:lvlText w:val="·"/>
      <w:lvlJc w:val="left"/>
      <w:pPr>
        <w:pStyle w:val="671"/>
        <w:ind w:left="2880" w:hanging="360"/>
      </w:pPr>
      <w:rPr>
        <w:rFonts w:ascii="Symbol" w:hAnsi="Symbol" w:eastAsia="Symbol" w:cs="Symbol"/>
      </w:rPr>
    </w:lvl>
    <w:lvl w:ilvl="4">
      <w:start w:val="1"/>
      <w:numFmt w:val="bullet"/>
      <w:isLgl w:val="false"/>
      <w:suff w:val="tab"/>
      <w:lvlText w:val="o"/>
      <w:lvlJc w:val="left"/>
      <w:pPr>
        <w:pStyle w:val="671"/>
        <w:ind w:left="3600" w:hanging="360"/>
      </w:pPr>
      <w:rPr>
        <w:rFonts w:ascii="Courier New" w:hAnsi="Courier New" w:eastAsia="Courier New" w:cs="Courier New"/>
      </w:rPr>
    </w:lvl>
    <w:lvl w:ilvl="5">
      <w:start w:val="1"/>
      <w:numFmt w:val="bullet"/>
      <w:isLgl w:val="false"/>
      <w:suff w:val="tab"/>
      <w:lvlText w:val="§"/>
      <w:lvlJc w:val="left"/>
      <w:pPr>
        <w:pStyle w:val="671"/>
        <w:ind w:left="4320" w:hanging="360"/>
      </w:pPr>
      <w:rPr>
        <w:rFonts w:ascii="Wingdings" w:hAnsi="Wingdings" w:eastAsia="Wingdings" w:cs="Wingdings"/>
      </w:rPr>
    </w:lvl>
    <w:lvl w:ilvl="6">
      <w:start w:val="1"/>
      <w:numFmt w:val="bullet"/>
      <w:isLgl w:val="false"/>
      <w:suff w:val="tab"/>
      <w:lvlText w:val="·"/>
      <w:lvlJc w:val="left"/>
      <w:pPr>
        <w:pStyle w:val="671"/>
        <w:ind w:left="5040" w:hanging="360"/>
      </w:pPr>
      <w:rPr>
        <w:rFonts w:ascii="Symbol" w:hAnsi="Symbol" w:eastAsia="Symbol" w:cs="Symbol"/>
      </w:rPr>
    </w:lvl>
    <w:lvl w:ilvl="7">
      <w:start w:val="1"/>
      <w:numFmt w:val="bullet"/>
      <w:isLgl w:val="false"/>
      <w:suff w:val="tab"/>
      <w:lvlText w:val="o"/>
      <w:lvlJc w:val="left"/>
      <w:pPr>
        <w:pStyle w:val="671"/>
        <w:ind w:left="5760" w:hanging="360"/>
      </w:pPr>
      <w:rPr>
        <w:rFonts w:ascii="Courier New" w:hAnsi="Courier New" w:eastAsia="Courier New" w:cs="Courier New"/>
      </w:rPr>
    </w:lvl>
    <w:lvl w:ilvl="8">
      <w:start w:val="1"/>
      <w:numFmt w:val="bullet"/>
      <w:isLgl w:val="false"/>
      <w:suff w:val="tab"/>
      <w:lvlText w:val="§"/>
      <w:lvlJc w:val="left"/>
      <w:pPr>
        <w:pStyle w:val="671"/>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671"/>
        <w:ind w:left="510" w:hanging="360"/>
        <w:tabs>
          <w:tab w:val="num" w:pos="510" w:leader="none"/>
        </w:tabs>
      </w:pPr>
      <w:rPr>
        <w:rFonts w:hint="eastAsia" w:cs="Times New Roman"/>
      </w:rPr>
    </w:lvl>
    <w:lvl w:ilvl="1">
      <w:start w:val="1"/>
      <w:numFmt w:val="decimal"/>
      <w:isLgl w:val="false"/>
      <w:suff w:val="tab"/>
      <w:lvlText w:val="%2．"/>
      <w:lvlJc w:val="left"/>
      <w:pPr>
        <w:pStyle w:val="671"/>
        <w:ind w:left="1290" w:hanging="720"/>
        <w:tabs>
          <w:tab w:val="num" w:pos="1290" w:leader="none"/>
        </w:tabs>
      </w:pPr>
      <w:rPr>
        <w:rFonts w:hint="eastAsia" w:cs="Times New Roman"/>
      </w:rPr>
    </w:lvl>
    <w:lvl w:ilvl="2">
      <w:start w:val="3"/>
      <w:numFmt w:val="decimal"/>
      <w:isLgl w:val="false"/>
      <w:suff w:val="tab"/>
      <w:lvlText w:val="（%3）"/>
      <w:lvlJc w:val="left"/>
      <w:pPr>
        <w:pStyle w:val="671"/>
        <w:ind w:left="1140" w:hanging="720"/>
        <w:tabs>
          <w:tab w:val="num" w:pos="1140" w:leader="none"/>
        </w:tabs>
      </w:pPr>
      <w:rPr>
        <w:rFonts w:hint="eastAsia" w:cs="Times New Roman"/>
      </w:rPr>
    </w:lvl>
    <w:lvl w:ilvl="3">
      <w:start w:val="1"/>
      <w:numFmt w:val="decimal"/>
      <w:isLgl w:val="false"/>
      <w:suff w:val="tab"/>
      <w:lvlText w:val="（%4）"/>
      <w:lvlJc w:val="left"/>
      <w:pPr>
        <w:pStyle w:val="67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1"/>
        <w:ind w:left="846" w:hanging="420"/>
        <w:tabs>
          <w:tab w:val="num" w:pos="846" w:leader="none"/>
        </w:tabs>
      </w:pPr>
      <w:rPr>
        <w:rFonts w:hint="eastAsia" w:cs="Times New Roman"/>
      </w:rPr>
    </w:lvl>
    <w:lvl w:ilvl="5">
      <w:start w:val="10"/>
      <w:numFmt w:val="japaneseCounting"/>
      <w:isLgl w:val="false"/>
      <w:suff w:val="tab"/>
      <w:lvlText w:val="（%6）"/>
      <w:lvlJc w:val="left"/>
      <w:pPr>
        <w:pStyle w:val="671"/>
        <w:ind w:left="2970" w:hanging="720"/>
      </w:pPr>
      <w:rPr>
        <w:rFonts w:cs="Times New Roman"/>
      </w:rPr>
    </w:lvl>
    <w:lvl w:ilvl="6">
      <w:start w:val="1"/>
      <w:numFmt w:val="decimal"/>
      <w:isLgl w:val="false"/>
      <w:suff w:val="tab"/>
      <w:lvlText w:val="%7."/>
      <w:lvlJc w:val="left"/>
      <w:pPr>
        <w:pStyle w:val="671"/>
        <w:ind w:left="3090" w:hanging="420"/>
        <w:tabs>
          <w:tab w:val="num" w:pos="3090" w:leader="none"/>
        </w:tabs>
      </w:pPr>
      <w:rPr>
        <w:rFonts w:cs="Times New Roman"/>
      </w:rPr>
    </w:lvl>
    <w:lvl w:ilvl="7">
      <w:start w:val="1"/>
      <w:numFmt w:val="lowerLetter"/>
      <w:isLgl w:val="false"/>
      <w:suff w:val="tab"/>
      <w:lvlText w:val="%8)"/>
      <w:lvlJc w:val="left"/>
      <w:pPr>
        <w:pStyle w:val="671"/>
        <w:ind w:left="3510" w:hanging="420"/>
        <w:tabs>
          <w:tab w:val="num" w:pos="3510" w:leader="none"/>
        </w:tabs>
      </w:pPr>
      <w:rPr>
        <w:rFonts w:cs="Times New Roman"/>
      </w:rPr>
    </w:lvl>
    <w:lvl w:ilvl="8">
      <w:start w:val="1"/>
      <w:numFmt w:val="lowerRoman"/>
      <w:isLgl w:val="false"/>
      <w:suff w:val="tab"/>
      <w:lvlText w:val="%9."/>
      <w:lvlJc w:val="right"/>
      <w:pPr>
        <w:pStyle w:val="671"/>
        <w:ind w:left="3930" w:hanging="420"/>
        <w:tabs>
          <w:tab w:val="num" w:pos="3930" w:leader="none"/>
        </w:tabs>
      </w:pPr>
      <w:rPr>
        <w:rFonts w:cs="Times New Roman"/>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0"/>
  </w:num>
  <w:num w:numId="8">
    <w:abstractNumId w:val="16"/>
  </w:num>
  <w:num w:numId="9">
    <w:abstractNumId w:val="8"/>
  </w:num>
  <w:num w:numId="10">
    <w:abstractNumId w:val="0"/>
  </w:num>
  <w:num w:numId="11">
    <w:abstractNumId w:val="11"/>
  </w:num>
  <w:num w:numId="12">
    <w:abstractNumId w:val="15"/>
  </w:num>
  <w:num w:numId="13">
    <w:abstractNumId w:val="3"/>
  </w:num>
  <w:num w:numId="14">
    <w:abstractNumId w:val="12"/>
  </w:num>
  <w:num w:numId="15">
    <w:abstractNumId w:val="13"/>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715"/>
    <w:uiPriority w:val="9"/>
    <w:qFormat/>
    <w:pPr>
      <w:keepLines/>
      <w:keepNext/>
      <w:spacing w:before="480" w:after="200"/>
      <w:outlineLvl w:val="0"/>
    </w:pPr>
    <w:rPr>
      <w:rFonts w:ascii="Arial" w:hAnsi="Arial" w:eastAsia="Arial" w:cs="Arial"/>
      <w:sz w:val="40"/>
      <w:szCs w:val="40"/>
    </w:rPr>
  </w:style>
  <w:style w:type="paragraph" w:styleId="14">
    <w:name w:val="Heading 2"/>
    <w:basedOn w:val="671"/>
    <w:next w:val="671"/>
    <w:link w:val="716"/>
    <w:uiPriority w:val="9"/>
    <w:unhideWhenUsed/>
    <w:qFormat/>
    <w:pPr>
      <w:keepLines/>
      <w:keepNext/>
      <w:spacing w:before="360" w:after="200"/>
      <w:outlineLvl w:val="1"/>
    </w:pPr>
    <w:rPr>
      <w:rFonts w:ascii="Arial" w:hAnsi="Arial" w:eastAsia="Arial" w:cs="Arial"/>
      <w:sz w:val="34"/>
    </w:rPr>
  </w:style>
  <w:style w:type="paragraph" w:styleId="16">
    <w:name w:val="Heading 3"/>
    <w:basedOn w:val="671"/>
    <w:next w:val="671"/>
    <w:link w:val="717"/>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1"/>
    <w:next w:val="671"/>
    <w:link w:val="71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1"/>
    <w:next w:val="671"/>
    <w:link w:val="71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1"/>
    <w:next w:val="671"/>
    <w:link w:val="72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1"/>
    <w:next w:val="671"/>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1"/>
    <w:next w:val="671"/>
    <w:link w:val="722"/>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1"/>
    <w:next w:val="671"/>
    <w:link w:val="723"/>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71"/>
    <w:next w:val="671"/>
    <w:link w:val="819"/>
    <w:uiPriority w:val="10"/>
    <w:qFormat/>
    <w:pPr>
      <w:contextualSpacing/>
      <w:spacing w:before="300" w:after="200"/>
    </w:pPr>
    <w:rPr>
      <w:sz w:val="48"/>
      <w:szCs w:val="48"/>
    </w:rPr>
  </w:style>
  <w:style w:type="paragraph" w:styleId="35">
    <w:name w:val="Subtitle"/>
    <w:basedOn w:val="671"/>
    <w:next w:val="671"/>
    <w:link w:val="820"/>
    <w:uiPriority w:val="11"/>
    <w:qFormat/>
    <w:pPr>
      <w:spacing w:before="200" w:after="200"/>
    </w:pPr>
    <w:rPr>
      <w:sz w:val="24"/>
      <w:szCs w:val="24"/>
    </w:rPr>
  </w:style>
  <w:style w:type="paragraph" w:styleId="41">
    <w:name w:val="Header"/>
    <w:basedOn w:val="671"/>
    <w:link w:val="832"/>
    <w:uiPriority w:val="99"/>
    <w:unhideWhenUsed/>
    <w:pPr>
      <w:spacing w:after="0" w:line="240" w:lineRule="auto"/>
      <w:tabs>
        <w:tab w:val="center" w:pos="7143" w:leader="none"/>
        <w:tab w:val="right" w:pos="14287" w:leader="none"/>
      </w:tabs>
    </w:pPr>
  </w:style>
  <w:style w:type="paragraph" w:styleId="43">
    <w:name w:val="Footer"/>
    <w:basedOn w:val="671"/>
    <w:link w:val="834"/>
    <w:uiPriority w:val="99"/>
    <w:unhideWhenUsed/>
    <w:pPr>
      <w:spacing w:after="0" w:line="240" w:lineRule="auto"/>
      <w:tabs>
        <w:tab w:val="center" w:pos="7143" w:leader="none"/>
        <w:tab w:val="right" w:pos="14287" w:leader="none"/>
      </w:tabs>
    </w:pPr>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1"/>
    <w:link w:val="79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1"/>
    <w:link w:val="82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90">
    <w:name w:val="table of figures"/>
    <w:basedOn w:val="671"/>
    <w:next w:val="671"/>
    <w:uiPriority w:val="99"/>
    <w:unhideWhenUsed/>
    <w:pPr>
      <w:spacing w:after="0" w:afterAutospacing="0"/>
    </w:pPr>
  </w:style>
  <w:style w:type="paragraph" w:styleId="671" w:default="1">
    <w:name w:val="Normal"/>
    <w:next w:val="683"/>
    <w:link w:val="671"/>
    <w:qFormat/>
    <w:pPr>
      <w:jc w:val="both"/>
      <w:widowControl w:val="off"/>
    </w:pPr>
    <w:rPr>
      <w:rFonts w:ascii="Times New Roman" w:hAnsi="Times New Roman" w:eastAsia="宋体" w:cs="Times New Roman"/>
      <w:sz w:val="21"/>
      <w:lang w:val="en-US" w:eastAsia="zh-CN" w:bidi="ar-SA"/>
    </w:rPr>
  </w:style>
  <w:style w:type="paragraph" w:styleId="672">
    <w:name w:val="标题 1"/>
    <w:basedOn w:val="671"/>
    <w:next w:val="672"/>
    <w:link w:val="684"/>
    <w:uiPriority w:val="9"/>
    <w:qFormat/>
    <w:pPr>
      <w:keepLines/>
      <w:keepNext/>
      <w:spacing w:before="480" w:after="200"/>
      <w:outlineLvl w:val="0"/>
    </w:pPr>
    <w:rPr>
      <w:rFonts w:ascii="Arial" w:hAnsi="Arial" w:eastAsia="Arial" w:cs="Arial"/>
      <w:sz w:val="40"/>
      <w:szCs w:val="40"/>
    </w:rPr>
  </w:style>
  <w:style w:type="paragraph" w:styleId="673">
    <w:name w:val="标题 2"/>
    <w:basedOn w:val="671"/>
    <w:next w:val="673"/>
    <w:link w:val="685"/>
    <w:uiPriority w:val="9"/>
    <w:unhideWhenUsed/>
    <w:qFormat/>
    <w:pPr>
      <w:keepLines/>
      <w:keepNext/>
      <w:spacing w:before="360" w:after="200"/>
      <w:outlineLvl w:val="1"/>
    </w:pPr>
    <w:rPr>
      <w:rFonts w:ascii="Arial" w:hAnsi="Arial" w:eastAsia="Arial" w:cs="Arial"/>
      <w:sz w:val="34"/>
    </w:rPr>
  </w:style>
  <w:style w:type="paragraph" w:styleId="674">
    <w:name w:val="标题 3"/>
    <w:basedOn w:val="671"/>
    <w:next w:val="674"/>
    <w:link w:val="686"/>
    <w:uiPriority w:val="9"/>
    <w:unhideWhenUsed/>
    <w:qFormat/>
    <w:pPr>
      <w:keepLines/>
      <w:keepNext/>
      <w:spacing w:before="320" w:after="200"/>
      <w:outlineLvl w:val="2"/>
    </w:pPr>
    <w:rPr>
      <w:rFonts w:ascii="Arial" w:hAnsi="Arial" w:eastAsia="Arial" w:cs="Arial"/>
      <w:sz w:val="30"/>
      <w:szCs w:val="30"/>
    </w:rPr>
  </w:style>
  <w:style w:type="paragraph" w:styleId="675">
    <w:name w:val="标题 4"/>
    <w:basedOn w:val="671"/>
    <w:next w:val="675"/>
    <w:link w:val="687"/>
    <w:uiPriority w:val="9"/>
    <w:unhideWhenUsed/>
    <w:qFormat/>
    <w:pPr>
      <w:keepLines/>
      <w:keepNext/>
      <w:spacing w:before="320" w:after="200"/>
      <w:outlineLvl w:val="3"/>
    </w:pPr>
    <w:rPr>
      <w:rFonts w:ascii="Arial" w:hAnsi="Arial" w:eastAsia="Arial" w:cs="Arial"/>
      <w:b/>
      <w:bCs/>
      <w:sz w:val="26"/>
      <w:szCs w:val="26"/>
    </w:rPr>
  </w:style>
  <w:style w:type="paragraph" w:styleId="676">
    <w:name w:val="标题 5"/>
    <w:basedOn w:val="671"/>
    <w:next w:val="676"/>
    <w:link w:val="688"/>
    <w:uiPriority w:val="9"/>
    <w:unhideWhenUsed/>
    <w:qFormat/>
    <w:pPr>
      <w:keepLines/>
      <w:keepNext/>
      <w:spacing w:before="320" w:after="200"/>
      <w:outlineLvl w:val="4"/>
    </w:pPr>
    <w:rPr>
      <w:rFonts w:ascii="Arial" w:hAnsi="Arial" w:eastAsia="Arial" w:cs="Arial"/>
      <w:b/>
      <w:bCs/>
      <w:sz w:val="24"/>
      <w:szCs w:val="24"/>
    </w:rPr>
  </w:style>
  <w:style w:type="paragraph" w:styleId="677">
    <w:name w:val="标题 6"/>
    <w:basedOn w:val="671"/>
    <w:next w:val="677"/>
    <w:link w:val="689"/>
    <w:uiPriority w:val="9"/>
    <w:unhideWhenUsed/>
    <w:qFormat/>
    <w:pPr>
      <w:keepLines/>
      <w:keepNext/>
      <w:spacing w:before="320" w:after="200"/>
      <w:outlineLvl w:val="5"/>
    </w:pPr>
    <w:rPr>
      <w:rFonts w:ascii="Arial" w:hAnsi="Arial" w:eastAsia="Arial" w:cs="Arial"/>
      <w:b/>
      <w:bCs/>
      <w:sz w:val="22"/>
      <w:szCs w:val="22"/>
    </w:rPr>
  </w:style>
  <w:style w:type="paragraph" w:styleId="678">
    <w:name w:val="标题 7"/>
    <w:basedOn w:val="671"/>
    <w:next w:val="678"/>
    <w:link w:val="690"/>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标题 8"/>
    <w:basedOn w:val="671"/>
    <w:next w:val="679"/>
    <w:link w:val="691"/>
    <w:uiPriority w:val="9"/>
    <w:unhideWhenUsed/>
    <w:qFormat/>
    <w:pPr>
      <w:keepLines/>
      <w:keepNext/>
      <w:spacing w:before="320" w:after="200"/>
      <w:outlineLvl w:val="7"/>
    </w:pPr>
    <w:rPr>
      <w:rFonts w:ascii="Arial" w:hAnsi="Arial" w:eastAsia="Arial" w:cs="Arial"/>
      <w:i/>
      <w:iCs/>
      <w:sz w:val="22"/>
      <w:szCs w:val="22"/>
    </w:rPr>
  </w:style>
  <w:style w:type="paragraph" w:styleId="680">
    <w:name w:val="标题 9"/>
    <w:basedOn w:val="671"/>
    <w:next w:val="680"/>
    <w:link w:val="692"/>
    <w:uiPriority w:val="9"/>
    <w:unhideWhenUsed/>
    <w:qFormat/>
    <w:pPr>
      <w:keepLines/>
      <w:keepNext/>
      <w:spacing w:before="320" w:after="200"/>
      <w:outlineLvl w:val="8"/>
    </w:pPr>
    <w:rPr>
      <w:rFonts w:ascii="Arial" w:hAnsi="Arial" w:eastAsia="Arial" w:cs="Arial"/>
      <w:i/>
      <w:iCs/>
      <w:szCs w:val="21"/>
    </w:rPr>
  </w:style>
  <w:style w:type="character" w:styleId="681">
    <w:name w:val="默认段落字体"/>
    <w:next w:val="681"/>
    <w:link w:val="671"/>
    <w:uiPriority w:val="1"/>
    <w:unhideWhenUsed/>
    <w:qFormat/>
  </w:style>
  <w:style w:type="table" w:styleId="682">
    <w:name w:val="普通表格"/>
    <w:next w:val="682"/>
    <w:link w:val="671"/>
    <w:uiPriority w:val="99"/>
    <w:unhideWhenUsed/>
    <w:qFormat/>
    <w:tblPr/>
  </w:style>
  <w:style w:type="paragraph" w:styleId="683">
    <w:name w:val="正文文本"/>
    <w:next w:val="671"/>
    <w:link w:val="671"/>
    <w:qFormat/>
    <w:pPr>
      <w:jc w:val="both"/>
      <w:spacing w:line="360" w:lineRule="auto"/>
      <w:widowControl w:val="off"/>
    </w:pPr>
    <w:rPr>
      <w:rFonts w:ascii="仿宋_GB2312" w:hAnsi="Times New Roman" w:eastAsia="仿宋_GB2312" w:cs="Times New Roman"/>
      <w:sz w:val="28"/>
      <w:szCs w:val="20"/>
      <w:lang w:val="en-US" w:eastAsia="zh-CN" w:bidi="ar-SA"/>
    </w:rPr>
  </w:style>
  <w:style w:type="character" w:styleId="684">
    <w:name w:val="标题 1 字符"/>
    <w:next w:val="684"/>
    <w:link w:val="672"/>
    <w:uiPriority w:val="9"/>
    <w:qFormat/>
    <w:rPr>
      <w:rFonts w:ascii="Arial" w:hAnsi="Arial" w:eastAsia="Arial" w:cs="Arial"/>
      <w:sz w:val="40"/>
      <w:szCs w:val="40"/>
    </w:rPr>
  </w:style>
  <w:style w:type="character" w:styleId="685">
    <w:name w:val="标题 2 字符"/>
    <w:next w:val="685"/>
    <w:link w:val="673"/>
    <w:uiPriority w:val="9"/>
    <w:qFormat/>
    <w:rPr>
      <w:rFonts w:ascii="Arial" w:hAnsi="Arial" w:eastAsia="Arial" w:cs="Arial"/>
      <w:sz w:val="34"/>
    </w:rPr>
  </w:style>
  <w:style w:type="character" w:styleId="686">
    <w:name w:val="标题 3 字符"/>
    <w:next w:val="686"/>
    <w:link w:val="674"/>
    <w:uiPriority w:val="9"/>
    <w:qFormat/>
    <w:rPr>
      <w:rFonts w:ascii="Arial" w:hAnsi="Arial" w:eastAsia="Arial" w:cs="Arial"/>
      <w:sz w:val="30"/>
      <w:szCs w:val="30"/>
    </w:rPr>
  </w:style>
  <w:style w:type="character" w:styleId="687">
    <w:name w:val="标题 4 字符"/>
    <w:next w:val="687"/>
    <w:link w:val="675"/>
    <w:uiPriority w:val="9"/>
    <w:qFormat/>
    <w:rPr>
      <w:rFonts w:ascii="Arial" w:hAnsi="Arial" w:eastAsia="Arial" w:cs="Arial"/>
      <w:b/>
      <w:bCs/>
      <w:sz w:val="26"/>
      <w:szCs w:val="26"/>
    </w:rPr>
  </w:style>
  <w:style w:type="character" w:styleId="688">
    <w:name w:val="标题 5 字符"/>
    <w:next w:val="688"/>
    <w:link w:val="676"/>
    <w:uiPriority w:val="9"/>
    <w:qFormat/>
    <w:rPr>
      <w:rFonts w:ascii="Arial" w:hAnsi="Arial" w:eastAsia="Arial" w:cs="Arial"/>
      <w:b/>
      <w:bCs/>
      <w:sz w:val="24"/>
      <w:szCs w:val="24"/>
    </w:rPr>
  </w:style>
  <w:style w:type="character" w:styleId="689">
    <w:name w:val="标题 6 字符"/>
    <w:next w:val="689"/>
    <w:link w:val="677"/>
    <w:uiPriority w:val="9"/>
    <w:qFormat/>
    <w:rPr>
      <w:rFonts w:ascii="Arial" w:hAnsi="Arial" w:eastAsia="Arial" w:cs="Arial"/>
      <w:b/>
      <w:bCs/>
      <w:sz w:val="22"/>
      <w:szCs w:val="22"/>
    </w:rPr>
  </w:style>
  <w:style w:type="character" w:styleId="690">
    <w:name w:val="标题 7 字符"/>
    <w:next w:val="690"/>
    <w:link w:val="678"/>
    <w:uiPriority w:val="9"/>
    <w:qFormat/>
    <w:rPr>
      <w:rFonts w:ascii="Arial" w:hAnsi="Arial" w:eastAsia="Arial" w:cs="Arial"/>
      <w:b/>
      <w:bCs/>
      <w:i/>
      <w:iCs/>
      <w:sz w:val="22"/>
      <w:szCs w:val="22"/>
    </w:rPr>
  </w:style>
  <w:style w:type="character" w:styleId="691">
    <w:name w:val="标题 8 字符"/>
    <w:next w:val="691"/>
    <w:link w:val="679"/>
    <w:uiPriority w:val="9"/>
    <w:qFormat/>
    <w:rPr>
      <w:rFonts w:ascii="Arial" w:hAnsi="Arial" w:eastAsia="Arial" w:cs="Arial"/>
      <w:i/>
      <w:iCs/>
      <w:sz w:val="22"/>
      <w:szCs w:val="22"/>
    </w:rPr>
  </w:style>
  <w:style w:type="character" w:styleId="692">
    <w:name w:val="标题 9 字符"/>
    <w:next w:val="692"/>
    <w:link w:val="680"/>
    <w:uiPriority w:val="9"/>
    <w:qFormat/>
    <w:rPr>
      <w:rFonts w:ascii="Arial" w:hAnsi="Arial" w:eastAsia="Arial" w:cs="Arial"/>
      <w:i/>
      <w:iCs/>
      <w:sz w:val="21"/>
      <w:szCs w:val="21"/>
    </w:rPr>
  </w:style>
  <w:style w:type="paragraph" w:styleId="693">
    <w:name w:val="目录 7"/>
    <w:basedOn w:val="671"/>
    <w:next w:val="693"/>
    <w:link w:val="671"/>
    <w:uiPriority w:val="39"/>
    <w:unhideWhenUsed/>
    <w:qFormat/>
    <w:pPr>
      <w:ind w:left="1701"/>
      <w:spacing w:after="57"/>
    </w:pPr>
  </w:style>
  <w:style w:type="paragraph" w:styleId="694">
    <w:name w:val="正文缩进"/>
    <w:basedOn w:val="671"/>
    <w:next w:val="694"/>
    <w:link w:val="671"/>
    <w:qFormat/>
    <w:pPr>
      <w:ind w:firstLine="420"/>
      <w:jc w:val="left"/>
      <w:widowControl/>
    </w:pPr>
    <w:rPr>
      <w:sz w:val="20"/>
    </w:rPr>
  </w:style>
  <w:style w:type="paragraph" w:styleId="695">
    <w:name w:val="题注"/>
    <w:basedOn w:val="671"/>
    <w:next w:val="695"/>
    <w:link w:val="671"/>
    <w:uiPriority w:val="35"/>
    <w:unhideWhenUsed/>
    <w:qFormat/>
    <w:pPr>
      <w:spacing w:line="276" w:lineRule="auto"/>
    </w:pPr>
    <w:rPr>
      <w:b/>
      <w:bCs/>
      <w:color w:val="4f81bd"/>
      <w:sz w:val="18"/>
      <w:szCs w:val="18"/>
    </w:rPr>
  </w:style>
  <w:style w:type="paragraph" w:styleId="696">
    <w:name w:val="目录 5"/>
    <w:basedOn w:val="671"/>
    <w:next w:val="696"/>
    <w:link w:val="671"/>
    <w:uiPriority w:val="39"/>
    <w:unhideWhenUsed/>
    <w:qFormat/>
    <w:pPr>
      <w:ind w:left="1134"/>
      <w:spacing w:after="57"/>
    </w:pPr>
  </w:style>
  <w:style w:type="paragraph" w:styleId="697">
    <w:name w:val="目录 3"/>
    <w:basedOn w:val="671"/>
    <w:next w:val="697"/>
    <w:link w:val="671"/>
    <w:uiPriority w:val="39"/>
    <w:unhideWhenUsed/>
    <w:qFormat/>
    <w:pPr>
      <w:ind w:left="567"/>
      <w:spacing w:after="57"/>
    </w:pPr>
  </w:style>
  <w:style w:type="paragraph" w:styleId="698">
    <w:name w:val="目录 8"/>
    <w:basedOn w:val="671"/>
    <w:next w:val="698"/>
    <w:link w:val="671"/>
    <w:uiPriority w:val="39"/>
    <w:unhideWhenUsed/>
    <w:qFormat/>
    <w:pPr>
      <w:ind w:left="1984"/>
      <w:spacing w:after="57"/>
    </w:pPr>
  </w:style>
  <w:style w:type="paragraph" w:styleId="699">
    <w:name w:val="尾注文本"/>
    <w:basedOn w:val="671"/>
    <w:next w:val="699"/>
    <w:link w:val="671"/>
    <w:uiPriority w:val="99"/>
    <w:unhideWhenUsed/>
    <w:qFormat/>
    <w:rPr>
      <w:sz w:val="20"/>
    </w:rPr>
  </w:style>
  <w:style w:type="paragraph" w:styleId="700">
    <w:name w:val="页脚"/>
    <w:basedOn w:val="671"/>
    <w:next w:val="700"/>
    <w:link w:val="671"/>
    <w:uiPriority w:val="99"/>
    <w:unhideWhenUsed/>
    <w:qFormat/>
    <w:pPr>
      <w:tabs>
        <w:tab w:val="center" w:pos="7143" w:leader="none"/>
        <w:tab w:val="right" w:pos="14287" w:leader="none"/>
      </w:tabs>
    </w:pPr>
  </w:style>
  <w:style w:type="paragraph" w:styleId="701">
    <w:name w:val="页眉"/>
    <w:basedOn w:val="671"/>
    <w:next w:val="701"/>
    <w:link w:val="671"/>
    <w:uiPriority w:val="99"/>
    <w:unhideWhenUsed/>
    <w:qFormat/>
    <w:pPr>
      <w:tabs>
        <w:tab w:val="center" w:pos="7143" w:leader="none"/>
        <w:tab w:val="right" w:pos="14287" w:leader="none"/>
      </w:tabs>
    </w:pPr>
  </w:style>
  <w:style w:type="paragraph" w:styleId="702">
    <w:name w:val="目录 1"/>
    <w:basedOn w:val="671"/>
    <w:next w:val="702"/>
    <w:link w:val="671"/>
    <w:uiPriority w:val="39"/>
    <w:unhideWhenUsed/>
    <w:qFormat/>
    <w:pPr>
      <w:spacing w:after="57"/>
    </w:pPr>
  </w:style>
  <w:style w:type="paragraph" w:styleId="703">
    <w:name w:val="目录 4"/>
    <w:basedOn w:val="671"/>
    <w:next w:val="703"/>
    <w:link w:val="671"/>
    <w:uiPriority w:val="39"/>
    <w:unhideWhenUsed/>
    <w:qFormat/>
    <w:pPr>
      <w:ind w:left="850"/>
      <w:spacing w:after="57"/>
    </w:pPr>
  </w:style>
  <w:style w:type="paragraph" w:styleId="704">
    <w:name w:val="副标题"/>
    <w:basedOn w:val="671"/>
    <w:next w:val="704"/>
    <w:link w:val="671"/>
    <w:uiPriority w:val="11"/>
    <w:qFormat/>
    <w:pPr>
      <w:spacing w:before="200" w:after="200"/>
    </w:pPr>
    <w:rPr>
      <w:sz w:val="24"/>
      <w:szCs w:val="24"/>
    </w:rPr>
  </w:style>
  <w:style w:type="paragraph" w:styleId="705">
    <w:name w:val="脚注文本"/>
    <w:basedOn w:val="671"/>
    <w:next w:val="705"/>
    <w:link w:val="671"/>
    <w:uiPriority w:val="99"/>
    <w:unhideWhenUsed/>
    <w:qFormat/>
    <w:pPr>
      <w:spacing w:after="40"/>
    </w:pPr>
    <w:rPr>
      <w:sz w:val="18"/>
    </w:rPr>
  </w:style>
  <w:style w:type="paragraph" w:styleId="706">
    <w:name w:val="目录 6"/>
    <w:basedOn w:val="671"/>
    <w:next w:val="706"/>
    <w:link w:val="671"/>
    <w:uiPriority w:val="39"/>
    <w:unhideWhenUsed/>
    <w:qFormat/>
    <w:pPr>
      <w:ind w:left="1417"/>
      <w:spacing w:after="57"/>
    </w:pPr>
  </w:style>
  <w:style w:type="paragraph" w:styleId="707">
    <w:name w:val="图表目录"/>
    <w:basedOn w:val="671"/>
    <w:next w:val="707"/>
    <w:link w:val="671"/>
    <w:uiPriority w:val="99"/>
    <w:unhideWhenUsed/>
    <w:qFormat/>
  </w:style>
  <w:style w:type="paragraph" w:styleId="708">
    <w:name w:val="目录 2"/>
    <w:basedOn w:val="671"/>
    <w:next w:val="708"/>
    <w:link w:val="671"/>
    <w:uiPriority w:val="39"/>
    <w:unhideWhenUsed/>
    <w:qFormat/>
    <w:pPr>
      <w:ind w:left="283"/>
      <w:spacing w:after="57"/>
    </w:pPr>
  </w:style>
  <w:style w:type="paragraph" w:styleId="709">
    <w:name w:val="目录 9"/>
    <w:basedOn w:val="671"/>
    <w:next w:val="709"/>
    <w:link w:val="671"/>
    <w:uiPriority w:val="39"/>
    <w:unhideWhenUsed/>
    <w:qFormat/>
    <w:pPr>
      <w:ind w:left="2268"/>
      <w:spacing w:after="57"/>
    </w:pPr>
  </w:style>
  <w:style w:type="paragraph" w:styleId="710">
    <w:name w:val="标题"/>
    <w:basedOn w:val="671"/>
    <w:next w:val="710"/>
    <w:link w:val="671"/>
    <w:uiPriority w:val="10"/>
    <w:qFormat/>
    <w:pPr>
      <w:contextualSpacing/>
      <w:spacing w:before="300" w:after="200"/>
    </w:pPr>
    <w:rPr>
      <w:sz w:val="48"/>
      <w:szCs w:val="48"/>
    </w:rPr>
  </w:style>
  <w:style w:type="table" w:styleId="711">
    <w:name w:val="网格型"/>
    <w:next w:val="711"/>
    <w:link w:val="671"/>
    <w:uiPriority w:val="59"/>
    <w:qFormat/>
    <w:tblPr/>
  </w:style>
  <w:style w:type="character" w:styleId="712">
    <w:name w:val="尾注引用"/>
    <w:next w:val="712"/>
    <w:link w:val="671"/>
    <w:uiPriority w:val="99"/>
    <w:unhideWhenUsed/>
    <w:qFormat/>
    <w:rPr>
      <w:vertAlign w:val="superscript"/>
    </w:rPr>
  </w:style>
  <w:style w:type="character" w:styleId="713">
    <w:name w:val="超链接"/>
    <w:next w:val="713"/>
    <w:link w:val="671"/>
    <w:uiPriority w:val="99"/>
    <w:unhideWhenUsed/>
    <w:qFormat/>
    <w:rPr>
      <w:color w:val="0000ff"/>
      <w:u w:val="single"/>
    </w:rPr>
  </w:style>
  <w:style w:type="character" w:styleId="714">
    <w:name w:val="脚注引用"/>
    <w:next w:val="714"/>
    <w:link w:val="671"/>
    <w:uiPriority w:val="99"/>
    <w:unhideWhenUsed/>
    <w:qFormat/>
    <w:rPr>
      <w:vertAlign w:val="superscript"/>
    </w:rPr>
  </w:style>
  <w:style w:type="character" w:styleId="715">
    <w:name w:val="Heading 1 Char"/>
    <w:basedOn w:val="681"/>
    <w:next w:val="715"/>
    <w:link w:val="671"/>
    <w:uiPriority w:val="9"/>
    <w:qFormat/>
    <w:rPr>
      <w:rFonts w:ascii="Arial" w:hAnsi="Arial" w:eastAsia="Arial" w:cs="Arial"/>
      <w:sz w:val="40"/>
      <w:szCs w:val="40"/>
    </w:rPr>
  </w:style>
  <w:style w:type="character" w:styleId="716">
    <w:name w:val="Heading 2 Char"/>
    <w:basedOn w:val="681"/>
    <w:next w:val="716"/>
    <w:link w:val="671"/>
    <w:uiPriority w:val="9"/>
    <w:qFormat/>
    <w:rPr>
      <w:rFonts w:ascii="Arial" w:hAnsi="Arial" w:eastAsia="Arial" w:cs="Arial"/>
      <w:sz w:val="34"/>
    </w:rPr>
  </w:style>
  <w:style w:type="character" w:styleId="717">
    <w:name w:val="Heading 3 Char"/>
    <w:basedOn w:val="681"/>
    <w:next w:val="717"/>
    <w:link w:val="671"/>
    <w:uiPriority w:val="9"/>
    <w:qFormat/>
    <w:rPr>
      <w:rFonts w:ascii="Arial" w:hAnsi="Arial" w:eastAsia="Arial" w:cs="Arial"/>
      <w:sz w:val="30"/>
      <w:szCs w:val="30"/>
    </w:rPr>
  </w:style>
  <w:style w:type="character" w:styleId="718">
    <w:name w:val="Heading 4 Char"/>
    <w:basedOn w:val="681"/>
    <w:next w:val="718"/>
    <w:link w:val="671"/>
    <w:uiPriority w:val="9"/>
    <w:qFormat/>
    <w:rPr>
      <w:rFonts w:ascii="Arial" w:hAnsi="Arial" w:eastAsia="Arial" w:cs="Arial"/>
      <w:b/>
      <w:bCs/>
      <w:sz w:val="26"/>
      <w:szCs w:val="26"/>
    </w:rPr>
  </w:style>
  <w:style w:type="character" w:styleId="719">
    <w:name w:val="Heading 5 Char"/>
    <w:basedOn w:val="681"/>
    <w:next w:val="719"/>
    <w:link w:val="671"/>
    <w:uiPriority w:val="9"/>
    <w:qFormat/>
    <w:rPr>
      <w:rFonts w:ascii="Arial" w:hAnsi="Arial" w:eastAsia="Arial" w:cs="Arial"/>
      <w:b/>
      <w:bCs/>
      <w:sz w:val="24"/>
      <w:szCs w:val="24"/>
    </w:rPr>
  </w:style>
  <w:style w:type="character" w:styleId="720">
    <w:name w:val="Heading 6 Char"/>
    <w:basedOn w:val="681"/>
    <w:next w:val="720"/>
    <w:link w:val="671"/>
    <w:uiPriority w:val="9"/>
    <w:qFormat/>
    <w:rPr>
      <w:rFonts w:ascii="Arial" w:hAnsi="Arial" w:eastAsia="Arial" w:cs="Arial"/>
      <w:b/>
      <w:bCs/>
      <w:sz w:val="22"/>
      <w:szCs w:val="22"/>
    </w:rPr>
  </w:style>
  <w:style w:type="character" w:styleId="721">
    <w:name w:val="Heading 7 Char"/>
    <w:basedOn w:val="681"/>
    <w:next w:val="721"/>
    <w:link w:val="671"/>
    <w:uiPriority w:val="9"/>
    <w:qFormat/>
    <w:rPr>
      <w:rFonts w:ascii="Arial" w:hAnsi="Arial" w:eastAsia="Arial" w:cs="Arial"/>
      <w:b/>
      <w:bCs/>
      <w:i/>
      <w:iCs/>
      <w:sz w:val="22"/>
      <w:szCs w:val="22"/>
    </w:rPr>
  </w:style>
  <w:style w:type="character" w:styleId="722">
    <w:name w:val="Heading 8 Char"/>
    <w:basedOn w:val="681"/>
    <w:next w:val="722"/>
    <w:link w:val="671"/>
    <w:uiPriority w:val="9"/>
    <w:qFormat/>
    <w:rPr>
      <w:rFonts w:ascii="Arial" w:hAnsi="Arial" w:eastAsia="Arial" w:cs="Arial"/>
      <w:i/>
      <w:iCs/>
      <w:sz w:val="22"/>
      <w:szCs w:val="22"/>
    </w:rPr>
  </w:style>
  <w:style w:type="character" w:styleId="723">
    <w:name w:val="Heading 9 Char"/>
    <w:basedOn w:val="681"/>
    <w:next w:val="723"/>
    <w:link w:val="671"/>
    <w:uiPriority w:val="9"/>
    <w:qFormat/>
    <w:rPr>
      <w:rFonts w:ascii="Arial" w:hAnsi="Arial" w:eastAsia="Arial" w:cs="Arial"/>
      <w:i/>
      <w:iCs/>
      <w:sz w:val="21"/>
      <w:szCs w:val="21"/>
    </w:rPr>
  </w:style>
  <w:style w:type="table" w:styleId="724">
    <w:name w:val="Plain Table 1"/>
    <w:basedOn w:val="682"/>
    <w:next w:val="724"/>
    <w:link w:val="671"/>
    <w:uiPriority w:val="59"/>
    <w:qFormat/>
    <w:pPr>
      <w:spacing w:after="0" w:line="240" w:lineRule="auto"/>
    </w:pPr>
    <w:tblPr/>
  </w:style>
  <w:style w:type="table" w:styleId="725">
    <w:name w:val="Plain Table 2"/>
    <w:basedOn w:val="682"/>
    <w:next w:val="725"/>
    <w:link w:val="671"/>
    <w:uiPriority w:val="59"/>
    <w:qFormat/>
    <w:pPr>
      <w:spacing w:after="0" w:line="240" w:lineRule="auto"/>
    </w:pPr>
    <w:tblPr/>
  </w:style>
  <w:style w:type="table" w:styleId="726">
    <w:name w:val="Plain Table 3"/>
    <w:basedOn w:val="682"/>
    <w:next w:val="726"/>
    <w:link w:val="671"/>
    <w:uiPriority w:val="99"/>
    <w:qFormat/>
    <w:pPr>
      <w:spacing w:after="0" w:line="240" w:lineRule="auto"/>
    </w:pPr>
    <w:tblPr/>
  </w:style>
  <w:style w:type="table" w:styleId="727">
    <w:name w:val="Plain Table 4"/>
    <w:basedOn w:val="682"/>
    <w:next w:val="727"/>
    <w:link w:val="671"/>
    <w:uiPriority w:val="99"/>
    <w:qFormat/>
    <w:pPr>
      <w:spacing w:after="0" w:line="240" w:lineRule="auto"/>
    </w:pPr>
    <w:tblPr/>
  </w:style>
  <w:style w:type="table" w:styleId="728">
    <w:name w:val="Plain Table 5"/>
    <w:basedOn w:val="682"/>
    <w:next w:val="728"/>
    <w:link w:val="671"/>
    <w:uiPriority w:val="99"/>
    <w:qFormat/>
    <w:pPr>
      <w:spacing w:after="0" w:line="240" w:lineRule="auto"/>
    </w:pPr>
    <w:tblPr/>
  </w:style>
  <w:style w:type="table" w:styleId="729">
    <w:name w:val="Grid Table 1 Light"/>
    <w:basedOn w:val="682"/>
    <w:next w:val="729"/>
    <w:link w:val="671"/>
    <w:uiPriority w:val="99"/>
    <w:qFormat/>
    <w:pPr>
      <w:spacing w:after="0" w:line="240" w:lineRule="auto"/>
    </w:pPr>
    <w:tblPr/>
  </w:style>
  <w:style w:type="table" w:styleId="730">
    <w:name w:val="Grid Table 2"/>
    <w:basedOn w:val="682"/>
    <w:next w:val="730"/>
    <w:link w:val="671"/>
    <w:uiPriority w:val="99"/>
    <w:qFormat/>
    <w:pPr>
      <w:spacing w:after="0" w:line="240" w:lineRule="auto"/>
    </w:pPr>
    <w:tblPr/>
  </w:style>
  <w:style w:type="table" w:styleId="731">
    <w:name w:val="Grid Table 3"/>
    <w:basedOn w:val="682"/>
    <w:next w:val="731"/>
    <w:link w:val="671"/>
    <w:uiPriority w:val="99"/>
    <w:qFormat/>
    <w:pPr>
      <w:spacing w:after="0" w:line="240" w:lineRule="auto"/>
    </w:pPr>
    <w:tblPr/>
  </w:style>
  <w:style w:type="table" w:styleId="732">
    <w:name w:val="Grid Table 4"/>
    <w:basedOn w:val="682"/>
    <w:next w:val="732"/>
    <w:link w:val="671"/>
    <w:uiPriority w:val="59"/>
    <w:qFormat/>
    <w:pPr>
      <w:spacing w:after="0" w:line="240" w:lineRule="auto"/>
    </w:pPr>
    <w:tblPr/>
  </w:style>
  <w:style w:type="table" w:styleId="733">
    <w:name w:val="Grid Table 5 Dark"/>
    <w:basedOn w:val="682"/>
    <w:next w:val="733"/>
    <w:link w:val="671"/>
    <w:uiPriority w:val="99"/>
    <w:qFormat/>
    <w:pPr>
      <w:spacing w:after="0" w:line="240" w:lineRule="auto"/>
    </w:pPr>
    <w:tblPr/>
  </w:style>
  <w:style w:type="table" w:styleId="734">
    <w:name w:val="Grid Table 6 Colorful"/>
    <w:basedOn w:val="682"/>
    <w:next w:val="734"/>
    <w:link w:val="671"/>
    <w:uiPriority w:val="99"/>
    <w:qFormat/>
    <w:pPr>
      <w:spacing w:after="0" w:line="240" w:lineRule="auto"/>
    </w:pPr>
    <w:tblPr/>
  </w:style>
  <w:style w:type="table" w:styleId="735">
    <w:name w:val="Grid Table 7 Colorful"/>
    <w:basedOn w:val="682"/>
    <w:next w:val="735"/>
    <w:link w:val="671"/>
    <w:uiPriority w:val="99"/>
    <w:qFormat/>
    <w:pPr>
      <w:spacing w:after="0" w:line="240" w:lineRule="auto"/>
    </w:pPr>
    <w:tblPr/>
  </w:style>
  <w:style w:type="table" w:styleId="736">
    <w:name w:val="List Table 1 Light"/>
    <w:basedOn w:val="682"/>
    <w:next w:val="736"/>
    <w:link w:val="671"/>
    <w:uiPriority w:val="99"/>
    <w:qFormat/>
    <w:pPr>
      <w:spacing w:after="0" w:line="240" w:lineRule="auto"/>
    </w:pPr>
    <w:tblPr/>
  </w:style>
  <w:style w:type="table" w:styleId="737">
    <w:name w:val="List Table 2"/>
    <w:basedOn w:val="682"/>
    <w:next w:val="737"/>
    <w:link w:val="671"/>
    <w:uiPriority w:val="99"/>
    <w:qFormat/>
    <w:pPr>
      <w:spacing w:after="0" w:line="240" w:lineRule="auto"/>
    </w:pPr>
    <w:tblPr/>
  </w:style>
  <w:style w:type="table" w:styleId="738">
    <w:name w:val="List Table 3"/>
    <w:basedOn w:val="682"/>
    <w:next w:val="738"/>
    <w:link w:val="671"/>
    <w:uiPriority w:val="99"/>
    <w:qFormat/>
    <w:pPr>
      <w:spacing w:after="0" w:line="240" w:lineRule="auto"/>
    </w:pPr>
    <w:tblPr/>
  </w:style>
  <w:style w:type="table" w:styleId="739">
    <w:name w:val="List Table 4"/>
    <w:basedOn w:val="682"/>
    <w:next w:val="739"/>
    <w:link w:val="671"/>
    <w:uiPriority w:val="99"/>
    <w:qFormat/>
    <w:pPr>
      <w:spacing w:after="0" w:line="240" w:lineRule="auto"/>
    </w:pPr>
    <w:tblPr/>
  </w:style>
  <w:style w:type="table" w:styleId="740">
    <w:name w:val="List Table 5 Dark"/>
    <w:basedOn w:val="682"/>
    <w:next w:val="740"/>
    <w:link w:val="671"/>
    <w:uiPriority w:val="99"/>
    <w:qFormat/>
    <w:pPr>
      <w:spacing w:after="0" w:line="240" w:lineRule="auto"/>
    </w:pPr>
    <w:tblPr/>
  </w:style>
  <w:style w:type="table" w:styleId="741">
    <w:name w:val="List Table 6 Colorful"/>
    <w:basedOn w:val="682"/>
    <w:next w:val="741"/>
    <w:link w:val="671"/>
    <w:uiPriority w:val="99"/>
    <w:qFormat/>
    <w:pPr>
      <w:spacing w:after="0" w:line="240" w:lineRule="auto"/>
    </w:pPr>
    <w:tblPr/>
  </w:style>
  <w:style w:type="table" w:styleId="742">
    <w:name w:val="List Table 7 Colorful"/>
    <w:basedOn w:val="682"/>
    <w:next w:val="742"/>
    <w:link w:val="671"/>
    <w:uiPriority w:val="99"/>
    <w:qFormat/>
    <w:pPr>
      <w:spacing w:after="0" w:line="240" w:lineRule="auto"/>
    </w:pPr>
    <w:tblPr/>
  </w:style>
  <w:style w:type="paragraph" w:styleId="743">
    <w:name w:val="TOC Heading"/>
    <w:next w:val="743"/>
    <w:link w:val="671"/>
    <w:uiPriority w:val="39"/>
    <w:unhideWhenUsed/>
    <w:qFormat/>
    <w:rPr>
      <w:rFonts w:ascii="Times New Roman" w:hAnsi="Times New Roman" w:eastAsia="宋体" w:cs="Times New Roman"/>
    </w:rPr>
  </w:style>
  <w:style w:type="paragraph" w:styleId="744">
    <w:name w:val="正文缩进1"/>
    <w:basedOn w:val="671"/>
    <w:next w:val="744"/>
    <w:link w:val="745"/>
    <w:unhideWhenUsed/>
    <w:qFormat/>
    <w:pPr>
      <w:ind w:firstLine="420"/>
    </w:pPr>
    <w:rPr>
      <w:szCs w:val="24"/>
    </w:rPr>
  </w:style>
  <w:style w:type="character" w:styleId="745">
    <w:name w:val="正文缩进 Char"/>
    <w:next w:val="745"/>
    <w:link w:val="744"/>
    <w:qFormat/>
    <w:rPr>
      <w:rFonts w:ascii="Times New Roman" w:hAnsi="Times New Roman"/>
      <w:sz w:val="21"/>
      <w:szCs w:val="24"/>
    </w:rPr>
  </w:style>
  <w:style w:type="paragraph" w:styleId="746">
    <w:name w:val="标题 11"/>
    <w:basedOn w:val="671"/>
    <w:next w:val="746"/>
    <w:link w:val="747"/>
    <w:uiPriority w:val="99"/>
    <w:qFormat/>
    <w:pPr>
      <w:jc w:val="center"/>
      <w:keepNext/>
      <w:outlineLvl w:val="0"/>
    </w:pPr>
    <w:rPr>
      <w:rFonts w:ascii="楷体_GB2312" w:eastAsia="楷体_GB2312"/>
      <w:b/>
      <w:sz w:val="28"/>
    </w:rPr>
  </w:style>
  <w:style w:type="character" w:styleId="747">
    <w:name w:val="标题 1 Char"/>
    <w:next w:val="747"/>
    <w:link w:val="746"/>
    <w:uiPriority w:val="99"/>
    <w:qFormat/>
    <w:rPr>
      <w:rFonts w:ascii="楷体_GB2312" w:hAnsi="Times New Roman" w:eastAsia="楷体_GB2312" w:cs="Times New Roman"/>
      <w:b/>
      <w:sz w:val="28"/>
      <w:szCs w:val="20"/>
    </w:rPr>
  </w:style>
  <w:style w:type="paragraph" w:styleId="748">
    <w:name w:val="标题 21"/>
    <w:basedOn w:val="671"/>
    <w:next w:val="748"/>
    <w:link w:val="749"/>
    <w:uiPriority w:val="99"/>
    <w:qFormat/>
    <w:pPr>
      <w:jc w:val="center"/>
      <w:keepNext/>
      <w:outlineLvl w:val="1"/>
    </w:pPr>
    <w:rPr>
      <w:rFonts w:ascii="楷体_GB2312" w:eastAsia="楷体_GB2312"/>
      <w:b/>
      <w:bCs/>
      <w:sz w:val="18"/>
    </w:rPr>
  </w:style>
  <w:style w:type="character" w:styleId="749">
    <w:name w:val="标题 2 Char"/>
    <w:next w:val="749"/>
    <w:link w:val="748"/>
    <w:uiPriority w:val="99"/>
    <w:qFormat/>
    <w:rPr>
      <w:rFonts w:ascii="楷体_GB2312" w:hAnsi="Times New Roman" w:eastAsia="楷体_GB2312" w:cs="Times New Roman"/>
      <w:b/>
      <w:bCs/>
      <w:sz w:val="18"/>
      <w:szCs w:val="20"/>
    </w:rPr>
  </w:style>
  <w:style w:type="paragraph" w:styleId="750">
    <w:name w:val="标题 31"/>
    <w:basedOn w:val="671"/>
    <w:next w:val="750"/>
    <w:link w:val="751"/>
    <w:uiPriority w:val="99"/>
    <w:qFormat/>
    <w:pPr>
      <w:jc w:val="center"/>
      <w:keepNext/>
      <w:outlineLvl w:val="2"/>
    </w:pPr>
    <w:rPr>
      <w:rFonts w:eastAsia="楷体_GB2312"/>
      <w:b/>
      <w:bCs/>
      <w:sz w:val="15"/>
    </w:rPr>
  </w:style>
  <w:style w:type="character" w:styleId="751">
    <w:name w:val="标题 3 Char"/>
    <w:next w:val="751"/>
    <w:link w:val="750"/>
    <w:uiPriority w:val="99"/>
    <w:qFormat/>
    <w:rPr>
      <w:rFonts w:ascii="Times New Roman" w:hAnsi="Times New Roman" w:eastAsia="楷体_GB2312" w:cs="Times New Roman"/>
      <w:b/>
      <w:bCs/>
      <w:sz w:val="15"/>
      <w:szCs w:val="20"/>
    </w:rPr>
  </w:style>
  <w:style w:type="paragraph" w:styleId="752">
    <w:name w:val="标题 41"/>
    <w:basedOn w:val="671"/>
    <w:next w:val="752"/>
    <w:link w:val="753"/>
    <w:uiPriority w:val="99"/>
    <w:qFormat/>
    <w:pPr>
      <w:jc w:val="center"/>
      <w:keepNext/>
      <w:outlineLvl w:val="3"/>
    </w:pPr>
    <w:rPr>
      <w:rFonts w:eastAsia="楷体_GB2312"/>
      <w:b/>
      <w:bCs/>
      <w:sz w:val="13"/>
    </w:rPr>
  </w:style>
  <w:style w:type="character" w:styleId="753">
    <w:name w:val="标题 4 Char"/>
    <w:next w:val="753"/>
    <w:link w:val="752"/>
    <w:uiPriority w:val="99"/>
    <w:qFormat/>
    <w:rPr>
      <w:rFonts w:ascii="Times New Roman" w:hAnsi="Times New Roman" w:eastAsia="楷体_GB2312" w:cs="Times New Roman"/>
      <w:b/>
      <w:bCs/>
      <w:sz w:val="13"/>
      <w:szCs w:val="20"/>
    </w:rPr>
  </w:style>
  <w:style w:type="paragraph" w:styleId="754">
    <w:name w:val="标题 51"/>
    <w:basedOn w:val="671"/>
    <w:next w:val="754"/>
    <w:link w:val="755"/>
    <w:uiPriority w:val="99"/>
    <w:qFormat/>
    <w:pPr>
      <w:numPr>
        <w:ilvl w:val="0"/>
        <w:numId w:val="1"/>
      </w:numPr>
      <w:keepNext/>
      <w:tabs>
        <w:tab w:val="left" w:pos="360" w:leader="none"/>
      </w:tabs>
      <w:outlineLvl w:val="4"/>
    </w:pPr>
    <w:rPr>
      <w:rFonts w:ascii="楷体_GB2312" w:eastAsia="楷体_GB2312"/>
      <w:bCs/>
      <w:sz w:val="28"/>
    </w:rPr>
  </w:style>
  <w:style w:type="character" w:styleId="755">
    <w:name w:val="标题 5 Char"/>
    <w:next w:val="755"/>
    <w:link w:val="754"/>
    <w:uiPriority w:val="99"/>
    <w:qFormat/>
    <w:rPr>
      <w:rFonts w:ascii="楷体_GB2312" w:hAnsi="Times New Roman" w:eastAsia="楷体_GB2312" w:cs="Times New Roman"/>
      <w:bCs/>
      <w:sz w:val="28"/>
      <w:szCs w:val="20"/>
    </w:rPr>
  </w:style>
  <w:style w:type="character" w:styleId="756">
    <w:name w:val="默认段落字体1"/>
    <w:next w:val="756"/>
    <w:link w:val="671"/>
    <w:uiPriority w:val="1"/>
    <w:unhideWhenUsed/>
    <w:qFormat/>
  </w:style>
  <w:style w:type="table" w:styleId="757">
    <w:name w:val="普通表格1"/>
    <w:next w:val="757"/>
    <w:link w:val="671"/>
    <w:uiPriority w:val="99"/>
    <w:unhideWhenUsed/>
    <w:qFormat/>
    <w:tblPr/>
  </w:style>
  <w:style w:type="paragraph" w:styleId="758">
    <w:name w:val="目录 71"/>
    <w:basedOn w:val="671"/>
    <w:next w:val="758"/>
    <w:link w:val="671"/>
    <w:uiPriority w:val="39"/>
    <w:unhideWhenUsed/>
    <w:qFormat/>
    <w:pPr>
      <w:ind w:left="1701"/>
      <w:spacing w:after="57"/>
    </w:pPr>
  </w:style>
  <w:style w:type="paragraph" w:styleId="759">
    <w:name w:val="索引 51"/>
    <w:basedOn w:val="671"/>
    <w:next w:val="759"/>
    <w:link w:val="671"/>
    <w:uiPriority w:val="99"/>
    <w:unhideWhenUsed/>
    <w:qFormat/>
    <w:pPr>
      <w:ind w:left="800"/>
    </w:pPr>
  </w:style>
  <w:style w:type="paragraph" w:styleId="760">
    <w:name w:val="文档结构图1"/>
    <w:basedOn w:val="671"/>
    <w:next w:val="760"/>
    <w:link w:val="761"/>
    <w:uiPriority w:val="99"/>
    <w:semiHidden/>
    <w:qFormat/>
    <w:pPr>
      <w:shd w:val="clear" w:color="auto" w:fill="000080"/>
    </w:pPr>
    <w:rPr>
      <w:sz w:val="20"/>
    </w:rPr>
  </w:style>
  <w:style w:type="character" w:styleId="761">
    <w:name w:val="文档结构图 Char"/>
    <w:next w:val="761"/>
    <w:link w:val="760"/>
    <w:uiPriority w:val="99"/>
    <w:semiHidden/>
    <w:qFormat/>
    <w:rPr>
      <w:rFonts w:ascii="Times New Roman" w:hAnsi="Times New Roman" w:eastAsia="宋体" w:cs="Times New Roman"/>
      <w:szCs w:val="20"/>
      <w:shd w:val="clear" w:color="auto" w:fill="000080"/>
    </w:rPr>
  </w:style>
  <w:style w:type="paragraph" w:styleId="762">
    <w:name w:val="批注文字1"/>
    <w:basedOn w:val="671"/>
    <w:next w:val="762"/>
    <w:link w:val="763"/>
    <w:semiHidden/>
    <w:qFormat/>
    <w:pPr>
      <w:jc w:val="left"/>
    </w:pPr>
    <w:rPr>
      <w:sz w:val="20"/>
      <w:szCs w:val="24"/>
    </w:rPr>
  </w:style>
  <w:style w:type="character" w:styleId="763">
    <w:name w:val="批注文字 Char"/>
    <w:next w:val="763"/>
    <w:link w:val="762"/>
    <w:semiHidden/>
    <w:qFormat/>
    <w:rPr>
      <w:rFonts w:ascii="Times New Roman" w:hAnsi="Times New Roman" w:eastAsia="宋体" w:cs="Times New Roman"/>
      <w:szCs w:val="24"/>
    </w:rPr>
  </w:style>
  <w:style w:type="paragraph" w:styleId="764">
    <w:name w:val="正文文本11"/>
    <w:basedOn w:val="671"/>
    <w:next w:val="764"/>
    <w:link w:val="765"/>
    <w:uiPriority w:val="99"/>
    <w:qFormat/>
    <w:rPr>
      <w:rFonts w:ascii="华文中宋" w:eastAsia="华文中宋"/>
      <w:bCs/>
      <w:sz w:val="28"/>
    </w:rPr>
  </w:style>
  <w:style w:type="character" w:styleId="765">
    <w:name w:val="正文文本 Char"/>
    <w:next w:val="765"/>
    <w:link w:val="764"/>
    <w:uiPriority w:val="99"/>
    <w:qFormat/>
    <w:rPr>
      <w:rFonts w:ascii="华文中宋" w:hAnsi="Times New Roman" w:eastAsia="华文中宋" w:cs="Times New Roman"/>
      <w:bCs/>
      <w:sz w:val="28"/>
      <w:szCs w:val="20"/>
    </w:rPr>
  </w:style>
  <w:style w:type="paragraph" w:styleId="766">
    <w:name w:val="列表1"/>
    <w:basedOn w:val="671"/>
    <w:next w:val="766"/>
    <w:link w:val="671"/>
    <w:qFormat/>
    <w:pPr>
      <w:numPr>
        <w:ilvl w:val="0"/>
        <w:numId w:val="2"/>
      </w:numPr>
      <w:spacing w:after="20" w:line="288" w:lineRule="auto"/>
      <w:tabs>
        <w:tab w:val="left" w:pos="420" w:leader="none"/>
      </w:tabs>
    </w:pPr>
    <w:rPr>
      <w:lang w:val="en-GB"/>
    </w:rPr>
  </w:style>
  <w:style w:type="paragraph" w:styleId="767">
    <w:name w:val="正文文本缩进1"/>
    <w:basedOn w:val="671"/>
    <w:next w:val="767"/>
    <w:link w:val="768"/>
    <w:qFormat/>
    <w:pPr>
      <w:ind w:firstLine="576"/>
    </w:pPr>
    <w:rPr>
      <w:b/>
      <w:sz w:val="30"/>
    </w:rPr>
  </w:style>
  <w:style w:type="character" w:styleId="768">
    <w:name w:val="正文文本缩进 Char"/>
    <w:next w:val="768"/>
    <w:link w:val="767"/>
    <w:qFormat/>
    <w:rPr>
      <w:rFonts w:ascii="Times New Roman" w:hAnsi="Times New Roman" w:eastAsia="宋体" w:cs="Times New Roman"/>
      <w:b/>
      <w:sz w:val="30"/>
      <w:szCs w:val="20"/>
    </w:rPr>
  </w:style>
  <w:style w:type="paragraph" w:styleId="769">
    <w:name w:val="目录 51"/>
    <w:basedOn w:val="671"/>
    <w:next w:val="769"/>
    <w:link w:val="671"/>
    <w:uiPriority w:val="39"/>
    <w:unhideWhenUsed/>
    <w:qFormat/>
    <w:pPr>
      <w:ind w:left="1134"/>
      <w:spacing w:after="57"/>
    </w:pPr>
  </w:style>
  <w:style w:type="paragraph" w:styleId="770">
    <w:name w:val="目录 31"/>
    <w:basedOn w:val="671"/>
    <w:next w:val="770"/>
    <w:link w:val="671"/>
    <w:uiPriority w:val="39"/>
    <w:unhideWhenUsed/>
    <w:qFormat/>
    <w:pPr>
      <w:ind w:left="567"/>
      <w:spacing w:after="57"/>
    </w:pPr>
  </w:style>
  <w:style w:type="paragraph" w:styleId="771">
    <w:name w:val="纯文本11"/>
    <w:basedOn w:val="671"/>
    <w:next w:val="771"/>
    <w:link w:val="772"/>
    <w:qFormat/>
    <w:rPr>
      <w:rFonts w:ascii="宋体" w:hAnsi="Courier New"/>
      <w:szCs w:val="21"/>
    </w:rPr>
  </w:style>
  <w:style w:type="character" w:styleId="772">
    <w:name w:val="纯文本 Char"/>
    <w:next w:val="772"/>
    <w:link w:val="771"/>
    <w:qFormat/>
    <w:rPr>
      <w:rFonts w:ascii="宋体" w:hAnsi="Courier New"/>
      <w:sz w:val="21"/>
      <w:szCs w:val="21"/>
    </w:rPr>
  </w:style>
  <w:style w:type="paragraph" w:styleId="773">
    <w:name w:val="目录 81"/>
    <w:basedOn w:val="671"/>
    <w:next w:val="773"/>
    <w:link w:val="671"/>
    <w:uiPriority w:val="39"/>
    <w:unhideWhenUsed/>
    <w:qFormat/>
    <w:pPr>
      <w:ind w:left="1984"/>
      <w:spacing w:after="57"/>
    </w:pPr>
  </w:style>
  <w:style w:type="paragraph" w:styleId="774">
    <w:name w:val="日期1"/>
    <w:basedOn w:val="671"/>
    <w:next w:val="774"/>
    <w:link w:val="775"/>
    <w:uiPriority w:val="99"/>
    <w:qFormat/>
    <w:rPr>
      <w:rFonts w:eastAsia="黑体"/>
      <w:b/>
      <w:sz w:val="36"/>
    </w:rPr>
  </w:style>
  <w:style w:type="character" w:styleId="775">
    <w:name w:val="日期 Char"/>
    <w:next w:val="775"/>
    <w:link w:val="774"/>
    <w:uiPriority w:val="99"/>
    <w:qFormat/>
    <w:rPr>
      <w:rFonts w:ascii="Times New Roman" w:hAnsi="Times New Roman" w:eastAsia="黑体" w:cs="Times New Roman"/>
      <w:b/>
      <w:sz w:val="36"/>
      <w:szCs w:val="20"/>
    </w:rPr>
  </w:style>
  <w:style w:type="paragraph" w:styleId="776">
    <w:name w:val="正文文本缩进 21"/>
    <w:basedOn w:val="671"/>
    <w:next w:val="776"/>
    <w:link w:val="777"/>
    <w:uiPriority w:val="99"/>
    <w:qFormat/>
    <w:pPr>
      <w:ind w:left="900"/>
    </w:pPr>
    <w:rPr>
      <w:rFonts w:ascii="楷体_GB2312" w:eastAsia="楷体_GB2312"/>
      <w:b/>
      <w:sz w:val="28"/>
    </w:rPr>
  </w:style>
  <w:style w:type="character" w:styleId="777">
    <w:name w:val="正文文本缩进 2 Char"/>
    <w:next w:val="777"/>
    <w:link w:val="776"/>
    <w:uiPriority w:val="99"/>
    <w:qFormat/>
    <w:rPr>
      <w:rFonts w:ascii="楷体_GB2312" w:hAnsi="Times New Roman" w:eastAsia="楷体_GB2312" w:cs="Times New Roman"/>
      <w:b/>
      <w:sz w:val="28"/>
      <w:szCs w:val="20"/>
    </w:rPr>
  </w:style>
  <w:style w:type="paragraph" w:styleId="778">
    <w:name w:val="尾注文本1"/>
    <w:basedOn w:val="671"/>
    <w:next w:val="778"/>
    <w:link w:val="779"/>
    <w:uiPriority w:val="99"/>
    <w:unhideWhenUsed/>
    <w:qFormat/>
    <w:rPr>
      <w:sz w:val="20"/>
    </w:rPr>
  </w:style>
  <w:style w:type="character" w:styleId="779">
    <w:name w:val="尾注文本 Char"/>
    <w:next w:val="779"/>
    <w:link w:val="778"/>
    <w:uiPriority w:val="99"/>
    <w:qFormat/>
    <w:rPr>
      <w:sz w:val="20"/>
    </w:rPr>
  </w:style>
  <w:style w:type="paragraph" w:styleId="780">
    <w:name w:val="批注框文本1"/>
    <w:basedOn w:val="671"/>
    <w:next w:val="780"/>
    <w:link w:val="781"/>
    <w:uiPriority w:val="99"/>
    <w:unhideWhenUsed/>
    <w:qFormat/>
    <w:rPr>
      <w:sz w:val="18"/>
      <w:szCs w:val="18"/>
    </w:rPr>
  </w:style>
  <w:style w:type="character" w:styleId="781">
    <w:name w:val="批注框文本 Char"/>
    <w:next w:val="781"/>
    <w:link w:val="780"/>
    <w:uiPriority w:val="99"/>
    <w:semiHidden/>
    <w:qFormat/>
    <w:rPr>
      <w:rFonts w:ascii="Times New Roman" w:hAnsi="Times New Roman" w:eastAsia="宋体" w:cs="Times New Roman"/>
      <w:sz w:val="18"/>
      <w:szCs w:val="18"/>
    </w:rPr>
  </w:style>
  <w:style w:type="paragraph" w:styleId="782">
    <w:name w:val="页脚11"/>
    <w:basedOn w:val="671"/>
    <w:next w:val="782"/>
    <w:link w:val="783"/>
    <w:uiPriority w:val="99"/>
    <w:unhideWhenUsed/>
    <w:qFormat/>
    <w:pPr>
      <w:jc w:val="left"/>
      <w:tabs>
        <w:tab w:val="center" w:pos="4153" w:leader="none"/>
        <w:tab w:val="right" w:pos="8306" w:leader="none"/>
      </w:tabs>
    </w:pPr>
    <w:rPr>
      <w:sz w:val="18"/>
      <w:szCs w:val="18"/>
    </w:rPr>
  </w:style>
  <w:style w:type="character" w:styleId="783">
    <w:name w:val="页脚 Char"/>
    <w:next w:val="783"/>
    <w:link w:val="782"/>
    <w:uiPriority w:val="99"/>
    <w:qFormat/>
    <w:rPr>
      <w:sz w:val="18"/>
      <w:szCs w:val="18"/>
    </w:rPr>
  </w:style>
  <w:style w:type="paragraph" w:styleId="784">
    <w:name w:val="页眉1"/>
    <w:basedOn w:val="671"/>
    <w:next w:val="784"/>
    <w:link w:val="785"/>
    <w:unhideWhenUsed/>
    <w:qFormat/>
    <w:pPr>
      <w:jc w:val="center"/>
      <w:tabs>
        <w:tab w:val="center" w:pos="4153" w:leader="none"/>
        <w:tab w:val="right" w:pos="8306" w:leader="none"/>
      </w:tabs>
      <w:pBdr>
        <w:bottom w:val="single" w:color="000000" w:sz="6" w:space="1"/>
      </w:pBdr>
    </w:pPr>
    <w:rPr>
      <w:sz w:val="18"/>
      <w:szCs w:val="18"/>
    </w:rPr>
  </w:style>
  <w:style w:type="character" w:styleId="785">
    <w:name w:val="页眉 Char"/>
    <w:next w:val="785"/>
    <w:link w:val="784"/>
    <w:qFormat/>
    <w:rPr>
      <w:sz w:val="18"/>
      <w:szCs w:val="18"/>
    </w:rPr>
  </w:style>
  <w:style w:type="paragraph" w:styleId="786">
    <w:name w:val="目录 11"/>
    <w:basedOn w:val="671"/>
    <w:next w:val="786"/>
    <w:link w:val="671"/>
    <w:uiPriority w:val="39"/>
    <w:unhideWhenUsed/>
    <w:qFormat/>
    <w:pPr>
      <w:spacing w:after="57"/>
    </w:pPr>
  </w:style>
  <w:style w:type="paragraph" w:styleId="787">
    <w:name w:val="目录 41"/>
    <w:basedOn w:val="671"/>
    <w:next w:val="787"/>
    <w:link w:val="671"/>
    <w:uiPriority w:val="39"/>
    <w:unhideWhenUsed/>
    <w:qFormat/>
    <w:pPr>
      <w:ind w:left="850"/>
      <w:spacing w:after="57"/>
    </w:pPr>
  </w:style>
  <w:style w:type="paragraph" w:styleId="788">
    <w:name w:val="副标题1"/>
    <w:basedOn w:val="671"/>
    <w:next w:val="788"/>
    <w:link w:val="789"/>
    <w:uiPriority w:val="11"/>
    <w:qFormat/>
    <w:pPr>
      <w:spacing w:before="200" w:after="200"/>
    </w:pPr>
    <w:rPr>
      <w:sz w:val="24"/>
      <w:szCs w:val="24"/>
    </w:rPr>
  </w:style>
  <w:style w:type="character" w:styleId="789">
    <w:name w:val="副标题 Char"/>
    <w:next w:val="789"/>
    <w:link w:val="788"/>
    <w:uiPriority w:val="11"/>
    <w:qFormat/>
    <w:rPr>
      <w:sz w:val="24"/>
      <w:szCs w:val="24"/>
    </w:rPr>
  </w:style>
  <w:style w:type="paragraph" w:styleId="790">
    <w:name w:val="脚注文本1"/>
    <w:basedOn w:val="671"/>
    <w:next w:val="790"/>
    <w:link w:val="791"/>
    <w:qFormat/>
    <w:pPr>
      <w:ind w:firstLine="425"/>
      <w:jc w:val="left"/>
      <w:spacing w:before="120" w:line="360" w:lineRule="auto"/>
    </w:pPr>
    <w:rPr>
      <w:sz w:val="18"/>
    </w:rPr>
  </w:style>
  <w:style w:type="character" w:styleId="791">
    <w:name w:val="脚注文本 Char"/>
    <w:next w:val="791"/>
    <w:link w:val="790"/>
    <w:qFormat/>
    <w:rPr>
      <w:rFonts w:ascii="Times New Roman" w:hAnsi="Times New Roman"/>
      <w:sz w:val="18"/>
    </w:rPr>
  </w:style>
  <w:style w:type="character" w:styleId="792">
    <w:name w:val="Footnote Text Char"/>
    <w:next w:val="792"/>
    <w:link w:val="671"/>
    <w:uiPriority w:val="99"/>
    <w:qFormat/>
    <w:rPr>
      <w:sz w:val="18"/>
    </w:rPr>
  </w:style>
  <w:style w:type="paragraph" w:styleId="793">
    <w:name w:val="目录 61"/>
    <w:basedOn w:val="671"/>
    <w:next w:val="793"/>
    <w:link w:val="671"/>
    <w:uiPriority w:val="39"/>
    <w:unhideWhenUsed/>
    <w:qFormat/>
    <w:pPr>
      <w:ind w:left="1417"/>
      <w:spacing w:after="57"/>
    </w:pPr>
  </w:style>
  <w:style w:type="paragraph" w:styleId="794">
    <w:name w:val="正文文本缩进 31"/>
    <w:basedOn w:val="671"/>
    <w:next w:val="794"/>
    <w:link w:val="795"/>
    <w:uiPriority w:val="99"/>
    <w:qFormat/>
    <w:pPr>
      <w:ind w:left="359" w:firstLine="359"/>
    </w:pPr>
    <w:rPr>
      <w:sz w:val="20"/>
    </w:rPr>
  </w:style>
  <w:style w:type="character" w:styleId="795">
    <w:name w:val="正文文本缩进 3 Char"/>
    <w:next w:val="795"/>
    <w:link w:val="794"/>
    <w:uiPriority w:val="99"/>
    <w:qFormat/>
    <w:rPr>
      <w:rFonts w:ascii="Times New Roman" w:hAnsi="Times New Roman" w:eastAsia="宋体" w:cs="Times New Roman"/>
      <w:szCs w:val="20"/>
    </w:rPr>
  </w:style>
  <w:style w:type="paragraph" w:styleId="796">
    <w:name w:val="图表目录1"/>
    <w:basedOn w:val="671"/>
    <w:next w:val="796"/>
    <w:link w:val="671"/>
    <w:uiPriority w:val="99"/>
    <w:unhideWhenUsed/>
    <w:qFormat/>
  </w:style>
  <w:style w:type="paragraph" w:styleId="797">
    <w:name w:val="目录 21"/>
    <w:basedOn w:val="671"/>
    <w:next w:val="797"/>
    <w:link w:val="671"/>
    <w:uiPriority w:val="39"/>
    <w:unhideWhenUsed/>
    <w:qFormat/>
    <w:pPr>
      <w:ind w:left="283"/>
      <w:spacing w:after="57"/>
    </w:pPr>
  </w:style>
  <w:style w:type="paragraph" w:styleId="798">
    <w:name w:val="目录 91"/>
    <w:basedOn w:val="671"/>
    <w:next w:val="798"/>
    <w:link w:val="671"/>
    <w:uiPriority w:val="39"/>
    <w:unhideWhenUsed/>
    <w:qFormat/>
    <w:pPr>
      <w:ind w:left="2268"/>
      <w:spacing w:after="57"/>
    </w:pPr>
  </w:style>
  <w:style w:type="paragraph" w:styleId="799">
    <w:name w:val="正文文本 21"/>
    <w:basedOn w:val="671"/>
    <w:next w:val="799"/>
    <w:link w:val="800"/>
    <w:uiPriority w:val="99"/>
    <w:qFormat/>
    <w:pPr>
      <w:spacing w:after="120" w:line="480" w:lineRule="auto"/>
    </w:pPr>
    <w:rPr>
      <w:sz w:val="20"/>
    </w:rPr>
  </w:style>
  <w:style w:type="character" w:styleId="800">
    <w:name w:val="正文文本 2 Char"/>
    <w:next w:val="800"/>
    <w:link w:val="799"/>
    <w:uiPriority w:val="99"/>
    <w:qFormat/>
    <w:rPr>
      <w:rFonts w:ascii="Times New Roman" w:hAnsi="Times New Roman" w:eastAsia="宋体" w:cs="Times New Roman"/>
      <w:szCs w:val="20"/>
    </w:rPr>
  </w:style>
  <w:style w:type="paragraph" w:styleId="801">
    <w:name w:val="普通(网站)1"/>
    <w:basedOn w:val="671"/>
    <w:next w:val="801"/>
    <w:link w:val="802"/>
    <w:qFormat/>
    <w:pPr>
      <w:ind w:firstLine="420"/>
      <w:jc w:val="left"/>
      <w:spacing w:before="100" w:beforeAutospacing="1" w:after="100" w:afterAutospacing="1" w:line="288" w:lineRule="auto"/>
      <w:widowControl/>
    </w:pPr>
    <w:rPr>
      <w:rFonts w:ascii="宋体" w:hAnsi="宋体"/>
      <w:sz w:val="24"/>
      <w:szCs w:val="24"/>
    </w:rPr>
  </w:style>
  <w:style w:type="character" w:styleId="802">
    <w:name w:val="普通(网站) Char"/>
    <w:next w:val="802"/>
    <w:link w:val="801"/>
    <w:qFormat/>
    <w:rPr>
      <w:rFonts w:ascii="宋体" w:hAnsi="宋体"/>
      <w:sz w:val="24"/>
      <w:szCs w:val="24"/>
    </w:rPr>
  </w:style>
  <w:style w:type="paragraph" w:styleId="803">
    <w:name w:val="标题1"/>
    <w:basedOn w:val="671"/>
    <w:next w:val="803"/>
    <w:link w:val="804"/>
    <w:uiPriority w:val="10"/>
    <w:qFormat/>
    <w:pPr>
      <w:contextualSpacing/>
      <w:spacing w:before="300" w:after="200"/>
    </w:pPr>
    <w:rPr>
      <w:sz w:val="48"/>
      <w:szCs w:val="48"/>
    </w:rPr>
  </w:style>
  <w:style w:type="character" w:styleId="804">
    <w:name w:val="标题 Char"/>
    <w:next w:val="804"/>
    <w:link w:val="803"/>
    <w:uiPriority w:val="10"/>
    <w:qFormat/>
    <w:rPr>
      <w:sz w:val="48"/>
      <w:szCs w:val="48"/>
    </w:rPr>
  </w:style>
  <w:style w:type="paragraph" w:styleId="805">
    <w:name w:val="批注主题1"/>
    <w:basedOn w:val="762"/>
    <w:next w:val="805"/>
    <w:link w:val="806"/>
    <w:semiHidden/>
    <w:qFormat/>
    <w:rPr>
      <w:b/>
      <w:bCs/>
    </w:rPr>
  </w:style>
  <w:style w:type="character" w:styleId="806">
    <w:name w:val="批注主题 Char"/>
    <w:next w:val="806"/>
    <w:link w:val="805"/>
    <w:semiHidden/>
    <w:qFormat/>
    <w:rPr>
      <w:rFonts w:ascii="Times New Roman" w:hAnsi="Times New Roman" w:eastAsia="宋体" w:cs="Times New Roman"/>
      <w:b/>
      <w:bCs/>
      <w:szCs w:val="24"/>
    </w:rPr>
  </w:style>
  <w:style w:type="paragraph" w:styleId="807">
    <w:name w:val="正文首行缩进1"/>
    <w:basedOn w:val="671"/>
    <w:next w:val="807"/>
    <w:link w:val="808"/>
    <w:uiPriority w:val="99"/>
    <w:unhideWhenUsed/>
    <w:qFormat/>
    <w:pPr>
      <w:ind w:firstLine="420"/>
      <w:spacing w:after="120"/>
    </w:pPr>
    <w:rPr>
      <w:rFonts w:eastAsia="华文中宋"/>
    </w:rPr>
  </w:style>
  <w:style w:type="character" w:styleId="808">
    <w:name w:val="正文首行缩进 Char"/>
    <w:next w:val="808"/>
    <w:link w:val="807"/>
    <w:uiPriority w:val="99"/>
    <w:semiHidden/>
    <w:qFormat/>
    <w:rPr>
      <w:rFonts w:ascii="Times New Roman" w:hAnsi="Times New Roman" w:eastAsia="华文中宋" w:cs="Times New Roman"/>
      <w:sz w:val="21"/>
      <w:szCs w:val="20"/>
    </w:rPr>
  </w:style>
  <w:style w:type="paragraph" w:styleId="809">
    <w:name w:val="正文首行缩进 21"/>
    <w:basedOn w:val="767"/>
    <w:next w:val="809"/>
    <w:link w:val="671"/>
    <w:qFormat/>
    <w:pPr>
      <w:ind w:left="420" w:firstLine="420"/>
      <w:spacing w:after="120"/>
    </w:pPr>
    <w:rPr>
      <w:rFonts w:ascii="Cambria" w:hAnsi="Cambria" w:eastAsia="华文细黑"/>
      <w:sz w:val="21"/>
    </w:rPr>
  </w:style>
  <w:style w:type="table" w:styleId="810">
    <w:name w:val="网格型1"/>
    <w:next w:val="810"/>
    <w:link w:val="671"/>
    <w:uiPriority w:val="59"/>
    <w:qFormat/>
    <w:tblPr/>
  </w:style>
  <w:style w:type="character" w:styleId="811">
    <w:name w:val="要点1"/>
    <w:next w:val="811"/>
    <w:link w:val="671"/>
    <w:uiPriority w:val="99"/>
    <w:qFormat/>
    <w:rPr>
      <w:rFonts w:cs="Times New Roman"/>
      <w:b/>
      <w:bCs/>
    </w:rPr>
  </w:style>
  <w:style w:type="character" w:styleId="812">
    <w:name w:val="尾注引用1"/>
    <w:next w:val="812"/>
    <w:link w:val="671"/>
    <w:uiPriority w:val="99"/>
    <w:unhideWhenUsed/>
    <w:qFormat/>
    <w:rPr>
      <w:vertAlign w:val="superscript"/>
    </w:rPr>
  </w:style>
  <w:style w:type="character" w:styleId="813">
    <w:name w:val="页码1"/>
    <w:next w:val="813"/>
    <w:link w:val="671"/>
    <w:qFormat/>
    <w:rPr>
      <w:rFonts w:cs="Times New Roman"/>
    </w:rPr>
  </w:style>
  <w:style w:type="character" w:styleId="814">
    <w:name w:val="已访问的超链接1"/>
    <w:next w:val="814"/>
    <w:link w:val="671"/>
    <w:uiPriority w:val="99"/>
    <w:qFormat/>
    <w:rPr>
      <w:rFonts w:cs="Times New Roman"/>
      <w:color w:val="000000"/>
      <w:u w:val="none"/>
    </w:rPr>
  </w:style>
  <w:style w:type="character" w:styleId="815">
    <w:name w:val="HTML 打字机1"/>
    <w:next w:val="815"/>
    <w:link w:val="671"/>
    <w:uiPriority w:val="99"/>
    <w:qFormat/>
    <w:rPr>
      <w:rFonts w:ascii="宋体" w:hAnsi="宋体" w:eastAsia="宋体" w:cs="宋体"/>
      <w:sz w:val="24"/>
      <w:szCs w:val="24"/>
    </w:rPr>
  </w:style>
  <w:style w:type="character" w:styleId="816">
    <w:name w:val="超链接1"/>
    <w:next w:val="816"/>
    <w:link w:val="671"/>
    <w:qFormat/>
    <w:rPr>
      <w:color w:val="000000"/>
      <w:u w:val="none"/>
    </w:rPr>
  </w:style>
  <w:style w:type="character" w:styleId="817">
    <w:name w:val="批注引用1"/>
    <w:next w:val="817"/>
    <w:link w:val="671"/>
    <w:unhideWhenUsed/>
    <w:qFormat/>
    <w:rPr>
      <w:sz w:val="21"/>
      <w:szCs w:val="21"/>
    </w:rPr>
  </w:style>
  <w:style w:type="character" w:styleId="818">
    <w:name w:val="脚注引用1"/>
    <w:next w:val="818"/>
    <w:link w:val="671"/>
    <w:uiPriority w:val="99"/>
    <w:unhideWhenUsed/>
    <w:qFormat/>
    <w:rPr>
      <w:vertAlign w:val="superscript"/>
    </w:rPr>
  </w:style>
  <w:style w:type="character" w:styleId="819">
    <w:name w:val="Title Char"/>
    <w:basedOn w:val="756"/>
    <w:next w:val="819"/>
    <w:link w:val="671"/>
    <w:uiPriority w:val="10"/>
    <w:qFormat/>
    <w:rPr>
      <w:sz w:val="48"/>
      <w:szCs w:val="48"/>
    </w:rPr>
  </w:style>
  <w:style w:type="character" w:styleId="820">
    <w:name w:val="Subtitle Char"/>
    <w:basedOn w:val="756"/>
    <w:next w:val="820"/>
    <w:link w:val="671"/>
    <w:uiPriority w:val="11"/>
    <w:qFormat/>
    <w:rPr>
      <w:sz w:val="24"/>
      <w:szCs w:val="24"/>
    </w:rPr>
  </w:style>
  <w:style w:type="character" w:styleId="821">
    <w:name w:val="Quote Char"/>
    <w:next w:val="821"/>
    <w:link w:val="671"/>
    <w:uiPriority w:val="29"/>
    <w:qFormat/>
    <w:rPr>
      <w:i/>
    </w:rPr>
  </w:style>
  <w:style w:type="character" w:styleId="822">
    <w:name w:val="Intense Quote Char"/>
    <w:next w:val="822"/>
    <w:link w:val="671"/>
    <w:uiPriority w:val="30"/>
    <w:qFormat/>
    <w:rPr>
      <w:i/>
    </w:rPr>
  </w:style>
  <w:style w:type="character" w:styleId="823">
    <w:name w:val="Endnote Text Char"/>
    <w:next w:val="823"/>
    <w:link w:val="671"/>
    <w:uiPriority w:val="99"/>
    <w:qFormat/>
    <w:rPr>
      <w:sz w:val="20"/>
    </w:rPr>
  </w:style>
  <w:style w:type="paragraph" w:styleId="824">
    <w:name w:val="TOC 标题1"/>
    <w:next w:val="824"/>
    <w:link w:val="671"/>
    <w:uiPriority w:val="39"/>
    <w:unhideWhenUsed/>
    <w:qFormat/>
    <w:rPr>
      <w:rFonts w:ascii="Times New Roman" w:hAnsi="Times New Roman" w:eastAsia="宋体" w:cs="Times New Roman"/>
      <w:lang w:val="en-US" w:eastAsia="zh-CN" w:bidi="ar-SA"/>
    </w:rPr>
  </w:style>
  <w:style w:type="paragraph" w:styleId="825">
    <w:name w:val="正文文本1"/>
    <w:basedOn w:val="671"/>
    <w:next w:val="825"/>
    <w:link w:val="671"/>
    <w:qFormat/>
    <w:rPr>
      <w:rFonts w:ascii="华文中宋" w:eastAsia="华文中宋"/>
      <w:bCs/>
      <w:sz w:val="28"/>
    </w:rPr>
  </w:style>
  <w:style w:type="paragraph" w:styleId="826">
    <w:name w:val="No Spacing"/>
    <w:next w:val="826"/>
    <w:link w:val="671"/>
    <w:uiPriority w:val="1"/>
    <w:qFormat/>
    <w:rPr>
      <w:rFonts w:ascii="Times New Roman" w:hAnsi="Times New Roman" w:eastAsia="宋体" w:cs="Times New Roman"/>
      <w:lang w:val="en-US" w:eastAsia="zh-CN" w:bidi="ar-SA"/>
    </w:rPr>
  </w:style>
  <w:style w:type="paragraph" w:styleId="827">
    <w:name w:val="Quote"/>
    <w:basedOn w:val="671"/>
    <w:next w:val="827"/>
    <w:link w:val="828"/>
    <w:uiPriority w:val="29"/>
    <w:qFormat/>
    <w:pPr>
      <w:ind w:left="720" w:right="720"/>
    </w:pPr>
    <w:rPr>
      <w:i/>
    </w:rPr>
  </w:style>
  <w:style w:type="character" w:styleId="828">
    <w:name w:val="引用 字符"/>
    <w:next w:val="828"/>
    <w:link w:val="827"/>
    <w:uiPriority w:val="29"/>
    <w:qFormat/>
    <w:rPr>
      <w:i/>
    </w:rPr>
  </w:style>
  <w:style w:type="paragraph" w:styleId="829">
    <w:name w:val="Intense Quote"/>
    <w:basedOn w:val="671"/>
    <w:next w:val="829"/>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明显引用 字符"/>
    <w:next w:val="830"/>
    <w:link w:val="829"/>
    <w:uiPriority w:val="30"/>
    <w:qFormat/>
    <w:rPr>
      <w:i/>
    </w:rPr>
  </w:style>
  <w:style w:type="paragraph" w:styleId="831">
    <w:name w:val="Header1"/>
    <w:basedOn w:val="671"/>
    <w:next w:val="831"/>
    <w:link w:val="832"/>
    <w:uiPriority w:val="99"/>
    <w:unhideWhenUsed/>
    <w:qFormat/>
    <w:pPr>
      <w:tabs>
        <w:tab w:val="center" w:pos="7143" w:leader="none"/>
        <w:tab w:val="right" w:pos="14287" w:leader="none"/>
      </w:tabs>
    </w:pPr>
  </w:style>
  <w:style w:type="character" w:styleId="832">
    <w:name w:val="Header Char"/>
    <w:next w:val="832"/>
    <w:link w:val="831"/>
    <w:uiPriority w:val="99"/>
    <w:qFormat/>
  </w:style>
  <w:style w:type="paragraph" w:styleId="833">
    <w:name w:val="Footer1"/>
    <w:basedOn w:val="671"/>
    <w:next w:val="833"/>
    <w:link w:val="834"/>
    <w:uiPriority w:val="99"/>
    <w:unhideWhenUsed/>
    <w:qFormat/>
    <w:pPr>
      <w:tabs>
        <w:tab w:val="center" w:pos="7143" w:leader="none"/>
        <w:tab w:val="right" w:pos="14287" w:leader="none"/>
      </w:tabs>
    </w:pPr>
  </w:style>
  <w:style w:type="character" w:styleId="834">
    <w:name w:val="Caption Char"/>
    <w:next w:val="834"/>
    <w:link w:val="833"/>
    <w:uiPriority w:val="99"/>
    <w:qFormat/>
  </w:style>
  <w:style w:type="character" w:styleId="835">
    <w:name w:val="Footer Char"/>
    <w:next w:val="835"/>
    <w:link w:val="671"/>
    <w:uiPriority w:val="99"/>
    <w:qFormat/>
  </w:style>
  <w:style w:type="paragraph" w:styleId="836">
    <w:name w:val="Caption1"/>
    <w:basedOn w:val="671"/>
    <w:next w:val="836"/>
    <w:link w:val="671"/>
    <w:uiPriority w:val="35"/>
    <w:unhideWhenUsed/>
    <w:qFormat/>
    <w:pPr>
      <w:spacing w:line="276" w:lineRule="auto"/>
    </w:pPr>
    <w:rPr>
      <w:b/>
      <w:bCs/>
      <w:color w:val="4f81bd"/>
      <w:sz w:val="18"/>
      <w:szCs w:val="18"/>
    </w:rPr>
  </w:style>
  <w:style w:type="table" w:styleId="837">
    <w:name w:val="Table Grid Light"/>
    <w:next w:val="837"/>
    <w:link w:val="671"/>
    <w:uiPriority w:val="59"/>
    <w:qFormat/>
    <w:tblPr/>
  </w:style>
  <w:style w:type="table" w:styleId="838">
    <w:name w:val="无格式表格 11"/>
    <w:next w:val="838"/>
    <w:link w:val="671"/>
    <w:uiPriority w:val="59"/>
    <w:qFormat/>
    <w:tblPr/>
  </w:style>
  <w:style w:type="table" w:styleId="839">
    <w:name w:val="无格式表格 21"/>
    <w:next w:val="839"/>
    <w:link w:val="671"/>
    <w:uiPriority w:val="59"/>
    <w:qFormat/>
    <w:tblPr/>
  </w:style>
  <w:style w:type="table" w:styleId="840">
    <w:name w:val="无格式表格 31"/>
    <w:next w:val="840"/>
    <w:link w:val="671"/>
    <w:uiPriority w:val="99"/>
    <w:qFormat/>
    <w:tblPr/>
  </w:style>
  <w:style w:type="table" w:styleId="841">
    <w:name w:val="无格式表格 41"/>
    <w:next w:val="841"/>
    <w:link w:val="671"/>
    <w:uiPriority w:val="99"/>
    <w:qFormat/>
    <w:tblPr/>
  </w:style>
  <w:style w:type="table" w:styleId="842">
    <w:name w:val="无格式表格 51"/>
    <w:next w:val="842"/>
    <w:link w:val="671"/>
    <w:uiPriority w:val="99"/>
    <w:qFormat/>
    <w:tblPr/>
  </w:style>
  <w:style w:type="table" w:styleId="843">
    <w:name w:val="网格表 1 浅色1"/>
    <w:next w:val="843"/>
    <w:link w:val="671"/>
    <w:uiPriority w:val="99"/>
    <w:qFormat/>
    <w:tblPr/>
  </w:style>
  <w:style w:type="table" w:styleId="844">
    <w:name w:val="Grid Table 1 Light - Accent 1"/>
    <w:next w:val="844"/>
    <w:link w:val="671"/>
    <w:uiPriority w:val="99"/>
    <w:qFormat/>
    <w:tblPr/>
  </w:style>
  <w:style w:type="table" w:styleId="845">
    <w:name w:val="Grid Table 1 Light - Accent 2"/>
    <w:next w:val="845"/>
    <w:link w:val="671"/>
    <w:uiPriority w:val="99"/>
    <w:qFormat/>
    <w:tblPr/>
  </w:style>
  <w:style w:type="table" w:styleId="846">
    <w:name w:val="Grid Table 1 Light - Accent 3"/>
    <w:next w:val="846"/>
    <w:link w:val="671"/>
    <w:uiPriority w:val="99"/>
    <w:qFormat/>
    <w:tblPr/>
  </w:style>
  <w:style w:type="table" w:styleId="847">
    <w:name w:val="Grid Table 1 Light - Accent 4"/>
    <w:next w:val="847"/>
    <w:link w:val="671"/>
    <w:uiPriority w:val="99"/>
    <w:qFormat/>
    <w:tblPr/>
  </w:style>
  <w:style w:type="table" w:styleId="848">
    <w:name w:val="Grid Table 1 Light - Accent 5"/>
    <w:next w:val="848"/>
    <w:link w:val="671"/>
    <w:uiPriority w:val="99"/>
    <w:qFormat/>
    <w:tblPr/>
  </w:style>
  <w:style w:type="table" w:styleId="849">
    <w:name w:val="Grid Table 1 Light - Accent 6"/>
    <w:next w:val="849"/>
    <w:link w:val="671"/>
    <w:uiPriority w:val="99"/>
    <w:qFormat/>
    <w:tblPr/>
  </w:style>
  <w:style w:type="table" w:styleId="850">
    <w:name w:val="网格表 21"/>
    <w:next w:val="850"/>
    <w:link w:val="671"/>
    <w:uiPriority w:val="99"/>
    <w:qFormat/>
    <w:tblPr/>
  </w:style>
  <w:style w:type="table" w:styleId="851">
    <w:name w:val="Grid Table 2 - Accent 1"/>
    <w:next w:val="851"/>
    <w:link w:val="671"/>
    <w:uiPriority w:val="99"/>
    <w:qFormat/>
    <w:tblPr/>
  </w:style>
  <w:style w:type="table" w:styleId="852">
    <w:name w:val="Grid Table 2 - Accent 2"/>
    <w:next w:val="852"/>
    <w:link w:val="671"/>
    <w:uiPriority w:val="99"/>
    <w:qFormat/>
    <w:tblPr/>
  </w:style>
  <w:style w:type="table" w:styleId="853">
    <w:name w:val="Grid Table 2 - Accent 3"/>
    <w:next w:val="853"/>
    <w:link w:val="671"/>
    <w:uiPriority w:val="99"/>
    <w:qFormat/>
    <w:tblPr/>
  </w:style>
  <w:style w:type="table" w:styleId="854">
    <w:name w:val="Grid Table 2 - Accent 4"/>
    <w:next w:val="854"/>
    <w:link w:val="671"/>
    <w:uiPriority w:val="99"/>
    <w:qFormat/>
    <w:tblPr/>
  </w:style>
  <w:style w:type="table" w:styleId="855">
    <w:name w:val="Grid Table 2 - Accent 5"/>
    <w:next w:val="855"/>
    <w:link w:val="671"/>
    <w:uiPriority w:val="99"/>
    <w:qFormat/>
    <w:tblPr/>
  </w:style>
  <w:style w:type="table" w:styleId="856">
    <w:name w:val="Grid Table 2 - Accent 6"/>
    <w:next w:val="856"/>
    <w:link w:val="671"/>
    <w:uiPriority w:val="99"/>
    <w:qFormat/>
    <w:tblPr/>
  </w:style>
  <w:style w:type="table" w:styleId="857">
    <w:name w:val="网格表 31"/>
    <w:next w:val="857"/>
    <w:link w:val="671"/>
    <w:uiPriority w:val="99"/>
    <w:qFormat/>
    <w:tblPr/>
  </w:style>
  <w:style w:type="table" w:styleId="858">
    <w:name w:val="Grid Table 3 - Accent 1"/>
    <w:next w:val="858"/>
    <w:link w:val="671"/>
    <w:uiPriority w:val="99"/>
    <w:qFormat/>
    <w:tblPr/>
  </w:style>
  <w:style w:type="table" w:styleId="859">
    <w:name w:val="Grid Table 3 - Accent 2"/>
    <w:next w:val="859"/>
    <w:link w:val="671"/>
    <w:uiPriority w:val="99"/>
    <w:qFormat/>
    <w:tblPr/>
  </w:style>
  <w:style w:type="table" w:styleId="860">
    <w:name w:val="Grid Table 3 - Accent 3"/>
    <w:next w:val="860"/>
    <w:link w:val="671"/>
    <w:uiPriority w:val="99"/>
    <w:qFormat/>
    <w:tblPr/>
  </w:style>
  <w:style w:type="table" w:styleId="861">
    <w:name w:val="Grid Table 3 - Accent 4"/>
    <w:next w:val="861"/>
    <w:link w:val="671"/>
    <w:uiPriority w:val="99"/>
    <w:qFormat/>
    <w:tblPr/>
  </w:style>
  <w:style w:type="table" w:styleId="862">
    <w:name w:val="Grid Table 3 - Accent 5"/>
    <w:next w:val="862"/>
    <w:link w:val="671"/>
    <w:uiPriority w:val="99"/>
    <w:qFormat/>
    <w:tblPr/>
  </w:style>
  <w:style w:type="table" w:styleId="863">
    <w:name w:val="Grid Table 3 - Accent 6"/>
    <w:next w:val="863"/>
    <w:link w:val="671"/>
    <w:uiPriority w:val="99"/>
    <w:qFormat/>
    <w:tblPr/>
  </w:style>
  <w:style w:type="table" w:styleId="864">
    <w:name w:val="网格表 41"/>
    <w:next w:val="864"/>
    <w:link w:val="671"/>
    <w:uiPriority w:val="59"/>
    <w:qFormat/>
    <w:tblPr/>
  </w:style>
  <w:style w:type="table" w:styleId="865">
    <w:name w:val="Grid Table 4 - Accent 1"/>
    <w:next w:val="865"/>
    <w:link w:val="671"/>
    <w:uiPriority w:val="59"/>
    <w:qFormat/>
    <w:tblPr/>
  </w:style>
  <w:style w:type="table" w:styleId="866">
    <w:name w:val="Grid Table 4 - Accent 2"/>
    <w:next w:val="866"/>
    <w:link w:val="671"/>
    <w:uiPriority w:val="59"/>
    <w:qFormat/>
    <w:tblPr/>
  </w:style>
  <w:style w:type="table" w:styleId="867">
    <w:name w:val="Grid Table 4 - Accent 3"/>
    <w:next w:val="867"/>
    <w:link w:val="671"/>
    <w:uiPriority w:val="59"/>
    <w:qFormat/>
    <w:tblPr/>
  </w:style>
  <w:style w:type="table" w:styleId="868">
    <w:name w:val="Grid Table 4 - Accent 4"/>
    <w:next w:val="868"/>
    <w:link w:val="671"/>
    <w:uiPriority w:val="59"/>
    <w:qFormat/>
    <w:tblPr/>
  </w:style>
  <w:style w:type="table" w:styleId="869">
    <w:name w:val="Grid Table 4 - Accent 5"/>
    <w:next w:val="869"/>
    <w:link w:val="671"/>
    <w:uiPriority w:val="59"/>
    <w:qFormat/>
    <w:tblPr/>
  </w:style>
  <w:style w:type="table" w:styleId="870">
    <w:name w:val="Grid Table 4 - Accent 6"/>
    <w:next w:val="870"/>
    <w:link w:val="671"/>
    <w:uiPriority w:val="59"/>
    <w:qFormat/>
    <w:tblPr/>
  </w:style>
  <w:style w:type="table" w:styleId="871">
    <w:name w:val="网格表 5 深色1"/>
    <w:next w:val="871"/>
    <w:link w:val="671"/>
    <w:uiPriority w:val="99"/>
    <w:qFormat/>
    <w:tblPr/>
  </w:style>
  <w:style w:type="table" w:styleId="872">
    <w:name w:val="Grid Table 5 Dark- Accent 1"/>
    <w:next w:val="872"/>
    <w:link w:val="671"/>
    <w:uiPriority w:val="99"/>
    <w:qFormat/>
    <w:tblPr/>
  </w:style>
  <w:style w:type="table" w:styleId="873">
    <w:name w:val="Grid Table 5 Dark - Accent 2"/>
    <w:next w:val="873"/>
    <w:link w:val="671"/>
    <w:uiPriority w:val="99"/>
    <w:qFormat/>
    <w:tblPr/>
  </w:style>
  <w:style w:type="table" w:styleId="874">
    <w:name w:val="Grid Table 5 Dark - Accent 3"/>
    <w:next w:val="874"/>
    <w:link w:val="671"/>
    <w:uiPriority w:val="99"/>
    <w:qFormat/>
    <w:tblPr/>
  </w:style>
  <w:style w:type="table" w:styleId="875">
    <w:name w:val="Grid Table 5 Dark- Accent 4"/>
    <w:next w:val="875"/>
    <w:link w:val="671"/>
    <w:uiPriority w:val="99"/>
    <w:qFormat/>
    <w:tblPr/>
  </w:style>
  <w:style w:type="table" w:styleId="876">
    <w:name w:val="Grid Table 5 Dark - Accent 5"/>
    <w:next w:val="876"/>
    <w:link w:val="671"/>
    <w:uiPriority w:val="99"/>
    <w:qFormat/>
    <w:tblPr/>
  </w:style>
  <w:style w:type="table" w:styleId="877">
    <w:name w:val="Grid Table 5 Dark - Accent 6"/>
    <w:next w:val="877"/>
    <w:link w:val="671"/>
    <w:uiPriority w:val="99"/>
    <w:qFormat/>
    <w:tblPr/>
  </w:style>
  <w:style w:type="table" w:styleId="878">
    <w:name w:val="网格表 6 彩色1"/>
    <w:next w:val="878"/>
    <w:link w:val="671"/>
    <w:uiPriority w:val="99"/>
    <w:qFormat/>
    <w:tblPr/>
  </w:style>
  <w:style w:type="table" w:styleId="879">
    <w:name w:val="Grid Table 6 Colorful - Accent 1"/>
    <w:next w:val="879"/>
    <w:link w:val="671"/>
    <w:uiPriority w:val="99"/>
    <w:qFormat/>
    <w:tblPr/>
  </w:style>
  <w:style w:type="table" w:styleId="880">
    <w:name w:val="Grid Table 6 Colorful - Accent 2"/>
    <w:next w:val="880"/>
    <w:link w:val="671"/>
    <w:uiPriority w:val="99"/>
    <w:qFormat/>
    <w:tblPr/>
  </w:style>
  <w:style w:type="table" w:styleId="881">
    <w:name w:val="Grid Table 6 Colorful - Accent 3"/>
    <w:next w:val="881"/>
    <w:link w:val="671"/>
    <w:uiPriority w:val="99"/>
    <w:qFormat/>
    <w:tblPr/>
  </w:style>
  <w:style w:type="table" w:styleId="882">
    <w:name w:val="Grid Table 6 Colorful - Accent 4"/>
    <w:next w:val="882"/>
    <w:link w:val="671"/>
    <w:uiPriority w:val="99"/>
    <w:qFormat/>
    <w:tblPr/>
  </w:style>
  <w:style w:type="table" w:styleId="883">
    <w:name w:val="Grid Table 6 Colorful - Accent 5"/>
    <w:next w:val="883"/>
    <w:link w:val="671"/>
    <w:uiPriority w:val="99"/>
    <w:qFormat/>
    <w:tblPr/>
  </w:style>
  <w:style w:type="table" w:styleId="884">
    <w:name w:val="Grid Table 6 Colorful - Accent 6"/>
    <w:next w:val="884"/>
    <w:link w:val="671"/>
    <w:uiPriority w:val="99"/>
    <w:qFormat/>
    <w:tblPr/>
  </w:style>
  <w:style w:type="table" w:styleId="885">
    <w:name w:val="网格表 7 彩色1"/>
    <w:next w:val="885"/>
    <w:link w:val="671"/>
    <w:uiPriority w:val="99"/>
    <w:qFormat/>
    <w:tblPr/>
  </w:style>
  <w:style w:type="table" w:styleId="886">
    <w:name w:val="Grid Table 7 Colorful - Accent 1"/>
    <w:next w:val="886"/>
    <w:link w:val="671"/>
    <w:uiPriority w:val="99"/>
    <w:qFormat/>
    <w:tblPr/>
  </w:style>
  <w:style w:type="table" w:styleId="887">
    <w:name w:val="Grid Table 7 Colorful - Accent 2"/>
    <w:next w:val="887"/>
    <w:link w:val="671"/>
    <w:uiPriority w:val="99"/>
    <w:qFormat/>
    <w:tblPr/>
  </w:style>
  <w:style w:type="table" w:styleId="888">
    <w:name w:val="Grid Table 7 Colorful - Accent 3"/>
    <w:next w:val="888"/>
    <w:link w:val="671"/>
    <w:uiPriority w:val="99"/>
    <w:qFormat/>
    <w:tblPr/>
  </w:style>
  <w:style w:type="table" w:styleId="889">
    <w:name w:val="Grid Table 7 Colorful - Accent 4"/>
    <w:next w:val="889"/>
    <w:link w:val="671"/>
    <w:uiPriority w:val="99"/>
    <w:qFormat/>
    <w:tblPr/>
  </w:style>
  <w:style w:type="table" w:styleId="890">
    <w:name w:val="Grid Table 7 Colorful - Accent 5"/>
    <w:next w:val="890"/>
    <w:link w:val="671"/>
    <w:uiPriority w:val="99"/>
    <w:qFormat/>
    <w:tblPr/>
  </w:style>
  <w:style w:type="table" w:styleId="891">
    <w:name w:val="Grid Table 7 Colorful - Accent 6"/>
    <w:next w:val="891"/>
    <w:link w:val="671"/>
    <w:uiPriority w:val="99"/>
    <w:qFormat/>
    <w:tblPr/>
  </w:style>
  <w:style w:type="table" w:styleId="892">
    <w:name w:val="清单表 1 浅色1"/>
    <w:next w:val="892"/>
    <w:link w:val="671"/>
    <w:uiPriority w:val="99"/>
    <w:qFormat/>
    <w:tblPr/>
  </w:style>
  <w:style w:type="table" w:styleId="893">
    <w:name w:val="List Table 1 Light - Accent 1"/>
    <w:next w:val="893"/>
    <w:link w:val="671"/>
    <w:uiPriority w:val="99"/>
    <w:qFormat/>
    <w:tblPr/>
  </w:style>
  <w:style w:type="table" w:styleId="894">
    <w:name w:val="List Table 1 Light - Accent 2"/>
    <w:next w:val="894"/>
    <w:link w:val="671"/>
    <w:uiPriority w:val="99"/>
    <w:qFormat/>
    <w:tblPr/>
  </w:style>
  <w:style w:type="table" w:styleId="895">
    <w:name w:val="List Table 1 Light - Accent 3"/>
    <w:next w:val="895"/>
    <w:link w:val="671"/>
    <w:uiPriority w:val="99"/>
    <w:qFormat/>
    <w:tblPr/>
  </w:style>
  <w:style w:type="table" w:styleId="896">
    <w:name w:val="List Table 1 Light - Accent 4"/>
    <w:next w:val="896"/>
    <w:link w:val="671"/>
    <w:uiPriority w:val="99"/>
    <w:qFormat/>
    <w:tblPr/>
  </w:style>
  <w:style w:type="table" w:styleId="897">
    <w:name w:val="List Table 1 Light - Accent 5"/>
    <w:next w:val="897"/>
    <w:link w:val="671"/>
    <w:uiPriority w:val="99"/>
    <w:qFormat/>
    <w:tblPr/>
  </w:style>
  <w:style w:type="table" w:styleId="898">
    <w:name w:val="List Table 1 Light - Accent 6"/>
    <w:next w:val="898"/>
    <w:link w:val="671"/>
    <w:uiPriority w:val="99"/>
    <w:qFormat/>
    <w:tblPr/>
  </w:style>
  <w:style w:type="table" w:styleId="899">
    <w:name w:val="清单表 21"/>
    <w:next w:val="899"/>
    <w:link w:val="671"/>
    <w:uiPriority w:val="99"/>
    <w:qFormat/>
    <w:tblPr/>
  </w:style>
  <w:style w:type="table" w:styleId="900">
    <w:name w:val="List Table 2 - Accent 1"/>
    <w:next w:val="900"/>
    <w:link w:val="671"/>
    <w:uiPriority w:val="99"/>
    <w:qFormat/>
    <w:tblPr/>
  </w:style>
  <w:style w:type="table" w:styleId="901">
    <w:name w:val="List Table 2 - Accent 2"/>
    <w:next w:val="901"/>
    <w:link w:val="671"/>
    <w:uiPriority w:val="99"/>
    <w:qFormat/>
    <w:tblPr/>
  </w:style>
  <w:style w:type="table" w:styleId="902">
    <w:name w:val="List Table 2 - Accent 3"/>
    <w:next w:val="902"/>
    <w:link w:val="671"/>
    <w:uiPriority w:val="99"/>
    <w:qFormat/>
    <w:tblPr/>
  </w:style>
  <w:style w:type="table" w:styleId="903">
    <w:name w:val="List Table 2 - Accent 4"/>
    <w:next w:val="903"/>
    <w:link w:val="671"/>
    <w:uiPriority w:val="99"/>
    <w:qFormat/>
    <w:tblPr/>
  </w:style>
  <w:style w:type="table" w:styleId="904">
    <w:name w:val="List Table 2 - Accent 5"/>
    <w:next w:val="904"/>
    <w:link w:val="671"/>
    <w:uiPriority w:val="99"/>
    <w:qFormat/>
    <w:tblPr/>
  </w:style>
  <w:style w:type="table" w:styleId="905">
    <w:name w:val="List Table 2 - Accent 6"/>
    <w:next w:val="905"/>
    <w:link w:val="671"/>
    <w:uiPriority w:val="99"/>
    <w:qFormat/>
    <w:tblPr/>
  </w:style>
  <w:style w:type="table" w:styleId="906">
    <w:name w:val="清单表 31"/>
    <w:next w:val="906"/>
    <w:link w:val="671"/>
    <w:uiPriority w:val="99"/>
    <w:qFormat/>
    <w:tblPr/>
  </w:style>
  <w:style w:type="table" w:styleId="907">
    <w:name w:val="List Table 3 - Accent 1"/>
    <w:next w:val="907"/>
    <w:link w:val="671"/>
    <w:uiPriority w:val="99"/>
    <w:qFormat/>
    <w:tblPr/>
  </w:style>
  <w:style w:type="table" w:styleId="908">
    <w:name w:val="List Table 3 - Accent 2"/>
    <w:next w:val="908"/>
    <w:link w:val="671"/>
    <w:uiPriority w:val="99"/>
    <w:qFormat/>
    <w:tblPr/>
  </w:style>
  <w:style w:type="table" w:styleId="909">
    <w:name w:val="List Table 3 - Accent 3"/>
    <w:next w:val="909"/>
    <w:link w:val="671"/>
    <w:uiPriority w:val="99"/>
    <w:qFormat/>
    <w:tblPr/>
  </w:style>
  <w:style w:type="table" w:styleId="910">
    <w:name w:val="List Table 3 - Accent 4"/>
    <w:next w:val="910"/>
    <w:link w:val="671"/>
    <w:uiPriority w:val="99"/>
    <w:qFormat/>
    <w:tblPr/>
  </w:style>
  <w:style w:type="table" w:styleId="911">
    <w:name w:val="List Table 3 - Accent 5"/>
    <w:next w:val="911"/>
    <w:link w:val="671"/>
    <w:uiPriority w:val="99"/>
    <w:qFormat/>
    <w:tblPr/>
  </w:style>
  <w:style w:type="table" w:styleId="912">
    <w:name w:val="List Table 3 - Accent 6"/>
    <w:next w:val="912"/>
    <w:link w:val="671"/>
    <w:uiPriority w:val="99"/>
    <w:qFormat/>
    <w:tblPr/>
  </w:style>
  <w:style w:type="table" w:styleId="913">
    <w:name w:val="清单表 41"/>
    <w:next w:val="913"/>
    <w:link w:val="671"/>
    <w:uiPriority w:val="99"/>
    <w:qFormat/>
    <w:tblPr/>
  </w:style>
  <w:style w:type="table" w:styleId="914">
    <w:name w:val="List Table 4 - Accent 1"/>
    <w:next w:val="914"/>
    <w:link w:val="671"/>
    <w:uiPriority w:val="99"/>
    <w:qFormat/>
    <w:tblPr/>
  </w:style>
  <w:style w:type="table" w:styleId="915">
    <w:name w:val="List Table 4 - Accent 2"/>
    <w:next w:val="915"/>
    <w:link w:val="671"/>
    <w:uiPriority w:val="99"/>
    <w:qFormat/>
    <w:tblPr/>
  </w:style>
  <w:style w:type="table" w:styleId="916">
    <w:name w:val="List Table 4 - Accent 3"/>
    <w:next w:val="916"/>
    <w:link w:val="671"/>
    <w:uiPriority w:val="99"/>
    <w:qFormat/>
    <w:tblPr/>
  </w:style>
  <w:style w:type="table" w:styleId="917">
    <w:name w:val="List Table 4 - Accent 4"/>
    <w:next w:val="917"/>
    <w:link w:val="671"/>
    <w:uiPriority w:val="99"/>
    <w:qFormat/>
    <w:tblPr/>
  </w:style>
  <w:style w:type="table" w:styleId="918">
    <w:name w:val="List Table 4 - Accent 5"/>
    <w:next w:val="918"/>
    <w:link w:val="671"/>
    <w:uiPriority w:val="99"/>
    <w:qFormat/>
    <w:tblPr/>
  </w:style>
  <w:style w:type="table" w:styleId="919">
    <w:name w:val="List Table 4 - Accent 6"/>
    <w:next w:val="919"/>
    <w:link w:val="671"/>
    <w:uiPriority w:val="99"/>
    <w:qFormat/>
    <w:tblPr/>
  </w:style>
  <w:style w:type="table" w:styleId="920">
    <w:name w:val="清单表 5 深色1"/>
    <w:next w:val="920"/>
    <w:link w:val="671"/>
    <w:uiPriority w:val="99"/>
    <w:qFormat/>
    <w:tblPr/>
  </w:style>
  <w:style w:type="table" w:styleId="921">
    <w:name w:val="List Table 5 Dark - Accent 1"/>
    <w:next w:val="921"/>
    <w:link w:val="671"/>
    <w:uiPriority w:val="99"/>
    <w:qFormat/>
    <w:tblPr/>
  </w:style>
  <w:style w:type="table" w:styleId="922">
    <w:name w:val="List Table 5 Dark - Accent 2"/>
    <w:next w:val="922"/>
    <w:link w:val="671"/>
    <w:uiPriority w:val="99"/>
    <w:qFormat/>
    <w:tblPr/>
  </w:style>
  <w:style w:type="table" w:styleId="923">
    <w:name w:val="List Table 5 Dark - Accent 3"/>
    <w:next w:val="923"/>
    <w:link w:val="671"/>
    <w:uiPriority w:val="99"/>
    <w:qFormat/>
    <w:tblPr/>
  </w:style>
  <w:style w:type="table" w:styleId="924">
    <w:name w:val="List Table 5 Dark - Accent 4"/>
    <w:next w:val="924"/>
    <w:link w:val="671"/>
    <w:uiPriority w:val="99"/>
    <w:qFormat/>
    <w:tblPr/>
  </w:style>
  <w:style w:type="table" w:styleId="925">
    <w:name w:val="List Table 5 Dark - Accent 5"/>
    <w:next w:val="925"/>
    <w:link w:val="671"/>
    <w:uiPriority w:val="99"/>
    <w:qFormat/>
    <w:tblPr/>
  </w:style>
  <w:style w:type="table" w:styleId="926">
    <w:name w:val="List Table 5 Dark - Accent 6"/>
    <w:next w:val="926"/>
    <w:link w:val="671"/>
    <w:uiPriority w:val="99"/>
    <w:qFormat/>
    <w:tblPr/>
  </w:style>
  <w:style w:type="table" w:styleId="927">
    <w:name w:val="清单表 6 彩色1"/>
    <w:next w:val="927"/>
    <w:link w:val="671"/>
    <w:uiPriority w:val="99"/>
    <w:qFormat/>
    <w:tblPr/>
  </w:style>
  <w:style w:type="table" w:styleId="928">
    <w:name w:val="List Table 6 Colorful - Accent 1"/>
    <w:next w:val="928"/>
    <w:link w:val="671"/>
    <w:uiPriority w:val="99"/>
    <w:qFormat/>
    <w:tblPr/>
  </w:style>
  <w:style w:type="table" w:styleId="929">
    <w:name w:val="List Table 6 Colorful - Accent 2"/>
    <w:next w:val="929"/>
    <w:link w:val="671"/>
    <w:uiPriority w:val="99"/>
    <w:qFormat/>
    <w:tblPr/>
  </w:style>
  <w:style w:type="table" w:styleId="930">
    <w:name w:val="List Table 6 Colorful - Accent 3"/>
    <w:next w:val="930"/>
    <w:link w:val="671"/>
    <w:uiPriority w:val="99"/>
    <w:qFormat/>
    <w:tblPr/>
  </w:style>
  <w:style w:type="table" w:styleId="931">
    <w:name w:val="List Table 6 Colorful - Accent 4"/>
    <w:next w:val="931"/>
    <w:link w:val="671"/>
    <w:uiPriority w:val="99"/>
    <w:qFormat/>
    <w:tblPr/>
  </w:style>
  <w:style w:type="table" w:styleId="932">
    <w:name w:val="List Table 6 Colorful - Accent 5"/>
    <w:next w:val="932"/>
    <w:link w:val="671"/>
    <w:uiPriority w:val="99"/>
    <w:qFormat/>
    <w:tblPr/>
  </w:style>
  <w:style w:type="table" w:styleId="933">
    <w:name w:val="List Table 6 Colorful - Accent 6"/>
    <w:next w:val="933"/>
    <w:link w:val="671"/>
    <w:uiPriority w:val="99"/>
    <w:qFormat/>
    <w:tblPr/>
  </w:style>
  <w:style w:type="table" w:styleId="934">
    <w:name w:val="清单表 7 彩色1"/>
    <w:next w:val="934"/>
    <w:link w:val="671"/>
    <w:uiPriority w:val="99"/>
    <w:qFormat/>
    <w:tblPr/>
  </w:style>
  <w:style w:type="table" w:styleId="935">
    <w:name w:val="List Table 7 Colorful - Accent 1"/>
    <w:next w:val="935"/>
    <w:link w:val="671"/>
    <w:uiPriority w:val="99"/>
    <w:qFormat/>
    <w:tblPr/>
  </w:style>
  <w:style w:type="table" w:styleId="936">
    <w:name w:val="List Table 7 Colorful - Accent 2"/>
    <w:next w:val="936"/>
    <w:link w:val="671"/>
    <w:uiPriority w:val="99"/>
    <w:qFormat/>
    <w:tblPr/>
  </w:style>
  <w:style w:type="table" w:styleId="937">
    <w:name w:val="List Table 7 Colorful - Accent 3"/>
    <w:next w:val="937"/>
    <w:link w:val="671"/>
    <w:uiPriority w:val="99"/>
    <w:qFormat/>
    <w:tblPr/>
  </w:style>
  <w:style w:type="table" w:styleId="938">
    <w:name w:val="List Table 7 Colorful - Accent 4"/>
    <w:next w:val="938"/>
    <w:link w:val="671"/>
    <w:uiPriority w:val="99"/>
    <w:qFormat/>
    <w:tblPr/>
  </w:style>
  <w:style w:type="table" w:styleId="939">
    <w:name w:val="List Table 7 Colorful - Accent 5"/>
    <w:next w:val="939"/>
    <w:link w:val="671"/>
    <w:uiPriority w:val="99"/>
    <w:qFormat/>
    <w:tblPr/>
  </w:style>
  <w:style w:type="table" w:styleId="940">
    <w:name w:val="List Table 7 Colorful - Accent 6"/>
    <w:next w:val="940"/>
    <w:link w:val="671"/>
    <w:uiPriority w:val="99"/>
    <w:qFormat/>
    <w:tblPr/>
  </w:style>
  <w:style w:type="table" w:styleId="941">
    <w:name w:val="Lined - Accent"/>
    <w:next w:val="941"/>
    <w:link w:val="671"/>
    <w:uiPriority w:val="99"/>
    <w:qFormat/>
    <w:rPr>
      <w:color w:val="404040"/>
    </w:rPr>
    <w:tblPr/>
  </w:style>
  <w:style w:type="table" w:styleId="942">
    <w:name w:val="Lined - Accent 1"/>
    <w:next w:val="942"/>
    <w:link w:val="671"/>
    <w:uiPriority w:val="99"/>
    <w:qFormat/>
    <w:rPr>
      <w:color w:val="404040"/>
    </w:rPr>
    <w:tblPr/>
  </w:style>
  <w:style w:type="table" w:styleId="943">
    <w:name w:val="Lined - Accent 2"/>
    <w:next w:val="943"/>
    <w:link w:val="671"/>
    <w:uiPriority w:val="99"/>
    <w:qFormat/>
    <w:rPr>
      <w:color w:val="404040"/>
    </w:rPr>
    <w:tblPr/>
  </w:style>
  <w:style w:type="table" w:styleId="944">
    <w:name w:val="Lined - Accent 3"/>
    <w:next w:val="944"/>
    <w:link w:val="671"/>
    <w:uiPriority w:val="99"/>
    <w:qFormat/>
    <w:rPr>
      <w:color w:val="404040"/>
    </w:rPr>
    <w:tblPr/>
  </w:style>
  <w:style w:type="table" w:styleId="945">
    <w:name w:val="Lined - Accent 4"/>
    <w:next w:val="945"/>
    <w:link w:val="671"/>
    <w:uiPriority w:val="99"/>
    <w:qFormat/>
    <w:rPr>
      <w:color w:val="404040"/>
    </w:rPr>
    <w:tblPr/>
  </w:style>
  <w:style w:type="table" w:styleId="946">
    <w:name w:val="Lined - Accent 5"/>
    <w:next w:val="946"/>
    <w:link w:val="671"/>
    <w:uiPriority w:val="99"/>
    <w:qFormat/>
    <w:rPr>
      <w:color w:val="404040"/>
    </w:rPr>
    <w:tblPr/>
  </w:style>
  <w:style w:type="table" w:styleId="947">
    <w:name w:val="Lined - Accent 6"/>
    <w:next w:val="947"/>
    <w:link w:val="671"/>
    <w:uiPriority w:val="99"/>
    <w:qFormat/>
    <w:rPr>
      <w:color w:val="404040"/>
    </w:rPr>
    <w:tblPr/>
  </w:style>
  <w:style w:type="table" w:styleId="948">
    <w:name w:val="Bordered &amp; Lined - Accent"/>
    <w:next w:val="948"/>
    <w:link w:val="671"/>
    <w:uiPriority w:val="99"/>
    <w:qFormat/>
    <w:rPr>
      <w:color w:val="404040"/>
    </w:rPr>
    <w:tblPr/>
  </w:style>
  <w:style w:type="table" w:styleId="949">
    <w:name w:val="Bordered &amp; Lined - Accent 1"/>
    <w:next w:val="949"/>
    <w:link w:val="671"/>
    <w:uiPriority w:val="99"/>
    <w:qFormat/>
    <w:rPr>
      <w:color w:val="404040"/>
    </w:rPr>
    <w:tblPr/>
  </w:style>
  <w:style w:type="table" w:styleId="950">
    <w:name w:val="Bordered &amp; Lined - Accent 2"/>
    <w:next w:val="950"/>
    <w:link w:val="671"/>
    <w:uiPriority w:val="99"/>
    <w:qFormat/>
    <w:rPr>
      <w:color w:val="404040"/>
    </w:rPr>
    <w:tblPr/>
  </w:style>
  <w:style w:type="table" w:styleId="951">
    <w:name w:val="Bordered &amp; Lined - Accent 3"/>
    <w:next w:val="951"/>
    <w:link w:val="671"/>
    <w:uiPriority w:val="99"/>
    <w:qFormat/>
    <w:rPr>
      <w:color w:val="404040"/>
    </w:rPr>
    <w:tblPr/>
  </w:style>
  <w:style w:type="table" w:styleId="952">
    <w:name w:val="Bordered &amp; Lined - Accent 4"/>
    <w:next w:val="952"/>
    <w:link w:val="671"/>
    <w:uiPriority w:val="99"/>
    <w:qFormat/>
    <w:rPr>
      <w:color w:val="404040"/>
    </w:rPr>
    <w:tblPr/>
  </w:style>
  <w:style w:type="table" w:styleId="953">
    <w:name w:val="Bordered &amp; Lined - Accent 5"/>
    <w:next w:val="953"/>
    <w:link w:val="671"/>
    <w:uiPriority w:val="99"/>
    <w:qFormat/>
    <w:rPr>
      <w:color w:val="404040"/>
    </w:rPr>
    <w:tblPr/>
  </w:style>
  <w:style w:type="table" w:styleId="954">
    <w:name w:val="Bordered &amp; Lined - Accent 6"/>
    <w:next w:val="954"/>
    <w:link w:val="671"/>
    <w:uiPriority w:val="99"/>
    <w:qFormat/>
    <w:rPr>
      <w:color w:val="404040"/>
    </w:rPr>
    <w:tblPr/>
  </w:style>
  <w:style w:type="table" w:styleId="955">
    <w:name w:val="Bordered"/>
    <w:next w:val="955"/>
    <w:link w:val="671"/>
    <w:uiPriority w:val="99"/>
    <w:qFormat/>
    <w:tblPr/>
  </w:style>
  <w:style w:type="table" w:styleId="956">
    <w:name w:val="Bordered - Accent 1"/>
    <w:next w:val="956"/>
    <w:link w:val="671"/>
    <w:uiPriority w:val="99"/>
    <w:qFormat/>
    <w:tblPr/>
  </w:style>
  <w:style w:type="table" w:styleId="957">
    <w:name w:val="Bordered - Accent 2"/>
    <w:next w:val="957"/>
    <w:link w:val="671"/>
    <w:uiPriority w:val="99"/>
    <w:qFormat/>
    <w:tblPr/>
  </w:style>
  <w:style w:type="table" w:styleId="958">
    <w:name w:val="Bordered - Accent 3"/>
    <w:next w:val="958"/>
    <w:link w:val="671"/>
    <w:uiPriority w:val="99"/>
    <w:qFormat/>
    <w:tblPr/>
  </w:style>
  <w:style w:type="table" w:styleId="959">
    <w:name w:val="Bordered - Accent 4"/>
    <w:next w:val="959"/>
    <w:link w:val="671"/>
    <w:uiPriority w:val="99"/>
    <w:qFormat/>
    <w:tblPr/>
  </w:style>
  <w:style w:type="table" w:styleId="960">
    <w:name w:val="Bordered - Accent 5"/>
    <w:next w:val="960"/>
    <w:link w:val="671"/>
    <w:uiPriority w:val="99"/>
    <w:qFormat/>
    <w:tblPr/>
  </w:style>
  <w:style w:type="table" w:styleId="961">
    <w:name w:val="Bordered - Accent 6"/>
    <w:next w:val="961"/>
    <w:link w:val="671"/>
    <w:uiPriority w:val="99"/>
    <w:qFormat/>
    <w:tblPr/>
  </w:style>
  <w:style w:type="paragraph" w:styleId="962">
    <w:name w:val="TOC 标题11"/>
    <w:next w:val="962"/>
    <w:link w:val="671"/>
    <w:uiPriority w:val="39"/>
    <w:unhideWhenUsed/>
    <w:qFormat/>
    <w:rPr>
      <w:rFonts w:ascii="Times New Roman" w:hAnsi="Times New Roman" w:eastAsia="宋体" w:cs="Times New Roman"/>
      <w:lang w:val="en-US" w:eastAsia="zh-CN" w:bidi="ar-SA"/>
    </w:rPr>
  </w:style>
  <w:style w:type="character" w:styleId="963">
    <w:name w:val="批注框文本 Char1"/>
    <w:next w:val="963"/>
    <w:link w:val="671"/>
    <w:uiPriority w:val="99"/>
    <w:semiHidden/>
    <w:qFormat/>
    <w:rPr>
      <w:rFonts w:ascii="Times New Roman" w:hAnsi="Times New Roman" w:eastAsia="宋体" w:cs="Times New Roman"/>
      <w:sz w:val="18"/>
      <w:szCs w:val="18"/>
    </w:rPr>
  </w:style>
  <w:style w:type="character" w:styleId="964">
    <w:name w:val="正文文本 2 Char1"/>
    <w:next w:val="964"/>
    <w:link w:val="671"/>
    <w:uiPriority w:val="99"/>
    <w:semiHidden/>
    <w:qFormat/>
    <w:rPr>
      <w:rFonts w:ascii="Times New Roman" w:hAnsi="Times New Roman" w:eastAsia="宋体" w:cs="Times New Roman"/>
      <w:szCs w:val="20"/>
    </w:rPr>
  </w:style>
  <w:style w:type="character" w:styleId="965">
    <w:name w:val="文档结构图 Char1"/>
    <w:next w:val="965"/>
    <w:link w:val="671"/>
    <w:uiPriority w:val="99"/>
    <w:semiHidden/>
    <w:qFormat/>
    <w:rPr>
      <w:rFonts w:ascii="宋体" w:hAnsi="Times New Roman" w:eastAsia="宋体" w:cs="Times New Roman"/>
      <w:sz w:val="18"/>
      <w:szCs w:val="18"/>
    </w:rPr>
  </w:style>
  <w:style w:type="character" w:styleId="966">
    <w:name w:val="正文文本缩进 Char1"/>
    <w:next w:val="966"/>
    <w:link w:val="671"/>
    <w:uiPriority w:val="99"/>
    <w:semiHidden/>
    <w:qFormat/>
    <w:rPr>
      <w:rFonts w:ascii="Times New Roman" w:hAnsi="Times New Roman" w:eastAsia="宋体" w:cs="Times New Roman"/>
      <w:szCs w:val="20"/>
    </w:rPr>
  </w:style>
  <w:style w:type="character" w:styleId="967">
    <w:name w:val="15"/>
    <w:next w:val="967"/>
    <w:link w:val="671"/>
    <w:qFormat/>
    <w:rPr>
      <w:rFonts w:ascii="Times New Roman" w:hAnsi="Times New Roman" w:cs="Times New Roman"/>
    </w:rPr>
  </w:style>
  <w:style w:type="character" w:styleId="968">
    <w:name w:val="正文文本缩进 2 Char1"/>
    <w:next w:val="968"/>
    <w:link w:val="671"/>
    <w:uiPriority w:val="99"/>
    <w:semiHidden/>
    <w:qFormat/>
    <w:rPr>
      <w:rFonts w:ascii="Times New Roman" w:hAnsi="Times New Roman" w:eastAsia="宋体" w:cs="Times New Roman"/>
      <w:szCs w:val="20"/>
    </w:rPr>
  </w:style>
  <w:style w:type="character" w:styleId="969">
    <w:name w:val="日期 Char1"/>
    <w:next w:val="969"/>
    <w:link w:val="671"/>
    <w:uiPriority w:val="99"/>
    <w:semiHidden/>
    <w:qFormat/>
    <w:rPr>
      <w:rFonts w:ascii="Times New Roman" w:hAnsi="Times New Roman" w:eastAsia="宋体" w:cs="Times New Roman"/>
      <w:szCs w:val="20"/>
    </w:rPr>
  </w:style>
  <w:style w:type="character" w:styleId="970">
    <w:name w:val="正文文本缩进 3 Char1"/>
    <w:next w:val="970"/>
    <w:link w:val="671"/>
    <w:uiPriority w:val="99"/>
    <w:semiHidden/>
    <w:qFormat/>
    <w:rPr>
      <w:rFonts w:ascii="Times New Roman" w:hAnsi="Times New Roman" w:eastAsia="宋体" w:cs="Times New Roman"/>
      <w:sz w:val="16"/>
      <w:szCs w:val="16"/>
    </w:rPr>
  </w:style>
  <w:style w:type="paragraph" w:styleId="971">
    <w:name w:val="List Paragraph"/>
    <w:basedOn w:val="671"/>
    <w:next w:val="971"/>
    <w:link w:val="671"/>
    <w:qFormat/>
    <w:pPr>
      <w:ind w:firstLine="420"/>
    </w:pPr>
    <w:rPr>
      <w:szCs w:val="21"/>
    </w:rPr>
  </w:style>
  <w:style w:type="paragraph" w:styleId="972">
    <w:name w:val="普通文字"/>
    <w:basedOn w:val="671"/>
    <w:next w:val="972"/>
    <w:link w:val="671"/>
    <w:qFormat/>
    <w:rPr>
      <w:rFonts w:ascii="宋体"/>
      <w:sz w:val="24"/>
    </w:rPr>
  </w:style>
  <w:style w:type="paragraph" w:styleId="973">
    <w:name w:val="样式 小四 段前: 5 磅 段后: 5 磅 首行缩进:  2 字符"/>
    <w:basedOn w:val="671"/>
    <w:next w:val="973"/>
    <w:link w:val="671"/>
    <w:qFormat/>
    <w:pPr>
      <w:jc w:val="center"/>
      <w:spacing w:line="360" w:lineRule="auto"/>
    </w:pPr>
    <w:rPr>
      <w:rFonts w:ascii="宋体" w:hAnsi="宋体"/>
      <w:bCs/>
      <w:color w:val="ff0000"/>
      <w:sz w:val="24"/>
      <w:szCs w:val="24"/>
    </w:rPr>
  </w:style>
  <w:style w:type="paragraph" w:styleId="974">
    <w:name w:val="列出段落1"/>
    <w:basedOn w:val="671"/>
    <w:next w:val="974"/>
    <w:link w:val="671"/>
    <w:qFormat/>
    <w:pPr>
      <w:ind w:firstLine="420"/>
    </w:pPr>
    <w:rPr>
      <w:szCs w:val="24"/>
    </w:rPr>
  </w:style>
  <w:style w:type="paragraph" w:styleId="975">
    <w:name w:val="段"/>
    <w:next w:val="975"/>
    <w:link w:val="671"/>
    <w:qFormat/>
    <w:pPr>
      <w:ind w:firstLine="200"/>
      <w:jc w:val="both"/>
    </w:pPr>
    <w:rPr>
      <w:rFonts w:ascii="宋体" w:hAnsi="Times New Roman" w:eastAsia="宋体" w:cs="Times New Roman"/>
      <w:sz w:val="21"/>
      <w:lang w:val="en-US" w:eastAsia="zh-CN" w:bidi="ar-SA"/>
    </w:rPr>
  </w:style>
  <w:style w:type="paragraph" w:styleId="976">
    <w:name w:val="Default"/>
    <w:next w:val="976"/>
    <w:link w:val="671"/>
    <w:qFormat/>
    <w:pPr>
      <w:widowControl w:val="off"/>
    </w:pPr>
    <w:rPr>
      <w:rFonts w:ascii="Times New Roman" w:hAnsi="Times New Roman" w:eastAsia="宋体" w:cs="Times New Roman"/>
      <w:color w:val="000000"/>
      <w:sz w:val="24"/>
      <w:szCs w:val="24"/>
      <w:lang w:val="en-US" w:eastAsia="zh-CN" w:bidi="ar-SA"/>
    </w:rPr>
  </w:style>
  <w:style w:type="paragraph" w:styleId="977">
    <w:name w:val="首行缩进"/>
    <w:next w:val="977"/>
    <w:link w:val="671"/>
    <w:qFormat/>
    <w:pPr>
      <w:ind w:firstLine="480"/>
      <w:jc w:val="both"/>
      <w:widowControl w:val="off"/>
    </w:pPr>
    <w:rPr>
      <w:rFonts w:ascii="Times New Roman" w:hAnsi="Times New Roman" w:eastAsia="宋体" w:cs="Times New Roman"/>
      <w:sz w:val="21"/>
      <w:lang w:val="zh-CN" w:eastAsia="zh-CN" w:bidi="ar-SA"/>
    </w:rPr>
  </w:style>
  <w:style w:type="paragraph" w:styleId="978">
    <w:name w:val="Other|1"/>
    <w:basedOn w:val="671"/>
    <w:next w:val="978"/>
    <w:link w:val="671"/>
    <w:qFormat/>
    <w:pPr>
      <w:ind w:firstLine="220"/>
    </w:pPr>
    <w:rPr>
      <w:rFonts w:ascii="宋体" w:hAnsi="宋体" w:cs="宋体"/>
      <w:sz w:val="20"/>
      <w:lang w:val="zh-TW" w:eastAsia="zh-TW" w:bidi="zh-TW"/>
    </w:rPr>
  </w:style>
  <w:style w:type="character" w:styleId="979">
    <w:name w:val="font11"/>
    <w:next w:val="979"/>
    <w:link w:val="671"/>
    <w:qFormat/>
    <w:rPr>
      <w:rFonts w:hint="eastAsia" w:ascii="宋体" w:hAnsi="宋体" w:eastAsia="宋体" w:cs="宋体"/>
      <w:color w:val="333333"/>
      <w:sz w:val="20"/>
      <w:szCs w:val="20"/>
      <w:u w:val="none"/>
    </w:rPr>
  </w:style>
  <w:style w:type="paragraph" w:styleId="980">
    <w:name w:val="纯文本1"/>
    <w:basedOn w:val="671"/>
    <w:next w:val="980"/>
    <w:link w:val="671"/>
    <w:qFormat/>
    <w:rPr>
      <w:rFonts w:ascii="宋体" w:hAnsi="Courier New" w:eastAsia="楷体_GB2312"/>
      <w:sz w:val="26"/>
    </w:rPr>
  </w:style>
  <w:style w:type="character" w:styleId="981">
    <w:name w:val="font21"/>
    <w:next w:val="981"/>
    <w:link w:val="671"/>
    <w:qFormat/>
    <w:rPr>
      <w:rFonts w:hint="eastAsia" w:ascii="宋体" w:hAnsi="宋体" w:eastAsia="宋体" w:cs="宋体"/>
      <w:color w:val="000000"/>
      <w:sz w:val="20"/>
      <w:szCs w:val="20"/>
      <w:u w:val="none"/>
    </w:rPr>
  </w:style>
  <w:style w:type="character" w:styleId="982">
    <w:name w:val="font01"/>
    <w:next w:val="982"/>
    <w:link w:val="671"/>
    <w:qFormat/>
    <w:rPr>
      <w:rFonts w:ascii="Tahoma" w:hAnsi="Tahoma" w:eastAsia="Tahoma" w:cs="Tahoma"/>
      <w:color w:val="333333"/>
      <w:sz w:val="20"/>
      <w:szCs w:val="20"/>
      <w:u w:val="none"/>
    </w:rPr>
  </w:style>
  <w:style w:type="paragraph" w:styleId="983">
    <w:name w:val="列出段落2"/>
    <w:basedOn w:val="671"/>
    <w:next w:val="983"/>
    <w:link w:val="671"/>
    <w:uiPriority w:val="34"/>
    <w:qFormat/>
    <w:pPr>
      <w:ind w:firstLine="420"/>
    </w:pPr>
  </w:style>
  <w:style w:type="paragraph" w:styleId="984">
    <w:name w:val="正文文本2"/>
    <w:basedOn w:val="671"/>
    <w:next w:val="984"/>
    <w:link w:val="671"/>
    <w:qFormat/>
    <w:rPr>
      <w:rFonts w:ascii="华文中宋" w:eastAsia="华文中宋"/>
      <w:bCs/>
      <w:sz w:val="28"/>
    </w:rPr>
  </w:style>
  <w:style w:type="paragraph" w:styleId="985">
    <w:name w:val="列表项目符号 51"/>
    <w:basedOn w:val="671"/>
    <w:next w:val="985"/>
    <w:link w:val="671"/>
    <w:qFormat/>
    <w:pPr>
      <w:ind w:left="2040" w:hanging="360"/>
      <w:spacing w:line="360" w:lineRule="exact"/>
      <w:widowControl/>
      <w:tabs>
        <w:tab w:val="left" w:pos="2040" w:leader="none"/>
      </w:tabs>
    </w:pPr>
    <w:rPr>
      <w:rFonts w:eastAsia="楷体_GB2312"/>
      <w:sz w:val="24"/>
    </w:rPr>
  </w:style>
  <w:style w:type="paragraph" w:styleId="986">
    <w:name w:val="页脚1"/>
    <w:basedOn w:val="671"/>
    <w:next w:val="986"/>
    <w:link w:val="671"/>
    <w:uiPriority w:val="99"/>
    <w:unhideWhenUsed/>
    <w:qFormat/>
    <w:pPr>
      <w:jc w:val="left"/>
      <w:tabs>
        <w:tab w:val="center" w:pos="4153" w:leader="none"/>
        <w:tab w:val="right" w:pos="8306" w:leader="none"/>
      </w:tabs>
    </w:pPr>
    <w:rPr>
      <w:sz w:val="18"/>
      <w:szCs w:val="18"/>
    </w:rPr>
  </w:style>
  <w:style w:type="paragraph" w:styleId="987">
    <w:name w:val="正文缩进11"/>
    <w:basedOn w:val="671"/>
    <w:next w:val="987"/>
    <w:link w:val="671"/>
    <w:qFormat/>
    <w:pPr>
      <w:ind w:firstLine="420"/>
    </w:pPr>
    <w:rPr>
      <w:szCs w:val="21"/>
    </w:rPr>
  </w:style>
  <w:style w:type="paragraph" w:styleId="988">
    <w:name w:val="列出段落"/>
    <w:basedOn w:val="671"/>
    <w:next w:val="988"/>
    <w:link w:val="671"/>
    <w:uiPriority w:val="34"/>
    <w:qFormat/>
    <w:pPr>
      <w:ind w:firstLine="420"/>
    </w:pPr>
  </w:style>
  <w:style w:type="character" w:styleId="8093" w:default="1">
    <w:name w:val="Default Paragraph Font"/>
    <w:uiPriority w:val="1"/>
    <w:semiHidden/>
    <w:unhideWhenUsed/>
  </w:style>
  <w:style w:type="numbering" w:styleId="8094" w:default="1">
    <w:name w:val="No List"/>
    <w:uiPriority w:val="99"/>
    <w:semiHidden/>
    <w:unhideWhenUsed/>
  </w:style>
  <w:style w:type="table" w:styleId="8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5</cp:revision>
  <dcterms:created xsi:type="dcterms:W3CDTF">2025-01-20T19:44:00Z</dcterms:created>
  <dcterms:modified xsi:type="dcterms:W3CDTF">2026-05-06T04:32:43Z</dcterms:modified>
</cp:coreProperties>
</file>