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1"/>
        <w:jc w:val="both"/>
        <w:spacing w:before="240" w:after="24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rPr>
          <w:color w:val="000000"/>
        </w:rPr>
      </w:r>
      <w:r/>
    </w:p>
    <w:p>
      <w:pPr>
        <w:pStyle w:val="831"/>
        <w:jc w:val="center"/>
        <w:spacing w:before="240" w:after="240" w:line="85" w:lineRule="atLeast"/>
        <w:rPr>
          <w:rFonts w:hint="eastAsia" w:ascii="宋体" w:hAnsi="宋体" w:eastAsia="宋体" w:cs="宋体"/>
          <w:b/>
          <w:color w:val="000000"/>
          <w:sz w:val="4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8"/>
        </w:rPr>
        <w:t xml:space="preserve">仙林校区德经楼高压变电所设备升级改造项目</w:t>
      </w:r>
      <w:r>
        <w:rPr>
          <w:rFonts w:hint="eastAsia" w:ascii="宋体" w:hAnsi="宋体" w:eastAsia="宋体" w:cs="宋体"/>
          <w:b/>
          <w:color w:val="000000"/>
          <w:sz w:val="48"/>
        </w:rPr>
      </w:r>
      <w:r/>
    </w:p>
    <w:p>
      <w:pPr>
        <w:pStyle w:val="831"/>
        <w:jc w:val="center"/>
        <w:spacing w:before="240" w:after="240" w:line="85" w:lineRule="atLeast"/>
        <w:rPr>
          <w:rFonts w:ascii="宋体" w:hAnsi="宋体" w:eastAsia="宋体" w:cs="宋体"/>
          <w:b/>
          <w:color w:val="000000"/>
          <w:sz w:val="4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8"/>
        </w:rPr>
      </w:r>
      <w:r/>
    </w:p>
    <w:p>
      <w:pPr>
        <w:pStyle w:val="831"/>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8"/>
        </w:rPr>
        <w:t xml:space="preserve">招标文件</w:t>
      </w:r>
      <w:r>
        <w:rPr>
          <w:color w:val="000000"/>
        </w:rPr>
      </w:r>
      <w:r/>
    </w:p>
    <w:p>
      <w:pPr>
        <w:pStyle w:val="831"/>
        <w:jc w:val="center"/>
        <w:spacing w:before="9"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w:t>
      </w:r>
      <w:r>
        <w:rPr>
          <w:rFonts w:hint="eastAsia" w:ascii="宋体" w:hAnsi="宋体" w:eastAsia="宋体" w:cs="宋体"/>
          <w:color w:val="000000"/>
          <w:sz w:val="36"/>
        </w:rPr>
        <w:t xml:space="preserve">工程</w:t>
      </w:r>
      <w:r>
        <w:rPr>
          <w:rFonts w:ascii="宋体" w:hAnsi="宋体" w:eastAsia="宋体" w:cs="宋体"/>
          <w:color w:val="000000"/>
          <w:sz w:val="36"/>
        </w:rPr>
        <w:t xml:space="preserve">类）</w:t>
      </w:r>
      <w:r>
        <w:rPr>
          <w:color w:val="000000"/>
        </w:rPr>
      </w:r>
      <w:r/>
    </w:p>
    <w:p>
      <w:pPr>
        <w:pStyle w:val="831"/>
        <w:jc w:val="both"/>
        <w:spacing w:before="240" w:after="240" w:line="85" w:lineRule="atLeast"/>
        <w:rPr>
          <w:rFonts w:ascii="宋体" w:hAnsi="宋体" w:eastAsia="宋体" w:cs="宋体"/>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 </w:t>
      </w:r>
      <w:r>
        <w:rPr>
          <w:color w:val="000000"/>
        </w:rPr>
      </w:r>
      <w:r/>
    </w:p>
    <w:p>
      <w:pPr>
        <w:pStyle w:val="831"/>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招标编号：</w:t>
      </w:r>
      <w:r>
        <w:rPr>
          <w:rFonts w:hint="eastAsia" w:ascii="宋体" w:hAnsi="宋体" w:eastAsia="宋体" w:cs="宋体"/>
          <w:b/>
          <w:color w:val="000000"/>
          <w:sz w:val="36"/>
        </w:rPr>
        <w:t xml:space="preserve">JSZC-320000-NJJC-G2026-0043</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rPr>
          <w:color w:val="000000"/>
        </w:rPr>
      </w:r>
      <w:r/>
    </w:p>
    <w:p>
      <w:pPr>
        <w:pStyle w:val="831"/>
        <w:ind w:left="698" w:firstLine="1285"/>
        <w:jc w:val="both"/>
        <w:spacing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pStyle w:val="831"/>
        <w:ind w:left="698" w:firstLine="1285"/>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rPr>
          <w:color w:val="000000"/>
        </w:rPr>
      </w:r>
      <w:r/>
    </w:p>
    <w:p>
      <w:pPr>
        <w:pStyle w:val="831"/>
        <w:ind w:left="698" w:firstLine="1285"/>
        <w:jc w:val="both"/>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采 购 人：</w:t>
      </w:r>
      <w:r>
        <w:rPr>
          <w:rFonts w:hint="eastAsia" w:ascii="宋体" w:hAnsi="宋体" w:eastAsia="宋体" w:cs="宋体"/>
          <w:b/>
          <w:color w:val="000000"/>
          <w:sz w:val="36"/>
        </w:rPr>
        <w:t xml:space="preserve">南京财经大学</w:t>
      </w:r>
      <w:r>
        <w:rPr>
          <w:rFonts w:hint="eastAsia" w:eastAsia="宋体"/>
          <w:color w:val="000000"/>
        </w:rPr>
      </w:r>
      <w:r/>
    </w:p>
    <w:p>
      <w:pPr>
        <w:pStyle w:val="831"/>
        <w:ind w:left="69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采购代理机构：南京江城工程项目管理有</w:t>
      </w:r>
      <w:r>
        <w:rPr>
          <w:rFonts w:hint="eastAsia" w:ascii="宋体" w:hAnsi="宋体" w:eastAsia="宋体" w:cs="宋体"/>
          <w:b/>
          <w:color w:val="000000"/>
          <w:sz w:val="36"/>
        </w:rPr>
        <w:t xml:space="preserve">限</w:t>
      </w:r>
      <w:r>
        <w:rPr>
          <w:rFonts w:ascii="宋体" w:hAnsi="宋体" w:eastAsia="宋体" w:cs="宋体"/>
          <w:b/>
          <w:color w:val="000000"/>
          <w:sz w:val="36"/>
        </w:rPr>
        <w:t xml:space="preserve">公司</w:t>
      </w:r>
      <w:r>
        <w:rPr>
          <w:color w:val="000000"/>
        </w:rPr>
      </w:r>
      <w:r/>
    </w:p>
    <w:p>
      <w:pPr>
        <w:pStyle w:val="831"/>
        <w:ind w:right="1933" w:firstLine="2049"/>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日期：</w:t>
      </w:r>
      <w:r>
        <w:rPr>
          <w:rFonts w:hint="eastAsia" w:ascii="宋体" w:hAnsi="宋体" w:eastAsia="宋体" w:cs="宋体"/>
          <w:b/>
          <w:color w:val="000000"/>
          <w:sz w:val="36"/>
        </w:rPr>
        <w:t xml:space="preserve">二〇二六</w:t>
      </w:r>
      <w:r>
        <w:rPr>
          <w:rFonts w:ascii="宋体" w:hAnsi="宋体" w:eastAsia="宋体" w:cs="宋体"/>
          <w:b/>
          <w:color w:val="000000"/>
          <w:sz w:val="36"/>
        </w:rPr>
        <w:t xml:space="preserve">年</w:t>
      </w:r>
      <w:r>
        <w:rPr>
          <w:rFonts w:hint="eastAsia" w:ascii="宋体" w:hAnsi="宋体" w:eastAsia="宋体" w:cs="宋体"/>
          <w:b/>
          <w:color w:val="000000"/>
          <w:sz w:val="36"/>
        </w:rPr>
        <w:t xml:space="preserve">五</w:t>
      </w:r>
      <w:r>
        <w:rPr>
          <w:rFonts w:ascii="宋体" w:hAnsi="宋体" w:eastAsia="宋体" w:cs="宋体"/>
          <w:b/>
          <w:color w:val="000000"/>
          <w:sz w:val="36"/>
        </w:rPr>
        <w:t xml:space="preserve">月</w:t>
      </w:r>
      <w:r>
        <w:rPr>
          <w:color w:val="000000"/>
        </w:rPr>
      </w:r>
      <w:r/>
    </w:p>
    <w:p>
      <w:pPr>
        <w:pStyle w:val="831"/>
        <w:ind w:right="1933" w:firstLine="1366"/>
        <w:jc w:val="both"/>
        <w:spacing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831"/>
        <w:ind w:right="1933" w:firstLine="1366"/>
        <w:jc w:val="center"/>
        <w:spacing w:line="85" w:lineRule="atLeast"/>
        <w:rPr>
          <w:rFonts w:hint="eastAsia" w:ascii="宋体" w:hAnsi="宋体" w:eastAsia="宋体" w:cs="宋体"/>
          <w:color w:val="000000"/>
          <w:sz w:val="22"/>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0"/>
          <w:szCs w:val="24"/>
        </w:rPr>
        <w:t xml:space="preserve">目 录</w:t>
      </w:r>
      <w:r>
        <w:rPr>
          <w:rFonts w:hint="eastAsia" w:ascii="宋体" w:hAnsi="宋体" w:eastAsia="宋体" w:cs="宋体"/>
          <w:color w:val="000000"/>
          <w:sz w:val="22"/>
          <w:szCs w:val="24"/>
        </w:rPr>
      </w:r>
      <w:r/>
    </w:p>
    <w:p>
      <w:pPr>
        <w:pStyle w:val="831"/>
        <w:jc w:val="both"/>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31"/>
        <w:jc w:val="both"/>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第一章 招标公告</w:t>
      </w:r>
      <w:r/>
    </w:p>
    <w:p>
      <w:pPr>
        <w:pStyle w:val="831"/>
        <w:jc w:val="both"/>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w:instrText>
      </w:r>
      <w:r>
        <w:rPr>
          <w:rFonts w:hint="eastAsia" w:ascii="宋体" w:hAnsi="宋体" w:eastAsia="宋体" w:cs="宋体"/>
          <w:color w:val="000000"/>
          <w:sz w:val="28"/>
          <w:szCs w:val="28"/>
        </w:rPr>
        <w:instrText xml:space="preserve">http://jszfcg.jsczt.cn/jszc/onlyoffice/7.2.1-34/web-apps/apps/documenteditor/main/index_loader.html?_dc=7.2.1-34&amp;lang=zh&amp;customer=%20&amp;logo=%20&amp;headerlogo=%2Ffavicon.ico&amp;frameEditorId=iframePage&amp;compact=true&amp;parentOrigin=http://jszfcg.jsczt.cn#_Toc30906" \o</w:instrText>
      </w:r>
      <w:r>
        <w:rPr>
          <w:rFonts w:hint="eastAsia" w:ascii="宋体" w:hAnsi="宋体" w:eastAsia="宋体" w:cs="宋体"/>
          <w:color w:val="000000"/>
          <w:sz w:val="28"/>
          <w:szCs w:val="28"/>
        </w:rPr>
        <w:instrText xml:space="preserve"> "http://jszfcg.jsczt.cn/jszc/onlyoffice/7.2.1-34/web-apps/apps/documenteditor/main/index_loader.html?_dc=7.2.1-34&amp;lang=zh&amp;customer=%20&amp;logo=%20&amp;headerlogo=%2Ffavicon.ico&amp;frameEditorId=iframePage&amp;compact=true&amp;parentOrigin=http://jszfcg.jsczt.cn#_Toc30906"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第二章 投标供应商须知</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r>
      <w:r/>
    </w:p>
    <w:p>
      <w:pPr>
        <w:pStyle w:val="831"/>
        <w:jc w:val="both"/>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w:instrText>
      </w:r>
      <w:r>
        <w:rPr>
          <w:rFonts w:hint="eastAsia" w:ascii="宋体" w:hAnsi="宋体" w:eastAsia="宋体" w:cs="宋体"/>
          <w:color w:val="000000"/>
          <w:sz w:val="28"/>
          <w:szCs w:val="28"/>
        </w:rPr>
        <w:instrText xml:space="preserve">http://jszfcg.jsczt.cn/jszc/onlyoffice/7.2.1-34/web-apps/apps/documenteditor/main/index_loader.html?_dc=7.2.1-34&amp;lang=zh&amp;customer=%20&amp;logo=%20&amp;headerlogo=%2Ffavicon.ico&amp;frameEditorId=iframePage&amp;compact=true&amp;parentOrigin=http://jszfcg.jsczt.cn#_Toc15260" \o</w:instrText>
      </w:r>
      <w:r>
        <w:rPr>
          <w:rFonts w:hint="eastAsia" w:ascii="宋体" w:hAnsi="宋体" w:eastAsia="宋体" w:cs="宋体"/>
          <w:color w:val="000000"/>
          <w:sz w:val="28"/>
          <w:szCs w:val="28"/>
        </w:rPr>
        <w:instrText xml:space="preserve"> "http://jszfcg.jsczt.cn/jszc/onlyoffice/7.2.1-34/web-apps/apps/documenteditor/main/index_loader.html?_dc=7.2.1-34&amp;lang=zh&amp;customer=%20&amp;logo=%20&amp;headerlogo=%2Ffavicon.ico&amp;frameEditorId=iframePage&amp;compact=true&amp;parentOrigin=http://jszfcg.jsczt.cn#_Toc15260"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第三章 评标标准</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r>
      <w:r/>
    </w:p>
    <w:p>
      <w:pPr>
        <w:pStyle w:val="831"/>
        <w:jc w:val="both"/>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w:instrText>
      </w:r>
      <w:r>
        <w:rPr>
          <w:rFonts w:hint="eastAsia" w:ascii="宋体" w:hAnsi="宋体" w:eastAsia="宋体" w:cs="宋体"/>
          <w:color w:val="000000"/>
          <w:sz w:val="28"/>
          <w:szCs w:val="28"/>
        </w:rPr>
        <w:instrText xml:space="preserve">http://jszfcg.jsczt.cn/jszc/onlyoffice/7.2.1-34/web-apps/apps/documenteditor/main/index_loader.html?_dc=7.2.1-34&amp;lang=zh&amp;customer=%20&amp;logo=%20&amp;headerlogo=%2Ffavicon.ico&amp;frameEditorId=iframePage&amp;compact=true&amp;parentOrigin=http://jszfcg.jsczt.cn#_Toc27725" \o</w:instrText>
      </w:r>
      <w:r>
        <w:rPr>
          <w:rFonts w:hint="eastAsia" w:ascii="宋体" w:hAnsi="宋体" w:eastAsia="宋体" w:cs="宋体"/>
          <w:color w:val="000000"/>
          <w:sz w:val="28"/>
          <w:szCs w:val="28"/>
        </w:rPr>
        <w:instrText xml:space="preserve"> "http://jszfcg.jsczt.cn/jszc/onlyoffice/7.2.1-34/web-apps/apps/documenteditor/main/index_loader.html?_dc=7.2.1-34&amp;lang=zh&amp;customer=%20&amp;logo=%20&amp;headerlogo=%2Ffavicon.ico&amp;frameEditorId=iframePage&amp;compact=true&amp;parentOrigin=http://jszfcg.jsczt.cn#_Toc27725"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第四章 招标项目的技术规格、要求和数量等</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r>
      <w:r/>
    </w:p>
    <w:p>
      <w:pPr>
        <w:pStyle w:val="831"/>
        <w:jc w:val="both"/>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w:instrText>
      </w:r>
      <w:r>
        <w:rPr>
          <w:rFonts w:hint="eastAsia" w:ascii="宋体" w:hAnsi="宋体" w:eastAsia="宋体" w:cs="宋体"/>
          <w:color w:val="000000"/>
          <w:sz w:val="28"/>
          <w:szCs w:val="28"/>
        </w:rPr>
        <w:instrText xml:space="preserve"> "http://jszfcg.jsczt.cn/jszc/onlyoffice/7.2.1-34/web-apps/apps/documenteditor/main/index_loader.html?_dc=7.2.1-34&amp;lang=zh&amp;customer=%20&amp;logo=%20&amp;headerlogo=%2Ffavicon.ico&amp;frameEditorId=iframePage&amp;compact=true&amp;parentOrigin=http://jszfcg.jsczt.cn#_Toc2047" \</w:instrText>
      </w:r>
      <w:r>
        <w:rPr>
          <w:rFonts w:hint="eastAsia" w:ascii="宋体" w:hAnsi="宋体" w:eastAsia="宋体" w:cs="宋体"/>
          <w:color w:val="000000"/>
          <w:sz w:val="28"/>
          <w:szCs w:val="28"/>
        </w:rPr>
        <w:instrText xml:space="preserve">o "http://jszfcg.jsczt.cn/jszc/onlyoffice/7.2.1-34/web-apps/apps/documenteditor/main/index_loader.html?_dc=7.2.1-34&amp;lang=zh&amp;customer=%20&amp;logo=%20&amp;headerlogo=%2Ffavicon.ico&amp;frameEditorId=iframePage&amp;compact=true&amp;parentOrigin=http://jszfcg.jsczt.cn#_Toc2047"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第五章 合同草案条款及格式</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r>
      <w:r/>
    </w:p>
    <w:p>
      <w:pPr>
        <w:pStyle w:val="831"/>
        <w:jc w:val="both"/>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w:instrText>
      </w:r>
      <w:r>
        <w:rPr>
          <w:rFonts w:hint="eastAsia" w:ascii="宋体" w:hAnsi="宋体" w:eastAsia="宋体" w:cs="宋体"/>
          <w:color w:val="000000"/>
          <w:sz w:val="28"/>
          <w:szCs w:val="28"/>
        </w:rPr>
        <w:instrText xml:space="preserve">http://jszfcg.jsczt.cn/jszc/onlyoffice/7.2.1-34/web-apps/apps/documenteditor/main/index_loader.html?_dc=7.2.1-34&amp;lang=zh&amp;customer=%20&amp;logo=%20&amp;headerlogo=%2Ffavicon.ico&amp;frameEditorId=iframePage&amp;compact=true&amp;parentOrigin=http://jszfcg.jsczt.cn#_Toc10922" \o</w:instrText>
      </w:r>
      <w:r>
        <w:rPr>
          <w:rFonts w:hint="eastAsia" w:ascii="宋体" w:hAnsi="宋体" w:eastAsia="宋体" w:cs="宋体"/>
          <w:color w:val="000000"/>
          <w:sz w:val="28"/>
          <w:szCs w:val="28"/>
        </w:rPr>
        <w:instrText xml:space="preserve"> "http://jszfcg.jsczt.cn/jszc/onlyoffice/7.2.1-34/web-apps/apps/documenteditor/main/index_loader.html?_dc=7.2.1-34&amp;lang=zh&amp;customer=%20&amp;logo=%20&amp;headerlogo=%2Ffavicon.ico&amp;frameEditorId=iframePage&amp;compact=true&amp;parentOrigin=http://jszfcg.jsczt.cn#_Toc10922"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第六章 投标文件格式</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r>
      <w:r/>
    </w:p>
    <w:p>
      <w:pPr>
        <w:pStyle w:val="831"/>
        <w:jc w:val="both"/>
        <w:spacing w:line="85" w:lineRule="atLeast"/>
        <w:rPr>
          <w:rFonts w:hint="eastAsia" w:ascii="宋体" w:hAnsi="宋体" w:eastAsia="宋体" w:cs="宋体"/>
          <w:b/>
          <w:color w:val="000000"/>
          <w:sz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720" w:equalWidth="1"/>
          <w:docGrid w:linePitch="360"/>
        </w:sectPr>
      </w:pPr>
      <w:r>
        <w:rPr>
          <w:rFonts w:hint="eastAsia" w:ascii="宋体" w:hAnsi="宋体" w:eastAsia="宋体" w:cs="宋体"/>
          <w:b/>
          <w:color w:val="000000"/>
          <w:sz w:val="32"/>
        </w:rPr>
        <w:t xml:space="preserve">  </w:t>
      </w:r>
      <w:r/>
    </w:p>
    <w:p>
      <w:pPr>
        <w:pStyle w:val="831"/>
        <w:jc w:val="center"/>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第一章 招标公告</w:t>
      </w:r>
      <w:r>
        <w:rPr>
          <w:color w:val="000000"/>
        </w:rPr>
      </w:r>
      <w:r/>
    </w:p>
    <w:p>
      <w:pPr>
        <w:pStyle w:val="831"/>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u w:val="single"/>
        </w:rPr>
        <w:t xml:space="preserve">仙林校区德经楼高压变电所设备升级改造项目</w:t>
      </w:r>
      <w:r>
        <w:rPr>
          <w:rFonts w:hint="eastAsia" w:ascii="宋体" w:hAnsi="宋体" w:eastAsia="宋体" w:cs="宋体"/>
          <w:color w:val="000000"/>
          <w:szCs w:val="21"/>
        </w:rPr>
        <w:t xml:space="preserve">项目的潜在供应商应在</w:t>
      </w:r>
      <w:r>
        <w:rPr>
          <w:rFonts w:hint="eastAsia" w:ascii="宋体" w:hAnsi="宋体" w:eastAsia="宋体" w:cs="宋体"/>
          <w:color w:val="000000"/>
          <w:szCs w:val="21"/>
          <w:u w:val="single"/>
        </w:rPr>
        <w:t xml:space="preserve">“苏采云”系统内免费下载</w:t>
      </w:r>
      <w:r>
        <w:rPr>
          <w:rFonts w:hint="eastAsia" w:ascii="宋体" w:hAnsi="宋体" w:eastAsia="宋体" w:cs="宋体"/>
          <w:color w:val="000000"/>
          <w:szCs w:val="21"/>
        </w:rPr>
        <w:t xml:space="preserve">招标文件，并于</w:t>
      </w:r>
      <w:r>
        <w:rPr>
          <w:rFonts w:hint="eastAsia" w:ascii="宋体" w:hAnsi="宋体" w:eastAsia="宋体" w:cs="宋体"/>
          <w:color w:val="000000"/>
          <w:szCs w:val="21"/>
          <w:u w:val="single"/>
        </w:rPr>
        <w:t xml:space="preserve"> 2026年</w:t>
      </w:r>
      <w:r>
        <w:rPr>
          <w:rFonts w:ascii="宋体" w:hAnsi="宋体" w:eastAsia="宋体" w:cs="宋体"/>
          <w:color w:val="000000"/>
          <w:szCs w:val="21"/>
          <w:u w:val="single"/>
        </w:rPr>
        <w:t xml:space="preserve">6</w:t>
      </w:r>
      <w:r>
        <w:rPr>
          <w:rFonts w:hint="eastAsia" w:ascii="宋体" w:hAnsi="宋体" w:eastAsia="宋体" w:cs="宋体"/>
          <w:color w:val="000000"/>
          <w:szCs w:val="21"/>
          <w:u w:val="single"/>
        </w:rPr>
        <w:t xml:space="preserve">月</w:t>
      </w:r>
      <w:r>
        <w:rPr>
          <w:rFonts w:ascii="宋体" w:hAnsi="宋体" w:eastAsia="宋体" w:cs="宋体"/>
          <w:color w:val="000000"/>
          <w:szCs w:val="21"/>
          <w:u w:val="single"/>
        </w:rPr>
        <w:t xml:space="preserve">12</w:t>
      </w:r>
      <w:r>
        <w:rPr>
          <w:rFonts w:hint="eastAsia" w:ascii="宋体" w:hAnsi="宋体" w:eastAsia="宋体" w:cs="宋体"/>
          <w:color w:val="000000"/>
          <w:szCs w:val="21"/>
          <w:u w:val="single"/>
        </w:rPr>
        <w:t xml:space="preserve">日</w:t>
      </w:r>
      <w:r>
        <w:rPr>
          <w:rFonts w:ascii="宋体" w:hAnsi="宋体" w:eastAsia="宋体" w:cs="宋体"/>
          <w:color w:val="000000"/>
          <w:szCs w:val="21"/>
          <w:u w:val="single"/>
        </w:rPr>
        <w:t xml:space="preserve">14</w:t>
      </w:r>
      <w:r>
        <w:rPr>
          <w:rFonts w:hint="eastAsia" w:ascii="宋体" w:hAnsi="宋体" w:eastAsia="宋体" w:cs="宋体"/>
          <w:color w:val="000000"/>
          <w:szCs w:val="21"/>
          <w:u w:val="single"/>
        </w:rPr>
        <w:t xml:space="preserve">点</w:t>
      </w:r>
      <w:r>
        <w:rPr>
          <w:rFonts w:ascii="宋体" w:hAnsi="宋体" w:eastAsia="宋体" w:cs="宋体"/>
          <w:color w:val="000000"/>
          <w:szCs w:val="21"/>
          <w:u w:val="single"/>
        </w:rPr>
        <w:t xml:space="preserve">30</w:t>
      </w:r>
      <w:r>
        <w:rPr>
          <w:rFonts w:hint="eastAsia" w:ascii="宋体" w:hAnsi="宋体" w:eastAsia="宋体" w:cs="宋体"/>
          <w:color w:val="000000"/>
          <w:szCs w:val="21"/>
          <w:u w:val="single"/>
        </w:rPr>
        <w:t xml:space="preserve">分</w:t>
      </w:r>
      <w:r>
        <w:rPr>
          <w:rFonts w:hint="eastAsia" w:ascii="宋体" w:hAnsi="宋体" w:eastAsia="宋体" w:cs="宋体"/>
          <w:color w:val="000000"/>
          <w:szCs w:val="21"/>
        </w:rPr>
        <w:t xml:space="preserve">（北京时间）前递交投标文件。</w:t>
      </w:r>
      <w:r/>
    </w:p>
    <w:p>
      <w:pPr>
        <w:pStyle w:val="831"/>
        <w:jc w:val="both"/>
        <w:spacing w:line="360" w:lineRule="auto"/>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一、项目基本情况</w:t>
      </w:r>
      <w:r/>
    </w:p>
    <w:p>
      <w:pPr>
        <w:pStyle w:val="831"/>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1.1项目编号：</w:t>
      </w:r>
      <w:r>
        <w:rPr>
          <w:rFonts w:hint="eastAsia" w:ascii="宋体" w:hAnsi="宋体" w:eastAsia="宋体" w:cs="宋体"/>
          <w:color w:val="000000"/>
          <w:szCs w:val="21"/>
        </w:rPr>
        <w:t xml:space="preserve">JSZC-320000-NJJC-G2026-0043</w:t>
      </w:r>
      <w:r>
        <w:rPr>
          <w:rFonts w:hint="eastAsia" w:ascii="宋体" w:hAnsi="宋体" w:eastAsia="宋体" w:cs="宋体"/>
          <w:color w:val="000000"/>
          <w:szCs w:val="21"/>
        </w:rPr>
      </w:r>
      <w:r/>
    </w:p>
    <w:p>
      <w:pPr>
        <w:pStyle w:val="831"/>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1.2项目名称：</w:t>
      </w:r>
      <w:r>
        <w:rPr>
          <w:rFonts w:hint="eastAsia" w:ascii="宋体" w:hAnsi="宋体" w:eastAsia="宋体" w:cs="宋体"/>
          <w:color w:val="000000"/>
          <w:szCs w:val="21"/>
        </w:rPr>
        <w:t xml:space="preserve">仙林校区德经楼高压变电所设备升级改造项目</w:t>
      </w:r>
      <w:r>
        <w:rPr>
          <w:rFonts w:hint="eastAsia" w:ascii="宋体" w:hAnsi="宋体" w:eastAsia="宋体" w:cs="宋体"/>
          <w:color w:val="000000"/>
          <w:szCs w:val="21"/>
        </w:rPr>
      </w:r>
      <w:r/>
    </w:p>
    <w:p>
      <w:pPr>
        <w:pStyle w:val="831"/>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1.3采购方式：公开招标 </w:t>
      </w:r>
      <w:r/>
    </w:p>
    <w:p>
      <w:pPr>
        <w:pStyle w:val="831"/>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1.4预算金额：390万元 </w:t>
      </w:r>
      <w:r/>
    </w:p>
    <w:p>
      <w:pPr>
        <w:pStyle w:val="831"/>
        <w:ind w:firstLine="480"/>
        <w:jc w:val="both"/>
        <w:spacing w:line="360" w:lineRule="auto"/>
        <w:rPr>
          <w:rFonts w:hint="eastAsia" w:ascii="宋体" w:hAnsi="宋体" w:eastAsia="宋体" w:cs="宋体"/>
          <w:color w:val="000000"/>
          <w:szCs w:val="21"/>
          <w:highlight w:val="red"/>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1.5最高限价：389.44135万元，投标报价超过最高限价的为无效投标</w:t>
      </w:r>
      <w:r>
        <w:rPr>
          <w:rFonts w:hint="eastAsia" w:ascii="宋体" w:hAnsi="宋体" w:eastAsia="宋体" w:cs="宋体"/>
          <w:color w:val="000000"/>
          <w:szCs w:val="21"/>
          <w:highlight w:val="red"/>
        </w:rPr>
      </w:r>
      <w:r/>
    </w:p>
    <w:p>
      <w:pPr>
        <w:pStyle w:val="831"/>
        <w:ind w:firstLine="480"/>
        <w:jc w:val="both"/>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1.6采购</w:t>
      </w:r>
      <w:r>
        <w:rPr>
          <w:rFonts w:hint="eastAsia" w:ascii="宋体" w:hAnsi="宋体" w:eastAsia="宋体" w:cs="宋体"/>
          <w:color w:val="000000"/>
          <w:szCs w:val="21"/>
        </w:rPr>
        <w:t xml:space="preserve">需求：南京财经大学仙林校区德经楼变电所内置2台1000kVA变压器，配电房10kV采用单母线分段接线方式，高压不设联络；0.4kV采用单母线分段接线方式，低压联络。供电电源分别引自德正楼变电所内高压柜05N和06N。本次项目内容包括改造德经楼变电所内所有高低压设备；新上智能管理单元，接入中心开闭所电力监控系统；新上无线测温传感器及通讯附件，低压柜仪表具备电度计量功能和通讯，数据上传至智能管理单元及中心开闭所电力监控系统；新上配电房智慧巡检系统；更换模拟图板、风筒风机、电缆沟盖板、绝缘垫等。具体详见工程量清单</w:t>
      </w:r>
      <w:r>
        <w:rPr>
          <w:rFonts w:hint="eastAsia" w:ascii="宋体" w:hAnsi="宋体" w:eastAsia="宋体" w:cs="宋体"/>
          <w:color w:val="000000"/>
          <w:szCs w:val="21"/>
        </w:rPr>
        <w:t xml:space="preserve">及图纸</w:t>
      </w:r>
      <w:r>
        <w:rPr>
          <w:rFonts w:hint="eastAsia" w:ascii="宋体" w:hAnsi="宋体" w:eastAsia="宋体" w:cs="宋体"/>
          <w:color w:val="000000"/>
          <w:szCs w:val="21"/>
        </w:rPr>
        <w:t xml:space="preserve">。</w:t>
      </w:r>
      <w:r>
        <w:rPr>
          <w:rFonts w:ascii="宋体" w:hAnsi="宋体" w:eastAsia="宋体" w:cs="宋体"/>
          <w:color w:val="000000"/>
          <w:szCs w:val="21"/>
        </w:rPr>
      </w:r>
      <w:r/>
    </w:p>
    <w:p>
      <w:pPr>
        <w:pStyle w:val="831"/>
        <w:ind w:firstLine="480"/>
        <w:jc w:val="both"/>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1.7合同履行期限：本项目工期40个日历日，中标人可在2026年7月11日后进场施工，工期内完成全部改造项目并送电，保证正常使用。</w:t>
      </w:r>
      <w:r>
        <w:rPr>
          <w:rFonts w:ascii="宋体" w:hAnsi="宋体" w:eastAsia="宋体" w:cs="宋体"/>
          <w:color w:val="000000"/>
          <w:szCs w:val="21"/>
        </w:rPr>
      </w:r>
      <w:r/>
    </w:p>
    <w:p>
      <w:pPr>
        <w:pStyle w:val="831"/>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1.8本项目不接受联合体投标</w:t>
      </w:r>
      <w:r/>
    </w:p>
    <w:p>
      <w:pPr>
        <w:pStyle w:val="831"/>
        <w:jc w:val="both"/>
        <w:spacing w:line="360" w:lineRule="auto"/>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二、申请人的资格要求</w:t>
      </w:r>
      <w:r/>
    </w:p>
    <w:p>
      <w:pPr>
        <w:pStyle w:val="831"/>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2.1满足《中华人民共和国政府采购法》第二十二条规定：</w:t>
      </w:r>
      <w:r/>
    </w:p>
    <w:p>
      <w:pPr>
        <w:pStyle w:val="831"/>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（1）具有独立承担民事责任的能力（提供法人或者其他组织的营业执照，自然人的身份证明扫描件并上传至投标文件中）；</w:t>
      </w:r>
      <w:r/>
    </w:p>
    <w:p>
      <w:pPr>
        <w:pStyle w:val="831"/>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（2）具有良好的商业信誉和健全的财务会计制度（提供经审计的2024或2025年度财务报告</w:t>
      </w:r>
      <w:r>
        <w:rPr>
          <w:rFonts w:hint="eastAsia" w:ascii="宋体" w:hAnsi="宋体" w:eastAsia="宋体" w:cs="宋体"/>
          <w:color w:val="000000"/>
          <w:szCs w:val="21"/>
        </w:rPr>
        <w:t xml:space="preserve">扫描件</w:t>
      </w:r>
      <w:r>
        <w:rPr>
          <w:rFonts w:hint="eastAsia" w:ascii="宋体" w:hAnsi="宋体" w:eastAsia="宋体" w:cs="宋体"/>
          <w:color w:val="000000"/>
          <w:szCs w:val="21"/>
        </w:rPr>
        <w:t xml:space="preserve">加盖公章，或提供投标截止时间前6个月内</w:t>
      </w:r>
      <w:bookmarkStart w:id="0" w:name="_Hlk212586715"/>
      <w:r>
        <w:rPr>
          <w:rFonts w:hint="eastAsia" w:ascii="宋体" w:hAnsi="宋体" w:eastAsia="宋体" w:cs="宋体"/>
          <w:color w:val="000000"/>
          <w:szCs w:val="21"/>
        </w:rPr>
        <w:t xml:space="preserve">（即2025年11月以来</w:t>
      </w:r>
      <w:bookmarkEnd w:id="0"/>
      <w:r>
        <w:rPr>
          <w:rFonts w:hint="eastAsia" w:ascii="宋体" w:hAnsi="宋体" w:eastAsia="宋体" w:cs="宋体"/>
          <w:color w:val="000000"/>
          <w:szCs w:val="21"/>
        </w:rPr>
        <w:t xml:space="preserve">）任意一个月的财务报表（至少包含利润表和资产负债表）扫描件，</w:t>
      </w:r>
      <w:r>
        <w:rPr>
          <w:rFonts w:hint="eastAsia" w:ascii="宋体" w:hAnsi="宋体" w:eastAsia="宋体" w:cs="宋体"/>
          <w:color w:val="000000"/>
          <w:szCs w:val="21"/>
          <w:lang w:val="zh-TW"/>
        </w:rPr>
        <w:t xml:space="preserve">或银行出具的投标截止时间前6个月</w:t>
      </w:r>
      <w:r>
        <w:rPr>
          <w:rFonts w:hint="eastAsia" w:ascii="宋体" w:hAnsi="宋体" w:eastAsia="宋体" w:cs="宋体"/>
          <w:color w:val="000000"/>
          <w:szCs w:val="21"/>
        </w:rPr>
        <w:t xml:space="preserve">（即</w:t>
      </w:r>
      <w:r>
        <w:rPr>
          <w:rFonts w:ascii="宋体" w:hAnsi="宋体" w:eastAsia="宋体" w:cs="宋体"/>
          <w:color w:val="000000"/>
          <w:szCs w:val="21"/>
        </w:rPr>
        <w:t xml:space="preserve">2025</w:t>
      </w:r>
      <w:r>
        <w:rPr>
          <w:rFonts w:hint="eastAsia" w:ascii="宋体" w:hAnsi="宋体" w:eastAsia="宋体" w:cs="宋体"/>
          <w:color w:val="000000"/>
          <w:szCs w:val="21"/>
        </w:rPr>
        <w:t xml:space="preserve">年11月以来）</w:t>
      </w:r>
      <w:r>
        <w:rPr>
          <w:rFonts w:hint="eastAsia" w:ascii="宋体" w:hAnsi="宋体" w:eastAsia="宋体" w:cs="宋体"/>
          <w:color w:val="000000"/>
          <w:szCs w:val="21"/>
          <w:lang w:val="zh-TW"/>
        </w:rPr>
        <w:t xml:space="preserve">内资信证书</w:t>
      </w:r>
      <w:r>
        <w:rPr>
          <w:rFonts w:hint="eastAsia" w:ascii="宋体" w:hAnsi="宋体" w:eastAsia="宋体" w:cs="宋体"/>
          <w:color w:val="000000"/>
          <w:szCs w:val="21"/>
        </w:rPr>
        <w:t xml:space="preserve">扫描件</w:t>
      </w:r>
      <w:r>
        <w:rPr>
          <w:rFonts w:hint="eastAsia" w:ascii="宋体" w:hAnsi="宋体" w:eastAsia="宋体" w:cs="宋体"/>
          <w:color w:val="000000"/>
          <w:szCs w:val="21"/>
          <w:lang w:val="zh-TW"/>
        </w:rPr>
        <w:t xml:space="preserve">，</w:t>
      </w:r>
      <w:r>
        <w:rPr>
          <w:rFonts w:hint="eastAsia" w:ascii="宋体" w:hAnsi="宋体" w:eastAsia="宋体" w:cs="宋体"/>
          <w:color w:val="000000"/>
          <w:szCs w:val="21"/>
        </w:rPr>
        <w:t xml:space="preserve">或财政部门认可的政府采购专业担保机构出具的投标担保函扫描件上传至电子投标文件中）；</w:t>
      </w:r>
      <w:r/>
    </w:p>
    <w:p>
      <w:pPr>
        <w:pStyle w:val="831"/>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（3）具有履行合同所必需的设备和专业技术能力（根据项目需求提供履行合同所必需的设备和专业技术能力的证明材料并加盖公章的承诺书原件扫描件上传至电子投标文件）；</w:t>
      </w:r>
      <w:r/>
    </w:p>
    <w:p>
      <w:pPr>
        <w:pStyle w:val="831"/>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（4）有依法缴纳税收和社会保障资金的良好记录（提供参加本次政府采购活动前半年内（即</w:t>
      </w:r>
      <w:r>
        <w:rPr>
          <w:rFonts w:ascii="宋体" w:hAnsi="宋体" w:eastAsia="宋体" w:cs="宋体"/>
          <w:color w:val="000000"/>
          <w:szCs w:val="21"/>
        </w:rPr>
        <w:t xml:space="preserve">2025</w:t>
      </w:r>
      <w:r>
        <w:rPr>
          <w:rFonts w:hint="eastAsia" w:ascii="宋体" w:hAnsi="宋体" w:eastAsia="宋体" w:cs="宋体"/>
          <w:color w:val="000000"/>
          <w:szCs w:val="21"/>
        </w:rPr>
        <w:t xml:space="preserve">年11月以来），至少1个月缴纳税收和社会保险的凭证扫描件，依法享受免缴、缓缴的，提供证明材料扫描件上传至电子投标文件中）；</w:t>
      </w:r>
      <w:r/>
    </w:p>
    <w:p>
      <w:pPr>
        <w:pStyle w:val="831"/>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（5）参加政府采购活动前三年内，在经营活动中没有重大违法记录（提供参加本次政府采购活动前3年内在经营活动中没有重大违法记录的书面声明上传至电子投标文件中）（格式见后附件）；</w:t>
      </w:r>
      <w:r/>
    </w:p>
    <w:p>
      <w:pPr>
        <w:pStyle w:val="831"/>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（6）法律、行政法规规定的其他条件。</w:t>
      </w:r>
      <w:r/>
    </w:p>
    <w:p>
      <w:pPr>
        <w:pStyle w:val="831"/>
        <w:ind w:firstLine="480"/>
        <w:jc w:val="both"/>
        <w:spacing w:line="360" w:lineRule="auto"/>
        <w:rPr>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2.2落实政府采购政策需要满足的资格条件：</w:t>
      </w:r>
      <w:r>
        <w:rPr>
          <w:rFonts w:hint="eastAsia" w:ascii="宋体" w:hAnsi="宋体" w:eastAsia="宋体" w:cs="宋体"/>
          <w:color w:val="000000"/>
          <w:szCs w:val="21"/>
        </w:rPr>
        <w:t xml:space="preserve">本项目非专门面向中小企业采购，执行价格优惠政策。</w:t>
      </w:r>
      <w:r>
        <w:rPr>
          <w:color w:val="000000"/>
          <w:szCs w:val="21"/>
        </w:rPr>
      </w:r>
      <w:r/>
    </w:p>
    <w:p>
      <w:pPr>
        <w:pStyle w:val="831"/>
        <w:ind w:firstLine="480"/>
        <w:jc w:val="both"/>
        <w:spacing w:line="360" w:lineRule="auto"/>
        <w:rPr>
          <w:rFonts w:hint="eastAsia" w:ascii="宋体" w:hAnsi="宋体" w:eastAsia="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Cs w:val="21"/>
        </w:rPr>
        <w:t xml:space="preserve">2.3采购人根据项目的特殊要求规定的特定条件：</w:t>
      </w:r>
      <w:r/>
    </w:p>
    <w:p>
      <w:pPr>
        <w:pStyle w:val="831"/>
        <w:ind w:firstLine="480"/>
        <w:jc w:val="both"/>
        <w:spacing w:line="360" w:lineRule="auto"/>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t xml:space="preserve">（1）具备施工总承包电力工程三级(含)以上或者专业承包输变电工程三级(含)以上并且具备有效的安全生产许可证。（</w:t>
      </w:r>
      <w:r>
        <w:rPr>
          <w:rFonts w:hint="eastAsia" w:ascii="宋体" w:hAnsi="宋体" w:eastAsia="宋体" w:cs="宋体"/>
          <w:b/>
          <w:color w:val="000000"/>
          <w:szCs w:val="21"/>
        </w:rPr>
        <w:t xml:space="preserve">有效期内的证书扫描件上传至电子投标文件中</w:t>
      </w:r>
      <w:r>
        <w:rPr>
          <w:rFonts w:hint="eastAsia" w:ascii="宋体" w:hAnsi="宋体" w:eastAsia="宋体" w:cs="宋体"/>
          <w:b/>
          <w:color w:val="000000"/>
          <w:szCs w:val="21"/>
        </w:rPr>
        <w:t xml:space="preserve">）</w:t>
      </w:r>
      <w:r/>
    </w:p>
    <w:p>
      <w:pPr>
        <w:pStyle w:val="831"/>
        <w:ind w:firstLine="480"/>
        <w:jc w:val="both"/>
        <w:spacing w:line="360" w:lineRule="auto"/>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t xml:space="preserve">（2）项目负责人资格：具备注册建造师证机电工程二级(含)以上并且具备有效的安全生产考核合格证书（B类证）（</w:t>
      </w:r>
      <w:r>
        <w:rPr>
          <w:rFonts w:hint="eastAsia" w:ascii="宋体" w:hAnsi="宋体" w:eastAsia="宋体" w:cs="宋体"/>
          <w:b/>
          <w:color w:val="000000"/>
          <w:szCs w:val="21"/>
        </w:rPr>
        <w:t xml:space="preserve">有效期内的证书扫描件上传至电子投标文件中</w:t>
      </w:r>
      <w:r>
        <w:rPr>
          <w:rFonts w:hint="eastAsia" w:ascii="宋体" w:hAnsi="宋体" w:eastAsia="宋体" w:cs="宋体"/>
          <w:b/>
          <w:color w:val="000000"/>
          <w:szCs w:val="21"/>
        </w:rPr>
        <w:t xml:space="preserve">）</w:t>
      </w:r>
      <w:r/>
    </w:p>
    <w:p>
      <w:pPr>
        <w:pStyle w:val="831"/>
        <w:ind w:firstLine="480"/>
        <w:jc w:val="both"/>
        <w:spacing w:line="360" w:lineRule="auto"/>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t xml:space="preserve">（3）投标人必须具有国家电力监管部门颁发的承装（修、试）电力设施许可证，许可类别和等级：承装（修、试）类三级（含）及以上资质（</w:t>
      </w:r>
      <w:r>
        <w:rPr>
          <w:rFonts w:hint="eastAsia" w:ascii="宋体" w:hAnsi="宋体" w:eastAsia="宋体" w:cs="宋体"/>
          <w:b/>
          <w:color w:val="000000"/>
          <w:szCs w:val="21"/>
        </w:rPr>
        <w:t xml:space="preserve">投标人将证书扫描件上传至投标文件中，否则视为资格审查不通过</w:t>
      </w:r>
      <w:r>
        <w:rPr>
          <w:rFonts w:hint="eastAsia" w:ascii="宋体" w:hAnsi="宋体" w:eastAsia="宋体" w:cs="宋体"/>
          <w:b/>
          <w:color w:val="000000"/>
          <w:szCs w:val="21"/>
        </w:rPr>
        <w:t xml:space="preserve">）。</w:t>
      </w:r>
      <w:r/>
    </w:p>
    <w:p>
      <w:pPr>
        <w:pStyle w:val="831"/>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2.4拒绝下述供应商参加本次招标活动：</w:t>
      </w:r>
      <w:r/>
    </w:p>
    <w:p>
      <w:pPr>
        <w:pStyle w:val="831"/>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（1）供应商单位负责人为同一人或者存在直接控股、管理关系的不同供应商，不得参加同一合同项下的政府采购活动。</w:t>
      </w:r>
      <w:r/>
    </w:p>
    <w:p>
      <w:pPr>
        <w:pStyle w:val="831"/>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（2）凡为采购项目提供整体设计、规范编制或者项目管理、监理、检测等服务的供应商，不得再参加本项目的采购活动。</w:t>
      </w:r>
      <w:r/>
    </w:p>
    <w:p>
      <w:pPr>
        <w:pStyle w:val="831"/>
        <w:ind w:firstLine="480"/>
        <w:jc w:val="both"/>
        <w:spacing w:line="360" w:lineRule="auto"/>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（3）供应商被“信用中国”网站（www.creditchina.gov.cn）、“中国政府采购网”（www.ccgp.gov.cn） 列入失信被执行人、重大税收违法失信主体名单、政府采购严重违法失信行为记录名单。</w:t>
      </w:r>
      <w:r>
        <w:rPr>
          <w:rFonts w:hint="eastAsia" w:eastAsia="宋体"/>
          <w:color w:val="000000"/>
        </w:rPr>
      </w:r>
      <w:r/>
    </w:p>
    <w:p>
      <w:pPr>
        <w:pStyle w:val="831"/>
        <w:jc w:val="both"/>
        <w:spacing w:line="360" w:lineRule="auto"/>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三、获取招标文件</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3.1时间：</w:t>
      </w:r>
      <w:r>
        <w:rPr>
          <w:rFonts w:hint="eastAsia" w:ascii="宋体" w:hAnsi="Arial" w:cs="宋体"/>
          <w:bCs/>
          <w:color w:val="000000"/>
          <w:szCs w:val="21"/>
        </w:rPr>
        <w:t xml:space="preserve">自招标文件公告发布之日起5个工作日。</w:t>
      </w:r>
      <w:r>
        <w:rPr>
          <w:rFonts w:hint="eastAsia" w:ascii="宋体" w:hAnsi="宋体" w:eastAsia="宋体" w:cs="宋体"/>
          <w:color w:val="000000"/>
          <w:szCs w:val="21"/>
        </w:rPr>
      </w:r>
      <w:r/>
    </w:p>
    <w:p>
      <w:pPr>
        <w:pStyle w:val="831"/>
        <w:ind w:firstLine="420"/>
        <w:jc w:val="both"/>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3.2地点：“苏采云”系统内免费下载（投标人必须在苏采云系统中获取采购文件，方能参与本次政府采购项目）</w:t>
      </w:r>
      <w:r/>
    </w:p>
    <w:p>
      <w:pPr>
        <w:pStyle w:val="831"/>
        <w:ind w:firstLine="420"/>
        <w:jc w:val="both"/>
        <w:keepLines/>
        <w:keepNext/>
        <w:spacing w:before="20" w:after="20" w:line="360" w:lineRule="auto"/>
        <w:rPr>
          <w:rFonts w:hint="eastAsia" w:ascii="宋体" w:hAnsi="Arial" w:cs="宋体"/>
          <w:bCs/>
          <w:color w:val="000000"/>
          <w:szCs w:val="21"/>
        </w:rPr>
      </w:pPr>
      <w:r>
        <w:rPr>
          <w:rFonts w:hint="eastAsia" w:ascii="宋体" w:hAnsi="宋体" w:eastAsia="宋体" w:cs="宋体"/>
          <w:color w:val="000000"/>
          <w:szCs w:val="21"/>
        </w:rPr>
        <w:t xml:space="preserve">3.3</w:t>
      </w:r>
      <w:r>
        <w:rPr>
          <w:rFonts w:hint="eastAsia" w:ascii="宋体" w:hAnsi="Arial" w:cs="宋体"/>
          <w:bCs/>
          <w:color w:val="000000"/>
          <w:szCs w:val="21"/>
        </w:rPr>
        <w:t xml:space="preserve">方式：苏采云系统注册登记成功后系统内免费下载。</w:t>
      </w:r>
      <w:r/>
    </w:p>
    <w:p>
      <w:pPr>
        <w:pStyle w:val="831"/>
        <w:ind w:firstLine="420"/>
        <w:jc w:val="both"/>
        <w:keepLines/>
        <w:keepNext/>
        <w:spacing w:before="20" w:after="20" w:line="360" w:lineRule="auto"/>
        <w:rPr>
          <w:rFonts w:ascii="宋体" w:hAnsi="宋体" w:eastAsia="宋体" w:cs="宋体"/>
          <w:color w:val="000000"/>
          <w:szCs w:val="21"/>
        </w:rPr>
      </w:pPr>
      <w:r>
        <w:rPr>
          <w:rFonts w:hint="eastAsia" w:ascii="宋体" w:hAnsi="宋体" w:eastAsia="宋体" w:cs="宋体"/>
          <w:color w:val="000000"/>
          <w:szCs w:val="21"/>
        </w:rPr>
        <w:t xml:space="preserve">3.4</w:t>
      </w:r>
      <w:r>
        <w:rPr>
          <w:rFonts w:hint="eastAsia" w:ascii="宋体" w:hAnsi="Arial" w:cs="宋体"/>
          <w:bCs/>
          <w:color w:val="000000"/>
          <w:szCs w:val="21"/>
        </w:rPr>
        <w:t xml:space="preserve">售价：0元。</w:t>
      </w:r>
      <w:r>
        <w:rPr>
          <w:rFonts w:ascii="宋体" w:hAnsi="宋体" w:eastAsia="宋体" w:cs="宋体"/>
          <w:color w:val="000000"/>
          <w:szCs w:val="21"/>
        </w:rPr>
      </w:r>
      <w:r/>
    </w:p>
    <w:p>
      <w:pPr>
        <w:pStyle w:val="831"/>
        <w:jc w:val="both"/>
        <w:spacing w:line="360" w:lineRule="auto"/>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四、提交投标文件截止时间、开标时间和地点</w:t>
      </w:r>
      <w:r/>
    </w:p>
    <w:p>
      <w:pPr>
        <w:pStyle w:val="831"/>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投标文件截止时间、开标时间：2026年</w:t>
      </w:r>
      <w:r>
        <w:rPr>
          <w:rFonts w:ascii="宋体" w:hAnsi="宋体" w:eastAsia="宋体" w:cs="宋体"/>
          <w:color w:val="000000"/>
          <w:szCs w:val="21"/>
        </w:rPr>
        <w:t xml:space="preserve">6</w:t>
      </w:r>
      <w:r>
        <w:rPr>
          <w:rFonts w:hint="eastAsia" w:ascii="宋体" w:hAnsi="宋体" w:eastAsia="宋体" w:cs="宋体"/>
          <w:color w:val="000000"/>
          <w:szCs w:val="21"/>
        </w:rPr>
        <w:t xml:space="preserve">月12</w:t>
      </w:r>
      <w:r>
        <w:rPr>
          <w:rFonts w:hint="eastAsia" w:ascii="宋体" w:hAnsi="宋体" w:eastAsia="宋体" w:cs="宋体"/>
          <w:color w:val="000000"/>
          <w:szCs w:val="21"/>
        </w:rPr>
        <w:t xml:space="preserve">日</w:t>
      </w:r>
      <w:r>
        <w:rPr>
          <w:rFonts w:ascii="宋体" w:hAnsi="宋体" w:eastAsia="宋体" w:cs="宋体"/>
          <w:color w:val="000000"/>
          <w:szCs w:val="21"/>
        </w:rPr>
        <w:t xml:space="preserve">14</w:t>
      </w:r>
      <w:r>
        <w:rPr>
          <w:rFonts w:hint="eastAsia" w:ascii="宋体" w:hAnsi="宋体" w:eastAsia="宋体" w:cs="宋体"/>
          <w:color w:val="000000"/>
          <w:szCs w:val="21"/>
        </w:rPr>
        <w:t xml:space="preserve">点</w:t>
      </w:r>
      <w:r>
        <w:rPr>
          <w:rFonts w:ascii="宋体" w:hAnsi="宋体" w:eastAsia="宋体" w:cs="宋体"/>
          <w:color w:val="000000"/>
          <w:szCs w:val="21"/>
        </w:rPr>
        <w:t xml:space="preserve">30</w:t>
      </w:r>
      <w:r>
        <w:rPr>
          <w:rFonts w:hint="eastAsia" w:ascii="宋体" w:hAnsi="宋体" w:eastAsia="宋体" w:cs="宋体"/>
          <w:color w:val="000000"/>
          <w:szCs w:val="21"/>
        </w:rPr>
        <w:t xml:space="preserve">分（北京时间）</w:t>
      </w:r>
      <w:r/>
    </w:p>
    <w:p>
      <w:pPr>
        <w:pStyle w:val="831"/>
        <w:ind w:firstLine="480"/>
        <w:jc w:val="both"/>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地点：</w:t>
      </w:r>
      <w:r>
        <w:rPr>
          <w:rFonts w:hint="eastAsia" w:ascii="宋体" w:hAnsi="Arial" w:eastAsia="宋体" w:cs="宋体"/>
          <w:bCs/>
          <w:color w:val="000000"/>
          <w:szCs w:val="21"/>
        </w:rPr>
        <w:t xml:space="preserve">“苏采云”系统（网址：http://jszfcg.jsczt.cn/）“开标大厅”</w:t>
      </w:r>
      <w:r>
        <w:rPr>
          <w:rFonts w:ascii="宋体" w:hAnsi="宋体" w:eastAsia="宋体" w:cs="宋体"/>
          <w:color w:val="000000"/>
          <w:szCs w:val="21"/>
        </w:rPr>
      </w:r>
      <w:r/>
    </w:p>
    <w:p>
      <w:pPr>
        <w:pStyle w:val="831"/>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五、公告期限</w:t>
      </w:r>
      <w:r>
        <w:rPr>
          <w:rFonts w:hint="eastAsia" w:ascii="宋体" w:hAnsi="宋体" w:eastAsia="宋体" w:cs="宋体"/>
          <w:color w:val="000000"/>
          <w:szCs w:val="21"/>
        </w:rPr>
      </w:r>
      <w:r/>
    </w:p>
    <w:p>
      <w:pPr>
        <w:pStyle w:val="831"/>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自本公告发布之日起5个工作日</w:t>
      </w:r>
      <w:r/>
    </w:p>
    <w:p>
      <w:pPr>
        <w:pStyle w:val="831"/>
        <w:numPr>
          <w:ilvl w:val="0"/>
          <w:numId w:val="2"/>
        </w:numPr>
        <w:jc w:val="both"/>
        <w:spacing w:line="360" w:lineRule="auto"/>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其他补充事宜</w:t>
      </w:r>
      <w:r/>
    </w:p>
    <w:p>
      <w:pPr>
        <w:pStyle w:val="831"/>
        <w:ind w:firstLine="480"/>
        <w:jc w:val="both"/>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6.1本项目采购标的对应的中小企业划分标准所属行业为：建筑业。</w:t>
      </w:r>
      <w:r>
        <w:rPr>
          <w:rFonts w:ascii="宋体" w:hAnsi="宋体" w:eastAsia="宋体" w:cs="宋体"/>
          <w:color w:val="000000"/>
          <w:szCs w:val="21"/>
        </w:rPr>
      </w:r>
      <w:r/>
    </w:p>
    <w:p>
      <w:pPr>
        <w:pStyle w:val="831"/>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6.2本次招标不收取投标保证金。</w:t>
      </w:r>
      <w:r/>
    </w:p>
    <w:p>
      <w:pPr>
        <w:pStyle w:val="831"/>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6.3落实政府采购政策需满足：</w:t>
      </w:r>
      <w:r/>
    </w:p>
    <w:p>
      <w:pPr>
        <w:pStyle w:val="831"/>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（1）《关于进一步加大政府采购支持中小企业力度的通知》</w:t>
      </w:r>
      <w:r/>
    </w:p>
    <w:p>
      <w:pPr>
        <w:pStyle w:val="831"/>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（2）《关于政府采购支持监狱企业发展有关问题的通知》</w:t>
      </w:r>
      <w:r/>
    </w:p>
    <w:p>
      <w:pPr>
        <w:pStyle w:val="831"/>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（3）《关于促进残疾人就业政府采购政策的通知》</w:t>
      </w:r>
      <w:r/>
    </w:p>
    <w:p>
      <w:pPr>
        <w:pStyle w:val="831"/>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（4）《关于调整优化节能产品、环境标志产品政府采购执行机制的通知》</w:t>
      </w:r>
      <w:r/>
    </w:p>
    <w:p>
      <w:pPr>
        <w:pStyle w:val="831"/>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（5）《国务院办公厅关于在政府采购中实施本国产品标准及相关政策的通知》</w:t>
      </w:r>
      <w:r/>
    </w:p>
    <w:p>
      <w:pPr>
        <w:pStyle w:val="831"/>
        <w:ind w:firstLine="420"/>
        <w:jc w:val="both"/>
        <w:spacing w:line="360" w:lineRule="auto"/>
        <w:rPr>
          <w:rFonts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w:t>
      </w:r>
      <w:r>
        <w:rPr>
          <w:rFonts w:ascii="宋体" w:hAnsi="宋体" w:eastAsia="宋体" w:cs="宋体"/>
          <w:color w:val="000000"/>
          <w:szCs w:val="21"/>
        </w:rPr>
        <w:t xml:space="preserve">4</w:t>
      </w:r>
      <w:r>
        <w:rPr>
          <w:rFonts w:hint="eastAsia" w:ascii="宋体" w:hAnsi="宋体" w:eastAsia="宋体" w:cs="宋体"/>
          <w:color w:val="000000"/>
          <w:szCs w:val="21"/>
        </w:rPr>
        <w:t xml:space="preserve">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供应商如确定参加投标，可自行下载采购文件及有关资料，按照《操作手册》进行注册，领取CA和办理电子签章，并按《操作手册》要求制作、上传电子投标文件。</w:t>
      </w:r>
      <w:r>
        <w:rPr>
          <w:rFonts w:ascii="宋体" w:hAnsi="宋体" w:eastAsia="宋体" w:cs="宋体"/>
          <w:b/>
          <w:bCs/>
          <w:color w:val="000000"/>
          <w:szCs w:val="21"/>
        </w:rPr>
      </w:r>
      <w:r/>
    </w:p>
    <w:p>
      <w:pPr>
        <w:pStyle w:val="831"/>
        <w:ind w:firstLine="420"/>
        <w:jc w:val="both"/>
        <w:spacing w:line="360" w:lineRule="auto"/>
        <w:rPr>
          <w:rFonts w:hint="eastAsia"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w:t>
      </w:r>
      <w:r>
        <w:rPr>
          <w:rFonts w:ascii="宋体" w:hAnsi="宋体" w:eastAsia="宋体" w:cs="宋体"/>
          <w:color w:val="000000"/>
          <w:szCs w:val="21"/>
        </w:rPr>
        <w:t xml:space="preserve">5</w:t>
      </w:r>
      <w:r>
        <w:rPr>
          <w:rFonts w:hint="eastAsia" w:ascii="宋体" w:hAnsi="宋体" w:cs="宋体"/>
          <w:bCs/>
          <w:color w:val="000000"/>
          <w:szCs w:val="21"/>
        </w:rPr>
        <w:t xml:space="preserve">本次采购公告在“江苏政府采购网”上发布，有关本次</w:t>
      </w:r>
      <w:r>
        <w:rPr>
          <w:rFonts w:hint="eastAsia" w:ascii="宋体" w:hAnsi="宋体" w:eastAsia="宋体" w:cs="宋体"/>
          <w:bCs/>
          <w:color w:val="000000"/>
          <w:szCs w:val="21"/>
        </w:rPr>
        <w:t xml:space="preserve">采购</w:t>
      </w:r>
      <w:r>
        <w:rPr>
          <w:rFonts w:hint="eastAsia" w:ascii="宋体" w:hAnsi="宋体" w:cs="宋体"/>
          <w:bCs/>
          <w:color w:val="000000"/>
          <w:szCs w:val="21"/>
        </w:rPr>
        <w:t xml:space="preserve">的事项若存在变动或修改，敬请及时关注</w:t>
      </w:r>
      <w:r>
        <w:rPr>
          <w:rFonts w:hint="eastAsia" w:ascii="宋体" w:hAnsi="宋体" w:eastAsia="宋体" w:cs="宋体"/>
          <w:bCs/>
          <w:color w:val="000000"/>
          <w:szCs w:val="21"/>
        </w:rPr>
        <w:t xml:space="preserve">代理机构</w:t>
      </w:r>
      <w:r>
        <w:rPr>
          <w:rFonts w:hint="eastAsia" w:ascii="宋体" w:hAnsi="宋体" w:cs="宋体"/>
          <w:bCs/>
          <w:color w:val="000000"/>
          <w:szCs w:val="21"/>
        </w:rPr>
        <w:t xml:space="preserve">在“江苏政府采购网”发布的更正公告。</w:t>
      </w:r>
      <w:r/>
    </w:p>
    <w:p>
      <w:pPr>
        <w:pStyle w:val="831"/>
        <w:jc w:val="both"/>
        <w:spacing w:line="360" w:lineRule="auto"/>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七、对本次招标提出询问，请按以下方式联系</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7.1采购人</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名称：南京财经大学</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地址：南京市仙林大学城文苑路3号</w:t>
      </w:r>
      <w:r/>
    </w:p>
    <w:p>
      <w:pPr>
        <w:pStyle w:val="831"/>
        <w:ind w:firstLine="420"/>
        <w:jc w:val="both"/>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联系人：朱老师</w:t>
      </w:r>
      <w:r>
        <w:rPr>
          <w:rFonts w:ascii="宋体" w:hAnsi="宋体" w:eastAsia="宋体" w:cs="宋体"/>
          <w:color w:val="000000"/>
          <w:szCs w:val="21"/>
        </w:rPr>
      </w:r>
      <w:r/>
    </w:p>
    <w:p>
      <w:pPr>
        <w:pStyle w:val="831"/>
        <w:ind w:firstLine="420"/>
        <w:jc w:val="both"/>
        <w:spacing w:line="360" w:lineRule="auto"/>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联系电话：</w:t>
      </w:r>
      <w:r>
        <w:rPr>
          <w:rFonts w:ascii="宋体" w:hAnsi="宋体" w:eastAsia="宋体" w:cs="宋体"/>
          <w:color w:val="000000"/>
          <w:szCs w:val="21"/>
        </w:rPr>
        <w:t xml:space="preserve">025-86718017</w:t>
      </w:r>
      <w:r>
        <w:rPr>
          <w:rFonts w:hint="eastAsia" w:eastAsia="宋体"/>
          <w:color w:val="000000"/>
        </w:rPr>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7.2招标代理机构</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名称：南京江城工程项目管理有限公司</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地址：南京市建邺区云龙山路89号龙湖时代1栋29楼</w:t>
      </w:r>
      <w:r/>
    </w:p>
    <w:p>
      <w:pPr>
        <w:pStyle w:val="831"/>
        <w:ind w:firstLine="420"/>
        <w:jc w:val="both"/>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联系人:马根荣、孔德红、马鸣</w:t>
      </w:r>
      <w:r>
        <w:rPr>
          <w:rFonts w:ascii="宋体" w:hAnsi="宋体" w:eastAsia="宋体" w:cs="宋体"/>
          <w:color w:val="000000"/>
          <w:szCs w:val="21"/>
        </w:rPr>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电话：025-58835827-8031</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7.3项目联系方式</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项目联系人：马根荣、孔德红、马鸣</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电　话： 025-58835827-8031</w:t>
      </w:r>
      <w:r/>
    </w:p>
    <w:p>
      <w:pPr>
        <w:pStyle w:val="831"/>
        <w:jc w:val="both"/>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 </w:t>
      </w:r>
      <w:r>
        <w:rPr>
          <w:rFonts w:ascii="宋体" w:hAnsi="宋体" w:eastAsia="宋体" w:cs="宋体"/>
          <w:color w:val="000000"/>
          <w:szCs w:val="21"/>
        </w:rPr>
      </w:r>
      <w:r/>
    </w:p>
    <w:p>
      <w:pPr>
        <w:pStyle w:val="831"/>
        <w:jc w:val="both"/>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Cs w:val="21"/>
        </w:rPr>
      </w:r>
      <w:r/>
    </w:p>
    <w:p>
      <w:pPr>
        <w:pStyle w:val="831"/>
        <w:jc w:val="both"/>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Cs w:val="21"/>
        </w:rPr>
      </w:r>
      <w:r/>
    </w:p>
    <w:p>
      <w:pPr>
        <w:pStyle w:val="831"/>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r>
      <w:r/>
    </w:p>
    <w:p>
      <w:pPr>
        <w:pStyle w:val="831"/>
        <w:jc w:val="center"/>
        <w:spacing w:before="240" w:after="240" w:line="360" w:lineRule="auto"/>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t xml:space="preserve">投标供应商</w:t>
      </w:r>
      <w:r>
        <w:rPr>
          <w:rFonts w:ascii="宋体" w:hAnsi="宋体" w:eastAsia="宋体" w:cs="宋体"/>
          <w:b/>
          <w:color w:val="000000"/>
          <w:sz w:val="32"/>
        </w:rPr>
        <w:t xml:space="preserve">须知</w:t>
      </w:r>
      <w:r/>
    </w:p>
    <w:p>
      <w:pPr>
        <w:pStyle w:val="831"/>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前附表</w:t>
      </w:r>
      <w:r>
        <w:rPr>
          <w:color w:val="000000"/>
        </w:rPr>
      </w:r>
      <w:r/>
    </w:p>
    <w:tbl>
      <w:tblPr>
        <w:tblW w:w="9175" w:type="dxa"/>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9"/>
        <w:gridCol w:w="1914"/>
        <w:gridCol w:w="6602"/>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pStyle w:val="831"/>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序号</w:t>
            </w:r>
            <w:r>
              <w:rPr>
                <w:color w:val="00000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4" w:type="dxa"/>
            <w:vAlign w:val="center"/>
            <w:textDirection w:val="lrTb"/>
            <w:noWrap w:val="false"/>
          </w:tcPr>
          <w:p>
            <w:pPr>
              <w:pStyle w:val="831"/>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名称</w:t>
            </w:r>
            <w:r>
              <w:rPr>
                <w:color w:val="00000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2" w:type="dxa"/>
            <w:vAlign w:val="center"/>
            <w:textDirection w:val="lrTb"/>
            <w:noWrap w:val="false"/>
          </w:tcPr>
          <w:p>
            <w:pPr>
              <w:pStyle w:val="831"/>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内容</w:t>
            </w:r>
            <w:r>
              <w:rPr>
                <w:color w:val="000000"/>
              </w:rPr>
            </w:r>
            <w:r/>
          </w:p>
        </w:tc>
      </w:tr>
      <w:tr>
        <w:trPr>
          <w:trHeight w:val="128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pStyle w:val="831"/>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w:t>
            </w:r>
            <w:r>
              <w:rPr>
                <w:color w:val="00000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4"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采购人</w:t>
            </w:r>
            <w:r>
              <w:rPr>
                <w:color w:val="00000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2" w:type="dxa"/>
            <w:vAlign w:val="center"/>
            <w:textDirection w:val="lrTb"/>
            <w:noWrap w:val="false"/>
          </w:tcPr>
          <w:p>
            <w:pPr>
              <w:pStyle w:val="831"/>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名称：南京财经大学</w:t>
            </w:r>
            <w:r/>
          </w:p>
          <w:p>
            <w:pPr>
              <w:pStyle w:val="831"/>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地址：南京市仙林大学城文苑路3号</w:t>
            </w:r>
            <w:r/>
          </w:p>
          <w:p>
            <w:pPr>
              <w:pStyle w:val="831"/>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联系人：朱老师</w:t>
            </w:r>
            <w:r/>
          </w:p>
          <w:p>
            <w:pPr>
              <w:pStyle w:val="831"/>
              <w:jc w:val="both"/>
              <w:spacing w:line="360" w:lineRule="auto"/>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联系电话：</w:t>
            </w:r>
            <w:r>
              <w:rPr>
                <w:rFonts w:ascii="宋体" w:hAnsi="宋体" w:eastAsia="宋体" w:cs="宋体"/>
                <w:color w:val="000000"/>
                <w:szCs w:val="21"/>
              </w:rPr>
              <w:t xml:space="preserve">025-86718017</w:t>
            </w:r>
            <w:r>
              <w:rPr>
                <w:rFonts w:hint="eastAsia" w:eastAsia="宋体"/>
                <w:color w:val="000000"/>
              </w:rPr>
            </w:r>
            <w:r/>
          </w:p>
        </w:tc>
      </w:tr>
      <w:tr>
        <w:trPr>
          <w:trHeight w:val="150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pStyle w:val="831"/>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w:t>
            </w:r>
            <w:r>
              <w:rPr>
                <w:color w:val="00000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4"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采购代理机构</w:t>
            </w:r>
            <w:r>
              <w:rPr>
                <w:color w:val="00000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2" w:type="dxa"/>
            <w:vAlign w:val="center"/>
            <w:textDirection w:val="lrTb"/>
            <w:noWrap w:val="false"/>
          </w:tcPr>
          <w:p>
            <w:pPr>
              <w:pStyle w:val="831"/>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名 称：南京江城工程项目管理有限公司　</w:t>
            </w:r>
            <w:r/>
          </w:p>
          <w:p>
            <w:pPr>
              <w:pStyle w:val="831"/>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地　址：南京市建邺区云龙山路89号龙湖时代1栋29楼</w:t>
            </w:r>
            <w:r/>
          </w:p>
          <w:p>
            <w:pPr>
              <w:pStyle w:val="831"/>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项目联系人：马根荣、孔德红、马鸣</w:t>
            </w:r>
            <w:r/>
          </w:p>
          <w:p>
            <w:pPr>
              <w:pStyle w:val="831"/>
              <w:jc w:val="both"/>
              <w:spacing w:line="360" w:lineRule="auto"/>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电　话： 025-58835827-8031</w:t>
            </w:r>
            <w:r>
              <w:rPr>
                <w:rFonts w:hint="eastAsia" w:eastAsia="宋体"/>
                <w:color w:val="000000"/>
              </w:rPr>
            </w:r>
            <w:r/>
          </w:p>
        </w:tc>
      </w:tr>
      <w:tr>
        <w:trPr>
          <w:trHeight w:val="49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pStyle w:val="831"/>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w:t>
            </w:r>
            <w:r>
              <w:rPr>
                <w:color w:val="00000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4"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采购项目名称</w:t>
            </w:r>
            <w:r>
              <w:rPr>
                <w:color w:val="00000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2" w:type="dxa"/>
            <w:vAlign w:val="center"/>
            <w:textDirection w:val="lrTb"/>
            <w:noWrap w:val="false"/>
          </w:tcPr>
          <w:p>
            <w:pPr>
              <w:pStyle w:val="831"/>
              <w:jc w:val="both"/>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仙林校区德经楼高压变电所设备升级改造项目</w:t>
            </w:r>
            <w:r>
              <w:rPr>
                <w:rFonts w:hint="eastAsia" w:eastAsia="宋体"/>
                <w:color w:val="000000"/>
              </w:rPr>
            </w:r>
            <w:r/>
          </w:p>
        </w:tc>
      </w:tr>
      <w:tr>
        <w:trPr>
          <w:trHeight w:val="43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pStyle w:val="831"/>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w:t>
            </w:r>
            <w:r>
              <w:rPr>
                <w:color w:val="00000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4"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供货</w:t>
            </w:r>
            <w:r>
              <w:rPr>
                <w:rFonts w:ascii="宋体" w:hAnsi="宋体" w:eastAsia="宋体" w:cs="宋体"/>
                <w:color w:val="000000"/>
              </w:rPr>
              <w:t xml:space="preserve">地点</w:t>
            </w:r>
            <w:r>
              <w:rPr>
                <w:color w:val="00000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2" w:type="dxa"/>
            <w:vAlign w:val="center"/>
            <w:textDirection w:val="lrTb"/>
            <w:noWrap w:val="false"/>
          </w:tcPr>
          <w:p>
            <w:pPr>
              <w:pStyle w:val="831"/>
              <w:jc w:val="both"/>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hint="eastAsia" w:eastAsia="宋体"/>
                <w:color w:val="000000"/>
              </w:rPr>
              <w:t xml:space="preserve">南京财经大学仙林校区德经楼</w:t>
            </w:r>
            <w:r>
              <w:rPr>
                <w:rFonts w:eastAsia="宋体"/>
                <w:color w:val="000000"/>
              </w:rPr>
            </w:r>
            <w:r/>
          </w:p>
        </w:tc>
      </w:tr>
      <w:tr>
        <w:trPr>
          <w:trHeight w:val="46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pStyle w:val="831"/>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5</w:t>
            </w:r>
            <w:r>
              <w:rPr>
                <w:color w:val="00000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4"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资金来源</w:t>
            </w:r>
            <w:r>
              <w:rPr>
                <w:color w:val="00000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2" w:type="dxa"/>
            <w:vAlign w:val="center"/>
            <w:textDirection w:val="lrTb"/>
            <w:noWrap w:val="false"/>
          </w:tcPr>
          <w:p>
            <w:pPr>
              <w:pStyle w:val="831"/>
              <w:jc w:val="both"/>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财政资金</w:t>
            </w:r>
            <w:r>
              <w:rPr>
                <w:rFonts w:hint="eastAsia" w:eastAsia="宋体"/>
                <w:color w:val="000000"/>
              </w:rPr>
            </w:r>
            <w:r/>
          </w:p>
        </w:tc>
      </w:tr>
      <w:tr>
        <w:trPr>
          <w:trHeight w:val="47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pStyle w:val="831"/>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6</w:t>
            </w:r>
            <w:r>
              <w:rPr>
                <w:color w:val="00000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4"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评审方法</w:t>
            </w:r>
            <w:r>
              <w:rPr>
                <w:color w:val="00000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2"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综合评分法</w:t>
            </w:r>
            <w:r>
              <w:rPr>
                <w:color w:val="000000"/>
              </w:rPr>
            </w:r>
            <w:r/>
          </w:p>
        </w:tc>
      </w:tr>
      <w:tr>
        <w:trPr>
          <w:trHeight w:val="58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pStyle w:val="831"/>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7</w:t>
            </w:r>
            <w:r>
              <w:rPr>
                <w:color w:val="00000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4"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投标有效期</w:t>
            </w:r>
            <w:r>
              <w:rPr>
                <w:color w:val="00000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2"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提交投标文件截止之日起90日</w:t>
            </w:r>
            <w:r>
              <w:rPr>
                <w:color w:val="000000"/>
              </w:rPr>
            </w:r>
            <w:r/>
          </w:p>
        </w:tc>
      </w:tr>
      <w:tr>
        <w:trPr>
          <w:trHeight w:val="60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pStyle w:val="831"/>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8</w:t>
            </w:r>
            <w:r>
              <w:rPr>
                <w:color w:val="00000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4"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供应商资质要求</w:t>
            </w:r>
            <w:r>
              <w:rPr>
                <w:color w:val="00000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2"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详见第一章 招标公告</w:t>
            </w:r>
            <w:r>
              <w:rPr>
                <w:color w:val="000000"/>
              </w:rPr>
            </w:r>
            <w:r/>
          </w:p>
        </w:tc>
      </w:tr>
      <w:tr>
        <w:trPr>
          <w:trHeight w:val="60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pStyle w:val="831"/>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4" w:type="dxa"/>
            <w:vAlign w:val="center"/>
            <w:textDirection w:val="lrTb"/>
            <w:noWrap w:val="false"/>
          </w:tcPr>
          <w:p>
            <w:pPr>
              <w:pStyle w:val="831"/>
              <w:jc w:val="both"/>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cs="宋体"/>
                <w:bCs/>
                <w:color w:val="000000"/>
                <w:szCs w:val="21"/>
              </w:rPr>
              <w:t xml:space="preserve">信用信息</w:t>
            </w:r>
            <w:r>
              <w:rPr>
                <w:rFonts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2" w:type="dxa"/>
            <w:vAlign w:val="center"/>
            <w:textDirection w:val="lrTb"/>
            <w:noWrap w:val="false"/>
          </w:tcPr>
          <w:p>
            <w:pPr>
              <w:pStyle w:val="831"/>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1）信用信息查询渠道：“信用中国”网站、中国政府采购网。</w:t>
            </w:r>
            <w:r/>
          </w:p>
          <w:p>
            <w:pPr>
              <w:pStyle w:val="831"/>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信用信息查询截止时点：在进行资格性审查的同时，代理机构将在相关网站对投标人是否被列入失信被执行人、重大税收违法失信主体名单、政府采购严重失信行为记录名单情况进行查询，以确定投标人是否具备投标资格。</w:t>
            </w:r>
            <w:r/>
          </w:p>
          <w:p>
            <w:pPr>
              <w:pStyle w:val="831"/>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3）信用信息查询记录和证据留存的具体方式：信用信息查询记录将以网站截图打印稿形式与采购文件一并保存。</w:t>
            </w:r>
            <w:r/>
          </w:p>
          <w:p>
            <w:pPr>
              <w:pStyle w:val="83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信用信息的使用规则：拒绝列入失信被执行人、重大税收违法失信主体名单、政府采购严重违法失信行为记录名单的供应商参与政府采购活动。联合体成员存在不良信用记录的，视同联合体存在不良信用记录。</w:t>
            </w:r>
            <w:r>
              <w:rPr>
                <w:rFonts w:ascii="宋体" w:hAnsi="宋体" w:eastAsia="宋体" w:cs="宋体"/>
                <w:color w:val="000000"/>
              </w:rPr>
            </w:r>
            <w:r/>
          </w:p>
        </w:tc>
      </w:tr>
      <w:tr>
        <w:trPr>
          <w:trHeight w:val="62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pStyle w:val="831"/>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10</w:t>
            </w:r>
            <w:r>
              <w:rPr>
                <w:rFonts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4" w:type="dxa"/>
            <w:vAlign w:val="center"/>
            <w:textDirection w:val="lrTb"/>
            <w:noWrap w:val="false"/>
          </w:tcPr>
          <w:p>
            <w:pPr>
              <w:pStyle w:val="831"/>
              <w:jc w:val="both"/>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投标文件份数</w:t>
            </w:r>
            <w:r>
              <w:rPr>
                <w:rFonts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2" w:type="dxa"/>
            <w:vAlign w:val="center"/>
            <w:textDirection w:val="lrTb"/>
            <w:noWrap w:val="false"/>
          </w:tcPr>
          <w:p>
            <w:pPr>
              <w:pStyle w:val="831"/>
              <w:jc w:val="both"/>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电子投标文件一份(通过系统提交)；纸质投标文件正本一份，副本三份（</w:t>
            </w:r>
            <w:r>
              <w:rPr>
                <w:rFonts w:hint="eastAsia" w:ascii="宋体" w:hAnsi="宋体" w:eastAsia="宋体" w:cs="宋体"/>
                <w:b/>
                <w:bCs/>
                <w:color w:val="000000"/>
              </w:rPr>
              <w:t xml:space="preserve">评审结束后由中标人邮寄至采购代理机构，未中标单位不需要提供</w:t>
            </w:r>
            <w:r>
              <w:rPr>
                <w:rFonts w:hint="eastAsia" w:ascii="宋体" w:hAnsi="宋体" w:eastAsia="宋体" w:cs="宋体"/>
                <w:color w:val="000000"/>
              </w:rPr>
              <w:t xml:space="preserve">）。</w:t>
            </w:r>
            <w:r>
              <w:rPr>
                <w:rFonts w:ascii="宋体" w:hAnsi="宋体" w:eastAsia="宋体" w:cs="宋体"/>
                <w:color w:val="000000"/>
              </w:rPr>
            </w:r>
            <w:r/>
          </w:p>
        </w:tc>
      </w:tr>
      <w:tr>
        <w:trPr>
          <w:trHeight w:val="75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pStyle w:val="831"/>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11</w:t>
            </w:r>
            <w:r>
              <w:rPr>
                <w:rFonts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4" w:type="dxa"/>
            <w:vAlign w:val="center"/>
            <w:textDirection w:val="lrTb"/>
            <w:noWrap w:val="false"/>
          </w:tcPr>
          <w:p>
            <w:pPr>
              <w:pStyle w:val="831"/>
              <w:jc w:val="both"/>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报价</w:t>
            </w:r>
            <w:r>
              <w:rPr>
                <w:rFonts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2" w:type="dxa"/>
            <w:vAlign w:val="center"/>
            <w:textDirection w:val="lrTb"/>
            <w:noWrap w:val="false"/>
          </w:tcPr>
          <w:p>
            <w:pPr>
              <w:pStyle w:val="831"/>
              <w:jc w:val="both"/>
              <w:spacing w:line="360" w:lineRule="auto"/>
              <w:rPr>
                <w:rFonts w:hint="eastAsia" w:ascii="宋体" w:hAnsi="宋体" w:cs="宋体"/>
                <w:bCs/>
                <w:color w:val="000000"/>
              </w:rPr>
            </w:pPr>
            <w:r>
              <w:rPr>
                <w:rFonts w:hint="eastAsia" w:ascii="宋体" w:hAnsi="宋体" w:cs="宋体"/>
                <w:bCs/>
                <w:color w:val="000000"/>
              </w:rPr>
              <w:t xml:space="preserve">所有投标响应均以人民币报价。供应商的投标报价应遵守“中华人民共和国价格法”。该报价为到采购人现场的全部费用，含相关税费，运输费，保险费，安装费及相关服务费等一切可能发生的费用。</w:t>
            </w:r>
            <w:r/>
          </w:p>
          <w:p>
            <w:pPr>
              <w:pStyle w:val="83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Cs/>
                <w:color w:val="000000"/>
              </w:rPr>
              <w:t xml:space="preserve">注：</w:t>
            </w:r>
            <w:r>
              <w:rPr>
                <w:rFonts w:ascii="Arial" w:hAnsi="Arial" w:cs="Arial"/>
                <w:bCs/>
                <w:color w:val="000000"/>
                <w:szCs w:val="21"/>
              </w:rPr>
              <w:t xml:space="preserve">投标人报价为最终报价，如因国家政策调整，增加的税费由投标人自行承担。</w:t>
            </w:r>
            <w:r>
              <w:rPr>
                <w:rFonts w:ascii="宋体" w:hAnsi="宋体" w:eastAsia="宋体" w:cs="宋体"/>
                <w:color w:val="000000"/>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pStyle w:val="831"/>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12</w:t>
            </w:r>
            <w:r>
              <w:rPr>
                <w:rFonts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4" w:type="dxa"/>
            <w:vAlign w:val="center"/>
            <w:textDirection w:val="lrTb"/>
            <w:noWrap w:val="false"/>
          </w:tcPr>
          <w:p>
            <w:pPr>
              <w:pStyle w:val="831"/>
              <w:jc w:val="both"/>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关于异常低价审查</w:t>
            </w:r>
            <w:r>
              <w:rPr>
                <w:rFonts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2" w:type="dxa"/>
            <w:vAlign w:val="center"/>
            <w:textDirection w:val="lrTb"/>
            <w:noWrap w:val="false"/>
          </w:tcPr>
          <w:p>
            <w:pPr>
              <w:pStyle w:val="1050"/>
              <w:ind w:firstLine="0"/>
              <w:jc w:val="both"/>
              <w:rPr>
                <w:rFonts w:hint="eastAsia" w:eastAsia="宋体" w:cs="宋体"/>
                <w:color w:val="000000"/>
                <w:sz w:val="21"/>
                <w:szCs w:val="21"/>
              </w:rPr>
            </w:pPr>
            <w:r>
              <w:rPr>
                <w:rFonts w:hint="eastAsia" w:eastAsia="宋体" w:cs="宋体"/>
                <w:color w:val="000000"/>
                <w:sz w:val="21"/>
                <w:szCs w:val="21"/>
              </w:rPr>
              <w:t xml:space="preserve">根据《财政部关于推动解决政府采购异常低价问题的通知》（财库〔2026〕2 号）要求：</w:t>
            </w:r>
            <w:r/>
          </w:p>
          <w:p>
            <w:pPr>
              <w:pStyle w:val="1050"/>
              <w:ind w:firstLine="420"/>
              <w:jc w:val="both"/>
              <w:rPr>
                <w:rFonts w:hint="eastAsia" w:eastAsia="宋体" w:cs="宋体"/>
                <w:color w:val="000000"/>
                <w:sz w:val="21"/>
                <w:szCs w:val="21"/>
              </w:rPr>
            </w:pPr>
            <w:r>
              <w:rPr>
                <w:rFonts w:hint="eastAsia" w:eastAsia="宋体" w:cs="宋体"/>
                <w:color w:val="000000"/>
                <w:sz w:val="21"/>
                <w:szCs w:val="21"/>
              </w:rPr>
              <w:t xml:space="preserve">评标过程中出现下列情形之一的，评标委员会应当启动异常低价投标（响应）审查程序：</w:t>
            </w:r>
            <w:r/>
          </w:p>
          <w:p>
            <w:pPr>
              <w:pStyle w:val="1050"/>
              <w:ind w:firstLine="0"/>
              <w:jc w:val="both"/>
              <w:rPr>
                <w:rFonts w:hint="eastAsia" w:eastAsia="宋体" w:cs="宋体"/>
                <w:color w:val="000000"/>
                <w:sz w:val="21"/>
                <w:szCs w:val="21"/>
              </w:rPr>
            </w:pPr>
            <w:r>
              <w:rPr>
                <w:rFonts w:hint="eastAsia" w:eastAsia="宋体" w:cs="宋体"/>
                <w:color w:val="000000"/>
                <w:sz w:val="21"/>
                <w:szCs w:val="21"/>
              </w:rPr>
              <w:t xml:space="preserve">①投标（响应）报价低于全部通过符合性审查供应商投标（响应）报价平均值50%的，即投标（响应）报价&lt;全部通过符合性审查供应商投标（响应）报价平均值×50%；</w:t>
            </w:r>
            <w:r/>
          </w:p>
          <w:p>
            <w:pPr>
              <w:pStyle w:val="1050"/>
              <w:ind w:firstLine="0"/>
              <w:jc w:val="both"/>
              <w:rPr>
                <w:rFonts w:hint="eastAsia" w:eastAsia="宋体" w:cs="宋体"/>
                <w:color w:val="000000"/>
                <w:sz w:val="21"/>
                <w:szCs w:val="21"/>
              </w:rPr>
            </w:pPr>
            <w:r>
              <w:rPr>
                <w:rFonts w:hint="eastAsia" w:eastAsia="宋体" w:cs="宋体"/>
                <w:color w:val="000000"/>
                <w:sz w:val="21"/>
                <w:szCs w:val="21"/>
              </w:rPr>
              <w:t xml:space="preserve">②投标（响应）报价低于通过符合性审查的次低报价供应商投标（响应）报价50%的，即投标（响应）报价&lt;通过符合性审查的次低报价供应商投标（响应）报价×50%；</w:t>
            </w:r>
            <w:r/>
          </w:p>
          <w:p>
            <w:pPr>
              <w:pStyle w:val="1050"/>
              <w:ind w:firstLine="0"/>
              <w:jc w:val="both"/>
              <w:rPr>
                <w:rFonts w:hint="eastAsia" w:eastAsia="宋体" w:cs="宋体"/>
                <w:color w:val="000000"/>
                <w:sz w:val="21"/>
                <w:szCs w:val="21"/>
              </w:rPr>
            </w:pPr>
            <w:r>
              <w:rPr>
                <w:rFonts w:hint="eastAsia" w:eastAsia="宋体" w:cs="宋体"/>
                <w:color w:val="000000"/>
                <w:sz w:val="21"/>
                <w:szCs w:val="21"/>
              </w:rPr>
              <w:t xml:space="preserve">③投标（响应）报价低于采购项目最高限价45%的，即投标（响应）报价&lt;采购项目最高限价×45%；</w:t>
            </w:r>
            <w:r/>
          </w:p>
          <w:p>
            <w:pPr>
              <w:pStyle w:val="1050"/>
              <w:ind w:firstLine="0"/>
              <w:jc w:val="both"/>
              <w:rPr>
                <w:rFonts w:hint="eastAsia" w:eastAsia="宋体" w:cs="宋体"/>
                <w:color w:val="000000"/>
                <w:sz w:val="21"/>
                <w:szCs w:val="21"/>
              </w:rPr>
            </w:pPr>
            <w:r>
              <w:rPr>
                <w:rFonts w:hint="eastAsia" w:eastAsia="宋体" w:cs="宋体"/>
                <w:color w:val="000000"/>
                <w:sz w:val="21"/>
                <w:szCs w:val="21"/>
              </w:rPr>
              <w:t xml:space="preserve">④评标委员会基于专业判断，认为供应商报价过低，有可能影响产品质量或者不能诚信履约的其他情形。</w:t>
            </w:r>
            <w:r/>
          </w:p>
          <w:p>
            <w:pPr>
              <w:pStyle w:val="1050"/>
              <w:ind w:firstLine="420"/>
              <w:jc w:val="both"/>
              <w:rPr>
                <w:rFonts w:hint="eastAsia" w:eastAsia="宋体" w:cs="宋体"/>
                <w:color w:val="000000"/>
                <w:sz w:val="21"/>
                <w:szCs w:val="21"/>
              </w:rPr>
            </w:pPr>
            <w:r>
              <w:rPr>
                <w:rFonts w:hint="eastAsia" w:eastAsia="宋体" w:cs="宋体"/>
                <w:color w:val="000000"/>
                <w:sz w:val="21"/>
                <w:szCs w:val="21"/>
              </w:rPr>
              <w:t xml:space="preserve">（1）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1050"/>
              <w:ind w:firstLine="420"/>
              <w:jc w:val="both"/>
              <w:rPr>
                <w:rFonts w:hint="eastAsia" w:eastAsia="宋体" w:cs="宋体"/>
                <w:color w:val="000000"/>
                <w:sz w:val="21"/>
                <w:szCs w:val="21"/>
              </w:rPr>
            </w:pPr>
            <w:r>
              <w:rPr>
                <w:rFonts w:hint="eastAsia" w:eastAsia="宋体" w:cs="宋体"/>
                <w:color w:val="000000"/>
                <w:sz w:val="21"/>
                <w:szCs w:val="21"/>
              </w:rPr>
              <w:t xml:space="preserve">（2）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pStyle w:val="1050"/>
              <w:ind w:firstLine="420"/>
              <w:jc w:val="both"/>
              <w:rPr>
                <w:rFonts w:hint="eastAsia" w:eastAsia="宋体" w:cs="宋体"/>
                <w:color w:val="000000"/>
                <w:szCs w:val="21"/>
              </w:rPr>
            </w:pPr>
            <w:r>
              <w:rPr>
                <w:rFonts w:hint="eastAsia" w:eastAsia="宋体" w:cs="宋体"/>
                <w:color w:val="000000"/>
                <w:sz w:val="21"/>
                <w:szCs w:val="21"/>
              </w:rPr>
              <w:t xml:space="preserve">（3）异常低价投标（响应）审查的启动原因、审查意见和审查结果应当在评审报告中记录，并随供应商提供的相关书面说明及证明材料，以及评标委员会有关互联网浏览、查询历史一并归档。</w:t>
            </w:r>
            <w:r>
              <w:rPr>
                <w:rFonts w:hint="eastAsia" w:eastAsia="宋体" w:cs="宋体"/>
                <w:color w:val="000000"/>
                <w:szCs w:val="21"/>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pStyle w:val="831"/>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14</w:t>
            </w:r>
            <w:r>
              <w:rPr>
                <w:rFonts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4" w:type="dxa"/>
            <w:vAlign w:val="center"/>
            <w:textDirection w:val="lrTb"/>
            <w:noWrap w:val="false"/>
          </w:tcPr>
          <w:p>
            <w:pPr>
              <w:pStyle w:val="1050"/>
              <w:ind w:firstLine="0"/>
              <w:jc w:val="both"/>
              <w:rPr>
                <w:rFonts w:hint="eastAsia" w:eastAsia="宋体" w:cs="宋体"/>
                <w:color w:val="000000"/>
                <w:sz w:val="21"/>
                <w:szCs w:val="21"/>
              </w:rPr>
            </w:pPr>
            <w:r>
              <w:rPr>
                <w:rFonts w:hint="eastAsia" w:eastAsia="宋体" w:cs="宋体"/>
                <w:color w:val="000000"/>
                <w:sz w:val="21"/>
                <w:szCs w:val="21"/>
              </w:rPr>
              <w:t xml:space="preserve">关于“苏采云”系统的提示说明</w:t>
            </w:r>
            <w:r/>
          </w:p>
          <w:p>
            <w:pPr>
              <w:pStyle w:val="831"/>
              <w:jc w:val="both"/>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2" w:type="dxa"/>
            <w:vAlign w:val="center"/>
            <w:textDirection w:val="lrTb"/>
            <w:noWrap w:val="false"/>
          </w:tcPr>
          <w:p>
            <w:pPr>
              <w:pStyle w:val="1050"/>
              <w:ind w:firstLine="0"/>
              <w:jc w:val="both"/>
              <w:rPr>
                <w:rFonts w:hint="eastAsia" w:eastAsia="宋体" w:cs="宋体"/>
                <w:color w:val="000000"/>
                <w:sz w:val="21"/>
                <w:szCs w:val="21"/>
              </w:rPr>
            </w:pPr>
            <w:r>
              <w:rPr>
                <w:rFonts w:hint="eastAsia" w:eastAsia="宋体" w:cs="宋体"/>
                <w:color w:val="000000"/>
                <w:sz w:val="21"/>
                <w:szCs w:val="21"/>
              </w:rPr>
              <w:t xml:space="preserve">1.潜在供应商访问电子招标响应交易平台的网络地址和方法：</w:t>
            </w:r>
            <w:r/>
          </w:p>
          <w:p>
            <w:pPr>
              <w:pStyle w:val="1050"/>
              <w:ind w:firstLine="0"/>
              <w:jc w:val="both"/>
              <w:rPr>
                <w:rFonts w:hint="eastAsia" w:eastAsia="宋体" w:cs="宋体"/>
                <w:color w:val="000000"/>
                <w:sz w:val="21"/>
                <w:szCs w:val="21"/>
              </w:rPr>
            </w:pPr>
            <w:r>
              <w:rPr>
                <w:rFonts w:hint="eastAsia" w:eastAsia="宋体" w:cs="宋体"/>
                <w:color w:val="000000"/>
                <w:sz w:val="21"/>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pStyle w:val="1050"/>
              <w:ind w:firstLine="0"/>
              <w:jc w:val="both"/>
              <w:rPr>
                <w:rFonts w:hint="eastAsia" w:eastAsia="宋体" w:cs="宋体"/>
                <w:color w:val="000000"/>
                <w:sz w:val="21"/>
                <w:szCs w:val="21"/>
              </w:rPr>
            </w:pPr>
            <w:r>
              <w:rPr>
                <w:rFonts w:hint="eastAsia" w:eastAsia="宋体" w:cs="宋体"/>
                <w:color w:val="000000"/>
                <w:sz w:val="21"/>
                <w:szCs w:val="21"/>
              </w:rPr>
              <w:t xml:space="preserve">2.潜在供应商访问“苏采云”系统的网络地址和方法：“苏采云”系统的网址：http://jszfcg.jsczt.cn/。</w:t>
            </w:r>
            <w:r/>
          </w:p>
          <w:p>
            <w:pPr>
              <w:pStyle w:val="1050"/>
              <w:ind w:firstLine="0"/>
              <w:jc w:val="both"/>
              <w:rPr>
                <w:rFonts w:hint="eastAsia" w:eastAsia="宋体" w:cs="宋体"/>
                <w:color w:val="000000"/>
                <w:sz w:val="21"/>
                <w:szCs w:val="21"/>
              </w:rPr>
            </w:pPr>
            <w:r>
              <w:rPr>
                <w:rFonts w:hint="eastAsia" w:eastAsia="宋体" w:cs="宋体"/>
                <w:color w:val="000000"/>
                <w:sz w:val="21"/>
                <w:szCs w:val="21"/>
              </w:rPr>
              <w:t xml:space="preserve">3.“CA数字证书”的获取：</w:t>
            </w:r>
            <w:r/>
          </w:p>
          <w:p>
            <w:pPr>
              <w:pStyle w:val="1050"/>
              <w:ind w:firstLine="0"/>
              <w:jc w:val="both"/>
              <w:rPr>
                <w:rFonts w:hint="eastAsia" w:eastAsia="宋体" w:cs="宋体"/>
                <w:color w:val="000000"/>
                <w:sz w:val="21"/>
                <w:szCs w:val="21"/>
              </w:rPr>
            </w:pPr>
            <w:r>
              <w:rPr>
                <w:rFonts w:hint="eastAsia" w:eastAsia="宋体" w:cs="宋体"/>
                <w:color w:val="000000"/>
                <w:sz w:val="21"/>
                <w:szCs w:val="21"/>
              </w:rPr>
              <w:t xml:space="preserve">供应商需办理“CA数字证书”，CA办理指南及“苏采云”操作手册可至江苏省政府采购网―办事指南-资料下载中心下载。</w:t>
            </w:r>
            <w:r/>
          </w:p>
          <w:p>
            <w:pPr>
              <w:pStyle w:val="1050"/>
              <w:ind w:firstLine="0"/>
              <w:jc w:val="both"/>
              <w:rPr>
                <w:rFonts w:hint="eastAsia" w:eastAsia="宋体" w:cs="宋体"/>
                <w:color w:val="000000"/>
                <w:sz w:val="21"/>
                <w:szCs w:val="21"/>
              </w:rPr>
            </w:pPr>
            <w:r>
              <w:rPr>
                <w:rFonts w:hint="eastAsia" w:eastAsia="宋体" w:cs="宋体"/>
                <w:color w:val="000000"/>
                <w:sz w:val="21"/>
                <w:szCs w:val="21"/>
              </w:rPr>
              <w:t xml:space="preserve">通过苏采云系统首页（http://jszfcg.jscz.gov.cn/）的“苏采云控件驱动下载”，选择“政务CA、方正签章控件驱动安装包及安装说明”下载安装，具体安装方法详见下载文件内的《安装说明》。</w:t>
            </w:r>
            <w:r/>
          </w:p>
          <w:p>
            <w:pPr>
              <w:pStyle w:val="1050"/>
              <w:ind w:firstLine="0"/>
              <w:jc w:val="both"/>
              <w:rPr>
                <w:rFonts w:hint="eastAsia" w:eastAsia="宋体" w:cs="宋体"/>
                <w:color w:val="000000"/>
                <w:sz w:val="21"/>
                <w:szCs w:val="21"/>
              </w:rPr>
            </w:pPr>
            <w:r>
              <w:rPr>
                <w:rFonts w:hint="eastAsia" w:eastAsia="宋体" w:cs="宋体"/>
                <w:color w:val="000000"/>
                <w:sz w:val="21"/>
                <w:szCs w:val="21"/>
              </w:rPr>
              <w:t xml:space="preserve">4.采购文件（后缀名为“.kedt”）、供应商操作手册及政府采购客户端工具可通过“苏采云”系统--已报名项目--报名详情页面内相应链接进行下载。</w:t>
            </w:r>
            <w:r/>
          </w:p>
          <w:p>
            <w:pPr>
              <w:pStyle w:val="1050"/>
              <w:ind w:firstLine="0"/>
              <w:jc w:val="both"/>
              <w:rPr>
                <w:rFonts w:hint="eastAsia" w:eastAsia="宋体" w:cs="宋体"/>
                <w:color w:val="000000"/>
                <w:sz w:val="21"/>
                <w:szCs w:val="21"/>
              </w:rPr>
            </w:pPr>
            <w:r>
              <w:rPr>
                <w:rFonts w:hint="eastAsia" w:eastAsia="宋体" w:cs="宋体"/>
                <w:color w:val="000000"/>
                <w:sz w:val="21"/>
                <w:szCs w:val="21"/>
              </w:rPr>
              <w:t xml:space="preserve">5.请潜在供应商提前安装相应的控件（详见《江苏省政府采购管理交易系统（苏采云）供应商操作手册》）并使用谷歌浏览器登录“苏采云”系统参与不见面开评标。</w:t>
            </w:r>
            <w:r/>
          </w:p>
          <w:p>
            <w:pPr>
              <w:pStyle w:val="1050"/>
              <w:ind w:firstLine="0"/>
              <w:jc w:val="both"/>
              <w:rPr>
                <w:rFonts w:hint="eastAsia" w:eastAsia="宋体" w:cs="宋体"/>
                <w:color w:val="000000"/>
                <w:sz w:val="21"/>
                <w:szCs w:val="21"/>
              </w:rPr>
            </w:pPr>
            <w:r>
              <w:rPr>
                <w:rFonts w:hint="eastAsia" w:eastAsia="宋体" w:cs="宋体"/>
                <w:b/>
                <w:bCs/>
                <w:color w:val="000000"/>
                <w:sz w:val="21"/>
                <w:szCs w:val="21"/>
              </w:rPr>
              <w:t xml:space="preserve">注：如潜在供应商未按上述要求操作，将自行承担所产生的风险。</w:t>
            </w:r>
            <w:r>
              <w:rPr>
                <w:rFonts w:hint="eastAsia" w:eastAsia="宋体" w:cs="宋体"/>
                <w:color w:val="000000"/>
                <w:sz w:val="21"/>
                <w:szCs w:val="21"/>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pStyle w:val="831"/>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15</w:t>
            </w:r>
            <w:r>
              <w:rPr>
                <w:rFonts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4" w:type="dxa"/>
            <w:vAlign w:val="center"/>
            <w:textDirection w:val="lrTb"/>
            <w:noWrap w:val="false"/>
          </w:tcPr>
          <w:p>
            <w:pPr>
              <w:pStyle w:val="831"/>
              <w:jc w:val="both"/>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cs="仿宋"/>
                <w:color w:val="000000"/>
              </w:rPr>
              <w:t xml:space="preserve">踏勘</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2" w:type="dxa"/>
            <w:vAlign w:val="center"/>
            <w:textDirection w:val="lrTb"/>
            <w:noWrap w:val="false"/>
          </w:tcPr>
          <w:p>
            <w:pPr>
              <w:pStyle w:val="1050"/>
              <w:ind w:firstLine="0"/>
              <w:jc w:val="both"/>
              <w:rPr>
                <w:rFonts w:hint="eastAsia" w:eastAsia="宋体" w:cs="宋体"/>
                <w:b/>
                <w:bCs/>
                <w:color w:val="000000"/>
                <w:sz w:val="21"/>
                <w:szCs w:val="21"/>
              </w:rPr>
            </w:pPr>
            <w:r>
              <w:rPr>
                <w:rFonts w:hint="eastAsia" w:eastAsia="宋体" w:cs="宋体"/>
                <w:color w:val="000000"/>
                <w:sz w:val="21"/>
                <w:szCs w:val="21"/>
              </w:rPr>
              <w:t xml:space="preserve">本项目不组织统一踏勘，供应商可自行踏勘施工现场，由于供应商未踏勘施工现场导致的报价失误或对工程量清单理解产生的歧义，其后果自行承担。未踏勘现场或踏勘工作不详细的供应商，不得以不完全了解现场情况为理由而向采购人提出任何索赔或其他要求，对此采购人不承担任何责任。请各潜在投标供应商务必对采购文件进行仔细认真阅读，在随后的采购中，对采购文件所作出的推论、解释和结论及由此造成的后果由投标供应商负责。</w:t>
            </w:r>
            <w:r>
              <w:rPr>
                <w:rFonts w:hint="eastAsia" w:eastAsia="宋体" w:cs="宋体"/>
                <w:b/>
                <w:bCs/>
                <w:color w:val="000000"/>
                <w:sz w:val="21"/>
                <w:szCs w:val="21"/>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pStyle w:val="831"/>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4" w:type="dxa"/>
            <w:vAlign w:val="center"/>
            <w:textDirection w:val="lrTb"/>
            <w:noWrap w:val="false"/>
          </w:tcPr>
          <w:p>
            <w:pPr>
              <w:pStyle w:val="831"/>
              <w:jc w:val="both"/>
              <w:spacing w:line="85" w:lineRule="atLeast"/>
              <w:rPr>
                <w:rFonts w:hint="eastAsia" w:cs="仿宋"/>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代理服务费收取方式</w:t>
            </w:r>
            <w:r>
              <w:rPr>
                <w:rFonts w:hint="eastAsia" w:cs="仿宋"/>
                <w:color w:val="00000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2" w:type="dxa"/>
            <w:vAlign w:val="center"/>
            <w:textDirection w:val="lrTb"/>
            <w:noWrap w:val="false"/>
          </w:tcPr>
          <w:p>
            <w:pPr>
              <w:pStyle w:val="1050"/>
              <w:ind w:firstLine="0"/>
              <w:jc w:val="both"/>
              <w:rPr>
                <w:rFonts w:hint="eastAsia" w:eastAsia="宋体" w:cs="宋体"/>
                <w:color w:val="000000"/>
                <w:sz w:val="21"/>
                <w:szCs w:val="21"/>
              </w:rPr>
            </w:pPr>
            <w:r>
              <w:rPr>
                <w:rFonts w:hint="eastAsia" w:eastAsia="宋体" w:cs="宋体"/>
                <w:color w:val="000000"/>
                <w:sz w:val="21"/>
                <w:szCs w:val="21"/>
                <w:lang w:val="zh-CN"/>
              </w:rPr>
              <w:t xml:space="preserve">本项目</w:t>
            </w:r>
            <w:r>
              <w:rPr>
                <w:rFonts w:hint="eastAsia" w:eastAsia="宋体" w:cs="宋体"/>
                <w:color w:val="000000"/>
                <w:sz w:val="21"/>
                <w:szCs w:val="21"/>
              </w:rPr>
              <w:t xml:space="preserve">代理服务费由中标供应商在领取中标通知书时一次性支付给招标代理机构。其中代理服务费按照国家发展和改革委员会下发的《关于降低部分建设项目收费标准规范收费行为等有关问题的通知》（发改价格〔2011〕534号）所列采购代理服务费收费标准36%收取。</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pStyle w:val="831"/>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rPr>
                <w:rFonts w:ascii="宋体" w:hAnsi="宋体" w:eastAsia="宋体" w:cs="宋体"/>
                <w:color w:val="000000"/>
              </w:rPr>
              <w:t xml:space="preserve">7</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4" w:type="dxa"/>
            <w:vAlign w:val="center"/>
            <w:textDirection w:val="lrTb"/>
            <w:noWrap w:val="false"/>
          </w:tcPr>
          <w:p>
            <w:pPr>
              <w:pStyle w:val="831"/>
              <w:jc w:val="both"/>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图纸下载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2" w:type="dxa"/>
            <w:vAlign w:val="center"/>
            <w:textDirection w:val="lrTb"/>
            <w:noWrap w:val="false"/>
          </w:tcPr>
          <w:p>
            <w:pPr>
              <w:pStyle w:val="1050"/>
              <w:ind w:firstLine="420"/>
              <w:jc w:val="both"/>
              <w:rPr>
                <w:rFonts w:hint="eastAsia" w:eastAsia="宋体"/>
                <w:color w:val="000000"/>
                <w:sz w:val="21"/>
                <w:szCs w:val="21"/>
                <w:lang w:val="zh-CN"/>
              </w:rPr>
            </w:pPr>
            <w:r>
              <w:rPr>
                <w:rFonts w:hint="eastAsia" w:eastAsia="宋体" w:cs="宋体"/>
                <w:color w:val="000000"/>
                <w:sz w:val="21"/>
                <w:szCs w:val="21"/>
                <w:lang w:val="zh-CN"/>
              </w:rPr>
              <w:t xml:space="preserve">本项图纸及工程量清单详见百度云网盘，投标人自行下载，下载链接</w:t>
            </w:r>
            <w:r>
              <w:rPr>
                <w:color w:val="000000"/>
                <w:sz w:val="21"/>
                <w:szCs w:val="21"/>
                <w:lang w:val="zh-CN"/>
              </w:rPr>
              <w:t xml:space="preserve">https://pan.baidu.com/s/1Ycxfim9E6LTNDcgKQk4RPQ?pwd=0608 </w:t>
            </w:r>
            <w:r>
              <w:rPr>
                <w:rFonts w:hint="eastAsia" w:eastAsia="宋体" w:cs="宋体"/>
                <w:color w:val="000000"/>
                <w:sz w:val="21"/>
                <w:szCs w:val="21"/>
                <w:lang w:val="zh-CN"/>
              </w:rPr>
              <w:t xml:space="preserve">提取码</w:t>
            </w:r>
            <w:r>
              <w:rPr>
                <w:color w:val="000000"/>
                <w:sz w:val="21"/>
                <w:szCs w:val="21"/>
                <w:lang w:val="zh-CN"/>
              </w:rPr>
              <w:t xml:space="preserve">: 0608 </w:t>
            </w:r>
            <w:r>
              <w:rPr>
                <w:rFonts w:hint="eastAsia" w:eastAsia="宋体"/>
                <w:color w:val="000000"/>
                <w:sz w:val="21"/>
                <w:szCs w:val="21"/>
                <w:lang w:val="zh-CN"/>
              </w:rPr>
            </w:r>
            <w:r/>
          </w:p>
        </w:tc>
      </w:tr>
    </w:tbl>
    <w:p>
      <w:pPr>
        <w:pStyle w:val="831"/>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r>
      <w:r/>
    </w:p>
    <w:p>
      <w:pPr>
        <w:pStyle w:val="831"/>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r>
      <w:r/>
    </w:p>
    <w:p>
      <w:pPr>
        <w:pStyle w:val="831"/>
        <w:ind w:firstLine="422"/>
        <w:jc w:val="both"/>
        <w:spacing w:line="360" w:lineRule="auto"/>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一、总 则</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1.适用法律</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 《中华人民共和国政府采购法》、《中华人民共和国政府采购法实施条例》、《政府采购货物和服务招标投标管理办法》等有关法律、规章和规定等。</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2.供应商定义</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 “供应商”是指参加投标竞争，并符合招标文件规定资格条件的法人、其他组织或者自然人。</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3.工程、用户或使用单位定义。</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3.1 “工程”指本招标文件中所述产品及相关服务。</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3.2 “用户或使用单位”是指使用货物及接受服务的单位。</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4.政策功能</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4.1 中小企业政策</w:t>
      </w:r>
      <w:r/>
    </w:p>
    <w:p>
      <w:pPr>
        <w:pStyle w:val="831"/>
        <w:ind w:firstLine="420"/>
        <w:jc w:val="both"/>
        <w:spacing w:line="360" w:lineRule="auto"/>
        <w:rPr>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w:t>
      </w:r>
      <w:r>
        <w:rPr>
          <w:color w:val="000000"/>
          <w:szCs w:val="21"/>
        </w:rPr>
        <w:t xml:space="preserve">1</w:t>
      </w:r>
      <w:r>
        <w:rPr>
          <w:rFonts w:hint="eastAsia" w:ascii="宋体" w:hAnsi="宋体" w:eastAsia="宋体" w:cs="宋体"/>
          <w:color w:val="000000"/>
          <w:szCs w:val="21"/>
        </w:rPr>
        <w:t xml:space="preserve">）政府采购促进中小企业发展，小企业（含小型、微型企业）提供的产品和服务在评标时将获得优势，参加投标的小企业，应当提供《中小企业声明函》（</w:t>
      </w:r>
      <w:r>
        <w:rPr>
          <w:rFonts w:ascii="Arial" w:hAnsi="Arial" w:cs="Arial"/>
          <w:color w:val="000000"/>
          <w:szCs w:val="21"/>
        </w:rPr>
        <w:t xml:space="preserve">“</w:t>
      </w:r>
      <w:r>
        <w:rPr>
          <w:rFonts w:hint="eastAsia" w:ascii="宋体" w:hAnsi="宋体" w:eastAsia="宋体" w:cs="宋体"/>
          <w:color w:val="000000"/>
          <w:szCs w:val="21"/>
        </w:rPr>
        <w:t xml:space="preserve">中小企业划型标准</w:t>
      </w:r>
      <w:r>
        <w:rPr>
          <w:rFonts w:ascii="Arial" w:hAnsi="Arial" w:cs="Arial"/>
          <w:color w:val="000000"/>
          <w:szCs w:val="21"/>
        </w:rPr>
        <w:t xml:space="preserve">”</w:t>
      </w:r>
      <w:r>
        <w:rPr>
          <w:rFonts w:hint="eastAsia" w:ascii="宋体" w:hAnsi="宋体" w:eastAsia="宋体" w:cs="宋体"/>
          <w:color w:val="000000"/>
          <w:szCs w:val="21"/>
        </w:rPr>
        <w:t xml:space="preserve">详见《关于印发中小企业划型标准规定的通知》工信部联企业〔</w:t>
      </w:r>
      <w:r>
        <w:rPr>
          <w:color w:val="000000"/>
          <w:szCs w:val="21"/>
        </w:rPr>
        <w:t xml:space="preserve">2011</w:t>
      </w:r>
      <w:r>
        <w:rPr>
          <w:rFonts w:hint="eastAsia" w:ascii="宋体" w:hAnsi="宋体" w:eastAsia="宋体" w:cs="宋体"/>
          <w:color w:val="000000"/>
          <w:szCs w:val="21"/>
        </w:rPr>
        <w:t xml:space="preserve">〕</w:t>
      </w:r>
      <w:r>
        <w:rPr>
          <w:color w:val="000000"/>
          <w:szCs w:val="21"/>
        </w:rPr>
        <w:t xml:space="preserve">300</w:t>
      </w:r>
      <w:r>
        <w:rPr>
          <w:rFonts w:hint="eastAsia" w:ascii="宋体" w:hAnsi="宋体" w:eastAsia="宋体" w:cs="宋体"/>
          <w:color w:val="000000"/>
          <w:szCs w:val="21"/>
        </w:rPr>
        <w:t xml:space="preserve">号及《国家统计局关于印发〈统计上大中小微型企业划分办法（</w:t>
      </w:r>
      <w:r>
        <w:rPr>
          <w:color w:val="000000"/>
          <w:szCs w:val="21"/>
        </w:rPr>
        <w:t xml:space="preserve">2017</w:t>
      </w:r>
      <w:r>
        <w:rPr>
          <w:rFonts w:hint="eastAsia" w:ascii="宋体" w:hAnsi="宋体" w:eastAsia="宋体" w:cs="宋体"/>
          <w:color w:val="000000"/>
          <w:szCs w:val="21"/>
        </w:rPr>
        <w:t xml:space="preserve">）〉的通知》〉的通知》国统字〔</w:t>
      </w:r>
      <w:r>
        <w:rPr>
          <w:color w:val="000000"/>
          <w:szCs w:val="21"/>
        </w:rPr>
        <w:t xml:space="preserve">2017</w:t>
      </w:r>
      <w:r>
        <w:rPr>
          <w:rFonts w:hint="eastAsia" w:ascii="宋体" w:hAnsi="宋体" w:eastAsia="宋体" w:cs="宋体"/>
          <w:color w:val="000000"/>
          <w:szCs w:val="21"/>
        </w:rPr>
        <w:t xml:space="preserve">〕</w:t>
      </w:r>
      <w:r>
        <w:rPr>
          <w:color w:val="000000"/>
          <w:szCs w:val="21"/>
        </w:rPr>
        <w:t xml:space="preserve">213</w:t>
      </w:r>
      <w:r>
        <w:rPr>
          <w:rFonts w:hint="eastAsia" w:ascii="宋体" w:hAnsi="宋体" w:eastAsia="宋体" w:cs="宋体"/>
          <w:color w:val="000000"/>
          <w:szCs w:val="21"/>
        </w:rPr>
        <w:t xml:space="preserve">号）。</w:t>
      </w:r>
      <w:r>
        <w:rPr>
          <w:color w:val="000000"/>
          <w:szCs w:val="21"/>
        </w:rPr>
      </w:r>
      <w:r/>
    </w:p>
    <w:p>
      <w:pPr>
        <w:pStyle w:val="831"/>
        <w:ind w:firstLine="420"/>
        <w:jc w:val="both"/>
        <w:spacing w:line="360" w:lineRule="auto"/>
        <w:rPr>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w:t>
      </w:r>
      <w:r>
        <w:rPr>
          <w:color w:val="000000"/>
          <w:szCs w:val="21"/>
        </w:rPr>
        <w:t xml:space="preserve">2</w:t>
      </w:r>
      <w:r>
        <w:rPr>
          <w:rFonts w:hint="eastAsia" w:ascii="宋体" w:hAnsi="宋体" w:eastAsia="宋体" w:cs="宋体"/>
          <w:color w:val="000000"/>
          <w:szCs w:val="21"/>
        </w:rPr>
        <w:t xml:space="preserve">）本项目非专门面向中小企业或小型、微型企业的项目，对符合规定的小微企业报价给予</w:t>
      </w:r>
      <w:r>
        <w:rPr>
          <w:color w:val="000000"/>
          <w:szCs w:val="21"/>
        </w:rPr>
        <w:t xml:space="preserve">5%</w:t>
      </w:r>
      <w:r>
        <w:rPr>
          <w:rFonts w:hint="eastAsia" w:ascii="宋体" w:hAnsi="宋体" w:eastAsia="宋体" w:cs="宋体"/>
          <w:color w:val="000000"/>
          <w:szCs w:val="21"/>
        </w:rPr>
        <w:t xml:space="preserve">的扣除，用扣除后的价格参加评审。</w:t>
      </w:r>
      <w:r>
        <w:rPr>
          <w:color w:val="000000"/>
          <w:szCs w:val="21"/>
        </w:rPr>
      </w:r>
      <w:r/>
    </w:p>
    <w:p>
      <w:pPr>
        <w:pStyle w:val="831"/>
        <w:ind w:firstLine="420"/>
        <w:jc w:val="both"/>
        <w:spacing w:line="360" w:lineRule="auto"/>
        <w:rPr>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w:t>
      </w:r>
      <w:r>
        <w:rPr>
          <w:color w:val="000000"/>
          <w:szCs w:val="21"/>
        </w:rPr>
        <w:t xml:space="preserve">3</w:t>
      </w:r>
      <w:r>
        <w:rPr>
          <w:rFonts w:hint="eastAsia" w:ascii="宋体" w:hAnsi="宋体" w:eastAsia="宋体" w:cs="宋体"/>
          <w:color w:val="000000"/>
          <w:szCs w:val="21"/>
        </w:rPr>
        <w:t xml:space="preserve">）对于接受供应商以联合体形式参加采购活动的项目，小型、微型企业联合体应当符合《政府采购促进中小企业发展管理办法》的通知（财库〔</w:t>
      </w:r>
      <w:r>
        <w:rPr>
          <w:color w:val="000000"/>
          <w:szCs w:val="21"/>
        </w:rPr>
        <w:t xml:space="preserve">2020</w:t>
      </w:r>
      <w:r>
        <w:rPr>
          <w:rFonts w:hint="eastAsia" w:ascii="宋体" w:hAnsi="宋体" w:eastAsia="宋体" w:cs="宋体"/>
          <w:color w:val="000000"/>
          <w:szCs w:val="21"/>
        </w:rPr>
        <w:t xml:space="preserve">〕</w:t>
      </w:r>
      <w:r>
        <w:rPr>
          <w:color w:val="000000"/>
          <w:szCs w:val="21"/>
        </w:rPr>
        <w:t xml:space="preserve">46</w:t>
      </w:r>
      <w:r>
        <w:rPr>
          <w:rFonts w:hint="eastAsia" w:ascii="宋体" w:hAnsi="宋体" w:eastAsia="宋体" w:cs="宋体"/>
          <w:color w:val="000000"/>
          <w:szCs w:val="21"/>
        </w:rPr>
        <w:t xml:space="preserve">号）、《关于进一步加大政府采购支持中小企业力度的通知》（财库〔</w:t>
      </w:r>
      <w:r>
        <w:rPr>
          <w:color w:val="000000"/>
          <w:szCs w:val="21"/>
        </w:rPr>
        <w:t xml:space="preserve">2022</w:t>
      </w:r>
      <w:r>
        <w:rPr>
          <w:rFonts w:hint="eastAsia" w:ascii="宋体" w:hAnsi="宋体" w:eastAsia="宋体" w:cs="宋体"/>
          <w:color w:val="000000"/>
          <w:szCs w:val="21"/>
        </w:rPr>
        <w:t xml:space="preserve">〕</w:t>
      </w:r>
      <w:r>
        <w:rPr>
          <w:color w:val="000000"/>
          <w:szCs w:val="21"/>
        </w:rPr>
        <w:t xml:space="preserve">19</w:t>
      </w:r>
      <w:r>
        <w:rPr>
          <w:rFonts w:hint="eastAsia" w:ascii="宋体" w:hAnsi="宋体" w:eastAsia="宋体" w:cs="宋体"/>
          <w:color w:val="000000"/>
          <w:szCs w:val="21"/>
        </w:rPr>
        <w:t xml:space="preserve">号）规定。联合协议中约定，小型、微型企业的协议合同金额占到联合体协议合同总金额</w:t>
      </w:r>
      <w:r>
        <w:rPr>
          <w:color w:val="000000"/>
          <w:szCs w:val="21"/>
        </w:rPr>
        <w:t xml:space="preserve">30%</w:t>
      </w:r>
      <w:r>
        <w:rPr>
          <w:rFonts w:hint="eastAsia" w:ascii="宋体" w:hAnsi="宋体" w:eastAsia="宋体" w:cs="宋体"/>
          <w:color w:val="000000"/>
          <w:szCs w:val="21"/>
        </w:rPr>
        <w:t xml:space="preserve">以上的，给予联合体</w:t>
      </w:r>
      <w:r>
        <w:rPr>
          <w:color w:val="000000"/>
          <w:szCs w:val="21"/>
        </w:rPr>
        <w:t xml:space="preserve">4%</w:t>
      </w:r>
      <w:r>
        <w:rPr>
          <w:rFonts w:hint="eastAsia" w:ascii="宋体" w:hAnsi="宋体" w:eastAsia="宋体" w:cs="宋体"/>
          <w:color w:val="000000"/>
          <w:szCs w:val="21"/>
        </w:rPr>
        <w:t xml:space="preserve">的价格扣除。联合体各方均为小型、微型企业的，联合体视同为小型、微型企业给予</w:t>
      </w:r>
      <w:r>
        <w:rPr>
          <w:color w:val="000000"/>
          <w:szCs w:val="21"/>
        </w:rPr>
        <w:t xml:space="preserve">5%</w:t>
      </w:r>
      <w:r>
        <w:rPr>
          <w:rFonts w:hint="eastAsia" w:ascii="宋体" w:hAnsi="宋体" w:eastAsia="宋体" w:cs="宋体"/>
          <w:color w:val="000000"/>
          <w:szCs w:val="21"/>
        </w:rPr>
        <w:t xml:space="preserve">价格扣除。组成联合体的大中型企业和其他自然人、法人或者其他组织，与小型、微型企业之间不得存在投资关系。</w:t>
      </w:r>
      <w:r>
        <w:rPr>
          <w:color w:val="000000"/>
          <w:szCs w:val="21"/>
        </w:rPr>
      </w:r>
      <w:r/>
    </w:p>
    <w:p>
      <w:pPr>
        <w:pStyle w:val="831"/>
        <w:ind w:firstLine="420"/>
        <w:jc w:val="both"/>
        <w:spacing w:line="360" w:lineRule="auto"/>
        <w:rPr>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w:t>
      </w:r>
      <w:r>
        <w:rPr>
          <w:color w:val="000000"/>
          <w:szCs w:val="21"/>
        </w:rPr>
        <w:t xml:space="preserve">4</w:t>
      </w:r>
      <w:r>
        <w:rPr>
          <w:rFonts w:hint="eastAsia" w:ascii="宋体" w:hAnsi="宋体" w:eastAsia="宋体" w:cs="宋体"/>
          <w:color w:val="000000"/>
          <w:szCs w:val="21"/>
        </w:rPr>
        <w:t xml:space="preserve">）根据《财库〔</w:t>
      </w:r>
      <w:r>
        <w:rPr>
          <w:color w:val="000000"/>
          <w:szCs w:val="21"/>
        </w:rPr>
        <w:t xml:space="preserve">2014</w:t>
      </w:r>
      <w:r>
        <w:rPr>
          <w:rFonts w:hint="eastAsia" w:ascii="宋体" w:hAnsi="宋体" w:eastAsia="宋体" w:cs="宋体"/>
          <w:color w:val="000000"/>
          <w:szCs w:val="21"/>
        </w:rPr>
        <w:t xml:space="preserve">〕</w:t>
      </w:r>
      <w:r>
        <w:rPr>
          <w:color w:val="000000"/>
          <w:szCs w:val="21"/>
        </w:rPr>
        <w:t xml:space="preserve">68</w:t>
      </w:r>
      <w:r>
        <w:rPr>
          <w:rFonts w:hint="eastAsia" w:ascii="宋体" w:hAnsi="宋体" w:eastAsia="宋体" w:cs="宋体"/>
          <w:color w:val="000000"/>
          <w:szCs w:val="21"/>
        </w:rPr>
        <w:t xml:space="preserve">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rPr>
          <w:color w:val="000000"/>
          <w:szCs w:val="21"/>
        </w:rPr>
      </w:r>
      <w:r/>
    </w:p>
    <w:p>
      <w:pPr>
        <w:pStyle w:val="831"/>
        <w:ind w:firstLine="420"/>
        <w:jc w:val="both"/>
        <w:spacing w:line="360" w:lineRule="auto"/>
        <w:rPr>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w:t>
      </w:r>
      <w:r>
        <w:rPr>
          <w:color w:val="000000"/>
          <w:szCs w:val="21"/>
        </w:rPr>
        <w:t xml:space="preserve">5</w:t>
      </w:r>
      <w:r>
        <w:rPr>
          <w:rFonts w:hint="eastAsia" w:ascii="宋体" w:hAnsi="宋体" w:eastAsia="宋体" w:cs="宋体"/>
          <w:color w:val="000000"/>
          <w:szCs w:val="21"/>
        </w:rPr>
        <w:t xml:space="preserve">）根据《财库〔</w:t>
      </w:r>
      <w:r>
        <w:rPr>
          <w:color w:val="000000"/>
          <w:szCs w:val="21"/>
        </w:rPr>
        <w:t xml:space="preserve">2017</w:t>
      </w:r>
      <w:r>
        <w:rPr>
          <w:rFonts w:hint="eastAsia" w:ascii="宋体" w:hAnsi="宋体" w:eastAsia="宋体" w:cs="宋体"/>
          <w:color w:val="000000"/>
          <w:szCs w:val="21"/>
        </w:rPr>
        <w:t xml:space="preserve">〕</w:t>
      </w:r>
      <w:r>
        <w:rPr>
          <w:color w:val="000000"/>
          <w:szCs w:val="21"/>
        </w:rPr>
        <w:t xml:space="preserve">141</w:t>
      </w:r>
      <w:r>
        <w:rPr>
          <w:rFonts w:hint="eastAsia" w:ascii="宋体" w:hAnsi="宋体" w:eastAsia="宋体" w:cs="宋体"/>
          <w:color w:val="000000"/>
          <w:szCs w:val="21"/>
        </w:rPr>
        <w:t xml:space="preserve">号》符合条件的残疾人福利性单位视同小型、微型企业，享受中小企业发展的政府采购政策。残疾人福利性单位属于小型、微型企业的，不重复享受政策。参加投标的残疾人福利性单位，应当提供</w:t>
      </w:r>
      <w:r>
        <w:rPr>
          <w:color w:val="000000"/>
          <w:szCs w:val="21"/>
        </w:rPr>
        <w:t xml:space="preserve"> </w:t>
      </w:r>
      <w:r>
        <w:rPr>
          <w:rFonts w:hint="eastAsia" w:ascii="宋体" w:hAnsi="宋体" w:eastAsia="宋体" w:cs="宋体"/>
          <w:color w:val="000000"/>
          <w:szCs w:val="21"/>
        </w:rPr>
        <w:t xml:space="preserve">《残疾人福利性单位声明函》，未提供上述资料的报价，其价格不予扣除。</w:t>
      </w:r>
      <w:r>
        <w:rPr>
          <w:color w:val="000000"/>
          <w:szCs w:val="21"/>
        </w:rPr>
      </w:r>
      <w:r/>
    </w:p>
    <w:p>
      <w:pPr>
        <w:pStyle w:val="831"/>
        <w:ind w:firstLine="420"/>
        <w:jc w:val="both"/>
        <w:spacing w:line="360" w:lineRule="auto"/>
        <w:rPr>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w:t>
      </w:r>
      <w:r>
        <w:rPr>
          <w:color w:val="000000"/>
          <w:szCs w:val="21"/>
        </w:rPr>
        <w:t xml:space="preserve">6</w:t>
      </w:r>
      <w:r>
        <w:rPr>
          <w:rFonts w:hint="eastAsia" w:ascii="宋体" w:hAnsi="宋体" w:eastAsia="宋体" w:cs="宋体"/>
          <w:color w:val="000000"/>
          <w:szCs w:val="21"/>
        </w:rPr>
        <w:t xml:space="preserve">）参加政府采购活动的中小企业应当按</w:t>
      </w:r>
      <w:r>
        <w:rPr>
          <w:rFonts w:ascii="Arial" w:hAnsi="Arial" w:cs="Arial"/>
          <w:color w:val="000000"/>
          <w:szCs w:val="21"/>
        </w:rPr>
        <w:t xml:space="preserve">“</w:t>
      </w:r>
      <w:r>
        <w:rPr>
          <w:rFonts w:hint="eastAsia" w:ascii="宋体" w:hAnsi="宋体" w:eastAsia="宋体" w:cs="宋体"/>
          <w:color w:val="000000"/>
          <w:szCs w:val="21"/>
        </w:rPr>
        <w:t xml:space="preserve">关于印发《政府采购促进中小企业发展管理办法》的通知</w:t>
      </w:r>
      <w:r>
        <w:rPr>
          <w:color w:val="000000"/>
          <w:szCs w:val="21"/>
        </w:rPr>
        <w:t xml:space="preserve">[</w:t>
      </w:r>
      <w:r>
        <w:rPr>
          <w:rFonts w:hint="eastAsia" w:ascii="宋体" w:hAnsi="宋体" w:eastAsia="宋体" w:cs="宋体"/>
          <w:color w:val="000000"/>
          <w:szCs w:val="21"/>
        </w:rPr>
        <w:t xml:space="preserve">财库〔</w:t>
      </w:r>
      <w:r>
        <w:rPr>
          <w:color w:val="000000"/>
          <w:szCs w:val="21"/>
        </w:rPr>
        <w:t xml:space="preserve">2020</w:t>
      </w:r>
      <w:r>
        <w:rPr>
          <w:rFonts w:hint="eastAsia" w:ascii="宋体" w:hAnsi="宋体" w:eastAsia="宋体" w:cs="宋体"/>
          <w:color w:val="000000"/>
          <w:szCs w:val="21"/>
        </w:rPr>
        <w:t xml:space="preserve">〕</w:t>
      </w:r>
      <w:r>
        <w:rPr>
          <w:color w:val="000000"/>
          <w:szCs w:val="21"/>
        </w:rPr>
        <w:t xml:space="preserve">46</w:t>
      </w:r>
      <w:r>
        <w:rPr>
          <w:rFonts w:hint="eastAsia" w:ascii="宋体" w:hAnsi="宋体" w:eastAsia="宋体" w:cs="宋体"/>
          <w:color w:val="000000"/>
          <w:szCs w:val="21"/>
        </w:rPr>
        <w:t xml:space="preserve">号</w:t>
      </w:r>
      <w:r>
        <w:rPr>
          <w:color w:val="000000"/>
          <w:szCs w:val="21"/>
        </w:rPr>
        <w:t xml:space="preserve">]” </w:t>
      </w:r>
      <w:r>
        <w:rPr>
          <w:rFonts w:hint="eastAsia" w:ascii="宋体" w:hAnsi="宋体" w:eastAsia="宋体" w:cs="宋体"/>
          <w:color w:val="000000"/>
          <w:szCs w:val="21"/>
        </w:rPr>
        <w:t xml:space="preserve">规定提供《中小企业声明函》，未提供上述资料的报价，其价格不予扣除。</w:t>
      </w:r>
      <w:r>
        <w:rPr>
          <w:color w:val="000000"/>
          <w:szCs w:val="21"/>
        </w:rPr>
      </w:r>
      <w:r/>
    </w:p>
    <w:p>
      <w:pPr>
        <w:pStyle w:val="831"/>
        <w:ind w:firstLine="420"/>
        <w:jc w:val="both"/>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w:t>
      </w:r>
      <w:r>
        <w:rPr>
          <w:color w:val="000000"/>
          <w:szCs w:val="21"/>
        </w:rPr>
        <w:t xml:space="preserve">7</w:t>
      </w:r>
      <w:r>
        <w:rPr>
          <w:rFonts w:hint="eastAsia" w:ascii="宋体" w:hAnsi="宋体" w:eastAsia="宋体" w:cs="宋体"/>
          <w:color w:val="000000"/>
          <w:szCs w:val="21"/>
        </w:rPr>
        <w:t xml:space="preserve">）中小企业依据《政府采购促进中小企业发展管理办法》的通知（财库〔</w:t>
      </w:r>
      <w:r>
        <w:rPr>
          <w:color w:val="000000"/>
          <w:szCs w:val="21"/>
        </w:rPr>
        <w:t xml:space="preserve">2020</w:t>
      </w:r>
      <w:r>
        <w:rPr>
          <w:rFonts w:hint="eastAsia" w:ascii="宋体" w:hAnsi="宋体" w:eastAsia="宋体" w:cs="宋体"/>
          <w:color w:val="000000"/>
          <w:szCs w:val="21"/>
        </w:rPr>
        <w:t xml:space="preserve">〕</w:t>
      </w:r>
      <w:r>
        <w:rPr>
          <w:color w:val="000000"/>
          <w:szCs w:val="21"/>
        </w:rPr>
        <w:t xml:space="preserve">46</w:t>
      </w:r>
      <w:r>
        <w:rPr>
          <w:rFonts w:hint="eastAsia" w:ascii="宋体" w:hAnsi="宋体" w:eastAsia="宋体" w:cs="宋体"/>
          <w:color w:val="000000"/>
          <w:szCs w:val="21"/>
        </w:rPr>
        <w:t xml:space="preserve">号）、《关于进一步加大政府采购支持中小企业力度的通知》（财库〔</w:t>
      </w:r>
      <w:r>
        <w:rPr>
          <w:color w:val="000000"/>
          <w:szCs w:val="21"/>
        </w:rPr>
        <w:t xml:space="preserve">2022</w:t>
      </w:r>
      <w:r>
        <w:rPr>
          <w:rFonts w:hint="eastAsia" w:ascii="宋体" w:hAnsi="宋体" w:eastAsia="宋体" w:cs="宋体"/>
          <w:color w:val="000000"/>
          <w:szCs w:val="21"/>
        </w:rPr>
        <w:t xml:space="preserve">〕</w:t>
      </w:r>
      <w:r>
        <w:rPr>
          <w:color w:val="000000"/>
          <w:szCs w:val="21"/>
        </w:rPr>
        <w:t xml:space="preserve">19</w:t>
      </w:r>
      <w:r>
        <w:rPr>
          <w:rFonts w:hint="eastAsia" w:ascii="宋体" w:hAnsi="宋体" w:eastAsia="宋体" w:cs="宋体"/>
          <w:color w:val="000000"/>
          <w:szCs w:val="21"/>
        </w:rPr>
        <w:t xml:space="preserve">号）规定的政策获取政府采购合同后，小微企业不得将合同分包给大中型企业，中型企业不得将合同分包给大型企业。</w:t>
      </w:r>
      <w:r>
        <w:rPr>
          <w:rFonts w:ascii="宋体" w:hAnsi="宋体" w:eastAsia="宋体" w:cs="宋体"/>
          <w:color w:val="000000"/>
          <w:szCs w:val="21"/>
        </w:rPr>
      </w:r>
      <w:r/>
    </w:p>
    <w:p>
      <w:pPr>
        <w:pStyle w:val="831"/>
        <w:ind w:firstLine="420"/>
        <w:jc w:val="both"/>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4.2 </w:t>
      </w:r>
      <w:r>
        <w:rPr>
          <w:rFonts w:hint="eastAsia" w:ascii="宋体" w:hAnsi="宋体" w:eastAsia="宋体" w:cs="宋体"/>
          <w:color w:val="000000"/>
          <w:szCs w:val="21"/>
          <w:lang w:val="zh-CN"/>
        </w:rPr>
        <w:t xml:space="preserve">节能产品政策</w:t>
      </w:r>
      <w:r/>
    </w:p>
    <w:p>
      <w:pPr>
        <w:pStyle w:val="831"/>
        <w:ind w:firstLine="420"/>
        <w:jc w:val="both"/>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zh-CN"/>
        </w:rPr>
        <w:t xml:space="preserve">（1）节能产品是指列入财政部、国家发展和改革委员会制定的《节能产品政府采购品目清单》，且经过认定的节能产品，依据品目清单和认证证书实施政府优先采购和强制采购。</w:t>
      </w:r>
      <w:r/>
    </w:p>
    <w:p>
      <w:pPr>
        <w:pStyle w:val="831"/>
        <w:ind w:firstLine="420"/>
        <w:jc w:val="both"/>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zh-CN"/>
        </w:rPr>
        <w:t xml:space="preserve">（2）采购人拟采购的产品属于《节能产品政府采购品目清单》所列产品的，供应商应当选择依据国家标准中二级能效（水效）指标认证的节能产品进行投标，并提供国家确定的认证机构出具的、处于有效期之内的节能产品认证证书</w:t>
      </w:r>
      <w:r>
        <w:rPr>
          <w:rFonts w:hint="eastAsia" w:ascii="宋体" w:hAnsi="宋体" w:eastAsia="宋体" w:cs="宋体"/>
          <w:color w:val="000000"/>
          <w:szCs w:val="21"/>
          <w:lang w:val="zh-CN"/>
        </w:rPr>
        <w:t xml:space="preserve">扫描件</w:t>
      </w:r>
      <w:r>
        <w:rPr>
          <w:rFonts w:hint="eastAsia" w:ascii="宋体" w:hAnsi="宋体" w:eastAsia="宋体" w:cs="宋体"/>
          <w:color w:val="000000"/>
          <w:szCs w:val="21"/>
          <w:lang w:val="zh-CN"/>
        </w:rPr>
        <w:t xml:space="preserve">。</w:t>
      </w:r>
      <w:r/>
    </w:p>
    <w:p>
      <w:pPr>
        <w:pStyle w:val="831"/>
        <w:ind w:firstLine="420"/>
        <w:jc w:val="both"/>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zh-CN"/>
        </w:rPr>
        <w:t xml:space="preserve">（3）供应商提供的产品属于《节能产品政府采购品目清单》所列非政府强制采购产品的，在性能、技术、服务等指标同等条件下，实行优先采购，优先采购的评审标准详见本采购文件第三章</w:t>
      </w:r>
      <w:r>
        <w:rPr>
          <w:rFonts w:hint="eastAsia" w:ascii="宋体" w:hAnsi="宋体" w:eastAsia="宋体" w:cs="宋体"/>
          <w:color w:val="000000"/>
          <w:szCs w:val="21"/>
        </w:rPr>
        <w:t xml:space="preserve">评标标准</w:t>
      </w:r>
      <w:r>
        <w:rPr>
          <w:rFonts w:hint="eastAsia" w:ascii="宋体" w:hAnsi="宋体" w:eastAsia="宋体" w:cs="宋体"/>
          <w:color w:val="000000"/>
          <w:szCs w:val="21"/>
          <w:lang w:val="zh-CN"/>
        </w:rPr>
        <w:t xml:space="preserve">。</w:t>
      </w:r>
      <w:r/>
    </w:p>
    <w:p>
      <w:pPr>
        <w:pStyle w:val="831"/>
        <w:ind w:firstLine="420"/>
        <w:jc w:val="both"/>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zh-CN"/>
        </w:rPr>
        <w:t xml:space="preserve">（4）采购人拟采购的产品属于《节能产品政府采购品目清单》所列政府强制采购产品的，供应商提供的产品则必须为列入《节能产品政府采购品目清单》的政府强制采购产品，实行强制采购，否则投标无效。</w:t>
      </w:r>
      <w:r/>
    </w:p>
    <w:p>
      <w:pPr>
        <w:pStyle w:val="831"/>
        <w:ind w:firstLine="420"/>
        <w:jc w:val="both"/>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4.3 </w:t>
      </w:r>
      <w:r>
        <w:rPr>
          <w:rFonts w:hint="eastAsia" w:ascii="宋体" w:hAnsi="宋体" w:eastAsia="宋体" w:cs="宋体"/>
          <w:color w:val="000000"/>
          <w:szCs w:val="21"/>
          <w:lang w:val="zh-CN"/>
        </w:rPr>
        <w:t xml:space="preserve">环境标志产品政策</w:t>
      </w:r>
      <w:r/>
    </w:p>
    <w:p>
      <w:pPr>
        <w:pStyle w:val="831"/>
        <w:ind w:firstLine="420"/>
        <w:jc w:val="both"/>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zh-CN"/>
        </w:rPr>
        <w:t xml:space="preserve">（1）环境标志产品是指列入财政部、生态环境部制定的《环境标志产品政府采购品目清单》，且依据相关标准的最新版本认证的环境标志产品，依据品目清单和认证证书实施政府优先采购。</w:t>
      </w:r>
      <w:r/>
    </w:p>
    <w:p>
      <w:pPr>
        <w:pStyle w:val="831"/>
        <w:ind w:firstLine="420"/>
        <w:jc w:val="both"/>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zh-CN"/>
        </w:rPr>
        <w:t xml:space="preserve">（2）采购人拟采购的产品属于《环境标志产品政府采购品目清单》所列产品的，供应商应当选择依据相关标准的最新版本认证的环境标志产品进行投标，并提供国家确定的认证机构出具的、处于有效期之内的环境标志产品认证证书</w:t>
      </w:r>
      <w:r>
        <w:rPr>
          <w:rFonts w:hint="eastAsia" w:ascii="宋体" w:hAnsi="宋体" w:eastAsia="宋体" w:cs="宋体"/>
          <w:color w:val="000000"/>
          <w:szCs w:val="21"/>
          <w:lang w:val="zh-CN"/>
        </w:rPr>
        <w:t xml:space="preserve">扫描件</w:t>
      </w:r>
      <w:r>
        <w:rPr>
          <w:rFonts w:hint="eastAsia" w:ascii="宋体" w:hAnsi="宋体" w:eastAsia="宋体" w:cs="宋体"/>
          <w:color w:val="000000"/>
          <w:szCs w:val="21"/>
          <w:lang w:val="zh-CN"/>
        </w:rPr>
        <w:t xml:space="preserve">。</w:t>
      </w:r>
      <w:r/>
    </w:p>
    <w:p>
      <w:pPr>
        <w:pStyle w:val="831"/>
        <w:ind w:firstLine="420"/>
        <w:jc w:val="both"/>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zh-CN"/>
        </w:rPr>
        <w:t xml:space="preserve">（3）供应商提供的产品属于《环境标志产品政府采购品目清单》所列产品的，在性能、技术、服务等指标同等条件下，实行优先采购，优先采购的评审标准详见本采购文件第三章</w:t>
      </w:r>
      <w:r>
        <w:rPr>
          <w:rFonts w:hint="eastAsia" w:ascii="宋体" w:hAnsi="宋体" w:eastAsia="宋体" w:cs="宋体"/>
          <w:color w:val="000000"/>
          <w:szCs w:val="21"/>
        </w:rPr>
        <w:t xml:space="preserve">评标标准</w:t>
      </w:r>
      <w:r>
        <w:rPr>
          <w:rFonts w:hint="eastAsia" w:ascii="宋体" w:hAnsi="宋体" w:eastAsia="宋体" w:cs="宋体"/>
          <w:color w:val="000000"/>
          <w:szCs w:val="21"/>
          <w:lang w:val="zh-CN"/>
        </w:rPr>
        <w:t xml:space="preserve">。</w:t>
      </w:r>
      <w:r/>
    </w:p>
    <w:p>
      <w:pPr>
        <w:pStyle w:val="831"/>
        <w:ind w:firstLine="422"/>
        <w:jc w:val="both"/>
        <w:spacing w:line="360" w:lineRule="auto"/>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二、招标文件构成</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5.1 招标文件由以下部分组成：</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第一章 招标公告</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fldChar w:fldCharType="begin"/>
      </w:r>
      <w:r>
        <w:rPr>
          <w:rFonts w:hint="eastAsia" w:ascii="宋体" w:hAnsi="宋体" w:eastAsia="宋体" w:cs="宋体"/>
          <w:color w:val="000000"/>
          <w:szCs w:val="21"/>
        </w:rPr>
        <w:instrText xml:space="preserve"> HYPERLINK "</w:instrText>
      </w:r>
      <w:r>
        <w:rPr>
          <w:rFonts w:hint="eastAsia" w:ascii="宋体" w:hAnsi="宋体" w:eastAsia="宋体" w:cs="宋体"/>
          <w:color w:val="000000"/>
          <w:szCs w:val="21"/>
        </w:rPr>
        <w:instrText xml:space="preserve">http://jszfcg.jsczt.cn/jszc/onlyoffice/7.2.1-34/web-apps/apps/documenteditor/main/index_loader.html?_dc=7.2.1-34&amp;lang=zh&amp;customer=%20&amp;logo=%20&amp;headerlogo=%2Ffavicon.ico&amp;frameEditorId=iframePage&amp;compact=true&amp;parentOrigin=http://jszfcg.jsczt.cn#_Toc30906" \o</w:instrText>
      </w:r>
      <w:r>
        <w:rPr>
          <w:rFonts w:hint="eastAsia" w:ascii="宋体" w:hAnsi="宋体" w:eastAsia="宋体" w:cs="宋体"/>
          <w:color w:val="000000"/>
          <w:szCs w:val="21"/>
        </w:rPr>
        <w:instrText xml:space="preserve"> "http://jszfcg.jsczt.cn/jszc/onlyoffice/7.2.1-34/web-apps/apps/documenteditor/main/index_loader.html?_dc=7.2.1-34&amp;lang=zh&amp;customer=%20&amp;logo=%20&amp;headerlogo=%2Ffavicon.ico&amp;frameEditorId=iframePage&amp;compact=true&amp;parentOrigin=http://jszfcg.jsczt.cn#_Toc30906" </w:instrText>
      </w:r>
      <w:r>
        <w:rPr>
          <w:rFonts w:hint="eastAsia" w:ascii="宋体" w:hAnsi="宋体" w:eastAsia="宋体" w:cs="宋体"/>
          <w:color w:val="000000"/>
          <w:szCs w:val="21"/>
        </w:rPr>
        <w:fldChar w:fldCharType="separate"/>
      </w:r>
      <w:r>
        <w:rPr>
          <w:rFonts w:hint="eastAsia" w:ascii="宋体" w:hAnsi="宋体" w:eastAsia="宋体" w:cs="宋体"/>
          <w:color w:val="000000"/>
          <w:szCs w:val="21"/>
        </w:rPr>
        <w:t xml:space="preserve">第二章  投标供应商须知</w:t>
      </w:r>
      <w:r>
        <w:rPr>
          <w:rFonts w:hint="eastAsia" w:ascii="宋体" w:hAnsi="宋体" w:eastAsia="宋体" w:cs="宋体"/>
          <w:color w:val="000000"/>
          <w:szCs w:val="21"/>
        </w:rPr>
        <w:fldChar w:fldCharType="end"/>
      </w:r>
      <w:r>
        <w:rPr>
          <w:rFonts w:hint="eastAsia" w:ascii="宋体" w:hAnsi="宋体" w:eastAsia="宋体" w:cs="宋体"/>
          <w:color w:val="000000"/>
          <w:szCs w:val="21"/>
        </w:rPr>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fldChar w:fldCharType="begin"/>
      </w:r>
      <w:r>
        <w:rPr>
          <w:rFonts w:hint="eastAsia" w:ascii="宋体" w:hAnsi="宋体" w:eastAsia="宋体" w:cs="宋体"/>
          <w:color w:val="000000"/>
          <w:szCs w:val="21"/>
        </w:rPr>
        <w:instrText xml:space="preserve"> HYPERLINK "</w:instrText>
      </w:r>
      <w:r>
        <w:rPr>
          <w:rFonts w:hint="eastAsia" w:ascii="宋体" w:hAnsi="宋体" w:eastAsia="宋体" w:cs="宋体"/>
          <w:color w:val="000000"/>
          <w:szCs w:val="21"/>
        </w:rPr>
        <w:instrText xml:space="preserve">http://jszfcg.jsczt.cn/jszc/onlyoffice/7.2.1-34/web-apps/apps/documenteditor/main/index_loader.html?_dc=7.2.1-34&amp;lang=zh&amp;customer=%20&amp;logo=%20&amp;headerlogo=%2Ffavicon.ico&amp;frameEditorId=iframePage&amp;compact=true&amp;parentOrigin=http://jszfcg.jsczt.cn#_Toc15260" \o</w:instrText>
      </w:r>
      <w:r>
        <w:rPr>
          <w:rFonts w:hint="eastAsia" w:ascii="宋体" w:hAnsi="宋体" w:eastAsia="宋体" w:cs="宋体"/>
          <w:color w:val="000000"/>
          <w:szCs w:val="21"/>
        </w:rPr>
        <w:instrText xml:space="preserve"> "http://jszfcg.jsczt.cn/jszc/onlyoffice/7.2.1-34/web-apps/apps/documenteditor/main/index_loader.html?_dc=7.2.1-34&amp;lang=zh&amp;customer=%20&amp;logo=%20&amp;headerlogo=%2Ffavicon.ico&amp;frameEditorId=iframePage&amp;compact=true&amp;parentOrigin=http://jszfcg.jsczt.cn#_Toc15260" </w:instrText>
      </w:r>
      <w:r>
        <w:rPr>
          <w:rFonts w:hint="eastAsia" w:ascii="宋体" w:hAnsi="宋体" w:eastAsia="宋体" w:cs="宋体"/>
          <w:color w:val="000000"/>
          <w:szCs w:val="21"/>
        </w:rPr>
        <w:fldChar w:fldCharType="separate"/>
      </w:r>
      <w:r>
        <w:rPr>
          <w:rFonts w:hint="eastAsia" w:ascii="宋体" w:hAnsi="宋体" w:eastAsia="宋体" w:cs="宋体"/>
          <w:color w:val="000000"/>
          <w:szCs w:val="21"/>
        </w:rPr>
        <w:t xml:space="preserve">第三章 评标标准</w:t>
      </w:r>
      <w:r>
        <w:rPr>
          <w:rFonts w:hint="eastAsia" w:ascii="宋体" w:hAnsi="宋体" w:eastAsia="宋体" w:cs="宋体"/>
          <w:color w:val="000000"/>
          <w:szCs w:val="21"/>
        </w:rPr>
        <w:fldChar w:fldCharType="end"/>
      </w:r>
      <w:r>
        <w:rPr>
          <w:rFonts w:hint="eastAsia" w:ascii="宋体" w:hAnsi="宋体" w:eastAsia="宋体" w:cs="宋体"/>
          <w:color w:val="000000"/>
          <w:szCs w:val="21"/>
        </w:rPr>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fldChar w:fldCharType="begin"/>
      </w:r>
      <w:r>
        <w:rPr>
          <w:rFonts w:hint="eastAsia" w:ascii="宋体" w:hAnsi="宋体" w:eastAsia="宋体" w:cs="宋体"/>
          <w:color w:val="000000"/>
          <w:szCs w:val="21"/>
        </w:rPr>
        <w:instrText xml:space="preserve"> HYPERLINK "</w:instrText>
      </w:r>
      <w:r>
        <w:rPr>
          <w:rFonts w:hint="eastAsia" w:ascii="宋体" w:hAnsi="宋体" w:eastAsia="宋体" w:cs="宋体"/>
          <w:color w:val="000000"/>
          <w:szCs w:val="21"/>
        </w:rPr>
        <w:instrText xml:space="preserve">http://jszfcg.jsczt.cn/jszc/onlyoffice/7.2.1-34/web-apps/apps/documenteditor/main/index_loader.html?_dc=7.2.1-34&amp;lang=zh&amp;customer=%20&amp;logo=%20&amp;headerlogo=%2Ffavicon.ico&amp;frameEditorId=iframePage&amp;compact=true&amp;parentOrigin=http://jszfcg.jsczt.cn#_Toc27725" \o</w:instrText>
      </w:r>
      <w:r>
        <w:rPr>
          <w:rFonts w:hint="eastAsia" w:ascii="宋体" w:hAnsi="宋体" w:eastAsia="宋体" w:cs="宋体"/>
          <w:color w:val="000000"/>
          <w:szCs w:val="21"/>
        </w:rPr>
        <w:instrText xml:space="preserve"> "http://jszfcg.jsczt.cn/jszc/onlyoffice/7.2.1-34/web-apps/apps/documenteditor/main/index_loader.html?_dc=7.2.1-34&amp;lang=zh&amp;customer=%20&amp;logo=%20&amp;headerlogo=%2Ffavicon.ico&amp;frameEditorId=iframePage&amp;compact=true&amp;parentOrigin=http://jszfcg.jsczt.cn#_Toc27725" </w:instrText>
      </w:r>
      <w:r>
        <w:rPr>
          <w:rFonts w:hint="eastAsia" w:ascii="宋体" w:hAnsi="宋体" w:eastAsia="宋体" w:cs="宋体"/>
          <w:color w:val="000000"/>
          <w:szCs w:val="21"/>
        </w:rPr>
        <w:fldChar w:fldCharType="separate"/>
      </w:r>
      <w:r>
        <w:rPr>
          <w:rFonts w:hint="eastAsia" w:ascii="宋体" w:hAnsi="宋体" w:eastAsia="宋体" w:cs="宋体"/>
          <w:color w:val="000000"/>
          <w:szCs w:val="21"/>
        </w:rPr>
        <w:t xml:space="preserve">第四章 招标项目的技术规格、要求和数量等</w:t>
      </w:r>
      <w:r>
        <w:rPr>
          <w:rFonts w:hint="eastAsia" w:ascii="宋体" w:hAnsi="宋体" w:eastAsia="宋体" w:cs="宋体"/>
          <w:color w:val="000000"/>
          <w:szCs w:val="21"/>
        </w:rPr>
        <w:fldChar w:fldCharType="end"/>
      </w:r>
      <w:r>
        <w:rPr>
          <w:rFonts w:hint="eastAsia" w:ascii="宋体" w:hAnsi="宋体" w:eastAsia="宋体" w:cs="宋体"/>
          <w:color w:val="000000"/>
          <w:szCs w:val="21"/>
        </w:rPr>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fldChar w:fldCharType="begin"/>
      </w:r>
      <w:r>
        <w:rPr>
          <w:rFonts w:hint="eastAsia" w:ascii="宋体" w:hAnsi="宋体" w:eastAsia="宋体" w:cs="宋体"/>
          <w:color w:val="000000"/>
          <w:szCs w:val="21"/>
        </w:rPr>
        <w:instrText xml:space="preserve"> HYPERLINK</w:instrText>
      </w:r>
      <w:r>
        <w:rPr>
          <w:rFonts w:hint="eastAsia" w:ascii="宋体" w:hAnsi="宋体" w:eastAsia="宋体" w:cs="宋体"/>
          <w:color w:val="000000"/>
          <w:szCs w:val="21"/>
        </w:rPr>
        <w:instrText xml:space="preserve"> "http://jszfcg.jsczt.cn/jszc/onlyoffice/7.2.1-34/web-apps/apps/documenteditor/main/index_loader.html?_dc=7.2.1-34&amp;lang=zh&amp;customer=%20&amp;logo=%20&amp;headerlogo=%2Ffavicon.ico&amp;frameEditorId=iframePage&amp;compact=true&amp;parentOrigin=http://jszfcg.jsczt.cn#_Toc2047" \</w:instrText>
      </w:r>
      <w:r>
        <w:rPr>
          <w:rFonts w:hint="eastAsia" w:ascii="宋体" w:hAnsi="宋体" w:eastAsia="宋体" w:cs="宋体"/>
          <w:color w:val="000000"/>
          <w:szCs w:val="21"/>
        </w:rPr>
        <w:instrText xml:space="preserve">o "http://jszfcg.jsczt.cn/jszc/onlyoffice/7.2.1-34/web-apps/apps/documenteditor/main/index_loader.html?_dc=7.2.1-34&amp;lang=zh&amp;customer=%20&amp;logo=%20&amp;headerlogo=%2Ffavicon.ico&amp;frameEditorId=iframePage&amp;compact=true&amp;parentOrigin=http://jszfcg.jsczt.cn#_Toc2047" </w:instrText>
      </w:r>
      <w:r>
        <w:rPr>
          <w:rFonts w:hint="eastAsia" w:ascii="宋体" w:hAnsi="宋体" w:eastAsia="宋体" w:cs="宋体"/>
          <w:color w:val="000000"/>
          <w:szCs w:val="21"/>
        </w:rPr>
        <w:fldChar w:fldCharType="separate"/>
      </w:r>
      <w:r>
        <w:rPr>
          <w:rFonts w:hint="eastAsia" w:ascii="宋体" w:hAnsi="宋体" w:eastAsia="宋体" w:cs="宋体"/>
          <w:color w:val="000000"/>
          <w:szCs w:val="21"/>
        </w:rPr>
        <w:t xml:space="preserve">第五章 合同草案条款及格式</w:t>
      </w:r>
      <w:r>
        <w:rPr>
          <w:rFonts w:hint="eastAsia" w:ascii="宋体" w:hAnsi="宋体" w:eastAsia="宋体" w:cs="宋体"/>
          <w:color w:val="000000"/>
          <w:szCs w:val="21"/>
        </w:rPr>
        <w:fldChar w:fldCharType="end"/>
      </w:r>
      <w:r>
        <w:rPr>
          <w:rFonts w:hint="eastAsia" w:ascii="宋体" w:hAnsi="宋体" w:eastAsia="宋体" w:cs="宋体"/>
          <w:color w:val="000000"/>
          <w:szCs w:val="21"/>
        </w:rPr>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fldChar w:fldCharType="begin"/>
      </w:r>
      <w:r>
        <w:rPr>
          <w:rFonts w:hint="eastAsia" w:ascii="宋体" w:hAnsi="宋体" w:eastAsia="宋体" w:cs="宋体"/>
          <w:color w:val="000000"/>
          <w:szCs w:val="21"/>
        </w:rPr>
        <w:instrText xml:space="preserve"> HYPERLINK "</w:instrText>
      </w:r>
      <w:r>
        <w:rPr>
          <w:rFonts w:hint="eastAsia" w:ascii="宋体" w:hAnsi="宋体" w:eastAsia="宋体" w:cs="宋体"/>
          <w:color w:val="000000"/>
          <w:szCs w:val="21"/>
        </w:rPr>
        <w:instrText xml:space="preserve">http://jszfcg.jsczt.cn/jszc/onlyoffice/7.2.1-34/web-apps/apps/documenteditor/main/index_loader.html?_dc=7.2.1-34&amp;lang=zh&amp;customer=%20&amp;logo=%20&amp;headerlogo=%2Ffavicon.ico&amp;frameEditorId=iframePage&amp;compact=true&amp;parentOrigin=http://jszfcg.jsczt.cn#_Toc10922" \o</w:instrText>
      </w:r>
      <w:r>
        <w:rPr>
          <w:rFonts w:hint="eastAsia" w:ascii="宋体" w:hAnsi="宋体" w:eastAsia="宋体" w:cs="宋体"/>
          <w:color w:val="000000"/>
          <w:szCs w:val="21"/>
        </w:rPr>
        <w:instrText xml:space="preserve"> "http://jszfcg.jsczt.cn/jszc/onlyoffice/7.2.1-34/web-apps/apps/documenteditor/main/index_loader.html?_dc=7.2.1-34&amp;lang=zh&amp;customer=%20&amp;logo=%20&amp;headerlogo=%2Ffavicon.ico&amp;frameEditorId=iframePage&amp;compact=true&amp;parentOrigin=http://jszfcg.jsczt.cn#_Toc10922" </w:instrText>
      </w:r>
      <w:r>
        <w:rPr>
          <w:rFonts w:hint="eastAsia" w:ascii="宋体" w:hAnsi="宋体" w:eastAsia="宋体" w:cs="宋体"/>
          <w:color w:val="000000"/>
          <w:szCs w:val="21"/>
        </w:rPr>
        <w:fldChar w:fldCharType="separate"/>
      </w:r>
      <w:r>
        <w:rPr>
          <w:rFonts w:hint="eastAsia" w:ascii="宋体" w:hAnsi="宋体" w:eastAsia="宋体" w:cs="宋体"/>
          <w:color w:val="000000"/>
          <w:szCs w:val="21"/>
        </w:rPr>
        <w:t xml:space="preserve">第六章 投标文件格式</w:t>
      </w:r>
      <w:r>
        <w:rPr>
          <w:rFonts w:hint="eastAsia" w:ascii="宋体" w:hAnsi="宋体" w:eastAsia="宋体" w:cs="宋体"/>
          <w:color w:val="000000"/>
          <w:szCs w:val="21"/>
        </w:rPr>
        <w:fldChar w:fldCharType="end"/>
      </w:r>
      <w:r>
        <w:rPr>
          <w:rFonts w:hint="eastAsia" w:ascii="宋体" w:hAnsi="宋体" w:eastAsia="宋体" w:cs="宋体"/>
          <w:color w:val="000000"/>
          <w:szCs w:val="21"/>
        </w:rPr>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5.2 招标的最小单位是分包。招标货物数量及技术要求中未分包的，供应商对要求提供的货物和服务不得部分投标；招标货物数量及技术要求中已经分包的，可以分包为单位投标。</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5.3 代理机构如果要求供应商按照招标文件规定提交备选供应商方案的，供应商可以提交备选方案；否则，备选方案将被拒绝。</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6.招标文件的澄清、补充或修改</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6.1 代理机构对已发出的招标文件进行必要澄清、补充或者修改的，将在招标文件要求提交投标文件截止时间十五日前，在“江苏省政府采购网”发布更正公告，该澄清、补充或者修改的内容为招标文件的组成部分。</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6.2 为使供应商在准备投标时，有合理的时间考虑招标文件的补充或修改，招标代理机构将视情况可能推迟投标截止时间和开标时间，并将此变更以书面形式通知所有的供应商。</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三、投标文件的编制</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7.投标文件的语言、计量单位、货币和编制</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7.2 供应商所使用的计量单位应为国家法定计量单位。</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7.3 供应商应用人民币报价。</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7.4 投标文件应字迹清楚、内容齐全、不得涂改或增删。如有修改和增删，必须有供应商公章或法定代表人或其授权代表签字。因投标文件字迹潦草或表达不清所引起的不利后果由供应商承担。</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8.投标文件的组成</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8.1 供应商应当根据招标文件要求编制投标文件，投标文件应对招标文件提出的要求和条件作出实质性响应，并在《商务条款偏离表》和《技术规格偏离表》等处逐条标明满足与否。</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8.2投标文件由商务部分、技术部分、价格部分以及其他部分组成。</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9.投标文件的商务部分</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9.1 商务部分是证明供应商有资格参加投标和中标后有能力履行合同的文件，这些文件应能满足招标文件的要求，包括但不限于下列文件，其中加“★”项目不得有缺失或无效：</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（1）★投标函（投标申请及声明）；</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（2）★法定代表人授权委托书及委托代理人的身份证明文件的</w:t>
      </w:r>
      <w:r>
        <w:rPr>
          <w:rFonts w:hint="eastAsia" w:ascii="宋体" w:hAnsi="宋体" w:eastAsia="宋体" w:cs="宋体"/>
          <w:color w:val="000000"/>
          <w:szCs w:val="21"/>
        </w:rPr>
        <w:t xml:space="preserve">原件扫描件</w:t>
      </w:r>
      <w:r>
        <w:rPr>
          <w:rFonts w:hint="eastAsia" w:ascii="宋体" w:hAnsi="宋体" w:eastAsia="宋体" w:cs="宋体"/>
          <w:color w:val="000000"/>
          <w:szCs w:val="21"/>
        </w:rPr>
        <w:t xml:space="preserve">；</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（3）★第一章投标邀请书中《中华人民共和国政府采购法》规定的资格条件证明文件；</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w:t>
      </w:r>
      <w:r>
        <w:rPr>
          <w:rFonts w:hint="eastAsia" w:ascii="宋体" w:hAnsi="宋体" w:eastAsia="宋体" w:cs="宋体"/>
          <w:color w:val="000000"/>
          <w:szCs w:val="21"/>
        </w:rPr>
        <w:t xml:space="preserve">★</w:t>
      </w:r>
      <w:r>
        <w:rPr>
          <w:rFonts w:hint="eastAsia" w:ascii="宋体" w:hAnsi="宋体" w:eastAsia="宋体" w:cs="宋体"/>
          <w:color w:val="000000"/>
          <w:szCs w:val="21"/>
        </w:rPr>
        <w:t xml:space="preserve">第一章投标邀请书中采购人根据采购项目的特殊要求规定的特定条件证明文件；</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（5）《开标一览表》；</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（6）★《已标价工程量清单》（如有）；</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（7）★《商务条款偏离表》；</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（8）合同草案条款；</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（9）供应商认为需要提供的其他资格证明文件和商务资料。</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10.投标文件的技术部分</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技术部分是证明供应商提供的货物或服务是合格的、并符合招标文件要求的证明文件，以及对服务的详细说明，这些文件可以是文字资料、图纸和数据等。提供的货物或服务如与招标文件要求有不符之处，应说明其差别之所在。包括但不限于下列文件，其中加“★”项目不得有缺失或无效：</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（1）技术说明和服务方案；</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（2）★《技术条款偏离表》；</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（3）施工组织设计（技术方案）；</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（4）供应商拟投入本项目的设备、人员情况一览表；</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（5）供应商认为需要提供的其他技术资料。</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11.投标文件的价格部分</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11.1 价格部分是对货物或服务价格构成的说明，招标文件如没有特别说明的话，对每一项货物或服务仅接受一个价格。</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11.2 报价应包含本次招标项目有关的所有费用，以及技术资料、支付给员工的工资和国家强制缴纳的各种社会保障资金，以及供应商认为需要的其他费用等。</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11.3 供应商的任何错漏、优惠、竞争性报价不得作为减轻责任、减少货物/服务、增加收费、降低质量的理由。</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11.4 供应商应在《开标一览表》《投标分项报价》等标明投标货物或服务的单价、总价以及分项报价。供应商系中小企业（含中型、小型、微型企业），并提供本企业制造的货物、承担的工程或者服务，或者提供其他中小企业制造的货物，须在《开标一览表》《投标分项报价》中注明。</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11.6 本项目预算及详见招标公告，供应商的投标报价不得超过预算。超过预算的投标文件，按无效投标处理。</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12.投标文件的其他部分</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12.1 其他部分由供应商根据编制投标文件需要提供的其他相关文件。</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13.投标保证金</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本项目无需缴纳投标保证金</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14.投标有效期</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14.1 自开标之日起90天内投标有效。</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14.2 在特殊情况下，在原投标有效期截止之前，代理机构可要求投标供应商同意延长投标有效期，这种要求与答复均以书面形式提交。投标供应商可拒绝这种要求。接收延长投标有效期的投标供应商将不会要求和允许修正其投标。</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15.投标文件签署</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15.1 投标文件由投标供应商法定代表人或经正式授权并对投标供应商有约束力的委托代理人签字。</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16.投标费用</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16.1 供应商应承担所有与准备和参加投标有关的费用，无论采购结果如何，代理机构和采购人在任何情况下均无义务和责任承担这些费用。</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16.2 </w:t>
      </w:r>
      <w:r>
        <w:rPr>
          <w:rFonts w:hint="eastAsia" w:ascii="宋体" w:hAnsi="宋体" w:eastAsia="宋体" w:cs="宋体"/>
          <w:color w:val="000000"/>
          <w:szCs w:val="21"/>
          <w:lang w:val="zh-CN"/>
        </w:rPr>
        <w:t xml:space="preserve">本项目</w:t>
      </w:r>
      <w:r>
        <w:rPr>
          <w:rFonts w:hint="eastAsia" w:ascii="宋体" w:hAnsi="宋体" w:eastAsia="宋体" w:cs="宋体"/>
          <w:color w:val="000000"/>
          <w:szCs w:val="21"/>
        </w:rPr>
        <w:t xml:space="preserve">代理服务费由中标供应商在领取中标通知书时一次性支付给招标代理机构。其中代理服务费按照国家发展和改革委员会下发的《关于降低部分建设项目收费标准规范收费行为等有关问题的通知》（发改价格〔2011〕534号）所列采购代理服务费收费标准36%收取。</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四、投标文件的递交</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17.投标文件的递交</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17.1 电子投标文件的递交：投标人应当按照《操作手册》规定，在投标截止时间前制作并上传电子投标文件。</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14.2 投标文件的解密：开标当天各供应商及时登录不见面开标大厅，投标文件递交截止时间后，采购人将在系统内公布供应商名单，然后通</w:t>
      </w:r>
      <w:r>
        <w:rPr>
          <w:rFonts w:hint="eastAsia" w:ascii="宋体" w:hAnsi="宋体" w:eastAsia="宋体" w:cs="宋体"/>
          <w:color w:val="000000"/>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18.有下列情形的投标文件将拒收：</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18.1 采购人（代理机构）拒绝接收在其规定的投标截止时间后上传的任何投标文件。</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19.投标文件的修改和撤回</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19.1 投标文件的撤回</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19.1.1 电子投标文件的撤回</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投标人可在投标截止时间前，撤回其电子投标文件，具体操作方法见《操作手册》。</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19.1.2 投标人撤回电子投标文件，则认为其不再参与本项目投标活动。</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19.2 投标文件的修改</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19.2.1投标人可在投标截止时间前，对其电子投标文件进行修改，具体操作方法见《操作手册》。</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19.2.2 在投标截止时间之后，投标人不得对其电子投标文件作任何修改。</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19.3 在投标截止时间至招标文件中规定的投标有效期满之间的这段时间内，投标人不得撤回其投标文件。</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20.诚实信用</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20.1 投标供应商之间不得相互串通投标报价，不得妨碍其他投标供应商的公平竞争，不得损害采购人和其他投标供应商的合法权益。</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20.2 投标供应商不得以向代理机构工作人员、评标委员会成员行贿或者采取其他不正当手段谋取中标。</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五、开标、评标与定标</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21.开标</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21.1 代理机构将在招标公告中规定的时间和地点组织公开开标。投标人应当按照《操作手册》规定，参加开标活动和在苏采云系统规定的时间内对投标文件进行解密。</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21.2 开标仪式由代理机构组织。苏采云系统将自动对项目进行开标，并宣布各投标人名称和投标价格。</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21.3投标人在开标过程中涉及到的投标文件解密、开标结果确认等工作，应按照《操作手册》规定执行。</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21.4投标人如果对开标过程和开标记录有疑义，应当根据《操作手册》规定提出，如在苏采云系统《开标记录表》宣布后5分钟内未提出的，视同认可开标结果。</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21.5 开标时，《开标一览表》内容与投标文件中明细表内容不一致的，以《开标一览表》为准。</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21.6 投标文件的大写金额与小写金额不一致的，以大写金额为准；总价金额与单价金额不一致的，以单价金额计算为准；单价金额小数点有明显错位的，应以总价为准，并修改单价；对不同文字文本投标文件的解释发生异议的，以中文文本为准。</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21.7 投标截止时间结束后参加投标的供应商不足三家的，不得开标。</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22.评标</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22.1 评标组织</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22.1.1 评标工作由代理机构负责组织，具体评标事务由依法组建的评标委员会负责，并独立履行下列职责：</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（1）审查投标文件是否符合招标文件要求，并作出评价；</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（2）要求投标供应商对投标文件有关事项作出解释或者澄清；</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（3）推荐中标候选供应商名单，或者按照招标文件规定直接确定中标供应商；</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（4）向代理机构或者有关部门报告非法干预评标工作的行为。</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22.1.2 评标委员会由采购人代表和有关技术方面的专家组成，独立开展评审工作。</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 评标程序</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22.2.1 投标文件的资格性检查。依据法律法规和招标文件的规定，对投标文件中资格证明文件等进行审查，以确定供应商是否具备投标资格。投标文件有下列情况之一的，在资格性、符合性检查时按照无效投标处理：</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（1）不具备招标文件中规定的资格条件的；</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（2）未按照招标文件规定要求签署、盖章的 ；</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供应商被“信用中国”网站（www.creditchina.gov.cn）、“中国政府采购网”（www.ccgp.gov.cn）列入失信被执行人、重大税收违法失信主体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（4）未实质性响应招标要求的；</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（5）提供虚假材料的（包括营业执照、财务报表、资格证明文件等）；</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评标委员会认定供应商的报价明显低于其他通过符合性审查供应商的报价，有可能影响产品质量或者不能诚信履约，且供应商不能应评标委员会要求在评标现场合理的时间内提供书面说明（必要时评标委员会可要求投标供应商提交相关证明材料）证明其报价合理性的；</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（7）改变采购文件提供的项目清单中的计量单位、数量；</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（8）响应文件载明的采购项目完成期限超过采购文件规定的期限；</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（9）明显不符合技术规范、技术标准的要求；</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（10）法律法规和招标文件规定的其他无效情形。</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（11）不符合法律法规和采购文件规定的其他实质性要求的。</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22.2.2 投标文件的符合性检查。依据招标文件规定，从投标文件的有效性、完整性和对招标文件的响应程度进行审查，以确定是否对招标文件的实质性要求作出响应。</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22.2.2.1 实质性要求是指：本招标文件第二章投标供应商须知中加“★”项要求、第四章中加“★”项内容。</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22.2.2.2有下列情形之一的予以废标，同时将废标理由通知所有供应商：</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（1）符合专业条件的供应商或者对招标文件做实质性响应的供应商不足三家的；</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（2）出现影响采购公正的违法、违规行为的；</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（3）供应商的报价均超过了采购预算或者最高限价的，采购人不能支付的；</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（4）因重大变故，采购任务取消的。</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（5）投标文件存在歧义、重大缺陷，或者招标文件内容违反国家有关强制性规定的。</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22.2.2.3 在评标期间，出现符合专业条件的供应商或者对招标文件作出实质性响应的供应商不足三家情形的，不得继续进行评标。</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22.2.3 澄清有关问题。对投标文件中含义不明确</w:t>
      </w:r>
      <w:r>
        <w:rPr>
          <w:rFonts w:hint="eastAsia" w:ascii="宋体" w:hAnsi="宋体" w:eastAsia="宋体" w:cs="宋体"/>
          <w:color w:val="000000"/>
          <w:szCs w:val="21"/>
        </w:rPr>
        <w:t xml:space="preserve">、同类问题表述不一致或者明显文字和计算错误的内容，评标委员会可以要求投标供应商作出必要的澄清、说明或者补正。需要供应商进行澄清、说明和补正的，评标委员会将通过苏采云系统向供应商发出“澄清要求函”，接到“澄清要求函”的投标供应商应当按照要求在苏采云系统中提交“澄清响应函”并加盖CA电子公章。澄清、说明和补正的内容作为投标文件的补充部分，具体操作方式见《操作手册》。供应商澄清、说明或者补正不得超出投标文件的范围或者改变投标文件的实质性内容。供应商拒不按照要求对投标文件进行澄清、说明或者补正的，视其放弃该项权利。</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22.2.4 比较与评价。按照招标文件中规定的评标方法和标准，对资格性检查和符合性检查合格的投标文件进行商务和技术评估，综合比较与评价。</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22.3 评标方法和标准</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22.3.1本次招标综合评分的主要因素是：价格、商务部分、技术部分等；评标委员会按照招标文件中规定的各项因素进行综合评审，本评分标准中价格、商务部分为客观分，技术部分为主观分，由采购人代表及评委各自独立打分，取评标委员会所有成员打分的平均值；汇总上述分值后为每一家投标单位的最终得分。</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22.3.2 综合评分的主要因素是：价格、商务部分、技术部分等；</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22.3.3 评分标准详见第三章</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23.确定中标供应商</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23.1 采用综合评分法的，评标结果按评审后得分由高到低顺序排列，并编写评审报告。评审得分相同的，按照报价由低到高的顺序推荐三名中标候选人。评审得分且报价相同的，按照主观分由高到低顺序推荐三名中标候选人。</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23.2 中标候选人确定后，默认按照以下第（2）种方式确定中标供应商</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（1）评标委员会直接确定排名第一的中标候选人为中标供应商；</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（2）采购人在评标报告确定的中标候选人名单中按顺序确定中标供应商。</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如按照第（2）种方式确定中标供应商的，采购代理机构在评标结束后2个工作日内将评标报告送交采购人。采购人自收到评标报告5个工作日内，在评标报告确定的中标候选人名单中按顺序确定中标供应商。</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23.3 中标供应商确定后，将中标结果在原招标公告发布媒体上进行公告，公告期为一个工作日。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23.4 中标通知书对采购人和中标供应商具有同等法律效力。</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23.5 中标通知书发出后，采购人或中标供应商拒绝签订合同的，拒绝签订合同的一方应至少向另一方支付补偿金，以及为招标、投标所发生的有关费用和双方商定的其他补偿。</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23.6 中标通知书发出后，中标供应商无正当理由不与采购人签订合同的；情节严重的，由财政部门将其列入不良行为记录名单，在一至三年内禁止参加政府采购活动，并予以通报。</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23.7 代理机构对未中标的投标供应商不作未中标原因的解释。</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23.8 所有投标文件都将作为档案保存，不论中标与否，代理机构均不退回。</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24.编写评标报告</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24.1 评标委员会根据全体评标成员签字的原始评标记录和评标结果编写评标报告。</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25.评标过程的保密性</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25.1 代理机构将采取必要措施，保证评标在严格保密的情况下进行。</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25.2 任何单位和个人不得非法干预、影响评标办法的确定，以及评标过程和结果。</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25.3 凡是与审查、澄清、评价和比较投标的有关资料等，均不向投标供应商及与评标无关的其他人员透露。</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六、签订合同</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26.签订合同</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26.1 中标供应商应当自中标通知书发出之日起三十日内，按照招标文件和中标供应商投标文件的约定与采购人签订政府采购合同，所签订的合同不得对招标文件和中标供应商投标文件作实质性修改。</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26.2 采购人不得向中标供应商提出任何不合理的要求作为签订合同的条件，不得与中标供应商私下订立背离合同实质性内容的协议。</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26.3 中标供应商因不可抗力或者自身原因不能履行政府采购合同的，采购人可以重新招标。</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26.4 政府采购合同履行中，采购人需追加与合同标的相同的货物的，在不改变合同其他条款的前提下，可以与供应商协商签订补充合同，但所有补充合同的采购金额不得超过原合同采购金额的10%。</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七、质疑和投诉</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27.质疑</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27.1 供应商对采购活动事项有疑问的，可以向代理机构提出询问，代理机构将依法作出答复，但答复的内容不涉及商业秘密。</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27.2 供应商认为采购文件、采购过程和中标结果使自己的合法权益受到损害的，可以在知道或者应当知道其权益受到损害之日起七个工作日内，将质疑文件原件送达代理机构。</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上述应知其权益受到损害之日，是指：</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（1）对可以质疑的招标文件提出质疑的，为收到招标文件之日或者招标文件公告期限届满之日；</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（2）对采购过程提出质疑的，为各采购程序环节结束之日；</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（3）对中标结果提出质疑的，为中标结果公告期限届满之日。</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质疑文件接收信息：</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（1）接收单位：采购代理机构</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（2）联 系 人：蒋工  </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（3）联系电话：025-58835827-8031</w:t>
      </w:r>
      <w:r/>
    </w:p>
    <w:p>
      <w:pPr>
        <w:pStyle w:val="831"/>
        <w:ind w:firstLine="420"/>
        <w:jc w:val="both"/>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（4）联系邮箱：njjcco@126.com</w:t>
      </w:r>
      <w:r>
        <w:rPr>
          <w:rFonts w:ascii="宋体" w:hAnsi="宋体" w:eastAsia="宋体" w:cs="宋体"/>
          <w:color w:val="000000"/>
          <w:szCs w:val="21"/>
        </w:rPr>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（5）接收地址：南京市建邺区云龙山路89号龙湖时代1栋29楼</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（6）邮  编：210019</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27.3 质疑文件应包括以下主要内容，并按照“谁主张、谁举证”的原则，附上相关证明材料。否则，代理机构不予受理：</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（1）质疑项目名称、项目编号、招标公告发布时间、开标时间；</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（2）具体的质疑事项及法律依据（具体条款）；</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（3）质疑相关证明文件或证明材料，如果涉及产品功能或技术指标的，应出具相关制造商的证明文件；</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（4）质疑供应商名称、地址、联系方式（包括手机、传真号码）；</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（5）法定代表人签署本人姓名或印盖本人姓名章并加盖投标供应商公章，或法定代表人授权委托代理人加盖投标供应商公章，并由参加采购项目的授权委托代理人签署本人姓名或印盖本人姓名章等。</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27.4 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27.5 代理机构在收到供应商的书面质疑后将及时组织调查核实，在七个工作日内作出答复，并以书面或在网站公告形式通知质疑供应商和其他有关供应商，答复的内容不涉及商业秘密。遵循“谁过错谁负担”的原则。</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28.投诉</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28.1 质疑投标供应商对代理机构的答复不满意，或代理机构未在规定的时间内作出答复的，可以在答复期满后十五个工作日内向采购人同级财政部门投诉。</w:t>
      </w:r>
      <w:r/>
    </w:p>
    <w:p>
      <w:pPr>
        <w:pStyle w:val="831"/>
        <w:jc w:val="both"/>
        <w:spacing w:line="360" w:lineRule="auto"/>
        <w:rPr>
          <w:color w:val="000000"/>
        </w:rPr>
        <w:pBdr>
          <w:top w:val="none" w:color="000000" w:sz="0" w:space="0"/>
          <w:left w:val="none" w:color="000000" w:sz="0" w:space="0"/>
          <w:bottom w:val="none" w:color="000000" w:sz="0" w:space="0"/>
          <w:right w:val="none" w:color="000000" w:sz="0" w:space="0"/>
        </w:pBdr>
      </w:pPr>
      <w:r>
        <w:rPr>
          <w:color w:val="000000"/>
        </w:rPr>
      </w:r>
      <w:r/>
    </w:p>
    <w:p>
      <w:pPr>
        <w:pStyle w:val="831"/>
        <w:jc w:val="both"/>
        <w:spacing w:line="360" w:lineRule="auto"/>
        <w:rPr>
          <w:color w:val="000000"/>
        </w:rPr>
        <w:pBdr>
          <w:top w:val="none" w:color="000000" w:sz="0" w:space="0"/>
          <w:left w:val="none" w:color="000000" w:sz="0" w:space="0"/>
          <w:bottom w:val="none" w:color="000000" w:sz="0" w:space="0"/>
          <w:right w:val="none" w:color="000000" w:sz="0" w:space="0"/>
        </w:pBdr>
      </w:pPr>
      <w:r>
        <w:rPr>
          <w:color w:val="000000"/>
        </w:rPr>
      </w:r>
      <w:r/>
    </w:p>
    <w:p>
      <w:pPr>
        <w:pStyle w:val="832"/>
        <w:jc w:val="center"/>
        <w:spacing w:before="0" w:after="0" w:line="85"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第三章评标标准</w:t>
      </w:r>
      <w:r/>
    </w:p>
    <w:p>
      <w:pPr>
        <w:pStyle w:val="831"/>
        <w:ind w:firstLine="420"/>
        <w:jc w:val="both"/>
        <w:spacing w:line="360" w:lineRule="auto"/>
        <w:rPr>
          <w:rFonts w:hint="eastAsia"/>
          <w:color w:val="000000"/>
        </w:rPr>
      </w:pPr>
      <w:r>
        <w:rPr>
          <w:rFonts w:hint="eastAsia"/>
          <w:color w:val="000000"/>
        </w:rPr>
        <w:t xml:space="preserve">本</w:t>
      </w:r>
      <w:r>
        <w:rPr>
          <w:rFonts w:hint="eastAsia" w:eastAsia="宋体"/>
          <w:color w:val="000000"/>
        </w:rPr>
        <w:t xml:space="preserve">项目采用综合评分法，</w:t>
      </w:r>
      <w:r>
        <w:rPr>
          <w:rFonts w:hint="eastAsia"/>
          <w:color w:val="000000"/>
        </w:rPr>
        <w:t xml:space="preserve">评标委员会按照招标文件中规定的各项因素进行综合评审，本评分标准中价格、商务部分为客观分，技术部分为主观分，由采购人代表及评委各自独立打分，取评标委员会所有成员打分的平均值；汇总上述分值后为每一家投标单位的最终得分。</w:t>
      </w:r>
      <w:r/>
    </w:p>
    <w:p>
      <w:pPr>
        <w:pStyle w:val="831"/>
        <w:ind w:firstLine="420"/>
        <w:jc w:val="both"/>
        <w:spacing w:line="360" w:lineRule="auto"/>
        <w:rPr>
          <w:rFonts w:hint="eastAsia"/>
          <w:color w:val="000000"/>
        </w:rPr>
      </w:pPr>
      <w:r>
        <w:rPr>
          <w:rFonts w:hint="eastAsia"/>
          <w:color w:val="000000"/>
          <w:lang w:val="zh-TW"/>
        </w:rPr>
        <w:t xml:space="preserve">根据各</w:t>
      </w:r>
      <w:r>
        <w:rPr>
          <w:rFonts w:hint="eastAsia"/>
          <w:color w:val="000000"/>
        </w:rPr>
        <w:t xml:space="preserve">投标单位</w:t>
      </w:r>
      <w:r>
        <w:rPr>
          <w:rFonts w:hint="eastAsia"/>
          <w:color w:val="000000"/>
          <w:lang w:val="zh-TW"/>
        </w:rPr>
        <w:t xml:space="preserve">最终得分由高到低进行排名，得分相同的，按投标报价由低到高顺序排列；得分且投标报价相同的，按</w:t>
      </w:r>
      <w:r>
        <w:rPr>
          <w:rFonts w:hint="eastAsia"/>
          <w:color w:val="000000"/>
        </w:rPr>
        <w:t xml:space="preserve">技术响应部分</w:t>
      </w:r>
      <w:r>
        <w:rPr>
          <w:rFonts w:hint="eastAsia"/>
          <w:color w:val="000000"/>
          <w:lang w:val="zh-TW"/>
        </w:rPr>
        <w:t xml:space="preserve">优劣顺序排列。评标委员会将</w:t>
      </w:r>
      <w:r>
        <w:rPr>
          <w:rFonts w:hint="eastAsia"/>
          <w:color w:val="000000"/>
        </w:rPr>
        <w:t xml:space="preserve">推荐三名中标候选人。</w:t>
      </w:r>
      <w:r/>
    </w:p>
    <w:tbl>
      <w:tblPr>
        <w:tblW w:w="522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1"/>
        <w:gridCol w:w="997"/>
        <w:gridCol w:w="727"/>
        <w:gridCol w:w="5935"/>
        <w:gridCol w:w="980"/>
      </w:tblGrid>
      <w:tr>
        <w:trPr>
          <w:trHeight w:val="397"/>
        </w:trPr>
        <w:tc>
          <w:tcPr>
            <w:tcW w:w="380"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序号</w:t>
            </w:r>
            <w:r/>
          </w:p>
        </w:tc>
        <w:tc>
          <w:tcPr>
            <w:tcW w:w="533"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评分项</w:t>
            </w:r>
            <w:r/>
          </w:p>
        </w:tc>
        <w:tc>
          <w:tcPr>
            <w:gridSpan w:val="2"/>
            <w:tcW w:w="3563"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评审标准</w:t>
            </w:r>
            <w:r/>
          </w:p>
        </w:tc>
        <w:tc>
          <w:tcPr>
            <w:tcW w:w="522"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分值</w:t>
            </w:r>
            <w:r/>
          </w:p>
        </w:tc>
      </w:tr>
      <w:tr>
        <w:trPr>
          <w:trHeight w:val="397"/>
        </w:trPr>
        <w:tc>
          <w:tcPr>
            <w:gridSpan w:val="5"/>
            <w:tcW w:w="5000"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rPr>
              <w:t xml:space="preserve">价格（38分）</w:t>
            </w:r>
            <w:r>
              <w:rPr>
                <w:rFonts w:hint="eastAsia" w:ascii="宋体" w:hAnsi="宋体" w:eastAsia="宋体" w:cs="宋体"/>
                <w:color w:val="000000"/>
              </w:rPr>
            </w:r>
            <w:r/>
          </w:p>
        </w:tc>
      </w:tr>
      <w:tr>
        <w:trPr>
          <w:trHeight w:val="397"/>
        </w:trPr>
        <w:tc>
          <w:tcPr>
            <w:tcW w:w="380" w:type="pct"/>
            <w:vAlign w:val="center"/>
            <w:textDirection w:val="lrTb"/>
            <w:noWrap w:val="false"/>
          </w:tcPr>
          <w:p>
            <w:pPr>
              <w:pStyle w:val="831"/>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533" w:type="pct"/>
            <w:vAlign w:val="center"/>
            <w:textDirection w:val="lrTb"/>
            <w:noWrap w:val="false"/>
          </w:tcPr>
          <w:p>
            <w:pPr>
              <w:pStyle w:val="831"/>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价格</w:t>
            </w:r>
            <w:r/>
          </w:p>
        </w:tc>
        <w:tc>
          <w:tcPr>
            <w:gridSpan w:val="2"/>
            <w:tcW w:w="3563" w:type="pct"/>
            <w:vAlign w:val="center"/>
            <w:textDirection w:val="lrTb"/>
            <w:noWrap w:val="false"/>
          </w:tcPr>
          <w:p>
            <w:pPr>
              <w:pStyle w:val="831"/>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投标最低报价为评标基准价：满足招标文件要求且投标价格最低的投标报价为评标基准价，其价格分为满分。其他投标人的价格分统一按照下列公式计算：投标报价得分=（评标基准价/投标报价）×38。</w:t>
            </w:r>
            <w:r/>
          </w:p>
        </w:tc>
        <w:tc>
          <w:tcPr>
            <w:tcW w:w="522" w:type="pct"/>
            <w:vAlign w:val="center"/>
            <w:textDirection w:val="lrTb"/>
            <w:noWrap w:val="false"/>
          </w:tcPr>
          <w:p>
            <w:pPr>
              <w:pStyle w:val="831"/>
              <w:jc w:val="center"/>
              <w:rPr>
                <w:rFonts w:hint="eastAsia" w:ascii="仿宋" w:hAnsi="仿宋" w:eastAsia="仿宋" w:cs="仿宋"/>
                <w:color w:val="000000"/>
                <w:szCs w:val="21"/>
              </w:rPr>
            </w:pPr>
            <w:r>
              <w:rPr>
                <w:rFonts w:hint="eastAsia" w:ascii="仿宋" w:hAnsi="仿宋" w:eastAsia="仿宋" w:cs="仿宋"/>
                <w:color w:val="000000"/>
                <w:szCs w:val="21"/>
              </w:rPr>
              <w:t xml:space="preserve">38</w:t>
            </w:r>
            <w:r/>
          </w:p>
        </w:tc>
      </w:tr>
      <w:tr>
        <w:trPr>
          <w:trHeight w:val="397"/>
        </w:trPr>
        <w:tc>
          <w:tcPr>
            <w:gridSpan w:val="5"/>
            <w:tcW w:w="5000"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rPr>
              <w:t xml:space="preserve">商务部分（37分）</w:t>
            </w:r>
            <w:r>
              <w:rPr>
                <w:rFonts w:ascii="宋体" w:hAnsi="宋体" w:eastAsia="宋体" w:cs="宋体"/>
                <w:color w:val="000000"/>
              </w:rPr>
            </w:r>
            <w:r/>
          </w:p>
        </w:tc>
      </w:tr>
      <w:tr>
        <w:trPr>
          <w:trHeight w:val="397"/>
        </w:trPr>
        <w:tc>
          <w:tcPr>
            <w:tcW w:w="380" w:type="pct"/>
            <w:vAlign w:val="center"/>
            <w:textDirection w:val="lrTb"/>
            <w:noWrap w:val="false"/>
          </w:tcPr>
          <w:p>
            <w:pPr>
              <w:pStyle w:val="83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2.1</w:t>
            </w:r>
            <w:r>
              <w:rPr>
                <w:rFonts w:ascii="宋体" w:hAnsi="宋体" w:eastAsia="宋体" w:cs="宋体"/>
                <w:color w:val="000000"/>
              </w:rPr>
            </w:r>
            <w:r/>
          </w:p>
        </w:tc>
        <w:tc>
          <w:tcPr>
            <w:tcW w:w="533" w:type="pct"/>
            <w:vAlign w:val="center"/>
            <w:textDirection w:val="lrTb"/>
            <w:noWrap w:val="false"/>
          </w:tcPr>
          <w:p>
            <w:pPr>
              <w:pStyle w:val="831"/>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业绩</w:t>
            </w:r>
            <w:r/>
          </w:p>
        </w:tc>
        <w:tc>
          <w:tcPr>
            <w:gridSpan w:val="2"/>
            <w:tcW w:w="3563" w:type="pct"/>
            <w:vAlign w:val="center"/>
            <w:textDirection w:val="lrTb"/>
            <w:noWrap w:val="false"/>
          </w:tcPr>
          <w:p>
            <w:pPr>
              <w:pStyle w:val="831"/>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自2023年5月1日（含）以来，投标人具有与本项目相同或类似的（项目清单中须包含电压等级10KV及以上的高低压整柜等设备安装内容）供配电项目业绩（提供合同协议书、项目清单、工程完工验收报告（单）等证明材料上传至电子投标文件中；时间以合同签订时间为准，提供的证明材料必须能反映出相关数据和内容，否则视为未提供），每提供1个业绩得2分，满分6分。</w:t>
            </w:r>
            <w:r/>
          </w:p>
        </w:tc>
        <w:tc>
          <w:tcPr>
            <w:tcW w:w="522" w:type="pct"/>
            <w:vAlign w:val="center"/>
            <w:textDirection w:val="lrTb"/>
            <w:noWrap w:val="false"/>
          </w:tcPr>
          <w:p>
            <w:pPr>
              <w:pStyle w:val="831"/>
              <w:jc w:val="center"/>
              <w:rPr>
                <w:rFonts w:hint="eastAsia" w:ascii="仿宋" w:hAnsi="仿宋" w:eastAsia="仿宋" w:cs="仿宋"/>
                <w:color w:val="000000"/>
                <w:szCs w:val="21"/>
              </w:rPr>
            </w:pPr>
            <w:r>
              <w:rPr>
                <w:rFonts w:hint="eastAsia" w:ascii="仿宋" w:hAnsi="仿宋" w:eastAsia="仿宋" w:cs="仿宋"/>
                <w:color w:val="000000"/>
                <w:szCs w:val="21"/>
              </w:rPr>
              <w:t xml:space="preserve">6</w:t>
            </w:r>
            <w:r/>
          </w:p>
        </w:tc>
      </w:tr>
      <w:tr>
        <w:trPr>
          <w:trHeight w:val="90"/>
        </w:trPr>
        <w:tc>
          <w:tcPr>
            <w:tcW w:w="380" w:type="pct"/>
            <w:vAlign w:val="center"/>
            <w:textDirection w:val="lrTb"/>
            <w:noWrap w:val="false"/>
          </w:tcPr>
          <w:p>
            <w:pPr>
              <w:pStyle w:val="83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2.2</w:t>
            </w:r>
            <w:r>
              <w:rPr>
                <w:rFonts w:ascii="宋体" w:hAnsi="宋体" w:eastAsia="宋体" w:cs="宋体"/>
                <w:color w:val="000000"/>
              </w:rPr>
            </w:r>
            <w:r/>
          </w:p>
        </w:tc>
        <w:tc>
          <w:tcPr>
            <w:tcW w:w="533" w:type="pct"/>
            <w:vAlign w:val="center"/>
            <w:textDirection w:val="lrTb"/>
            <w:noWrap w:val="false"/>
          </w:tcPr>
          <w:p>
            <w:pPr>
              <w:pStyle w:val="831"/>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人员</w:t>
            </w:r>
            <w:r/>
          </w:p>
        </w:tc>
        <w:tc>
          <w:tcPr>
            <w:gridSpan w:val="2"/>
            <w:tcW w:w="3563" w:type="pct"/>
            <w:vAlign w:val="center"/>
            <w:textDirection w:val="lrTb"/>
            <w:noWrap w:val="false"/>
          </w:tcPr>
          <w:p>
            <w:pPr>
              <w:pStyle w:val="831"/>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人拟派本项目的项目组成员在不少于10人（不含项目负责人）的基础上每增加3人得1分，本项最多得4分（投标人须提供详细的拟投入现场人员名单人员，须包括项目经理1名、技术负责人1名；继电保护作业人员、电气试验作业人员、起吊作业人员至少各1名；施工人员若干。以上所有人员不得重复）。</w:t>
            </w:r>
            <w:r/>
          </w:p>
          <w:p>
            <w:pPr>
              <w:pStyle w:val="831"/>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此外，技术负责人要求如下（4分）：</w:t>
            </w:r>
            <w:r/>
          </w:p>
          <w:p>
            <w:pPr>
              <w:pStyle w:val="831"/>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①资质类别和等级：具有注册建造师（专业类别：机电工程）二级（含）以上，且同时具有有效的安全生产考核B证的，得</w:t>
            </w:r>
            <w:r>
              <w:rPr>
                <w:rFonts w:ascii="宋体" w:hAnsi="宋体" w:eastAsia="宋体" w:cs="宋体"/>
                <w:color w:val="000000"/>
              </w:rPr>
              <w:t xml:space="preserve">2</w:t>
            </w:r>
            <w:r>
              <w:rPr>
                <w:rFonts w:hint="eastAsia" w:ascii="宋体" w:hAnsi="宋体" w:eastAsia="宋体" w:cs="宋体"/>
                <w:color w:val="000000"/>
              </w:rPr>
              <w:t xml:space="preserve">分；</w:t>
            </w:r>
            <w:r/>
          </w:p>
          <w:p>
            <w:pPr>
              <w:pStyle w:val="831"/>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②职称：具有机电类高级工程师职称的，得2分；具有机电类工程师职称的，得1分。</w:t>
            </w:r>
            <w:r/>
          </w:p>
          <w:p>
            <w:pPr>
              <w:pStyle w:val="831"/>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（提供以上人员的证书原件扫描件上传至电子投标文件中，证书不能体现专业，专业以毕业证书上专业为准）</w:t>
            </w:r>
            <w:r/>
          </w:p>
          <w:p>
            <w:pPr>
              <w:pStyle w:val="831"/>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以上所有人员提供相关证书及社保机构出具2025年11月至2026年4月中任意一个月投标人为其缴纳的养老保险金缴费清单材料，加盖社保机构公章或社保中心参保缴费证明电子专用章（具有可验证的二维码或验证码），不满足不得分】</w:t>
            </w:r>
            <w:r/>
          </w:p>
        </w:tc>
        <w:tc>
          <w:tcPr>
            <w:tcW w:w="522" w:type="pct"/>
            <w:vAlign w:val="center"/>
            <w:textDirection w:val="lrTb"/>
            <w:noWrap w:val="false"/>
          </w:tcPr>
          <w:p>
            <w:pPr>
              <w:pStyle w:val="831"/>
              <w:jc w:val="center"/>
              <w:rPr>
                <w:rFonts w:hint="eastAsia" w:ascii="仿宋" w:hAnsi="仿宋" w:eastAsia="仿宋" w:cs="仿宋"/>
                <w:color w:val="000000"/>
                <w:szCs w:val="21"/>
              </w:rPr>
            </w:pPr>
            <w:r>
              <w:rPr>
                <w:rFonts w:ascii="仿宋" w:hAnsi="仿宋" w:eastAsia="仿宋" w:cs="仿宋"/>
                <w:color w:val="000000"/>
                <w:szCs w:val="21"/>
              </w:rPr>
              <w:t xml:space="preserve">8</w:t>
            </w:r>
            <w:r>
              <w:rPr>
                <w:rFonts w:hint="eastAsia" w:ascii="仿宋" w:hAnsi="仿宋" w:eastAsia="仿宋" w:cs="仿宋"/>
                <w:color w:val="000000"/>
                <w:szCs w:val="21"/>
              </w:rPr>
            </w:r>
            <w:r/>
          </w:p>
        </w:tc>
      </w:tr>
      <w:tr>
        <w:trPr>
          <w:cantSplit/>
          <w:trHeight w:val="397"/>
        </w:trPr>
        <w:tc>
          <w:tcPr>
            <w:tcW w:w="380" w:type="pct"/>
            <w:vAlign w:val="center"/>
            <w:textDirection w:val="lrTb"/>
            <w:noWrap w:val="false"/>
          </w:tcPr>
          <w:p>
            <w:pPr>
              <w:pStyle w:val="83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2.3</w:t>
            </w:r>
            <w:r>
              <w:rPr>
                <w:rFonts w:ascii="宋体" w:hAnsi="宋体" w:eastAsia="宋体" w:cs="宋体"/>
                <w:color w:val="000000"/>
              </w:rPr>
            </w:r>
            <w:r/>
          </w:p>
        </w:tc>
        <w:tc>
          <w:tcPr>
            <w:tcW w:w="533" w:type="pct"/>
            <w:vAlign w:val="center"/>
            <w:vMerge w:val="restart"/>
            <w:textDirection w:val="lrTb"/>
            <w:noWrap w:val="false"/>
          </w:tcPr>
          <w:p>
            <w:pPr>
              <w:pStyle w:val="831"/>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设备参数及技术要求</w:t>
            </w:r>
            <w:r/>
          </w:p>
        </w:tc>
        <w:tc>
          <w:tcPr>
            <w:tcW w:w="389" w:type="pct"/>
            <w:vAlign w:val="center"/>
            <w:textDirection w:val="lrTb"/>
            <w:noWrap w:val="false"/>
          </w:tcPr>
          <w:p>
            <w:pPr>
              <w:pStyle w:val="831"/>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技术偏差</w:t>
            </w:r>
            <w:r/>
          </w:p>
        </w:tc>
        <w:tc>
          <w:tcPr>
            <w:tcW w:w="3173" w:type="pct"/>
            <w:vAlign w:val="center"/>
            <w:textDirection w:val="lrTb"/>
            <w:noWrap w:val="false"/>
          </w:tcPr>
          <w:p>
            <w:pPr>
              <w:pStyle w:val="831"/>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技术规范条款（技术参数（标准））的偏离度：完全满足得8分。在此基础上，招标文件中标注“★”的内容为实质性要求，有一项不符合的，作无效投标处理；标注“▲”的内容为重要参数，有一项负偏离扣1分，所有对标注“★”和“▲”技术参数的响应需提供支撑资料（详见第四章具体要求），否则视为未响应；因未在《技术参数响应表》注明支撑资料具体位置（如页码或序号）并用方框明显标记出相关内容而导致评审不得分的，评标委员会概不负责；其他非重要参数负偏离的，则每项扣0.5分，扣完为止。缺项漏项视为负偏离。</w:t>
            </w:r>
            <w:r/>
          </w:p>
        </w:tc>
        <w:tc>
          <w:tcPr>
            <w:tcW w:w="522" w:type="pct"/>
            <w:vAlign w:val="center"/>
            <w:textDirection w:val="lrTb"/>
            <w:noWrap/>
          </w:tcPr>
          <w:p>
            <w:pPr>
              <w:pStyle w:val="831"/>
              <w:jc w:val="center"/>
              <w:rPr>
                <w:rFonts w:hint="eastAsia" w:ascii="仿宋" w:hAnsi="仿宋" w:eastAsia="仿宋" w:cs="仿宋"/>
                <w:color w:val="000000"/>
                <w:szCs w:val="21"/>
              </w:rPr>
            </w:pPr>
            <w:r>
              <w:rPr>
                <w:rFonts w:hint="eastAsia" w:ascii="仿宋" w:hAnsi="仿宋" w:eastAsia="仿宋" w:cs="仿宋"/>
                <w:color w:val="000000"/>
                <w:szCs w:val="21"/>
              </w:rPr>
              <w:t xml:space="preserve">8</w:t>
            </w:r>
            <w:r/>
          </w:p>
        </w:tc>
      </w:tr>
      <w:tr>
        <w:trPr>
          <w:cantSplit/>
          <w:trHeight w:val="397"/>
        </w:trPr>
        <w:tc>
          <w:tcPr>
            <w:tcW w:w="380" w:type="pct"/>
            <w:vAlign w:val="center"/>
            <w:textDirection w:val="lrTb"/>
            <w:noWrap w:val="false"/>
          </w:tcPr>
          <w:p>
            <w:pPr>
              <w:pStyle w:val="83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2.4</w:t>
            </w:r>
            <w:r>
              <w:rPr>
                <w:rFonts w:ascii="宋体" w:hAnsi="宋体" w:eastAsia="宋体" w:cs="宋体"/>
                <w:color w:val="000000"/>
              </w:rPr>
            </w:r>
            <w:r/>
          </w:p>
        </w:tc>
        <w:tc>
          <w:tcPr>
            <w:tcW w:w="533" w:type="pct"/>
            <w:vAlign w:val="center"/>
            <w:vMerge w:val="continue"/>
            <w:textDirection w:val="lrTb"/>
            <w:noWrap w:val="false"/>
          </w:tcPr>
          <w:p>
            <w:pPr>
              <w:pStyle w:val="831"/>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W w:w="389" w:type="pct"/>
            <w:vAlign w:val="center"/>
            <w:textDirection w:val="lrTb"/>
            <w:noWrap w:val="false"/>
          </w:tcPr>
          <w:p>
            <w:pPr>
              <w:pStyle w:val="831"/>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低压柜性能</w:t>
            </w:r>
            <w:r/>
          </w:p>
        </w:tc>
        <w:tc>
          <w:tcPr>
            <w:tcW w:w="3173" w:type="pct"/>
            <w:vAlign w:val="center"/>
            <w:textDirection w:val="lrTb"/>
            <w:noWrap w:val="false"/>
          </w:tcPr>
          <w:p>
            <w:pPr>
              <w:pStyle w:val="831"/>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低压柜内燃弧试验在至少满足65kA/0.3s要求基础上，内部燃弧报告试验参数高于65kA/0.5s得1分，达到80kA/0.5s及以上得2分。</w:t>
            </w:r>
            <w:r/>
          </w:p>
          <w:p>
            <w:pPr>
              <w:pStyle w:val="831"/>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评审依据：投标文件及CMA认证的第三方机构颁发的型式试验报告加盖投标人公章上传至电子投标文件中。</w:t>
            </w:r>
            <w:r/>
          </w:p>
        </w:tc>
        <w:tc>
          <w:tcPr>
            <w:tcW w:w="522" w:type="pct"/>
            <w:vAlign w:val="center"/>
            <w:textDirection w:val="lrTb"/>
            <w:noWrap/>
          </w:tcPr>
          <w:p>
            <w:pPr>
              <w:pStyle w:val="831"/>
              <w:jc w:val="center"/>
              <w:rPr>
                <w:rFonts w:hint="eastAsia" w:ascii="仿宋" w:hAnsi="仿宋" w:eastAsia="仿宋" w:cs="仿宋"/>
                <w:color w:val="000000"/>
                <w:szCs w:val="21"/>
              </w:rPr>
            </w:pPr>
            <w:r>
              <w:rPr>
                <w:rFonts w:hint="eastAsia" w:ascii="仿宋" w:hAnsi="仿宋" w:eastAsia="仿宋" w:cs="仿宋"/>
                <w:color w:val="000000"/>
                <w:szCs w:val="21"/>
              </w:rPr>
              <w:t xml:space="preserve">2</w:t>
            </w:r>
            <w:r/>
          </w:p>
        </w:tc>
      </w:tr>
      <w:tr>
        <w:trPr>
          <w:cantSplit/>
          <w:trHeight w:val="397"/>
        </w:trPr>
        <w:tc>
          <w:tcPr>
            <w:tcW w:w="380" w:type="pct"/>
            <w:vAlign w:val="center"/>
            <w:textDirection w:val="lrTb"/>
            <w:noWrap w:val="false"/>
          </w:tcPr>
          <w:p>
            <w:pPr>
              <w:pStyle w:val="83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2.5</w:t>
            </w:r>
            <w:r>
              <w:rPr>
                <w:rFonts w:ascii="宋体" w:hAnsi="宋体" w:eastAsia="宋体" w:cs="宋体"/>
                <w:color w:val="000000"/>
              </w:rPr>
            </w:r>
            <w:r/>
          </w:p>
        </w:tc>
        <w:tc>
          <w:tcPr>
            <w:tcW w:w="533" w:type="pct"/>
            <w:vAlign w:val="center"/>
            <w:vMerge w:val="continue"/>
            <w:textDirection w:val="lrTb"/>
            <w:noWrap w:val="false"/>
          </w:tcPr>
          <w:p>
            <w:pPr>
              <w:pStyle w:val="831"/>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W w:w="389" w:type="pct"/>
            <w:vAlign w:val="center"/>
            <w:textDirection w:val="lrTb"/>
            <w:noWrap w:val="false"/>
          </w:tcPr>
          <w:p>
            <w:pPr>
              <w:pStyle w:val="831"/>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产品品牌</w:t>
            </w:r>
            <w:r/>
          </w:p>
        </w:tc>
        <w:tc>
          <w:tcPr>
            <w:tcW w:w="3173" w:type="pct"/>
            <w:vAlign w:val="center"/>
            <w:textDirection w:val="lrTb"/>
            <w:noWrap w:val="false"/>
          </w:tcPr>
          <w:p>
            <w:pPr>
              <w:pStyle w:val="831"/>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（1）低压柜内的元器件中：断路器、无线测温、多功能表计、网关与低压柜全部使用同一品牌得8分，有一项不满足同一品牌要求的扣2分，扣完为止：</w:t>
            </w:r>
            <w:r/>
          </w:p>
          <w:p>
            <w:pPr>
              <w:pStyle w:val="831"/>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（2）除低压柜内的元器件外，变压器、高压柜、无功补偿、电力监控系统、智能管理单元与低压柜全部使用同一品牌得5分，有一项不满足同一品牌要求的扣1分，扣完为止。</w:t>
            </w:r>
            <w:r/>
          </w:p>
          <w:p>
            <w:pPr>
              <w:pStyle w:val="831"/>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投标人须提供上述产品的投标品牌和型号响应表加盖投标人公章上传至电子投标文件中。</w:t>
            </w:r>
            <w:r/>
          </w:p>
        </w:tc>
        <w:tc>
          <w:tcPr>
            <w:tcW w:w="522" w:type="pct"/>
            <w:vAlign w:val="center"/>
            <w:textDirection w:val="lrTb"/>
            <w:noWrap w:val="false"/>
          </w:tcPr>
          <w:p>
            <w:pPr>
              <w:pStyle w:val="831"/>
              <w:jc w:val="center"/>
              <w:rPr>
                <w:rFonts w:ascii="仿宋" w:hAnsi="仿宋" w:eastAsia="仿宋" w:cs="仿宋"/>
                <w:color w:val="000000"/>
                <w:szCs w:val="21"/>
              </w:rPr>
            </w:pPr>
            <w:r>
              <w:rPr>
                <w:rFonts w:hint="eastAsia" w:ascii="仿宋" w:hAnsi="仿宋" w:eastAsia="仿宋" w:cs="仿宋"/>
                <w:color w:val="000000"/>
                <w:szCs w:val="21"/>
              </w:rPr>
              <w:t xml:space="preserve">13</w:t>
            </w:r>
            <w:r>
              <w:rPr>
                <w:rFonts w:ascii="仿宋" w:hAnsi="仿宋" w:eastAsia="仿宋" w:cs="仿宋"/>
                <w:color w:val="000000"/>
                <w:szCs w:val="21"/>
              </w:rPr>
            </w:r>
            <w:r/>
          </w:p>
        </w:tc>
      </w:tr>
      <w:tr>
        <w:trPr>
          <w:trHeight w:val="397"/>
        </w:trPr>
        <w:tc>
          <w:tcPr>
            <w:gridSpan w:val="5"/>
            <w:tcW w:w="5000" w:type="pct"/>
            <w:vAlign w:val="center"/>
            <w:textDirection w:val="lrTb"/>
            <w:noWrap w:val="false"/>
          </w:tcPr>
          <w:p>
            <w:pPr>
              <w:pStyle w:val="831"/>
              <w:jc w:val="center"/>
              <w:spacing w:line="360" w:lineRule="auto"/>
              <w:rPr>
                <w:rFonts w:ascii="仿宋" w:hAnsi="仿宋" w:eastAsia="仿宋" w:cs="仿宋"/>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rPr>
              <w:t xml:space="preserve">技术部分（25分）</w:t>
            </w:r>
            <w:r>
              <w:rPr>
                <w:rFonts w:ascii="仿宋" w:hAnsi="仿宋" w:eastAsia="仿宋" w:cs="仿宋"/>
                <w:color w:val="000000"/>
                <w:szCs w:val="21"/>
              </w:rPr>
            </w:r>
            <w:r/>
          </w:p>
        </w:tc>
      </w:tr>
      <w:tr>
        <w:trPr>
          <w:cantSplit/>
          <w:trHeight w:val="397"/>
        </w:trPr>
        <w:tc>
          <w:tcPr>
            <w:tcW w:w="380" w:type="pct"/>
            <w:vAlign w:val="center"/>
            <w:textDirection w:val="lrTb"/>
            <w:noWrap w:val="false"/>
          </w:tcPr>
          <w:p>
            <w:pPr>
              <w:pStyle w:val="831"/>
              <w:jc w:val="both"/>
              <w:rPr>
                <w:rFonts w:ascii="仿宋" w:hAnsi="仿宋" w:eastAsia="仿宋" w:cs="仿宋"/>
                <w:color w:val="000000"/>
                <w:szCs w:val="21"/>
              </w:rPr>
            </w:pPr>
            <w:r>
              <w:rPr>
                <w:rFonts w:hint="eastAsia" w:ascii="仿宋" w:hAnsi="仿宋" w:eastAsia="仿宋" w:cs="仿宋"/>
                <w:color w:val="000000"/>
                <w:szCs w:val="21"/>
              </w:rPr>
              <w:t xml:space="preserve">3.1</w:t>
            </w:r>
            <w:r>
              <w:rPr>
                <w:rFonts w:ascii="仿宋" w:hAnsi="仿宋" w:eastAsia="仿宋" w:cs="仿宋"/>
                <w:color w:val="000000"/>
                <w:szCs w:val="21"/>
              </w:rPr>
            </w:r>
            <w:r/>
          </w:p>
        </w:tc>
        <w:tc>
          <w:tcPr>
            <w:tcW w:w="533" w:type="pct"/>
            <w:vAlign w:val="center"/>
            <w:vMerge w:val="restart"/>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技术</w:t>
            </w:r>
            <w:r/>
          </w:p>
          <w:p>
            <w:pPr>
              <w:pStyle w:val="831"/>
              <w:jc w:val="center"/>
              <w:rPr>
                <w:rFonts w:hint="eastAsia" w:ascii="仿宋" w:hAnsi="仿宋" w:eastAsia="仿宋" w:cs="仿宋"/>
                <w:color w:val="000000"/>
                <w:szCs w:val="21"/>
              </w:rPr>
            </w:pPr>
            <w:r>
              <w:rPr>
                <w:rFonts w:hint="eastAsia" w:ascii="宋体" w:hAnsi="宋体" w:eastAsia="宋体" w:cs="宋体"/>
                <w:color w:val="000000"/>
              </w:rPr>
              <w:t xml:space="preserve">部分</w:t>
            </w:r>
            <w:r>
              <w:rPr>
                <w:rFonts w:hint="eastAsia" w:ascii="仿宋" w:hAnsi="仿宋" w:eastAsia="仿宋" w:cs="仿宋"/>
                <w:color w:val="000000"/>
                <w:szCs w:val="21"/>
              </w:rPr>
            </w:r>
            <w:r/>
          </w:p>
        </w:tc>
        <w:tc>
          <w:tcPr>
            <w:tcW w:w="389" w:type="pct"/>
            <w:vAlign w:val="center"/>
            <w:textDirection w:val="lrTb"/>
            <w:noWrap w:val="false"/>
          </w:tcPr>
          <w:p>
            <w:pPr>
              <w:pStyle w:val="831"/>
              <w:jc w:val="both"/>
              <w:rPr>
                <w:rFonts w:hint="eastAsia" w:ascii="仿宋" w:hAnsi="仿宋" w:eastAsia="仿宋" w:cs="仿宋"/>
                <w:color w:val="000000"/>
                <w:szCs w:val="21"/>
              </w:rPr>
            </w:pPr>
            <w:r>
              <w:rPr>
                <w:rFonts w:hint="eastAsia" w:ascii="宋体" w:hAnsi="宋体" w:eastAsia="宋体" w:cs="宋体"/>
                <w:color w:val="000000"/>
              </w:rPr>
              <w:t xml:space="preserve">深化设计方案</w:t>
            </w:r>
            <w:r>
              <w:rPr>
                <w:rFonts w:hint="eastAsia" w:ascii="仿宋" w:hAnsi="仿宋" w:eastAsia="仿宋" w:cs="仿宋"/>
                <w:color w:val="000000"/>
                <w:szCs w:val="21"/>
              </w:rPr>
            </w:r>
            <w:r/>
          </w:p>
        </w:tc>
        <w:tc>
          <w:tcPr>
            <w:tcW w:w="3173" w:type="pct"/>
            <w:vAlign w:val="center"/>
            <w:textDirection w:val="lrTb"/>
            <w:noWrap w:val="false"/>
          </w:tcPr>
          <w:p>
            <w:pPr>
              <w:pStyle w:val="831"/>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供应商提供针对本项目的设计方案（包括但不限于以下核心要素①总体方案；②技术深化设计；③施工图深化设计等）。上述方案总体设想明确，方案针对性强，得5分；总体设想较为明确，方案针对性较强，得3分；总体设想不明确，方案具有一般性，得1分；未体现总体设想，方案有缺陷或漏洞，或未提供材料的不得分。</w:t>
            </w:r>
            <w:r/>
          </w:p>
          <w:p>
            <w:pPr>
              <w:pStyle w:val="831"/>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注：缺陷或漏洞是指存在项目名称错误、地点区域错误、内容与本项目需求无关、未体现方案核心要素、仅有框架或标题、适用的标准（方法）错误、明显复制其他项目内容、方案内容不详细、不合理、无针对性等任意一种情形。</w:t>
            </w:r>
            <w:r/>
          </w:p>
        </w:tc>
        <w:tc>
          <w:tcPr>
            <w:tcW w:w="522" w:type="pct"/>
            <w:vAlign w:val="center"/>
            <w:textDirection w:val="lrTb"/>
            <w:noWrap w:val="false"/>
          </w:tcPr>
          <w:p>
            <w:pPr>
              <w:pStyle w:val="831"/>
              <w:jc w:val="center"/>
              <w:rPr>
                <w:rFonts w:hint="eastAsia" w:ascii="仿宋" w:hAnsi="仿宋" w:eastAsia="仿宋" w:cs="仿宋"/>
                <w:color w:val="000000"/>
                <w:szCs w:val="21"/>
              </w:rPr>
            </w:pPr>
            <w:r>
              <w:rPr>
                <w:rFonts w:hint="eastAsia" w:ascii="仿宋" w:hAnsi="仿宋" w:eastAsia="仿宋" w:cs="仿宋"/>
                <w:color w:val="000000"/>
                <w:szCs w:val="21"/>
              </w:rPr>
              <w:t xml:space="preserve">5</w:t>
            </w:r>
            <w:r/>
          </w:p>
        </w:tc>
      </w:tr>
      <w:tr>
        <w:trPr>
          <w:cantSplit/>
          <w:trHeight w:val="397"/>
        </w:trPr>
        <w:tc>
          <w:tcPr>
            <w:tcW w:w="380" w:type="pct"/>
            <w:vAlign w:val="center"/>
            <w:textDirection w:val="lrTb"/>
            <w:noWrap w:val="false"/>
          </w:tcPr>
          <w:p>
            <w:pPr>
              <w:pStyle w:val="831"/>
              <w:jc w:val="both"/>
              <w:rPr>
                <w:rFonts w:ascii="仿宋" w:hAnsi="仿宋" w:eastAsia="仿宋" w:cs="仿宋"/>
                <w:color w:val="000000"/>
                <w:szCs w:val="21"/>
              </w:rPr>
            </w:pPr>
            <w:r>
              <w:rPr>
                <w:rFonts w:hint="eastAsia" w:ascii="仿宋" w:hAnsi="仿宋" w:eastAsia="仿宋" w:cs="仿宋"/>
                <w:color w:val="000000"/>
                <w:szCs w:val="21"/>
              </w:rPr>
              <w:t xml:space="preserve">3.2</w:t>
            </w:r>
            <w:r>
              <w:rPr>
                <w:rFonts w:ascii="仿宋" w:hAnsi="仿宋" w:eastAsia="仿宋" w:cs="仿宋"/>
                <w:color w:val="000000"/>
                <w:szCs w:val="21"/>
              </w:rPr>
            </w:r>
            <w:r/>
          </w:p>
        </w:tc>
        <w:tc>
          <w:tcPr>
            <w:tcW w:w="533" w:type="pct"/>
            <w:vAlign w:val="center"/>
            <w:vMerge w:val="continue"/>
            <w:textDirection w:val="lrTb"/>
            <w:noWrap w:val="false"/>
          </w:tcPr>
          <w:p>
            <w:pPr>
              <w:pStyle w:val="831"/>
              <w:jc w:val="both"/>
              <w:rPr>
                <w:rFonts w:hint="eastAsia" w:ascii="仿宋" w:hAnsi="仿宋" w:eastAsia="仿宋" w:cs="仿宋"/>
                <w:color w:val="000000"/>
                <w:szCs w:val="21"/>
              </w:rPr>
            </w:pPr>
            <w:r>
              <w:rPr>
                <w:rFonts w:hint="eastAsia" w:ascii="仿宋" w:hAnsi="仿宋" w:eastAsia="仿宋" w:cs="仿宋"/>
                <w:color w:val="000000"/>
                <w:szCs w:val="21"/>
              </w:rPr>
            </w:r>
            <w:r/>
          </w:p>
        </w:tc>
        <w:tc>
          <w:tcPr>
            <w:tcW w:w="389" w:type="pct"/>
            <w:vAlign w:val="center"/>
            <w:textDirection w:val="lrTb"/>
            <w:noWrap w:val="false"/>
          </w:tcPr>
          <w:p>
            <w:pPr>
              <w:pStyle w:val="831"/>
              <w:jc w:val="both"/>
              <w:rPr>
                <w:rFonts w:hint="eastAsia" w:ascii="仿宋" w:hAnsi="仿宋" w:eastAsia="仿宋" w:cs="仿宋"/>
                <w:color w:val="000000"/>
                <w:szCs w:val="21"/>
              </w:rPr>
            </w:pPr>
            <w:r>
              <w:rPr>
                <w:rFonts w:hint="eastAsia" w:ascii="宋体" w:hAnsi="宋体" w:eastAsia="宋体" w:cs="宋体"/>
                <w:color w:val="000000"/>
              </w:rPr>
              <w:t xml:space="preserve">施工方案</w:t>
            </w:r>
            <w:r>
              <w:rPr>
                <w:rFonts w:hint="eastAsia" w:ascii="仿宋" w:hAnsi="仿宋" w:eastAsia="仿宋" w:cs="仿宋"/>
                <w:color w:val="000000"/>
                <w:szCs w:val="21"/>
              </w:rPr>
            </w:r>
            <w:r/>
          </w:p>
        </w:tc>
        <w:tc>
          <w:tcPr>
            <w:tcW w:w="3173" w:type="pct"/>
            <w:vAlign w:val="center"/>
            <w:textDirection w:val="lrTb"/>
            <w:noWrap w:val="false"/>
          </w:tcPr>
          <w:p>
            <w:pPr>
              <w:pStyle w:val="831"/>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供应商提供针对本项目的施工方案（包括但不限于以下核心要素①施工工作计划；②资源供应计划；③停送电方案；④设备拆装方案；⑤系统对接方案等）。上述方案总体设想明确，方案针对性强，得5分；总体设想较为明确，方案针对性较强，得3分；总体设想不明确，方案具有一般性，得1分；未体现总体设想，方案有缺陷或漏洞，或未提供材料的不得分。</w:t>
            </w:r>
            <w:r/>
          </w:p>
          <w:p>
            <w:pPr>
              <w:pStyle w:val="831"/>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注：缺陷或漏洞是指存在项目名称错误、地点区域错误、内容与本项目需求无关、未体现方案核心要素、仅有框架或标题、适用的标准（方法）错误、明显复制其他项目内容、方案内容不详细、不合理、无针对性等任意一种情形。</w:t>
              <w:tab/>
            </w:r>
            <w:r/>
          </w:p>
        </w:tc>
        <w:tc>
          <w:tcPr>
            <w:tcW w:w="522" w:type="pct"/>
            <w:vAlign w:val="center"/>
            <w:textDirection w:val="lrTb"/>
            <w:noWrap w:val="false"/>
          </w:tcPr>
          <w:p>
            <w:pPr>
              <w:pStyle w:val="831"/>
              <w:jc w:val="center"/>
              <w:rPr>
                <w:rFonts w:hint="eastAsia" w:ascii="仿宋" w:hAnsi="仿宋" w:eastAsia="仿宋" w:cs="仿宋"/>
                <w:color w:val="000000"/>
                <w:szCs w:val="21"/>
              </w:rPr>
            </w:pPr>
            <w:r>
              <w:rPr>
                <w:rFonts w:hint="eastAsia" w:ascii="仿宋" w:hAnsi="仿宋" w:eastAsia="仿宋" w:cs="仿宋"/>
                <w:color w:val="000000"/>
                <w:szCs w:val="21"/>
              </w:rPr>
              <w:t xml:space="preserve">5</w:t>
            </w:r>
            <w:r/>
          </w:p>
        </w:tc>
      </w:tr>
      <w:tr>
        <w:trPr>
          <w:cantSplit/>
          <w:trHeight w:val="397"/>
        </w:trPr>
        <w:tc>
          <w:tcPr>
            <w:tcW w:w="380" w:type="pct"/>
            <w:vAlign w:val="center"/>
            <w:textDirection w:val="lrTb"/>
            <w:noWrap w:val="false"/>
          </w:tcPr>
          <w:p>
            <w:pPr>
              <w:pStyle w:val="831"/>
              <w:jc w:val="both"/>
              <w:rPr>
                <w:rFonts w:ascii="仿宋" w:hAnsi="仿宋" w:eastAsia="仿宋" w:cs="仿宋"/>
                <w:color w:val="000000"/>
                <w:szCs w:val="21"/>
              </w:rPr>
            </w:pPr>
            <w:r>
              <w:rPr>
                <w:rFonts w:hint="eastAsia" w:ascii="仿宋" w:hAnsi="仿宋" w:eastAsia="仿宋" w:cs="仿宋"/>
                <w:color w:val="000000"/>
                <w:szCs w:val="21"/>
              </w:rPr>
              <w:t xml:space="preserve">3.3</w:t>
            </w:r>
            <w:r>
              <w:rPr>
                <w:rFonts w:ascii="仿宋" w:hAnsi="仿宋" w:eastAsia="仿宋" w:cs="仿宋"/>
                <w:color w:val="000000"/>
                <w:szCs w:val="21"/>
              </w:rPr>
            </w:r>
            <w:r/>
          </w:p>
        </w:tc>
        <w:tc>
          <w:tcPr>
            <w:tcW w:w="533" w:type="pct"/>
            <w:vAlign w:val="center"/>
            <w:vMerge w:val="continue"/>
            <w:textDirection w:val="lrTb"/>
            <w:noWrap w:val="false"/>
          </w:tcPr>
          <w:p>
            <w:pPr>
              <w:pStyle w:val="831"/>
              <w:jc w:val="both"/>
              <w:rPr>
                <w:rFonts w:hint="eastAsia" w:ascii="仿宋" w:hAnsi="仿宋" w:eastAsia="仿宋" w:cs="仿宋"/>
                <w:color w:val="000000"/>
                <w:szCs w:val="21"/>
              </w:rPr>
            </w:pPr>
            <w:r>
              <w:rPr>
                <w:rFonts w:hint="eastAsia" w:ascii="仿宋" w:hAnsi="仿宋" w:eastAsia="仿宋" w:cs="仿宋"/>
                <w:color w:val="000000"/>
                <w:szCs w:val="21"/>
              </w:rPr>
            </w:r>
            <w:r/>
          </w:p>
        </w:tc>
        <w:tc>
          <w:tcPr>
            <w:tcW w:w="389" w:type="pct"/>
            <w:vAlign w:val="center"/>
            <w:textDirection w:val="lrTb"/>
            <w:noWrap w:val="false"/>
          </w:tcPr>
          <w:p>
            <w:pPr>
              <w:pStyle w:val="831"/>
              <w:jc w:val="both"/>
              <w:rPr>
                <w:rFonts w:hint="eastAsia" w:ascii="仿宋" w:hAnsi="仿宋" w:eastAsia="仿宋" w:cs="仿宋"/>
                <w:color w:val="000000"/>
                <w:szCs w:val="21"/>
              </w:rPr>
            </w:pPr>
            <w:r>
              <w:rPr>
                <w:rFonts w:hint="eastAsia" w:ascii="宋体" w:hAnsi="宋体" w:eastAsia="宋体" w:cs="宋体"/>
                <w:color w:val="000000"/>
              </w:rPr>
              <w:t xml:space="preserve">质量保证措施</w:t>
            </w:r>
            <w:r>
              <w:rPr>
                <w:rFonts w:hint="eastAsia" w:ascii="仿宋" w:hAnsi="仿宋" w:eastAsia="仿宋" w:cs="仿宋"/>
                <w:color w:val="000000"/>
                <w:szCs w:val="21"/>
              </w:rPr>
            </w:r>
            <w:r/>
          </w:p>
        </w:tc>
        <w:tc>
          <w:tcPr>
            <w:tcW w:w="3173" w:type="pct"/>
            <w:vAlign w:val="center"/>
            <w:textDirection w:val="lrTb"/>
            <w:noWrap w:val="false"/>
          </w:tcPr>
          <w:p>
            <w:pPr>
              <w:pStyle w:val="831"/>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供应商提供的针对本项目的服务质量保证措施（包括但不限于以下核心要素①设计阶段质量管控；②施工过程质量控制；③成品验收质量核验等）。上述质量保证措施描述非常详细、完整，得5分；质量保证措施描述较详细、较完整，得3分；质量保证措施描述一般，得1分；质量保证措施无描述，有缺陷或漏洞，或未提供材料的不得分。</w:t>
            </w:r>
            <w:r/>
          </w:p>
          <w:p>
            <w:pPr>
              <w:pStyle w:val="831"/>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注：缺陷或漏洞是指存在项目名称错误、地点区域错误、内容与本项目需求无关、未体现方案核心要素、仅有框架或标题、适用的标准（方法）错误、明显复制其他项目内容、方案内容不详细、不合理、无针对性等任意一种情形。</w:t>
            </w:r>
            <w:r/>
          </w:p>
        </w:tc>
        <w:tc>
          <w:tcPr>
            <w:tcW w:w="522" w:type="pct"/>
            <w:vAlign w:val="center"/>
            <w:textDirection w:val="lrTb"/>
            <w:noWrap w:val="false"/>
          </w:tcPr>
          <w:p>
            <w:pPr>
              <w:pStyle w:val="831"/>
              <w:jc w:val="center"/>
              <w:rPr>
                <w:rFonts w:hint="eastAsia" w:ascii="仿宋" w:hAnsi="仿宋" w:eastAsia="仿宋" w:cs="仿宋"/>
                <w:color w:val="000000"/>
                <w:szCs w:val="21"/>
              </w:rPr>
            </w:pPr>
            <w:r>
              <w:rPr>
                <w:rFonts w:hint="eastAsia" w:ascii="仿宋" w:hAnsi="仿宋" w:eastAsia="仿宋" w:cs="仿宋"/>
                <w:color w:val="000000"/>
                <w:szCs w:val="21"/>
              </w:rPr>
              <w:t xml:space="preserve">5</w:t>
            </w:r>
            <w:r/>
          </w:p>
        </w:tc>
      </w:tr>
      <w:tr>
        <w:trPr>
          <w:cantSplit/>
          <w:trHeight w:val="397"/>
        </w:trPr>
        <w:tc>
          <w:tcPr>
            <w:tcW w:w="380" w:type="pct"/>
            <w:vAlign w:val="center"/>
            <w:textDirection w:val="lrTb"/>
            <w:noWrap w:val="false"/>
          </w:tcPr>
          <w:p>
            <w:pPr>
              <w:pStyle w:val="831"/>
              <w:jc w:val="both"/>
              <w:rPr>
                <w:rFonts w:ascii="仿宋" w:hAnsi="仿宋" w:eastAsia="仿宋" w:cs="仿宋"/>
                <w:color w:val="000000"/>
                <w:szCs w:val="21"/>
              </w:rPr>
            </w:pPr>
            <w:r>
              <w:rPr>
                <w:rFonts w:hint="eastAsia" w:ascii="仿宋" w:hAnsi="仿宋" w:eastAsia="仿宋" w:cs="仿宋"/>
                <w:color w:val="000000"/>
                <w:szCs w:val="21"/>
              </w:rPr>
              <w:t xml:space="preserve">3.4</w:t>
            </w:r>
            <w:r>
              <w:rPr>
                <w:rFonts w:ascii="仿宋" w:hAnsi="仿宋" w:eastAsia="仿宋" w:cs="仿宋"/>
                <w:color w:val="000000"/>
                <w:szCs w:val="21"/>
              </w:rPr>
            </w:r>
            <w:r/>
          </w:p>
        </w:tc>
        <w:tc>
          <w:tcPr>
            <w:tcW w:w="533" w:type="pct"/>
            <w:vAlign w:val="center"/>
            <w:vMerge w:val="continue"/>
            <w:textDirection w:val="lrTb"/>
            <w:noWrap w:val="false"/>
          </w:tcPr>
          <w:p>
            <w:pPr>
              <w:pStyle w:val="831"/>
              <w:jc w:val="both"/>
              <w:rPr>
                <w:rFonts w:hint="eastAsia" w:ascii="仿宋" w:hAnsi="仿宋" w:eastAsia="仿宋" w:cs="仿宋"/>
                <w:color w:val="000000"/>
                <w:szCs w:val="21"/>
              </w:rPr>
            </w:pPr>
            <w:r>
              <w:rPr>
                <w:rFonts w:hint="eastAsia" w:ascii="仿宋" w:hAnsi="仿宋" w:eastAsia="仿宋" w:cs="仿宋"/>
                <w:color w:val="000000"/>
                <w:szCs w:val="21"/>
              </w:rPr>
            </w:r>
            <w:r/>
          </w:p>
        </w:tc>
        <w:tc>
          <w:tcPr>
            <w:tcW w:w="389" w:type="pct"/>
            <w:vAlign w:val="center"/>
            <w:textDirection w:val="lrTb"/>
            <w:noWrap w:val="false"/>
          </w:tcPr>
          <w:p>
            <w:pPr>
              <w:pStyle w:val="831"/>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风险管控措施及应急预案</w:t>
            </w:r>
            <w:r/>
          </w:p>
          <w:p>
            <w:pPr>
              <w:pStyle w:val="831"/>
              <w:jc w:val="both"/>
              <w:rPr>
                <w:rFonts w:hint="eastAsia" w:ascii="仿宋" w:hAnsi="仿宋" w:eastAsia="仿宋" w:cs="仿宋"/>
                <w:color w:val="000000"/>
                <w:szCs w:val="21"/>
              </w:rPr>
            </w:pPr>
            <w:r>
              <w:rPr>
                <w:rFonts w:hint="eastAsia" w:ascii="仿宋" w:hAnsi="仿宋" w:eastAsia="仿宋" w:cs="仿宋"/>
                <w:color w:val="000000"/>
                <w:szCs w:val="21"/>
              </w:rPr>
            </w:r>
            <w:r/>
          </w:p>
        </w:tc>
        <w:tc>
          <w:tcPr>
            <w:tcW w:w="3173" w:type="pct"/>
            <w:vAlign w:val="center"/>
            <w:textDirection w:val="lrTb"/>
            <w:noWrap w:val="false"/>
          </w:tcPr>
          <w:p>
            <w:pPr>
              <w:pStyle w:val="831"/>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供应商提供的针对本项目的风险管控措施（包括但不限于以下核心要素①风险管控措施（包含任何可能的紧急情况的处理措施、预案以及抵抗风险措施）；②应急预案（包含有可能出现的突发事件，例如停电、人员损伤、设备损坏等制定相应的应急处理措施）等。上述风险管控措施针对性强、可操作性高、科学合理，得5分；风险管控措施针对性较强、可操作性较高、较为科学合理，得3分；风险管控措施针对性一般、可操作性不高、不够科学合理，得1分；方案针对性差、不具可操作性、不科学不合理、有缺陷或漏洞，或未提供材料的不得分。</w:t>
            </w:r>
            <w:r/>
          </w:p>
          <w:p>
            <w:pPr>
              <w:pStyle w:val="831"/>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注：缺陷或漏洞是指存在项目名称错误、地点区域错误、内容与本项目需求无关、未体现方案核心要素、仅有框架或标题、适用的标准（方法）错误、明显复制其他项目内容、方案内容不详细、不合理、无针对性等任意一种情形。</w:t>
            </w:r>
            <w:r/>
          </w:p>
        </w:tc>
        <w:tc>
          <w:tcPr>
            <w:tcW w:w="522" w:type="pct"/>
            <w:vAlign w:val="center"/>
            <w:textDirection w:val="lrTb"/>
            <w:noWrap w:val="false"/>
          </w:tcPr>
          <w:p>
            <w:pPr>
              <w:pStyle w:val="831"/>
              <w:jc w:val="center"/>
              <w:rPr>
                <w:rFonts w:hint="eastAsia" w:ascii="仿宋" w:hAnsi="仿宋" w:eastAsia="仿宋" w:cs="仿宋"/>
                <w:color w:val="000000"/>
                <w:szCs w:val="21"/>
              </w:rPr>
            </w:pPr>
            <w:r>
              <w:rPr>
                <w:rFonts w:hint="eastAsia" w:ascii="仿宋" w:hAnsi="仿宋" w:eastAsia="仿宋" w:cs="仿宋"/>
                <w:color w:val="000000"/>
                <w:szCs w:val="21"/>
              </w:rPr>
              <w:t xml:space="preserve">5</w:t>
            </w:r>
            <w:r/>
          </w:p>
        </w:tc>
      </w:tr>
      <w:tr>
        <w:trPr>
          <w:cantSplit/>
          <w:trHeight w:val="397"/>
        </w:trPr>
        <w:tc>
          <w:tcPr>
            <w:tcW w:w="380" w:type="pct"/>
            <w:vAlign w:val="center"/>
            <w:textDirection w:val="lrTb"/>
            <w:noWrap w:val="false"/>
          </w:tcPr>
          <w:p>
            <w:pPr>
              <w:pStyle w:val="831"/>
              <w:jc w:val="both"/>
              <w:rPr>
                <w:rFonts w:ascii="仿宋" w:hAnsi="仿宋" w:eastAsia="仿宋" w:cs="仿宋"/>
                <w:color w:val="000000"/>
                <w:szCs w:val="21"/>
              </w:rPr>
            </w:pPr>
            <w:r>
              <w:rPr>
                <w:rFonts w:hint="eastAsia" w:ascii="仿宋" w:hAnsi="仿宋" w:eastAsia="仿宋" w:cs="仿宋"/>
                <w:color w:val="000000"/>
                <w:szCs w:val="21"/>
              </w:rPr>
              <w:t xml:space="preserve">3.5</w:t>
            </w:r>
            <w:r>
              <w:rPr>
                <w:rFonts w:ascii="仿宋" w:hAnsi="仿宋" w:eastAsia="仿宋" w:cs="仿宋"/>
                <w:color w:val="000000"/>
                <w:szCs w:val="21"/>
              </w:rPr>
            </w:r>
            <w:r/>
          </w:p>
        </w:tc>
        <w:tc>
          <w:tcPr>
            <w:tcW w:w="533" w:type="pct"/>
            <w:vAlign w:val="center"/>
            <w:vMerge w:val="continue"/>
            <w:textDirection w:val="lrTb"/>
            <w:noWrap w:val="false"/>
          </w:tcPr>
          <w:p>
            <w:pPr>
              <w:pStyle w:val="831"/>
              <w:jc w:val="both"/>
              <w:rPr>
                <w:rFonts w:hint="eastAsia" w:ascii="仿宋" w:hAnsi="仿宋" w:eastAsia="仿宋" w:cs="仿宋"/>
                <w:color w:val="000000"/>
                <w:szCs w:val="21"/>
              </w:rPr>
            </w:pPr>
            <w:r>
              <w:rPr>
                <w:rFonts w:hint="eastAsia" w:ascii="仿宋" w:hAnsi="仿宋" w:eastAsia="仿宋" w:cs="仿宋"/>
                <w:color w:val="000000"/>
                <w:szCs w:val="21"/>
              </w:rPr>
            </w:r>
            <w:r/>
          </w:p>
        </w:tc>
        <w:tc>
          <w:tcPr>
            <w:tcW w:w="389" w:type="pct"/>
            <w:vAlign w:val="center"/>
            <w:textDirection w:val="lrTb"/>
            <w:noWrap w:val="false"/>
          </w:tcPr>
          <w:p>
            <w:pPr>
              <w:pStyle w:val="831"/>
              <w:jc w:val="both"/>
              <w:rPr>
                <w:rFonts w:hint="eastAsia" w:ascii="仿宋" w:hAnsi="仿宋" w:eastAsia="仿宋" w:cs="仿宋"/>
                <w:color w:val="000000"/>
                <w:szCs w:val="21"/>
              </w:rPr>
            </w:pPr>
            <w:r>
              <w:rPr>
                <w:rFonts w:hint="eastAsia" w:ascii="宋体" w:hAnsi="宋体" w:eastAsia="宋体" w:cs="宋体"/>
                <w:color w:val="000000"/>
              </w:rPr>
              <w:t xml:space="preserve">售后方案</w:t>
            </w:r>
            <w:r>
              <w:rPr>
                <w:rFonts w:hint="eastAsia" w:ascii="仿宋" w:hAnsi="仿宋" w:eastAsia="仿宋" w:cs="仿宋"/>
                <w:color w:val="000000"/>
                <w:szCs w:val="21"/>
              </w:rPr>
            </w:r>
            <w:r/>
          </w:p>
        </w:tc>
        <w:tc>
          <w:tcPr>
            <w:tcW w:w="3173" w:type="pct"/>
            <w:vAlign w:val="center"/>
            <w:textDirection w:val="lrTb"/>
            <w:noWrap w:val="false"/>
          </w:tcPr>
          <w:p>
            <w:pPr>
              <w:pStyle w:val="831"/>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供应商提供的针对本项目的售后方案（包括但不限于以下核心要素①故障处理的响应时间；②设备安装使用过程的培训服务等）。上述售后方案内容全面完整、针对性强、可行性强，得5分；售后方案内容较完整、针对性较强、可行性较强的得3分；售后方案内容不够完整、针对性不够强、可行性不够强的得1分；售后方案内容不完整、无针对性、无可行性、有缺陷或漏洞，或未提供材料的不得分。</w:t>
            </w:r>
            <w:r/>
          </w:p>
          <w:p>
            <w:pPr>
              <w:pStyle w:val="831"/>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注：缺陷或漏洞是指存在项目名称错误、地点区域错误、内容与本项目需求无关、未体现方案核心要素、仅有框架或标题、适用的标准（方法）错误、明显复制其他项目内容、方案内容不详细、不合理、无针对性等任意一种情形。</w:t>
            </w:r>
            <w:r/>
          </w:p>
        </w:tc>
        <w:tc>
          <w:tcPr>
            <w:tcW w:w="522" w:type="pct"/>
            <w:vAlign w:val="center"/>
            <w:textDirection w:val="lrTb"/>
            <w:noWrap w:val="false"/>
          </w:tcPr>
          <w:p>
            <w:pPr>
              <w:pStyle w:val="831"/>
              <w:jc w:val="center"/>
              <w:rPr>
                <w:rFonts w:hint="eastAsia" w:ascii="仿宋" w:hAnsi="仿宋" w:eastAsia="仿宋" w:cs="仿宋"/>
                <w:color w:val="000000"/>
                <w:szCs w:val="21"/>
              </w:rPr>
            </w:pPr>
            <w:r>
              <w:rPr>
                <w:rFonts w:hint="eastAsia" w:ascii="仿宋" w:hAnsi="仿宋" w:eastAsia="仿宋" w:cs="仿宋"/>
                <w:color w:val="000000"/>
                <w:szCs w:val="21"/>
              </w:rPr>
              <w:t xml:space="preserve">5</w:t>
            </w:r>
            <w:r/>
          </w:p>
        </w:tc>
      </w:tr>
    </w:tbl>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p>
      <w:pPr>
        <w:pStyle w:val="831"/>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说明：</w:t>
      </w:r>
      <w:r>
        <w:rPr>
          <w:color w:val="000000"/>
        </w:rPr>
      </w:r>
      <w:r/>
    </w:p>
    <w:p>
      <w:pPr>
        <w:pStyle w:val="831"/>
        <w:ind w:firstLine="422"/>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1.小微企业的价格扣除</w:t>
      </w:r>
      <w:r>
        <w:rPr>
          <w:color w:val="000000"/>
        </w:rPr>
      </w:r>
      <w:r/>
    </w:p>
    <w:p>
      <w:pPr>
        <w:pStyle w:val="831"/>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（1）对于非专门面向中小企业的采购项目，给予小微企业报价</w:t>
      </w:r>
      <w:r>
        <w:rPr>
          <w:rFonts w:hint="eastAsia" w:ascii="宋体" w:hAnsi="宋体" w:eastAsia="宋体" w:cs="宋体"/>
          <w:color w:val="000000"/>
        </w:rPr>
        <w:t xml:space="preserve">5</w:t>
      </w:r>
      <w:r>
        <w:rPr>
          <w:rFonts w:ascii="宋体" w:hAnsi="宋体" w:eastAsia="宋体" w:cs="宋体"/>
          <w:color w:val="000000"/>
        </w:rPr>
        <w:t xml:space="preserve">%的价格扣除，用扣除后的价格参与评审。</w:t>
      </w:r>
      <w:r>
        <w:rPr>
          <w:color w:val="000000"/>
        </w:rPr>
      </w:r>
      <w:r/>
    </w:p>
    <w:p>
      <w:pPr>
        <w:pStyle w:val="831"/>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（2）对于非专门面向中小企业的货物采购项目，</w:t>
      </w:r>
      <w:r>
        <w:rPr>
          <w:rFonts w:hint="eastAsia" w:ascii="宋体" w:hAnsi="宋体" w:eastAsia="宋体" w:cs="宋体"/>
          <w:color w:val="000000"/>
        </w:rPr>
        <w:t xml:space="preserve">投标供应商</w:t>
      </w:r>
      <w:r>
        <w:rPr>
          <w:rFonts w:ascii="宋体" w:hAnsi="宋体" w:eastAsia="宋体" w:cs="宋体"/>
          <w:color w:val="000000"/>
        </w:rPr>
        <w:t xml:space="preserve">（无论为大型企业、中型企业或小微企业）提供的货物均为小微企业制造的货物，即可享受上述价格评审优惠政策，除此之外的情形，不享受小微企业价格评审优惠政策。</w:t>
      </w:r>
      <w:r>
        <w:rPr>
          <w:color w:val="000000"/>
        </w:rPr>
      </w:r>
      <w:r/>
    </w:p>
    <w:p>
      <w:pPr>
        <w:pStyle w:val="831"/>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w:t>
      </w:r>
      <w:r>
        <w:rPr>
          <w:rFonts w:hint="eastAsia" w:ascii="宋体" w:hAnsi="宋体" w:eastAsia="宋体" w:cs="宋体"/>
          <w:color w:val="000000"/>
        </w:rPr>
        <w:t xml:space="preserve">投标供应商</w:t>
      </w:r>
      <w:r>
        <w:rPr>
          <w:rFonts w:ascii="宋体" w:hAnsi="宋体" w:eastAsia="宋体" w:cs="宋体"/>
          <w:color w:val="000000"/>
        </w:rPr>
        <w:t xml:space="preserve">需按照采购文件的要求提供相应的《中小企业声明函》。 </w:t>
      </w:r>
      <w:r>
        <w:rPr>
          <w:color w:val="000000"/>
        </w:rPr>
      </w:r>
      <w:r/>
    </w:p>
    <w:p>
      <w:pPr>
        <w:pStyle w:val="831"/>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（4）企业标准请参照《关于印发中小企业划型标准规定的通知》（工信部联企业</w:t>
      </w:r>
      <w:r>
        <w:rPr>
          <w:rFonts w:hint="eastAsia" w:ascii="宋体" w:hAnsi="宋体" w:eastAsia="宋体" w:cs="宋体"/>
          <w:color w:val="000000"/>
        </w:rPr>
        <w:t xml:space="preserve">〔2011〕300号</w:t>
      </w:r>
      <w:r>
        <w:rPr>
          <w:rFonts w:ascii="宋体" w:hAnsi="宋体" w:eastAsia="宋体" w:cs="宋体"/>
          <w:color w:val="000000"/>
        </w:rPr>
        <w:t xml:space="preserve">）文件规定自行填写。 </w:t>
      </w:r>
      <w:r>
        <w:rPr>
          <w:color w:val="000000"/>
        </w:rPr>
      </w:r>
      <w:r/>
    </w:p>
    <w:p>
      <w:pPr>
        <w:pStyle w:val="831"/>
        <w:ind w:firstLine="422"/>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2.监狱和戒毒企业的价格扣除</w:t>
      </w:r>
      <w:r>
        <w:rPr>
          <w:color w:val="000000"/>
        </w:rPr>
      </w:r>
      <w:r/>
    </w:p>
    <w:p>
      <w:pPr>
        <w:pStyle w:val="831"/>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（1）本项目对监狱和戒毒企业（简称监狱企业），给予报价</w:t>
      </w:r>
      <w:r>
        <w:rPr>
          <w:rFonts w:hint="eastAsia" w:ascii="宋体" w:hAnsi="宋体" w:eastAsia="宋体" w:cs="宋体"/>
          <w:color w:val="000000"/>
        </w:rPr>
        <w:t xml:space="preserve">5</w:t>
      </w:r>
      <w:r>
        <w:rPr>
          <w:rFonts w:ascii="宋体" w:hAnsi="宋体" w:eastAsia="宋体" w:cs="宋体"/>
          <w:color w:val="000000"/>
        </w:rPr>
        <w:t xml:space="preserve">%的价格扣除，用扣除后的价格参与评审。</w:t>
      </w:r>
      <w:r>
        <w:rPr>
          <w:color w:val="000000"/>
        </w:rPr>
      </w:r>
      <w:r/>
    </w:p>
    <w:p>
      <w:pPr>
        <w:pStyle w:val="831"/>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（2）监狱企业需提供由省级以上监狱管理局、戒毒管理局（含新疆生产建设兵团）出具的属于监狱企业的证明文件。</w:t>
      </w:r>
      <w:r>
        <w:rPr>
          <w:color w:val="000000"/>
        </w:rPr>
      </w:r>
      <w:r/>
    </w:p>
    <w:p>
      <w:pPr>
        <w:pStyle w:val="831"/>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（3）监狱企业标准请参照《关于政府采购支持监狱企业发展有关问题的通知》（财库〔2014〕68号）。</w:t>
      </w:r>
      <w:r>
        <w:rPr>
          <w:color w:val="000000"/>
        </w:rPr>
      </w:r>
      <w:r/>
    </w:p>
    <w:p>
      <w:pPr>
        <w:pStyle w:val="831"/>
        <w:ind w:firstLine="422"/>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3.残疾人福利性单位的价格扣除</w:t>
      </w:r>
      <w:r>
        <w:rPr>
          <w:color w:val="000000"/>
        </w:rPr>
      </w:r>
      <w:r/>
    </w:p>
    <w:p>
      <w:pPr>
        <w:pStyle w:val="831"/>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（1）本项目对残疾人福利性单位，给予报价</w:t>
      </w:r>
      <w:r>
        <w:rPr>
          <w:rFonts w:hint="eastAsia" w:ascii="宋体" w:hAnsi="宋体" w:eastAsia="宋体" w:cs="宋体"/>
          <w:color w:val="000000"/>
        </w:rPr>
        <w:t xml:space="preserve">5</w:t>
      </w:r>
      <w:r>
        <w:rPr>
          <w:rFonts w:ascii="宋体" w:hAnsi="宋体" w:eastAsia="宋体" w:cs="宋体"/>
          <w:color w:val="000000"/>
        </w:rPr>
        <w:t xml:space="preserve">%的价格扣除，用扣除后的价格参与评审。</w:t>
      </w:r>
      <w:r>
        <w:rPr>
          <w:color w:val="000000"/>
        </w:rPr>
      </w:r>
      <w:r/>
    </w:p>
    <w:p>
      <w:pPr>
        <w:pStyle w:val="831"/>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（2）残疾人福利单位需按照招标文件的要求提供《残疾人福利性单位声明函》。</w:t>
      </w:r>
      <w:r>
        <w:rPr>
          <w:color w:val="000000"/>
        </w:rPr>
      </w:r>
      <w:r/>
    </w:p>
    <w:p>
      <w:pPr>
        <w:pStyle w:val="831"/>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（3）残疾人福利单位标准请参照《关于促进残疾人就业政府采购政策的通知》（财库〔2017〕141号）。</w:t>
      </w:r>
      <w:r>
        <w:rPr>
          <w:color w:val="000000"/>
        </w:rPr>
      </w:r>
      <w:r/>
    </w:p>
    <w:p>
      <w:pPr>
        <w:pStyle w:val="831"/>
        <w:ind w:firstLine="422"/>
        <w:jc w:val="both"/>
        <w:spacing w:line="360" w:lineRule="auto"/>
        <w:rPr>
          <w:rFonts w:ascii="宋体" w:hAnsi="宋体" w:eastAsia="宋体" w:cs="宋体"/>
          <w:b/>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4.监狱企业、残疾人福利性单位属于小微企业的，不重复享受政策。</w:t>
      </w:r>
      <w:r/>
    </w:p>
    <w:p>
      <w:pPr>
        <w:pStyle w:val="831"/>
        <w:ind w:firstLine="422"/>
        <w:jc w:val="both"/>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5.</w:t>
      </w:r>
      <w:r>
        <w:rPr>
          <w:rFonts w:hint="eastAsia" w:ascii="宋体" w:hAnsi="宋体" w:cs="宋体"/>
          <w:color w:val="000000"/>
          <w:szCs w:val="21"/>
        </w:rPr>
        <w:t xml:space="preserve">对国家认定的节能产品和环保产品分别给予投标价的5%价格扣除，用扣除后的价格参与评审（特别说明：节能、环保产品必须纳入“中国政府采购网http://www.ccgp.gov.cn”等官方网站“节能、环保产品查询系统”，且以提供的证书扫描件为准）。</w:t>
      </w:r>
      <w:r/>
    </w:p>
    <w:p>
      <w:pPr>
        <w:pStyle w:val="831"/>
        <w:ind w:firstLine="420"/>
        <w:jc w:val="both"/>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6.所有认证、证明和业绩除上表要求外均须提供有效的证明材料扫描件加盖投标供应商公章。</w:t>
      </w:r>
      <w:r/>
    </w:p>
    <w:p>
      <w:pPr>
        <w:pStyle w:val="831"/>
        <w:ind w:firstLine="420"/>
        <w:jc w:val="both"/>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7.本项目采购标的对应的中小企业划分标准所属行业为：建筑业。</w:t>
      </w:r>
      <w:r/>
    </w:p>
    <w:p>
      <w:pPr>
        <w:pStyle w:val="831"/>
        <w:ind w:firstLine="420"/>
        <w:jc w:val="both"/>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8.评标过程中出现下列情形之一的，评标委员会应当启动异常低价投标（响应）审查程序：</w:t>
      </w:r>
      <w:r/>
    </w:p>
    <w:p>
      <w:pPr>
        <w:pStyle w:val="831"/>
        <w:ind w:firstLine="420"/>
        <w:jc w:val="both"/>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①投标（响应）报价低于全部通过符合性审查供应商投标（响应）报价平均值50%的，即投标（响应）报价&lt;全部通过符合性审查供应商投标（响应）报价平均值×50%；</w:t>
      </w:r>
      <w:r/>
    </w:p>
    <w:p>
      <w:pPr>
        <w:pStyle w:val="831"/>
        <w:ind w:firstLine="420"/>
        <w:jc w:val="both"/>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②投标（响应）报价低于通过符合性审查的次低报价供应商投标（响应）报价50%的，即投标（响应）报价&lt;通过符合性审查的次低报价供应商投标（响应）报价×50%；</w:t>
      </w:r>
      <w:r/>
    </w:p>
    <w:p>
      <w:pPr>
        <w:pStyle w:val="831"/>
        <w:ind w:firstLine="420"/>
        <w:jc w:val="both"/>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③投标（响应）报价低于采购项目最高限价45%的，即投标（响应）报价&lt;采购项目最高限价×45%；</w:t>
      </w:r>
      <w:r/>
    </w:p>
    <w:p>
      <w:pPr>
        <w:pStyle w:val="831"/>
        <w:ind w:firstLine="420"/>
        <w:jc w:val="both"/>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④评标委员会基于专业判断，认为供应商报价过低，有可能影响产品质量或者不能诚信履约的其他情形。</w:t>
      </w:r>
      <w:r/>
    </w:p>
    <w:p>
      <w:pPr>
        <w:pStyle w:val="831"/>
        <w:ind w:firstLine="420"/>
        <w:jc w:val="both"/>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831"/>
        <w:ind w:firstLine="420"/>
        <w:jc w:val="both"/>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pStyle w:val="831"/>
        <w:ind w:firstLine="420"/>
        <w:jc w:val="both"/>
        <w:spacing w:line="360" w:lineRule="auto"/>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（3）异常低价投标（响应）审查的启动原因、审查意见和审查结果应当在评审报告中记录，并随供应商提供的相关书面说明及证明材料，以及评标委员会有关互联网浏览、查询历史一并归档。</w:t>
      </w:r>
      <w:r>
        <w:rPr>
          <w:rFonts w:ascii="宋体" w:hAnsi="宋体" w:cs="宋体"/>
          <w:color w:val="000000"/>
          <w:szCs w:val="21"/>
        </w:rPr>
      </w:r>
      <w:r/>
    </w:p>
    <w:p>
      <w:pPr>
        <w:pStyle w:val="831"/>
        <w:jc w:val="center"/>
        <w:spacing w:before="120" w:after="12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br w:type="page" w:clear="all"/>
        <w:t xml:space="preserve">第四章</w:t>
      </w:r>
      <w:r>
        <w:rPr>
          <w:rFonts w:hint="eastAsia" w:ascii="宋体" w:hAnsi="宋体" w:eastAsia="宋体" w:cs="宋体"/>
          <w:b/>
          <w:color w:val="000000"/>
          <w:sz w:val="32"/>
        </w:rPr>
        <w:t xml:space="preserve"> </w:t>
      </w:r>
      <w:r>
        <w:rPr>
          <w:rFonts w:ascii="宋体" w:hAnsi="宋体" w:eastAsia="宋体" w:cs="宋体"/>
          <w:b/>
          <w:color w:val="000000"/>
          <w:sz w:val="32"/>
        </w:rPr>
        <w:t xml:space="preserve">招标项目的技术规格、要求和数量等</w:t>
      </w:r>
      <w:r>
        <w:rPr>
          <w:color w:val="000000"/>
        </w:rPr>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bookmarkStart w:id="1" w:name="_Toc224663307"/>
      <w:r>
        <w:rPr>
          <w:rFonts w:hint="eastAsia" w:ascii="宋体" w:hAnsi="宋体" w:eastAsia="宋体" w:cs="宋体"/>
          <w:b/>
          <w:color w:val="000000"/>
          <w:sz w:val="28"/>
        </w:rPr>
        <w:t xml:space="preserve">一、</w:t>
      </w:r>
      <w:r>
        <w:rPr>
          <w:rFonts w:ascii="宋体" w:hAnsi="宋体" w:eastAsia="宋体" w:cs="宋体"/>
          <w:b/>
          <w:color w:val="000000"/>
          <w:sz w:val="28"/>
        </w:rPr>
        <w:t xml:space="preserve"> 技术参数（标准）</w:t>
      </w:r>
      <w:r>
        <w:rPr>
          <w:rFonts w:ascii="宋体" w:hAnsi="宋体" w:eastAsia="宋体" w:cs="宋体"/>
          <w:color w:val="000000"/>
        </w:rPr>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（一）改造方案</w:t>
      </w:r>
      <w:bookmarkEnd w:id="1"/>
      <w:r>
        <w:rPr>
          <w:rFonts w:ascii="宋体" w:hAnsi="宋体" w:eastAsia="宋体" w:cs="宋体"/>
          <w:color w:val="000000"/>
        </w:rPr>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南京财经大学仙林校区德经楼变电所内置2台1000kVA变压器，配电房10kV采用单母线分段接线方式，高压不设联络；0.4kV采用单母线分段接线方式，低压联络。供电电源分别引自德正楼变电所内高压柜05N和06N。</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本次项目内容包括改造德经楼变电所内所有高低压设备；新上智能管理单元，接入中心开闭所电力监控系统；新上无线测温传感器及通讯附件，低压柜仪表具备电度计量功能和通讯，数据上传至智能管理单元及中心开闭所电力监控系统；新上配电房智慧巡检系统；更换模拟图板、风筒风机、电缆沟盖板、绝缘垫等。</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具体改造内容如下：</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1.更换德经楼变电所内所有高低压设备，包括高压柜4台、1000kVA变压器2台、低压柜14台，取消转角柜2台，低压柜之间柜顶母排通过密集型母线槽连接等。</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新上电力监控系统及智能管理单元，低压柜仪表具备电度计量功能和通讯，数据上传至智能管理单元及中心开闭所电力监控系统。同时电力监控系统数据（电流、电压、功率、电能、断路器分合闸状态等）还须上传至配电房智慧巡检系统，预留接口。</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新上无线测温传感器及通讯附件，可提供多节点的温度监测需求，实现不同应用场景的全面有效温度监测；测温传感器通过ZigBee无线方式提供数据连接，支持无线无源工作方式，在关键位置安装的同时避免线缆敷设降低设备安全特性。</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4.新上配电房智慧巡检系统。</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5.其他内部改造：更换模拟图板、风筒风机、电缆沟盖板、绝缘垫等。</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6.设备基础利用原有基础，局部做改造。原有设备拆除后再重新安装新设备，低压出线电缆不变，更换电缆终端并做好接线。</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bookmarkStart w:id="2" w:name="_Toc224663308"/>
      <w:r>
        <w:rPr>
          <w:rFonts w:ascii="宋体" w:hAnsi="宋体" w:eastAsia="宋体" w:cs="宋体"/>
          <w:color w:val="000000"/>
        </w:rPr>
        <w:t xml:space="preserve">（二）配电房改造设备配置要求</w:t>
      </w:r>
      <w:bookmarkEnd w:id="2"/>
      <w:r>
        <w:rPr>
          <w:rFonts w:ascii="宋体" w:hAnsi="宋体" w:eastAsia="宋体" w:cs="宋体"/>
          <w:color w:val="000000"/>
        </w:rPr>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1.高压柜</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高压柜应满足设计图纸要求和南京市供电部门有关规定，具有防误联锁功能，采用SF6充气柜半绝缘柜型，同时满足以下技术要求：</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1.1使用环境条件</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1.1.1.环境温度：-5℃～+40℃</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1.1.2.最大相对湿度：90%（25℃）</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1.1.3.海拔高度：＜1000米</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1.1.4.耐受地震能力：水平加速度0.2</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1.1.5.垂直加速度0.1；</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1.1.6.安装位置：户内</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1.2技术要求</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1.2.1.额定电压：l2kV三相三线</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1.2.2.额定频率：50Hz</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1.2.3.额定电流：630A</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1.2.4.12kV开关设备的绝缘水平：</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工频耐压（1min，有效值）：≥42kV（相间、对地）；≥48kV（断口）；</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雷电冲击耐压（峰值）：≥75kV（相间、对地）；≥85kV（断口）；</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1.2.5.额定绝缘水平：额定闭环开断电流：630A</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1.2.6.2s热稳定电流（有效值）：≥20KA</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1.2.7.短时峰值耐受电流：≥50KA</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1.2.8防护等级：IP3X及以上</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1.2.9.具备全工况绝缘，五防功能</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1.2.10负荷开关类型：六氟化硫气体绝缘三工位负荷开关，主开关与接地开关为机械互锁</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1.2.11负荷开关容量及特性：符合设计图纸要求及相关标准</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1.2.12操作机构：手动操作机构；</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1.2.13接地开关寿命(次)：≥3000</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2.变压器（干式变压器）</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2.1总则</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投标人须提供符合国家有关安全、环境保护等强制性标准和规范的优质产品，同时需提供如下资料：</w:t>
      </w:r>
      <w:bookmarkStart w:id="3" w:name="OLE_LINK5"/>
      <w:r>
        <w:rPr>
          <w:rFonts w:ascii="宋体" w:hAnsi="宋体" w:eastAsia="宋体" w:cs="宋体"/>
          <w:color w:val="000000"/>
        </w:rPr>
      </w:r>
      <w:r/>
    </w:p>
    <w:p>
      <w:pPr>
        <w:pStyle w:val="831"/>
        <w:ind w:firstLine="421"/>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★2.1.1.</w:t>
      </w:r>
      <w:bookmarkEnd w:id="3"/>
      <w:r>
        <w:rPr>
          <w:rFonts w:hint="eastAsia" w:ascii="宋体" w:hAnsi="宋体" w:eastAsia="宋体" w:cs="宋体"/>
          <w:color w:val="000000"/>
        </w:rPr>
        <w:t xml:space="preserve">本项目变压器选用干式变压器。所采用的硅钢片、带填料树脂、铜导线、铜箔具备合格且在有效期内的质量检验报告及产品质量证明书。</w:t>
      </w:r>
      <w:r>
        <w:rPr>
          <w:rFonts w:hint="eastAsia" w:ascii="宋体" w:hAnsi="宋体" w:eastAsia="宋体" w:cs="宋体"/>
          <w:b/>
          <w:bCs/>
          <w:color w:val="000000"/>
        </w:rPr>
        <w:t xml:space="preserve">（投标时提供承诺书上传至电子投标文件中，合同签订前向采购人提供质量检验报告及产品质量证明书复印件并加盖公章（原件备查），供采购人审核查验，逾期未提供或资料不合格的，视同自动放弃中标资格。）</w:t>
      </w:r>
      <w:r>
        <w:rPr>
          <w:rFonts w:hint="eastAsia" w:ascii="宋体" w:hAnsi="宋体" w:eastAsia="宋体" w:cs="宋体"/>
          <w:color w:val="000000"/>
        </w:rPr>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2.2标准和规范</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变压器及其相关电器应符合下列各现行标准的要求：</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GB/T 1094.11     电力变压器第11部分：干式变压器</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GB/T 10228       干式电力变压器技术参数和要求</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GB1094.2</w:t>
        <w:tab/>
        <w:t xml:space="preserve">     电力变压器第2部分：温升（eqv IEC60076-2）</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GB/T 1094.10</w:t>
        <w:tab/>
        <w:tab/>
        <w:t xml:space="preserve"> 电力变压器第10部分：声级测定</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GB/T 1094.12</w:t>
        <w:tab/>
        <w:tab/>
        <w:t xml:space="preserve"> 电力变压器第12部分：干式电力变压器负载导则</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GC4208           壳体防护等级（IP代码）</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GB/T 20138-2006  电器设备壳体对外界机械碰撞的防护等级（IK代码）</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JB/T 3837         变压器类产品型号编制方法</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GB/T 191-2008     包装储运图示标志</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GB20052-2024     电力变压器能效限定值及能效等级</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2.3使用环境条件</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2.3.1设备存储运输温度：-40℃～+70℃</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2.3.2设备运行温度（不进行电气和机械操作）：-40℃～+55℃</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2.3.3设备正常运行温度（进行电气和机械操作）：-25℃～+55℃</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2.3.4设备不降额运行温度（进行电气和机械操作）：-25℃～+50℃</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2.3.5设备运行相对湿度：0～95%；无冷凝</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2.3.6设备安规和散热设计海拔高度：≤1000m</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2.3.7地震动峰值加速度（水平）：0.3g</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2.3.8地震动峰值加速度（垂直）：0.15g</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2.3.9抗震设防级别：Ⅷ度</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2.3.10污秽等级：Ⅲ级</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2.4技术参数表</w:t>
      </w:r>
      <w:r/>
    </w:p>
    <w:tbl>
      <w:tblPr>
        <w:tblW w:w="4804"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7"/>
        <w:gridCol w:w="2196"/>
        <w:gridCol w:w="5338"/>
      </w:tblGrid>
      <w:tr>
        <w:trPr>
          <w:cantSplit/>
          <w:trHeight w:val="455"/>
        </w:trPr>
        <w:tc>
          <w:tcPr>
            <w:tcW w:w="615" w:type="pct"/>
            <w:vAlign w:val="center"/>
            <w:textDirection w:val="lrTb"/>
            <w:noWrap w:val="false"/>
          </w:tcPr>
          <w:p>
            <w:pPr>
              <w:pStyle w:val="831"/>
              <w:jc w:val="center"/>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序号</w:t>
            </w:r>
            <w:r/>
          </w:p>
        </w:tc>
        <w:tc>
          <w:tcPr>
            <w:tcW w:w="1278" w:type="pct"/>
            <w:vAlign w:val="center"/>
            <w:textDirection w:val="lrTb"/>
            <w:noWrap w:val="false"/>
          </w:tcPr>
          <w:p>
            <w:pPr>
              <w:pStyle w:val="831"/>
              <w:jc w:val="center"/>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w:t>
            </w:r>
            <w:r/>
          </w:p>
        </w:tc>
        <w:tc>
          <w:tcPr>
            <w:tcW w:w="3106" w:type="pct"/>
            <w:vAlign w:val="center"/>
            <w:textDirection w:val="lrTb"/>
            <w:noWrap w:val="false"/>
          </w:tcPr>
          <w:p>
            <w:pPr>
              <w:pStyle w:val="831"/>
              <w:jc w:val="center"/>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技术参数要求</w:t>
            </w:r>
            <w:r/>
          </w:p>
        </w:tc>
      </w:tr>
      <w:tr>
        <w:trPr>
          <w:cantSplit/>
          <w:trHeight w:val="210"/>
        </w:trPr>
        <w:tc>
          <w:tcPr>
            <w:tcW w:w="615"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w:t>
            </w:r>
            <w:r/>
          </w:p>
        </w:tc>
        <w:tc>
          <w:tcPr>
            <w:tcW w:w="1278"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产品名称</w:t>
            </w:r>
            <w:r/>
          </w:p>
        </w:tc>
        <w:tc>
          <w:tcPr>
            <w:tcW w:w="3106"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干式变压器</w:t>
            </w:r>
            <w:r/>
          </w:p>
        </w:tc>
      </w:tr>
      <w:tr>
        <w:trPr>
          <w:cantSplit/>
          <w:trHeight w:val="261"/>
        </w:trPr>
        <w:tc>
          <w:tcPr>
            <w:tcW w:w="615"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w:t>
            </w:r>
            <w:r/>
          </w:p>
        </w:tc>
        <w:tc>
          <w:tcPr>
            <w:tcW w:w="1278"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产品型号</w:t>
            </w:r>
            <w:r/>
          </w:p>
        </w:tc>
        <w:tc>
          <w:tcPr>
            <w:tcW w:w="3106"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详见图纸、清单</w:t>
            </w:r>
            <w:r/>
          </w:p>
        </w:tc>
      </w:tr>
      <w:tr>
        <w:trPr>
          <w:cantSplit/>
          <w:trHeight w:val="210"/>
        </w:trPr>
        <w:tc>
          <w:tcPr>
            <w:tcW w:w="615"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w:t>
            </w:r>
            <w:r/>
          </w:p>
        </w:tc>
        <w:tc>
          <w:tcPr>
            <w:tcW w:w="1278"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存储运输环境温度</w:t>
            </w:r>
            <w:r/>
          </w:p>
        </w:tc>
        <w:tc>
          <w:tcPr>
            <w:tcW w:w="3106"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-40℃~70℃</w:t>
            </w:r>
            <w:r/>
          </w:p>
        </w:tc>
      </w:tr>
      <w:tr>
        <w:trPr>
          <w:cantSplit/>
          <w:trHeight w:val="210"/>
        </w:trPr>
        <w:tc>
          <w:tcPr>
            <w:tcW w:w="615"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w:t>
            </w:r>
            <w:r/>
          </w:p>
        </w:tc>
        <w:tc>
          <w:tcPr>
            <w:tcW w:w="1278"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运行环境温度</w:t>
            </w:r>
            <w:r/>
          </w:p>
        </w:tc>
        <w:tc>
          <w:tcPr>
            <w:tcW w:w="3106"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-25℃~55℃</w:t>
            </w:r>
            <w:r/>
          </w:p>
        </w:tc>
      </w:tr>
      <w:tr>
        <w:trPr>
          <w:cantSplit/>
          <w:trHeight w:val="210"/>
        </w:trPr>
        <w:tc>
          <w:tcPr>
            <w:tcW w:w="615"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5</w:t>
            </w:r>
            <w:r/>
          </w:p>
        </w:tc>
        <w:tc>
          <w:tcPr>
            <w:tcW w:w="1278"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不降额使用海拔高度</w:t>
            </w:r>
            <w:r/>
          </w:p>
        </w:tc>
        <w:tc>
          <w:tcPr>
            <w:tcW w:w="3106"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&lt;1000m</w:t>
            </w:r>
            <w:r/>
          </w:p>
        </w:tc>
      </w:tr>
      <w:tr>
        <w:trPr>
          <w:cantSplit/>
          <w:trHeight w:val="210"/>
        </w:trPr>
        <w:tc>
          <w:tcPr>
            <w:tcW w:w="615"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6</w:t>
            </w:r>
            <w:r/>
          </w:p>
        </w:tc>
        <w:tc>
          <w:tcPr>
            <w:tcW w:w="1278"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额定电压比（kV）</w:t>
            </w:r>
            <w:r/>
          </w:p>
        </w:tc>
        <w:tc>
          <w:tcPr>
            <w:tcW w:w="3106"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10/0.4</w:t>
            </w:r>
            <w:r/>
          </w:p>
        </w:tc>
      </w:tr>
      <w:tr>
        <w:trPr>
          <w:cantSplit/>
          <w:trHeight w:val="210"/>
        </w:trPr>
        <w:tc>
          <w:tcPr>
            <w:tcW w:w="615"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7</w:t>
            </w:r>
            <w:r/>
          </w:p>
        </w:tc>
        <w:tc>
          <w:tcPr>
            <w:tcW w:w="1278"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调压方式</w:t>
            </w:r>
            <w:r/>
          </w:p>
        </w:tc>
        <w:tc>
          <w:tcPr>
            <w:tcW w:w="3106"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无励磁调压</w:t>
            </w:r>
            <w:r/>
          </w:p>
        </w:tc>
      </w:tr>
      <w:tr>
        <w:trPr>
          <w:cantSplit/>
          <w:trHeight w:val="210"/>
        </w:trPr>
        <w:tc>
          <w:tcPr>
            <w:tcW w:w="615"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8</w:t>
            </w:r>
            <w:r/>
          </w:p>
        </w:tc>
        <w:tc>
          <w:tcPr>
            <w:tcW w:w="1278"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分接范围</w:t>
            </w:r>
            <w:r/>
          </w:p>
        </w:tc>
        <w:tc>
          <w:tcPr>
            <w:tcW w:w="3106"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±2×2.5%</w:t>
            </w:r>
            <w:r/>
          </w:p>
        </w:tc>
      </w:tr>
      <w:tr>
        <w:trPr>
          <w:cantSplit/>
          <w:trHeight w:val="210"/>
        </w:trPr>
        <w:tc>
          <w:tcPr>
            <w:tcW w:w="615"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9</w:t>
            </w:r>
            <w:r/>
          </w:p>
        </w:tc>
        <w:tc>
          <w:tcPr>
            <w:tcW w:w="1278"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额定频率</w:t>
            </w:r>
            <w:r/>
          </w:p>
        </w:tc>
        <w:tc>
          <w:tcPr>
            <w:tcW w:w="3106"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50Hz</w:t>
            </w:r>
            <w:r/>
          </w:p>
        </w:tc>
      </w:tr>
      <w:tr>
        <w:trPr>
          <w:cantSplit/>
          <w:trHeight w:val="210"/>
        </w:trPr>
        <w:tc>
          <w:tcPr>
            <w:tcW w:w="615"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10</w:t>
            </w:r>
            <w:r/>
          </w:p>
        </w:tc>
        <w:tc>
          <w:tcPr>
            <w:tcW w:w="1278"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联结组别</w:t>
            </w:r>
            <w:r/>
          </w:p>
        </w:tc>
        <w:tc>
          <w:tcPr>
            <w:tcW w:w="3106"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Dyn11</w:t>
            </w:r>
            <w:r/>
          </w:p>
        </w:tc>
      </w:tr>
      <w:tr>
        <w:trPr>
          <w:cantSplit/>
          <w:trHeight w:val="210"/>
        </w:trPr>
        <w:tc>
          <w:tcPr>
            <w:tcW w:w="615"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11</w:t>
            </w:r>
            <w:r/>
          </w:p>
        </w:tc>
        <w:tc>
          <w:tcPr>
            <w:tcW w:w="1278"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阻抗电压</w:t>
            </w:r>
            <w:r/>
          </w:p>
        </w:tc>
        <w:tc>
          <w:tcPr>
            <w:tcW w:w="3106"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6%</w:t>
            </w:r>
            <w:r/>
          </w:p>
        </w:tc>
      </w:tr>
      <w:tr>
        <w:trPr>
          <w:cantSplit/>
          <w:trHeight w:val="21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12</w:t>
            </w:r>
            <w:r/>
          </w:p>
        </w:tc>
        <w:tc>
          <w:tcPr>
            <w:tcBorders>
              <w:top w:val="single" w:color="000000" w:sz="4" w:space="0"/>
              <w:left w:val="single" w:color="000000" w:sz="4" w:space="0"/>
              <w:bottom w:val="single" w:color="000000" w:sz="4" w:space="0"/>
              <w:right w:val="single" w:color="000000" w:sz="4" w:space="0"/>
            </w:tcBorders>
            <w:tcW w:w="1278"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缘耐热等级</w:t>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H级</w:t>
            </w:r>
            <w:r/>
          </w:p>
        </w:tc>
      </w:tr>
      <w:tr>
        <w:trPr>
          <w:cantSplit/>
          <w:trHeight w:val="21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bookmarkStart w:id="4" w:name="_Hlk224663640"/>
            <w:r>
              <w:rPr>
                <w:rFonts w:ascii="宋体" w:hAnsi="宋体" w:eastAsia="宋体" w:cs="宋体"/>
                <w:color w:val="000000"/>
              </w:rPr>
              <w:t xml:space="preserve">★13</w:t>
            </w:r>
            <w:r/>
          </w:p>
        </w:tc>
        <w:tc>
          <w:tcPr>
            <w:tcBorders>
              <w:top w:val="single" w:color="000000" w:sz="4" w:space="0"/>
              <w:left w:val="single" w:color="000000" w:sz="4" w:space="0"/>
              <w:bottom w:val="single" w:color="000000" w:sz="4" w:space="0"/>
              <w:right w:val="single" w:color="000000" w:sz="4" w:space="0"/>
            </w:tcBorders>
            <w:tcW w:w="1278"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空载损耗</w:t>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满足GB20052-2024二级能效</w:t>
            </w:r>
            <w:r>
              <w:rPr>
                <w:rFonts w:hint="eastAsia" w:ascii="宋体" w:hAnsi="宋体" w:eastAsia="宋体" w:cs="宋体"/>
                <w:b/>
                <w:bCs/>
                <w:color w:val="000000"/>
              </w:rPr>
              <w:t xml:space="preserve">（投标时提供承诺书并加盖公章上传至电子投标文件中，合同签订前向采购人提供具备CMA认证的型式试验报告复印件并加盖公章（原件备查），供采购人审核查验，逾期未提供或资料不合格的，视同自动放弃中标资格。）</w:t>
            </w:r>
            <w:r>
              <w:rPr>
                <w:rFonts w:ascii="宋体" w:hAnsi="宋体" w:eastAsia="宋体" w:cs="宋体"/>
                <w:color w:val="000000"/>
              </w:rPr>
            </w:r>
            <w:r/>
          </w:p>
        </w:tc>
      </w:tr>
      <w:tr>
        <w:trPr>
          <w:cantSplit/>
          <w:trHeight w:val="21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★14</w:t>
            </w:r>
            <w:r/>
          </w:p>
        </w:tc>
        <w:tc>
          <w:tcPr>
            <w:tcBorders>
              <w:top w:val="single" w:color="000000" w:sz="4" w:space="0"/>
              <w:left w:val="single" w:color="000000" w:sz="4" w:space="0"/>
              <w:bottom w:val="single" w:color="000000" w:sz="4" w:space="0"/>
              <w:right w:val="single" w:color="000000" w:sz="4" w:space="0"/>
            </w:tcBorders>
            <w:tcW w:w="1278"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负载损耗（145℃）</w:t>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满足GB20052-2024二级能效</w:t>
            </w:r>
            <w:r>
              <w:rPr>
                <w:rFonts w:hint="eastAsia" w:ascii="宋体" w:hAnsi="宋体" w:eastAsia="宋体" w:cs="宋体"/>
                <w:b/>
                <w:bCs/>
                <w:color w:val="000000"/>
              </w:rPr>
              <w:t xml:space="preserve">（投标时提供承诺书并加盖公章上传至电子投标文件中，合同签订前向采购人提供具备CMA认证的型式试验报告复印件并加盖公章（原件备查），供采购人审核查验，逾期未提供或资料不合格的，视同自动放弃中标资格。）</w:t>
            </w:r>
            <w:r>
              <w:rPr>
                <w:rFonts w:ascii="宋体" w:hAnsi="宋体" w:eastAsia="宋体" w:cs="宋体"/>
                <w:color w:val="000000"/>
              </w:rPr>
            </w:r>
            <w:r/>
          </w:p>
        </w:tc>
      </w:tr>
      <w:tr>
        <w:trPr>
          <w:cantSplit/>
          <w:trHeight w:val="21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bookmarkEnd w:id="4"/>
            <w:r>
              <w:rPr>
                <w:rFonts w:ascii="宋体" w:hAnsi="宋体" w:eastAsia="宋体" w:cs="宋体"/>
                <w:color w:val="000000"/>
              </w:rPr>
              <w:t xml:space="preserve">15</w:t>
            </w:r>
            <w:r/>
          </w:p>
        </w:tc>
        <w:tc>
          <w:tcPr>
            <w:tcBorders>
              <w:top w:val="single" w:color="000000" w:sz="4" w:space="0"/>
              <w:left w:val="single" w:color="000000" w:sz="4" w:space="0"/>
              <w:bottom w:val="single" w:color="000000" w:sz="4" w:space="0"/>
              <w:right w:val="single" w:color="000000" w:sz="4" w:space="0"/>
            </w:tcBorders>
            <w:tcW w:w="1278"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冷却方式</w:t>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AN/AF</w:t>
            </w:r>
            <w:r/>
          </w:p>
        </w:tc>
      </w:tr>
      <w:tr>
        <w:trPr>
          <w:cantSplit/>
          <w:trHeight w:val="21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16</w:t>
            </w:r>
            <w:r/>
          </w:p>
        </w:tc>
        <w:tc>
          <w:tcPr>
            <w:tcBorders>
              <w:top w:val="single" w:color="000000" w:sz="4" w:space="0"/>
              <w:left w:val="single" w:color="000000" w:sz="4" w:space="0"/>
              <w:bottom w:val="single" w:color="000000" w:sz="4" w:space="0"/>
              <w:right w:val="single" w:color="000000" w:sz="4" w:space="0"/>
            </w:tcBorders>
            <w:tcW w:w="1278"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噪声水平</w:t>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满足国标</w:t>
            </w:r>
            <w:r/>
          </w:p>
        </w:tc>
      </w:tr>
      <w:tr>
        <w:trPr>
          <w:cantSplit/>
          <w:trHeight w:val="21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17</w:t>
            </w:r>
            <w:r/>
          </w:p>
        </w:tc>
        <w:tc>
          <w:tcPr>
            <w:tcBorders>
              <w:top w:val="single" w:color="000000" w:sz="4" w:space="0"/>
              <w:left w:val="single" w:color="000000" w:sz="4" w:space="0"/>
              <w:bottom w:val="single" w:color="000000" w:sz="4" w:space="0"/>
              <w:right w:val="single" w:color="000000" w:sz="4" w:space="0"/>
            </w:tcBorders>
            <w:tcW w:w="1278"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风机</w:t>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自带（标配）</w:t>
            </w:r>
            <w:r/>
          </w:p>
        </w:tc>
      </w:tr>
      <w:tr>
        <w:trPr>
          <w:cantSplit/>
          <w:trHeight w:val="21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18</w:t>
            </w:r>
            <w:r/>
          </w:p>
        </w:tc>
        <w:tc>
          <w:tcPr>
            <w:tcBorders>
              <w:top w:val="single" w:color="000000" w:sz="4" w:space="0"/>
              <w:left w:val="single" w:color="000000" w:sz="4" w:space="0"/>
              <w:bottom w:val="single" w:color="000000" w:sz="4" w:space="0"/>
              <w:right w:val="single" w:color="000000" w:sz="4" w:space="0"/>
            </w:tcBorders>
            <w:tcW w:w="1278"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局部放电水平</w:t>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&lt;5pC</w:t>
            </w:r>
            <w:r/>
          </w:p>
        </w:tc>
      </w:tr>
      <w:tr>
        <w:trPr>
          <w:cantSplit/>
          <w:trHeight w:val="21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19</w:t>
            </w:r>
            <w:r/>
          </w:p>
        </w:tc>
        <w:tc>
          <w:tcPr>
            <w:tcBorders>
              <w:top w:val="single" w:color="000000" w:sz="4" w:space="0"/>
              <w:left w:val="single" w:color="000000" w:sz="4" w:space="0"/>
              <w:bottom w:val="single" w:color="000000" w:sz="4" w:space="0"/>
              <w:right w:val="single" w:color="000000" w:sz="4" w:space="0"/>
            </w:tcBorders>
            <w:tcW w:w="1278"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雷电冲击水平</w:t>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75kV</w:t>
            </w:r>
            <w:r/>
          </w:p>
        </w:tc>
      </w:tr>
      <w:tr>
        <w:trPr>
          <w:cantSplit/>
          <w:trHeight w:val="21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20</w:t>
            </w:r>
            <w:r/>
          </w:p>
        </w:tc>
        <w:tc>
          <w:tcPr>
            <w:tcBorders>
              <w:top w:val="single" w:color="000000" w:sz="4" w:space="0"/>
              <w:left w:val="single" w:color="000000" w:sz="4" w:space="0"/>
              <w:bottom w:val="single" w:color="000000" w:sz="4" w:space="0"/>
              <w:right w:val="single" w:color="000000" w:sz="4" w:space="0"/>
            </w:tcBorders>
            <w:tcW w:w="1278"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工频耐压水平（高压绕组）</w:t>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35kV</w:t>
            </w:r>
            <w:r/>
          </w:p>
        </w:tc>
      </w:tr>
    </w:tbl>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2.5详细技术要求</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2.5.1变压器材料及工艺</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（1）铁芯：要求变压器采用厚度≤0.23mm的硅钢片</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（2）带填料树脂：采用优质阻燃自熄材料带填料树脂真空浇注，遇火源时不产生有害气体，请投标人注明所用带填料树脂的生产厂商；</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（3）线圈绕组：高压线圈铜线绕制，铜含量99.99%。</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（4）低压绕组：铜箔绕制，铜含量99.99%。</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5）变压器应可靠接地，并有相应的接地端子和标识。变压器中的母线需使用镀锡防腐处理方式。保证变压器可以在-25℃~+55℃的环境温度下满功率运行，同时，不能影响电缆连接点处的接触电阻，变压器在强制风冷状态下允许过载40%运行。</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（6）变压器的使用寿命不小于30年。</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（7）变压器尺寸需满足现场使用尺寸要求。</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2.5.2变压器温度控制器要求</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每台变压器应配备一台壁挂式专用温度控制器，以显示热点温度。预留两对温度报警辅助接点。温控器应满足抗震、电磁干扰不敏感、显示数字和动作正确的要求。三个PT100测温元件分别埋设在三相低压绕组最热部位的测温孔内。温度测点在铁芯及绕组上都需有测点，温度监控器应具有下述功能（不限于此）：</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可自动监测并显示三相绕组的温度，当任一绕组温度达到设定温度时，如：温度达到100℃时，自动启动风机；低于80℃时，自动停止风机；超过130℃时，自动报警并启动远方报警装置，超过150℃时，发出跳闸命令。</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（2）温度设定现场可调，</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（3）输出1路4—20mA温度信号。</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3.低压柜</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3.1总则</w:t>
      </w:r>
      <w:r/>
    </w:p>
    <w:p>
      <w:pPr>
        <w:pStyle w:val="831"/>
        <w:ind w:firstLine="421"/>
        <w:jc w:val="both"/>
        <w:spacing w:line="360" w:lineRule="auto"/>
        <w:rPr>
          <w:rFonts w:ascii="宋体" w:hAnsi="宋体" w:eastAsia="宋体" w:cs="宋体"/>
          <w:b/>
          <w:bCs/>
          <w:color w:val="000000"/>
        </w:rPr>
        <w:pBdr>
          <w:top w:val="none" w:color="000000" w:sz="0" w:space="0"/>
          <w:left w:val="none" w:color="000000" w:sz="0" w:space="0"/>
          <w:bottom w:val="none" w:color="000000" w:sz="0" w:space="0"/>
          <w:right w:val="none" w:color="000000" w:sz="0" w:space="0"/>
        </w:pBdr>
      </w:pPr>
      <w:r/>
      <w:bookmarkStart w:id="5" w:name="_Hlk161599710"/>
      <w:r>
        <w:rPr>
          <w:rFonts w:ascii="宋体" w:hAnsi="宋体" w:eastAsia="宋体" w:cs="宋体"/>
          <w:color w:val="000000"/>
        </w:rPr>
        <w:t xml:space="preserve">★3.1.1投标人所投低压柜产品，必须为生产厂家自主生产的原厂成套设备，不接受贴牌、代工或组装产品。低压柜产品参照施耐德电气设备工程（西安）有限公司、厦门ABB低压电器设备有限公司、西门子中压开关技术（无锡）有限公司，或同档次产品。</w:t>
      </w:r>
      <w:r>
        <w:rPr>
          <w:rFonts w:hint="eastAsia" w:ascii="宋体" w:hAnsi="宋体" w:eastAsia="宋体" w:cs="宋体"/>
          <w:b/>
          <w:bCs/>
          <w:color w:val="000000"/>
        </w:rPr>
        <w:t xml:space="preserve">投标时提供承诺书并加盖公章上传至电子投标文件中，</w:t>
      </w:r>
      <w:r>
        <w:rPr>
          <w:rFonts w:ascii="宋体" w:hAnsi="宋体" w:eastAsia="宋体" w:cs="宋体"/>
          <w:b/>
          <w:bCs/>
          <w:color w:val="000000"/>
        </w:rPr>
        <w:t xml:space="preserve">投标人在中标后、合同签订前，还须提供所投柜型生产厂家出具的产品正品承诺函（加盖厂家公章），承诺产品为原厂生产、无贴牌代工，作为</w:t>
      </w:r>
      <w:r>
        <w:rPr>
          <w:rFonts w:hint="eastAsia" w:ascii="宋体" w:hAnsi="宋体" w:eastAsia="宋体" w:cs="宋体"/>
          <w:b/>
          <w:bCs/>
          <w:color w:val="000000"/>
        </w:rPr>
        <w:t xml:space="preserve">签订合同的</w:t>
      </w:r>
      <w:r>
        <w:rPr>
          <w:rFonts w:ascii="宋体" w:hAnsi="宋体" w:eastAsia="宋体" w:cs="宋体"/>
          <w:b/>
          <w:bCs/>
          <w:color w:val="000000"/>
        </w:rPr>
        <w:t xml:space="preserve">前提。</w:t>
      </w:r>
      <w:bookmarkEnd w:id="5"/>
      <w:r>
        <w:rPr>
          <w:rFonts w:ascii="宋体" w:hAnsi="宋体" w:eastAsia="宋体" w:cs="宋体"/>
          <w:b/>
          <w:bCs/>
          <w:color w:val="000000"/>
        </w:rPr>
      </w:r>
      <w:r/>
    </w:p>
    <w:p>
      <w:pPr>
        <w:pStyle w:val="831"/>
        <w:ind w:firstLine="421"/>
        <w:jc w:val="both"/>
        <w:spacing w:line="360" w:lineRule="auto"/>
        <w:rPr>
          <w:rFonts w:ascii="宋体" w:hAnsi="宋体" w:eastAsia="宋体" w:cs="宋体"/>
          <w:b/>
          <w:bCs/>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★3.1.2出厂前柜内所有元器件应安装测试完成，不接受现场施工改造</w:t>
      </w:r>
      <w:r>
        <w:rPr>
          <w:rFonts w:hint="eastAsia" w:ascii="宋体" w:hAnsi="宋体" w:eastAsia="宋体" w:cs="宋体"/>
          <w:color w:val="000000"/>
        </w:rPr>
        <w:t xml:space="preserve">。</w:t>
      </w:r>
      <w:r>
        <w:rPr>
          <w:rFonts w:hint="eastAsia" w:ascii="宋体" w:hAnsi="宋体" w:eastAsia="宋体" w:cs="宋体"/>
          <w:b/>
          <w:bCs/>
          <w:color w:val="000000"/>
        </w:rPr>
        <w:t xml:space="preserve">（</w:t>
      </w:r>
      <w:r>
        <w:rPr>
          <w:rFonts w:ascii="宋体" w:hAnsi="宋体" w:eastAsia="宋体" w:cs="宋体"/>
          <w:b/>
          <w:bCs/>
          <w:color w:val="000000"/>
        </w:rPr>
        <w:t xml:space="preserve">提供承诺</w:t>
      </w:r>
      <w:r>
        <w:rPr>
          <w:rFonts w:hint="eastAsia" w:ascii="宋体" w:hAnsi="宋体" w:eastAsia="宋体" w:cs="宋体"/>
          <w:b/>
          <w:bCs/>
          <w:color w:val="000000"/>
        </w:rPr>
        <w:t xml:space="preserve">书并</w:t>
      </w:r>
      <w:r>
        <w:rPr>
          <w:rFonts w:ascii="宋体" w:hAnsi="宋体" w:eastAsia="宋体" w:cs="宋体"/>
          <w:b/>
          <w:bCs/>
          <w:color w:val="000000"/>
        </w:rPr>
        <w:t xml:space="preserve">加盖公章</w:t>
      </w:r>
      <w:r>
        <w:rPr>
          <w:rFonts w:hint="eastAsia" w:ascii="宋体" w:hAnsi="宋体" w:eastAsia="宋体" w:cs="宋体"/>
          <w:b/>
          <w:bCs/>
          <w:color w:val="000000"/>
        </w:rPr>
        <w:t xml:space="preserve">上传至电子投标文件中）</w:t>
      </w:r>
      <w:r>
        <w:rPr>
          <w:rFonts w:ascii="宋体" w:hAnsi="宋体" w:eastAsia="宋体" w:cs="宋体"/>
          <w:b/>
          <w:bCs/>
          <w:color w:val="000000"/>
        </w:rPr>
      </w:r>
      <w:r/>
    </w:p>
    <w:p>
      <w:pPr>
        <w:pStyle w:val="831"/>
        <w:ind w:firstLine="421"/>
        <w:jc w:val="both"/>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★3.1.3低压柜具</w:t>
      </w:r>
      <w:r>
        <w:rPr>
          <w:rFonts w:hint="eastAsia" w:ascii="宋体" w:hAnsi="宋体" w:eastAsia="宋体" w:cs="宋体"/>
          <w:color w:val="000000"/>
        </w:rPr>
        <w:t xml:space="preserve">有</w:t>
      </w:r>
      <w:r>
        <w:rPr>
          <w:rFonts w:ascii="宋体" w:hAnsi="宋体" w:eastAsia="宋体" w:cs="宋体"/>
          <w:color w:val="000000"/>
        </w:rPr>
        <w:t xml:space="preserve">国内</w:t>
      </w:r>
      <w:r>
        <w:rPr>
          <w:rFonts w:hint="eastAsia" w:ascii="宋体" w:hAnsi="宋体" w:eastAsia="宋体" w:cs="宋体"/>
          <w:color w:val="000000"/>
        </w:rPr>
        <w:t xml:space="preserve">第三方</w:t>
      </w:r>
      <w:r>
        <w:rPr>
          <w:rFonts w:ascii="宋体" w:hAnsi="宋体" w:eastAsia="宋体" w:cs="宋体"/>
          <w:color w:val="000000"/>
        </w:rPr>
        <w:t xml:space="preserve">机构出具的内燃弧试验报告，柜体承受能力不低于65kA/0.3s。</w:t>
      </w:r>
      <w:r>
        <w:rPr>
          <w:rFonts w:ascii="宋体" w:hAnsi="宋体" w:eastAsia="宋体" w:cs="宋体"/>
          <w:b/>
          <w:bCs/>
        </w:rPr>
        <w:t xml:space="preserve">（</w:t>
      </w:r>
      <w:r>
        <w:rPr>
          <w:rFonts w:hint="eastAsia" w:ascii="宋体" w:hAnsi="宋体" w:eastAsia="宋体" w:cs="宋体"/>
          <w:b/>
          <w:bCs/>
        </w:rPr>
        <w:t xml:space="preserve">投标时须</w:t>
      </w:r>
      <w:r>
        <w:rPr>
          <w:rFonts w:ascii="宋体" w:hAnsi="宋体" w:eastAsia="宋体" w:cs="宋体"/>
          <w:b/>
          <w:bCs/>
        </w:rPr>
        <w:t xml:space="preserve">提供具备CMA认证的检测机构出具的</w:t>
      </w:r>
      <w:r>
        <w:rPr>
          <w:rFonts w:hint="eastAsia" w:ascii="宋体" w:hAnsi="宋体" w:eastAsia="宋体" w:cs="宋体"/>
          <w:b/>
          <w:bCs/>
        </w:rPr>
        <w:t xml:space="preserve">复印件并加盖公章（原件备查）</w:t>
      </w:r>
      <w:r>
        <w:rPr>
          <w:rFonts w:ascii="宋体" w:hAnsi="宋体" w:eastAsia="宋体" w:cs="宋体"/>
          <w:b/>
          <w:bCs/>
        </w:rPr>
        <w:t xml:space="preserve">）</w:t>
      </w:r>
      <w:r>
        <w:rPr>
          <w:rFonts w:ascii="宋体" w:hAnsi="宋体" w:eastAsia="宋体" w:cs="宋体"/>
        </w:rPr>
      </w:r>
      <w:r/>
    </w:p>
    <w:p>
      <w:pPr>
        <w:pStyle w:val="831"/>
        <w:ind w:firstLine="421"/>
        <w:jc w:val="both"/>
        <w:spacing w:line="360" w:lineRule="auto"/>
        <w:rPr>
          <w:rFonts w:hint="eastAsia" w:ascii="宋体" w:hAnsi="宋体" w:eastAsia="宋体" w:cs="宋体"/>
          <w:b/>
          <w:bCs/>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▲3.1.</w:t>
      </w:r>
      <w:r>
        <w:rPr>
          <w:rFonts w:hint="eastAsia" w:ascii="宋体" w:hAnsi="宋体" w:eastAsia="宋体" w:cs="宋体"/>
          <w:color w:val="000000"/>
        </w:rPr>
        <w:t xml:space="preserve">4</w:t>
      </w:r>
      <w:r>
        <w:rPr>
          <w:rFonts w:ascii="宋体" w:hAnsi="宋体" w:eastAsia="宋体" w:cs="宋体"/>
          <w:color w:val="000000"/>
        </w:rPr>
        <w:t xml:space="preserve">设备在电磁环境中运行时，不会受到电磁干扰信号的影响而对设备产生危害；低压柜具</w:t>
      </w:r>
      <w:r>
        <w:rPr>
          <w:rFonts w:hint="eastAsia" w:ascii="宋体" w:hAnsi="宋体" w:eastAsia="宋体" w:cs="宋体"/>
          <w:color w:val="000000"/>
        </w:rPr>
        <w:t xml:space="preserve">有</w:t>
      </w:r>
      <w:r>
        <w:rPr>
          <w:rFonts w:ascii="宋体" w:hAnsi="宋体" w:eastAsia="宋体" w:cs="宋体"/>
          <w:color w:val="000000"/>
        </w:rPr>
        <w:t xml:space="preserve">国内</w:t>
      </w:r>
      <w:r>
        <w:rPr>
          <w:rFonts w:hint="eastAsia" w:ascii="宋体" w:hAnsi="宋体" w:eastAsia="宋体" w:cs="宋体"/>
          <w:color w:val="000000"/>
        </w:rPr>
        <w:t xml:space="preserve">第三方</w:t>
      </w:r>
      <w:r>
        <w:rPr>
          <w:rFonts w:ascii="宋体" w:hAnsi="宋体" w:eastAsia="宋体" w:cs="宋体"/>
          <w:color w:val="000000"/>
        </w:rPr>
        <w:t xml:space="preserve">机构出具的电磁兼容EMC整柜试验报告。</w:t>
      </w:r>
      <w:r>
        <w:rPr>
          <w:rFonts w:hint="eastAsia" w:ascii="宋体" w:hAnsi="宋体" w:eastAsia="宋体" w:cs="宋体"/>
          <w:b/>
          <w:bCs/>
          <w:color w:val="000000"/>
        </w:rPr>
        <w:t xml:space="preserve">（投标时提供承诺书并加盖公章上传至电子投标文件中，合同签订前向采购人提供具备CMA认证的试验报告复印件并加盖公章（原件备查），供采购人审核查验，逾期未提供或资料不合格的，视同自动放弃中标资格。）</w:t>
      </w:r>
      <w:r/>
    </w:p>
    <w:p>
      <w:pPr>
        <w:pStyle w:val="831"/>
        <w:ind w:firstLine="421"/>
        <w:jc w:val="both"/>
        <w:spacing w:line="360" w:lineRule="auto"/>
        <w:rPr>
          <w:rFonts w:hint="eastAsia" w:ascii="宋体" w:hAnsi="宋体" w:eastAsia="宋体" w:cs="宋体"/>
          <w:b/>
          <w:bCs/>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▲3.1.</w:t>
      </w:r>
      <w:r>
        <w:rPr>
          <w:rFonts w:hint="eastAsia" w:ascii="宋体" w:hAnsi="宋体" w:eastAsia="宋体" w:cs="宋体"/>
          <w:color w:val="000000"/>
        </w:rPr>
        <w:t xml:space="preserve">5</w:t>
      </w:r>
      <w:r>
        <w:rPr>
          <w:rFonts w:ascii="宋体" w:hAnsi="宋体" w:eastAsia="宋体" w:cs="宋体"/>
          <w:color w:val="000000"/>
        </w:rPr>
        <w:t xml:space="preserve">低压柜具</w:t>
      </w:r>
      <w:r>
        <w:rPr>
          <w:rFonts w:hint="eastAsia" w:ascii="宋体" w:hAnsi="宋体" w:eastAsia="宋体" w:cs="宋体"/>
          <w:color w:val="000000"/>
        </w:rPr>
        <w:t xml:space="preserve">有</w:t>
      </w:r>
      <w:r>
        <w:rPr>
          <w:rFonts w:ascii="宋体" w:hAnsi="宋体" w:eastAsia="宋体" w:cs="宋体"/>
          <w:color w:val="000000"/>
        </w:rPr>
        <w:t xml:space="preserve">国内</w:t>
      </w:r>
      <w:r>
        <w:rPr>
          <w:rFonts w:hint="eastAsia" w:ascii="宋体" w:hAnsi="宋体" w:eastAsia="宋体" w:cs="宋体"/>
          <w:color w:val="000000"/>
        </w:rPr>
        <w:t xml:space="preserve">第三方</w:t>
      </w:r>
      <w:r>
        <w:rPr>
          <w:rFonts w:ascii="宋体" w:hAnsi="宋体" w:eastAsia="宋体" w:cs="宋体"/>
          <w:color w:val="000000"/>
        </w:rPr>
        <w:t xml:space="preserve">机构出具的中国节能产品认证试验报告。</w:t>
      </w:r>
      <w:r>
        <w:rPr>
          <w:rFonts w:hint="eastAsia" w:ascii="宋体" w:hAnsi="宋体" w:eastAsia="宋体" w:cs="宋体"/>
          <w:b/>
          <w:bCs/>
          <w:color w:val="000000"/>
        </w:rPr>
        <w:t xml:space="preserve">（投标时提供承诺书并加盖公章上传至电子投标文件中，合同签订前向采购人提供具备CMA认证的试验报告复印件并加盖公章（原件备查），供采购人审核查验，逾期未提供或资料不合格的，视同自动放弃中标资格。）</w:t>
      </w:r>
      <w:r/>
    </w:p>
    <w:p>
      <w:pPr>
        <w:pStyle w:val="831"/>
        <w:ind w:firstLine="421"/>
        <w:jc w:val="both"/>
        <w:spacing w:line="360" w:lineRule="auto"/>
        <w:rPr>
          <w:rFonts w:hint="eastAsia" w:ascii="宋体" w:hAnsi="宋体" w:eastAsia="宋体" w:cs="宋体"/>
          <w:b/>
          <w:bCs/>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▲3.1.</w:t>
      </w:r>
      <w:r>
        <w:rPr>
          <w:rFonts w:hint="eastAsia" w:ascii="宋体" w:hAnsi="宋体" w:eastAsia="宋体" w:cs="宋体"/>
          <w:color w:val="000000"/>
        </w:rPr>
        <w:t xml:space="preserve">6</w:t>
      </w:r>
      <w:r>
        <w:rPr>
          <w:rFonts w:ascii="宋体" w:hAnsi="宋体" w:eastAsia="宋体" w:cs="宋体"/>
          <w:color w:val="000000"/>
        </w:rPr>
        <w:t xml:space="preserve">低压柜具</w:t>
      </w:r>
      <w:r>
        <w:rPr>
          <w:rFonts w:hint="eastAsia" w:ascii="宋体" w:hAnsi="宋体" w:eastAsia="宋体" w:cs="宋体"/>
          <w:color w:val="000000"/>
        </w:rPr>
        <w:t xml:space="preserve">有</w:t>
      </w:r>
      <w:r>
        <w:rPr>
          <w:rFonts w:ascii="宋体" w:hAnsi="宋体" w:eastAsia="宋体" w:cs="宋体"/>
          <w:color w:val="000000"/>
        </w:rPr>
        <w:t xml:space="preserve">国内</w:t>
      </w:r>
      <w:r>
        <w:rPr>
          <w:rFonts w:hint="eastAsia" w:ascii="宋体" w:hAnsi="宋体" w:eastAsia="宋体" w:cs="宋体"/>
          <w:color w:val="000000"/>
        </w:rPr>
        <w:t xml:space="preserve">第三方</w:t>
      </w:r>
      <w:r>
        <w:rPr>
          <w:rFonts w:ascii="宋体" w:hAnsi="宋体" w:eastAsia="宋体" w:cs="宋体"/>
          <w:color w:val="000000"/>
        </w:rPr>
        <w:t xml:space="preserve">机构出具的盐雾试验报告，柜体承受时长不低于400h。</w:t>
      </w:r>
      <w:r>
        <w:rPr>
          <w:rFonts w:hint="eastAsia" w:ascii="宋体" w:hAnsi="宋体" w:eastAsia="宋体" w:cs="宋体"/>
          <w:b/>
          <w:bCs/>
          <w:color w:val="000000"/>
        </w:rPr>
        <w:t xml:space="preserve">（投标时提供承诺书并加盖公章上传至电子投标文件中，合同签订前向采购人提供具备CMA认证的试验报告复印件并加盖公章（原件备查），供采购人审核查验，逾期未提供或资料不合格的，视同自动放弃中标资格。）</w:t>
      </w:r>
      <w:r/>
    </w:p>
    <w:p>
      <w:pPr>
        <w:pStyle w:val="831"/>
        <w:ind w:firstLine="421"/>
        <w:jc w:val="both"/>
        <w:spacing w:line="360" w:lineRule="auto"/>
        <w:rPr>
          <w:rFonts w:hint="eastAsia" w:ascii="宋体" w:hAnsi="宋体" w:eastAsia="宋体" w:cs="宋体"/>
          <w:b/>
          <w:bCs/>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▲3.1.</w:t>
      </w:r>
      <w:r>
        <w:rPr>
          <w:rFonts w:hint="eastAsia" w:ascii="宋体" w:hAnsi="宋体" w:eastAsia="宋体" w:cs="宋体"/>
          <w:color w:val="000000"/>
        </w:rPr>
        <w:t xml:space="preserve">7</w:t>
      </w:r>
      <w:r>
        <w:rPr>
          <w:rFonts w:ascii="宋体" w:hAnsi="宋体" w:eastAsia="宋体" w:cs="宋体"/>
          <w:color w:val="000000"/>
        </w:rPr>
        <w:t xml:space="preserve">投标产品抽屉一次插件满足JB/T 10323-2016标准，一次插件拔插次数大于2000次，提供低压成套设备一次插件检验报告。</w:t>
      </w:r>
      <w:r>
        <w:rPr>
          <w:rFonts w:hint="eastAsia" w:ascii="宋体" w:hAnsi="宋体" w:eastAsia="宋体" w:cs="宋体"/>
          <w:b/>
          <w:bCs/>
          <w:color w:val="000000"/>
        </w:rPr>
        <w:t xml:space="preserve">（投标时提供承诺书并加盖公章上传至电子投标文件中，合同签订前向采购人提供具备CMA认证的试验报告复印件并加盖公章（原件备查），供采购人审核查验，逾期未提供或资料不合格的，视同自动放弃中标资格。）</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3.2配置要求</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所有与项目相关的材料、设备、精加工件、装置和系统在运输、卸货、搬运、储存、安装和运行中须确保没有损坏和失灵，能长期满容量连续运行。</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3.3.标准和规范</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400V低压柜及其相关电器应符合下列各现行标准的要求：</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3.3.1.GB7251《低压成套开关设备和控制设备》</w:t>
      </w:r>
      <w:bookmarkStart w:id="6" w:name="_Toc13427401"/>
      <w:r/>
      <w:bookmarkStart w:id="7" w:name="_Toc13437290"/>
      <w:r/>
      <w:bookmarkStart w:id="8" w:name="_Toc13436814"/>
      <w:r>
        <w:rPr>
          <w:rFonts w:ascii="宋体" w:hAnsi="宋体" w:eastAsia="宋体" w:cs="宋体"/>
          <w:color w:val="000000"/>
        </w:rPr>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3.3.2.GB14048《低压开关设备和控制设备》</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3.3.3.GB7947《绝缘导体和裸导体的颜色标志》</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3.3.4.JB/T9661《低压抽出式成套开关设备》</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3.3.5.JB/T5877《低压固定封闭成套开关设备》</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3.3.6.GB/T16935.1《低压系统内设备的绝缘配合第1部分：原理、要求和试验》</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3.3.7.GB/T17886.1《标称电压1kV及以下交流电力系统用非自愈式并联电容器》</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3.3.8.JB7113《低电压并联电容器装置》</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3.3.9.GB13539《低压熔断器》</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3.3.10.GB 1208《电流互感器》</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3.3.11.GB/T15576《低压无功功率静态补偿装置总技术条件》</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3.3.12.GB4208《外壳防护等级（IP代码）》</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3.3.13.GB 14285《继电保护和安全自动装置技术规程》</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3.3.14.GB/T 7261《继电器及装置基本试验方法》</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bookmarkEnd w:id="6"/>
      <w:r/>
      <w:bookmarkEnd w:id="7"/>
      <w:r/>
      <w:bookmarkEnd w:id="8"/>
      <w:r>
        <w:rPr>
          <w:rFonts w:ascii="宋体" w:hAnsi="宋体" w:eastAsia="宋体" w:cs="宋体"/>
          <w:color w:val="000000"/>
        </w:rPr>
        <w:t xml:space="preserve">3.3.15.DB32/T 3748-2020《35kV及以下客户端变电所建设标准》</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3.3.16.DGJ32/TJ 11-2016《居住区供配电设施建设标准》</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3.4低压柜运行和设计条件</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3.4.1电气设备的环境设计条件如下：</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（1）环境温度：最高环境温度</w:t>
        <w:tab/>
        <w:t xml:space="preserve">40℃、最低环境温度-5℃</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（2）日平均温度：35℃</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（3）月平均相对湿度：90%</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（4）海拔高度：</w:t>
      </w:r>
      <w:r>
        <w:rPr>
          <w:rFonts w:ascii="Symbol" w:hAnsi="Symbol" w:eastAsia="Symbol" w:cs="Symbol"/>
          <w:color w:val="000000"/>
        </w:rPr>
        <w:t xml:space="preserve">£</w:t>
      </w:r>
      <w:r>
        <w:rPr>
          <w:rFonts w:ascii="宋体" w:hAnsi="宋体" w:eastAsia="宋体" w:cs="宋体"/>
          <w:color w:val="000000"/>
        </w:rPr>
        <w:t xml:space="preserve">1000m</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3.4.2系统概况</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（1）系统电压：380V</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（2）最高工作电压：400V</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（3）系统频率：50Hz</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（4）系统中性点接地方式：中性点直接接地</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（5）安装地点：室内</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3.4.3低压柜额定参数</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（1）额定电压：400V</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（2）额定绝缘电压：1000V</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（3）额定冲击耐受电压：12KV</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（4）过压等级：IV</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（5）额定频率：50Hz</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（6）柜型主母线最高电流额定值：参照图纸</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（7）配电母线最高电流额定值：参照图纸</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（8）配电母线电流额定值：参照图纸</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（9）配电母线额定短时耐受能力：参照图纸</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3.4.4断路器额定参数</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（1）断路器型式：框架/塑壳断路器</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（2）额定电压：400V</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（3）额定频率：50Hz</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（4）额定绝缘电压：1000V/800V</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（5）额定冲击耐受电压：12KV/8KV</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（6）额定电流：参照图纸</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（7）额定短路性能等级：Ics=100%Icu</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（8）极数：参照图纸</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3.5详细技术要求</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3.5.1一般要求</w:t>
      </w:r>
      <w:r/>
    </w:p>
    <w:p>
      <w:pPr>
        <w:pStyle w:val="831"/>
        <w:ind w:firstLine="421"/>
        <w:jc w:val="both"/>
        <w:spacing w:line="360" w:lineRule="auto"/>
        <w:rPr>
          <w:rFonts w:hint="eastAsia" w:ascii="宋体" w:hAnsi="宋体" w:eastAsia="宋体" w:cs="宋体"/>
          <w:b/>
          <w:bCs/>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★（1）低压开关柜应完全按照招标图纸的尺寸生产，不接收自行优化尺寸</w:t>
      </w:r>
      <w:r>
        <w:rPr>
          <w:rFonts w:hint="eastAsia" w:ascii="宋体" w:hAnsi="宋体" w:eastAsia="宋体" w:cs="宋体"/>
          <w:color w:val="000000"/>
        </w:rPr>
        <w:t xml:space="preserve">。</w:t>
      </w:r>
      <w:r>
        <w:rPr>
          <w:rFonts w:hint="eastAsia" w:ascii="宋体" w:hAnsi="宋体" w:eastAsia="宋体" w:cs="宋体"/>
          <w:b/>
          <w:bCs/>
          <w:color w:val="000000"/>
        </w:rPr>
        <w:t xml:space="preserve">（</w:t>
      </w:r>
      <w:r>
        <w:rPr>
          <w:rFonts w:ascii="宋体" w:hAnsi="宋体" w:eastAsia="宋体" w:cs="宋体"/>
          <w:b/>
          <w:bCs/>
          <w:color w:val="000000"/>
        </w:rPr>
        <w:t xml:space="preserve">须提供承诺书</w:t>
      </w:r>
      <w:r>
        <w:rPr>
          <w:rFonts w:hint="eastAsia" w:ascii="宋体" w:hAnsi="宋体" w:eastAsia="宋体" w:cs="宋体"/>
          <w:b/>
          <w:bCs/>
          <w:color w:val="000000"/>
        </w:rPr>
        <w:t xml:space="preserve">并加盖公章上传至电子投标文件）</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（2）低压柜采用抽屉柜形式，为保证使用安全性和可靠性，所有设备在安装及运行后应具有标记牌，标记牌上应说明容量、操作特性形式及序号，所有设备应具有可靠的安全措施，以防意外及设备损坏。</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（3）低压柜的外壳防护等级为IP31。</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（4）所有元件均应由非吸湿和非燃性材料制成。</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（5）应根据招标附图设置备用回路，且每个备用单元应完成电气元件配置并全部接线。</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（6）630A及以上的断路器为框架式断路器，小于630A的断路器为塑壳开关，且符合GB14048.2标准。</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（7）应负责主动和变压器厂家配合，协调主母线连接，卖方应及时提供母线接口配合资料。</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3.5.2结构要求</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（1）由钢板外壳封闭的框架应是垂直地面安装的刚性、自承式独立结构，并应能承受所安装元件短路时产生的动、热稳定。同时不会因为开关柜的安装、运输等情况而影响开关柜的性能。</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（2）为了保障人身和设备安全，柜体内部应实现良好的分隔，母线和开关元件等各部分之间采用喷涂金属板进行分隔，开关柜外壳和内部金属板应实现可靠接地。</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（3）开关柜隔室之间的开孔应确保断路器在短路分断时产生的气体不影响相邻隔室的功能单元的正常工作。</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（4）低压开关柜应开设符合IP要求的通风孔。通风孔的设计和设置应使得当断路器在正常运行时或在短路情况下没有电弧或可熔金属喷出。</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（5）柜体表面应采用先进的喷涂工艺，其涂层厚度和附着力要求应符合有关国际标准要求，并保证柜体能承受48h以上盐雾试验要求。</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（6）每个隔室应有足够空间便于检修维护。</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（7）低压柜内的电器元件、裸露的带电导体和端子等的电气距离和爬电距离应符合有关标准，同时应适合使用的环境条件。</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（8）低压柜采用离墙式布置，柜后设有维护通道。</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（9）低压柜的设计应便于扩建。</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（10）安装在低压柜上的断路器延伸操作手柄，应有明确的开关跳闸显示位置，防止开关跳闸状态下，延伸操作手柄误显示为合闸状态。</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3.5.3框架断路器</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框架断路器应满足以下技术要求：</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额定电压Ue=400V，额定绝缘电压Ui=1000V，额定冲击耐受电压Uimp=12kV</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（1）交流电压415V下，空气断路器的分断能力要求：Ics=100%Icu≧65kA</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（2）空气断路器1秒下的短时耐受电流Icw(1s）要求：Icw(1s)≧65kA</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（3）空气断路器上下、前后、左右的飞弧距离为零，保证操作人员及设备运行的安全性。</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（4）空气断路器配置带LCD液晶显示屏的智能化控制单元，并具备测量和显示电流，电压，功率，电能等电参量的能力。</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（5）空气断路器具备区域选择性联锁功能，实现上下级断路器的短路短延时保护以及接地保护的完全选择性。</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（6）空气断路器控制单元可记录并本地显示最近的10条脱扣事件记录。</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（7）框架断路器须配置同品牌通讯模块和网关，将断路器的状态健康数据传送至智能管理单元进行数据采集和分析等功能。</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3.5.4塑壳断路器</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塑壳断路器应满足以下技术要求：</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（1）塑壳断路器额定工作电压Ue=400V，额定绝缘电压Ui=800V，额定冲击耐受电压Uimp=8kV</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（2）在400V电压下，塑壳式断路器短路分断能力应该满足Ics=100％Icu，且Ics≥50kA </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电子断路器采用带LSI三段保护电子式脱扣单元，且三段保护能同时投入，要求长延时电流Ir=0.4-1In可调；长延时时间Tr:0.5-16s(6Ir）可调；短延时电流Isd=1.5-10Ir可调；短延时保护时间Tsd=0-0.4s可调；短延时保护定时限和反时限可选；瞬时保护电流Ii=1.5-11In可调</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（4）塑壳断路器采用双断点的限流型产品，以减小短路故障对系统的冲击；</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（5）塑壳断路器开关具备能量脱扣技术，以减小短路故障对系统的冲击；</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（6）断路器正面都为II类绝缘，保证操作人员安全；</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（7）塑壳断路器须具备测量电流、电压、电能、功率等运行参数功能，并配置同品牌通讯模块和网关，将断路器的状态健康数据传送至智能管理单元进行数据采集和分析，实现老化分析等功能。</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3.5.5多功能表计</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多功能表计应满足以下技术要求：</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（1）测量精度：测量精度要求为：电流/电压为0.2%，功率/电能为0.5％;</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（2）实时测量：电压、电流、功率因数、频率、双向有功、无功功率和视在功率、双向有功、无功电度、总电度等；</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（3）DI/DO功能：至少提供2DI和2DO，仪表应内置DC24V信号电源，对外连接无源接点即可；</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（4）显示要求：抗反光宽视角LCD液晶屏，中文显示；</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（5）通讯功能：使用RS485总线/Modubs规约进行通讯，通讯速率可调最大为38400bps；</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（6）工作电源：交流工作电源85～265V，能耗4.1VA或直流工作电源100～300V能1.4W。间断时间在AC 100ms；DC 50ms；</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（7）安装方式：面板开孔，卡式安装；</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3.5.6无功补偿</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（1）总体要求</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a.低压无功功率补偿系统采用自动分步补偿的方式，补偿无功功率的同时，具备高压、过流保护功能，为防止谐波电压过大，对系统造成影响，需具备谐波报警功能。</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b.低压无功功率补偿系统的主要元件，主要包括：断路器、功率因数控制器、投切开关、电容器、电抗器、柜体必须为同一国际知名品牌，以确保工程有良好的效果。</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c.低压无功功率补偿系统的柜体结构与低压开关柜结构相同，与低压开关柜并排安装时，柜体尺寸、颜色与低压柜一致。</w:t>
      </w:r>
      <w:r/>
    </w:p>
    <w:p>
      <w:pPr>
        <w:pStyle w:val="831"/>
        <w:ind w:firstLine="421"/>
        <w:jc w:val="both"/>
        <w:spacing w:line="360" w:lineRule="auto"/>
        <w:rPr>
          <w:rFonts w:ascii="宋体" w:hAnsi="宋体" w:eastAsia="宋体" w:cs="宋体"/>
          <w:b/>
          <w:bCs/>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▲d.电容器应具备中国质量认证中心（CQC）出具的产品认证证书。</w:t>
      </w:r>
      <w:r>
        <w:rPr>
          <w:rFonts w:hint="eastAsia" w:ascii="宋体" w:hAnsi="宋体" w:eastAsia="宋体" w:cs="宋体"/>
          <w:b/>
          <w:bCs/>
          <w:color w:val="000000"/>
        </w:rPr>
        <w:t xml:space="preserve">（投标时提供承诺书并加盖公章上传至电子投标文件中，合同签订前向采购人提供</w:t>
      </w:r>
      <w:r>
        <w:rPr>
          <w:rFonts w:ascii="宋体" w:hAnsi="宋体" w:eastAsia="宋体" w:cs="宋体"/>
          <w:b/>
          <w:bCs/>
          <w:color w:val="000000"/>
        </w:rPr>
        <w:t xml:space="preserve">产品认证证书</w:t>
      </w:r>
      <w:r>
        <w:rPr>
          <w:rFonts w:hint="eastAsia" w:ascii="宋体" w:hAnsi="宋体" w:eastAsia="宋体" w:cs="宋体"/>
          <w:b/>
          <w:bCs/>
          <w:color w:val="000000"/>
        </w:rPr>
        <w:t xml:space="preserve">复印件并加盖公章（原件备查），供采购人审核查验，逾期未提供或资料不合格的，视同自动放弃中标资格。）</w:t>
      </w:r>
      <w:r>
        <w:rPr>
          <w:rFonts w:ascii="宋体" w:hAnsi="宋体" w:eastAsia="宋体" w:cs="宋体"/>
          <w:b/>
          <w:bCs/>
          <w:color w:val="000000"/>
        </w:rPr>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（2）电容器</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a.电容器应为干式自愈电容器，内部应具有完善保护系统对电容器的过压力、过电流进行保护。</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b.频率：50Hz</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c.系统电压在400V时，电容器的额定电压应至少选择480V及以上，且电容器容量应该为系统电压下的实际输出容量。</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d.环境温度：-25°C～+55°C</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e.过电压：1.1Un</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f.最大过电流：1.5In</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g.最大浪涌耐受电流：200In</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h.使用寿命：100,000小时</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i.损耗：小于0.2W/KVAR（不包含外部放电电阻</w:t>
      </w:r>
      <w:bookmarkStart w:id="9" w:name="_Hlk508972662"/>
      <w:r>
        <w:rPr>
          <w:rFonts w:ascii="宋体" w:hAnsi="宋体" w:eastAsia="宋体" w:cs="宋体"/>
          <w:color w:val="000000"/>
        </w:rPr>
        <w:t xml:space="preserve">），小于0.5W/KVAR（包含外部放电电阻）</w:t>
      </w:r>
      <w:bookmarkEnd w:id="9"/>
      <w:r>
        <w:rPr>
          <w:rFonts w:ascii="宋体" w:hAnsi="宋体" w:eastAsia="宋体" w:cs="宋体"/>
          <w:color w:val="000000"/>
        </w:rPr>
        <w:t xml:space="preserve">。</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j.端子与外壳间的耐压：3000V（AC）10s</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k.电容器接线端子应为防触电设计。</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l.电容器与柜体、距地及电容器相互间的距离应符合规范要求，以保证其热量的散发。</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m.可应用海拔高度：≤2000m</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n.基于安全性及散热需求需减少电容器内部连接点：单只电容器内部每相只有一个单元，不能存在多个单元连接；同时单只电容器在系统电压下输出容量不超过25kvar，电容器与柜体、距地及电容器相互间的距离应符合规范要求，以保证其热量的散发。</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o.单相电容、单相电抗须为每相一只单体电容、单体电抗；A、B、C三相为三只单相电容、单相电抗采取Y型接法；</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（3）电抗器</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a.三相干式电抗器，高度线性磁环流</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b.额定电压：400V</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c.每相电感误差：±5%</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d.三相介电测试绕组与绕组，绕组对地：4kV，1min</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e.必须具备过温报警接点，接点容量：250VAC 2A</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f.绝缘耐热等级：H</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3.5.7无线测温系统</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bookmarkStart w:id="10" w:name="_Toc223206870"/>
      <w:r>
        <w:rPr>
          <w:rFonts w:ascii="宋体" w:hAnsi="宋体" w:eastAsia="宋体" w:cs="宋体"/>
          <w:color w:val="000000"/>
        </w:rPr>
        <w:t xml:space="preserve">针对德经楼配电柜低压柜重要回路及敏感电气节点，优先对主进线柜、母联柜、抽屉柜设置无线测温系统。</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bookmarkEnd w:id="10"/>
      <w:r>
        <w:rPr>
          <w:rFonts w:ascii="宋体" w:hAnsi="宋体" w:eastAsia="宋体" w:cs="宋体"/>
          <w:color w:val="000000"/>
        </w:rPr>
        <w:t xml:space="preserve">（1）进线柜、母联柜</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a.框架断路器进出线（6点测温）</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b.为框架断路器的进线母排三相连接点和出线母排三相连接点分别设置3点测温。</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c.采用无线单相温度传感器，无源感应取电，工作电流5A；绑扎固定，适用于单片排以及多片排安装；接触式测温，测温范围-25℃-150℃。</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（2）水平垂直母排连接（3点测温）</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a.母排特别是主母排连接处通常为配电柜内温度最高的区域，方案建议为进线柜、母联柜的水平母排和垂直母排搭接处设置3点测温。</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b.采用无线单相温度传感器，无源感应取电，工作电流5A；绑扎固定，适用于单片排以及多片排安装；接触式测温，测温范围-25℃-150℃。</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（3）抽屉柜</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a.抽屉回路（3点测温）</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b.由于配电系统抽屉馈电回路较多，而在抽屉的运行维护多次抽插操作过程中可能会导致抽屉回路内部的一次插接件的松动，从而带来异常温升和安全隐患，但由于空间紧凑安装位置隐蔽，因此是配电柜中普遍被忽视的关键发热点。</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c.</w:t>
      </w:r>
      <w:r>
        <w:rPr>
          <w:rFonts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1143000</wp:posOffset>
                </wp:positionH>
                <wp:positionV relativeFrom="paragraph">
                  <wp:posOffset>97790</wp:posOffset>
                </wp:positionV>
                <wp:extent cx="2861310" cy="1692275"/>
                <wp:effectExtent l="0" t="0" r="0" b="0"/>
                <wp:wrapTopAndBottom/>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2861310" cy="1692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524288;o:allowoverlap:true;o:allowincell:true;mso-position-horizontal-relative:margin;margin-left:90.0pt;mso-position-horizontal:absolute;mso-position-vertical-relative:text;margin-top:7.7pt;mso-position-vertical:absolute;width:225.3pt;height:133.2pt;mso-wrap-distance-left:9.0pt;mso-wrap-distance-top:0.0pt;mso-wrap-distance-right:9.0pt;mso-wrap-distance-bottom:0.0pt;" stroked="f">
                <v:path textboxrect="0,0,0,0"/>
                <w10:wrap type="topAndBottom"/>
                <v:imagedata r:id="rId13" o:title=""/>
              </v:shape>
            </w:pict>
          </mc:Fallback>
        </mc:AlternateContent>
      </w:r>
      <w:r>
        <w:rPr>
          <w:rFonts w:ascii="宋体" w:hAnsi="宋体" w:eastAsia="宋体" w:cs="宋体"/>
          <w:color w:val="000000"/>
        </w:rPr>
        <w:t xml:space="preserve">3点测温采用无线多相温度传感器，无源感应取电，工作电流5A；绑扎固定，可用于母排及电缆；外置测温探头，接触式测温，测温范围-25℃-150℃，支持三相测温。</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（4）无线测温整体技术要求</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a.能够实时的采集并监测关键回路和位置的温度，快速识别开关设备的潜在故障，并能够在缺陷初期，通过站级监控系统发出预警信息，防止潜在故障的进一步发展，温度信号上传至电力监控系统。</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b.测温传感器无源感应取电，以便及时发现由设备接触不良、电流过载等因素引起的温升过高的故障隐患，采用温度在线监测方案和无线信号传输方式。测温方案需配合柜体完成极端运行情况如短路故障的试验，保证柜体在极端情况出现后，仍能正常工作。</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c.测温设备需采用无线信号传输及一次自供电技术，禁止使用高温易爆易燃的电池解决方案，温度传感器需能够在开关设备极限运行条件（搭接点温度115度及短时耐受电流后）下正常工作。温度在线监测方案须在开关设备服役期内正常工作且无需进行任何元器件的更换。温度在线监测设备须有行业客户运行的成熟经验。</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（5）系统架构</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无线测温系统在配电柜中设置核心智能网关，通过Zigbee无线通讯采集监控各个测温节点的实时运行温度以及各个测温传感器的工作状态，并通过以太网通讯方式连接至后台监控系统或本地监控软件，以实现在监控系统中对测温系统运行数据的实时监控、异常报警和分析以及历史查询等。</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4.母线槽</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bookmarkStart w:id="11" w:name="_Toc384224657"/>
      <w:r>
        <w:rPr>
          <w:rFonts w:ascii="宋体" w:hAnsi="宋体" w:eastAsia="宋体" w:cs="宋体"/>
          <w:color w:val="000000"/>
        </w:rPr>
        <w:t xml:space="preserve">4.1.母线槽应用一般要求</w:t>
      </w:r>
      <w:bookmarkEnd w:id="11"/>
      <w:r>
        <w:rPr>
          <w:rFonts w:ascii="宋体" w:hAnsi="宋体" w:eastAsia="宋体" w:cs="宋体"/>
          <w:color w:val="000000"/>
        </w:rPr>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投标方所投标设备须能在下列条件下正常工作：</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4.1.1.海拔高度：2000m</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4.1.2.相对湿度：</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4.1.3.相对湿度：≤90％（25℃）</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bookmarkStart w:id="12" w:name="_Toc384224658"/>
      <w:r>
        <w:rPr>
          <w:rFonts w:ascii="宋体" w:hAnsi="宋体" w:eastAsia="宋体" w:cs="宋体"/>
          <w:color w:val="000000"/>
        </w:rPr>
        <w:t xml:space="preserve">4.2.电气要求</w:t>
      </w:r>
      <w:bookmarkEnd w:id="12"/>
      <w:r>
        <w:rPr>
          <w:rFonts w:ascii="宋体" w:hAnsi="宋体" w:eastAsia="宋体" w:cs="宋体"/>
          <w:color w:val="000000"/>
        </w:rPr>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4.2.1.额定电压：660V</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4.2.2.额定绝缘电压：1000V AC</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4.2.3.额定频率：50Hz</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4.2.4.电流范围：400A—6300A</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4.2.5.耐热等级：≥B级</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4.2.6.绝缘等级：≥B级</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4.2.7.工频耐压：3500V AV无击穿，无闪络</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4.2.8.绝缘电阻：每段母线槽单元的绝缘电阻均应大于等于20MΩ，线路总体绝缘电阻大于等于0.5MΩ.</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4.2.9.短路强度：母线槽能承受国家规定的额定短时耐受电流和额定峰值所产生的热应力和电动力。</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4.3结构要求</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4.3.1.低压封闭密集型母线结构紧凑，外壳与导体整体接触，母排间无明显空气间距，母线内部无空气流动，没有烟囱效应。</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4.3.2.密集型封闭母线外壳应采用铝镁合金型材，外壳表面应光滑平整，具有很高的耐腐蚀性。整洁美观，无起泡、裂纹或流痕等缺陷。外壳装配以铆接为优，以保证母线槽足够的机械性能，和外壳的整个电气连续性。</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4.3.3.母线外壳可用作整体接地，最大限度的提供大容量电网配电的保护，为接地故障提供可靠的接地路径。外壳作整体接地需满足：段间连接器除保证两节母线内部导体连接可靠外，还需保证外壳间具可靠电气连续性，以保证各节母线槽外壳之间具有足够的电气连续性，外壳任意一处载流量大于等于50%相线容量。其有效接地容量不小于相线的50％。提供第三方国家级权威机构认证或检测报告。</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4.3.4.母线整体散热快，额定负荷状态下温升符合国标要求：</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79"/>
        <w:gridCol w:w="2885"/>
        <w:gridCol w:w="2045"/>
      </w:tblGrid>
      <w:tr>
        <w:trPr>
          <w:trHeight w:val="284"/>
        </w:trPr>
        <w:tc>
          <w:tcPr>
            <w:tcW w:w="879" w:type="dxa"/>
            <w:vAlign w:val="center"/>
            <w:textDirection w:val="lrTb"/>
            <w:noWrap w:val="false"/>
          </w:tcPr>
          <w:p>
            <w:pPr>
              <w:pStyle w:val="831"/>
              <w:ind w:firstLine="210"/>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序号</w:t>
            </w:r>
            <w:r/>
          </w:p>
        </w:tc>
        <w:tc>
          <w:tcPr>
            <w:tcW w:w="2885" w:type="dxa"/>
            <w:vAlign w:val="center"/>
            <w:textDirection w:val="lrTb"/>
            <w:noWrap w:val="false"/>
          </w:tcPr>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母线单元</w:t>
            </w:r>
            <w:r/>
          </w:p>
        </w:tc>
        <w:tc>
          <w:tcPr>
            <w:tcW w:w="2045" w:type="dxa"/>
            <w:vAlign w:val="center"/>
            <w:textDirection w:val="lrTb"/>
            <w:noWrap w:val="false"/>
          </w:tcPr>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温升要求</w:t>
            </w:r>
            <w:r/>
          </w:p>
        </w:tc>
      </w:tr>
      <w:tr>
        <w:trPr>
          <w:trHeight w:val="364"/>
        </w:trPr>
        <w:tc>
          <w:tcPr>
            <w:tcW w:w="879" w:type="dxa"/>
            <w:vAlign w:val="center"/>
            <w:textDirection w:val="lrTb"/>
            <w:noWrap w:val="false"/>
          </w:tcPr>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w:t>
            </w:r>
            <w:r/>
          </w:p>
        </w:tc>
        <w:tc>
          <w:tcPr>
            <w:tcW w:w="2885" w:type="dxa"/>
            <w:vAlign w:val="center"/>
            <w:textDirection w:val="lrTb"/>
            <w:noWrap w:val="false"/>
          </w:tcPr>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母线固定连接处</w:t>
            </w:r>
            <w:r/>
          </w:p>
        </w:tc>
        <w:tc>
          <w:tcPr>
            <w:tcW w:w="2045" w:type="dxa"/>
            <w:vAlign w:val="center"/>
            <w:textDirection w:val="lrTb"/>
            <w:noWrap w:val="false"/>
          </w:tcPr>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≤70K</w:t>
            </w:r>
            <w:r/>
          </w:p>
        </w:tc>
      </w:tr>
      <w:tr>
        <w:trPr>
          <w:trHeight w:val="300"/>
        </w:trPr>
        <w:tc>
          <w:tcPr>
            <w:tcW w:w="879" w:type="dxa"/>
            <w:vAlign w:val="center"/>
            <w:textDirection w:val="lrTb"/>
            <w:noWrap w:val="false"/>
          </w:tcPr>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w:t>
            </w:r>
            <w:r/>
          </w:p>
        </w:tc>
        <w:tc>
          <w:tcPr>
            <w:tcW w:w="2885" w:type="dxa"/>
            <w:vAlign w:val="center"/>
            <w:textDirection w:val="lrTb"/>
            <w:noWrap w:val="false"/>
          </w:tcPr>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外壳和覆板</w:t>
            </w:r>
            <w:r/>
          </w:p>
        </w:tc>
        <w:tc>
          <w:tcPr>
            <w:tcW w:w="2045" w:type="dxa"/>
            <w:vAlign w:val="center"/>
            <w:textDirection w:val="lrTb"/>
            <w:noWrap w:val="false"/>
          </w:tcPr>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≤55K</w:t>
            </w:r>
            <w:r/>
          </w:p>
        </w:tc>
      </w:tr>
      <w:tr>
        <w:trPr/>
        <w:tc>
          <w:tcPr>
            <w:tcW w:w="879" w:type="dxa"/>
            <w:vAlign w:val="center"/>
            <w:textDirection w:val="lrTb"/>
            <w:noWrap w:val="false"/>
          </w:tcPr>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w:t>
            </w:r>
            <w:r/>
          </w:p>
        </w:tc>
        <w:tc>
          <w:tcPr>
            <w:tcW w:w="2885" w:type="dxa"/>
            <w:vAlign w:val="center"/>
            <w:textDirection w:val="lrTb"/>
            <w:noWrap w:val="false"/>
          </w:tcPr>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母排温升</w:t>
            </w:r>
            <w:r/>
          </w:p>
        </w:tc>
        <w:tc>
          <w:tcPr>
            <w:tcW w:w="2045" w:type="dxa"/>
            <w:vAlign w:val="center"/>
            <w:textDirection w:val="lrTb"/>
            <w:noWrap w:val="false"/>
          </w:tcPr>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≤70K</w:t>
            </w:r>
            <w:r/>
          </w:p>
        </w:tc>
      </w:tr>
    </w:tbl>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4.4导体要求</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4.4.1母线槽导体采用优质电解铜轧制成的TMY电工硬铜排，纯度≥99.95，硬度≥65，电阻率≤0.0177Ω·m，铜牌排厚度不得低于5mm。</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4.4.2母排表面镀锡处，保证良好的抗氧化和防腐蚀能力，母排切割面平整，保证良好的电气连接。</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4.4.3若投标厂家没有取得外壳整体接地的第三方国家级权威机构认证或检测报告。则需要提供单独接地导体产品，接地排选用电气级别铜材，具有相导体50%接地容量。</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4.5绝缘材料要求</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密集型封闭母线槽的绝缘介质要求采用性能和质量不低于美国杜邦生产的B级以上绝缘的聚脂薄膜整体包裹每相母排，在130摄氏度时绝缘材料的各项性能指标不会下降，绝缘老化寿命达到30年以上。</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bookmarkStart w:id="13" w:name="_Hlk52371378"/>
      <w:r/>
      <w:bookmarkStart w:id="14" w:name="_Hlk161599967"/>
      <w:r/>
      <w:bookmarkStart w:id="15" w:name="_Hlk145603431"/>
      <w:r>
        <w:rPr>
          <w:rFonts w:ascii="宋体" w:hAnsi="宋体" w:eastAsia="宋体" w:cs="宋体"/>
          <w:color w:val="000000"/>
        </w:rPr>
        <w:t xml:space="preserve">5.电力监控系统</w:t>
      </w:r>
      <w:bookmarkEnd w:id="13"/>
      <w:r/>
      <w:bookmarkStart w:id="16" w:name="_Hlk52371444"/>
      <w:r>
        <w:rPr>
          <w:rFonts w:ascii="宋体" w:hAnsi="宋体" w:eastAsia="宋体" w:cs="宋体"/>
          <w:color w:val="000000"/>
        </w:rPr>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bookmarkStart w:id="17" w:name="_Hlk221356045"/>
      <w:r>
        <w:rPr>
          <w:rFonts w:ascii="宋体" w:hAnsi="宋体" w:eastAsia="宋体" w:cs="宋体"/>
          <w:color w:val="000000"/>
        </w:rPr>
        <w:t xml:space="preserve">5.1总体要求</w:t>
      </w:r>
      <w:r/>
    </w:p>
    <w:p>
      <w:pPr>
        <w:pStyle w:val="831"/>
        <w:ind w:firstLine="421"/>
        <w:jc w:val="both"/>
        <w:spacing w:line="360" w:lineRule="auto"/>
        <w:rPr>
          <w:rFonts w:hint="eastAsia" w:ascii="宋体" w:hAnsi="宋体" w:eastAsia="宋体" w:cs="宋体"/>
          <w:b/>
          <w:bCs/>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★本项目安装在德经楼变电所的电力监控系统，须完成与中心开闭所现有电力监控系统的对接，投标人应充分考虑系统兼容性</w:t>
      </w:r>
      <w:r>
        <w:rPr>
          <w:rFonts w:hint="eastAsia" w:ascii="宋体" w:hAnsi="宋体" w:eastAsia="宋体" w:cs="宋体"/>
          <w:color w:val="000000"/>
        </w:rPr>
        <w:t xml:space="preserve">保证系统可以正常运行。</w:t>
      </w:r>
      <w:r>
        <w:rPr>
          <w:rFonts w:hint="eastAsia" w:ascii="宋体" w:hAnsi="宋体" w:eastAsia="宋体" w:cs="宋体"/>
          <w:b/>
          <w:bCs/>
          <w:color w:val="000000"/>
        </w:rPr>
        <w:t xml:space="preserve">（投标时提供承诺书并加盖公章上传至电子投标文件中，合同签订前向采购人提供原中心开闭所电力监控系统原厂厂家出具的软件兼容性确认函并加盖原厂厂家公章，供采购人审核查验，逾期未提供或资料不合格的，视同自动放弃中标资格。）</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5.2技术要求</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5.2.1系统概述</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（1）电力监控系统应实现中低压一体化运行维护管理、电能质量管理、设备资产管理及能耗管理，采用全中文操作界面，兼容Windows操作系统。</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bookmarkStart w:id="18" w:name="_Hlk508866834"/>
      <w:r/>
      <w:bookmarkStart w:id="19" w:name="_Hlk508870792"/>
      <w:r>
        <w:rPr>
          <w:rFonts w:ascii="宋体" w:hAnsi="宋体" w:eastAsia="宋体" w:cs="宋体"/>
          <w:color w:val="000000"/>
        </w:rPr>
        <w:t xml:space="preserve">（2）支持常见标准协议接口：IEC61850、ModbusRTU、ModbusTCP、DNP3.0、ION、BACnet/IP、KNXnet/IP、OPC DA Client、OPC UA Client，并支持OPC DA、OPC AE、OPC UA服务端标准接口以便跨系统数据集成。</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（3）支持基于IEC61850的综保和电能质量仪表数据集成。</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（4）系统软件在故障分析、能源管理、设备健康分析等方面应具备核心专利技术以确保软件先进性和结果准确性。</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bookmarkStart w:id="20" w:name="_Toc408577363"/>
      <w:r/>
      <w:bookmarkStart w:id="21" w:name="_Toc223409047"/>
      <w:r>
        <w:rPr>
          <w:rFonts w:ascii="宋体" w:hAnsi="宋体" w:eastAsia="宋体" w:cs="宋体"/>
          <w:color w:val="000000"/>
        </w:rPr>
        <w:t xml:space="preserve">5.2.2功能描述</w:t>
      </w:r>
      <w:bookmarkEnd w:id="20"/>
      <w:r>
        <w:rPr>
          <w:rFonts w:ascii="宋体" w:hAnsi="宋体" w:eastAsia="宋体" w:cs="宋体"/>
          <w:color w:val="000000"/>
        </w:rPr>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bookmarkEnd w:id="21"/>
      <w:r>
        <w:rPr>
          <w:rFonts w:ascii="宋体" w:hAnsi="宋体" w:eastAsia="宋体" w:cs="宋体"/>
          <w:color w:val="000000"/>
        </w:rPr>
        <w:t xml:space="preserve">（1）系统运行监控</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bookmarkEnd w:id="18"/>
      <w:r/>
      <w:bookmarkEnd w:id="19"/>
      <w:r>
        <w:rPr>
          <w:rFonts w:ascii="宋体" w:hAnsi="宋体" w:eastAsia="宋体" w:cs="宋体"/>
          <w:color w:val="000000"/>
        </w:rPr>
        <w:t xml:space="preserve">a.支持动态单线图，实时监视各回路运行状态、测量值和相关保护信号。</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b.提供用户可配置的图形编辑环境，包括：设施图、平面图、楼层布局等。</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c.提供基于脚本的二次开发能力，方便用户自定义复杂的图元显示和操作。</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d.提供网络拓扑图实现通讯状态监视和网络诊断。</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e.支持遥控和设置操作，实现复位、触发、切换、开关、手动波形捕获等功能。</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f.支持趋势应用，附带图表可实时预测分析关键参数，如电压电流、功率、电能消耗等。</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g.提供容量分析功能，结合负载动态分析呈现各回路剩余容量百分比。</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h.提供智能断路器老化分析，综合断路器动作次数、动作电流与环境信息进行寿命分析预测，提供对应的断路器老化分析报告及配置信息报告。</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（2）报警和事件分析</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a.支持用户自定义报警信息、报警策略、分级告警颜色。</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b.报警信息应包括详细描述，如报警类型、对象、内容、时间、确认状态等，支持按类型、时间段、发生源、等级等不同方式查询，可查阅历史报警信息。</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c.支持将多个事件智能归类为报警，将多个设备报警归类为“事故”，以简化级联事件分析。通过电力事件造成的负载损失百分比，按照系统影响排定报警优先次序。</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d.系统软件应提供配电网中构成“事故”的报警和事件的按照时间轴进行图形化展示和分析，能够标识是否存在与该事故关联的捕获波形，提供智能波形分析界面。</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（3）资产健康专家应用</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电力监控系统应具备设备健康分析管理功能，打通设备之间的互联互通，深度分析关键设备信息，避免设备特性数据的数据孤岛出现，为用户提供关键电力设备的资产管理、预测性维护等核心价值，以实现风险预报预警，提升运维效率，实现从被动运维到主动预测性维护转变。</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功能应满足如下：</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a.系统软件应支持完整的配电资产结构导航方式，可以便捷的浏览全局资产信息查看，快捷导航至资产详细信息内容，查看资产铭牌信息及资产清单；</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b.系统软件可通过各种传感数据的累积与分析，对中低压配电柜进行多维度监测；</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c.系统软件可通过导航栏选择，显示开关柜、间隔等各类信息。包括：开关柜总览、温度传感器温度、断路器状态、变压器温度等视图；</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d.系统软件应支持动态温度告警功能。通过测温点绘制实时温度及曲线，结合负载电流，与动态温升告警曲线对比，可直观监测关键部件的温度与越限情况，可以实时智能化调整温度告警值，形成告警消息通知。</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e.系统软件应支持低压智能断路器健康度分析，结合环境温湿度、震动、灰尘等因素综合评估断路器健康状态情况，呈现断路器综合健康、触头磨损率、电气健康、机械健康、环境腐蚀健康等多项老化指标</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f.系统软件应支持对第三方设备自定义设备视图模板，创建设备资产铭牌信息，统一管理设备的说明书、图纸等文档资料，提供页面下载能力，并适用于配电柜、元件等不同等级的电气节点。</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bookmarkEnd w:id="17"/>
      <w:r>
        <w:rPr>
          <w:rFonts w:ascii="宋体" w:hAnsi="宋体" w:eastAsia="宋体" w:cs="宋体"/>
          <w:color w:val="000000"/>
        </w:rPr>
        <w:t xml:space="preserve">6.智能管理单元</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6.</w:t>
      </w:r>
      <w:r>
        <w:rPr>
          <w:rFonts w:hint="eastAsia" w:ascii="宋体" w:hAnsi="宋体" w:eastAsia="宋体" w:cs="宋体"/>
          <w:color w:val="000000"/>
        </w:rPr>
        <w:t xml:space="preserve">1</w:t>
      </w:r>
      <w:r>
        <w:rPr>
          <w:rFonts w:ascii="宋体" w:hAnsi="宋体" w:eastAsia="宋体" w:cs="宋体"/>
          <w:color w:val="000000"/>
        </w:rPr>
        <w:t xml:space="preserve">智能管理单元应基于各厂家的技术手段，通过不同的方式实现，如配置智能管理单元，或配置智能监控模块，或者配置智能专家系统等。为便于低压开关柜在配电室内的便利运行维护，配电柜应按照配电室，或者按照母线段配置就地的监测运维单元，应提供不小于15/18英寸的数据显示单元，对配电室内部的数据进行集中的采集、分析和呈现。</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6.</w:t>
      </w:r>
      <w:r>
        <w:rPr>
          <w:rFonts w:hint="eastAsia" w:ascii="宋体" w:hAnsi="宋体" w:eastAsia="宋体" w:cs="宋体"/>
          <w:color w:val="000000"/>
        </w:rPr>
        <w:t xml:space="preserve">2</w:t>
      </w:r>
      <w:r>
        <w:rPr>
          <w:rFonts w:ascii="宋体" w:hAnsi="宋体" w:eastAsia="宋体" w:cs="宋体"/>
          <w:color w:val="000000"/>
        </w:rPr>
        <w:t xml:space="preserve">智能管理单元应采用软硬件一体化的运维单元，避免重复组态造成的配置错误，实现对配电室内的资产的运行维护管理功能。监测运维单元监测能力不低于200个设备，应支持在配电柜内直接集成安装，应支持工厂预成安装。</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6.</w:t>
      </w:r>
      <w:r>
        <w:rPr>
          <w:rFonts w:hint="eastAsia" w:ascii="宋体" w:hAnsi="宋体" w:eastAsia="宋体" w:cs="宋体"/>
          <w:color w:val="000000"/>
        </w:rPr>
        <w:t xml:space="preserve">3</w:t>
      </w:r>
      <w:r>
        <w:rPr>
          <w:rFonts w:ascii="宋体" w:hAnsi="宋体" w:eastAsia="宋体" w:cs="宋体"/>
          <w:color w:val="000000"/>
        </w:rPr>
        <w:t xml:space="preserve">智能管理单元主要用以实现提高配电系统可靠性、连续性、安全性。对关键回路实现故障预警、故障诊断及关键设备操作指导。</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6.</w:t>
      </w:r>
      <w:r>
        <w:rPr>
          <w:rFonts w:hint="eastAsia" w:ascii="宋体" w:hAnsi="宋体" w:eastAsia="宋体" w:cs="宋体"/>
          <w:color w:val="000000"/>
        </w:rPr>
        <w:t xml:space="preserve">4</w:t>
      </w:r>
      <w:r>
        <w:rPr>
          <w:rFonts w:ascii="宋体" w:hAnsi="宋体" w:eastAsia="宋体" w:cs="宋体"/>
          <w:color w:val="000000"/>
        </w:rPr>
        <w:t xml:space="preserve">智能管理单元应采用分布式的部署，至少在每个变电所独立配置一套，完成该变电所内关键回路的智能管理。</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6.</w:t>
      </w:r>
      <w:r>
        <w:rPr>
          <w:rFonts w:hint="eastAsia" w:ascii="宋体" w:hAnsi="宋体" w:eastAsia="宋体" w:cs="宋体"/>
          <w:color w:val="000000"/>
        </w:rPr>
        <w:t xml:space="preserve">5</w:t>
      </w:r>
      <w:r>
        <w:rPr>
          <w:rFonts w:ascii="宋体" w:hAnsi="宋体" w:eastAsia="宋体" w:cs="宋体"/>
          <w:color w:val="000000"/>
        </w:rPr>
        <w:t xml:space="preserve">智能管理单元应提供触控的操作方式，以便运维人员随时查阅。图形化、可视化地呈现电力设备运行情况，以便运维人员清晰理解，做出正确的分析与判断。</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7.智慧巡检系统</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本系统旨在构建全面的数视融合一体的变电</w:t>
      </w:r>
      <w:r>
        <w:rPr>
          <w:rFonts w:ascii="宋体" w:hAnsi="宋体" w:eastAsia="宋体" w:cs="宋体"/>
          <w:color w:val="000000"/>
        </w:rPr>
        <w:t xml:space="preserve">所管理系统，满足新型变电所管理的“实时化监测、自动化预警、精准化管控”的管理核心要求。本系统须建设统一监控平台，将电力运行参数、电力设备运行状态、温度、电能计量数据等以及配电房内环境数据，进行集中采集和分析，实现信息化、自动化、智能化的能源监管平台，并以数视融合的方式直接展示，实现设备状态的实时可视化和便捷监控，并能迅速定位安全隐患，数据带有时间戳，编码后的画面不可篡改，确保了画面追溯的真是可靠性，对加快异常事故发现时间、故障响应速度、故障处理效率、提高运营管理效率以及降低运维成本有着非常必要和重要的意义。</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系统依托物联网、大数据和人工智能技术，通过软硬件一体化的设计，建设成为切合配电房实际应用的，能够保障变电所生产安全运行的监控体系。本系统可在一定程度上代替人工完成设备的巡检工作，降低人工巡检频次，减少运维人员投入，降低人员成本。智慧巡检系统后台配置系统由以下几个部分组成：</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7.1基础信息管理：管理项目基本信息、用户角色、系统字典、系统参数、设备和属性图标等基础信息。</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7.2空间管理：管理配电房基础信息和空间信息。</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7.3设备管理：管理项目中的机房设备、摄像机和门禁等各类设备，及其相关子系统、物模型、设备运行状态等信息。</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7.4报警管理：管理配置监测和报警规则，支持配置通知方式和内容模板，支持查看全部历史报警记录。</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7.5巡检管理：管理各个机房的自动巡检点配置，管理巡检计划配置，支持查看全部历史巡检任务。</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7.6数据分析：按物模型设置数据存储规则，该部分数据主要用于生成报告报表。</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bookmarkEnd w:id="14"/>
      <w:r/>
      <w:bookmarkEnd w:id="15"/>
      <w:r/>
      <w:bookmarkEnd w:id="16"/>
      <w:r>
        <w:rPr>
          <w:rFonts w:ascii="宋体" w:hAnsi="宋体" w:eastAsia="宋体" w:cs="宋体"/>
          <w:color w:val="000000"/>
        </w:rPr>
        <w:t xml:space="preserve">（三）主要设备材料清单及安全器具清单</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bookmarkStart w:id="22" w:name="_Toc224663315"/>
      <w:r>
        <w:rPr>
          <w:rFonts w:ascii="宋体" w:hAnsi="宋体" w:eastAsia="宋体" w:cs="宋体"/>
          <w:color w:val="000000"/>
        </w:rPr>
        <w:t xml:space="preserve">1.主要设备材料清单</w:t>
      </w:r>
      <w:bookmarkEnd w:id="22"/>
      <w:r>
        <w:rPr>
          <w:rFonts w:ascii="宋体" w:hAnsi="宋体" w:eastAsia="宋体" w:cs="宋体"/>
          <w:color w:val="000000"/>
        </w:rPr>
      </w:r>
      <w:r/>
    </w:p>
    <w:tbl>
      <w:tblPr>
        <w:tblW w:w="935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1651"/>
        <w:gridCol w:w="3894"/>
        <w:gridCol w:w="783"/>
        <w:gridCol w:w="792"/>
        <w:gridCol w:w="1452"/>
      </w:tblGrid>
      <w:tr>
        <w:trPr>
          <w:tblHeader/>
        </w:trPr>
        <w:tc>
          <w:tcPr>
            <w:tcW w:w="783" w:type="dxa"/>
            <w:vAlign w:val="center"/>
            <w:textDirection w:val="lrTb"/>
            <w:noWrap w:val="false"/>
          </w:tcPr>
          <w:p>
            <w:pPr>
              <w:pStyle w:val="831"/>
              <w:jc w:val="center"/>
              <w:rPr>
                <w:rFonts w:ascii="宋体" w:hAnsi="宋体" w:eastAsia="宋体" w:cs="宋体"/>
                <w:b/>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序号</w:t>
            </w:r>
            <w:r/>
          </w:p>
        </w:tc>
        <w:tc>
          <w:tcPr>
            <w:tcW w:w="1651" w:type="dxa"/>
            <w:vAlign w:val="center"/>
            <w:textDirection w:val="lrTb"/>
            <w:noWrap w:val="false"/>
          </w:tcPr>
          <w:p>
            <w:pPr>
              <w:pStyle w:val="831"/>
              <w:jc w:val="center"/>
              <w:rPr>
                <w:rFonts w:ascii="宋体" w:hAnsi="宋体" w:eastAsia="宋体" w:cs="宋体"/>
                <w:b/>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名称</w:t>
            </w:r>
            <w:r/>
          </w:p>
        </w:tc>
        <w:tc>
          <w:tcPr>
            <w:tcW w:w="3894" w:type="dxa"/>
            <w:vAlign w:val="center"/>
            <w:textDirection w:val="lrTb"/>
            <w:noWrap w:val="false"/>
          </w:tcPr>
          <w:p>
            <w:pPr>
              <w:pStyle w:val="831"/>
              <w:jc w:val="center"/>
              <w:rPr>
                <w:rFonts w:ascii="宋体" w:hAnsi="宋体" w:eastAsia="宋体" w:cs="宋体"/>
                <w:b/>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规格</w:t>
            </w:r>
            <w:r/>
          </w:p>
        </w:tc>
        <w:tc>
          <w:tcPr>
            <w:tcW w:w="783" w:type="dxa"/>
            <w:vAlign w:val="center"/>
            <w:textDirection w:val="lrTb"/>
            <w:noWrap w:val="false"/>
          </w:tcPr>
          <w:p>
            <w:pPr>
              <w:pStyle w:val="831"/>
              <w:jc w:val="center"/>
              <w:rPr>
                <w:rFonts w:ascii="宋体" w:hAnsi="宋体" w:eastAsia="宋体" w:cs="宋体"/>
                <w:b/>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单位</w:t>
            </w:r>
            <w:r/>
          </w:p>
        </w:tc>
        <w:tc>
          <w:tcPr>
            <w:tcW w:w="792" w:type="dxa"/>
            <w:vAlign w:val="center"/>
            <w:textDirection w:val="lrTb"/>
            <w:noWrap w:val="false"/>
          </w:tcPr>
          <w:p>
            <w:pPr>
              <w:pStyle w:val="831"/>
              <w:jc w:val="center"/>
              <w:rPr>
                <w:rFonts w:ascii="宋体" w:hAnsi="宋体" w:eastAsia="宋体" w:cs="宋体"/>
                <w:b/>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数量</w:t>
            </w:r>
            <w:r/>
          </w:p>
        </w:tc>
        <w:tc>
          <w:tcPr>
            <w:tcW w:w="1452" w:type="dxa"/>
            <w:vAlign w:val="center"/>
            <w:textDirection w:val="lrTb"/>
            <w:noWrap w:val="false"/>
          </w:tcPr>
          <w:p>
            <w:pPr>
              <w:pStyle w:val="831"/>
              <w:jc w:val="center"/>
              <w:rPr>
                <w:rFonts w:ascii="宋体" w:hAnsi="宋体" w:eastAsia="宋体" w:cs="宋体"/>
                <w:b/>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备注</w:t>
            </w:r>
            <w:r/>
          </w:p>
        </w:tc>
      </w:tr>
      <w:tr>
        <w:trPr/>
        <w:tc>
          <w:tcPr>
            <w:tcW w:w="783" w:type="dxa"/>
            <w:vAlign w:val="center"/>
            <w:textDirection w:val="lrTb"/>
            <w:noWrap w:val="false"/>
          </w:tcPr>
          <w:p>
            <w:pPr>
              <w:pStyle w:val="831"/>
              <w:jc w:val="center"/>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w:t>
            </w:r>
            <w:r/>
          </w:p>
        </w:tc>
        <w:tc>
          <w:tcPr>
            <w:tcW w:w="1651" w:type="dxa"/>
            <w:vAlign w:val="center"/>
            <w:textDirection w:val="lrTb"/>
            <w:noWrap w:val="false"/>
          </w:tcPr>
          <w:p>
            <w:pPr>
              <w:pStyle w:val="831"/>
              <w:jc w:val="center"/>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变压器</w:t>
            </w:r>
            <w:r/>
          </w:p>
        </w:tc>
        <w:tc>
          <w:tcPr>
            <w:tcW w:w="3894" w:type="dxa"/>
            <w:vAlign w:val="center"/>
            <w:textDirection w:val="lrTb"/>
            <w:noWrap w:val="false"/>
          </w:tcPr>
          <w:p>
            <w:pPr>
              <w:pStyle w:val="831"/>
              <w:jc w:val="center"/>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干式变压器，SCB14-1000kVA 10/0.4kV,10±2*2.5%/0.4kV,D,yn11,Uk=6%，二级能效</w:t>
            </w:r>
            <w:r/>
          </w:p>
        </w:tc>
        <w:tc>
          <w:tcPr>
            <w:tcW w:w="783" w:type="dxa"/>
            <w:vAlign w:val="center"/>
            <w:textDirection w:val="lrTb"/>
            <w:noWrap w:val="false"/>
          </w:tcPr>
          <w:p>
            <w:pPr>
              <w:pStyle w:val="831"/>
              <w:jc w:val="center"/>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台</w:t>
            </w:r>
            <w:r/>
          </w:p>
        </w:tc>
        <w:tc>
          <w:tcPr>
            <w:tcW w:w="792" w:type="dxa"/>
            <w:vAlign w:val="center"/>
            <w:textDirection w:val="lrTb"/>
            <w:noWrap w:val="false"/>
          </w:tcPr>
          <w:p>
            <w:pPr>
              <w:pStyle w:val="831"/>
              <w:jc w:val="center"/>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w:t>
            </w:r>
            <w:r/>
          </w:p>
        </w:tc>
        <w:tc>
          <w:tcPr>
            <w:tcW w:w="1452" w:type="dxa"/>
            <w:vAlign w:val="center"/>
            <w:textDirection w:val="lrTb"/>
            <w:noWrap w:val="false"/>
          </w:tcPr>
          <w:p>
            <w:pPr>
              <w:pStyle w:val="831"/>
              <w:jc w:val="center"/>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含减震装置</w:t>
            </w:r>
            <w:r/>
          </w:p>
        </w:tc>
      </w:tr>
      <w:tr>
        <w:trPr/>
        <w:tc>
          <w:tcPr>
            <w:tcW w:w="783" w:type="dxa"/>
            <w:vAlign w:val="center"/>
            <w:textDirection w:val="lrTb"/>
            <w:noWrap w:val="false"/>
          </w:tcPr>
          <w:p>
            <w:pPr>
              <w:pStyle w:val="831"/>
              <w:jc w:val="center"/>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w:t>
            </w:r>
            <w:r/>
          </w:p>
        </w:tc>
        <w:tc>
          <w:tcPr>
            <w:tcW w:w="1651" w:type="dxa"/>
            <w:vAlign w:val="center"/>
            <w:textDirection w:val="lrTb"/>
            <w:noWrap w:val="false"/>
          </w:tcPr>
          <w:p>
            <w:pPr>
              <w:pStyle w:val="831"/>
              <w:jc w:val="center"/>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变压器柜</w:t>
            </w:r>
            <w:r/>
          </w:p>
        </w:tc>
        <w:tc>
          <w:tcPr>
            <w:tcW w:w="3894" w:type="dxa"/>
            <w:vAlign w:val="center"/>
            <w:textDirection w:val="lrTb"/>
            <w:noWrap w:val="false"/>
          </w:tcPr>
          <w:p>
            <w:pPr>
              <w:pStyle w:val="831"/>
              <w:jc w:val="center"/>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ZBN2-10</w:t>
            </w:r>
            <w:r/>
          </w:p>
        </w:tc>
        <w:tc>
          <w:tcPr>
            <w:tcW w:w="783" w:type="dxa"/>
            <w:vAlign w:val="center"/>
            <w:textDirection w:val="lrTb"/>
            <w:noWrap w:val="false"/>
          </w:tcPr>
          <w:p>
            <w:pPr>
              <w:pStyle w:val="831"/>
              <w:jc w:val="center"/>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台</w:t>
            </w:r>
            <w:r/>
          </w:p>
        </w:tc>
        <w:tc>
          <w:tcPr>
            <w:tcW w:w="792" w:type="dxa"/>
            <w:vAlign w:val="center"/>
            <w:textDirection w:val="lrTb"/>
            <w:noWrap w:val="false"/>
          </w:tcPr>
          <w:p>
            <w:pPr>
              <w:pStyle w:val="831"/>
              <w:jc w:val="center"/>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w:t>
            </w:r>
            <w:r/>
          </w:p>
        </w:tc>
        <w:tc>
          <w:tcPr>
            <w:tcW w:w="1452" w:type="dxa"/>
            <w:vAlign w:val="center"/>
            <w:textDirection w:val="lrTb"/>
            <w:noWrap w:val="false"/>
          </w:tcPr>
          <w:p>
            <w:pPr>
              <w:pStyle w:val="831"/>
              <w:jc w:val="center"/>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含软连接及连接铜排</w:t>
            </w:r>
            <w:r/>
          </w:p>
        </w:tc>
      </w:tr>
      <w:tr>
        <w:trPr/>
        <w:tc>
          <w:tcPr>
            <w:tcW w:w="783" w:type="dxa"/>
            <w:vAlign w:val="center"/>
            <w:textDirection w:val="lrTb"/>
            <w:noWrap w:val="false"/>
          </w:tcPr>
          <w:p>
            <w:pPr>
              <w:pStyle w:val="831"/>
              <w:jc w:val="center"/>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w:t>
            </w:r>
            <w:r/>
          </w:p>
        </w:tc>
        <w:tc>
          <w:tcPr>
            <w:tcW w:w="1651" w:type="dxa"/>
            <w:vAlign w:val="center"/>
            <w:textDirection w:val="lrTb"/>
            <w:noWrap w:val="false"/>
          </w:tcPr>
          <w:p>
            <w:pPr>
              <w:pStyle w:val="831"/>
              <w:jc w:val="center"/>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10kV进线柜</w:t>
            </w:r>
            <w:r/>
          </w:p>
        </w:tc>
        <w:tc>
          <w:tcPr>
            <w:tcW w:w="3894" w:type="dxa"/>
            <w:vAlign w:val="center"/>
            <w:textDirection w:val="lrTb"/>
            <w:noWrap w:val="false"/>
          </w:tcPr>
          <w:p>
            <w:pPr>
              <w:pStyle w:val="831"/>
              <w:jc w:val="center"/>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SM6-IMP（高压柜）</w:t>
            </w:r>
            <w:r/>
          </w:p>
        </w:tc>
        <w:tc>
          <w:tcPr>
            <w:tcW w:w="783" w:type="dxa"/>
            <w:vAlign w:val="center"/>
            <w:textDirection w:val="lrTb"/>
            <w:noWrap w:val="false"/>
          </w:tcPr>
          <w:p>
            <w:pPr>
              <w:pStyle w:val="831"/>
              <w:jc w:val="center"/>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台</w:t>
            </w:r>
            <w:r/>
          </w:p>
        </w:tc>
        <w:tc>
          <w:tcPr>
            <w:tcW w:w="792" w:type="dxa"/>
            <w:vAlign w:val="center"/>
            <w:textDirection w:val="lrTb"/>
            <w:noWrap w:val="false"/>
          </w:tcPr>
          <w:p>
            <w:pPr>
              <w:pStyle w:val="831"/>
              <w:jc w:val="center"/>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w:t>
            </w:r>
            <w:r/>
          </w:p>
        </w:tc>
        <w:tc>
          <w:tcPr>
            <w:tcW w:w="1452" w:type="dxa"/>
            <w:vAlign w:val="center"/>
            <w:textDirection w:val="lrTb"/>
            <w:noWrap w:val="false"/>
          </w:tcPr>
          <w:p>
            <w:pPr>
              <w:pStyle w:val="831"/>
              <w:jc w:val="center"/>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r>
        <w:trPr/>
        <w:tc>
          <w:tcPr>
            <w:tcW w:w="783" w:type="dxa"/>
            <w:vAlign w:val="center"/>
            <w:textDirection w:val="lrTb"/>
            <w:noWrap w:val="false"/>
          </w:tcPr>
          <w:p>
            <w:pPr>
              <w:pStyle w:val="831"/>
              <w:jc w:val="center"/>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w:t>
            </w:r>
            <w:r/>
          </w:p>
        </w:tc>
        <w:tc>
          <w:tcPr>
            <w:tcW w:w="1651" w:type="dxa"/>
            <w:vAlign w:val="center"/>
            <w:textDirection w:val="lrTb"/>
            <w:noWrap w:val="false"/>
          </w:tcPr>
          <w:p>
            <w:pPr>
              <w:pStyle w:val="831"/>
              <w:jc w:val="center"/>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10kV出线柜</w:t>
            </w:r>
            <w:r/>
          </w:p>
        </w:tc>
        <w:tc>
          <w:tcPr>
            <w:tcW w:w="3894" w:type="dxa"/>
            <w:vAlign w:val="center"/>
            <w:textDirection w:val="lrTb"/>
            <w:noWrap w:val="false"/>
          </w:tcPr>
          <w:p>
            <w:pPr>
              <w:pStyle w:val="831"/>
              <w:jc w:val="center"/>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SM6-QM（高压柜）</w:t>
            </w:r>
            <w:r/>
          </w:p>
        </w:tc>
        <w:tc>
          <w:tcPr>
            <w:tcW w:w="783" w:type="dxa"/>
            <w:vAlign w:val="center"/>
            <w:textDirection w:val="lrTb"/>
            <w:noWrap w:val="false"/>
          </w:tcPr>
          <w:p>
            <w:pPr>
              <w:pStyle w:val="831"/>
              <w:jc w:val="center"/>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台</w:t>
            </w:r>
            <w:r/>
          </w:p>
        </w:tc>
        <w:tc>
          <w:tcPr>
            <w:tcW w:w="792" w:type="dxa"/>
            <w:vAlign w:val="center"/>
            <w:textDirection w:val="lrTb"/>
            <w:noWrap w:val="false"/>
          </w:tcPr>
          <w:p>
            <w:pPr>
              <w:pStyle w:val="831"/>
              <w:jc w:val="center"/>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w:t>
            </w:r>
            <w:r/>
          </w:p>
        </w:tc>
        <w:tc>
          <w:tcPr>
            <w:tcW w:w="1452" w:type="dxa"/>
            <w:vAlign w:val="center"/>
            <w:textDirection w:val="lrTb"/>
            <w:noWrap w:val="false"/>
          </w:tcPr>
          <w:p>
            <w:pPr>
              <w:pStyle w:val="831"/>
              <w:jc w:val="center"/>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r>
        <w:trPr/>
        <w:tc>
          <w:tcPr>
            <w:tcW w:w="783" w:type="dxa"/>
            <w:vAlign w:val="center"/>
            <w:textDirection w:val="lrTb"/>
            <w:noWrap w:val="false"/>
          </w:tcPr>
          <w:p>
            <w:pPr>
              <w:pStyle w:val="831"/>
              <w:jc w:val="center"/>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5</w:t>
            </w:r>
            <w:r/>
          </w:p>
        </w:tc>
        <w:tc>
          <w:tcPr>
            <w:tcW w:w="1651" w:type="dxa"/>
            <w:vAlign w:val="center"/>
            <w:textDirection w:val="lrTb"/>
            <w:noWrap w:val="false"/>
          </w:tcPr>
          <w:p>
            <w:pPr>
              <w:pStyle w:val="831"/>
              <w:jc w:val="center"/>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低压进线柜</w:t>
            </w:r>
            <w:r/>
          </w:p>
        </w:tc>
        <w:tc>
          <w:tcPr>
            <w:tcW w:w="3894" w:type="dxa"/>
            <w:vAlign w:val="center"/>
            <w:textDirection w:val="lrTb"/>
            <w:noWrap w:val="false"/>
          </w:tcPr>
          <w:p>
            <w:pPr>
              <w:pStyle w:val="831"/>
              <w:jc w:val="center"/>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低压原厂柜</w:t>
            </w:r>
            <w:r/>
          </w:p>
        </w:tc>
        <w:tc>
          <w:tcPr>
            <w:tcW w:w="783" w:type="dxa"/>
            <w:vAlign w:val="center"/>
            <w:textDirection w:val="lrTb"/>
            <w:noWrap w:val="false"/>
          </w:tcPr>
          <w:p>
            <w:pPr>
              <w:pStyle w:val="831"/>
              <w:jc w:val="center"/>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台</w:t>
            </w:r>
            <w:r/>
          </w:p>
        </w:tc>
        <w:tc>
          <w:tcPr>
            <w:tcW w:w="792" w:type="dxa"/>
            <w:vAlign w:val="center"/>
            <w:textDirection w:val="lrTb"/>
            <w:noWrap w:val="false"/>
          </w:tcPr>
          <w:p>
            <w:pPr>
              <w:pStyle w:val="831"/>
              <w:jc w:val="center"/>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w:t>
            </w:r>
            <w:r/>
          </w:p>
        </w:tc>
        <w:tc>
          <w:tcPr>
            <w:tcW w:w="1452" w:type="dxa"/>
            <w:vAlign w:val="center"/>
            <w:textDirection w:val="lrTb"/>
            <w:noWrap w:val="false"/>
          </w:tcPr>
          <w:p>
            <w:pPr>
              <w:pStyle w:val="831"/>
              <w:jc w:val="center"/>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r>
        <w:trPr/>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6</w:t>
            </w:r>
            <w:r/>
          </w:p>
        </w:tc>
        <w:tc>
          <w:tcPr>
            <w:tcW w:w="1651"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低压出线柜</w:t>
            </w:r>
            <w:r/>
          </w:p>
        </w:tc>
        <w:tc>
          <w:tcPr>
            <w:tcW w:w="3894"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低压原厂柜</w:t>
            </w:r>
            <w:r/>
          </w:p>
        </w:tc>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台</w:t>
            </w:r>
            <w:r/>
          </w:p>
        </w:tc>
        <w:tc>
          <w:tcPr>
            <w:tcW w:w="79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7</w:t>
            </w:r>
            <w:r/>
          </w:p>
        </w:tc>
        <w:tc>
          <w:tcPr>
            <w:tcW w:w="145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r>
      <w:tr>
        <w:trPr/>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7</w:t>
            </w:r>
            <w:r/>
          </w:p>
        </w:tc>
        <w:tc>
          <w:tcPr>
            <w:tcW w:w="1651"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低压母联柜</w:t>
            </w:r>
            <w:r/>
          </w:p>
        </w:tc>
        <w:tc>
          <w:tcPr>
            <w:tcW w:w="3894"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低压原厂柜</w:t>
            </w:r>
            <w:r/>
          </w:p>
        </w:tc>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台</w:t>
            </w:r>
            <w:r/>
          </w:p>
        </w:tc>
        <w:tc>
          <w:tcPr>
            <w:tcW w:w="79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145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r>
      <w:tr>
        <w:trPr/>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8</w:t>
            </w:r>
            <w:r/>
          </w:p>
        </w:tc>
        <w:tc>
          <w:tcPr>
            <w:tcW w:w="1651"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电容柜</w:t>
            </w:r>
            <w:r/>
          </w:p>
        </w:tc>
        <w:tc>
          <w:tcPr>
            <w:tcW w:w="3894"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300kVar</w:t>
            </w:r>
            <w:r/>
          </w:p>
        </w:tc>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套</w:t>
            </w:r>
            <w:r/>
          </w:p>
        </w:tc>
        <w:tc>
          <w:tcPr>
            <w:tcW w:w="79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w:t>
            </w:r>
            <w:r/>
          </w:p>
        </w:tc>
        <w:tc>
          <w:tcPr>
            <w:tcW w:w="145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一套2台，共4台</w:t>
            </w:r>
            <w:r/>
          </w:p>
        </w:tc>
      </w:tr>
      <w:tr>
        <w:trPr/>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9</w:t>
            </w:r>
            <w:r/>
          </w:p>
        </w:tc>
        <w:tc>
          <w:tcPr>
            <w:tcW w:w="1651"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电力监控系统及智能管理单元</w:t>
            </w:r>
            <w:r/>
          </w:p>
        </w:tc>
        <w:tc>
          <w:tcPr>
            <w:tcW w:w="3894"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套</w:t>
            </w:r>
            <w:r/>
          </w:p>
        </w:tc>
        <w:tc>
          <w:tcPr>
            <w:tcW w:w="79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1452" w:type="dxa"/>
            <w:vAlign w:val="center"/>
            <w:textDirection w:val="lrTb"/>
            <w:noWrap w:val="false"/>
          </w:tcPr>
          <w:p>
            <w:pPr>
              <w:pStyle w:val="831"/>
              <w:jc w:val="both"/>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r>
      <w:tr>
        <w:trPr/>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10</w:t>
            </w:r>
            <w:r/>
          </w:p>
        </w:tc>
        <w:tc>
          <w:tcPr>
            <w:tcW w:w="1651"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密集型母线槽</w:t>
            </w:r>
            <w:r/>
          </w:p>
        </w:tc>
        <w:tc>
          <w:tcPr>
            <w:tcW w:w="3894"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2000A，三相五线制</w:t>
            </w:r>
            <w:r/>
          </w:p>
        </w:tc>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米</w:t>
            </w:r>
            <w:r/>
          </w:p>
        </w:tc>
        <w:tc>
          <w:tcPr>
            <w:tcW w:w="79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12</w:t>
            </w:r>
            <w:r/>
          </w:p>
        </w:tc>
        <w:tc>
          <w:tcPr>
            <w:tcW w:w="145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2套，每套6米</w:t>
            </w:r>
            <w:r/>
          </w:p>
        </w:tc>
      </w:tr>
      <w:tr>
        <w:trPr/>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11</w:t>
            </w:r>
            <w:r/>
          </w:p>
        </w:tc>
        <w:tc>
          <w:tcPr>
            <w:tcW w:w="1651"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风筒</w:t>
            </w:r>
            <w:r/>
          </w:p>
        </w:tc>
        <w:tc>
          <w:tcPr>
            <w:tcW w:w="3894"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400*400</w:t>
            </w:r>
            <w:r/>
          </w:p>
        </w:tc>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米</w:t>
            </w:r>
            <w:r/>
          </w:p>
        </w:tc>
        <w:tc>
          <w:tcPr>
            <w:tcW w:w="79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28</w:t>
            </w:r>
            <w:r/>
          </w:p>
        </w:tc>
        <w:tc>
          <w:tcPr>
            <w:tcW w:w="145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2套，每套14米</w:t>
            </w:r>
            <w:r/>
          </w:p>
        </w:tc>
      </w:tr>
      <w:tr>
        <w:trPr/>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12</w:t>
            </w:r>
            <w:r/>
          </w:p>
        </w:tc>
        <w:tc>
          <w:tcPr>
            <w:tcW w:w="1651"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风机</w:t>
            </w:r>
            <w:r/>
          </w:p>
        </w:tc>
        <w:tc>
          <w:tcPr>
            <w:tcW w:w="3894"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AC220V，550W，转速1450r/min，流量5870m/h,</w:t>
            </w:r>
            <w:r/>
          </w:p>
        </w:tc>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套</w:t>
            </w:r>
            <w:r/>
          </w:p>
        </w:tc>
        <w:tc>
          <w:tcPr>
            <w:tcW w:w="79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w:t>
            </w:r>
            <w:r/>
          </w:p>
        </w:tc>
        <w:tc>
          <w:tcPr>
            <w:tcW w:w="145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r>
      <w:tr>
        <w:trPr/>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13</w:t>
            </w:r>
            <w:r/>
          </w:p>
        </w:tc>
        <w:tc>
          <w:tcPr>
            <w:tcW w:w="1651"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风机控制箱</w:t>
            </w:r>
            <w:r/>
          </w:p>
        </w:tc>
        <w:tc>
          <w:tcPr>
            <w:tcW w:w="3894"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含风机控制箱及附件</w:t>
            </w:r>
            <w:r/>
          </w:p>
        </w:tc>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个</w:t>
            </w:r>
            <w:r/>
          </w:p>
        </w:tc>
        <w:tc>
          <w:tcPr>
            <w:tcW w:w="79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w:t>
            </w:r>
            <w:r/>
          </w:p>
        </w:tc>
        <w:tc>
          <w:tcPr>
            <w:tcW w:w="145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r>
      <w:tr>
        <w:trPr/>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14</w:t>
            </w:r>
            <w:r/>
          </w:p>
        </w:tc>
        <w:tc>
          <w:tcPr>
            <w:tcW w:w="1651"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变压器中性点接地线</w:t>
            </w:r>
            <w:r/>
          </w:p>
        </w:tc>
        <w:tc>
          <w:tcPr>
            <w:tcW w:w="3894"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VV-1.0-1*150</w:t>
            </w:r>
            <w:r/>
          </w:p>
        </w:tc>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米</w:t>
            </w:r>
            <w:r/>
          </w:p>
        </w:tc>
        <w:tc>
          <w:tcPr>
            <w:tcW w:w="79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30</w:t>
            </w:r>
            <w:r/>
          </w:p>
        </w:tc>
        <w:tc>
          <w:tcPr>
            <w:tcW w:w="145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2根，配罗帽、垫圈</w:t>
            </w:r>
            <w:r/>
          </w:p>
        </w:tc>
      </w:tr>
      <w:tr>
        <w:trPr/>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15</w:t>
            </w:r>
            <w:r/>
          </w:p>
        </w:tc>
        <w:tc>
          <w:tcPr>
            <w:tcW w:w="1651"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槽钢</w:t>
            </w:r>
            <w:r/>
          </w:p>
        </w:tc>
        <w:tc>
          <w:tcPr>
            <w:tcW w:w="3894"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C10</w:t>
            </w:r>
            <w:r/>
          </w:p>
        </w:tc>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米</w:t>
            </w:r>
            <w:r/>
          </w:p>
        </w:tc>
        <w:tc>
          <w:tcPr>
            <w:tcW w:w="79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50</w:t>
            </w:r>
            <w:r/>
          </w:p>
        </w:tc>
        <w:tc>
          <w:tcPr>
            <w:tcW w:w="1452" w:type="dxa"/>
            <w:vAlign w:val="center"/>
            <w:textDirection w:val="lrTb"/>
            <w:noWrap w:val="false"/>
          </w:tcPr>
          <w:p>
            <w:pPr>
              <w:pStyle w:val="831"/>
              <w:jc w:val="both"/>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r>
      <w:tr>
        <w:trPr/>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16</w:t>
            </w:r>
            <w:r/>
          </w:p>
        </w:tc>
        <w:tc>
          <w:tcPr>
            <w:tcW w:w="1651"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角钢</w:t>
            </w:r>
            <w:r/>
          </w:p>
        </w:tc>
        <w:tc>
          <w:tcPr>
            <w:tcW w:w="3894"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∠50*5</w:t>
            </w:r>
            <w:r/>
          </w:p>
        </w:tc>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米</w:t>
            </w:r>
            <w:r/>
          </w:p>
        </w:tc>
        <w:tc>
          <w:tcPr>
            <w:tcW w:w="79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200</w:t>
            </w:r>
            <w:r/>
          </w:p>
        </w:tc>
        <w:tc>
          <w:tcPr>
            <w:tcW w:w="1452" w:type="dxa"/>
            <w:vAlign w:val="center"/>
            <w:textDirection w:val="lrTb"/>
            <w:noWrap w:val="false"/>
          </w:tcPr>
          <w:p>
            <w:pPr>
              <w:pStyle w:val="831"/>
              <w:jc w:val="both"/>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r>
      <w:tr>
        <w:trPr/>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17</w:t>
            </w:r>
            <w:r/>
          </w:p>
        </w:tc>
        <w:tc>
          <w:tcPr>
            <w:tcW w:w="1651"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花纹钢板</w:t>
            </w:r>
            <w:r/>
          </w:p>
        </w:tc>
        <w:tc>
          <w:tcPr>
            <w:tcW w:w="3894"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δ=6m㎡</w:t>
            </w:r>
            <w:r/>
          </w:p>
        </w:tc>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w:t>
            </w:r>
            <w:r/>
          </w:p>
        </w:tc>
        <w:tc>
          <w:tcPr>
            <w:tcW w:w="79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50</w:t>
            </w:r>
            <w:r/>
          </w:p>
        </w:tc>
        <w:tc>
          <w:tcPr>
            <w:tcW w:w="1452" w:type="dxa"/>
            <w:vAlign w:val="center"/>
            <w:textDirection w:val="lrTb"/>
            <w:noWrap w:val="false"/>
          </w:tcPr>
          <w:p>
            <w:pPr>
              <w:pStyle w:val="831"/>
              <w:jc w:val="both"/>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r>
      <w:tr>
        <w:trPr/>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18</w:t>
            </w:r>
            <w:r/>
          </w:p>
        </w:tc>
        <w:tc>
          <w:tcPr>
            <w:tcW w:w="1651"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接地扁钢（热镀锌）</w:t>
            </w:r>
            <w:r/>
          </w:p>
        </w:tc>
        <w:tc>
          <w:tcPr>
            <w:tcW w:w="3894"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-50*6</w:t>
            </w:r>
            <w:r/>
          </w:p>
        </w:tc>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米</w:t>
            </w:r>
            <w:r/>
          </w:p>
        </w:tc>
        <w:tc>
          <w:tcPr>
            <w:tcW w:w="79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100</w:t>
            </w:r>
            <w:r/>
          </w:p>
        </w:tc>
        <w:tc>
          <w:tcPr>
            <w:tcW w:w="1452" w:type="dxa"/>
            <w:vAlign w:val="center"/>
            <w:textDirection w:val="lrTb"/>
            <w:noWrap w:val="false"/>
          </w:tcPr>
          <w:p>
            <w:pPr>
              <w:pStyle w:val="831"/>
              <w:jc w:val="both"/>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r>
      <w:tr>
        <w:trPr/>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19</w:t>
            </w:r>
            <w:r/>
          </w:p>
        </w:tc>
        <w:tc>
          <w:tcPr>
            <w:tcW w:w="1651"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门口防鼠装置</w:t>
            </w:r>
            <w:r/>
          </w:p>
        </w:tc>
        <w:tc>
          <w:tcPr>
            <w:tcW w:w="3894"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套</w:t>
            </w:r>
            <w:r/>
          </w:p>
        </w:tc>
        <w:tc>
          <w:tcPr>
            <w:tcW w:w="79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w:t>
            </w:r>
            <w:r/>
          </w:p>
        </w:tc>
        <w:tc>
          <w:tcPr>
            <w:tcW w:w="1452" w:type="dxa"/>
            <w:vAlign w:val="center"/>
            <w:textDirection w:val="lrTb"/>
            <w:noWrap w:val="false"/>
          </w:tcPr>
          <w:p>
            <w:pPr>
              <w:pStyle w:val="831"/>
              <w:jc w:val="both"/>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r>
      <w:tr>
        <w:trPr/>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20</w:t>
            </w:r>
            <w:r/>
          </w:p>
        </w:tc>
        <w:tc>
          <w:tcPr>
            <w:tcW w:w="1651"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高压电缆</w:t>
            </w:r>
            <w:r/>
          </w:p>
        </w:tc>
        <w:tc>
          <w:tcPr>
            <w:tcW w:w="3894"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ZC-YJV22-8.7/15kV-3*70</w:t>
            </w:r>
            <w:r/>
          </w:p>
        </w:tc>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米</w:t>
            </w:r>
            <w:r/>
          </w:p>
        </w:tc>
        <w:tc>
          <w:tcPr>
            <w:tcW w:w="79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20</w:t>
            </w:r>
            <w:r/>
          </w:p>
        </w:tc>
        <w:tc>
          <w:tcPr>
            <w:tcW w:w="145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2根</w:t>
            </w:r>
            <w:r/>
          </w:p>
        </w:tc>
      </w:tr>
      <w:tr>
        <w:trPr/>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21</w:t>
            </w:r>
            <w:r/>
          </w:p>
        </w:tc>
        <w:tc>
          <w:tcPr>
            <w:tcW w:w="1651"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高压电缆头</w:t>
            </w:r>
            <w:r/>
          </w:p>
        </w:tc>
        <w:tc>
          <w:tcPr>
            <w:tcW w:w="3894"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10kV户内型，冷缩终端，3*70，铜</w:t>
            </w:r>
            <w:r/>
          </w:p>
        </w:tc>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套</w:t>
            </w:r>
            <w:r/>
          </w:p>
        </w:tc>
        <w:tc>
          <w:tcPr>
            <w:tcW w:w="79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6</w:t>
            </w:r>
            <w:r/>
          </w:p>
        </w:tc>
        <w:tc>
          <w:tcPr>
            <w:tcW w:w="145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含附件</w:t>
            </w:r>
            <w:r/>
          </w:p>
        </w:tc>
      </w:tr>
      <w:tr>
        <w:trPr/>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22</w:t>
            </w:r>
            <w:r/>
          </w:p>
        </w:tc>
        <w:tc>
          <w:tcPr>
            <w:tcW w:w="1651"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控制电缆</w:t>
            </w:r>
            <w:r/>
          </w:p>
        </w:tc>
        <w:tc>
          <w:tcPr>
            <w:tcW w:w="3894"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KVVP2-0.45/0.75-6*2.5</w:t>
            </w:r>
            <w:r/>
          </w:p>
        </w:tc>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米</w:t>
            </w:r>
            <w:r/>
          </w:p>
        </w:tc>
        <w:tc>
          <w:tcPr>
            <w:tcW w:w="79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230</w:t>
            </w:r>
            <w:r/>
          </w:p>
        </w:tc>
        <w:tc>
          <w:tcPr>
            <w:tcW w:w="145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r>
      <w:tr>
        <w:trPr/>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23</w:t>
            </w:r>
            <w:r/>
          </w:p>
        </w:tc>
        <w:tc>
          <w:tcPr>
            <w:tcW w:w="1651"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槽钢防锈处理</w:t>
            </w:r>
            <w:r/>
          </w:p>
        </w:tc>
        <w:tc>
          <w:tcPr>
            <w:tcW w:w="3894"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槽钢防锈处理并刷防锈漆</w:t>
            </w:r>
            <w:r/>
          </w:p>
        </w:tc>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米</w:t>
            </w:r>
            <w:r/>
          </w:p>
        </w:tc>
        <w:tc>
          <w:tcPr>
            <w:tcW w:w="79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70</w:t>
            </w:r>
            <w:r/>
          </w:p>
        </w:tc>
        <w:tc>
          <w:tcPr>
            <w:tcW w:w="145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根据实际情况确定</w:t>
            </w:r>
            <w:r/>
          </w:p>
        </w:tc>
      </w:tr>
      <w:tr>
        <w:trPr/>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24</w:t>
            </w:r>
            <w:r/>
          </w:p>
        </w:tc>
        <w:tc>
          <w:tcPr>
            <w:tcW w:w="1651"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模拟图板</w:t>
            </w:r>
            <w:r/>
          </w:p>
        </w:tc>
        <w:tc>
          <w:tcPr>
            <w:tcW w:w="3894"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电子显示屏，宽2.5米、高1.8米</w:t>
            </w:r>
            <w:r/>
          </w:p>
        </w:tc>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块</w:t>
            </w:r>
            <w:r/>
          </w:p>
        </w:tc>
        <w:tc>
          <w:tcPr>
            <w:tcW w:w="79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145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定制</w:t>
            </w:r>
            <w:r/>
          </w:p>
        </w:tc>
      </w:tr>
      <w:tr>
        <w:trPr/>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25</w:t>
            </w:r>
            <w:r/>
          </w:p>
        </w:tc>
        <w:tc>
          <w:tcPr>
            <w:tcW w:w="1651"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规章制度牌</w:t>
            </w:r>
            <w:r/>
          </w:p>
        </w:tc>
        <w:tc>
          <w:tcPr>
            <w:tcW w:w="3894"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套</w:t>
            </w:r>
            <w:r/>
          </w:p>
        </w:tc>
        <w:tc>
          <w:tcPr>
            <w:tcW w:w="79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1452" w:type="dxa"/>
            <w:vAlign w:val="center"/>
            <w:textDirection w:val="lrTb"/>
            <w:noWrap w:val="false"/>
          </w:tcPr>
          <w:p>
            <w:pPr>
              <w:pStyle w:val="831"/>
              <w:jc w:val="both"/>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r>
      <w:tr>
        <w:trPr/>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26</w:t>
            </w:r>
            <w:r/>
          </w:p>
        </w:tc>
        <w:tc>
          <w:tcPr>
            <w:tcW w:w="1651"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绝缘垫</w:t>
            </w:r>
            <w:r/>
          </w:p>
        </w:tc>
        <w:tc>
          <w:tcPr>
            <w:tcW w:w="3894"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每卷5米</w:t>
            </w:r>
            <w:r/>
          </w:p>
        </w:tc>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卷</w:t>
            </w:r>
            <w:r/>
          </w:p>
        </w:tc>
        <w:tc>
          <w:tcPr>
            <w:tcW w:w="79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12</w:t>
            </w:r>
            <w:r/>
          </w:p>
        </w:tc>
        <w:tc>
          <w:tcPr>
            <w:tcW w:w="1452" w:type="dxa"/>
            <w:vAlign w:val="center"/>
            <w:textDirection w:val="lrTb"/>
            <w:noWrap w:val="false"/>
          </w:tcPr>
          <w:p>
            <w:pPr>
              <w:pStyle w:val="831"/>
              <w:jc w:val="both"/>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r>
      <w:tr>
        <w:trPr/>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27</w:t>
            </w:r>
            <w:r/>
          </w:p>
        </w:tc>
        <w:tc>
          <w:tcPr>
            <w:tcW w:w="1651"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配电房智慧巡检系统</w:t>
            </w:r>
            <w:r/>
          </w:p>
        </w:tc>
        <w:tc>
          <w:tcPr>
            <w:tcW w:w="3894"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套</w:t>
            </w:r>
            <w:r/>
          </w:p>
        </w:tc>
        <w:tc>
          <w:tcPr>
            <w:tcW w:w="79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1452" w:type="dxa"/>
            <w:vAlign w:val="center"/>
            <w:textDirection w:val="lrTb"/>
            <w:noWrap w:val="false"/>
          </w:tcPr>
          <w:p>
            <w:pPr>
              <w:pStyle w:val="831"/>
              <w:jc w:val="both"/>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r>
      <w:tr>
        <w:trPr/>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28</w:t>
            </w:r>
            <w:r/>
          </w:p>
        </w:tc>
        <w:tc>
          <w:tcPr>
            <w:tcW w:w="1651"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低压电缆终端</w:t>
            </w:r>
            <w:r/>
          </w:p>
        </w:tc>
        <w:tc>
          <w:tcPr>
            <w:tcW w:w="3894"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更换22个出线回路共24套低压电缆终端</w:t>
            </w:r>
            <w:r/>
          </w:p>
        </w:tc>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套</w:t>
            </w:r>
            <w:r/>
          </w:p>
        </w:tc>
        <w:tc>
          <w:tcPr>
            <w:tcW w:w="79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24</w:t>
            </w:r>
            <w:r/>
          </w:p>
        </w:tc>
        <w:tc>
          <w:tcPr>
            <w:tcW w:w="145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见低压电缆终端更换清单</w:t>
            </w:r>
            <w:r/>
          </w:p>
        </w:tc>
      </w:tr>
      <w:tr>
        <w:trPr/>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29</w:t>
            </w:r>
            <w:r/>
          </w:p>
        </w:tc>
        <w:tc>
          <w:tcPr>
            <w:tcW w:w="1651"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无线测温系统</w:t>
            </w:r>
            <w:r/>
          </w:p>
        </w:tc>
        <w:tc>
          <w:tcPr>
            <w:tcW w:w="3894"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套</w:t>
            </w:r>
            <w:r/>
          </w:p>
        </w:tc>
        <w:tc>
          <w:tcPr>
            <w:tcW w:w="79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1452" w:type="dxa"/>
            <w:vAlign w:val="center"/>
            <w:textDirection w:val="lrTb"/>
            <w:noWrap w:val="false"/>
          </w:tcPr>
          <w:p>
            <w:pPr>
              <w:pStyle w:val="831"/>
              <w:jc w:val="both"/>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r>
    </w:tbl>
    <w:p>
      <w:pPr>
        <w:pStyle w:val="831"/>
        <w:ind w:firstLine="421"/>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bookmarkStart w:id="23" w:name="_Toc224663316"/>
      <w:r>
        <w:rPr>
          <w:rFonts w:hint="eastAsia" w:ascii="宋体" w:hAnsi="宋体" w:eastAsia="宋体" w:cs="宋体"/>
          <w:color w:val="000000"/>
        </w:rPr>
        <w:t xml:space="preserve">2.低压电缆终端更换清单</w:t>
      </w:r>
      <w:bookmarkEnd w:id="23"/>
      <w:r>
        <w:rPr>
          <w:rFonts w:hint="eastAsia" w:ascii="宋体" w:hAnsi="宋体" w:eastAsia="宋体" w:cs="宋体"/>
          <w:color w:val="000000"/>
        </w:rPr>
      </w:r>
      <w:r/>
    </w:p>
    <w:tbl>
      <w:tblPr>
        <w:tblW w:w="933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0"/>
        <w:gridCol w:w="1399"/>
        <w:gridCol w:w="1816"/>
        <w:gridCol w:w="2218"/>
        <w:gridCol w:w="683"/>
        <w:gridCol w:w="648"/>
        <w:gridCol w:w="1800"/>
      </w:tblGrid>
      <w:tr>
        <w:trPr>
          <w:tblHeader/>
        </w:trPr>
        <w:tc>
          <w:tcPr>
            <w:tcW w:w="770" w:type="dxa"/>
            <w:vAlign w:val="center"/>
            <w:textDirection w:val="lrTb"/>
            <w:noWrap w:val="false"/>
          </w:tcPr>
          <w:p>
            <w:pPr>
              <w:pStyle w:val="831"/>
              <w:jc w:val="center"/>
              <w:rPr>
                <w:rFonts w:hint="eastAsia" w:ascii="宋体" w:hAnsi="宋体" w:eastAsia="宋体" w:cs="宋体"/>
                <w:b/>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序号</w:t>
            </w:r>
            <w:r/>
          </w:p>
        </w:tc>
        <w:tc>
          <w:tcPr>
            <w:tcW w:w="1399" w:type="dxa"/>
            <w:vAlign w:val="center"/>
            <w:textDirection w:val="lrTb"/>
            <w:noWrap w:val="false"/>
          </w:tcPr>
          <w:p>
            <w:pPr>
              <w:pStyle w:val="831"/>
              <w:jc w:val="center"/>
              <w:rPr>
                <w:rFonts w:hint="eastAsia" w:ascii="宋体" w:hAnsi="宋体" w:eastAsia="宋体" w:cs="宋体"/>
                <w:b/>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负荷名称</w:t>
            </w:r>
            <w:r/>
          </w:p>
        </w:tc>
        <w:tc>
          <w:tcPr>
            <w:tcW w:w="1816" w:type="dxa"/>
            <w:vAlign w:val="center"/>
            <w:textDirection w:val="lrTb"/>
            <w:noWrap w:val="false"/>
          </w:tcPr>
          <w:p>
            <w:pPr>
              <w:pStyle w:val="831"/>
              <w:jc w:val="center"/>
              <w:rPr>
                <w:rFonts w:hint="eastAsia" w:ascii="宋体" w:hAnsi="宋体" w:eastAsia="宋体" w:cs="宋体"/>
                <w:b/>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原出线电缆规格</w:t>
            </w:r>
            <w:r/>
          </w:p>
        </w:tc>
        <w:tc>
          <w:tcPr>
            <w:tcW w:w="2218" w:type="dxa"/>
            <w:vAlign w:val="center"/>
            <w:textDirection w:val="lrTb"/>
            <w:noWrap w:val="false"/>
          </w:tcPr>
          <w:p>
            <w:pPr>
              <w:pStyle w:val="831"/>
              <w:jc w:val="center"/>
              <w:rPr>
                <w:rFonts w:hint="eastAsia" w:ascii="宋体" w:hAnsi="宋体" w:eastAsia="宋体" w:cs="宋体"/>
                <w:b/>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电缆终端规格</w:t>
            </w:r>
            <w:r/>
          </w:p>
        </w:tc>
        <w:tc>
          <w:tcPr>
            <w:tcW w:w="683" w:type="dxa"/>
            <w:vAlign w:val="center"/>
            <w:textDirection w:val="lrTb"/>
            <w:noWrap w:val="false"/>
          </w:tcPr>
          <w:p>
            <w:pPr>
              <w:pStyle w:val="831"/>
              <w:jc w:val="center"/>
              <w:rPr>
                <w:rFonts w:hint="eastAsia" w:ascii="宋体" w:hAnsi="宋体" w:eastAsia="宋体" w:cs="宋体"/>
                <w:b/>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单位</w:t>
            </w:r>
            <w:r/>
          </w:p>
        </w:tc>
        <w:tc>
          <w:tcPr>
            <w:tcW w:w="648" w:type="dxa"/>
            <w:vAlign w:val="center"/>
            <w:textDirection w:val="lrTb"/>
            <w:noWrap w:val="false"/>
          </w:tcPr>
          <w:p>
            <w:pPr>
              <w:pStyle w:val="831"/>
              <w:jc w:val="center"/>
              <w:rPr>
                <w:rFonts w:hint="eastAsia" w:ascii="宋体" w:hAnsi="宋体" w:eastAsia="宋体" w:cs="宋体"/>
                <w:b/>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数量</w:t>
            </w:r>
            <w:r/>
          </w:p>
        </w:tc>
        <w:tc>
          <w:tcPr>
            <w:tcW w:w="1800" w:type="dxa"/>
            <w:vAlign w:val="center"/>
            <w:textDirection w:val="lrTb"/>
            <w:noWrap w:val="false"/>
          </w:tcPr>
          <w:p>
            <w:pPr>
              <w:pStyle w:val="831"/>
              <w:jc w:val="center"/>
              <w:rPr>
                <w:rFonts w:hint="eastAsia" w:ascii="宋体" w:hAnsi="宋体" w:eastAsia="宋体" w:cs="宋体"/>
                <w:b/>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柜号</w:t>
            </w:r>
            <w:r/>
          </w:p>
        </w:tc>
      </w:tr>
      <w:tr>
        <w:trPr/>
        <w:tc>
          <w:tcPr>
            <w:tcW w:w="77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1399"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一层北空调</w:t>
            </w:r>
            <w:r/>
          </w:p>
        </w:tc>
        <w:tc>
          <w:tcPr>
            <w:tcW w:w="1816"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YJV-0.6/1kV-5*95</w:t>
            </w:r>
            <w:r/>
          </w:p>
        </w:tc>
        <w:tc>
          <w:tcPr>
            <w:tcW w:w="221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1kV电缆终端，5*95，户内终端，冷缩，铜</w:t>
            </w:r>
            <w:r/>
          </w:p>
        </w:tc>
        <w:tc>
          <w:tcPr>
            <w:tcW w:w="6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套</w:t>
            </w:r>
            <w:r/>
          </w:p>
        </w:tc>
        <w:tc>
          <w:tcPr>
            <w:tcW w:w="64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180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1AA4（原11G）</w:t>
            </w:r>
            <w:r/>
          </w:p>
        </w:tc>
      </w:tr>
      <w:tr>
        <w:trPr/>
        <w:tc>
          <w:tcPr>
            <w:tcW w:w="77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w:t>
            </w:r>
            <w:r/>
          </w:p>
        </w:tc>
        <w:tc>
          <w:tcPr>
            <w:tcW w:w="1399"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AL11</w:t>
            </w:r>
            <w:r/>
          </w:p>
        </w:tc>
        <w:tc>
          <w:tcPr>
            <w:tcW w:w="1816"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YJV-0.6/1kV-5*95</w:t>
            </w:r>
            <w:r/>
          </w:p>
        </w:tc>
        <w:tc>
          <w:tcPr>
            <w:tcW w:w="221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1kV电缆终端，5*95，户内终端，冷缩，铜</w:t>
            </w:r>
            <w:r/>
          </w:p>
        </w:tc>
        <w:tc>
          <w:tcPr>
            <w:tcW w:w="6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套</w:t>
            </w:r>
            <w:r/>
          </w:p>
        </w:tc>
        <w:tc>
          <w:tcPr>
            <w:tcW w:w="64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180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1AA4（原11G）</w:t>
            </w:r>
            <w:r/>
          </w:p>
        </w:tc>
      </w:tr>
      <w:tr>
        <w:trPr/>
        <w:tc>
          <w:tcPr>
            <w:tcW w:w="77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3</w:t>
            </w:r>
            <w:r/>
          </w:p>
        </w:tc>
        <w:tc>
          <w:tcPr>
            <w:tcW w:w="1399"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AL31</w:t>
            </w:r>
            <w:r/>
          </w:p>
        </w:tc>
        <w:tc>
          <w:tcPr>
            <w:tcW w:w="1816"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YJV-0.6/1kV-5*70</w:t>
            </w:r>
            <w:r/>
          </w:p>
        </w:tc>
        <w:tc>
          <w:tcPr>
            <w:tcW w:w="221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1kV电缆终端，5*70，户内终端，冷缩，铜</w:t>
            </w:r>
            <w:r/>
          </w:p>
        </w:tc>
        <w:tc>
          <w:tcPr>
            <w:tcW w:w="6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套</w:t>
            </w:r>
            <w:r/>
          </w:p>
        </w:tc>
        <w:tc>
          <w:tcPr>
            <w:tcW w:w="64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180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1AA4（原11G）</w:t>
            </w:r>
            <w:r/>
          </w:p>
        </w:tc>
      </w:tr>
      <w:tr>
        <w:trPr/>
        <w:tc>
          <w:tcPr>
            <w:tcW w:w="77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4</w:t>
            </w:r>
            <w:r/>
          </w:p>
        </w:tc>
        <w:tc>
          <w:tcPr>
            <w:tcW w:w="1399"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AL51</w:t>
            </w:r>
            <w:r/>
          </w:p>
        </w:tc>
        <w:tc>
          <w:tcPr>
            <w:tcW w:w="1816"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YJV-0.6/1kV-5*70</w:t>
            </w:r>
            <w:r/>
          </w:p>
        </w:tc>
        <w:tc>
          <w:tcPr>
            <w:tcW w:w="221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1kV电缆终端，5*70，户内终端，冷缩，铜</w:t>
            </w:r>
            <w:r/>
          </w:p>
        </w:tc>
        <w:tc>
          <w:tcPr>
            <w:tcW w:w="6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套</w:t>
            </w:r>
            <w:r/>
          </w:p>
        </w:tc>
        <w:tc>
          <w:tcPr>
            <w:tcW w:w="64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180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1AA4（原11G）</w:t>
            </w:r>
            <w:r/>
          </w:p>
        </w:tc>
      </w:tr>
      <w:tr>
        <w:trPr/>
        <w:tc>
          <w:tcPr>
            <w:tcW w:w="77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5</w:t>
            </w:r>
            <w:r/>
          </w:p>
        </w:tc>
        <w:tc>
          <w:tcPr>
            <w:tcW w:w="1399"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ALK31</w:t>
            </w:r>
            <w:r/>
          </w:p>
        </w:tc>
        <w:tc>
          <w:tcPr>
            <w:tcW w:w="1816"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YJV-0.6/1kV-5*70</w:t>
            </w:r>
            <w:r/>
          </w:p>
        </w:tc>
        <w:tc>
          <w:tcPr>
            <w:tcW w:w="221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1kV电缆终端，5*70，户内终端，冷缩，铜</w:t>
            </w:r>
            <w:r/>
          </w:p>
        </w:tc>
        <w:tc>
          <w:tcPr>
            <w:tcW w:w="6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套</w:t>
            </w:r>
            <w:r/>
          </w:p>
        </w:tc>
        <w:tc>
          <w:tcPr>
            <w:tcW w:w="64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180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1AA4（原11G）</w:t>
            </w:r>
            <w:r/>
          </w:p>
        </w:tc>
      </w:tr>
      <w:tr>
        <w:trPr/>
        <w:tc>
          <w:tcPr>
            <w:tcW w:w="77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6</w:t>
            </w:r>
            <w:r/>
          </w:p>
        </w:tc>
        <w:tc>
          <w:tcPr>
            <w:tcW w:w="1399"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一层南空调</w:t>
            </w:r>
            <w:r/>
          </w:p>
        </w:tc>
        <w:tc>
          <w:tcPr>
            <w:tcW w:w="1816"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YJV-0.6/1kV-5*95</w:t>
            </w:r>
            <w:r/>
          </w:p>
        </w:tc>
        <w:tc>
          <w:tcPr>
            <w:tcW w:w="221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1kV电缆终端，5*95，户内终端，冷缩，铜</w:t>
            </w:r>
            <w:r/>
          </w:p>
        </w:tc>
        <w:tc>
          <w:tcPr>
            <w:tcW w:w="6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套</w:t>
            </w:r>
            <w:r/>
          </w:p>
        </w:tc>
        <w:tc>
          <w:tcPr>
            <w:tcW w:w="64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180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1AA4（原11G）</w:t>
            </w:r>
            <w:r/>
          </w:p>
        </w:tc>
      </w:tr>
      <w:tr>
        <w:trPr/>
        <w:tc>
          <w:tcPr>
            <w:tcW w:w="77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7</w:t>
            </w:r>
            <w:r/>
          </w:p>
        </w:tc>
        <w:tc>
          <w:tcPr>
            <w:tcW w:w="1399"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AEL11</w:t>
            </w:r>
            <w:r/>
          </w:p>
        </w:tc>
        <w:tc>
          <w:tcPr>
            <w:tcW w:w="1816"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YJV-0.6/1kV-5*50</w:t>
            </w:r>
            <w:r/>
          </w:p>
        </w:tc>
        <w:tc>
          <w:tcPr>
            <w:tcW w:w="221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1kV电缆终端，5*50，户内终端，冷缩，铜</w:t>
            </w:r>
            <w:r/>
          </w:p>
        </w:tc>
        <w:tc>
          <w:tcPr>
            <w:tcW w:w="6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套</w:t>
            </w:r>
            <w:r/>
          </w:p>
        </w:tc>
        <w:tc>
          <w:tcPr>
            <w:tcW w:w="64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180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1AA5（原15G）</w:t>
            </w:r>
            <w:r/>
          </w:p>
        </w:tc>
      </w:tr>
      <w:tr>
        <w:trPr/>
        <w:tc>
          <w:tcPr>
            <w:tcW w:w="77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8</w:t>
            </w:r>
            <w:r/>
          </w:p>
        </w:tc>
        <w:tc>
          <w:tcPr>
            <w:tcW w:w="1399"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ALK51</w:t>
            </w:r>
            <w:r/>
          </w:p>
        </w:tc>
        <w:tc>
          <w:tcPr>
            <w:tcW w:w="1816"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YJV-0.6/1kV-5*70</w:t>
            </w:r>
            <w:r/>
          </w:p>
        </w:tc>
        <w:tc>
          <w:tcPr>
            <w:tcW w:w="221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1kV电缆终端，5*70，户内终端，冷缩，铜</w:t>
            </w:r>
            <w:r/>
          </w:p>
        </w:tc>
        <w:tc>
          <w:tcPr>
            <w:tcW w:w="6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套</w:t>
            </w:r>
            <w:r/>
          </w:p>
        </w:tc>
        <w:tc>
          <w:tcPr>
            <w:tcW w:w="64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180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1AA5（原15G）</w:t>
            </w:r>
            <w:r/>
          </w:p>
        </w:tc>
      </w:tr>
      <w:tr>
        <w:trPr/>
        <w:tc>
          <w:tcPr>
            <w:tcW w:w="77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9</w:t>
            </w:r>
            <w:r/>
          </w:p>
        </w:tc>
        <w:tc>
          <w:tcPr>
            <w:tcW w:w="1399"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专二楼AL01柜</w:t>
            </w:r>
            <w:r/>
          </w:p>
        </w:tc>
        <w:tc>
          <w:tcPr>
            <w:tcW w:w="1816"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2*(YJV-0.6/1kV-5*150)</w:t>
            </w:r>
            <w:r/>
          </w:p>
        </w:tc>
        <w:tc>
          <w:tcPr>
            <w:tcW w:w="221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1kV电缆终端，5*150，户内终端，冷缩，铜</w:t>
            </w:r>
            <w:r/>
          </w:p>
        </w:tc>
        <w:tc>
          <w:tcPr>
            <w:tcW w:w="6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套</w:t>
            </w:r>
            <w:r/>
          </w:p>
        </w:tc>
        <w:tc>
          <w:tcPr>
            <w:tcW w:w="64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w:t>
            </w:r>
            <w:r/>
          </w:p>
        </w:tc>
        <w:tc>
          <w:tcPr>
            <w:tcW w:w="180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1AA5（原15G）</w:t>
            </w:r>
            <w:r/>
          </w:p>
        </w:tc>
      </w:tr>
      <w:tr>
        <w:trPr/>
        <w:tc>
          <w:tcPr>
            <w:tcW w:w="77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10</w:t>
            </w:r>
            <w:r/>
          </w:p>
        </w:tc>
        <w:tc>
          <w:tcPr>
            <w:tcW w:w="1399"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专二机房</w:t>
            </w:r>
            <w:r/>
          </w:p>
        </w:tc>
        <w:tc>
          <w:tcPr>
            <w:tcW w:w="1816"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YJV-0.6/1kV-5*185</w:t>
            </w:r>
            <w:r/>
          </w:p>
        </w:tc>
        <w:tc>
          <w:tcPr>
            <w:tcW w:w="221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1kV电缆终端，5*185，户内终端，冷缩，铜</w:t>
            </w:r>
            <w:r/>
          </w:p>
        </w:tc>
        <w:tc>
          <w:tcPr>
            <w:tcW w:w="6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套</w:t>
            </w:r>
            <w:r/>
          </w:p>
        </w:tc>
        <w:tc>
          <w:tcPr>
            <w:tcW w:w="64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180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1AA6（原17G）</w:t>
            </w:r>
            <w:r/>
          </w:p>
        </w:tc>
      </w:tr>
      <w:tr>
        <w:trPr/>
        <w:tc>
          <w:tcPr>
            <w:tcW w:w="77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11</w:t>
            </w:r>
            <w:r/>
          </w:p>
        </w:tc>
        <w:tc>
          <w:tcPr>
            <w:tcW w:w="1399"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专二楼AL03柜</w:t>
            </w:r>
            <w:r/>
          </w:p>
        </w:tc>
        <w:tc>
          <w:tcPr>
            <w:tcW w:w="1816"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YJV-0.6/1kV-5*185</w:t>
            </w:r>
            <w:r/>
          </w:p>
        </w:tc>
        <w:tc>
          <w:tcPr>
            <w:tcW w:w="221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1kV电缆终端，5*185，户内终端，冷缩，铜</w:t>
            </w:r>
            <w:r/>
          </w:p>
        </w:tc>
        <w:tc>
          <w:tcPr>
            <w:tcW w:w="6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套</w:t>
            </w:r>
            <w:r/>
          </w:p>
        </w:tc>
        <w:tc>
          <w:tcPr>
            <w:tcW w:w="64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180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1AA6（原17G）</w:t>
            </w:r>
            <w:r/>
          </w:p>
        </w:tc>
      </w:tr>
      <w:tr>
        <w:trPr/>
        <w:tc>
          <w:tcPr>
            <w:tcW w:w="77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12</w:t>
            </w:r>
            <w:r/>
          </w:p>
        </w:tc>
        <w:tc>
          <w:tcPr>
            <w:tcW w:w="1399"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AL21二层照明</w:t>
            </w:r>
            <w:r/>
          </w:p>
        </w:tc>
        <w:tc>
          <w:tcPr>
            <w:tcW w:w="1816"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YJV-0.6/1kV-5*70</w:t>
            </w:r>
            <w:r/>
          </w:p>
        </w:tc>
        <w:tc>
          <w:tcPr>
            <w:tcW w:w="221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1kV电缆终端，5*70，户内终端，冷缩，铜</w:t>
            </w:r>
            <w:r/>
          </w:p>
        </w:tc>
        <w:tc>
          <w:tcPr>
            <w:tcW w:w="6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套</w:t>
            </w:r>
            <w:r/>
          </w:p>
        </w:tc>
        <w:tc>
          <w:tcPr>
            <w:tcW w:w="64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180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2AA4（原12G）</w:t>
            </w:r>
            <w:r/>
          </w:p>
        </w:tc>
      </w:tr>
      <w:tr>
        <w:trPr/>
        <w:tc>
          <w:tcPr>
            <w:tcW w:w="77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13</w:t>
            </w:r>
            <w:r/>
          </w:p>
        </w:tc>
        <w:tc>
          <w:tcPr>
            <w:tcW w:w="1399"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AL41</w:t>
            </w:r>
            <w:r/>
          </w:p>
        </w:tc>
        <w:tc>
          <w:tcPr>
            <w:tcW w:w="1816"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YJV-0.6/1kV-5*70</w:t>
            </w:r>
            <w:r/>
          </w:p>
        </w:tc>
        <w:tc>
          <w:tcPr>
            <w:tcW w:w="221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1kV电缆终端，5*70，户内终端，冷缩，铜</w:t>
            </w:r>
            <w:r/>
          </w:p>
        </w:tc>
        <w:tc>
          <w:tcPr>
            <w:tcW w:w="6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套</w:t>
            </w:r>
            <w:r/>
          </w:p>
        </w:tc>
        <w:tc>
          <w:tcPr>
            <w:tcW w:w="64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180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2AA4（原12G）</w:t>
            </w:r>
            <w:r/>
          </w:p>
        </w:tc>
      </w:tr>
      <w:tr>
        <w:trPr/>
        <w:tc>
          <w:tcPr>
            <w:tcW w:w="77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14</w:t>
            </w:r>
            <w:r/>
          </w:p>
        </w:tc>
        <w:tc>
          <w:tcPr>
            <w:tcW w:w="1399"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ALK21</w:t>
            </w:r>
            <w:r/>
          </w:p>
        </w:tc>
        <w:tc>
          <w:tcPr>
            <w:tcW w:w="1816"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YJV-0.6/1kV-5*95</w:t>
            </w:r>
            <w:r/>
          </w:p>
        </w:tc>
        <w:tc>
          <w:tcPr>
            <w:tcW w:w="221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1kV电缆终端，5*95，户内终端，冷缩，铜</w:t>
            </w:r>
            <w:r/>
          </w:p>
        </w:tc>
        <w:tc>
          <w:tcPr>
            <w:tcW w:w="6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套</w:t>
            </w:r>
            <w:r/>
          </w:p>
        </w:tc>
        <w:tc>
          <w:tcPr>
            <w:tcW w:w="64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180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2AA4（原12G）</w:t>
            </w:r>
            <w:r/>
          </w:p>
        </w:tc>
      </w:tr>
      <w:tr>
        <w:trPr/>
        <w:tc>
          <w:tcPr>
            <w:tcW w:w="77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15</w:t>
            </w:r>
            <w:r/>
          </w:p>
        </w:tc>
        <w:tc>
          <w:tcPr>
            <w:tcW w:w="1399"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AEL11事故照明</w:t>
            </w:r>
            <w:r/>
          </w:p>
        </w:tc>
        <w:tc>
          <w:tcPr>
            <w:tcW w:w="1816"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YJV-0.6/1kV-5*50</w:t>
            </w:r>
            <w:r/>
          </w:p>
        </w:tc>
        <w:tc>
          <w:tcPr>
            <w:tcW w:w="221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1kV电缆终端，5*50，户内终端，冷缩，铜</w:t>
            </w:r>
            <w:r/>
          </w:p>
        </w:tc>
        <w:tc>
          <w:tcPr>
            <w:tcW w:w="6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套</w:t>
            </w:r>
            <w:r/>
          </w:p>
        </w:tc>
        <w:tc>
          <w:tcPr>
            <w:tcW w:w="64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180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2AA5（原16G）</w:t>
            </w:r>
            <w:r/>
          </w:p>
        </w:tc>
      </w:tr>
      <w:tr>
        <w:trPr/>
        <w:tc>
          <w:tcPr>
            <w:tcW w:w="77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16</w:t>
            </w:r>
            <w:r/>
          </w:p>
        </w:tc>
        <w:tc>
          <w:tcPr>
            <w:tcW w:w="1399"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ALK41四层空调</w:t>
            </w:r>
            <w:r/>
          </w:p>
        </w:tc>
        <w:tc>
          <w:tcPr>
            <w:tcW w:w="1816"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YJV-0.6/1kV-5*50</w:t>
            </w:r>
            <w:r/>
          </w:p>
        </w:tc>
        <w:tc>
          <w:tcPr>
            <w:tcW w:w="221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1kV电缆终端，5*50，户内终端，冷缩，铜</w:t>
            </w:r>
            <w:r/>
          </w:p>
        </w:tc>
        <w:tc>
          <w:tcPr>
            <w:tcW w:w="683" w:type="dxa"/>
            <w:vAlign w:val="center"/>
            <w:textDirection w:val="lrTb"/>
            <w:noWrap w:val="false"/>
          </w:tcPr>
          <w:p>
            <w:pPr>
              <w:pStyle w:val="831"/>
              <w:jc w:val="cente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套</w:t>
            </w:r>
            <w:r/>
          </w:p>
        </w:tc>
        <w:tc>
          <w:tcPr>
            <w:tcW w:w="64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180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2AA5（原16G）</w:t>
            </w:r>
            <w:r/>
          </w:p>
        </w:tc>
      </w:tr>
      <w:tr>
        <w:trPr/>
        <w:tc>
          <w:tcPr>
            <w:tcW w:w="77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17</w:t>
            </w:r>
            <w:r/>
          </w:p>
        </w:tc>
        <w:tc>
          <w:tcPr>
            <w:tcW w:w="1399"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专二楼AL02柜</w:t>
            </w:r>
            <w:r/>
          </w:p>
        </w:tc>
        <w:tc>
          <w:tcPr>
            <w:tcW w:w="1816"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2*(YJV-0.6/1kV-5*150)</w:t>
            </w:r>
            <w:r/>
          </w:p>
        </w:tc>
        <w:tc>
          <w:tcPr>
            <w:tcW w:w="221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1kV电缆终端，5*150，户内终端，冷缩，铜</w:t>
            </w:r>
            <w:r/>
          </w:p>
        </w:tc>
        <w:tc>
          <w:tcPr>
            <w:tcW w:w="6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套</w:t>
            </w:r>
            <w:r/>
          </w:p>
        </w:tc>
        <w:tc>
          <w:tcPr>
            <w:tcW w:w="64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w:t>
            </w:r>
            <w:r/>
          </w:p>
        </w:tc>
        <w:tc>
          <w:tcPr>
            <w:tcW w:w="180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2AA5（原16G）</w:t>
            </w:r>
            <w:r/>
          </w:p>
        </w:tc>
      </w:tr>
      <w:tr>
        <w:trPr/>
        <w:tc>
          <w:tcPr>
            <w:tcW w:w="77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18</w:t>
            </w:r>
            <w:r/>
          </w:p>
        </w:tc>
        <w:tc>
          <w:tcPr>
            <w:tcW w:w="1399"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专二机房</w:t>
            </w:r>
            <w:r/>
          </w:p>
        </w:tc>
        <w:tc>
          <w:tcPr>
            <w:tcW w:w="1816"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YJV-0.6/1kV-5*185</w:t>
            </w:r>
            <w:r/>
          </w:p>
        </w:tc>
        <w:tc>
          <w:tcPr>
            <w:tcW w:w="221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1kV电缆终端，5*185，户内终端，冷缩，铜</w:t>
            </w:r>
            <w:r/>
          </w:p>
        </w:tc>
        <w:tc>
          <w:tcPr>
            <w:tcW w:w="6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套</w:t>
            </w:r>
            <w:r/>
          </w:p>
        </w:tc>
        <w:tc>
          <w:tcPr>
            <w:tcW w:w="64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180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2AA6（原18G）</w:t>
            </w:r>
            <w:r/>
          </w:p>
        </w:tc>
      </w:tr>
      <w:tr>
        <w:trPr/>
        <w:tc>
          <w:tcPr>
            <w:tcW w:w="77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19</w:t>
            </w:r>
            <w:r/>
          </w:p>
        </w:tc>
        <w:tc>
          <w:tcPr>
            <w:tcW w:w="1399"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专二楼AL04柜</w:t>
            </w:r>
            <w:r/>
          </w:p>
        </w:tc>
        <w:tc>
          <w:tcPr>
            <w:tcW w:w="1816"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YJV-0.6/1kV-5*185</w:t>
            </w:r>
            <w:r/>
          </w:p>
        </w:tc>
        <w:tc>
          <w:tcPr>
            <w:tcW w:w="221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1kV电缆终端，5*185，户内终端，冷缩，铜</w:t>
            </w:r>
            <w:r/>
          </w:p>
        </w:tc>
        <w:tc>
          <w:tcPr>
            <w:tcW w:w="6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套</w:t>
            </w:r>
            <w:r/>
          </w:p>
        </w:tc>
        <w:tc>
          <w:tcPr>
            <w:tcW w:w="64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180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2AA6（原18G）</w:t>
            </w:r>
            <w:r/>
          </w:p>
        </w:tc>
      </w:tr>
      <w:tr>
        <w:trPr/>
        <w:tc>
          <w:tcPr>
            <w:tcW w:w="77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20</w:t>
            </w:r>
            <w:r/>
          </w:p>
        </w:tc>
        <w:tc>
          <w:tcPr>
            <w:tcW w:w="1399"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AP22</w:t>
            </w:r>
            <w:r/>
          </w:p>
        </w:tc>
        <w:tc>
          <w:tcPr>
            <w:tcW w:w="1816"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YJV-0.6/1kV-5*95</w:t>
            </w:r>
            <w:r/>
          </w:p>
        </w:tc>
        <w:tc>
          <w:tcPr>
            <w:tcW w:w="221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1kV电缆终端，5*95，户内终端，冷缩，铜</w:t>
            </w:r>
            <w:r/>
          </w:p>
        </w:tc>
        <w:tc>
          <w:tcPr>
            <w:tcW w:w="6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套</w:t>
            </w:r>
            <w:r/>
          </w:p>
        </w:tc>
        <w:tc>
          <w:tcPr>
            <w:tcW w:w="64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180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2AA7（原20G）</w:t>
            </w:r>
            <w:r/>
          </w:p>
        </w:tc>
      </w:tr>
      <w:tr>
        <w:trPr/>
        <w:tc>
          <w:tcPr>
            <w:tcW w:w="77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21</w:t>
            </w:r>
            <w:r/>
          </w:p>
        </w:tc>
        <w:tc>
          <w:tcPr>
            <w:tcW w:w="1399"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AP61</w:t>
            </w:r>
            <w:r/>
          </w:p>
        </w:tc>
        <w:tc>
          <w:tcPr>
            <w:tcW w:w="1816"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YJV-0.6/1kV-5*25</w:t>
            </w:r>
            <w:r/>
          </w:p>
        </w:tc>
        <w:tc>
          <w:tcPr>
            <w:tcW w:w="221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1kV电缆终端，5*25，户内终端，冷缩，铜</w:t>
            </w:r>
            <w:r/>
          </w:p>
        </w:tc>
        <w:tc>
          <w:tcPr>
            <w:tcW w:w="6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套</w:t>
            </w:r>
            <w:r/>
          </w:p>
        </w:tc>
        <w:tc>
          <w:tcPr>
            <w:tcW w:w="64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180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2AA7（原20G）</w:t>
            </w:r>
            <w:r/>
          </w:p>
        </w:tc>
      </w:tr>
      <w:tr>
        <w:trPr/>
        <w:tc>
          <w:tcPr>
            <w:tcW w:w="77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22</w:t>
            </w:r>
            <w:r/>
          </w:p>
        </w:tc>
        <w:tc>
          <w:tcPr>
            <w:tcW w:w="1399"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AP21</w:t>
            </w:r>
            <w:r/>
          </w:p>
        </w:tc>
        <w:tc>
          <w:tcPr>
            <w:tcW w:w="1816"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YJV-0.6/1kV-5*70</w:t>
            </w:r>
            <w:r/>
          </w:p>
        </w:tc>
        <w:tc>
          <w:tcPr>
            <w:tcW w:w="221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1kV电缆终端，5*70，户内终端，冷缩，铜</w:t>
            </w:r>
            <w:r/>
          </w:p>
        </w:tc>
        <w:tc>
          <w:tcPr>
            <w:tcW w:w="6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套</w:t>
            </w:r>
            <w:r/>
          </w:p>
        </w:tc>
        <w:tc>
          <w:tcPr>
            <w:tcW w:w="64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180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2AA7（原20G）</w:t>
            </w:r>
            <w:r/>
          </w:p>
        </w:tc>
      </w:tr>
    </w:tbl>
    <w:p>
      <w:pPr>
        <w:pStyle w:val="833"/>
        <w:ind w:firstLine="420"/>
        <w:jc w:val="both"/>
        <w:rPr>
          <w:rFonts w:hint="eastAsia" w:ascii="宋体" w:hAnsi="宋体" w:eastAsia="宋体" w:cs="宋体"/>
          <w:color w:val="000000"/>
          <w:sz w:val="21"/>
        </w:rPr>
      </w:pPr>
      <w:r/>
      <w:bookmarkStart w:id="24" w:name="_Toc224663317"/>
      <w:r>
        <w:rPr>
          <w:rFonts w:hint="eastAsia" w:ascii="宋体" w:hAnsi="宋体" w:eastAsia="宋体" w:cs="宋体"/>
          <w:color w:val="000000"/>
          <w:sz w:val="21"/>
        </w:rPr>
        <w:t xml:space="preserve">3.安全器具清单</w:t>
      </w:r>
      <w:bookmarkEnd w:id="24"/>
      <w:r>
        <w:rPr>
          <w:rFonts w:hint="eastAsia" w:ascii="宋体" w:hAnsi="宋体" w:eastAsia="宋体" w:cs="宋体"/>
          <w:color w:val="000000"/>
          <w:sz w:val="21"/>
        </w:rPr>
        <w:tab/>
      </w:r>
      <w:r/>
    </w:p>
    <w:tbl>
      <w:tblPr>
        <w:tblW w:w="893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2"/>
        <w:gridCol w:w="1787"/>
        <w:gridCol w:w="2497"/>
        <w:gridCol w:w="1075"/>
        <w:gridCol w:w="1075"/>
        <w:gridCol w:w="1431"/>
      </w:tblGrid>
      <w:tr>
        <w:trPr>
          <w:tblHeader/>
        </w:trPr>
        <w:tc>
          <w:tcPr>
            <w:tcW w:w="1072" w:type="auto"/>
            <w:vAlign w:val="center"/>
            <w:textDirection w:val="lrTb"/>
            <w:noWrap w:val="false"/>
          </w:tcPr>
          <w:p>
            <w:pPr>
              <w:pStyle w:val="831"/>
              <w:jc w:val="center"/>
              <w:rPr>
                <w:rFonts w:hint="eastAsia" w:ascii="宋体" w:hAnsi="宋体" w:eastAsia="宋体" w:cs="宋体"/>
                <w:b/>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序号</w:t>
            </w:r>
            <w:r/>
          </w:p>
        </w:tc>
        <w:tc>
          <w:tcPr>
            <w:tcW w:w="1787" w:type="auto"/>
            <w:vAlign w:val="center"/>
            <w:textDirection w:val="lrTb"/>
            <w:noWrap w:val="false"/>
          </w:tcPr>
          <w:p>
            <w:pPr>
              <w:pStyle w:val="831"/>
              <w:jc w:val="center"/>
              <w:rPr>
                <w:rFonts w:hint="eastAsia" w:ascii="宋体" w:hAnsi="宋体" w:eastAsia="宋体" w:cs="宋体"/>
                <w:b/>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名称</w:t>
            </w:r>
            <w:r/>
          </w:p>
        </w:tc>
        <w:tc>
          <w:tcPr>
            <w:tcW w:w="2497" w:type="auto"/>
            <w:vAlign w:val="center"/>
            <w:textDirection w:val="lrTb"/>
            <w:noWrap w:val="false"/>
          </w:tcPr>
          <w:p>
            <w:pPr>
              <w:pStyle w:val="831"/>
              <w:jc w:val="center"/>
              <w:rPr>
                <w:rFonts w:hint="eastAsia" w:ascii="宋体" w:hAnsi="宋体" w:eastAsia="宋体" w:cs="宋体"/>
                <w:b/>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规格</w:t>
            </w:r>
            <w:r/>
          </w:p>
        </w:tc>
        <w:tc>
          <w:tcPr>
            <w:tcW w:w="1075" w:type="auto"/>
            <w:vAlign w:val="center"/>
            <w:textDirection w:val="lrTb"/>
            <w:noWrap w:val="false"/>
          </w:tcPr>
          <w:p>
            <w:pPr>
              <w:pStyle w:val="831"/>
              <w:jc w:val="center"/>
              <w:rPr>
                <w:rFonts w:hint="eastAsia" w:ascii="宋体" w:hAnsi="宋体" w:eastAsia="宋体" w:cs="宋体"/>
                <w:b/>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单位</w:t>
            </w:r>
            <w:r/>
          </w:p>
        </w:tc>
        <w:tc>
          <w:tcPr>
            <w:tcW w:w="1075" w:type="auto"/>
            <w:vAlign w:val="center"/>
            <w:textDirection w:val="lrTb"/>
            <w:noWrap w:val="false"/>
          </w:tcPr>
          <w:p>
            <w:pPr>
              <w:pStyle w:val="831"/>
              <w:jc w:val="center"/>
              <w:rPr>
                <w:rFonts w:hint="eastAsia" w:ascii="宋体" w:hAnsi="宋体" w:eastAsia="宋体" w:cs="宋体"/>
                <w:b/>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数量</w:t>
            </w:r>
            <w:r/>
          </w:p>
        </w:tc>
        <w:tc>
          <w:tcPr>
            <w:tcW w:w="1431" w:type="dxa"/>
            <w:vAlign w:val="center"/>
            <w:textDirection w:val="lrTb"/>
            <w:noWrap w:val="false"/>
          </w:tcPr>
          <w:p>
            <w:pPr>
              <w:pStyle w:val="831"/>
              <w:jc w:val="center"/>
              <w:rPr>
                <w:rFonts w:hint="eastAsia" w:ascii="宋体" w:hAnsi="宋体" w:eastAsia="宋体" w:cs="宋体"/>
                <w:b/>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备注</w:t>
            </w:r>
            <w:r/>
          </w:p>
        </w:tc>
      </w:tr>
      <w:tr>
        <w:trPr/>
        <w:tc>
          <w:tcPr>
            <w:tcW w:w="1072"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1787"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绝缘靴</w:t>
            </w:r>
            <w:r/>
          </w:p>
        </w:tc>
        <w:tc>
          <w:tcPr>
            <w:tcW w:w="2497"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W w:w="1075"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双</w:t>
            </w:r>
            <w:r/>
          </w:p>
        </w:tc>
        <w:tc>
          <w:tcPr>
            <w:tcW w:w="1075"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w:t>
            </w:r>
            <w:r/>
          </w:p>
        </w:tc>
        <w:tc>
          <w:tcPr>
            <w:tcW w:w="1431"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r>
      <w:tr>
        <w:trPr/>
        <w:tc>
          <w:tcPr>
            <w:tcW w:w="1072"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w:t>
            </w:r>
            <w:r/>
          </w:p>
        </w:tc>
        <w:tc>
          <w:tcPr>
            <w:tcW w:w="1787"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绝缘手套</w:t>
            </w:r>
            <w:r/>
          </w:p>
        </w:tc>
        <w:tc>
          <w:tcPr>
            <w:tcW w:w="2497"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W w:w="1075"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付</w:t>
            </w:r>
            <w:r/>
          </w:p>
        </w:tc>
        <w:tc>
          <w:tcPr>
            <w:tcW w:w="1075"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w:t>
            </w:r>
            <w:r/>
          </w:p>
        </w:tc>
        <w:tc>
          <w:tcPr>
            <w:tcW w:w="1431"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r>
      <w:tr>
        <w:trPr/>
        <w:tc>
          <w:tcPr>
            <w:tcW w:w="1072"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3</w:t>
            </w:r>
            <w:r/>
          </w:p>
        </w:tc>
        <w:tc>
          <w:tcPr>
            <w:tcW w:w="1787"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验电笔</w:t>
            </w:r>
            <w:r/>
          </w:p>
        </w:tc>
        <w:tc>
          <w:tcPr>
            <w:tcW w:w="2497"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W w:w="1075"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支</w:t>
            </w:r>
            <w:r/>
          </w:p>
        </w:tc>
        <w:tc>
          <w:tcPr>
            <w:tcW w:w="1075"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1431"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r>
      <w:tr>
        <w:trPr/>
        <w:tc>
          <w:tcPr>
            <w:tcW w:w="1072"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4</w:t>
            </w:r>
            <w:r/>
          </w:p>
        </w:tc>
        <w:tc>
          <w:tcPr>
            <w:tcW w:w="1787"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接地棒</w:t>
            </w:r>
            <w:r/>
          </w:p>
        </w:tc>
        <w:tc>
          <w:tcPr>
            <w:tcW w:w="2497"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含接地连接线</w:t>
            </w:r>
            <w:r/>
          </w:p>
        </w:tc>
        <w:tc>
          <w:tcPr>
            <w:tcW w:w="1075"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付</w:t>
            </w:r>
            <w:r/>
          </w:p>
        </w:tc>
        <w:tc>
          <w:tcPr>
            <w:tcW w:w="1075"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1431"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r>
      <w:tr>
        <w:trPr/>
        <w:tc>
          <w:tcPr>
            <w:tcW w:w="1072"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5</w:t>
            </w:r>
            <w:r/>
          </w:p>
        </w:tc>
        <w:tc>
          <w:tcPr>
            <w:tcW w:w="1787"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绝缘摇表</w:t>
            </w:r>
            <w:r/>
          </w:p>
        </w:tc>
        <w:tc>
          <w:tcPr>
            <w:tcW w:w="2497"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2500r</w:t>
            </w:r>
            <w:r/>
          </w:p>
        </w:tc>
        <w:tc>
          <w:tcPr>
            <w:tcW w:w="1075"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块</w:t>
            </w:r>
            <w:r/>
          </w:p>
        </w:tc>
        <w:tc>
          <w:tcPr>
            <w:tcW w:w="1075"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1431"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r>
      <w:tr>
        <w:trPr/>
        <w:tc>
          <w:tcPr>
            <w:tcW w:w="1072"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6</w:t>
            </w:r>
            <w:r/>
          </w:p>
        </w:tc>
        <w:tc>
          <w:tcPr>
            <w:tcW w:w="1787"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绝缘摇表</w:t>
            </w:r>
            <w:r/>
          </w:p>
        </w:tc>
        <w:tc>
          <w:tcPr>
            <w:tcW w:w="2497"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500r</w:t>
            </w:r>
            <w:r/>
          </w:p>
        </w:tc>
        <w:tc>
          <w:tcPr>
            <w:tcW w:w="1075"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块</w:t>
            </w:r>
            <w:r/>
          </w:p>
        </w:tc>
        <w:tc>
          <w:tcPr>
            <w:tcW w:w="1075"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1431"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r>
      <w:tr>
        <w:trPr/>
        <w:tc>
          <w:tcPr>
            <w:tcW w:w="1072"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7</w:t>
            </w:r>
            <w:r/>
          </w:p>
        </w:tc>
        <w:tc>
          <w:tcPr>
            <w:tcW w:w="1787"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绝缘摇表</w:t>
            </w:r>
            <w:r/>
          </w:p>
        </w:tc>
        <w:tc>
          <w:tcPr>
            <w:tcW w:w="2497"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100r</w:t>
            </w:r>
            <w:r/>
          </w:p>
        </w:tc>
        <w:tc>
          <w:tcPr>
            <w:tcW w:w="1075"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块</w:t>
            </w:r>
            <w:r/>
          </w:p>
        </w:tc>
        <w:tc>
          <w:tcPr>
            <w:tcW w:w="1075"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1431"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r>
      <w:tr>
        <w:trPr/>
        <w:tc>
          <w:tcPr>
            <w:tcW w:w="1072"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8</w:t>
            </w:r>
            <w:r/>
          </w:p>
        </w:tc>
        <w:tc>
          <w:tcPr>
            <w:tcW w:w="1787"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组合工具</w:t>
            </w:r>
            <w:r/>
          </w:p>
        </w:tc>
        <w:tc>
          <w:tcPr>
            <w:tcW w:w="2497"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60件</w:t>
            </w:r>
            <w:r/>
          </w:p>
        </w:tc>
        <w:tc>
          <w:tcPr>
            <w:tcW w:w="1075"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套</w:t>
            </w:r>
            <w:r/>
          </w:p>
        </w:tc>
        <w:tc>
          <w:tcPr>
            <w:tcW w:w="1075"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1431"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r>
      <w:tr>
        <w:trPr/>
        <w:tc>
          <w:tcPr>
            <w:tcW w:w="1072"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9</w:t>
            </w:r>
            <w:r/>
          </w:p>
        </w:tc>
        <w:tc>
          <w:tcPr>
            <w:tcW w:w="1787"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灭火器</w:t>
            </w:r>
            <w:r/>
          </w:p>
        </w:tc>
        <w:tc>
          <w:tcPr>
            <w:tcW w:w="2497"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W w:w="1075"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套</w:t>
            </w:r>
            <w:r/>
          </w:p>
        </w:tc>
        <w:tc>
          <w:tcPr>
            <w:tcW w:w="1075"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w:t>
            </w:r>
            <w:r/>
          </w:p>
        </w:tc>
        <w:tc>
          <w:tcPr>
            <w:tcW w:w="1431"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含柜子</w:t>
            </w:r>
            <w:r/>
          </w:p>
        </w:tc>
      </w:tr>
      <w:tr>
        <w:trPr/>
        <w:tc>
          <w:tcPr>
            <w:tcW w:w="1072"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10</w:t>
            </w:r>
            <w:r/>
          </w:p>
        </w:tc>
        <w:tc>
          <w:tcPr>
            <w:tcW w:w="1787"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安全帽</w:t>
            </w:r>
            <w:r/>
          </w:p>
        </w:tc>
        <w:tc>
          <w:tcPr>
            <w:tcW w:w="2497"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W w:w="1075"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顶</w:t>
            </w:r>
            <w:r/>
          </w:p>
        </w:tc>
        <w:tc>
          <w:tcPr>
            <w:tcW w:w="1075"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w:t>
            </w:r>
            <w:r/>
          </w:p>
        </w:tc>
        <w:tc>
          <w:tcPr>
            <w:tcW w:w="1431"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r>
      <w:tr>
        <w:trPr/>
        <w:tc>
          <w:tcPr>
            <w:tcW w:w="107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11</w:t>
            </w:r>
            <w:r/>
          </w:p>
        </w:tc>
        <w:tc>
          <w:tcPr>
            <w:tcW w:w="1787"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工具箱</w:t>
            </w:r>
            <w:r/>
          </w:p>
        </w:tc>
        <w:tc>
          <w:tcPr>
            <w:tcW w:w="2497"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W w:w="1075"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台</w:t>
            </w:r>
            <w:r/>
          </w:p>
        </w:tc>
        <w:tc>
          <w:tcPr>
            <w:tcW w:w="1075"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1431"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r>
    </w:tbl>
    <w:p>
      <w:pPr>
        <w:pStyle w:val="833"/>
        <w:ind w:firstLine="420"/>
        <w:jc w:val="both"/>
        <w:rPr>
          <w:rFonts w:hint="eastAsia" w:ascii="宋体" w:hAnsi="宋体" w:eastAsia="宋体" w:cs="宋体"/>
          <w:color w:val="000000"/>
          <w:sz w:val="21"/>
        </w:rPr>
      </w:pPr>
      <w:r/>
      <w:bookmarkStart w:id="25" w:name="_Toc224663318"/>
      <w:r>
        <w:rPr>
          <w:rFonts w:hint="eastAsia" w:ascii="宋体" w:hAnsi="宋体" w:eastAsia="宋体" w:cs="宋体"/>
          <w:color w:val="000000"/>
          <w:sz w:val="21"/>
        </w:rPr>
        <w:t xml:space="preserve">4.拆除设备材料清单</w:t>
      </w:r>
      <w:bookmarkEnd w:id="25"/>
      <w:r>
        <w:rPr>
          <w:rFonts w:hint="eastAsia" w:ascii="宋体" w:hAnsi="宋体" w:eastAsia="宋体" w:cs="宋体"/>
          <w:color w:val="000000"/>
          <w:sz w:val="21"/>
        </w:rPr>
        <w:t xml:space="preserve">（拆除后运送到采购人指定地点（不限于校内）</w:t>
      </w:r>
      <w:r/>
    </w:p>
    <w:tbl>
      <w:tblPr>
        <w:tblW w:w="4703" w:type="pct"/>
        <w:tblInd w:w="2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5"/>
        <w:gridCol w:w="1855"/>
        <w:gridCol w:w="2823"/>
        <w:gridCol w:w="701"/>
        <w:gridCol w:w="846"/>
        <w:gridCol w:w="1061"/>
      </w:tblGrid>
      <w:tr>
        <w:trPr/>
        <w:tc>
          <w:tcPr>
            <w:tcW w:w="668"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序号</w:t>
            </w:r>
            <w:r/>
          </w:p>
        </w:tc>
        <w:tc>
          <w:tcPr>
            <w:tcW w:w="1101"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名称</w:t>
            </w:r>
            <w:r/>
          </w:p>
        </w:tc>
        <w:tc>
          <w:tcPr>
            <w:tcW w:w="1677"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规格</w:t>
            </w:r>
            <w:r/>
          </w:p>
        </w:tc>
        <w:tc>
          <w:tcPr>
            <w:tcW w:w="417"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单位</w:t>
            </w:r>
            <w:r/>
          </w:p>
        </w:tc>
        <w:tc>
          <w:tcPr>
            <w:tcW w:w="503"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数量</w:t>
            </w:r>
            <w:r/>
          </w:p>
        </w:tc>
        <w:tc>
          <w:tcPr>
            <w:tcW w:w="631"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备注</w:t>
            </w:r>
            <w:r/>
          </w:p>
        </w:tc>
      </w:tr>
      <w:tr>
        <w:trPr/>
        <w:tc>
          <w:tcPr>
            <w:tcW w:w="668"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1101"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干式变压器</w:t>
            </w:r>
            <w:r/>
          </w:p>
        </w:tc>
        <w:tc>
          <w:tcPr>
            <w:tcW w:w="1677"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1000kVA</w:t>
            </w:r>
            <w:r/>
          </w:p>
        </w:tc>
        <w:tc>
          <w:tcPr>
            <w:tcW w:w="417"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台</w:t>
            </w:r>
            <w:r/>
          </w:p>
        </w:tc>
        <w:tc>
          <w:tcPr>
            <w:tcW w:w="503"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w:t>
            </w:r>
            <w:r/>
          </w:p>
        </w:tc>
        <w:tc>
          <w:tcPr>
            <w:tcW w:w="631"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拆除</w:t>
            </w:r>
            <w:r/>
          </w:p>
        </w:tc>
      </w:tr>
      <w:tr>
        <w:trPr/>
        <w:tc>
          <w:tcPr>
            <w:tcW w:w="668"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w:t>
            </w:r>
            <w:r/>
          </w:p>
        </w:tc>
        <w:tc>
          <w:tcPr>
            <w:tcW w:w="1101"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变压器柜</w:t>
            </w:r>
            <w:r/>
          </w:p>
        </w:tc>
        <w:tc>
          <w:tcPr>
            <w:tcW w:w="1677"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W w:w="417"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台</w:t>
            </w:r>
            <w:r/>
          </w:p>
        </w:tc>
        <w:tc>
          <w:tcPr>
            <w:tcW w:w="503"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w:t>
            </w:r>
            <w:r/>
          </w:p>
        </w:tc>
        <w:tc>
          <w:tcPr>
            <w:tcW w:w="631"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拆除</w:t>
            </w:r>
            <w:r/>
          </w:p>
        </w:tc>
      </w:tr>
      <w:tr>
        <w:trPr/>
        <w:tc>
          <w:tcPr>
            <w:tcW w:w="668"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3</w:t>
            </w:r>
            <w:r/>
          </w:p>
        </w:tc>
        <w:tc>
          <w:tcPr>
            <w:tcW w:w="1101"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10kV进线柜</w:t>
            </w:r>
            <w:r/>
          </w:p>
        </w:tc>
        <w:tc>
          <w:tcPr>
            <w:tcW w:w="1677"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W w:w="417"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台</w:t>
            </w:r>
            <w:r/>
          </w:p>
        </w:tc>
        <w:tc>
          <w:tcPr>
            <w:tcW w:w="503"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w:t>
            </w:r>
            <w:r/>
          </w:p>
        </w:tc>
        <w:tc>
          <w:tcPr>
            <w:tcW w:w="631"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拆除</w:t>
            </w:r>
            <w:r/>
          </w:p>
        </w:tc>
      </w:tr>
      <w:tr>
        <w:trPr/>
        <w:tc>
          <w:tcPr>
            <w:tcW w:w="668"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4</w:t>
            </w:r>
            <w:r/>
          </w:p>
        </w:tc>
        <w:tc>
          <w:tcPr>
            <w:tcW w:w="1101"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10kV出线柜</w:t>
            </w:r>
            <w:r/>
          </w:p>
        </w:tc>
        <w:tc>
          <w:tcPr>
            <w:tcW w:w="1677"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W w:w="417"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台</w:t>
            </w:r>
            <w:r/>
          </w:p>
        </w:tc>
        <w:tc>
          <w:tcPr>
            <w:tcW w:w="503"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w:t>
            </w:r>
            <w:r/>
          </w:p>
        </w:tc>
        <w:tc>
          <w:tcPr>
            <w:tcW w:w="631"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拆除</w:t>
            </w:r>
            <w:r/>
          </w:p>
        </w:tc>
      </w:tr>
      <w:tr>
        <w:trPr/>
        <w:tc>
          <w:tcPr>
            <w:tcW w:w="668"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5</w:t>
            </w:r>
            <w:r/>
          </w:p>
        </w:tc>
        <w:tc>
          <w:tcPr>
            <w:tcW w:w="1101"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低压进线柜</w:t>
            </w:r>
            <w:r/>
          </w:p>
        </w:tc>
        <w:tc>
          <w:tcPr>
            <w:tcW w:w="1677"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W w:w="417"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台</w:t>
            </w:r>
            <w:r/>
          </w:p>
        </w:tc>
        <w:tc>
          <w:tcPr>
            <w:tcW w:w="503"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w:t>
            </w:r>
            <w:r/>
          </w:p>
        </w:tc>
        <w:tc>
          <w:tcPr>
            <w:tcW w:w="631"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拆除</w:t>
            </w:r>
            <w:r/>
          </w:p>
        </w:tc>
      </w:tr>
      <w:tr>
        <w:trPr/>
        <w:tc>
          <w:tcPr>
            <w:tcW w:w="668"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6</w:t>
            </w:r>
            <w:r/>
          </w:p>
        </w:tc>
        <w:tc>
          <w:tcPr>
            <w:tcW w:w="1101"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低压出线柜</w:t>
            </w:r>
            <w:r/>
          </w:p>
        </w:tc>
        <w:tc>
          <w:tcPr>
            <w:tcW w:w="1677"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W w:w="417"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台</w:t>
            </w:r>
            <w:r/>
          </w:p>
        </w:tc>
        <w:tc>
          <w:tcPr>
            <w:tcW w:w="503"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7</w:t>
            </w:r>
            <w:r/>
          </w:p>
        </w:tc>
        <w:tc>
          <w:tcPr>
            <w:tcW w:w="631"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拆除</w:t>
            </w:r>
            <w:r/>
          </w:p>
        </w:tc>
      </w:tr>
      <w:tr>
        <w:trPr/>
        <w:tc>
          <w:tcPr>
            <w:tcW w:w="668"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7</w:t>
            </w:r>
            <w:r/>
          </w:p>
        </w:tc>
        <w:tc>
          <w:tcPr>
            <w:tcW w:w="1101"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低压母联柜</w:t>
            </w:r>
            <w:r/>
          </w:p>
        </w:tc>
        <w:tc>
          <w:tcPr>
            <w:tcW w:w="1677"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W w:w="417"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台</w:t>
            </w:r>
            <w:r/>
          </w:p>
        </w:tc>
        <w:tc>
          <w:tcPr>
            <w:tcW w:w="503"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631"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拆除</w:t>
            </w:r>
            <w:r/>
          </w:p>
        </w:tc>
      </w:tr>
      <w:tr>
        <w:trPr/>
        <w:tc>
          <w:tcPr>
            <w:tcW w:w="668"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8</w:t>
            </w:r>
            <w:r/>
          </w:p>
        </w:tc>
        <w:tc>
          <w:tcPr>
            <w:tcW w:w="1101"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电容柜</w:t>
            </w:r>
            <w:r/>
          </w:p>
        </w:tc>
        <w:tc>
          <w:tcPr>
            <w:tcW w:w="1677"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W w:w="417"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台</w:t>
            </w:r>
            <w:r/>
          </w:p>
        </w:tc>
        <w:tc>
          <w:tcPr>
            <w:tcW w:w="503"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4</w:t>
            </w:r>
            <w:r/>
          </w:p>
        </w:tc>
        <w:tc>
          <w:tcPr>
            <w:tcW w:w="631"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拆除</w:t>
            </w:r>
            <w:r/>
          </w:p>
        </w:tc>
      </w:tr>
      <w:tr>
        <w:trPr/>
        <w:tc>
          <w:tcPr>
            <w:tcW w:w="668"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9</w:t>
            </w:r>
            <w:r/>
          </w:p>
        </w:tc>
        <w:tc>
          <w:tcPr>
            <w:tcW w:w="1101"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转角柜</w:t>
            </w:r>
            <w:r/>
          </w:p>
        </w:tc>
        <w:tc>
          <w:tcPr>
            <w:tcW w:w="1677"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W w:w="417"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台</w:t>
            </w:r>
            <w:r/>
          </w:p>
        </w:tc>
        <w:tc>
          <w:tcPr>
            <w:tcW w:w="503"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w:t>
            </w:r>
            <w:r/>
          </w:p>
        </w:tc>
        <w:tc>
          <w:tcPr>
            <w:tcW w:w="631"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拆除</w:t>
            </w:r>
            <w:r/>
          </w:p>
        </w:tc>
      </w:tr>
      <w:tr>
        <w:trPr/>
        <w:tc>
          <w:tcPr>
            <w:tcW w:w="668"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10</w:t>
            </w:r>
            <w:r/>
          </w:p>
        </w:tc>
        <w:tc>
          <w:tcPr>
            <w:tcW w:w="1101"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风筒及风机</w:t>
            </w:r>
            <w:r/>
          </w:p>
        </w:tc>
        <w:tc>
          <w:tcPr>
            <w:tcW w:w="1677"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W w:w="417"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套</w:t>
            </w:r>
            <w:r/>
          </w:p>
        </w:tc>
        <w:tc>
          <w:tcPr>
            <w:tcW w:w="503"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w:t>
            </w:r>
            <w:r/>
          </w:p>
        </w:tc>
        <w:tc>
          <w:tcPr>
            <w:tcW w:w="631"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拆除</w:t>
            </w:r>
            <w:r/>
          </w:p>
        </w:tc>
      </w:tr>
      <w:tr>
        <w:trPr/>
        <w:tc>
          <w:tcPr>
            <w:tcW w:w="668"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11</w:t>
            </w:r>
            <w:r/>
          </w:p>
        </w:tc>
        <w:tc>
          <w:tcPr>
            <w:tcW w:w="1101"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电缆沟盖板</w:t>
            </w:r>
            <w:r/>
          </w:p>
        </w:tc>
        <w:tc>
          <w:tcPr>
            <w:tcW w:w="1677"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W w:w="417"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项</w:t>
            </w:r>
            <w:r/>
          </w:p>
        </w:tc>
        <w:tc>
          <w:tcPr>
            <w:tcW w:w="503"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631"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拆除</w:t>
            </w:r>
            <w:r/>
          </w:p>
        </w:tc>
      </w:tr>
      <w:tr>
        <w:trPr/>
        <w:tc>
          <w:tcPr>
            <w:tcW w:w="668"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12</w:t>
            </w:r>
            <w:r/>
          </w:p>
        </w:tc>
        <w:tc>
          <w:tcPr>
            <w:tcW w:w="1101"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绝缘垫</w:t>
            </w:r>
            <w:r/>
          </w:p>
        </w:tc>
        <w:tc>
          <w:tcPr>
            <w:tcW w:w="1677"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W w:w="417"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项</w:t>
            </w:r>
            <w:r/>
          </w:p>
        </w:tc>
        <w:tc>
          <w:tcPr>
            <w:tcW w:w="503"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631"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拆除</w:t>
            </w:r>
            <w:r/>
          </w:p>
        </w:tc>
      </w:tr>
      <w:tr>
        <w:trPr/>
        <w:tc>
          <w:tcPr>
            <w:tcW w:w="668"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13</w:t>
            </w:r>
            <w:r/>
          </w:p>
        </w:tc>
        <w:tc>
          <w:tcPr>
            <w:tcW w:w="1101"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模拟图板</w:t>
            </w:r>
            <w:r/>
          </w:p>
        </w:tc>
        <w:tc>
          <w:tcPr>
            <w:tcW w:w="1677"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W w:w="417"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块</w:t>
            </w:r>
            <w:r/>
          </w:p>
        </w:tc>
        <w:tc>
          <w:tcPr>
            <w:tcW w:w="503"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631"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拆除</w:t>
            </w:r>
            <w:r/>
          </w:p>
        </w:tc>
      </w:tr>
      <w:tr>
        <w:trPr/>
        <w:tc>
          <w:tcPr>
            <w:tcW w:w="668"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14</w:t>
            </w:r>
            <w:r/>
          </w:p>
        </w:tc>
        <w:tc>
          <w:tcPr>
            <w:tcW w:w="1101"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规章制度牌</w:t>
            </w:r>
            <w:r/>
          </w:p>
        </w:tc>
        <w:tc>
          <w:tcPr>
            <w:tcW w:w="1677"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W w:w="417"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套</w:t>
            </w:r>
            <w:r/>
          </w:p>
        </w:tc>
        <w:tc>
          <w:tcPr>
            <w:tcW w:w="503"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631"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拆除</w:t>
            </w:r>
            <w:r/>
          </w:p>
        </w:tc>
      </w:tr>
    </w:tbl>
    <w:p>
      <w:pPr>
        <w:pStyle w:val="833"/>
        <w:ind w:firstLine="420"/>
        <w:jc w:val="both"/>
        <w:rPr>
          <w:rFonts w:hint="eastAsia" w:ascii="宋体" w:hAnsi="宋体" w:eastAsia="宋体" w:cs="宋体"/>
          <w:color w:val="000000"/>
          <w:sz w:val="21"/>
        </w:rPr>
      </w:pPr>
      <w:r/>
      <w:bookmarkStart w:id="26" w:name="_Toc224663319"/>
      <w:r>
        <w:rPr>
          <w:rFonts w:hint="eastAsia" w:ascii="宋体" w:hAnsi="宋体" w:eastAsia="宋体" w:cs="宋体"/>
          <w:color w:val="000000"/>
          <w:sz w:val="21"/>
        </w:rPr>
        <w:t xml:space="preserve">5.电力监控系统及智能管理单元材料清单</w:t>
      </w:r>
      <w:bookmarkEnd w:id="26"/>
      <w:r>
        <w:rPr>
          <w:rFonts w:hint="eastAsia" w:ascii="宋体" w:hAnsi="宋体" w:eastAsia="宋体" w:cs="宋体"/>
          <w:color w:val="000000"/>
          <w:sz w:val="21"/>
        </w:rPr>
      </w:r>
      <w:r/>
    </w:p>
    <w:tbl>
      <w:tblPr>
        <w:tblW w:w="4701" w:type="pct"/>
        <w:tblInd w:w="2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1"/>
        <w:gridCol w:w="1590"/>
        <w:gridCol w:w="3344"/>
        <w:gridCol w:w="694"/>
        <w:gridCol w:w="834"/>
        <w:gridCol w:w="974"/>
      </w:tblGrid>
      <w:tr>
        <w:trPr/>
        <w:tc>
          <w:tcPr>
            <w:tcW w:w="577"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序号</w:t>
            </w:r>
            <w:r/>
          </w:p>
        </w:tc>
        <w:tc>
          <w:tcPr>
            <w:tcW w:w="945"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名称</w:t>
            </w:r>
            <w:r/>
          </w:p>
        </w:tc>
        <w:tc>
          <w:tcPr>
            <w:tcW w:w="1988"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描述</w:t>
            </w:r>
            <w:r/>
          </w:p>
        </w:tc>
        <w:tc>
          <w:tcPr>
            <w:tcW w:w="413"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单位</w:t>
            </w:r>
            <w:r/>
          </w:p>
        </w:tc>
        <w:tc>
          <w:tcPr>
            <w:tcW w:w="496"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数量</w:t>
            </w:r>
            <w:r/>
          </w:p>
        </w:tc>
        <w:tc>
          <w:tcPr>
            <w:tcW w:w="579"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备注</w:t>
            </w:r>
            <w:r/>
          </w:p>
        </w:tc>
      </w:tr>
      <w:tr>
        <w:trPr/>
        <w:tc>
          <w:tcPr>
            <w:tcW w:w="577"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1</w:t>
            </w:r>
            <w:r/>
          </w:p>
        </w:tc>
        <w:tc>
          <w:tcPr>
            <w:tcW w:w="945"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PO电力监控系统</w:t>
            </w:r>
            <w:r/>
          </w:p>
        </w:tc>
        <w:tc>
          <w:tcPr>
            <w:tcW w:w="1988"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服务器点数扩展，低压电气安全模块（断路器性能，电气容量）</w:t>
            </w:r>
            <w:r/>
          </w:p>
        </w:tc>
        <w:tc>
          <w:tcPr>
            <w:tcW w:w="413"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套</w:t>
            </w:r>
            <w:r/>
          </w:p>
        </w:tc>
        <w:tc>
          <w:tcPr>
            <w:tcW w:w="496"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1</w:t>
            </w:r>
            <w:r/>
          </w:p>
        </w:tc>
        <w:tc>
          <w:tcPr>
            <w:tcW w:w="579"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r>
            <w:r/>
          </w:p>
        </w:tc>
      </w:tr>
      <w:tr>
        <w:trPr/>
        <w:tc>
          <w:tcPr>
            <w:tcW w:w="577"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2</w:t>
            </w:r>
            <w:r/>
          </w:p>
        </w:tc>
        <w:tc>
          <w:tcPr>
            <w:tcW w:w="945"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智能管理单元</w:t>
            </w:r>
            <w:r/>
          </w:p>
        </w:tc>
        <w:tc>
          <w:tcPr>
            <w:tcW w:w="1988"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POI站控专家（15.6寸）标准版</w:t>
            </w:r>
            <w:r/>
          </w:p>
        </w:tc>
        <w:tc>
          <w:tcPr>
            <w:tcW w:w="413"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台</w:t>
            </w:r>
            <w:r/>
          </w:p>
        </w:tc>
        <w:tc>
          <w:tcPr>
            <w:tcW w:w="496"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1</w:t>
            </w:r>
            <w:r/>
          </w:p>
        </w:tc>
        <w:tc>
          <w:tcPr>
            <w:tcW w:w="579"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r>
            <w:r/>
          </w:p>
        </w:tc>
      </w:tr>
      <w:tr>
        <w:trPr/>
        <w:tc>
          <w:tcPr>
            <w:tcW w:w="577"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3</w:t>
            </w:r>
            <w:r/>
          </w:p>
        </w:tc>
        <w:tc>
          <w:tcPr>
            <w:tcW w:w="945"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PAS700</w:t>
            </w:r>
            <w:r/>
          </w:p>
        </w:tc>
        <w:tc>
          <w:tcPr>
            <w:tcW w:w="1988" w:type="pct"/>
            <w:vAlign w:val="center"/>
            <w:textDirection w:val="lrTb"/>
            <w:noWrap w:val="false"/>
          </w:tcPr>
          <w:p>
            <w:pPr>
              <w:pStyle w:val="831"/>
              <w:jc w:val="center"/>
              <w:tabs>
                <w:tab w:val="left" w:pos="15" w:leader="none"/>
              </w:tabs>
              <w:rPr>
                <w:rFonts w:hint="eastAsia" w:ascii="宋体" w:hAnsi="宋体" w:eastAsia="宋体" w:cs="宋体"/>
                <w:color w:val="000000"/>
              </w:rPr>
            </w:pPr>
            <w:r>
              <w:rPr>
                <w:rFonts w:hint="eastAsia" w:ascii="宋体" w:hAnsi="宋体" w:eastAsia="宋体" w:cs="宋体"/>
                <w:color w:val="000000"/>
              </w:rPr>
              <w:t xml:space="preserve">EPS Hub</w:t>
            </w:r>
            <w:r/>
          </w:p>
        </w:tc>
        <w:tc>
          <w:tcPr>
            <w:tcW w:w="413"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台</w:t>
            </w:r>
            <w:r/>
          </w:p>
        </w:tc>
        <w:tc>
          <w:tcPr>
            <w:tcW w:w="496"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5</w:t>
            </w:r>
            <w:r/>
          </w:p>
        </w:tc>
        <w:tc>
          <w:tcPr>
            <w:tcW w:w="579"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r>
            <w:r/>
          </w:p>
        </w:tc>
      </w:tr>
      <w:tr>
        <w:trPr/>
        <w:tc>
          <w:tcPr>
            <w:tcW w:w="577"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4</w:t>
            </w:r>
            <w:r/>
          </w:p>
        </w:tc>
        <w:tc>
          <w:tcPr>
            <w:tcW w:w="945"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开关电源</w:t>
            </w:r>
            <w:r/>
          </w:p>
        </w:tc>
        <w:tc>
          <w:tcPr>
            <w:tcW w:w="1988"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DC24V/5A</w:t>
            </w:r>
            <w:r/>
          </w:p>
        </w:tc>
        <w:tc>
          <w:tcPr>
            <w:tcW w:w="413"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台</w:t>
            </w:r>
            <w:r/>
          </w:p>
        </w:tc>
        <w:tc>
          <w:tcPr>
            <w:tcW w:w="496"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1</w:t>
            </w:r>
            <w:r/>
          </w:p>
        </w:tc>
        <w:tc>
          <w:tcPr>
            <w:tcW w:w="579"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r>
            <w:r/>
          </w:p>
        </w:tc>
      </w:tr>
      <w:tr>
        <w:trPr/>
        <w:tc>
          <w:tcPr>
            <w:tcW w:w="577"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5</w:t>
            </w:r>
            <w:r/>
          </w:p>
        </w:tc>
        <w:tc>
          <w:tcPr>
            <w:tcW w:w="945"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通讯机柜</w:t>
            </w:r>
            <w:r/>
          </w:p>
        </w:tc>
        <w:tc>
          <w:tcPr>
            <w:tcW w:w="1988"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壁挂式6U</w:t>
            </w:r>
            <w:r/>
          </w:p>
        </w:tc>
        <w:tc>
          <w:tcPr>
            <w:tcW w:w="413"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台</w:t>
            </w:r>
            <w:r/>
          </w:p>
        </w:tc>
        <w:tc>
          <w:tcPr>
            <w:tcW w:w="496"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1</w:t>
            </w:r>
            <w:r/>
          </w:p>
        </w:tc>
        <w:tc>
          <w:tcPr>
            <w:tcW w:w="579"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r>
            <w:r/>
          </w:p>
        </w:tc>
      </w:tr>
      <w:tr>
        <w:trPr/>
        <w:tc>
          <w:tcPr>
            <w:tcW w:w="577"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6</w:t>
            </w:r>
            <w:r/>
          </w:p>
        </w:tc>
        <w:tc>
          <w:tcPr>
            <w:tcW w:w="945"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通讯线缆</w:t>
            </w:r>
            <w:r/>
          </w:p>
        </w:tc>
        <w:tc>
          <w:tcPr>
            <w:tcW w:w="1988"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RVSP2*1.0</w:t>
            </w:r>
            <w:r/>
          </w:p>
        </w:tc>
        <w:tc>
          <w:tcPr>
            <w:tcW w:w="413"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米</w:t>
            </w:r>
            <w:r/>
          </w:p>
        </w:tc>
        <w:tc>
          <w:tcPr>
            <w:tcW w:w="496"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300</w:t>
            </w:r>
            <w:r/>
          </w:p>
        </w:tc>
        <w:tc>
          <w:tcPr>
            <w:tcW w:w="579"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r>
            <w:r/>
          </w:p>
        </w:tc>
      </w:tr>
      <w:tr>
        <w:trPr/>
        <w:tc>
          <w:tcPr>
            <w:tcW w:w="577"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7</w:t>
            </w:r>
            <w:r/>
          </w:p>
        </w:tc>
        <w:tc>
          <w:tcPr>
            <w:tcW w:w="945"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以太网线</w:t>
            </w:r>
            <w:r/>
          </w:p>
        </w:tc>
        <w:tc>
          <w:tcPr>
            <w:tcW w:w="1988"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超五类</w:t>
            </w:r>
            <w:r/>
          </w:p>
        </w:tc>
        <w:tc>
          <w:tcPr>
            <w:tcW w:w="413"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米</w:t>
            </w:r>
            <w:r/>
          </w:p>
        </w:tc>
        <w:tc>
          <w:tcPr>
            <w:tcW w:w="496"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300</w:t>
            </w:r>
            <w:r/>
          </w:p>
        </w:tc>
        <w:tc>
          <w:tcPr>
            <w:tcW w:w="579"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r>
            <w:r/>
          </w:p>
        </w:tc>
      </w:tr>
      <w:tr>
        <w:trPr/>
        <w:tc>
          <w:tcPr>
            <w:tcW w:w="577"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8</w:t>
            </w:r>
            <w:r/>
          </w:p>
        </w:tc>
        <w:tc>
          <w:tcPr>
            <w:tcW w:w="945"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施工</w:t>
            </w:r>
            <w:r/>
          </w:p>
        </w:tc>
        <w:tc>
          <w:tcPr>
            <w:tcW w:w="1988"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线缆敷设、设备就位等</w:t>
            </w:r>
            <w:r/>
          </w:p>
        </w:tc>
        <w:tc>
          <w:tcPr>
            <w:tcW w:w="413"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套</w:t>
            </w:r>
            <w:r/>
          </w:p>
        </w:tc>
        <w:tc>
          <w:tcPr>
            <w:tcW w:w="496"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1</w:t>
            </w:r>
            <w:r/>
          </w:p>
        </w:tc>
        <w:tc>
          <w:tcPr>
            <w:tcW w:w="579"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r>
            <w:r/>
          </w:p>
        </w:tc>
      </w:tr>
      <w:tr>
        <w:trPr/>
        <w:tc>
          <w:tcPr>
            <w:tcW w:w="577"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9</w:t>
            </w:r>
            <w:r/>
          </w:p>
        </w:tc>
        <w:tc>
          <w:tcPr>
            <w:tcW w:w="945"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调试</w:t>
            </w:r>
            <w:r/>
          </w:p>
        </w:tc>
        <w:tc>
          <w:tcPr>
            <w:tcW w:w="1988" w:type="pct"/>
            <w:vAlign w:val="center"/>
            <w:textDirection w:val="lrTb"/>
            <w:noWrap w:val="false"/>
          </w:tcPr>
          <w:p>
            <w:pPr>
              <w:pStyle w:val="831"/>
              <w:numPr>
                <w:ilvl w:val="0"/>
                <w:numId w:val="4"/>
              </w:numPr>
              <w:jc w:val="center"/>
              <w:rPr>
                <w:rFonts w:hint="eastAsia" w:ascii="宋体" w:hAnsi="宋体" w:eastAsia="宋体" w:cs="宋体"/>
                <w:color w:val="000000"/>
              </w:rPr>
            </w:pPr>
            <w:r>
              <w:rPr>
                <w:rFonts w:hint="eastAsia" w:ascii="宋体" w:hAnsi="宋体" w:eastAsia="宋体" w:cs="宋体"/>
                <w:color w:val="000000"/>
              </w:rPr>
              <w:t xml:space="preserve">设备通讯；2.链路调试；3.系统安装；4.界面设计；5.二次开发；6.系统优化</w:t>
            </w:r>
            <w:r/>
          </w:p>
        </w:tc>
        <w:tc>
          <w:tcPr>
            <w:tcW w:w="413"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套</w:t>
            </w:r>
            <w:r/>
          </w:p>
        </w:tc>
        <w:tc>
          <w:tcPr>
            <w:tcW w:w="496"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1</w:t>
            </w:r>
            <w:r/>
          </w:p>
        </w:tc>
        <w:tc>
          <w:tcPr>
            <w:tcW w:w="579"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r>
            <w:r/>
          </w:p>
        </w:tc>
      </w:tr>
      <w:tr>
        <w:trPr/>
        <w:tc>
          <w:tcPr>
            <w:tcW w:w="577"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10</w:t>
            </w:r>
            <w:r/>
          </w:p>
        </w:tc>
        <w:tc>
          <w:tcPr>
            <w:tcW w:w="945"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培训</w:t>
            </w:r>
            <w:r/>
          </w:p>
        </w:tc>
        <w:tc>
          <w:tcPr>
            <w:tcW w:w="1988"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运维人员操作培训</w:t>
            </w:r>
            <w:r/>
          </w:p>
        </w:tc>
        <w:tc>
          <w:tcPr>
            <w:tcW w:w="413"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套</w:t>
            </w:r>
            <w:r/>
          </w:p>
        </w:tc>
        <w:tc>
          <w:tcPr>
            <w:tcW w:w="496"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1</w:t>
            </w:r>
            <w:r/>
          </w:p>
        </w:tc>
        <w:tc>
          <w:tcPr>
            <w:tcW w:w="579"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r>
            <w:r/>
          </w:p>
        </w:tc>
      </w:tr>
    </w:tbl>
    <w:p>
      <w:pPr>
        <w:pStyle w:val="833"/>
        <w:ind w:firstLine="420"/>
        <w:jc w:val="both"/>
        <w:rPr>
          <w:rFonts w:hint="eastAsia" w:ascii="宋体" w:hAnsi="宋体" w:eastAsia="宋体" w:cs="宋体"/>
          <w:color w:val="000000"/>
          <w:sz w:val="21"/>
        </w:rPr>
      </w:pPr>
      <w:r/>
      <w:bookmarkStart w:id="27" w:name="_Toc224663320"/>
      <w:r>
        <w:rPr>
          <w:rFonts w:hint="eastAsia" w:ascii="宋体" w:hAnsi="宋体" w:eastAsia="宋体" w:cs="宋体"/>
          <w:color w:val="000000"/>
          <w:sz w:val="21"/>
        </w:rPr>
        <w:t xml:space="preserve">6.配电房智慧巡检系统材料清单</w:t>
      </w:r>
      <w:bookmarkEnd w:id="27"/>
      <w:r>
        <w:rPr>
          <w:rFonts w:hint="eastAsia" w:ascii="宋体" w:hAnsi="宋体" w:eastAsia="宋体" w:cs="宋体"/>
          <w:color w:val="000000"/>
          <w:sz w:val="21"/>
        </w:rPr>
      </w:r>
      <w:r/>
    </w:p>
    <w:tbl>
      <w:tblPr>
        <w:tblW w:w="486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90"/>
        <w:gridCol w:w="4119"/>
        <w:gridCol w:w="867"/>
        <w:gridCol w:w="944"/>
        <w:gridCol w:w="1188"/>
      </w:tblGrid>
      <w:tr>
        <w:trPr/>
        <w:tc>
          <w:tcPr>
            <w:tcW w:w="913"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序号</w:t>
            </w:r>
            <w:r/>
          </w:p>
        </w:tc>
        <w:tc>
          <w:tcPr>
            <w:tcW w:w="2365"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名称</w:t>
            </w:r>
            <w:r/>
          </w:p>
        </w:tc>
        <w:tc>
          <w:tcPr>
            <w:tcW w:w="498"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单位</w:t>
            </w:r>
            <w:r/>
          </w:p>
        </w:tc>
        <w:tc>
          <w:tcPr>
            <w:tcW w:w="542"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数量</w:t>
            </w:r>
            <w:r/>
          </w:p>
        </w:tc>
        <w:tc>
          <w:tcPr>
            <w:tcW w:w="679"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备注</w:t>
            </w:r>
            <w:r/>
          </w:p>
        </w:tc>
      </w:tr>
      <w:tr>
        <w:trPr/>
        <w:tc>
          <w:tcPr>
            <w:gridSpan w:val="5"/>
            <w:tcW w:w="5000"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b/>
                <w:bCs/>
                <w:color w:val="000000"/>
              </w:rPr>
              <w:t xml:space="preserve">一、前端设备</w:t>
            </w:r>
            <w:r>
              <w:rPr>
                <w:rFonts w:hint="eastAsia" w:ascii="宋体" w:hAnsi="宋体" w:eastAsia="宋体" w:cs="宋体"/>
                <w:color w:val="000000"/>
              </w:rPr>
            </w:r>
            <w:r/>
          </w:p>
        </w:tc>
      </w:tr>
      <w:tr>
        <w:trPr/>
        <w:tc>
          <w:tcPr>
            <w:tcW w:w="913"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1</w:t>
            </w:r>
            <w:r/>
          </w:p>
        </w:tc>
        <w:tc>
          <w:tcPr>
            <w:tcW w:w="2365"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四合一传感器（温度+湿度+噪音+PM2.5）</w:t>
            </w:r>
            <w:r/>
          </w:p>
        </w:tc>
        <w:tc>
          <w:tcPr>
            <w:tcW w:w="498"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个</w:t>
            </w:r>
            <w:r/>
          </w:p>
        </w:tc>
        <w:tc>
          <w:tcPr>
            <w:tcW w:w="542"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3</w:t>
            </w:r>
            <w:r/>
          </w:p>
        </w:tc>
        <w:tc>
          <w:tcPr>
            <w:tcW w:w="679"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r>
            <w:r/>
          </w:p>
        </w:tc>
      </w:tr>
      <w:tr>
        <w:trPr/>
        <w:tc>
          <w:tcPr>
            <w:tcW w:w="913"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2</w:t>
            </w:r>
            <w:r/>
          </w:p>
        </w:tc>
        <w:tc>
          <w:tcPr>
            <w:tcW w:w="2365"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水浸+点式检测电极</w:t>
            </w:r>
            <w:r/>
          </w:p>
        </w:tc>
        <w:tc>
          <w:tcPr>
            <w:tcW w:w="498"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个</w:t>
            </w:r>
            <w:r/>
          </w:p>
        </w:tc>
        <w:tc>
          <w:tcPr>
            <w:tcW w:w="542"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2</w:t>
            </w:r>
            <w:r/>
          </w:p>
        </w:tc>
        <w:tc>
          <w:tcPr>
            <w:tcW w:w="679"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r>
            <w:r/>
          </w:p>
        </w:tc>
      </w:tr>
      <w:tr>
        <w:trPr/>
        <w:tc>
          <w:tcPr>
            <w:tcW w:w="913"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3</w:t>
            </w:r>
            <w:r/>
          </w:p>
        </w:tc>
        <w:tc>
          <w:tcPr>
            <w:tcW w:w="2365"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烟感</w:t>
            </w:r>
            <w:r/>
          </w:p>
        </w:tc>
        <w:tc>
          <w:tcPr>
            <w:tcW w:w="498"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个</w:t>
            </w:r>
            <w:r/>
          </w:p>
        </w:tc>
        <w:tc>
          <w:tcPr>
            <w:tcW w:w="542"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3</w:t>
            </w:r>
            <w:r/>
          </w:p>
        </w:tc>
        <w:tc>
          <w:tcPr>
            <w:tcW w:w="679"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r>
            <w:r/>
          </w:p>
        </w:tc>
      </w:tr>
      <w:tr>
        <w:trPr/>
        <w:tc>
          <w:tcPr>
            <w:tcW w:w="913"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4</w:t>
            </w:r>
            <w:r/>
          </w:p>
        </w:tc>
        <w:tc>
          <w:tcPr>
            <w:tcW w:w="2365"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室内枪机</w:t>
            </w:r>
            <w:r/>
          </w:p>
        </w:tc>
        <w:tc>
          <w:tcPr>
            <w:tcW w:w="498"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台</w:t>
            </w:r>
            <w:r/>
          </w:p>
        </w:tc>
        <w:tc>
          <w:tcPr>
            <w:tcW w:w="542"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4</w:t>
            </w:r>
            <w:r/>
          </w:p>
        </w:tc>
        <w:tc>
          <w:tcPr>
            <w:tcW w:w="679"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r>
            <w:r/>
          </w:p>
        </w:tc>
      </w:tr>
      <w:tr>
        <w:trPr/>
        <w:tc>
          <w:tcPr>
            <w:tcW w:w="913"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5</w:t>
            </w:r>
            <w:r/>
          </w:p>
        </w:tc>
        <w:tc>
          <w:tcPr>
            <w:tcW w:w="2365"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网络一体化门禁</w:t>
            </w:r>
            <w:r/>
          </w:p>
        </w:tc>
        <w:tc>
          <w:tcPr>
            <w:tcW w:w="498"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台</w:t>
            </w:r>
            <w:r/>
          </w:p>
        </w:tc>
        <w:tc>
          <w:tcPr>
            <w:tcW w:w="542"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1</w:t>
            </w:r>
            <w:r/>
          </w:p>
        </w:tc>
        <w:tc>
          <w:tcPr>
            <w:tcW w:w="679"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r>
            <w:r/>
          </w:p>
        </w:tc>
      </w:tr>
      <w:tr>
        <w:trPr/>
        <w:tc>
          <w:tcPr>
            <w:tcW w:w="913"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6</w:t>
            </w:r>
            <w:r/>
          </w:p>
        </w:tc>
        <w:tc>
          <w:tcPr>
            <w:tcW w:w="2365"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磁力锁</w:t>
            </w:r>
            <w:r/>
          </w:p>
        </w:tc>
        <w:tc>
          <w:tcPr>
            <w:tcW w:w="498"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个</w:t>
            </w:r>
            <w:r/>
          </w:p>
        </w:tc>
        <w:tc>
          <w:tcPr>
            <w:tcW w:w="542"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1</w:t>
            </w:r>
            <w:r/>
          </w:p>
        </w:tc>
        <w:tc>
          <w:tcPr>
            <w:tcW w:w="679"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r>
            <w:r/>
          </w:p>
        </w:tc>
      </w:tr>
      <w:tr>
        <w:trPr/>
        <w:tc>
          <w:tcPr>
            <w:tcW w:w="913"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7</w:t>
            </w:r>
            <w:r/>
          </w:p>
        </w:tc>
        <w:tc>
          <w:tcPr>
            <w:tcW w:w="2365"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数据采集网关</w:t>
            </w:r>
            <w:r/>
          </w:p>
        </w:tc>
        <w:tc>
          <w:tcPr>
            <w:tcW w:w="498"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台</w:t>
            </w:r>
            <w:r/>
          </w:p>
        </w:tc>
        <w:tc>
          <w:tcPr>
            <w:tcW w:w="542"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4</w:t>
            </w:r>
            <w:r/>
          </w:p>
        </w:tc>
        <w:tc>
          <w:tcPr>
            <w:tcW w:w="679"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r>
            <w:r/>
          </w:p>
        </w:tc>
      </w:tr>
      <w:tr>
        <w:trPr/>
        <w:tc>
          <w:tcPr>
            <w:tcW w:w="913"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8</w:t>
            </w:r>
            <w:r/>
          </w:p>
        </w:tc>
        <w:tc>
          <w:tcPr>
            <w:tcW w:w="2365"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控制箱（成套，含开关电源、变压器以及导轨，布线等）</w:t>
            </w:r>
            <w:r/>
          </w:p>
        </w:tc>
        <w:tc>
          <w:tcPr>
            <w:tcW w:w="498"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台</w:t>
            </w:r>
            <w:r/>
          </w:p>
        </w:tc>
        <w:tc>
          <w:tcPr>
            <w:tcW w:w="542"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1</w:t>
            </w:r>
            <w:r/>
          </w:p>
        </w:tc>
        <w:tc>
          <w:tcPr>
            <w:tcW w:w="679"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r>
            <w:r/>
          </w:p>
        </w:tc>
      </w:tr>
      <w:tr>
        <w:trPr/>
        <w:tc>
          <w:tcPr>
            <w:tcW w:w="913"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9</w:t>
            </w:r>
            <w:r/>
          </w:p>
        </w:tc>
        <w:tc>
          <w:tcPr>
            <w:tcW w:w="2365"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8口POE交换机</w:t>
            </w:r>
            <w:r/>
          </w:p>
        </w:tc>
        <w:tc>
          <w:tcPr>
            <w:tcW w:w="498"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台</w:t>
            </w:r>
            <w:r/>
          </w:p>
        </w:tc>
        <w:tc>
          <w:tcPr>
            <w:tcW w:w="542"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1</w:t>
            </w:r>
            <w:r/>
          </w:p>
        </w:tc>
        <w:tc>
          <w:tcPr>
            <w:tcW w:w="679"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r>
            <w:r/>
          </w:p>
        </w:tc>
      </w:tr>
      <w:tr>
        <w:trPr/>
        <w:tc>
          <w:tcPr>
            <w:gridSpan w:val="5"/>
            <w:tcW w:w="5000"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b/>
                <w:bCs/>
                <w:color w:val="000000"/>
              </w:rPr>
              <w:t xml:space="preserve">二、中心设备</w:t>
            </w:r>
            <w:r>
              <w:rPr>
                <w:rFonts w:hint="eastAsia" w:ascii="宋体" w:hAnsi="宋体" w:eastAsia="宋体" w:cs="宋体"/>
                <w:color w:val="000000"/>
              </w:rPr>
            </w:r>
            <w:r/>
          </w:p>
        </w:tc>
      </w:tr>
      <w:tr>
        <w:trPr/>
        <w:tc>
          <w:tcPr>
            <w:tcW w:w="913"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1</w:t>
            </w:r>
            <w:r/>
          </w:p>
        </w:tc>
        <w:tc>
          <w:tcPr>
            <w:tcW w:w="2365"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智慧巡检管理平台-WEB标准版</w:t>
            </w:r>
            <w:r/>
          </w:p>
        </w:tc>
        <w:tc>
          <w:tcPr>
            <w:tcW w:w="498"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套</w:t>
            </w:r>
            <w:r/>
          </w:p>
        </w:tc>
        <w:tc>
          <w:tcPr>
            <w:tcW w:w="542"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1</w:t>
            </w:r>
            <w:r/>
          </w:p>
        </w:tc>
        <w:tc>
          <w:tcPr>
            <w:tcW w:w="679"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r>
            <w:r/>
          </w:p>
        </w:tc>
      </w:tr>
      <w:tr>
        <w:trPr/>
        <w:tc>
          <w:tcPr>
            <w:tcW w:w="913"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2</w:t>
            </w:r>
            <w:r/>
          </w:p>
        </w:tc>
        <w:tc>
          <w:tcPr>
            <w:tcW w:w="2365"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视频存储录像机（含对接）</w:t>
            </w:r>
            <w:r/>
          </w:p>
        </w:tc>
        <w:tc>
          <w:tcPr>
            <w:tcW w:w="498"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台</w:t>
            </w:r>
            <w:r/>
          </w:p>
        </w:tc>
        <w:tc>
          <w:tcPr>
            <w:tcW w:w="542"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1</w:t>
            </w:r>
            <w:r/>
          </w:p>
        </w:tc>
        <w:tc>
          <w:tcPr>
            <w:tcW w:w="679"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r>
            <w:r/>
          </w:p>
        </w:tc>
      </w:tr>
      <w:tr>
        <w:trPr/>
        <w:tc>
          <w:tcPr>
            <w:tcW w:w="913"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3</w:t>
            </w:r>
            <w:r/>
          </w:p>
        </w:tc>
        <w:tc>
          <w:tcPr>
            <w:tcW w:w="2365"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应用服务器</w:t>
            </w:r>
            <w:r/>
          </w:p>
        </w:tc>
        <w:tc>
          <w:tcPr>
            <w:tcW w:w="498"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台</w:t>
            </w:r>
            <w:r/>
          </w:p>
        </w:tc>
        <w:tc>
          <w:tcPr>
            <w:tcW w:w="542"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1</w:t>
            </w:r>
            <w:r/>
          </w:p>
        </w:tc>
        <w:tc>
          <w:tcPr>
            <w:tcW w:w="679"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r>
            <w:r/>
          </w:p>
        </w:tc>
      </w:tr>
      <w:tr>
        <w:trPr/>
        <w:tc>
          <w:tcPr>
            <w:tcW w:w="913"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4</w:t>
            </w:r>
            <w:r/>
          </w:p>
        </w:tc>
        <w:tc>
          <w:tcPr>
            <w:tcW w:w="2365"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24口POE交换机</w:t>
            </w:r>
            <w:r/>
          </w:p>
        </w:tc>
        <w:tc>
          <w:tcPr>
            <w:tcW w:w="498"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台</w:t>
            </w:r>
            <w:r/>
          </w:p>
        </w:tc>
        <w:tc>
          <w:tcPr>
            <w:tcW w:w="542"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1</w:t>
            </w:r>
            <w:r/>
          </w:p>
        </w:tc>
        <w:tc>
          <w:tcPr>
            <w:tcW w:w="679"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r>
            <w:r/>
          </w:p>
        </w:tc>
      </w:tr>
      <w:tr>
        <w:trPr/>
        <w:tc>
          <w:tcPr>
            <w:tcW w:w="913"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5</w:t>
            </w:r>
            <w:r/>
          </w:p>
        </w:tc>
        <w:tc>
          <w:tcPr>
            <w:tcW w:w="2365"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语音播报（全功能）</w:t>
            </w:r>
            <w:r/>
          </w:p>
        </w:tc>
        <w:tc>
          <w:tcPr>
            <w:tcW w:w="498"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台</w:t>
            </w:r>
            <w:r/>
          </w:p>
        </w:tc>
        <w:tc>
          <w:tcPr>
            <w:tcW w:w="542"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1</w:t>
            </w:r>
            <w:r/>
          </w:p>
        </w:tc>
        <w:tc>
          <w:tcPr>
            <w:tcW w:w="679"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r>
            <w:r/>
          </w:p>
        </w:tc>
      </w:tr>
      <w:tr>
        <w:trPr/>
        <w:tc>
          <w:tcPr>
            <w:tcW w:w="913"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6</w:t>
            </w:r>
            <w:r/>
          </w:p>
        </w:tc>
        <w:tc>
          <w:tcPr>
            <w:tcW w:w="2365"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报警音箱</w:t>
            </w:r>
            <w:r/>
          </w:p>
        </w:tc>
        <w:tc>
          <w:tcPr>
            <w:tcW w:w="498"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个</w:t>
            </w:r>
            <w:r/>
          </w:p>
        </w:tc>
        <w:tc>
          <w:tcPr>
            <w:tcW w:w="542"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1</w:t>
            </w:r>
            <w:r/>
          </w:p>
        </w:tc>
        <w:tc>
          <w:tcPr>
            <w:tcW w:w="679"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r>
            <w:r/>
          </w:p>
        </w:tc>
      </w:tr>
      <w:tr>
        <w:trPr/>
        <w:tc>
          <w:tcPr>
            <w:gridSpan w:val="5"/>
            <w:tcW w:w="5000"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b/>
                <w:bCs/>
                <w:color w:val="000000"/>
              </w:rPr>
              <w:t xml:space="preserve">三、管线及配件</w:t>
            </w:r>
            <w:r>
              <w:rPr>
                <w:rFonts w:hint="eastAsia" w:ascii="宋体" w:hAnsi="宋体" w:eastAsia="宋体" w:cs="宋体"/>
                <w:color w:val="000000"/>
              </w:rPr>
            </w:r>
            <w:r/>
          </w:p>
        </w:tc>
      </w:tr>
      <w:tr>
        <w:trPr/>
        <w:tc>
          <w:tcPr>
            <w:tcW w:w="913"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1</w:t>
            </w:r>
            <w:r/>
          </w:p>
        </w:tc>
        <w:tc>
          <w:tcPr>
            <w:tcW w:w="2365"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管材及线缆辅材等（含网线、电源线、信号线、KBG管、软管等）</w:t>
            </w:r>
            <w:r/>
          </w:p>
        </w:tc>
        <w:tc>
          <w:tcPr>
            <w:tcW w:w="498"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项</w:t>
            </w:r>
            <w:r/>
          </w:p>
        </w:tc>
        <w:tc>
          <w:tcPr>
            <w:tcW w:w="542"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1</w:t>
            </w:r>
            <w:r/>
          </w:p>
        </w:tc>
        <w:tc>
          <w:tcPr>
            <w:tcW w:w="679"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r>
            <w:r/>
          </w:p>
        </w:tc>
      </w:tr>
      <w:tr>
        <w:trPr/>
        <w:tc>
          <w:tcPr>
            <w:gridSpan w:val="5"/>
            <w:tcW w:w="5000"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b/>
                <w:bCs/>
                <w:color w:val="000000"/>
              </w:rPr>
              <w:t xml:space="preserve">四、安装调试</w:t>
            </w:r>
            <w:r>
              <w:rPr>
                <w:rFonts w:hint="eastAsia" w:ascii="宋体" w:hAnsi="宋体" w:eastAsia="宋体" w:cs="宋体"/>
                <w:color w:val="000000"/>
              </w:rPr>
            </w:r>
            <w:r/>
          </w:p>
        </w:tc>
      </w:tr>
      <w:tr>
        <w:trPr/>
        <w:tc>
          <w:tcPr>
            <w:tcW w:w="913"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1</w:t>
            </w:r>
            <w:r/>
          </w:p>
        </w:tc>
        <w:tc>
          <w:tcPr>
            <w:tcW w:w="2365"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安装调试</w:t>
            </w:r>
            <w:r/>
          </w:p>
        </w:tc>
        <w:tc>
          <w:tcPr>
            <w:tcW w:w="498"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项</w:t>
            </w:r>
            <w:r/>
          </w:p>
        </w:tc>
        <w:tc>
          <w:tcPr>
            <w:tcW w:w="542"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1</w:t>
            </w:r>
            <w:r/>
          </w:p>
        </w:tc>
        <w:tc>
          <w:tcPr>
            <w:tcW w:w="679"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r>
            <w:r/>
          </w:p>
        </w:tc>
      </w:tr>
    </w:tbl>
    <w:p>
      <w:pPr>
        <w:pStyle w:val="833"/>
        <w:ind w:firstLine="420"/>
        <w:jc w:val="both"/>
        <w:rPr>
          <w:rFonts w:hint="eastAsia" w:ascii="宋体" w:hAnsi="宋体" w:eastAsia="宋体" w:cs="宋体"/>
          <w:color w:val="000000"/>
          <w:sz w:val="21"/>
        </w:rPr>
      </w:pPr>
      <w:r/>
      <w:bookmarkStart w:id="28" w:name="_Toc224663309"/>
      <w:r>
        <w:rPr>
          <w:rFonts w:hint="eastAsia" w:ascii="宋体" w:hAnsi="宋体" w:eastAsia="宋体" w:cs="宋体"/>
          <w:color w:val="000000"/>
          <w:sz w:val="21"/>
        </w:rPr>
        <w:t xml:space="preserve">（四）主要元器件品牌表</w:t>
      </w:r>
      <w:bookmarkEnd w:id="28"/>
      <w:r>
        <w:rPr>
          <w:rFonts w:hint="eastAsia" w:ascii="宋体" w:hAnsi="宋体" w:eastAsia="宋体" w:cs="宋体"/>
          <w:color w:val="000000"/>
          <w:sz w:val="21"/>
        </w:rPr>
      </w:r>
      <w:r/>
    </w:p>
    <w:tbl>
      <w:tblPr>
        <w:tblW w:w="4907" w:type="pct"/>
        <w:tblInd w:w="1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6"/>
        <w:gridCol w:w="1740"/>
        <w:gridCol w:w="3890"/>
        <w:gridCol w:w="1620"/>
      </w:tblGrid>
      <w:tr>
        <w:trPr/>
        <w:tc>
          <w:tcPr>
            <w:tcW w:w="869"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名称</w:t>
            </w:r>
            <w:r/>
          </w:p>
        </w:tc>
        <w:tc>
          <w:tcPr>
            <w:tcW w:w="991"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品牌</w:t>
            </w:r>
            <w:r/>
          </w:p>
        </w:tc>
        <w:tc>
          <w:tcPr>
            <w:tcW w:w="2215"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参考品牌（系列）</w:t>
            </w:r>
            <w:r/>
          </w:p>
        </w:tc>
        <w:tc>
          <w:tcPr>
            <w:tcW w:w="922"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备注</w:t>
            </w:r>
            <w:r/>
          </w:p>
        </w:tc>
      </w:tr>
      <w:tr>
        <w:trPr>
          <w:cantSplit/>
        </w:trPr>
        <w:tc>
          <w:tcPr>
            <w:tcW w:w="869" w:type="pct"/>
            <w:vAlign w:val="center"/>
            <w:vMerge w:val="restart"/>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高压柜</w:t>
            </w:r>
            <w:r/>
          </w:p>
        </w:tc>
        <w:tc>
          <w:tcPr>
            <w:tcW w:w="991"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ABB</w:t>
            </w:r>
            <w:r/>
          </w:p>
        </w:tc>
        <w:tc>
          <w:tcPr>
            <w:tcW w:w="2215"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UniSec</w:t>
            </w:r>
            <w:r/>
          </w:p>
        </w:tc>
        <w:tc>
          <w:tcPr>
            <w:tcW w:w="922" w:type="pct"/>
            <w:vAlign w:val="center"/>
            <w:vMerge w:val="restart"/>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或同等档次</w:t>
            </w:r>
            <w:r/>
          </w:p>
        </w:tc>
      </w:tr>
      <w:tr>
        <w:trPr>
          <w:cantSplit/>
        </w:trPr>
        <w:tc>
          <w:tcPr>
            <w:tcW w:w="869" w:type="pct"/>
            <w:vAlign w:val="center"/>
            <w:vMerge w:val="continue"/>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r>
            <w:r/>
          </w:p>
        </w:tc>
        <w:tc>
          <w:tcPr>
            <w:tcW w:w="991"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施耐德</w:t>
            </w:r>
            <w:r/>
          </w:p>
        </w:tc>
        <w:tc>
          <w:tcPr>
            <w:tcW w:w="2215"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SM6</w:t>
            </w:r>
            <w:r/>
          </w:p>
        </w:tc>
        <w:tc>
          <w:tcPr>
            <w:tcW w:w="922" w:type="pct"/>
            <w:vAlign w:val="center"/>
            <w:vMerge w:val="continue"/>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r>
            <w:r/>
          </w:p>
        </w:tc>
      </w:tr>
      <w:tr>
        <w:trPr>
          <w:cantSplit/>
        </w:trPr>
        <w:tc>
          <w:tcPr>
            <w:tcW w:w="869" w:type="pct"/>
            <w:vAlign w:val="center"/>
            <w:vMerge w:val="continue"/>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r>
            <w:r/>
          </w:p>
        </w:tc>
        <w:tc>
          <w:tcPr>
            <w:tcW w:w="991"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西门子</w:t>
            </w:r>
            <w:r/>
          </w:p>
        </w:tc>
        <w:tc>
          <w:tcPr>
            <w:tcW w:w="2215"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Simosec 12</w:t>
            </w:r>
            <w:r/>
          </w:p>
        </w:tc>
        <w:tc>
          <w:tcPr>
            <w:tcW w:w="922" w:type="pct"/>
            <w:vAlign w:val="center"/>
            <w:vMerge w:val="continue"/>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r>
            <w:r/>
          </w:p>
        </w:tc>
      </w:tr>
      <w:tr>
        <w:trPr>
          <w:cantSplit/>
        </w:trPr>
        <w:tc>
          <w:tcPr>
            <w:tcW w:w="869" w:type="pct"/>
            <w:vAlign w:val="center"/>
            <w:vMerge w:val="restart"/>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变压器</w:t>
            </w:r>
            <w:r/>
          </w:p>
        </w:tc>
        <w:tc>
          <w:tcPr>
            <w:tcW w:w="991"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ABB</w:t>
            </w:r>
            <w:r/>
          </w:p>
        </w:tc>
        <w:tc>
          <w:tcPr>
            <w:tcW w:w="2215"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SCB14-1000kVA,10/0.4kV</w:t>
            </w:r>
            <w:r/>
          </w:p>
        </w:tc>
        <w:tc>
          <w:tcPr>
            <w:tcW w:w="922" w:type="pct"/>
            <w:vAlign w:val="center"/>
            <w:vMerge w:val="restart"/>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或同等档次</w:t>
            </w:r>
            <w:r/>
          </w:p>
        </w:tc>
      </w:tr>
      <w:tr>
        <w:trPr>
          <w:cantSplit/>
        </w:trPr>
        <w:tc>
          <w:tcPr>
            <w:tcW w:w="869" w:type="pct"/>
            <w:vAlign w:val="center"/>
            <w:vMerge w:val="continue"/>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r>
            <w:r/>
          </w:p>
        </w:tc>
        <w:tc>
          <w:tcPr>
            <w:tcW w:w="991"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施耐德</w:t>
            </w:r>
            <w:r/>
          </w:p>
        </w:tc>
        <w:tc>
          <w:tcPr>
            <w:tcW w:w="2215"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SCB14-1000kVA,10/0.4kV</w:t>
            </w:r>
            <w:r/>
          </w:p>
        </w:tc>
        <w:tc>
          <w:tcPr>
            <w:tcW w:w="922" w:type="pct"/>
            <w:vAlign w:val="center"/>
            <w:vMerge w:val="continue"/>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r>
            <w:r/>
          </w:p>
        </w:tc>
      </w:tr>
      <w:tr>
        <w:trPr>
          <w:cantSplit/>
        </w:trPr>
        <w:tc>
          <w:tcPr>
            <w:tcW w:w="869" w:type="pct"/>
            <w:vAlign w:val="center"/>
            <w:vMerge w:val="continue"/>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r>
            <w:r/>
          </w:p>
        </w:tc>
        <w:tc>
          <w:tcPr>
            <w:tcW w:w="991"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西门子</w:t>
            </w:r>
            <w:r/>
          </w:p>
        </w:tc>
        <w:tc>
          <w:tcPr>
            <w:tcW w:w="2215"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SCB14-1000kVA,10/0.4kV</w:t>
            </w:r>
            <w:r/>
          </w:p>
        </w:tc>
        <w:tc>
          <w:tcPr>
            <w:tcW w:w="922" w:type="pct"/>
            <w:vAlign w:val="center"/>
            <w:vMerge w:val="continue"/>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r>
            <w:r/>
          </w:p>
        </w:tc>
      </w:tr>
      <w:tr>
        <w:trPr>
          <w:cantSplit/>
        </w:trPr>
        <w:tc>
          <w:tcPr>
            <w:tcW w:w="869" w:type="pct"/>
            <w:vAlign w:val="center"/>
            <w:vMerge w:val="restart"/>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低压柜</w:t>
            </w:r>
            <w:r/>
          </w:p>
        </w:tc>
        <w:tc>
          <w:tcPr>
            <w:tcW w:w="991"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ABB</w:t>
            </w:r>
            <w:r/>
          </w:p>
        </w:tc>
        <w:tc>
          <w:tcPr>
            <w:tcW w:w="2215"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MNS3.0</w:t>
            </w:r>
            <w:r/>
          </w:p>
        </w:tc>
        <w:tc>
          <w:tcPr>
            <w:tcW w:w="922" w:type="pct"/>
            <w:vAlign w:val="center"/>
            <w:vMerge w:val="restart"/>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或同等档次</w:t>
            </w:r>
            <w:r/>
          </w:p>
        </w:tc>
      </w:tr>
      <w:tr>
        <w:trPr>
          <w:cantSplit/>
        </w:trPr>
        <w:tc>
          <w:tcPr>
            <w:tcW w:w="869" w:type="pct"/>
            <w:vAlign w:val="center"/>
            <w:vMerge w:val="continue"/>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r>
            <w:r/>
          </w:p>
        </w:tc>
        <w:tc>
          <w:tcPr>
            <w:tcW w:w="991"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施耐德</w:t>
            </w:r>
            <w:r/>
          </w:p>
        </w:tc>
        <w:tc>
          <w:tcPr>
            <w:tcW w:w="2215"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BlokSeT</w:t>
            </w:r>
            <w:r/>
          </w:p>
        </w:tc>
        <w:tc>
          <w:tcPr>
            <w:tcW w:w="922" w:type="pct"/>
            <w:vAlign w:val="center"/>
            <w:vMerge w:val="continue"/>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r>
            <w:r/>
          </w:p>
        </w:tc>
      </w:tr>
      <w:tr>
        <w:trPr>
          <w:cantSplit/>
        </w:trPr>
        <w:tc>
          <w:tcPr>
            <w:tcW w:w="869" w:type="pct"/>
            <w:vAlign w:val="center"/>
            <w:vMerge w:val="continue"/>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r>
            <w:r/>
          </w:p>
        </w:tc>
        <w:tc>
          <w:tcPr>
            <w:tcW w:w="991"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西门子</w:t>
            </w:r>
            <w:r/>
          </w:p>
        </w:tc>
        <w:tc>
          <w:tcPr>
            <w:tcW w:w="2215"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SIVACON S8</w:t>
            </w:r>
            <w:r/>
          </w:p>
        </w:tc>
        <w:tc>
          <w:tcPr>
            <w:tcW w:w="922" w:type="pct"/>
            <w:vAlign w:val="center"/>
            <w:vMerge w:val="continue"/>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r>
            <w:r/>
          </w:p>
        </w:tc>
      </w:tr>
      <w:tr>
        <w:trPr>
          <w:cantSplit/>
          <w:trHeight w:val="227"/>
        </w:trPr>
        <w:tc>
          <w:tcPr>
            <w:tcW w:w="869" w:type="pct"/>
            <w:vAlign w:val="center"/>
            <w:vMerge w:val="restart"/>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框架断路器</w:t>
            </w:r>
            <w:r/>
          </w:p>
        </w:tc>
        <w:tc>
          <w:tcPr>
            <w:tcW w:w="991"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ABB</w:t>
            </w:r>
            <w:r/>
          </w:p>
        </w:tc>
        <w:tc>
          <w:tcPr>
            <w:tcW w:w="2215"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Emax2系列Hi-Touch</w:t>
            </w:r>
            <w:r/>
          </w:p>
        </w:tc>
        <w:tc>
          <w:tcPr>
            <w:tcW w:w="922" w:type="pct"/>
            <w:vAlign w:val="center"/>
            <w:vMerge w:val="restart"/>
            <w:textDirection w:val="lrTb"/>
            <w:noWrap w:val="false"/>
          </w:tcPr>
          <w:p>
            <w:pPr>
              <w:pStyle w:val="831"/>
              <w:jc w:val="center"/>
              <w:spacing w:line="360" w:lineRule="auto"/>
              <w:rPr>
                <w:rFonts w:hint="eastAsia" w:ascii="宋体" w:hAnsi="宋体" w:eastAsia="宋体" w:cs="宋体"/>
                <w:color w:val="000000"/>
              </w:rPr>
            </w:pPr>
            <w:r>
              <w:rPr>
                <w:rFonts w:hint="eastAsia" w:ascii="宋体" w:hAnsi="宋体" w:eastAsia="宋体" w:cs="宋体"/>
                <w:color w:val="000000"/>
              </w:rPr>
              <w:t xml:space="preserve">或同等档次</w:t>
            </w:r>
            <w:r/>
          </w:p>
        </w:tc>
      </w:tr>
      <w:tr>
        <w:trPr>
          <w:cantSplit/>
        </w:trPr>
        <w:tc>
          <w:tcPr>
            <w:tcW w:w="869" w:type="pct"/>
            <w:vAlign w:val="center"/>
            <w:vMerge w:val="continue"/>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r>
            <w:r/>
          </w:p>
        </w:tc>
        <w:tc>
          <w:tcPr>
            <w:tcW w:w="991"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施耐德</w:t>
            </w:r>
            <w:r/>
          </w:p>
        </w:tc>
        <w:tc>
          <w:tcPr>
            <w:tcW w:w="2215"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MT系列5.0D</w:t>
            </w:r>
            <w:r/>
          </w:p>
        </w:tc>
        <w:tc>
          <w:tcPr>
            <w:tcW w:w="922" w:type="pct"/>
            <w:vAlign w:val="center"/>
            <w:vMerge w:val="continue"/>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r>
            <w:r/>
          </w:p>
        </w:tc>
      </w:tr>
      <w:tr>
        <w:trPr>
          <w:cantSplit/>
          <w:trHeight w:val="278"/>
        </w:trPr>
        <w:tc>
          <w:tcPr>
            <w:tcW w:w="869" w:type="pct"/>
            <w:vAlign w:val="center"/>
            <w:vMerge w:val="continue"/>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r>
            <w:r/>
          </w:p>
        </w:tc>
        <w:tc>
          <w:tcPr>
            <w:tcW w:w="991"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西门子</w:t>
            </w:r>
            <w:r/>
          </w:p>
        </w:tc>
        <w:tc>
          <w:tcPr>
            <w:tcW w:w="2215"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3WL系列ETU76B+MEA</w:t>
            </w:r>
            <w:r/>
          </w:p>
        </w:tc>
        <w:tc>
          <w:tcPr>
            <w:tcW w:w="922" w:type="pct"/>
            <w:vAlign w:val="center"/>
            <w:vMerge w:val="continue"/>
            <w:textDirection w:val="lrTb"/>
            <w:noWrap w:val="false"/>
          </w:tcPr>
          <w:p>
            <w:pPr>
              <w:pStyle w:val="831"/>
              <w:jc w:val="center"/>
              <w:spacing w:line="360" w:lineRule="auto"/>
              <w:rPr>
                <w:rFonts w:hint="eastAsia" w:ascii="宋体" w:hAnsi="宋体" w:eastAsia="宋体" w:cs="宋体"/>
                <w:color w:val="000000"/>
              </w:rPr>
            </w:pPr>
            <w:r>
              <w:rPr>
                <w:rFonts w:hint="eastAsia" w:ascii="宋体" w:hAnsi="宋体" w:eastAsia="宋体" w:cs="宋体"/>
                <w:color w:val="000000"/>
              </w:rPr>
            </w:r>
            <w:r/>
          </w:p>
        </w:tc>
      </w:tr>
      <w:tr>
        <w:trPr>
          <w:cantSplit/>
          <w:trHeight w:val="195"/>
        </w:trPr>
        <w:tc>
          <w:tcPr>
            <w:tcW w:w="869" w:type="pct"/>
            <w:vAlign w:val="center"/>
            <w:vMerge w:val="restart"/>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塑壳断路器</w:t>
            </w:r>
            <w:r/>
          </w:p>
        </w:tc>
        <w:tc>
          <w:tcPr>
            <w:tcW w:w="991"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ABB</w:t>
            </w:r>
            <w:r/>
          </w:p>
        </w:tc>
        <w:tc>
          <w:tcPr>
            <w:tcW w:w="2215"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Tmax XT系列Ekip Touch Measuring</w:t>
            </w:r>
            <w:r/>
          </w:p>
        </w:tc>
        <w:tc>
          <w:tcPr>
            <w:tcW w:w="922" w:type="pct"/>
            <w:vAlign w:val="center"/>
            <w:vMerge w:val="restart"/>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或同等档次</w:t>
            </w:r>
            <w:r/>
          </w:p>
        </w:tc>
      </w:tr>
      <w:tr>
        <w:trPr>
          <w:cantSplit/>
          <w:trHeight w:val="313"/>
        </w:trPr>
        <w:tc>
          <w:tcPr>
            <w:tcW w:w="869" w:type="pct"/>
            <w:vAlign w:val="center"/>
            <w:vMerge w:val="continue"/>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r>
            <w:r/>
          </w:p>
        </w:tc>
        <w:tc>
          <w:tcPr>
            <w:tcW w:w="991"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施耐德</w:t>
            </w:r>
            <w:r/>
          </w:p>
        </w:tc>
        <w:tc>
          <w:tcPr>
            <w:tcW w:w="2215"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NSX系列Mic5.2/3</w:t>
            </w:r>
            <w:r/>
          </w:p>
        </w:tc>
        <w:tc>
          <w:tcPr>
            <w:tcW w:w="922" w:type="pct"/>
            <w:vAlign w:val="center"/>
            <w:vMerge w:val="continue"/>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r>
            <w:r/>
          </w:p>
        </w:tc>
      </w:tr>
      <w:tr>
        <w:trPr>
          <w:cantSplit/>
          <w:trHeight w:val="225"/>
        </w:trPr>
        <w:tc>
          <w:tcPr>
            <w:tcW w:w="869" w:type="pct"/>
            <w:vAlign w:val="center"/>
            <w:vMerge w:val="continue"/>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r>
            <w:r/>
          </w:p>
        </w:tc>
        <w:tc>
          <w:tcPr>
            <w:tcW w:w="991"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西门子</w:t>
            </w:r>
            <w:r/>
          </w:p>
        </w:tc>
        <w:tc>
          <w:tcPr>
            <w:tcW w:w="2215"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3VA系列ETU850</w:t>
            </w:r>
            <w:r/>
          </w:p>
        </w:tc>
        <w:tc>
          <w:tcPr>
            <w:tcW w:w="922" w:type="pct"/>
            <w:vAlign w:val="center"/>
            <w:vMerge w:val="continue"/>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r>
            <w:r/>
          </w:p>
        </w:tc>
      </w:tr>
      <w:tr>
        <w:trPr>
          <w:cantSplit/>
          <w:trHeight w:val="225"/>
        </w:trPr>
        <w:tc>
          <w:tcPr>
            <w:tcW w:w="869" w:type="pct"/>
            <w:vAlign w:val="center"/>
            <w:vMerge w:val="restart"/>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微型断路器</w:t>
            </w:r>
            <w:r/>
          </w:p>
        </w:tc>
        <w:tc>
          <w:tcPr>
            <w:tcW w:w="991"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ABB</w:t>
            </w:r>
            <w:r/>
          </w:p>
        </w:tc>
        <w:tc>
          <w:tcPr>
            <w:tcW w:w="2215"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S200系列</w:t>
            </w:r>
            <w:r/>
          </w:p>
        </w:tc>
        <w:tc>
          <w:tcPr>
            <w:tcW w:w="922" w:type="pct"/>
            <w:vAlign w:val="center"/>
            <w:vMerge w:val="restart"/>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或同等档次</w:t>
            </w:r>
            <w:r/>
          </w:p>
        </w:tc>
      </w:tr>
      <w:tr>
        <w:trPr>
          <w:cantSplit/>
          <w:trHeight w:val="225"/>
        </w:trPr>
        <w:tc>
          <w:tcPr>
            <w:tcW w:w="869" w:type="pct"/>
            <w:vAlign w:val="center"/>
            <w:vMerge w:val="continue"/>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r>
            <w:r/>
          </w:p>
        </w:tc>
        <w:tc>
          <w:tcPr>
            <w:tcW w:w="991"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施耐德</w:t>
            </w:r>
            <w:r/>
          </w:p>
        </w:tc>
        <w:tc>
          <w:tcPr>
            <w:tcW w:w="2215"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iC65系列</w:t>
            </w:r>
            <w:r/>
          </w:p>
        </w:tc>
        <w:tc>
          <w:tcPr>
            <w:tcW w:w="922" w:type="pct"/>
            <w:vAlign w:val="center"/>
            <w:vMerge w:val="continue"/>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r>
            <w:r/>
          </w:p>
        </w:tc>
      </w:tr>
      <w:tr>
        <w:trPr>
          <w:cantSplit/>
          <w:trHeight w:val="225"/>
        </w:trPr>
        <w:tc>
          <w:tcPr>
            <w:tcW w:w="869" w:type="pct"/>
            <w:vAlign w:val="center"/>
            <w:vMerge w:val="continue"/>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r>
            <w:r/>
          </w:p>
        </w:tc>
        <w:tc>
          <w:tcPr>
            <w:tcW w:w="991"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西门子</w:t>
            </w:r>
            <w:r/>
          </w:p>
        </w:tc>
        <w:tc>
          <w:tcPr>
            <w:tcW w:w="2215"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5SY系列</w:t>
            </w:r>
            <w:r/>
          </w:p>
        </w:tc>
        <w:tc>
          <w:tcPr>
            <w:tcW w:w="922" w:type="pct"/>
            <w:vAlign w:val="center"/>
            <w:vMerge w:val="continue"/>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r>
            <w:r/>
          </w:p>
        </w:tc>
      </w:tr>
      <w:tr>
        <w:trPr>
          <w:cantSplit/>
          <w:trHeight w:val="240"/>
        </w:trPr>
        <w:tc>
          <w:tcPr>
            <w:tcW w:w="869" w:type="pct"/>
            <w:vAlign w:val="center"/>
            <w:vMerge w:val="restart"/>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多功能表计</w:t>
            </w:r>
            <w:r/>
          </w:p>
        </w:tc>
        <w:tc>
          <w:tcPr>
            <w:tcW w:w="991"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ABB</w:t>
            </w:r>
            <w:r/>
          </w:p>
        </w:tc>
        <w:tc>
          <w:tcPr>
            <w:tcW w:w="2215"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M4M-30系列</w:t>
            </w:r>
            <w:r/>
          </w:p>
        </w:tc>
        <w:tc>
          <w:tcPr>
            <w:tcW w:w="922" w:type="pct"/>
            <w:vAlign w:val="center"/>
            <w:vMerge w:val="restart"/>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或同等档次</w:t>
            </w:r>
            <w:r/>
          </w:p>
        </w:tc>
      </w:tr>
      <w:tr>
        <w:trPr>
          <w:cantSplit/>
          <w:trHeight w:val="225"/>
        </w:trPr>
        <w:tc>
          <w:tcPr>
            <w:tcW w:w="869" w:type="pct"/>
            <w:vAlign w:val="center"/>
            <w:vMerge w:val="continue"/>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r>
            <w:r/>
          </w:p>
        </w:tc>
        <w:tc>
          <w:tcPr>
            <w:tcW w:w="991"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施耐德</w:t>
            </w:r>
            <w:r/>
          </w:p>
        </w:tc>
        <w:tc>
          <w:tcPr>
            <w:tcW w:w="2215"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PM4000系列</w:t>
            </w:r>
            <w:r/>
          </w:p>
        </w:tc>
        <w:tc>
          <w:tcPr>
            <w:tcW w:w="922" w:type="pct"/>
            <w:vAlign w:val="center"/>
            <w:vMerge w:val="continue"/>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r>
            <w:r/>
          </w:p>
        </w:tc>
      </w:tr>
      <w:tr>
        <w:trPr>
          <w:cantSplit/>
          <w:trHeight w:val="213"/>
        </w:trPr>
        <w:tc>
          <w:tcPr>
            <w:tcW w:w="869" w:type="pct"/>
            <w:vAlign w:val="center"/>
            <w:vMerge w:val="continue"/>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r>
            <w:r/>
          </w:p>
        </w:tc>
        <w:tc>
          <w:tcPr>
            <w:tcW w:w="991"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西门子</w:t>
            </w:r>
            <w:r/>
          </w:p>
        </w:tc>
        <w:tc>
          <w:tcPr>
            <w:tcW w:w="2215"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PAC4200系列</w:t>
            </w:r>
            <w:r/>
          </w:p>
        </w:tc>
        <w:tc>
          <w:tcPr>
            <w:tcW w:w="922" w:type="pct"/>
            <w:vAlign w:val="center"/>
            <w:vMerge w:val="continue"/>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r>
            <w:r/>
          </w:p>
        </w:tc>
      </w:tr>
      <w:tr>
        <w:trPr>
          <w:cantSplit/>
          <w:trHeight w:val="213"/>
        </w:trPr>
        <w:tc>
          <w:tcPr>
            <w:tcW w:w="869" w:type="pct"/>
            <w:vAlign w:val="center"/>
            <w:vMerge w:val="restart"/>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无功补偿</w:t>
            </w:r>
            <w:r/>
          </w:p>
        </w:tc>
        <w:tc>
          <w:tcPr>
            <w:tcW w:w="991"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ABB</w:t>
            </w:r>
            <w:r/>
          </w:p>
        </w:tc>
        <w:tc>
          <w:tcPr>
            <w:tcW w:w="2215"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Qcap系列</w:t>
            </w:r>
            <w:r/>
          </w:p>
        </w:tc>
        <w:tc>
          <w:tcPr>
            <w:tcW w:w="922" w:type="pct"/>
            <w:vAlign w:val="center"/>
            <w:vMerge w:val="restart"/>
            <w:textDirection w:val="lrTb"/>
            <w:noWrap w:val="false"/>
          </w:tcPr>
          <w:p>
            <w:pPr>
              <w:pStyle w:val="831"/>
              <w:jc w:val="center"/>
              <w:spacing w:line="360" w:lineRule="auto"/>
              <w:rPr>
                <w:rFonts w:hint="eastAsia" w:ascii="宋体" w:hAnsi="宋体" w:eastAsia="宋体" w:cs="宋体"/>
                <w:color w:val="000000"/>
              </w:rPr>
            </w:pPr>
            <w:r>
              <w:rPr>
                <w:rFonts w:hint="eastAsia" w:ascii="宋体" w:hAnsi="宋体" w:eastAsia="宋体" w:cs="宋体"/>
                <w:color w:val="000000"/>
              </w:rPr>
              <w:t xml:space="preserve">或同等档次</w:t>
            </w:r>
            <w:r/>
          </w:p>
        </w:tc>
      </w:tr>
      <w:tr>
        <w:trPr>
          <w:cantSplit/>
          <w:trHeight w:val="213"/>
        </w:trPr>
        <w:tc>
          <w:tcPr>
            <w:tcW w:w="869" w:type="pct"/>
            <w:vAlign w:val="center"/>
            <w:vMerge w:val="continue"/>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r>
            <w:r/>
          </w:p>
        </w:tc>
        <w:tc>
          <w:tcPr>
            <w:tcW w:w="991"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施耐德</w:t>
            </w:r>
            <w:r/>
          </w:p>
        </w:tc>
        <w:tc>
          <w:tcPr>
            <w:tcW w:w="2215"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EasyCan系列</w:t>
            </w:r>
            <w:r/>
          </w:p>
        </w:tc>
        <w:tc>
          <w:tcPr>
            <w:tcW w:w="922" w:type="pct"/>
            <w:vAlign w:val="center"/>
            <w:vMerge w:val="continue"/>
            <w:textDirection w:val="lrTb"/>
            <w:noWrap w:val="false"/>
          </w:tcPr>
          <w:p>
            <w:pPr>
              <w:pStyle w:val="831"/>
              <w:jc w:val="center"/>
              <w:spacing w:line="360" w:lineRule="auto"/>
              <w:rPr>
                <w:rFonts w:hint="eastAsia" w:ascii="宋体" w:hAnsi="宋体" w:eastAsia="宋体" w:cs="宋体"/>
                <w:color w:val="000000"/>
              </w:rPr>
            </w:pPr>
            <w:r>
              <w:rPr>
                <w:rFonts w:hint="eastAsia" w:ascii="宋体" w:hAnsi="宋体" w:eastAsia="宋体" w:cs="宋体"/>
                <w:color w:val="000000"/>
              </w:rPr>
            </w:r>
            <w:r/>
          </w:p>
        </w:tc>
      </w:tr>
      <w:tr>
        <w:trPr>
          <w:cantSplit/>
          <w:trHeight w:val="213"/>
        </w:trPr>
        <w:tc>
          <w:tcPr>
            <w:tcW w:w="869" w:type="pct"/>
            <w:vAlign w:val="center"/>
            <w:vMerge w:val="continue"/>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r>
            <w:r/>
          </w:p>
        </w:tc>
        <w:tc>
          <w:tcPr>
            <w:tcW w:w="991"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西门子</w:t>
            </w:r>
            <w:r/>
          </w:p>
        </w:tc>
        <w:tc>
          <w:tcPr>
            <w:tcW w:w="2215"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4RB8系列</w:t>
            </w:r>
            <w:r/>
          </w:p>
        </w:tc>
        <w:tc>
          <w:tcPr>
            <w:tcW w:w="922" w:type="pct"/>
            <w:vAlign w:val="center"/>
            <w:vMerge w:val="continue"/>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r>
            <w:r/>
          </w:p>
        </w:tc>
      </w:tr>
      <w:tr>
        <w:trPr>
          <w:cantSplit/>
          <w:trHeight w:val="285"/>
        </w:trPr>
        <w:tc>
          <w:tcPr>
            <w:tcW w:w="869" w:type="pct"/>
            <w:vAlign w:val="center"/>
            <w:vMerge w:val="restart"/>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电力监控系统</w:t>
            </w:r>
            <w:r/>
          </w:p>
        </w:tc>
        <w:tc>
          <w:tcPr>
            <w:tcW w:w="991"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ABB</w:t>
            </w:r>
            <w:r/>
          </w:p>
        </w:tc>
        <w:tc>
          <w:tcPr>
            <w:tcW w:w="2215"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Micro SCADA</w:t>
            </w:r>
            <w:r/>
          </w:p>
        </w:tc>
        <w:tc>
          <w:tcPr>
            <w:tcW w:w="922" w:type="pct"/>
            <w:vAlign w:val="center"/>
            <w:vMerge w:val="restart"/>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或同等档次</w:t>
            </w:r>
            <w:r/>
          </w:p>
        </w:tc>
      </w:tr>
      <w:tr>
        <w:trPr>
          <w:cantSplit/>
          <w:trHeight w:val="285"/>
        </w:trPr>
        <w:tc>
          <w:tcPr>
            <w:tcW w:w="869" w:type="pct"/>
            <w:vAlign w:val="center"/>
            <w:vMerge w:val="continue"/>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r>
            <w:r/>
          </w:p>
        </w:tc>
        <w:tc>
          <w:tcPr>
            <w:tcW w:w="991"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施耐德</w:t>
            </w:r>
            <w:r/>
          </w:p>
        </w:tc>
        <w:tc>
          <w:tcPr>
            <w:tcW w:w="2215"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Power Operation</w:t>
            </w:r>
            <w:r/>
          </w:p>
        </w:tc>
        <w:tc>
          <w:tcPr>
            <w:tcW w:w="922" w:type="pct"/>
            <w:vAlign w:val="center"/>
            <w:vMerge w:val="continue"/>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r>
            <w:r/>
          </w:p>
        </w:tc>
      </w:tr>
      <w:tr>
        <w:trPr>
          <w:cantSplit/>
          <w:trHeight w:val="285"/>
        </w:trPr>
        <w:tc>
          <w:tcPr>
            <w:tcW w:w="869" w:type="pct"/>
            <w:vAlign w:val="center"/>
            <w:vMerge w:val="continue"/>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r>
            <w:r/>
          </w:p>
        </w:tc>
        <w:tc>
          <w:tcPr>
            <w:tcW w:w="991"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西门子</w:t>
            </w:r>
            <w:r/>
          </w:p>
        </w:tc>
        <w:tc>
          <w:tcPr>
            <w:tcW w:w="2215"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Spectrum Power 7</w:t>
            </w:r>
            <w:r/>
          </w:p>
        </w:tc>
        <w:tc>
          <w:tcPr>
            <w:tcW w:w="922" w:type="pct"/>
            <w:vAlign w:val="center"/>
            <w:vMerge w:val="continue"/>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r>
            <w:r/>
          </w:p>
        </w:tc>
      </w:tr>
      <w:tr>
        <w:trPr>
          <w:cantSplit/>
          <w:trHeight w:val="285"/>
        </w:trPr>
        <w:tc>
          <w:tcPr>
            <w:tcBorders>
              <w:top w:val="single" w:color="000000" w:sz="4" w:space="0"/>
              <w:left w:val="single" w:color="000000" w:sz="4" w:space="0"/>
              <w:right w:val="single" w:color="000000" w:sz="4" w:space="0"/>
            </w:tcBorders>
            <w:tcW w:w="869" w:type="pct"/>
            <w:vAlign w:val="center"/>
            <w:vMerge w:val="restart"/>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智能管理单元</w:t>
            </w:r>
            <w:r/>
          </w:p>
        </w:tc>
        <w:tc>
          <w:tcPr>
            <w:tcBorders>
              <w:top w:val="single" w:color="000000" w:sz="4" w:space="0"/>
              <w:left w:val="single" w:color="000000" w:sz="4" w:space="0"/>
              <w:bottom w:val="single" w:color="000000" w:sz="4" w:space="0"/>
              <w:right w:val="single" w:color="000000" w:sz="4" w:space="0"/>
            </w:tcBorders>
            <w:tcW w:w="991"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ABB</w:t>
            </w:r>
            <w:r/>
          </w:p>
        </w:tc>
        <w:tc>
          <w:tcPr>
            <w:tcBorders>
              <w:top w:val="single" w:color="000000" w:sz="4" w:space="0"/>
              <w:left w:val="single" w:color="000000" w:sz="4" w:space="0"/>
              <w:bottom w:val="single" w:color="000000" w:sz="4" w:space="0"/>
              <w:right w:val="single" w:color="000000" w:sz="4" w:space="0"/>
            </w:tcBorders>
            <w:tcW w:w="2215"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Smart BOX v2</w:t>
            </w:r>
            <w:r/>
          </w:p>
        </w:tc>
        <w:tc>
          <w:tcPr>
            <w:tcBorders>
              <w:top w:val="single" w:color="000000" w:sz="4" w:space="0"/>
              <w:left w:val="single" w:color="000000" w:sz="4" w:space="0"/>
              <w:right w:val="single" w:color="000000" w:sz="4" w:space="0"/>
            </w:tcBorders>
            <w:tcW w:w="922" w:type="pct"/>
            <w:vAlign w:val="center"/>
            <w:vMerge w:val="restart"/>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或同等档次</w:t>
            </w:r>
            <w:r/>
          </w:p>
        </w:tc>
      </w:tr>
      <w:tr>
        <w:trPr>
          <w:cantSplit/>
          <w:trHeight w:val="285"/>
        </w:trPr>
        <w:tc>
          <w:tcPr>
            <w:tcBorders>
              <w:left w:val="single" w:color="000000" w:sz="4" w:space="0"/>
              <w:right w:val="single" w:color="000000" w:sz="4" w:space="0"/>
            </w:tcBorders>
            <w:tcW w:w="869" w:type="pct"/>
            <w:vAlign w:val="center"/>
            <w:vMerge w:val="continue"/>
            <w:textDirection w:val="lrTb"/>
            <w:noWrap w:val="false"/>
          </w:tcPr>
          <w:p>
            <w:pPr>
              <w:pStyle w:val="854"/>
              <w:ind w:firstLine="0"/>
              <w:jc w:val="both"/>
              <w:rPr>
                <w:rFonts w:hint="eastAsia" w:ascii="宋体" w:hAnsi="宋体" w:eastAsia="宋体" w:cs="宋体"/>
                <w:color w:val="000000"/>
                <w:szCs w:val="22"/>
              </w:rPr>
            </w:pPr>
            <w:r>
              <w:rPr>
                <w:rFonts w:hint="eastAsia" w:ascii="宋体" w:hAnsi="宋体" w:eastAsia="宋体" w:cs="宋体"/>
                <w:color w:val="000000"/>
                <w:szCs w:val="22"/>
              </w:rPr>
            </w:r>
            <w:r/>
          </w:p>
        </w:tc>
        <w:tc>
          <w:tcPr>
            <w:tcBorders>
              <w:top w:val="single" w:color="000000" w:sz="4" w:space="0"/>
              <w:left w:val="single" w:color="000000" w:sz="4" w:space="0"/>
              <w:bottom w:val="single" w:color="000000" w:sz="4" w:space="0"/>
              <w:right w:val="single" w:color="000000" w:sz="4" w:space="0"/>
            </w:tcBorders>
            <w:tcW w:w="991"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施耐德</w:t>
            </w:r>
            <w:r/>
          </w:p>
        </w:tc>
        <w:tc>
          <w:tcPr>
            <w:tcBorders>
              <w:top w:val="single" w:color="000000" w:sz="4" w:space="0"/>
              <w:left w:val="single" w:color="000000" w:sz="4" w:space="0"/>
              <w:bottom w:val="single" w:color="000000" w:sz="4" w:space="0"/>
              <w:right w:val="single" w:color="000000" w:sz="4" w:space="0"/>
            </w:tcBorders>
            <w:tcW w:w="2215"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POI</w:t>
            </w:r>
            <w:r/>
          </w:p>
        </w:tc>
        <w:tc>
          <w:tcPr>
            <w:tcBorders>
              <w:left w:val="single" w:color="000000" w:sz="4" w:space="0"/>
              <w:right w:val="single" w:color="000000" w:sz="4" w:space="0"/>
            </w:tcBorders>
            <w:tcW w:w="922" w:type="pct"/>
            <w:vAlign w:val="center"/>
            <w:vMerge w:val="continue"/>
            <w:textDirection w:val="lrTb"/>
            <w:noWrap w:val="false"/>
          </w:tcPr>
          <w:p>
            <w:pPr>
              <w:pStyle w:val="854"/>
              <w:ind w:firstLine="0"/>
              <w:jc w:val="both"/>
              <w:rPr>
                <w:rFonts w:hint="eastAsia" w:ascii="宋体" w:hAnsi="宋体" w:eastAsia="宋体" w:cs="宋体"/>
                <w:color w:val="000000"/>
                <w:szCs w:val="22"/>
              </w:rPr>
            </w:pPr>
            <w:r>
              <w:rPr>
                <w:rFonts w:hint="eastAsia" w:ascii="宋体" w:hAnsi="宋体" w:eastAsia="宋体" w:cs="宋体"/>
                <w:color w:val="000000"/>
                <w:szCs w:val="22"/>
              </w:rPr>
            </w:r>
            <w:r/>
          </w:p>
        </w:tc>
      </w:tr>
      <w:tr>
        <w:trPr>
          <w:cantSplit/>
          <w:trHeight w:val="285"/>
        </w:trPr>
        <w:tc>
          <w:tcPr>
            <w:tcBorders>
              <w:left w:val="single" w:color="000000" w:sz="4" w:space="0"/>
              <w:right w:val="single" w:color="000000" w:sz="4" w:space="0"/>
            </w:tcBorders>
            <w:tcW w:w="869" w:type="pct"/>
            <w:vAlign w:val="center"/>
            <w:vMerge w:val="continue"/>
            <w:textDirection w:val="lrTb"/>
            <w:noWrap w:val="false"/>
          </w:tcPr>
          <w:p>
            <w:pPr>
              <w:pStyle w:val="854"/>
              <w:ind w:firstLine="0"/>
              <w:jc w:val="both"/>
              <w:rPr>
                <w:rFonts w:hint="eastAsia" w:ascii="仿宋" w:hAnsi="仿宋" w:eastAsia="仿宋" w:cs="仿宋"/>
                <w:color w:val="000000"/>
                <w:szCs w:val="24"/>
              </w:rPr>
            </w:pPr>
            <w:r>
              <w:rPr>
                <w:rFonts w:hint="eastAsia" w:ascii="仿宋" w:hAnsi="仿宋" w:eastAsia="仿宋" w:cs="仿宋"/>
                <w:color w:val="000000"/>
                <w:szCs w:val="24"/>
              </w:rPr>
            </w:r>
            <w:r/>
          </w:p>
        </w:tc>
        <w:tc>
          <w:tcPr>
            <w:tcBorders>
              <w:top w:val="single" w:color="000000" w:sz="4" w:space="0"/>
              <w:left w:val="single" w:color="000000" w:sz="4" w:space="0"/>
              <w:bottom w:val="single" w:color="000000" w:sz="4" w:space="0"/>
              <w:right w:val="single" w:color="000000" w:sz="4" w:space="0"/>
            </w:tcBorders>
            <w:tcW w:w="991" w:type="pct"/>
            <w:vAlign w:val="center"/>
            <w:textDirection w:val="lrTb"/>
            <w:noWrap w:val="false"/>
          </w:tcPr>
          <w:p>
            <w:pPr>
              <w:pStyle w:val="854"/>
              <w:ind w:firstLine="0"/>
              <w:jc w:val="center"/>
              <w:rPr>
                <w:rFonts w:hint="eastAsia" w:ascii="仿宋" w:hAnsi="仿宋" w:eastAsia="仿宋" w:cs="仿宋"/>
                <w:color w:val="000000"/>
                <w:szCs w:val="24"/>
              </w:rPr>
            </w:pPr>
            <w:r>
              <w:rPr>
                <w:rFonts w:hint="eastAsia" w:ascii="仿宋" w:hAnsi="仿宋" w:eastAsia="仿宋" w:cs="仿宋"/>
                <w:color w:val="000000"/>
                <w:szCs w:val="24"/>
              </w:rPr>
              <w:t xml:space="preserve">西门子</w:t>
            </w:r>
            <w:r/>
          </w:p>
        </w:tc>
        <w:tc>
          <w:tcPr>
            <w:tcBorders>
              <w:top w:val="single" w:color="000000" w:sz="4" w:space="0"/>
              <w:left w:val="single" w:color="000000" w:sz="4" w:space="0"/>
              <w:bottom w:val="single" w:color="000000" w:sz="4" w:space="0"/>
              <w:right w:val="single" w:color="000000" w:sz="4" w:space="0"/>
            </w:tcBorders>
            <w:tcW w:w="2215" w:type="pct"/>
            <w:vAlign w:val="center"/>
            <w:textDirection w:val="lrTb"/>
            <w:noWrap w:val="false"/>
          </w:tcPr>
          <w:p>
            <w:pPr>
              <w:pStyle w:val="854"/>
              <w:ind w:firstLine="0"/>
              <w:jc w:val="center"/>
              <w:rPr>
                <w:rFonts w:hint="eastAsia" w:ascii="仿宋" w:hAnsi="仿宋" w:eastAsia="仿宋" w:cs="仿宋"/>
                <w:color w:val="000000"/>
                <w:szCs w:val="24"/>
              </w:rPr>
            </w:pPr>
            <w:r>
              <w:rPr>
                <w:rFonts w:hint="eastAsia" w:ascii="仿宋" w:hAnsi="仿宋" w:eastAsia="仿宋" w:cs="仿宋"/>
                <w:color w:val="000000"/>
                <w:szCs w:val="24"/>
              </w:rPr>
              <w:t xml:space="preserve">Panel Manager</w:t>
            </w:r>
            <w:r/>
          </w:p>
        </w:tc>
        <w:tc>
          <w:tcPr>
            <w:tcBorders>
              <w:left w:val="single" w:color="000000" w:sz="4" w:space="0"/>
              <w:bottom w:val="single" w:color="000000" w:sz="4" w:space="0"/>
              <w:right w:val="single" w:color="000000" w:sz="4" w:space="0"/>
            </w:tcBorders>
            <w:tcW w:w="922" w:type="pct"/>
            <w:vAlign w:val="center"/>
            <w:vMerge w:val="continue"/>
            <w:textDirection w:val="lrTb"/>
            <w:noWrap w:val="false"/>
          </w:tcPr>
          <w:p>
            <w:pPr>
              <w:pStyle w:val="854"/>
              <w:ind w:firstLine="0"/>
              <w:jc w:val="both"/>
              <w:rPr>
                <w:rFonts w:hint="eastAsia" w:ascii="仿宋" w:hAnsi="仿宋" w:eastAsia="仿宋" w:cs="仿宋"/>
                <w:color w:val="000000"/>
                <w:szCs w:val="24"/>
              </w:rPr>
            </w:pPr>
            <w:r>
              <w:rPr>
                <w:rFonts w:hint="eastAsia" w:ascii="仿宋" w:hAnsi="仿宋" w:eastAsia="仿宋" w:cs="仿宋"/>
                <w:color w:val="000000"/>
                <w:szCs w:val="24"/>
              </w:rPr>
            </w:r>
            <w:r/>
          </w:p>
        </w:tc>
      </w:tr>
    </w:tbl>
    <w:p>
      <w:pPr>
        <w:pStyle w:val="831"/>
        <w:ind w:firstLine="420"/>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二、服务要求：（配套服务、增值服务、维保服务等）</w:t>
      </w:r>
      <w:r/>
    </w:p>
    <w:p>
      <w:pPr>
        <w:pStyle w:val="831"/>
        <w:ind w:firstLine="420"/>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★（一）本项目包含深化设计和施工，投标人须提供专业深化设计方案后，再进行设备安装等清单内所有项目施工。深化设计费用已包含在招标控制价内，请投标人报价时充分考虑。</w:t>
      </w:r>
      <w:r>
        <w:rPr>
          <w:rFonts w:ascii="宋体" w:hAnsi="宋体" w:eastAsia="宋体" w:cs="宋体"/>
          <w:color w:val="000000"/>
        </w:rPr>
      </w:r>
      <w:r/>
    </w:p>
    <w:p>
      <w:pPr>
        <w:pStyle w:val="831"/>
        <w:ind w:firstLine="420"/>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二）本工程项目的报价应包括但不限于深化方案设计、施工设备、备品备件、专用工具和仪器、施工中须用到但清单未体现的辅助材料等，还包括但不限于可能出现的运费、安装、调试、吊装费、培训费、人工、机械、包装、装卸、维修维护费、仓储、保险、税费、专利技术、劳保等设计期间、施工期间、质保期间、系统对接等涉及该项目实施的所出现的一切费用。</w:t>
      </w:r>
      <w:r/>
    </w:p>
    <w:p>
      <w:pPr>
        <w:pStyle w:val="831"/>
        <w:ind w:firstLine="420"/>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★（三）施工周期：本项目工期40个日历日，中标单位可在2026年7月11日后进场施工，工期内完成全部改造项目并送电，保证正常使用。</w:t>
      </w:r>
      <w:r>
        <w:rPr>
          <w:rFonts w:ascii="宋体" w:hAnsi="宋体" w:eastAsia="宋体" w:cs="宋体"/>
          <w:color w:val="000000"/>
        </w:rPr>
      </w:r>
      <w:r/>
    </w:p>
    <w:p>
      <w:pPr>
        <w:pStyle w:val="831"/>
        <w:ind w:firstLine="420"/>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★（四）项目质量保修期年限为2年，时间自项目验收合格次日起开始计算。</w:t>
      </w:r>
      <w:r/>
    </w:p>
    <w:p>
      <w:pPr>
        <w:pStyle w:val="831"/>
        <w:ind w:firstLine="420"/>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五）中标单位必须成立项目部，配置固定人员在施工期间采购人驻点服务。必须严格执行国家和供电行业的规范，认真做好相关设施日常管理工作；必须服从采购人管理部门的指令，按规范进行停、送电等操作；及时了解设施运行情况，发现并消除故障隐患；发生停电时，在保障安全前提下，按规范程序及时恢复供电；发生故障时，须有相应预案，积极应对，减小不良影响。</w:t>
      </w:r>
      <w:r/>
    </w:p>
    <w:p>
      <w:pPr>
        <w:pStyle w:val="831"/>
        <w:ind w:firstLine="420"/>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人员配置：中标单位必须按照电力部门相关规程配备足够的具有相应资质的电气工作人员实施本项目，并做好相关人员的教育、培训等工作。派驻总人数不得少于10人，投标人须提供详细的拟投入现场人员名单，人员须包括项目负责人1名、技术负责人1名；继电保护作业人员、电气试验作业人员</w:t>
      </w:r>
      <w:r>
        <w:rPr>
          <w:rFonts w:hint="eastAsia" w:ascii="宋体" w:hAnsi="宋体" w:eastAsia="宋体" w:cs="宋体"/>
          <w:color w:val="000000"/>
        </w:rPr>
        <w:t xml:space="preserve">、起吊作业人员至少各1名；施工人员若干。以上所有人员不得重复，其中，继电保护作业人员须持有继电保护作业证、电气试验作业人员须持有电气试验作业证、起吊作业人员须持有特种作业证（起吊证），其余人员均须持有高压电工作业证。以上所有人员必须品行端正、身体健康，必须是中标单位自有职工，签订了正式劳动合同，不得外聘或借用，必须能够提供以上所有人员社保机构出具2025年11月至2026年4月中任意一个月投标人为其缴纳的养老保险金缴费清单材料，加盖社保机构公章或社保中心参保缴费证明电子专用章（具有可验证的二维码或验证码）。</w:t>
      </w:r>
      <w:r/>
    </w:p>
    <w:p>
      <w:pPr>
        <w:pStyle w:val="831"/>
        <w:ind w:firstLine="420"/>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2.排班方案：中标单位必须制定排班方案，对值班及巡视人员做出排班计划，对值班及巡视人员的病假、事假等各种情况应有预案，能及时处理，避免人员不能到岗情况。</w:t>
      </w:r>
      <w:r/>
    </w:p>
    <w:p>
      <w:pPr>
        <w:pStyle w:val="831"/>
        <w:ind w:firstLine="420"/>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3.物资配备：中标单位需自行配备实施本项目所需的物资，包括各种工器具、办公用品、管理用具、劳保用品、安全防护用具、辅助材料等，所发生的费用均由中标单位自行承担。</w:t>
      </w:r>
      <w:r/>
    </w:p>
    <w:p>
      <w:pPr>
        <w:pStyle w:val="831"/>
        <w:ind w:firstLine="420"/>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4.制度流程：中标单位必须制定并执行规范、可行的管理制度，包括值班制度、巡检制度、岗位职责、安全保障措施等，并明确常规工作的操作流程，做到规范管理。</w:t>
      </w:r>
      <w:r/>
    </w:p>
    <w:p>
      <w:pPr>
        <w:pStyle w:val="831"/>
        <w:ind w:firstLine="420"/>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5.应急预案：中标单位应制定应急预案，对突发情况做出合理、及时的处置，控制故障范围，协助招标人管理部门实施抢修或采取临时措施，减小不良影响。</w:t>
      </w:r>
      <w:r/>
    </w:p>
    <w:p>
      <w:pPr>
        <w:pStyle w:val="831"/>
        <w:ind w:firstLine="420"/>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6.服务承诺：中标单位应承诺满足招标文件的所有服务要求，鼓励无偿提供其他增值服务。</w:t>
      </w:r>
      <w:r/>
    </w:p>
    <w:p>
      <w:pPr>
        <w:pStyle w:val="831"/>
        <w:ind w:firstLine="420"/>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7.投标人中标后，必须按照其投标文件中的实施方案开展工作，采购人将严格检查中标单位实施情况。中标单位不得减少或随意变更派驻人员，各类物资必须配备到位，各项制度、预案必须严格执行，所做的服务承诺必须兑现，否则视为违约，采购人有权解除合同，并追究中标单位的违约责任。</w:t>
      </w:r>
      <w:r/>
    </w:p>
    <w:p>
      <w:pPr>
        <w:pStyle w:val="831"/>
        <w:ind w:firstLine="420"/>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三、验收标准：</w:t>
      </w:r>
      <w:r/>
    </w:p>
    <w:p>
      <w:pPr>
        <w:pStyle w:val="831"/>
        <w:ind w:firstLine="420"/>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验收组织：根据校内相关规定联合用户部门组成验收小组现场验收。验收标准包含但不限于：是否完成招响应性文件工作量清单所列项目和内容；是否存在施工方原因造成工期延期；造价是否超过合同总金额；是否存在未经审批却已实施的变更项目和工程签证。</w:t>
      </w:r>
      <w:r/>
    </w:p>
    <w:p>
      <w:pPr>
        <w:pStyle w:val="831"/>
        <w:ind w:firstLine="420"/>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2.供应商须严格依据采购人需求，完成工程施工等工作。</w:t>
      </w:r>
      <w:r/>
    </w:p>
    <w:p>
      <w:pPr>
        <w:pStyle w:val="831"/>
        <w:ind w:firstLine="420"/>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3.竣工验收按照设计单位认可、中标单位自评、监理核定、招标人验收的流程进行。工程完工后，中标单位通过自检认为达到竣工验收条件时，应按国家关于工程竣工有关规定，向招标人提供完整的竣工档案资料、竣工验收报告等满足竣工验收的资料。</w:t>
      </w:r>
      <w:r/>
    </w:p>
    <w:p>
      <w:pPr>
        <w:pStyle w:val="831"/>
        <w:ind w:firstLine="420"/>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4.招标人收到上述资料后及时组织有关部门进行全面验收。若中标单位提供的验收资料不全或不符合规定要求，则验收顺延，责任由中标单位承担。招标人组织验收后，在一周内给予批准或提出修改意见。若初次验收未通过，中标单位应按招标人所提修改意见进行整改并承担整改费用，完成后再次申报。</w:t>
      </w:r>
      <w:r/>
    </w:p>
    <w:p>
      <w:pPr>
        <w:pStyle w:val="831"/>
        <w:ind w:firstLine="420"/>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5.中标单位需要提供竣工图。竣工验收日期为实际竣工验收合格之日。</w:t>
      </w:r>
      <w:r/>
    </w:p>
    <w:p>
      <w:pPr>
        <w:pStyle w:val="831"/>
        <w:ind w:firstLine="420"/>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6.竣工交付使用的过程必须符合下列要求：</w:t>
      </w:r>
      <w:r/>
    </w:p>
    <w:p>
      <w:pPr>
        <w:pStyle w:val="831"/>
        <w:ind w:firstLine="420"/>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A、完成设计图和施工合同规定的工作内容，达到国家规定的竣工验收条件。工程质量应符合国家现行的有关法律、法规、技术标准、设计文件及合同规定的要求。</w:t>
      </w:r>
      <w:r/>
    </w:p>
    <w:p>
      <w:pPr>
        <w:pStyle w:val="831"/>
        <w:ind w:firstLine="420"/>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B、工程所用的设备和主材料、构配件具有产品质量出场检验合格证明、技术标准、必要的进场试验报告，并达到相应的验收标准。</w:t>
      </w:r>
      <w:r/>
    </w:p>
    <w:p>
      <w:pPr>
        <w:pStyle w:val="831"/>
        <w:ind w:firstLine="420"/>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C、具有完整的工程技术档案，已办理工程竣工交付使用的有关手续。</w:t>
      </w:r>
      <w:r/>
    </w:p>
    <w:p>
      <w:pPr>
        <w:pStyle w:val="831"/>
        <w:ind w:firstLine="420"/>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D、已签署工程保修书。</w:t>
      </w:r>
      <w:r/>
    </w:p>
    <w:p>
      <w:pPr>
        <w:pStyle w:val="831"/>
        <w:ind w:firstLine="420"/>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7.工程竣工验收一次性通过，中标单位送交竣工验收报告的日期为实际竣工日期。工程首次验收未通过，实际竣工日期为中标单位整改后再次验收合格之日。</w:t>
      </w:r>
      <w:r/>
    </w:p>
    <w:p>
      <w:pPr>
        <w:pStyle w:val="831"/>
        <w:ind w:firstLine="420"/>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四、付款方式及履约保证金</w:t>
      </w:r>
      <w:r/>
    </w:p>
    <w:p>
      <w:pPr>
        <w:pStyle w:val="831"/>
        <w:ind w:firstLine="420"/>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（1）履约保证金：</w:t>
      </w:r>
      <w:r>
        <w:rPr>
          <w:rFonts w:ascii="宋体" w:hAnsi="宋体" w:eastAsia="宋体" w:cs="宋体"/>
          <w:color w:val="000000"/>
        </w:rPr>
      </w:r>
      <w:r/>
    </w:p>
    <w:p>
      <w:pPr>
        <w:pStyle w:val="831"/>
        <w:ind w:firstLine="420"/>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本项目承包人在领取中标通知书【5】日内，承包人按照如下信息缴纳履约保证金，履约保证金金额为合同签约价的【5%】，工程竣工并经发包人组织的验收合格后，自发包人组织的竣工合格验收报告签署之日起，一次性无息退还。</w:t>
      </w:r>
      <w:r/>
    </w:p>
    <w:p>
      <w:pPr>
        <w:pStyle w:val="831"/>
        <w:ind w:firstLine="420"/>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履约保证金汇款银行、账号及户名：承包人必须在本项目中标公示结束后将履约保证金汇入发包人指定的账号，账号为：4301011219100159523</w:t>
      </w:r>
      <w:r>
        <w:rPr>
          <w:rStyle w:val="904"/>
          <w:rFonts w:hint="eastAsia" w:ascii="宋体" w:hAnsi="宋体" w:eastAsia="宋体" w:cs="宋体"/>
          <w:color w:val="000000"/>
          <w:szCs w:val="22"/>
        </w:rPr>
        <w:t xml:space="preserve"> 账户名：南京财经大学。</w:t>
      </w:r>
      <w:r>
        <w:rPr>
          <w:rFonts w:ascii="宋体" w:hAnsi="宋体" w:eastAsia="宋体" w:cs="宋体"/>
          <w:color w:val="000000"/>
        </w:rPr>
      </w:r>
      <w:r/>
    </w:p>
    <w:p>
      <w:pPr>
        <w:pStyle w:val="831"/>
        <w:ind w:firstLine="420"/>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（2）付款方式：</w:t>
      </w:r>
      <w:r>
        <w:rPr>
          <w:rFonts w:ascii="宋体" w:hAnsi="宋体" w:eastAsia="宋体" w:cs="宋体"/>
          <w:color w:val="000000"/>
        </w:rPr>
      </w:r>
      <w:r/>
    </w:p>
    <w:p>
      <w:pPr>
        <w:pStyle w:val="831"/>
        <w:ind w:firstLine="420"/>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本项目无预付款。合同签定，工程竣工验收合格后付至合同总价的80％；审计结束后付至审定价（扣除审计费）的97％；其余3％为质保金，质保期满无质量问题后30个工作日内无息付清，审计费按校审计相关规定执行。</w:t>
      </w:r>
      <w:r/>
    </w:p>
    <w:p>
      <w:pPr>
        <w:pStyle w:val="831"/>
        <w:jc w:val="both"/>
        <w:spacing w:before="240" w:after="120"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831"/>
        <w:jc w:val="both"/>
        <w:spacing w:before="240" w:after="12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第五章合同草案条款及格式</w:t>
      </w:r>
      <w:r>
        <w:rPr>
          <w:color w:val="000000"/>
        </w:rPr>
      </w:r>
      <w:r/>
    </w:p>
    <w:p>
      <w:pPr>
        <w:pStyle w:val="831"/>
        <w:ind w:firstLine="721"/>
        <w:jc w:val="both"/>
        <w:spacing w:line="360" w:lineRule="auto"/>
        <w:rPr>
          <w:b/>
          <w:color w:val="000000"/>
          <w:sz w:val="72"/>
          <w:szCs w:val="52"/>
        </w:rPr>
      </w:pPr>
      <w:r>
        <w:rPr>
          <w:b/>
          <w:color w:val="000000"/>
          <w:sz w:val="72"/>
          <w:szCs w:val="52"/>
        </w:rPr>
        <w:t xml:space="preserve">建设工程施工合同</w:t>
      </w:r>
      <w:r/>
    </w:p>
    <w:p>
      <w:pPr>
        <w:pStyle w:val="831"/>
        <w:ind w:firstLine="721"/>
        <w:jc w:val="both"/>
        <w:spacing w:line="360" w:lineRule="auto"/>
        <w:rPr>
          <w:b/>
          <w:color w:val="000000"/>
          <w:sz w:val="72"/>
          <w:szCs w:val="52"/>
        </w:rPr>
      </w:pPr>
      <w:r>
        <w:rPr>
          <w:b/>
          <w:color w:val="000000"/>
          <w:sz w:val="72"/>
          <w:szCs w:val="52"/>
        </w:rPr>
      </w:r>
      <w:r/>
    </w:p>
    <w:p>
      <w:pPr>
        <w:pStyle w:val="831"/>
        <w:ind w:firstLine="521"/>
        <w:jc w:val="both"/>
        <w:spacing w:line="360" w:lineRule="auto"/>
        <w:rPr>
          <w:b/>
          <w:color w:val="000000"/>
          <w:sz w:val="52"/>
          <w:szCs w:val="52"/>
        </w:rPr>
      </w:pPr>
      <w:r>
        <w:rPr>
          <w:b/>
          <w:color w:val="000000"/>
          <w:sz w:val="52"/>
          <w:szCs w:val="52"/>
        </w:rPr>
      </w:r>
      <w:r/>
    </w:p>
    <w:p>
      <w:pPr>
        <w:pStyle w:val="831"/>
        <w:ind w:firstLine="723"/>
        <w:jc w:val="both"/>
        <w:spacing w:line="360" w:lineRule="auto"/>
        <w:rPr>
          <w:b/>
          <w:color w:val="000000"/>
          <w:sz w:val="72"/>
          <w:szCs w:val="72"/>
        </w:rPr>
      </w:pPr>
      <w:r>
        <w:rPr>
          <w:b/>
          <w:color w:val="000000"/>
          <w:sz w:val="72"/>
          <w:szCs w:val="72"/>
        </w:rPr>
      </w:r>
      <w:r/>
    </w:p>
    <w:p>
      <w:pPr>
        <w:pStyle w:val="831"/>
        <w:ind w:firstLine="723"/>
        <w:jc w:val="both"/>
        <w:spacing w:line="360" w:lineRule="auto"/>
        <w:rPr>
          <w:b/>
          <w:color w:val="000000"/>
          <w:sz w:val="72"/>
          <w:szCs w:val="72"/>
        </w:rPr>
      </w:pPr>
      <w:r>
        <w:rPr>
          <w:b/>
          <w:color w:val="000000"/>
          <w:sz w:val="72"/>
          <w:szCs w:val="72"/>
        </w:rPr>
      </w:r>
      <w:r/>
    </w:p>
    <w:p>
      <w:pPr>
        <w:pStyle w:val="831"/>
        <w:ind w:firstLine="723"/>
        <w:jc w:val="both"/>
        <w:spacing w:line="360" w:lineRule="auto"/>
        <w:rPr>
          <w:b/>
          <w:color w:val="000000"/>
          <w:sz w:val="72"/>
          <w:szCs w:val="72"/>
        </w:rPr>
      </w:pPr>
      <w:r>
        <w:rPr>
          <w:b/>
          <w:color w:val="000000"/>
          <w:sz w:val="72"/>
          <w:szCs w:val="72"/>
        </w:rPr>
      </w:r>
      <w:r/>
    </w:p>
    <w:p>
      <w:pPr>
        <w:pStyle w:val="914"/>
        <w:ind w:left="480" w:firstLine="1446"/>
        <w:jc w:val="both"/>
        <w:rPr>
          <w:b/>
          <w:color w:val="000000"/>
          <w:sz w:val="72"/>
          <w:szCs w:val="72"/>
        </w:rPr>
      </w:pPr>
      <w:r>
        <w:rPr>
          <w:b/>
          <w:color w:val="000000"/>
          <w:sz w:val="72"/>
          <w:szCs w:val="72"/>
        </w:rPr>
      </w:r>
      <w:r/>
    </w:p>
    <w:p>
      <w:pPr>
        <w:pStyle w:val="831"/>
        <w:jc w:val="both"/>
        <w:spacing w:line="360" w:lineRule="auto"/>
        <w:rPr>
          <w:b/>
          <w:color w:val="000000"/>
          <w:sz w:val="28"/>
          <w:szCs w:val="28"/>
        </w:rPr>
      </w:pPr>
      <w:r>
        <w:rPr>
          <w:b/>
          <w:color w:val="000000"/>
          <w:sz w:val="28"/>
          <w:szCs w:val="28"/>
        </w:rPr>
      </w:r>
      <w:r/>
    </w:p>
    <w:p>
      <w:pPr>
        <w:pStyle w:val="1055"/>
        <w:jc w:val="both"/>
        <w:rPr>
          <w:color w:val="000000"/>
        </w:rPr>
      </w:pPr>
      <w:r>
        <w:rPr>
          <w:color w:val="000000"/>
        </w:rPr>
      </w:r>
      <w:r/>
    </w:p>
    <w:p>
      <w:pPr>
        <w:pStyle w:val="831"/>
        <w:jc w:val="both"/>
        <w:rPr>
          <w:color w:val="000000"/>
        </w:rPr>
      </w:pPr>
      <w:r>
        <w:rPr>
          <w:color w:val="000000"/>
        </w:rPr>
      </w:r>
      <w:r/>
    </w:p>
    <w:p>
      <w:pPr>
        <w:pStyle w:val="831"/>
        <w:ind w:right="3108" w:firstLine="1800"/>
        <w:jc w:val="both"/>
        <w:spacing w:line="360" w:lineRule="auto"/>
        <w:rPr>
          <w:b/>
          <w:color w:val="000000"/>
          <w:sz w:val="32"/>
          <w:szCs w:val="28"/>
        </w:rPr>
      </w:pP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pStyle w:val="1057"/>
                              <w:rPr>
                                <w:b/>
                                <w:bCs/>
                                <w:sz w:val="32"/>
                              </w:rPr>
                            </w:pPr>
                            <w:r>
                              <w:rPr>
                                <w:rFonts w:hint="eastAsia"/>
                                <w:b/>
                                <w:bCs/>
                                <w:sz w:val="32"/>
                              </w:rPr>
                              <w:t xml:space="preserve">制定</w:t>
                            </w:r>
                            <w:r>
                              <w:rPr>
                                <w:b/>
                                <w:bCs/>
                                <w:sz w:val="32"/>
                              </w:rPr>
                            </w:r>
                            <w:r/>
                          </w:p>
                          <w:p>
                            <w:pPr>
                              <w:pStyle w:val="831"/>
                            </w:pPr>
                            <w:r/>
                            <w:r/>
                          </w:p>
                          <w:p>
                            <w:pPr>
                              <w:pStyle w:val="831"/>
                            </w:pPr>
                            <w:r/>
                            <w:r/>
                          </w:p>
                        </w:txbxContent>
                      </wps:txbx>
                      <wps:bodyPr wrap="square" upright="1"/>
                    </wps:wsp>
                  </a:graphicData>
                </a:graphic>
              </wp:anchor>
            </w:drawing>
          </mc:Choice>
          <mc:Fallback>
            <w:pict>
              <v:shape id="shape 4" o:spid="_x0000_s4" o:spt="202" type="#_x0000_t202" style="position:absolute;z-index:251658241;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pStyle w:val="1057"/>
                        <w:rPr>
                          <w:b/>
                          <w:bCs/>
                          <w:sz w:val="32"/>
                        </w:rPr>
                      </w:pPr>
                      <w:r>
                        <w:rPr>
                          <w:rFonts w:hint="eastAsia"/>
                          <w:b/>
                          <w:bCs/>
                          <w:sz w:val="32"/>
                        </w:rPr>
                        <w:t xml:space="preserve">制定</w:t>
                      </w:r>
                      <w:r>
                        <w:rPr>
                          <w:b/>
                          <w:bCs/>
                          <w:sz w:val="32"/>
                        </w:rPr>
                      </w:r>
                      <w:r/>
                    </w:p>
                    <w:p>
                      <w:pPr>
                        <w:pStyle w:val="831"/>
                      </w:pPr>
                      <w:r/>
                      <w:r/>
                    </w:p>
                    <w:p>
                      <w:pPr>
                        <w:pStyle w:val="831"/>
                      </w:pPr>
                      <w:r/>
                      <w:r/>
                    </w:p>
                  </w:txbxContent>
                </v:textbox>
              </v:shape>
            </w:pict>
          </mc:Fallback>
        </mc:AlternateContent>
      </w:r>
      <w:r>
        <w:rPr>
          <w:b/>
          <w:color w:val="000000"/>
          <w:sz w:val="32"/>
          <w:szCs w:val="28"/>
        </w:rPr>
        <w:t xml:space="preserve">住房和城乡建设部</w:t>
      </w:r>
      <w:r/>
    </w:p>
    <w:p>
      <w:pPr>
        <w:pStyle w:val="831"/>
        <w:ind w:right="3108" w:firstLine="1606"/>
        <w:jc w:val="both"/>
        <w:spacing w:line="360" w:lineRule="auto"/>
        <w:rPr>
          <w:b/>
          <w:color w:val="000000"/>
          <w:sz w:val="32"/>
          <w:szCs w:val="28"/>
        </w:rPr>
      </w:pPr>
      <w:r>
        <w:rPr>
          <w:b/>
          <w:color w:val="000000"/>
          <w:sz w:val="32"/>
          <w:szCs w:val="28"/>
        </w:rPr>
        <w:t xml:space="preserve">国家工商行政管理总局</w:t>
      </w:r>
      <w:r/>
    </w:p>
    <w:p>
      <w:pPr>
        <w:pStyle w:val="831"/>
        <w:jc w:val="center"/>
        <w:rPr>
          <w:rFonts w:ascii="仿宋" w:hAnsi="仿宋" w:eastAsia="仿宋" w:cs="仿宋"/>
          <w:b/>
          <w:bCs/>
          <w:color w:val="000000"/>
          <w:sz w:val="32"/>
          <w:szCs w:val="32"/>
        </w:rPr>
      </w:pPr>
      <w:r>
        <w:rPr>
          <w:rFonts w:hint="eastAsia" w:ascii="仿宋" w:hAnsi="仿宋" w:eastAsia="仿宋" w:cs="仿宋"/>
          <w:b/>
          <w:bCs/>
          <w:color w:val="000000"/>
          <w:sz w:val="32"/>
          <w:szCs w:val="32"/>
        </w:rPr>
        <w:br w:type="page" w:clear="all"/>
      </w:r>
      <w:r>
        <w:rPr>
          <w:rFonts w:hint="eastAsia" w:ascii="宋体" w:hAnsi="宋体" w:cs="宋体"/>
          <w:b/>
          <w:bCs/>
          <w:color w:val="000000"/>
        </w:rPr>
        <w:t xml:space="preserve">第一部分合同协议书</w:t>
      </w:r>
      <w:r>
        <w:rPr>
          <w:rFonts w:ascii="仿宋" w:hAnsi="仿宋" w:eastAsia="仿宋" w:cs="仿宋"/>
          <w:b/>
          <w:bCs/>
          <w:color w:val="000000"/>
          <w:sz w:val="32"/>
          <w:szCs w:val="32"/>
        </w:rPr>
      </w:r>
      <w:r/>
    </w:p>
    <w:p>
      <w:pPr>
        <w:pStyle w:val="831"/>
        <w:jc w:val="both"/>
        <w:spacing w:line="360" w:lineRule="auto"/>
        <w:rPr>
          <w:rFonts w:hint="eastAsia" w:ascii="宋体" w:hAnsi="宋体" w:cs="宋体"/>
          <w:color w:val="000000"/>
        </w:rPr>
      </w:pPr>
      <w:r>
        <w:rPr>
          <w:rFonts w:hint="eastAsia" w:ascii="宋体" w:hAnsi="宋体" w:cs="宋体"/>
          <w:color w:val="000000"/>
        </w:rPr>
        <w:t xml:space="preserve">发包人（全称）：</w:t>
      </w:r>
      <w:r>
        <w:rPr>
          <w:rFonts w:hint="eastAsia" w:ascii="宋体" w:hAnsi="宋体" w:cs="宋体"/>
          <w:color w:val="000000"/>
          <w:u w:val="single"/>
        </w:rPr>
        <w:t xml:space="preserve">南京财经大学</w:t>
      </w:r>
      <w:r>
        <w:rPr>
          <w:rFonts w:hint="eastAsia" w:ascii="宋体" w:hAnsi="宋体" w:cs="宋体"/>
          <w:color w:val="000000"/>
        </w:rPr>
      </w:r>
      <w:r/>
    </w:p>
    <w:p>
      <w:pPr>
        <w:pStyle w:val="831"/>
        <w:jc w:val="both"/>
        <w:spacing w:line="360" w:lineRule="auto"/>
        <w:rPr>
          <w:rFonts w:hint="eastAsia" w:ascii="宋体" w:hAnsi="宋体" w:cs="宋体"/>
          <w:color w:val="000000"/>
          <w:u w:val="single"/>
        </w:rPr>
      </w:pPr>
      <w:r>
        <w:rPr>
          <w:rFonts w:hint="eastAsia" w:ascii="宋体" w:hAnsi="宋体" w:cs="宋体"/>
          <w:color w:val="000000"/>
        </w:rPr>
        <w:t xml:space="preserve">承包人（全称）：</w:t>
      </w:r>
      <w:r>
        <w:rPr>
          <w:rFonts w:hint="eastAsia" w:ascii="宋体" w:hAnsi="宋体" w:cs="宋体"/>
          <w:color w:val="000000"/>
          <w:u w:val="single"/>
        </w:rPr>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根据《中华人民共和国民法典》、《中华人民共和国建筑法》及有关法律规定，遵循平等、自愿、公平和诚实信用的原则，双方</w:t>
      </w:r>
      <w:r>
        <w:rPr>
          <w:rFonts w:hint="eastAsia" w:ascii="宋体" w:hAnsi="宋体" w:eastAsia="宋体" w:cs="宋体"/>
          <w:b/>
          <w:bCs/>
          <w:color w:val="000000"/>
          <w:u w:val="single"/>
        </w:rPr>
        <w:t xml:space="preserve">仙林校区德经楼高压变电所设备升级改造项目</w:t>
      </w:r>
      <w:r>
        <w:rPr>
          <w:rFonts w:hint="eastAsia" w:ascii="宋体" w:hAnsi="宋体" w:cs="宋体"/>
          <w:color w:val="000000"/>
        </w:rPr>
        <w:t xml:space="preserve">及有关事项协商一致，共同达成如下协议：</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一、工程概况</w:t>
      </w:r>
      <w:r/>
    </w:p>
    <w:p>
      <w:pPr>
        <w:pStyle w:val="831"/>
        <w:ind w:firstLine="420"/>
        <w:jc w:val="both"/>
        <w:spacing w:line="460" w:lineRule="exact"/>
        <w:rPr>
          <w:rFonts w:hint="eastAsia" w:ascii="宋体" w:hAnsi="宋体" w:cs="宋体"/>
          <w:color w:val="000000"/>
          <w:u w:val="single"/>
        </w:rPr>
      </w:pPr>
      <w:r>
        <w:rPr>
          <w:rFonts w:hint="eastAsia" w:ascii="宋体" w:hAnsi="宋体" w:cs="宋体"/>
          <w:color w:val="000000"/>
        </w:rPr>
        <w:t xml:space="preserve">1.工程名称：</w:t>
      </w:r>
      <w:r>
        <w:rPr>
          <w:rFonts w:hint="eastAsia" w:ascii="宋体" w:hAnsi="宋体" w:eastAsia="宋体" w:cs="宋体"/>
          <w:b/>
          <w:color w:val="000000"/>
          <w:u w:val="single"/>
        </w:rPr>
        <w:t xml:space="preserve">仙林校区德经楼高压变电所设备升级改造项目</w:t>
      </w:r>
      <w:r>
        <w:rPr>
          <w:rFonts w:hint="eastAsia" w:ascii="宋体" w:hAnsi="宋体" w:cs="宋体"/>
          <w:color w:val="000000"/>
          <w:u w:val="single"/>
        </w:rPr>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2.工程地点：</w:t>
      </w:r>
      <w:r>
        <w:rPr>
          <w:rFonts w:hint="eastAsia" w:ascii="宋体" w:hAnsi="宋体" w:cs="宋体"/>
          <w:color w:val="000000"/>
          <w:u w:val="single"/>
        </w:rPr>
        <w:t xml:space="preserve">南京财经大学仙林校区</w:t>
      </w:r>
      <w:r>
        <w:rPr>
          <w:rFonts w:hint="eastAsia" w:ascii="宋体" w:hAnsi="宋体" w:cs="宋体"/>
          <w:color w:val="000000"/>
        </w:rPr>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3.工程立项批准文号：/</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4.资金来源：</w:t>
      </w:r>
      <w:r>
        <w:rPr>
          <w:rFonts w:hint="eastAsia" w:ascii="宋体" w:hAnsi="宋体" w:cs="宋体"/>
          <w:color w:val="000000"/>
          <w:u w:val="single"/>
        </w:rPr>
        <w:t xml:space="preserve">财政资金。</w:t>
      </w:r>
      <w:r>
        <w:rPr>
          <w:rFonts w:hint="eastAsia" w:ascii="宋体" w:hAnsi="宋体" w:cs="宋体"/>
          <w:color w:val="000000"/>
        </w:rPr>
      </w:r>
      <w:r/>
    </w:p>
    <w:p>
      <w:pPr>
        <w:pStyle w:val="831"/>
        <w:ind w:firstLine="420"/>
        <w:jc w:val="both"/>
        <w:spacing w:line="460" w:lineRule="exact"/>
        <w:rPr>
          <w:rFonts w:hint="eastAsia" w:ascii="宋体" w:hAnsi="宋体" w:cs="宋体"/>
          <w:color w:val="000000"/>
          <w:u w:val="single"/>
        </w:rPr>
      </w:pPr>
      <w:r>
        <w:rPr>
          <w:rFonts w:hint="eastAsia" w:ascii="宋体" w:hAnsi="宋体" w:cs="宋体"/>
          <w:color w:val="000000"/>
        </w:rPr>
        <w:t xml:space="preserve">5.工程内容：</w:t>
      </w:r>
      <w:r>
        <w:rPr>
          <w:rFonts w:hint="eastAsia" w:ascii="宋体" w:hAnsi="宋体" w:cs="宋体"/>
          <w:color w:val="000000"/>
          <w:u w:val="single"/>
        </w:rPr>
        <w:t xml:space="preserve">南京财经大学仙林校区德经楼变电所内置2台1000kVA变压器，配电房10kV采用单母线分段接线方式，高压不设联络；0.4kV采用单母线分段接线方式，低压联络。供电电源分别引自德正楼变电所内高压柜05N和06N。本次项目内容包括改造德经楼变电所内所有高低压设备；新上智能管理单元，接入中心开闭所电力监控系统；新上无线测温传感器及通讯附件，低压柜仪表具备电度计量功能和通讯，数据上传至智能管理单元及中心开闭所电力监控系统；新上配电房智慧巡检系统；更换模拟图板、风筒风机、电缆沟盖板、绝缘垫等。具体详见工程量清单。</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群体工程应附《承包人承揽工程项目一览表》。</w:t>
      </w:r>
      <w:r/>
    </w:p>
    <w:p>
      <w:pPr>
        <w:pStyle w:val="831"/>
        <w:ind w:firstLine="420"/>
        <w:jc w:val="both"/>
        <w:spacing w:line="460" w:lineRule="exact"/>
        <w:rPr>
          <w:rFonts w:hint="eastAsia" w:ascii="宋体" w:hAnsi="宋体" w:cs="宋体"/>
          <w:color w:val="000000"/>
          <w:u w:val="single"/>
        </w:rPr>
      </w:pPr>
      <w:r>
        <w:rPr>
          <w:rFonts w:hint="eastAsia" w:ascii="宋体" w:hAnsi="宋体" w:cs="宋体"/>
          <w:color w:val="000000"/>
        </w:rPr>
        <w:t xml:space="preserve">6.工程承包范围：</w:t>
      </w:r>
      <w:r>
        <w:rPr>
          <w:rFonts w:hint="eastAsia" w:ascii="宋体" w:hAnsi="宋体" w:cs="宋体"/>
          <w:color w:val="000000"/>
          <w:u w:val="single"/>
        </w:rPr>
        <w:t xml:space="preserve">南京财经大学仙林校区德经楼变电所内置2台1000kVA变压器，配电房10kV采用单母线分段接线方式，高压不设联络；0.4kV采用单母线分段接线方式，低压联络。供电电源分别引自德正楼变电所内高压柜05N和06N。本次项目内容包括改造德经楼变电所内所有高低压设备；新上智能管理单元，接入中心开闭所电力监控系统；新上无线测温传感器及通讯附件，低压柜仪表具备电度计量功能和通讯，数据上传至智能管理单元及中心开闭所电力监控系统；新上配电房智慧巡检系统；更换模拟图板、风筒风机、电缆沟盖板、绝缘垫等。具体详见工程量清单。</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二、合同工期</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工期总日历天数</w:t>
      </w:r>
      <w:r>
        <w:rPr>
          <w:rFonts w:hint="eastAsia" w:ascii="宋体" w:hAnsi="宋体" w:cs="宋体"/>
          <w:b/>
          <w:bCs/>
          <w:color w:val="000000"/>
        </w:rPr>
        <w:t xml:space="preserve">：</w:t>
      </w:r>
      <w:r>
        <w:rPr>
          <w:rFonts w:hint="eastAsia" w:ascii="宋体" w:hAnsi="宋体" w:cs="宋体"/>
          <w:b/>
          <w:bCs/>
          <w:color w:val="000000"/>
          <w:u w:val="single"/>
        </w:rPr>
        <w:t xml:space="preserve">本项目工期</w:t>
      </w:r>
      <w:r>
        <w:rPr>
          <w:rFonts w:hint="eastAsia" w:ascii="宋体" w:hAnsi="宋体" w:eastAsia="宋体" w:cs="宋体"/>
          <w:b/>
          <w:bCs/>
          <w:color w:val="000000"/>
          <w:u w:val="single"/>
        </w:rPr>
        <w:t xml:space="preserve">40</w:t>
      </w:r>
      <w:r>
        <w:rPr>
          <w:rFonts w:hint="eastAsia" w:ascii="宋体" w:hAnsi="宋体" w:cs="宋体"/>
          <w:b/>
          <w:bCs/>
          <w:color w:val="000000"/>
          <w:u w:val="single"/>
        </w:rPr>
        <w:t xml:space="preserve">个日历日，中标人可在2026年7月11日后进场施工，工期内完成全部改造项目并送电，保证正常使用。</w:t>
      </w:r>
      <w:r>
        <w:rPr>
          <w:rFonts w:hint="eastAsia" w:ascii="宋体" w:hAnsi="宋体" w:cs="宋体"/>
          <w:color w:val="000000"/>
        </w:rPr>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三、质量标准</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工程质量应符合</w:t>
      </w:r>
      <w:r>
        <w:rPr>
          <w:rFonts w:hint="eastAsia" w:ascii="宋体" w:hAnsi="宋体" w:cs="宋体"/>
          <w:color w:val="000000"/>
          <w:u w:val="single"/>
        </w:rPr>
        <w:t xml:space="preserve">《建筑工程施工质量验收统一标准》（GB50300-2013）等国家现行质量验收标准和本合同约定标准</w:t>
      </w:r>
      <w:r>
        <w:rPr>
          <w:rFonts w:hint="eastAsia" w:ascii="宋体" w:hAnsi="宋体" w:cs="宋体"/>
          <w:color w:val="000000"/>
        </w:rPr>
        <w:t xml:space="preserve">。</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四、签约合同价与合同价格形式</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1.签约合同价：</w:t>
      </w:r>
      <w:r/>
    </w:p>
    <w:p>
      <w:pPr>
        <w:pStyle w:val="831"/>
        <w:ind w:firstLine="422"/>
        <w:jc w:val="both"/>
        <w:spacing w:line="460" w:lineRule="exact"/>
        <w:rPr>
          <w:rFonts w:hint="eastAsia" w:ascii="宋体" w:hAnsi="宋体" w:cs="宋体"/>
          <w:b/>
          <w:bCs/>
          <w:color w:val="000000"/>
        </w:rPr>
      </w:pPr>
      <w:r>
        <w:rPr>
          <w:rFonts w:hint="eastAsia" w:ascii="宋体" w:hAnsi="宋体" w:cs="宋体"/>
          <w:b/>
          <w:bCs/>
          <w:color w:val="000000"/>
        </w:rPr>
        <w:t xml:space="preserve">人民币（大写）：</w:t>
      </w:r>
      <w:r>
        <w:rPr>
          <w:rFonts w:hint="eastAsia" w:ascii="宋体" w:hAnsi="宋体" w:cs="宋体"/>
          <w:b/>
          <w:bCs/>
          <w:color w:val="000000"/>
          <w:u w:val="single"/>
        </w:rPr>
        <w:t xml:space="preserve">           </w:t>
      </w:r>
      <w:r>
        <w:rPr>
          <w:rFonts w:hint="eastAsia" w:ascii="宋体" w:hAnsi="宋体" w:cs="宋体"/>
          <w:b/>
          <w:bCs/>
          <w:color w:val="000000"/>
        </w:rPr>
        <w:t xml:space="preserve">（¥ </w:t>
      </w:r>
      <w:r>
        <w:rPr>
          <w:rFonts w:hint="eastAsia" w:ascii="宋体" w:hAnsi="宋体" w:cs="宋体"/>
          <w:b/>
          <w:bCs/>
          <w:color w:val="000000"/>
          <w:u w:val="single"/>
        </w:rPr>
        <w:t xml:space="preserve">           </w:t>
      </w:r>
      <w:r>
        <w:rPr>
          <w:rFonts w:hint="eastAsia" w:ascii="宋体" w:hAnsi="宋体" w:cs="宋体"/>
          <w:b/>
          <w:bCs/>
          <w:color w:val="000000"/>
        </w:rPr>
        <w:t xml:space="preserve">，含税金），</w:t>
      </w:r>
      <w:r/>
    </w:p>
    <w:p>
      <w:pPr>
        <w:pStyle w:val="831"/>
        <w:ind w:firstLine="422"/>
        <w:jc w:val="both"/>
        <w:spacing w:line="460" w:lineRule="exact"/>
        <w:rPr>
          <w:rFonts w:hint="eastAsia" w:ascii="宋体" w:hAnsi="宋体" w:cs="宋体"/>
          <w:b/>
          <w:bCs/>
          <w:color w:val="000000"/>
        </w:rPr>
      </w:pPr>
      <w:r>
        <w:rPr>
          <w:rFonts w:hint="eastAsia" w:ascii="宋体" w:hAnsi="宋体" w:cs="宋体"/>
          <w:b/>
          <w:bCs/>
          <w:color w:val="000000"/>
        </w:rPr>
        <w:t xml:space="preserve">双方确认本合同最终结算价以发包人单方审计的审定价为准；</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其中：</w:t>
      </w:r>
      <w:r/>
    </w:p>
    <w:p>
      <w:pPr>
        <w:pStyle w:val="831"/>
        <w:numPr>
          <w:ilvl w:val="0"/>
          <w:numId w:val="5"/>
        </w:numPr>
        <w:ind w:firstLine="420"/>
        <w:jc w:val="both"/>
        <w:spacing w:line="460" w:lineRule="exact"/>
        <w:rPr>
          <w:rFonts w:hint="eastAsia" w:ascii="宋体" w:hAnsi="宋体" w:cs="宋体"/>
          <w:color w:val="000000"/>
        </w:rPr>
      </w:pPr>
      <w:r>
        <w:rPr>
          <w:rFonts w:hint="eastAsia" w:ascii="宋体" w:hAnsi="宋体" w:cs="宋体"/>
          <w:color w:val="000000"/>
        </w:rPr>
        <w:t xml:space="preserve">安全文明施工费：</w:t>
      </w:r>
      <w:r/>
    </w:p>
    <w:p>
      <w:pPr>
        <w:pStyle w:val="831"/>
        <w:ind w:firstLine="420"/>
        <w:jc w:val="both"/>
        <w:spacing w:line="460" w:lineRule="exact"/>
        <w:rPr>
          <w:rFonts w:hint="eastAsia" w:ascii="宋体" w:hAnsi="宋体" w:cs="宋体"/>
          <w:color w:val="000000"/>
        </w:rPr>
      </w:pPr>
      <w:r>
        <w:rPr>
          <w:rFonts w:ascii="Wingdings 2" w:hAnsi="Wingdings 2" w:eastAsia="Wingdings 2" w:cs="Wingdings 2"/>
          <w:color w:val="000000"/>
        </w:rPr>
        <w:t xml:space="preserve"></w:t>
      </w:r>
      <w:r>
        <w:rPr>
          <w:rFonts w:hint="eastAsia" w:ascii="宋体" w:hAnsi="宋体" w:cs="宋体"/>
          <w:color w:val="000000"/>
        </w:rPr>
        <w:t xml:space="preserve">【公开招标无二次报价项目选用，按照承包人投标文件列明的安全文明施工费填具体金额】</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人民币（大写：        ） (¥：        )；</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（2）材料和工程设备暂估价金额：</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人民币（大写）</w:t>
      </w:r>
      <w:r>
        <w:rPr>
          <w:rFonts w:hint="eastAsia" w:ascii="宋体" w:hAnsi="宋体" w:cs="宋体"/>
          <w:b/>
          <w:bCs/>
          <w:color w:val="000000"/>
          <w:u w:val="single"/>
        </w:rPr>
        <w:t xml:space="preserve">           </w:t>
      </w:r>
      <w:r>
        <w:rPr>
          <w:rFonts w:hint="eastAsia" w:ascii="宋体" w:hAnsi="宋体" w:cs="宋体"/>
          <w:color w:val="000000"/>
        </w:rPr>
        <w:t xml:space="preserve">(¥</w:t>
      </w:r>
      <w:r>
        <w:rPr>
          <w:rFonts w:hint="eastAsia" w:ascii="宋体" w:hAnsi="宋体" w:cs="宋体"/>
          <w:b/>
          <w:bCs/>
          <w:color w:val="000000"/>
          <w:u w:val="single"/>
        </w:rPr>
        <w:t xml:space="preserve">           </w:t>
      </w:r>
      <w:r>
        <w:rPr>
          <w:rFonts w:hint="eastAsia" w:ascii="宋体" w:hAnsi="宋体" w:cs="宋体"/>
          <w:color w:val="000000"/>
        </w:rPr>
        <w:t xml:space="preserve">)；</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（3）专业工程暂估价金额：</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人民币（大写）</w:t>
      </w:r>
      <w:r>
        <w:rPr>
          <w:rFonts w:hint="eastAsia" w:ascii="宋体" w:hAnsi="宋体" w:cs="宋体"/>
          <w:b/>
          <w:bCs/>
          <w:color w:val="000000"/>
          <w:u w:val="single"/>
        </w:rPr>
        <w:t xml:space="preserve">           </w:t>
      </w:r>
      <w:r>
        <w:rPr>
          <w:rFonts w:hint="eastAsia" w:ascii="宋体" w:hAnsi="宋体" w:cs="宋体"/>
          <w:color w:val="000000"/>
        </w:rPr>
        <w:t xml:space="preserve">(¥</w:t>
      </w:r>
      <w:r>
        <w:rPr>
          <w:rFonts w:hint="eastAsia" w:ascii="宋体" w:hAnsi="宋体" w:cs="宋体"/>
          <w:b/>
          <w:bCs/>
          <w:color w:val="000000"/>
          <w:u w:val="single"/>
        </w:rPr>
        <w:t xml:space="preserve">           </w:t>
      </w:r>
      <w:r>
        <w:rPr>
          <w:rFonts w:hint="eastAsia" w:ascii="宋体" w:hAnsi="宋体" w:cs="宋体"/>
          <w:color w:val="000000"/>
        </w:rPr>
        <w:t xml:space="preserve">)；</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（4）暂列金额：</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人民币（大写）</w:t>
      </w:r>
      <w:r>
        <w:rPr>
          <w:rFonts w:hint="eastAsia" w:ascii="宋体" w:hAnsi="宋体" w:cs="宋体"/>
          <w:b/>
          <w:bCs/>
          <w:color w:val="000000"/>
          <w:u w:val="single"/>
        </w:rPr>
        <w:t xml:space="preserve">            </w:t>
      </w:r>
      <w:r>
        <w:rPr>
          <w:rFonts w:hint="eastAsia" w:ascii="宋体" w:hAnsi="宋体" w:cs="宋体"/>
          <w:color w:val="000000"/>
        </w:rPr>
        <w:t xml:space="preserve">(¥</w:t>
      </w:r>
      <w:r>
        <w:rPr>
          <w:rFonts w:hint="eastAsia" w:ascii="宋体" w:hAnsi="宋体" w:cs="宋体"/>
          <w:b/>
          <w:bCs/>
          <w:color w:val="000000"/>
          <w:u w:val="single"/>
        </w:rPr>
        <w:t xml:space="preserve">           </w:t>
      </w:r>
      <w:r>
        <w:rPr>
          <w:rFonts w:hint="eastAsia" w:ascii="宋体" w:hAnsi="宋体" w:cs="宋体"/>
          <w:color w:val="000000"/>
        </w:rPr>
        <w:t xml:space="preserve">)。</w:t>
      </w:r>
      <w:r/>
    </w:p>
    <w:p>
      <w:pPr>
        <w:pStyle w:val="831"/>
        <w:ind w:firstLine="420"/>
        <w:jc w:val="both"/>
        <w:spacing w:line="360" w:lineRule="auto"/>
        <w:rPr>
          <w:rFonts w:hint="eastAsia" w:ascii="宋体" w:hAnsi="宋体" w:cs="宋体"/>
          <w:color w:val="000000"/>
        </w:rPr>
      </w:pPr>
      <w:r>
        <w:rPr>
          <w:rFonts w:hint="eastAsia" w:ascii="宋体" w:hAnsi="宋体" w:cs="宋体"/>
          <w:color w:val="000000"/>
        </w:rPr>
        <w:t xml:space="preserve">2.合同价格形式：</w:t>
      </w:r>
      <w:r>
        <w:rPr>
          <w:rFonts w:hint="eastAsia" w:ascii="宋体" w:hAnsi="宋体" w:cs="宋体"/>
          <w:color w:val="000000"/>
          <w:u w:val="single"/>
        </w:rPr>
        <w:t xml:space="preserve">固定单价合同</w:t>
      </w:r>
      <w:r>
        <w:rPr>
          <w:rFonts w:hint="eastAsia" w:ascii="宋体" w:hAnsi="宋体" w:cs="宋体"/>
          <w:color w:val="000000"/>
        </w:rPr>
        <w:t xml:space="preserve">。</w:t>
      </w:r>
      <w:r/>
    </w:p>
    <w:p>
      <w:pPr>
        <w:pStyle w:val="1056"/>
        <w:ind w:firstLine="420"/>
        <w:spacing w:line="360" w:lineRule="auto"/>
        <w:tabs>
          <w:tab w:val="left" w:pos="0" w:leader="none"/>
        </w:tabs>
        <w:rPr>
          <w:rFonts w:hint="eastAsia" w:ascii="宋体" w:hAnsi="宋体" w:cs="宋体"/>
          <w:b/>
          <w:color w:val="000000"/>
        </w:rPr>
      </w:pPr>
      <w:r>
        <w:rPr>
          <w:rFonts w:hint="eastAsia" w:ascii="宋体" w:hAnsi="宋体" w:cs="宋体"/>
          <w:color w:val="000000"/>
          <w:u w:val="single"/>
        </w:rPr>
        <w:t xml:space="preserve">按照施工图和工程量清单采取固定单价；任何情况下综合单价不变，决算时按实际工程量乘以综合单价计算</w:t>
      </w:r>
      <w:r>
        <w:rPr>
          <w:rFonts w:hint="eastAsia" w:ascii="宋体" w:hAnsi="宋体" w:cs="宋体"/>
          <w:color w:val="000000"/>
        </w:rPr>
        <w:t xml:space="preserve">。</w:t>
      </w:r>
      <w:r>
        <w:rPr>
          <w:rFonts w:hint="eastAsia" w:ascii="宋体" w:hAnsi="宋体" w:cs="宋体"/>
          <w:b/>
          <w:color w:val="000000"/>
        </w:rPr>
        <w:t xml:space="preserve">非发包人需求且书面认可的变化导致的变更由承包人自行承担相关费用。</w:t>
      </w:r>
      <w:r/>
    </w:p>
    <w:p>
      <w:pPr>
        <w:pStyle w:val="831"/>
        <w:ind w:firstLine="420"/>
        <w:jc w:val="both"/>
        <w:spacing w:line="360" w:lineRule="auto"/>
        <w:rPr>
          <w:rFonts w:hint="eastAsia" w:ascii="宋体" w:hAnsi="宋体" w:cs="宋体"/>
          <w:color w:val="000000"/>
        </w:rPr>
      </w:pPr>
      <w:r>
        <w:rPr>
          <w:rFonts w:hint="eastAsia" w:ascii="宋体" w:hAnsi="宋体" w:cs="宋体"/>
          <w:color w:val="000000"/>
        </w:rPr>
        <w:t xml:space="preserve">五、项目经理和项目其他主要管理人员（现场技术负责人、施工员、质量员、安全员、资料员）</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承包人项目经理：</w:t>
      </w:r>
      <w:r>
        <w:rPr>
          <w:rFonts w:hint="eastAsia" w:ascii="宋体" w:hAnsi="宋体" w:cs="宋体"/>
          <w:color w:val="000000"/>
          <w:u w:val="single"/>
        </w:rPr>
        <w:t xml:space="preserve">               ，联系方式：        </w:t>
      </w:r>
      <w:r>
        <w:rPr>
          <w:rFonts w:hint="eastAsia" w:ascii="宋体" w:hAnsi="宋体" w:cs="宋体"/>
          <w:color w:val="000000"/>
        </w:rPr>
        <w:t xml:space="preserve">。</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项目其他主要管理人员：</w:t>
      </w:r>
      <w:r>
        <w:rPr>
          <w:rFonts w:hint="eastAsia" w:ascii="宋体" w:hAnsi="宋体" w:cs="宋体"/>
          <w:color w:val="000000"/>
          <w:u w:val="single"/>
        </w:rPr>
        <w:t xml:space="preserve">         ，联系方式：        </w:t>
      </w:r>
      <w:r>
        <w:rPr>
          <w:rFonts w:hint="eastAsia" w:ascii="宋体" w:hAnsi="宋体" w:cs="宋体"/>
          <w:color w:val="000000"/>
        </w:rPr>
        <w:t xml:space="preserve">。【填写投标响应文件列明的现场技术负责人、施工员、质量员、安全员、资料员信息】</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六、合同文件构成</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本协议书与下列文件一起构成合同文件：</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（1）中标通知书（如果有）；</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（2）投标函及其附录（如果有）；</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（3）专用合同条款及其附件；</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（4）通用合同条款；</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（5）技术标准和要求；</w:t>
      </w:r>
      <w:r/>
    </w:p>
    <w:p>
      <w:pPr>
        <w:pStyle w:val="1056"/>
        <w:ind w:firstLine="420"/>
        <w:tabs>
          <w:tab w:val="left" w:pos="0" w:leader="none"/>
        </w:tabs>
        <w:rPr>
          <w:rFonts w:hint="eastAsia" w:ascii="宋体" w:hAnsi="宋体" w:cs="宋体"/>
          <w:color w:val="000000"/>
        </w:rPr>
      </w:pPr>
      <w:r>
        <w:rPr>
          <w:rFonts w:hint="eastAsia" w:ascii="宋体" w:hAnsi="宋体" w:cs="宋体"/>
          <w:color w:val="000000"/>
        </w:rPr>
        <w:t xml:space="preserve">（6）图纸；</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（7）已标价工程量清单或预算书；</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（8）其他合同文件。</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在合同订立及履行过程中形成的与合同有关的文件均构成合同文件组成部分。</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上述各项合同文件包括合同当事人就该项合同文件所作出的补充和修改，属于同一类内容的文件，应以最新签署的为准。专用合同条款及其附件须经合同当事人签字或盖章。</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七、承诺</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1.发包人承诺按照法律规定履行项目审批手续、筹集工程建设资金并按照合同约定的期限和方式支付合同价款。</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2.承包人承诺按照法律规定及合同约定组织完成工程施工，确保工程质量和安全，不进行转包及违法分包，并在缺陷责任期及保修期内承担相应的工程维修责任。</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3.发包人和承包人通过招投标形式签订合同的，双方理解并承诺不再就同一工程另行签订与合同实质性内容相背离的协议。</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八、词语含义</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本协议书中词语含义与第二部分通用合同条款中赋予的含义相同。</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九、签订时间</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本合同于</w:t>
      </w:r>
      <w:r>
        <w:rPr>
          <w:rFonts w:hint="eastAsia" w:ascii="宋体" w:hAnsi="宋体" w:cs="宋体"/>
          <w:color w:val="000000"/>
          <w:u w:val="single"/>
        </w:rPr>
        <w:t xml:space="preserve">    年    月     日</w:t>
      </w:r>
      <w:r>
        <w:rPr>
          <w:rFonts w:hint="eastAsia" w:ascii="宋体" w:hAnsi="宋体" w:cs="宋体"/>
          <w:color w:val="000000"/>
        </w:rPr>
        <w:t xml:space="preserve">签订。</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十、签订地点</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本合同在南京市栖霞区仙林大学城文苑路3号签订。</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十一、补充协议</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合同未尽事宜，合同当事人另行签订补充协议，补充协议是本合同的组成部分。发包人需要在本工程项下追加部分项目的，在不改变合同其他条款的前提下，可以与承包人协商签订书面补充合同，但所有补充合同的合同价不得超过本合同合同价的10%，且本合同价格和各补充合同价格之和不得超过本项目采购预算。</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十二、合同生效</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本合同自</w:t>
      </w:r>
      <w:r>
        <w:rPr>
          <w:rFonts w:hint="eastAsia" w:ascii="宋体" w:hAnsi="宋体" w:cs="宋体"/>
          <w:bCs/>
          <w:color w:val="000000"/>
          <w:u w:val="single"/>
        </w:rPr>
        <w:t xml:space="preserve">发包人、承包人双方法定代表人或其委托代理人签名并加盖单位印章（注：发包人加盖单位印章为发包人单位经济合同专用章）且发包人收到承包人按本合同约定提交的履约保证金后</w:t>
      </w:r>
      <w:r>
        <w:rPr>
          <w:rFonts w:hint="eastAsia" w:ascii="宋体" w:hAnsi="宋体" w:cs="宋体"/>
          <w:bCs/>
          <w:color w:val="000000"/>
        </w:rPr>
        <w:t xml:space="preserve">生效</w:t>
      </w:r>
      <w:r>
        <w:rPr>
          <w:rFonts w:hint="eastAsia" w:ascii="宋体" w:hAnsi="宋体" w:cs="宋体"/>
          <w:color w:val="000000"/>
        </w:rPr>
        <w:t xml:space="preserve">。</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十三、合同份数</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本合同一式</w:t>
      </w:r>
      <w:r>
        <w:rPr>
          <w:rFonts w:hint="eastAsia" w:ascii="宋体" w:hAnsi="宋体" w:cs="宋体"/>
          <w:color w:val="000000"/>
          <w:u w:val="single"/>
        </w:rPr>
        <w:t xml:space="preserve">捌</w:t>
      </w:r>
      <w:r>
        <w:rPr>
          <w:rFonts w:hint="eastAsia" w:ascii="宋体" w:hAnsi="宋体" w:cs="宋体"/>
          <w:color w:val="000000"/>
        </w:rPr>
        <w:t xml:space="preserve">份，均具有同等法律效力，发包人执</w:t>
      </w:r>
      <w:r>
        <w:rPr>
          <w:rFonts w:hint="eastAsia" w:ascii="宋体" w:hAnsi="宋体" w:cs="宋体"/>
          <w:color w:val="000000"/>
          <w:u w:val="single"/>
        </w:rPr>
        <w:t xml:space="preserve">陆</w:t>
      </w:r>
      <w:r>
        <w:rPr>
          <w:rFonts w:hint="eastAsia" w:ascii="宋体" w:hAnsi="宋体" w:cs="宋体"/>
          <w:color w:val="000000"/>
        </w:rPr>
        <w:t xml:space="preserve">份，承包人执</w:t>
      </w:r>
      <w:r>
        <w:rPr>
          <w:rFonts w:hint="eastAsia" w:ascii="宋体" w:hAnsi="宋体" w:cs="宋体"/>
          <w:color w:val="000000"/>
          <w:u w:val="single"/>
        </w:rPr>
        <w:t xml:space="preserve">贰</w:t>
      </w:r>
      <w:r>
        <w:rPr>
          <w:rFonts w:hint="eastAsia" w:ascii="宋体" w:hAnsi="宋体" w:cs="宋体"/>
          <w:color w:val="000000"/>
        </w:rPr>
        <w:t xml:space="preserve">份。</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发包人： (盖章)                         承包人： (盖章)</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法定代表人或其委托代理人：              法定代表人或其委托代理人：</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（签名）                               （签名）</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统一社会信用代码：                      统一社会信用代码：</w:t>
      </w:r>
      <w:r/>
    </w:p>
    <w:p>
      <w:pPr>
        <w:pStyle w:val="831"/>
        <w:ind w:left="4560" w:hanging="4560"/>
        <w:jc w:val="both"/>
        <w:spacing w:line="460" w:lineRule="exact"/>
        <w:rPr>
          <w:rFonts w:hint="eastAsia" w:ascii="宋体" w:hAnsi="宋体" w:cs="宋体"/>
          <w:color w:val="000000"/>
        </w:rPr>
      </w:pPr>
      <w:r>
        <w:rPr>
          <w:rFonts w:hint="eastAsia" w:ascii="宋体" w:hAnsi="宋体" w:cs="宋体"/>
          <w:color w:val="000000"/>
        </w:rPr>
        <w:t xml:space="preserve">地址：                                  地址：</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邮政编码：                              邮政编码：</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法定代表人：                            法定代表人：</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委托代理人：                            委托代理人：</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电话：                                 电话：</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传真：                                  传真：</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电子信箱：                              电子信箱：</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开户银行：                              开户银行：</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账号：                                  账号：</w:t>
      </w:r>
      <w:r/>
    </w:p>
    <w:p>
      <w:pPr>
        <w:pStyle w:val="831"/>
        <w:jc w:val="both"/>
        <w:rPr>
          <w:rFonts w:hint="eastAsia" w:ascii="宋体" w:hAnsi="宋体" w:cs="宋体"/>
          <w:b/>
          <w:bCs/>
          <w:color w:val="000000"/>
        </w:rPr>
        <w:sectPr>
          <w:headerReference w:type="default" r:id="rId9"/>
          <w:footerReference w:type="default" r:id="rId10"/>
          <w:footerReference w:type="even" r:id="rId11"/>
          <w:footnotePr/>
          <w:endnotePr/>
          <w:type w:val="nextPage"/>
          <w:pgSz w:w="11906" w:h="16838" w:orient="portrait"/>
          <w:pgMar w:top="1440" w:right="1800" w:bottom="1440" w:left="1380" w:header="851" w:footer="992" w:gutter="0"/>
          <w:pgNumType w:start="1"/>
          <w:rtlGutter/>
          <w:cols w:num="1" w:sep="0" w:space="720" w:equalWidth="1"/>
          <w:docGrid w:linePitch="360"/>
        </w:sectPr>
      </w:pPr>
      <w:r>
        <w:rPr>
          <w:rFonts w:hint="eastAsia" w:ascii="宋体" w:hAnsi="宋体" w:cs="宋体"/>
          <w:b/>
          <w:bCs/>
          <w:color w:val="000000"/>
        </w:rPr>
      </w:r>
      <w:r/>
    </w:p>
    <w:p>
      <w:pPr>
        <w:pStyle w:val="831"/>
        <w:jc w:val="center"/>
        <w:rPr>
          <w:rFonts w:hint="eastAsia" w:ascii="宋体" w:hAnsi="宋体" w:cs="宋体"/>
          <w:b/>
          <w:bCs/>
          <w:color w:val="000000"/>
        </w:rPr>
      </w:pPr>
      <w:r>
        <w:rPr>
          <w:rFonts w:hint="eastAsia" w:ascii="宋体" w:hAnsi="宋体" w:cs="宋体"/>
          <w:b/>
          <w:bCs/>
          <w:color w:val="000000"/>
        </w:rPr>
        <w:t xml:space="preserve">第二部分通用合同条款</w:t>
      </w:r>
      <w:r/>
    </w:p>
    <w:p>
      <w:pPr>
        <w:pStyle w:val="831"/>
        <w:jc w:val="both"/>
        <w:rPr>
          <w:rFonts w:hint="eastAsia" w:ascii="宋体" w:hAnsi="宋体" w:cs="宋体"/>
          <w:b/>
          <w:bCs/>
          <w:color w:val="000000"/>
        </w:rPr>
      </w:pPr>
      <w:r>
        <w:rPr>
          <w:rFonts w:hint="eastAsia" w:ascii="宋体" w:hAnsi="宋体" w:cs="宋体"/>
          <w:b/>
          <w:bCs/>
          <w:color w:val="000000"/>
        </w:rPr>
      </w:r>
      <w:r/>
    </w:p>
    <w:p>
      <w:pPr>
        <w:pStyle w:val="831"/>
        <w:jc w:val="both"/>
        <w:rPr>
          <w:rFonts w:hint="eastAsia" w:ascii="宋体" w:hAnsi="宋体" w:cs="宋体"/>
          <w:color w:val="000000"/>
        </w:rPr>
      </w:pPr>
      <w:r>
        <w:rPr>
          <w:rFonts w:hint="eastAsia" w:ascii="宋体" w:hAnsi="宋体" w:cs="宋体"/>
          <w:color w:val="000000"/>
        </w:rPr>
        <w:t xml:space="preserve">此部分采用《建设工程施工合同》范本（GF—2017—0201）中《第二部分通用条款》。</w:t>
      </w:r>
      <w:r/>
    </w:p>
    <w:p>
      <w:pPr>
        <w:pStyle w:val="831"/>
        <w:jc w:val="both"/>
        <w:rPr>
          <w:rFonts w:hint="eastAsia" w:ascii="宋体" w:hAnsi="宋体" w:cs="宋体"/>
          <w:b/>
          <w:bCs/>
          <w:color w:val="000000"/>
        </w:rPr>
      </w:pPr>
      <w:r>
        <w:rPr>
          <w:rFonts w:hint="eastAsia" w:ascii="宋体" w:hAnsi="宋体" w:cs="宋体"/>
          <w:b/>
          <w:bCs/>
          <w:color w:val="000000"/>
        </w:rPr>
      </w:r>
      <w:r/>
    </w:p>
    <w:p>
      <w:pPr>
        <w:pStyle w:val="831"/>
        <w:jc w:val="center"/>
        <w:rPr>
          <w:rFonts w:hint="eastAsia" w:ascii="宋体" w:hAnsi="宋体" w:cs="宋体"/>
          <w:b/>
          <w:bCs/>
          <w:color w:val="000000"/>
        </w:rPr>
      </w:pPr>
      <w:r>
        <w:rPr>
          <w:rFonts w:hint="eastAsia" w:ascii="宋体" w:hAnsi="宋体" w:cs="宋体"/>
          <w:b/>
          <w:bCs/>
          <w:color w:val="000000"/>
        </w:rPr>
        <w:t xml:space="preserve">第三部分专用合同条款</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 . 一般约定</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1.1 词语定义</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1.1.1合同</w:t>
      </w:r>
      <w:r/>
    </w:p>
    <w:p>
      <w:pPr>
        <w:pStyle w:val="831"/>
        <w:jc w:val="both"/>
        <w:spacing w:line="440" w:lineRule="exact"/>
        <w:rPr>
          <w:rFonts w:hint="eastAsia" w:ascii="宋体" w:hAnsi="宋体" w:cs="宋体"/>
          <w:color w:val="000000"/>
          <w:u w:val="single"/>
        </w:rPr>
      </w:pPr>
      <w:r>
        <w:rPr>
          <w:rFonts w:hint="eastAsia" w:ascii="宋体" w:hAnsi="宋体" w:cs="宋体"/>
          <w:color w:val="000000"/>
          <w:u w:val="single"/>
        </w:rPr>
        <w:t xml:space="preserve">合同文件包括：（1）施工合同协议书；（2）中标通知书或成交通知书；（3）招标文件、投标书及其附件；（4）专用条款；（5）通用条款；（6）标准、规范及有关技术资料；（7）工程量清单；（8）工程报价单或预算书等履行合同过程中双方书面确认的对合同内容有实质性影响的文件以及会议纪要、签证、设计变更等资料。</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1.1.2 合同当事人及其他相关方</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1.1.2.1监理人：</w:t>
      </w:r>
      <w:r/>
    </w:p>
    <w:p>
      <w:pPr>
        <w:pStyle w:val="831"/>
        <w:jc w:val="both"/>
        <w:spacing w:line="440" w:lineRule="exact"/>
        <w:rPr>
          <w:rFonts w:hint="eastAsia" w:ascii="宋体" w:hAnsi="宋体" w:cs="宋体"/>
          <w:color w:val="000000"/>
          <w:u w:val="single"/>
        </w:rPr>
      </w:pPr>
      <w:r>
        <w:rPr>
          <w:rFonts w:hint="eastAsia" w:ascii="宋体" w:hAnsi="宋体" w:cs="宋体"/>
          <w:color w:val="000000"/>
        </w:rPr>
        <w:t xml:space="preserve">名称：</w:t>
      </w:r>
      <w:r>
        <w:rPr>
          <w:rFonts w:hint="eastAsia" w:ascii="宋体" w:hAnsi="宋体" w:cs="宋体"/>
          <w:color w:val="000000"/>
          <w:u w:val="single"/>
        </w:rPr>
        <w:t xml:space="preserve">    ；</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资质类别和等级：</w:t>
      </w:r>
      <w:r>
        <w:rPr>
          <w:rFonts w:hint="eastAsia" w:ascii="宋体" w:hAnsi="宋体" w:cs="宋体"/>
          <w:color w:val="000000"/>
          <w:u w:val="single"/>
        </w:rPr>
        <w:t xml:space="preserve">         ；</w:t>
      </w:r>
      <w:r>
        <w:rPr>
          <w:rFonts w:hint="eastAsia" w:ascii="宋体" w:hAnsi="宋体" w:cs="宋体"/>
          <w:color w:val="000000"/>
        </w:rPr>
      </w:r>
      <w:r/>
    </w:p>
    <w:p>
      <w:pPr>
        <w:pStyle w:val="831"/>
        <w:jc w:val="both"/>
        <w:spacing w:line="440" w:lineRule="exact"/>
        <w:rPr>
          <w:rFonts w:hint="eastAsia" w:ascii="宋体" w:hAnsi="宋体" w:cs="宋体"/>
          <w:color w:val="000000"/>
        </w:rPr>
      </w:pPr>
      <w:r>
        <w:rPr>
          <w:rFonts w:hint="eastAsia" w:ascii="宋体" w:hAnsi="宋体" w:cs="宋体"/>
          <w:color w:val="000000"/>
        </w:rPr>
        <w:t xml:space="preserve">联系电话：</w:t>
      </w:r>
      <w:r>
        <w:rPr>
          <w:rFonts w:hint="eastAsia" w:ascii="宋体" w:hAnsi="宋体" w:cs="宋体"/>
          <w:color w:val="000000"/>
          <w:u w:val="single"/>
        </w:rPr>
        <w:t xml:space="preserve">         ；</w:t>
      </w:r>
      <w:r>
        <w:rPr>
          <w:rFonts w:hint="eastAsia" w:ascii="宋体" w:hAnsi="宋体" w:cs="宋体"/>
          <w:color w:val="000000"/>
        </w:rPr>
      </w:r>
      <w:r/>
    </w:p>
    <w:p>
      <w:pPr>
        <w:pStyle w:val="831"/>
        <w:jc w:val="both"/>
        <w:spacing w:line="440" w:lineRule="exact"/>
        <w:rPr>
          <w:rFonts w:hint="eastAsia" w:ascii="宋体" w:hAnsi="宋体" w:cs="宋体"/>
          <w:color w:val="000000"/>
        </w:rPr>
      </w:pPr>
      <w:r>
        <w:rPr>
          <w:rFonts w:hint="eastAsia" w:ascii="宋体" w:hAnsi="宋体" w:cs="宋体"/>
          <w:color w:val="000000"/>
        </w:rPr>
        <w:t xml:space="preserve">电子信箱：</w:t>
      </w:r>
      <w:r>
        <w:rPr>
          <w:rFonts w:hint="eastAsia" w:ascii="宋体" w:hAnsi="宋体" w:cs="宋体"/>
          <w:color w:val="000000"/>
          <w:u w:val="single"/>
        </w:rPr>
        <w:t xml:space="preserve">         ；</w:t>
      </w:r>
      <w:r>
        <w:rPr>
          <w:rFonts w:hint="eastAsia" w:ascii="宋体" w:hAnsi="宋体" w:cs="宋体"/>
          <w:color w:val="000000"/>
        </w:rPr>
      </w:r>
      <w:r/>
    </w:p>
    <w:p>
      <w:pPr>
        <w:pStyle w:val="831"/>
        <w:jc w:val="both"/>
        <w:spacing w:line="440" w:lineRule="exact"/>
        <w:rPr>
          <w:rFonts w:hint="eastAsia" w:ascii="宋体" w:hAnsi="宋体" w:cs="宋体"/>
          <w:color w:val="000000"/>
        </w:rPr>
      </w:pPr>
      <w:r>
        <w:rPr>
          <w:rFonts w:hint="eastAsia" w:ascii="宋体" w:hAnsi="宋体" w:cs="宋体"/>
          <w:color w:val="000000"/>
        </w:rPr>
        <w:t xml:space="preserve">通信地址：</w:t>
      </w:r>
      <w:r>
        <w:rPr>
          <w:rFonts w:hint="eastAsia" w:ascii="宋体" w:hAnsi="宋体" w:cs="宋体"/>
          <w:color w:val="000000"/>
          <w:u w:val="single"/>
        </w:rPr>
        <w:t xml:space="preserve">         ；</w:t>
      </w:r>
      <w:r>
        <w:rPr>
          <w:rFonts w:hint="eastAsia" w:ascii="宋体" w:hAnsi="宋体" w:cs="宋体"/>
          <w:color w:val="000000"/>
        </w:rPr>
        <w:t xml:space="preserve">。</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1.1.2.2设计人：</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名称：</w:t>
      </w:r>
      <w:r>
        <w:rPr>
          <w:rFonts w:hint="eastAsia" w:ascii="宋体" w:hAnsi="宋体" w:cs="宋体"/>
          <w:color w:val="000000"/>
          <w:u w:val="single"/>
        </w:rPr>
        <w:t xml:space="preserve">         ；</w:t>
      </w:r>
      <w:r>
        <w:rPr>
          <w:rFonts w:hint="eastAsia" w:ascii="宋体" w:hAnsi="宋体" w:cs="宋体"/>
          <w:color w:val="000000"/>
        </w:rPr>
      </w:r>
      <w:r/>
    </w:p>
    <w:p>
      <w:pPr>
        <w:pStyle w:val="831"/>
        <w:jc w:val="both"/>
        <w:spacing w:line="440" w:lineRule="exact"/>
        <w:rPr>
          <w:rFonts w:hint="eastAsia" w:ascii="宋体" w:hAnsi="宋体" w:cs="宋体"/>
          <w:color w:val="000000"/>
        </w:rPr>
      </w:pPr>
      <w:r>
        <w:rPr>
          <w:rFonts w:hint="eastAsia" w:ascii="宋体" w:hAnsi="宋体" w:cs="宋体"/>
          <w:color w:val="000000"/>
        </w:rPr>
        <w:t xml:space="preserve">资质类别和等级：</w:t>
      </w:r>
      <w:r>
        <w:rPr>
          <w:rFonts w:hint="eastAsia" w:ascii="宋体" w:hAnsi="宋体" w:cs="宋体"/>
          <w:color w:val="000000"/>
          <w:u w:val="single"/>
        </w:rPr>
        <w:t xml:space="preserve">         ；</w:t>
      </w:r>
      <w:r>
        <w:rPr>
          <w:rFonts w:hint="eastAsia" w:ascii="宋体" w:hAnsi="宋体" w:cs="宋体"/>
          <w:color w:val="000000"/>
        </w:rPr>
      </w:r>
      <w:r/>
    </w:p>
    <w:p>
      <w:pPr>
        <w:pStyle w:val="831"/>
        <w:jc w:val="both"/>
        <w:spacing w:line="440" w:lineRule="exact"/>
        <w:rPr>
          <w:rFonts w:hint="eastAsia" w:ascii="宋体" w:hAnsi="宋体" w:cs="宋体"/>
          <w:color w:val="000000"/>
        </w:rPr>
      </w:pPr>
      <w:r>
        <w:rPr>
          <w:rFonts w:hint="eastAsia" w:ascii="宋体" w:hAnsi="宋体" w:cs="宋体"/>
          <w:color w:val="000000"/>
        </w:rPr>
        <w:t xml:space="preserve">联系电话：</w:t>
      </w:r>
      <w:r>
        <w:rPr>
          <w:rFonts w:hint="eastAsia" w:ascii="宋体" w:hAnsi="宋体" w:cs="宋体"/>
          <w:color w:val="000000"/>
          <w:u w:val="single"/>
        </w:rPr>
        <w:t xml:space="preserve">         ；</w:t>
      </w:r>
      <w:r>
        <w:rPr>
          <w:rFonts w:hint="eastAsia" w:ascii="宋体" w:hAnsi="宋体" w:cs="宋体"/>
          <w:color w:val="000000"/>
        </w:rPr>
      </w:r>
      <w:r/>
    </w:p>
    <w:p>
      <w:pPr>
        <w:pStyle w:val="831"/>
        <w:jc w:val="both"/>
        <w:spacing w:line="440" w:lineRule="exact"/>
        <w:rPr>
          <w:rFonts w:hint="eastAsia" w:ascii="宋体" w:hAnsi="宋体" w:cs="宋体"/>
          <w:color w:val="000000"/>
        </w:rPr>
      </w:pPr>
      <w:r>
        <w:rPr>
          <w:rFonts w:hint="eastAsia" w:ascii="宋体" w:hAnsi="宋体" w:cs="宋体"/>
          <w:color w:val="000000"/>
        </w:rPr>
        <w:t xml:space="preserve">电子信箱：</w:t>
      </w:r>
      <w:r>
        <w:rPr>
          <w:rFonts w:hint="eastAsia" w:ascii="宋体" w:hAnsi="宋体" w:cs="宋体"/>
          <w:color w:val="000000"/>
          <w:u w:val="single"/>
        </w:rPr>
        <w:t xml:space="preserve">         ；</w:t>
      </w:r>
      <w:r>
        <w:rPr>
          <w:rFonts w:hint="eastAsia" w:ascii="宋体" w:hAnsi="宋体" w:cs="宋体"/>
          <w:color w:val="000000"/>
        </w:rPr>
      </w:r>
      <w:r/>
    </w:p>
    <w:p>
      <w:pPr>
        <w:pStyle w:val="831"/>
        <w:jc w:val="both"/>
        <w:spacing w:line="440" w:lineRule="exact"/>
        <w:rPr>
          <w:rFonts w:hint="eastAsia" w:ascii="宋体" w:hAnsi="宋体" w:cs="宋体"/>
          <w:color w:val="000000"/>
        </w:rPr>
      </w:pPr>
      <w:r>
        <w:rPr>
          <w:rFonts w:hint="eastAsia" w:ascii="宋体" w:hAnsi="宋体" w:cs="宋体"/>
          <w:color w:val="000000"/>
        </w:rPr>
        <w:t xml:space="preserve">通信地址：</w:t>
      </w:r>
      <w:r>
        <w:rPr>
          <w:rFonts w:hint="eastAsia" w:ascii="宋体" w:hAnsi="宋体" w:cs="宋体"/>
          <w:color w:val="000000"/>
          <w:u w:val="single"/>
        </w:rPr>
        <w:t xml:space="preserve">         ；</w:t>
      </w:r>
      <w:r>
        <w:rPr>
          <w:rFonts w:hint="eastAsia" w:ascii="宋体" w:hAnsi="宋体" w:cs="宋体"/>
          <w:color w:val="000000"/>
        </w:rPr>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1.1.3 工程和设备</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1.1.3.1作为施工现场组成部分的其他场所包括：</w:t>
      </w:r>
      <w:r>
        <w:rPr>
          <w:rFonts w:hint="eastAsia" w:ascii="宋体" w:hAnsi="宋体" w:cs="宋体"/>
          <w:color w:val="000000"/>
          <w:u w:val="single"/>
        </w:rPr>
        <w:t xml:space="preserve">无</w:t>
      </w:r>
      <w:r>
        <w:rPr>
          <w:rFonts w:hint="eastAsia" w:ascii="宋体" w:hAnsi="宋体" w:cs="宋体"/>
          <w:color w:val="000000"/>
        </w:rPr>
        <w:t xml:space="preserve">。</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1.1.3.2永久占地包括：</w:t>
      </w:r>
      <w:r>
        <w:rPr>
          <w:rFonts w:hint="eastAsia" w:ascii="宋体" w:hAnsi="宋体" w:cs="宋体"/>
          <w:color w:val="000000"/>
          <w:u w:val="single"/>
        </w:rPr>
        <w:t xml:space="preserve">无</w:t>
      </w:r>
      <w:r>
        <w:rPr>
          <w:rFonts w:hint="eastAsia" w:ascii="宋体" w:hAnsi="宋体" w:cs="宋体"/>
          <w:color w:val="000000"/>
        </w:rPr>
        <w:t xml:space="preserve">。</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1.1.3.3临时占地包括：</w:t>
      </w:r>
      <w:r>
        <w:rPr>
          <w:rFonts w:hint="eastAsia" w:ascii="宋体" w:hAnsi="宋体" w:cs="宋体"/>
          <w:color w:val="000000"/>
          <w:u w:val="single"/>
        </w:rPr>
        <w:t xml:space="preserve">施工场地周围道路</w:t>
      </w:r>
      <w:r>
        <w:rPr>
          <w:rFonts w:hint="eastAsia" w:ascii="宋体" w:hAnsi="宋体" w:cs="宋体"/>
          <w:color w:val="000000"/>
        </w:rPr>
        <w:t xml:space="preserve">。</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1.2法律</w:t>
      </w:r>
      <w:r/>
    </w:p>
    <w:p>
      <w:pPr>
        <w:pStyle w:val="831"/>
        <w:jc w:val="both"/>
        <w:spacing w:line="440" w:lineRule="exact"/>
        <w:rPr>
          <w:rFonts w:hint="eastAsia" w:ascii="宋体" w:hAnsi="宋体" w:cs="宋体"/>
          <w:color w:val="000000"/>
          <w:u w:val="single"/>
        </w:rPr>
      </w:pPr>
      <w:r>
        <w:rPr>
          <w:rFonts w:hint="eastAsia" w:ascii="宋体" w:hAnsi="宋体" w:cs="宋体"/>
          <w:color w:val="000000"/>
        </w:rPr>
        <w:t xml:space="preserve">适用于合同的其他规范性文件：</w:t>
      </w:r>
      <w:r>
        <w:rPr>
          <w:rFonts w:hint="eastAsia" w:ascii="宋体" w:hAnsi="宋体" w:cs="宋体"/>
          <w:color w:val="000000"/>
          <w:u w:val="single"/>
        </w:rPr>
        <w:t xml:space="preserve">《中华人民共和国民法典》、《中华人民共和国建筑法》、《中华人民共和国招标投标法》、《中华人民共和国招标投标法实施条例》、《建设工程质量管理条例》、七部委第12号令《评标小组和评标方法暂行规定》、七部委第30号令《工程建设项目施工招标投标办法》、建设部第89号令《房屋建筑和市政基础设施工程施工招标投标管理办法》等。</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1.3标准和规范</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1.3.1适用于工程的标准规范包括：</w:t>
      </w:r>
      <w:r>
        <w:rPr>
          <w:rFonts w:hint="eastAsia" w:ascii="宋体" w:hAnsi="宋体" w:cs="宋体"/>
          <w:color w:val="000000"/>
          <w:u w:val="single"/>
        </w:rPr>
        <w:t xml:space="preserve">本项目应按国家颁发的有关规范、标准及省、市有关规定的设计和施工要求。除非合同中另有规定，施工所用的规范及标准须采用最新版本。如遇设计或施工规范和标准对同一问题的处理出现相互矛盾，或设计若有不符合现行规范、规定、标准等或其他不到位之处的情况时，承包人应及时通知监理工程师，并提出解决办法，征得发包人和监理工程师的同意后实施</w:t>
      </w:r>
      <w:r>
        <w:rPr>
          <w:rFonts w:hint="eastAsia" w:ascii="宋体" w:hAnsi="宋体" w:cs="宋体"/>
          <w:color w:val="000000"/>
        </w:rPr>
        <w:t xml:space="preserve">。</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1.3.2 发包人提供国外标准、规范的名称：</w:t>
      </w:r>
      <w:r>
        <w:rPr>
          <w:rFonts w:hint="eastAsia" w:ascii="宋体" w:hAnsi="宋体" w:cs="宋体"/>
          <w:color w:val="000000"/>
          <w:u w:val="single"/>
        </w:rPr>
        <w:t xml:space="preserve">无</w:t>
      </w:r>
      <w:r>
        <w:rPr>
          <w:rFonts w:hint="eastAsia" w:ascii="宋体" w:hAnsi="宋体" w:cs="宋体"/>
          <w:color w:val="000000"/>
        </w:rPr>
        <w:t xml:space="preserve">；</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发包人提供国外标准、规范的份数：</w:t>
      </w:r>
      <w:r>
        <w:rPr>
          <w:rFonts w:hint="eastAsia" w:ascii="宋体" w:hAnsi="宋体" w:cs="宋体"/>
          <w:color w:val="000000"/>
          <w:u w:val="single"/>
        </w:rPr>
        <w:t xml:space="preserve">无</w:t>
      </w:r>
      <w:r>
        <w:rPr>
          <w:rFonts w:hint="eastAsia" w:ascii="宋体" w:hAnsi="宋体" w:cs="宋体"/>
          <w:color w:val="000000"/>
        </w:rPr>
        <w:t xml:space="preserve">；</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发包人提供国外标准、规范的名称：</w:t>
      </w:r>
      <w:r>
        <w:rPr>
          <w:rFonts w:hint="eastAsia" w:ascii="宋体" w:hAnsi="宋体" w:cs="宋体"/>
          <w:color w:val="000000"/>
          <w:u w:val="single"/>
        </w:rPr>
        <w:t xml:space="preserve">无</w:t>
      </w:r>
      <w:r>
        <w:rPr>
          <w:rFonts w:hint="eastAsia" w:ascii="宋体" w:hAnsi="宋体" w:cs="宋体"/>
          <w:color w:val="000000"/>
        </w:rPr>
        <w:t xml:space="preserve">。</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1.3.3发包人对工程的技术标准和功能要求的特殊要求：</w:t>
      </w:r>
      <w:r>
        <w:rPr>
          <w:rFonts w:hint="eastAsia" w:ascii="宋体" w:hAnsi="宋体" w:cs="宋体"/>
          <w:color w:val="000000"/>
          <w:u w:val="single"/>
        </w:rPr>
        <w:t xml:space="preserve">无</w:t>
      </w:r>
      <w:r>
        <w:rPr>
          <w:rFonts w:hint="eastAsia" w:ascii="宋体" w:hAnsi="宋体" w:cs="宋体"/>
          <w:color w:val="000000"/>
        </w:rPr>
        <w:t xml:space="preserve">。</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1.4合同文件的优先顺序</w:t>
      </w:r>
      <w:r/>
    </w:p>
    <w:p>
      <w:pPr>
        <w:pStyle w:val="831"/>
        <w:ind w:firstLine="480"/>
        <w:jc w:val="both"/>
        <w:spacing w:line="400" w:lineRule="exact"/>
        <w:rPr>
          <w:rFonts w:hint="eastAsia" w:ascii="宋体" w:hAnsi="宋体" w:cs="宋体"/>
          <w:color w:val="000000"/>
          <w:u w:val="single"/>
        </w:rPr>
      </w:pPr>
      <w:r>
        <w:rPr>
          <w:rFonts w:hint="eastAsia" w:ascii="宋体" w:hAnsi="宋体" w:cs="宋体"/>
          <w:color w:val="000000"/>
        </w:rPr>
        <w:t xml:space="preserve">合同文件组成及优先顺序为：</w:t>
      </w:r>
      <w:r>
        <w:rPr>
          <w:rFonts w:hint="eastAsia" w:ascii="宋体" w:hAnsi="宋体" w:cs="宋体"/>
          <w:color w:val="000000"/>
          <w:u w:val="single"/>
        </w:rPr>
        <w:t xml:space="preserve">（1）本施工合同协议书；（2）中标通知书或成交通知书；（3）本合同专用条款；（4）标准、规范及有关技术资料；（5）工程量清单；（6）工程报价单或预算书；（7）招标文件、投标书及其附件（含：承包人投标过程所作承诺）；（8）本合同通用条款；（9）合同履行中，发包人承包人有关工程的洽商、变更等书面协议或文件视为本合同的组成。</w:t>
      </w:r>
      <w:r/>
    </w:p>
    <w:p>
      <w:pPr>
        <w:pStyle w:val="831"/>
        <w:ind w:firstLine="480"/>
        <w:jc w:val="both"/>
        <w:spacing w:line="400" w:lineRule="exact"/>
        <w:rPr>
          <w:rFonts w:hint="eastAsia" w:ascii="宋体" w:hAnsi="宋体" w:cs="宋体"/>
          <w:color w:val="000000"/>
        </w:rPr>
      </w:pPr>
      <w:r>
        <w:rPr>
          <w:rFonts w:hint="eastAsia" w:ascii="宋体" w:hAnsi="宋体" w:cs="宋体"/>
          <w:color w:val="000000"/>
        </w:rPr>
        <w:t xml:space="preserve">上述各项合同文件包括合同当事人就该项合同文件所作出的补充和修改，属于同一类内容的文件，应以最新签署的为准。</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1.5图纸和承包人文件</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1.5.1 图纸的提供</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发包人向承包人提供图纸的期限：</w:t>
      </w:r>
      <w:r>
        <w:rPr>
          <w:rFonts w:hint="eastAsia" w:ascii="宋体" w:hAnsi="宋体" w:cs="宋体"/>
          <w:color w:val="000000"/>
          <w:u w:val="single"/>
        </w:rPr>
        <w:t xml:space="preserve">开工前【7】日内提供施工图</w:t>
      </w:r>
      <w:r>
        <w:rPr>
          <w:rFonts w:hint="eastAsia" w:ascii="宋体" w:hAnsi="宋体" w:cs="宋体"/>
          <w:color w:val="000000"/>
        </w:rPr>
        <w:t xml:space="preserve">；</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发包人向承包人提供图纸的数量：</w:t>
      </w:r>
      <w:r>
        <w:rPr>
          <w:rFonts w:hint="eastAsia" w:ascii="宋体" w:hAnsi="宋体" w:cs="宋体"/>
          <w:color w:val="000000"/>
          <w:u w:val="single"/>
        </w:rPr>
        <w:t xml:space="preserve">纸质版【3】套，如需加晒图纸承包人自行承担所有费用；</w:t>
      </w:r>
      <w:r>
        <w:rPr>
          <w:rFonts w:hint="eastAsia" w:ascii="宋体" w:hAnsi="宋体" w:cs="宋体"/>
          <w:color w:val="000000"/>
        </w:rPr>
      </w:r>
      <w:r/>
    </w:p>
    <w:p>
      <w:pPr>
        <w:pStyle w:val="831"/>
        <w:jc w:val="both"/>
        <w:spacing w:line="440" w:lineRule="exact"/>
        <w:rPr>
          <w:rFonts w:hint="eastAsia" w:ascii="宋体" w:hAnsi="宋体" w:cs="宋体"/>
          <w:color w:val="000000"/>
        </w:rPr>
      </w:pPr>
      <w:r>
        <w:rPr>
          <w:rFonts w:hint="eastAsia" w:ascii="宋体" w:hAnsi="宋体" w:cs="宋体"/>
          <w:color w:val="000000"/>
        </w:rPr>
        <w:t xml:space="preserve">发包人向承包人提供图纸的内容：</w:t>
      </w:r>
      <w:r>
        <w:rPr>
          <w:rFonts w:hint="eastAsia" w:ascii="宋体" w:hAnsi="宋体" w:cs="宋体"/>
          <w:color w:val="000000"/>
          <w:u w:val="single"/>
        </w:rPr>
        <w:t xml:space="preserve">全套施工图</w:t>
      </w:r>
      <w:r>
        <w:rPr>
          <w:rFonts w:hint="eastAsia" w:ascii="宋体" w:hAnsi="宋体" w:cs="宋体"/>
          <w:color w:val="000000"/>
        </w:rPr>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1.5.2承包人文件</w:t>
      </w:r>
      <w:r/>
    </w:p>
    <w:p>
      <w:pPr>
        <w:pStyle w:val="831"/>
        <w:jc w:val="both"/>
        <w:spacing w:line="440" w:lineRule="exact"/>
        <w:rPr>
          <w:rFonts w:hint="eastAsia" w:ascii="宋体" w:hAnsi="宋体" w:cs="宋体"/>
          <w:b/>
          <w:bCs/>
          <w:color w:val="000000"/>
          <w:u w:val="single"/>
        </w:rPr>
      </w:pPr>
      <w:r>
        <w:rPr>
          <w:rFonts w:hint="eastAsia" w:ascii="宋体" w:hAnsi="宋体" w:cs="宋体"/>
          <w:color w:val="000000"/>
        </w:rPr>
        <w:t xml:space="preserve">需要由承包人提供的文件，包括：</w:t>
      </w:r>
      <w:r>
        <w:rPr>
          <w:rFonts w:hint="eastAsia" w:ascii="宋体" w:hAnsi="宋体" w:cs="宋体"/>
          <w:color w:val="000000"/>
          <w:u w:val="single"/>
        </w:rPr>
        <w:t xml:space="preserve">每七天分别向发包人及监理方提供详细的施工进度计划、已完工程量报表（含工程变更及签证算）、发包人供材料清单、承包人购材</w:t>
      </w:r>
      <w:r>
        <w:rPr>
          <w:rFonts w:hint="eastAsia" w:ascii="宋体" w:hAnsi="宋体" w:cs="宋体"/>
          <w:color w:val="000000"/>
          <w:u w:val="single"/>
        </w:rPr>
        <w:t xml:space="preserve">料清单、材料进场计划、劳动力及用款计划等资料。分项的施工组织设计在开工3日内向发包人提供。进场后一周内提供材料计划，每两周分别向发包人及监理方提供详细的施工进度计划、已完工程量报表（含工程变更及签证预算）、发包人供材料清单、承包人购材料清单、材料进场计划、劳动力及用款计划等资料。分项的施工组织设计在开工前1周内向发包人提供；需要由承包人提供的文件还包括：（1）设计变更、签证申请报告；（2）隐蔽工程和中间验收通知；（3）竣工验收申请报告；（4）竣工资料；（5）竣工结算申请单及结算资料；（6）最终结清申请单；其</w:t>
      </w:r>
      <w:r>
        <w:rPr>
          <w:rFonts w:hint="eastAsia" w:ascii="宋体" w:hAnsi="宋体" w:cs="宋体"/>
          <w:b/>
          <w:bCs/>
          <w:color w:val="000000"/>
          <w:u w:val="single"/>
        </w:rPr>
        <w:t xml:space="preserve">他应监理人或发包人要求提交的其他报告、报表：承包人应在正式施工前向发包人提供详细施工技术方案及未来清单报价表（含综合单价分析表等）并附光盘，经发包人审核书面同意后方可进场施工。</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承包人提供的文件的期限为：</w:t>
      </w:r>
      <w:r>
        <w:rPr>
          <w:rFonts w:hint="eastAsia" w:ascii="宋体" w:hAnsi="宋体" w:cs="宋体"/>
          <w:color w:val="000000"/>
          <w:u w:val="single"/>
        </w:rPr>
        <w:t xml:space="preserve">除了上述第1.5.2条款规定的文件提交期限外，其他文件提交时间为相关事件发生之日起3天内</w:t>
      </w:r>
      <w:r>
        <w:rPr>
          <w:rFonts w:hint="eastAsia" w:ascii="宋体" w:hAnsi="宋体" w:cs="宋体"/>
          <w:color w:val="000000"/>
        </w:rPr>
        <w:t xml:space="preserve">；</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承包人提供的文件的数量为：</w:t>
      </w:r>
      <w:r>
        <w:rPr>
          <w:rFonts w:hint="eastAsia" w:ascii="宋体" w:hAnsi="宋体" w:cs="宋体"/>
          <w:color w:val="000000"/>
          <w:u w:val="single"/>
        </w:rPr>
        <w:t xml:space="preserve">一式叁份，交发包人和监理各一份，承包人留存一份</w:t>
      </w:r>
      <w:r>
        <w:rPr>
          <w:rFonts w:hint="eastAsia" w:ascii="宋体" w:hAnsi="宋体" w:cs="宋体"/>
          <w:color w:val="000000"/>
        </w:rPr>
        <w:t xml:space="preserve">；</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承包人提供的文件的形式为：</w:t>
      </w:r>
      <w:r>
        <w:rPr>
          <w:rFonts w:hint="eastAsia" w:ascii="宋体" w:hAnsi="宋体" w:cs="宋体"/>
          <w:color w:val="000000"/>
          <w:u w:val="single"/>
        </w:rPr>
        <w:t xml:space="preserve">书面形式</w:t>
      </w:r>
      <w:r>
        <w:rPr>
          <w:rFonts w:hint="eastAsia" w:ascii="宋体" w:hAnsi="宋体" w:cs="宋体"/>
          <w:color w:val="000000"/>
        </w:rPr>
        <w:t xml:space="preserve">；</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发包人审批承包人文件的期限：</w:t>
      </w:r>
      <w:r>
        <w:rPr>
          <w:rFonts w:hint="eastAsia" w:ascii="宋体" w:hAnsi="宋体" w:cs="宋体"/>
          <w:color w:val="000000"/>
          <w:u w:val="single"/>
        </w:rPr>
        <w:t xml:space="preserve">发包人收到文件后14天内</w:t>
      </w:r>
      <w:r>
        <w:rPr>
          <w:rFonts w:hint="eastAsia" w:ascii="宋体" w:hAnsi="宋体" w:cs="宋体"/>
          <w:color w:val="000000"/>
        </w:rPr>
        <w:t xml:space="preserve">。</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1.5.3现场图纸准备</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关于现场图纸准备的约定：</w:t>
      </w:r>
      <w:r>
        <w:rPr>
          <w:rFonts w:hint="eastAsia" w:ascii="宋体" w:hAnsi="宋体" w:cs="宋体"/>
          <w:color w:val="000000"/>
          <w:u w:val="single"/>
        </w:rPr>
        <w:t xml:space="preserve">执行通用条款</w:t>
      </w:r>
      <w:r>
        <w:rPr>
          <w:rFonts w:hint="eastAsia" w:ascii="宋体" w:hAnsi="宋体" w:cs="宋体"/>
          <w:color w:val="000000"/>
        </w:rPr>
        <w:t xml:space="preserve">。</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1.6联络</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1.6.1发包人和承包人应当在</w:t>
      </w:r>
      <w:r>
        <w:rPr>
          <w:rFonts w:hint="eastAsia" w:ascii="宋体" w:hAnsi="宋体" w:cs="宋体"/>
          <w:color w:val="000000"/>
          <w:u w:val="single"/>
        </w:rPr>
        <w:t xml:space="preserve"> 3 </w:t>
      </w:r>
      <w:r>
        <w:rPr>
          <w:rFonts w:hint="eastAsia" w:ascii="宋体" w:hAnsi="宋体" w:cs="宋体"/>
          <w:color w:val="000000"/>
        </w:rPr>
        <w:t xml:space="preserve">天内将与合同有关的通知、批准、证明、证书、指示、指令、要求、请求、同意、意见、确定和决定等书面函件送达对方当事人（但发包人审批承包人文件的期限为：发包人收到文件后14天内）。</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1.6.2 发包人接收文件的地点：</w:t>
      </w:r>
      <w:r>
        <w:rPr>
          <w:rFonts w:hint="eastAsia" w:ascii="宋体" w:hAnsi="宋体" w:cs="宋体"/>
          <w:color w:val="000000"/>
          <w:u w:val="single"/>
        </w:rPr>
        <w:t xml:space="preserve">南京财经大学【      】校区发包人授权代表办公室</w:t>
      </w:r>
      <w:r>
        <w:rPr>
          <w:rFonts w:hint="eastAsia" w:ascii="宋体" w:hAnsi="宋体" w:cs="宋体"/>
          <w:color w:val="000000"/>
        </w:rPr>
        <w:t xml:space="preserve">；</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发包人指定的接收人为：______。</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承包人接收文件的地点：______；</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承包人指定的接收人为：</w:t>
      </w:r>
      <w:r>
        <w:rPr>
          <w:rFonts w:hint="eastAsia" w:ascii="宋体" w:hAnsi="宋体" w:cs="宋体"/>
          <w:color w:val="000000"/>
          <w:u w:val="single"/>
        </w:rPr>
        <w:t xml:space="preserve">项目经理：     </w:t>
      </w:r>
      <w:r>
        <w:rPr>
          <w:rFonts w:hint="eastAsia" w:ascii="宋体" w:hAnsi="宋体" w:cs="宋体"/>
          <w:color w:val="000000"/>
        </w:rPr>
        <w:t xml:space="preserve">。</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监理人接收文件的地点：______；</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监理人指定的接收人为：______。</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1.7交通运输</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 .7.1 出入现场的权利</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关于出入现场的权利的约定：</w:t>
      </w:r>
      <w:r>
        <w:rPr>
          <w:rFonts w:hint="eastAsia" w:ascii="宋体" w:hAnsi="宋体" w:cs="宋体"/>
          <w:color w:val="000000"/>
          <w:u w:val="single"/>
        </w:rPr>
        <w:t xml:space="preserve">发包人项目负责人及主管领导、承包人项目组成员有权出入现场，禁止外单位施工车辆、人员出入工地</w:t>
      </w:r>
      <w:r>
        <w:rPr>
          <w:rFonts w:hint="eastAsia" w:ascii="宋体" w:hAnsi="宋体" w:cs="宋体"/>
          <w:color w:val="000000"/>
        </w:rPr>
        <w:t xml:space="preserve">。</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 .7.2场内交通</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关于场外交通和场内交通的边界的约定：</w:t>
      </w:r>
      <w:r>
        <w:rPr>
          <w:rFonts w:hint="eastAsia" w:ascii="宋体" w:hAnsi="宋体" w:cs="宋体"/>
          <w:color w:val="000000"/>
          <w:u w:val="single"/>
        </w:rPr>
        <w:t xml:space="preserve">视项目现场情况另行约定</w:t>
      </w:r>
      <w:r>
        <w:rPr>
          <w:rFonts w:hint="eastAsia" w:ascii="宋体" w:hAnsi="宋体" w:cs="宋体"/>
          <w:color w:val="000000"/>
        </w:rPr>
        <w:t xml:space="preserve">。</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关于发包人向承包人免费提供满足工程施工需要的场内道路和交通设施的约定：/。</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1.7.3超大件和超重件的运输</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运输超大件或超重件所需的道路和桥梁临时加固改造费用和其他有关费用由</w:t>
      </w:r>
      <w:r>
        <w:rPr>
          <w:rFonts w:hint="eastAsia" w:ascii="宋体" w:hAnsi="宋体" w:cs="宋体"/>
          <w:color w:val="000000"/>
          <w:u w:val="single"/>
        </w:rPr>
        <w:t xml:space="preserve">承包人</w:t>
      </w:r>
      <w:r>
        <w:rPr>
          <w:rFonts w:hint="eastAsia" w:ascii="宋体" w:hAnsi="宋体" w:cs="宋体"/>
          <w:color w:val="000000"/>
        </w:rPr>
        <w:t xml:space="preserve">承担。</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1.8知识产权</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1.8.1关于发包人提供给承包人的图纸、发包人为实施工程自行编制或委托编制的技术规范以及反映发包人关于合同要求或其他类似性质的文件的著作权的归属：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u w:val="single"/>
        </w:rPr>
        <w:t xml:space="preserve">按照通用条款执行。</w:t>
      </w:r>
      <w:r>
        <w:rPr>
          <w:rFonts w:hint="eastAsia" w:ascii="宋体" w:hAnsi="宋体" w:cs="宋体"/>
          <w:color w:val="000000"/>
        </w:rPr>
      </w:r>
      <w:r/>
    </w:p>
    <w:p>
      <w:pPr>
        <w:pStyle w:val="831"/>
        <w:jc w:val="both"/>
        <w:spacing w:line="440" w:lineRule="exact"/>
        <w:rPr>
          <w:rFonts w:hint="eastAsia" w:ascii="宋体" w:hAnsi="宋体" w:cs="宋体"/>
          <w:color w:val="000000"/>
        </w:rPr>
      </w:pPr>
      <w:r>
        <w:rPr>
          <w:rFonts w:hint="eastAsia" w:ascii="宋体" w:hAnsi="宋体" w:cs="宋体"/>
          <w:color w:val="000000"/>
        </w:rPr>
        <w:t xml:space="preserve">关于发包人提供的上述文件的使用限制的要求：</w:t>
      </w:r>
      <w:r>
        <w:rPr>
          <w:rFonts w:hint="eastAsia" w:ascii="宋体" w:hAnsi="宋体" w:cs="宋体"/>
          <w:color w:val="000000"/>
          <w:u w:val="single"/>
        </w:rPr>
        <w:t xml:space="preserve">仅限于此工程项目</w:t>
      </w:r>
      <w:r>
        <w:rPr>
          <w:rFonts w:hint="eastAsia" w:ascii="宋体" w:hAnsi="宋体" w:cs="宋体"/>
          <w:color w:val="000000"/>
        </w:rPr>
        <w:t xml:space="preserve">。</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1.8.2 关于承包人为实施工程所编制文件的著作权的归属：</w:t>
      </w:r>
      <w:r>
        <w:rPr>
          <w:rFonts w:hint="eastAsia" w:ascii="宋体" w:hAnsi="宋体" w:cs="宋体"/>
          <w:color w:val="000000"/>
          <w:u w:val="single"/>
        </w:rPr>
        <w:t xml:space="preserve">按照通用条款执行</w:t>
      </w:r>
      <w:r>
        <w:rPr>
          <w:rFonts w:hint="eastAsia" w:ascii="宋体" w:hAnsi="宋体" w:cs="宋体"/>
          <w:color w:val="000000"/>
        </w:rPr>
        <w:t xml:space="preserve">。</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关于承包人提供的上述文件的使用限制的要求：</w:t>
      </w:r>
      <w:r>
        <w:rPr>
          <w:rFonts w:hint="eastAsia" w:ascii="宋体" w:hAnsi="宋体" w:cs="宋体"/>
          <w:color w:val="000000"/>
          <w:u w:val="single"/>
        </w:rPr>
        <w:t xml:space="preserve">按照通用条款执行</w:t>
      </w:r>
      <w:r>
        <w:rPr>
          <w:rFonts w:hint="eastAsia" w:ascii="宋体" w:hAnsi="宋体" w:cs="宋体"/>
          <w:color w:val="000000"/>
        </w:rPr>
        <w:t xml:space="preserve">。</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1.8.3承包人在施工过程中所采用的专利、专有技术、技术秘密的使用费的承担方式：</w:t>
      </w:r>
      <w:r>
        <w:rPr>
          <w:rFonts w:hint="eastAsia" w:ascii="宋体" w:hAnsi="宋体" w:cs="宋体"/>
          <w:color w:val="000000"/>
          <w:u w:val="single"/>
        </w:rPr>
        <w:t xml:space="preserve">由承包人承担</w:t>
      </w:r>
      <w:r>
        <w:rPr>
          <w:rFonts w:hint="eastAsia" w:ascii="宋体" w:hAnsi="宋体" w:cs="宋体"/>
          <w:color w:val="000000"/>
        </w:rPr>
        <w:t xml:space="preserve">。</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1.9工程量清单错误的修正</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当工程量清单存在缺</w:t>
      </w:r>
      <w:r>
        <w:rPr>
          <w:rFonts w:hint="eastAsia" w:ascii="宋体" w:hAnsi="宋体" w:cs="宋体"/>
          <w:color w:val="000000"/>
          <w:u w:val="single"/>
        </w:rPr>
        <w:t xml:space="preserve">项、漏项时，按下列规定调整合同价格。（1）已标价工程量清单有相同项目的，按照相同项目单价认定；（2）已标价工程量清单中无相同项目，但有类似项目的，参照类似项目的单价认定；（3）已标价工程量清单中没有适用也没有类似于变更工程项目的，由承包人根据变更工程资料（施工图变更文件和项目监理人批复的工程变更施工方案）、计量规则和计价办法、南京工程造价管理的信息价格（变更当月）和承包人报价浮动率提出变更工程项目的单价，报发包人及项目造价咨询人（跟踪审计单位）确认后调整乘以L为结算综合单价。承包人报价浮动率按下列公式计算：</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承包人报价浮动率 L=[1-（中标造价/采购控制价）]× 100%；</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4）已标价工程量清单中没有适用也没有类似于变更工程项目，且南京工程造价管理机构发布的信息价格缺失的，材料价格由发包人、承包人、项目造价咨询人（跟踪审计单位）共同询价确认材料价后，按上条款办法确认单价。承包人不得以任何理由拒绝询价结果，否则认为承包人违约，发包人有权将涉及到此材料的分部分项工程量以不高于询价结果的材料价按本条目第（4）款组价后指定分包给有能力承担此项工程的其他承包人。</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允许调整合同价格的工程量偏差范围：</w:t>
      </w:r>
      <w:r>
        <w:rPr>
          <w:rFonts w:hint="eastAsia" w:ascii="宋体" w:hAnsi="宋体" w:cs="宋体"/>
          <w:color w:val="000000"/>
          <w:u w:val="single"/>
        </w:rPr>
        <w:t xml:space="preserve">/ 。</w:t>
      </w:r>
      <w:r>
        <w:rPr>
          <w:rFonts w:hint="eastAsia" w:ascii="宋体" w:hAnsi="宋体" w:cs="宋体"/>
          <w:color w:val="000000"/>
        </w:rPr>
      </w:r>
      <w:r/>
    </w:p>
    <w:p>
      <w:pPr>
        <w:pStyle w:val="831"/>
        <w:jc w:val="both"/>
        <w:spacing w:line="460" w:lineRule="exact"/>
        <w:rPr>
          <w:rFonts w:hint="eastAsia" w:ascii="宋体" w:hAnsi="宋体" w:cs="宋体"/>
          <w:color w:val="000000"/>
        </w:rPr>
      </w:pPr>
      <w:r>
        <w:rPr>
          <w:rFonts w:hint="eastAsia" w:ascii="宋体" w:hAnsi="宋体" w:cs="宋体"/>
          <w:color w:val="000000"/>
        </w:rPr>
        <w:t xml:space="preserve">2. 发包人</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2.1发包人代表</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发包人代表：</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姓名：______；</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身份证号：_____；</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职务：______；</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联系电话：_____；</w:t>
      </w:r>
      <w:r/>
    </w:p>
    <w:p>
      <w:pPr>
        <w:pStyle w:val="831"/>
        <w:jc w:val="both"/>
        <w:spacing w:line="460" w:lineRule="exact"/>
        <w:rPr>
          <w:rFonts w:hint="eastAsia" w:ascii="宋体" w:hAnsi="宋体" w:cs="宋体"/>
          <w:color w:val="000000"/>
          <w:u w:val="single"/>
        </w:rPr>
      </w:pPr>
      <w:r>
        <w:rPr>
          <w:rFonts w:hint="eastAsia" w:ascii="宋体" w:hAnsi="宋体" w:cs="宋体"/>
          <w:color w:val="000000"/>
        </w:rPr>
        <w:t xml:space="preserve">电子信箱：_____；</w:t>
      </w:r>
      <w:r>
        <w:rPr>
          <w:rFonts w:hint="eastAsia" w:ascii="宋体" w:hAnsi="宋体" w:cs="宋体"/>
          <w:color w:val="000000"/>
          <w:u w:val="single"/>
        </w:rPr>
      </w:r>
      <w:r/>
    </w:p>
    <w:p>
      <w:pPr>
        <w:pStyle w:val="831"/>
        <w:jc w:val="both"/>
        <w:spacing w:line="460" w:lineRule="exact"/>
        <w:rPr>
          <w:rFonts w:hint="eastAsia" w:ascii="宋体" w:hAnsi="宋体" w:cs="宋体"/>
          <w:color w:val="000000"/>
        </w:rPr>
      </w:pPr>
      <w:r>
        <w:rPr>
          <w:rFonts w:hint="eastAsia" w:ascii="宋体" w:hAnsi="宋体" w:cs="宋体"/>
          <w:color w:val="000000"/>
        </w:rPr>
        <w:t xml:space="preserve">通信地址：_____。</w:t>
      </w:r>
      <w:r/>
    </w:p>
    <w:p>
      <w:pPr>
        <w:pStyle w:val="831"/>
        <w:ind w:firstLine="480"/>
        <w:jc w:val="both"/>
        <w:spacing w:line="400" w:lineRule="exact"/>
        <w:tabs>
          <w:tab w:val="left" w:pos="1440" w:leader="none"/>
        </w:tabs>
        <w:rPr>
          <w:rFonts w:hint="eastAsia" w:ascii="宋体" w:hAnsi="宋体" w:cs="宋体"/>
          <w:color w:val="000000"/>
          <w:u w:val="single"/>
        </w:rPr>
      </w:pPr>
      <w:r>
        <w:rPr>
          <w:rFonts w:hint="eastAsia" w:ascii="宋体" w:hAnsi="宋体" w:cs="宋体"/>
          <w:color w:val="000000"/>
        </w:rPr>
        <w:t xml:space="preserve">发包人对发包人代表的授权范围如下：</w:t>
      </w:r>
      <w:r>
        <w:rPr>
          <w:rFonts w:hint="eastAsia" w:ascii="宋体" w:hAnsi="宋体" w:cs="宋体"/>
          <w:color w:val="000000"/>
          <w:u w:val="single"/>
        </w:rPr>
      </w:r>
      <w:r/>
    </w:p>
    <w:p>
      <w:pPr>
        <w:pStyle w:val="831"/>
        <w:ind w:firstLine="482"/>
        <w:jc w:val="both"/>
        <w:spacing w:line="400" w:lineRule="exact"/>
        <w:tabs>
          <w:tab w:val="left" w:pos="1440" w:leader="none"/>
        </w:tabs>
        <w:rPr>
          <w:rFonts w:hint="eastAsia" w:ascii="宋体" w:hAnsi="宋体" w:cs="宋体"/>
          <w:b/>
          <w:bCs/>
          <w:color w:val="000000"/>
          <w:u w:val="single"/>
        </w:rPr>
      </w:pPr>
      <w:r>
        <w:rPr>
          <w:rFonts w:hint="eastAsia" w:ascii="宋体" w:hAnsi="宋体" w:cs="宋体"/>
          <w:b/>
          <w:bCs/>
          <w:color w:val="000000"/>
          <w:u w:val="single"/>
        </w:rPr>
        <w:t xml:space="preserve">主持施工现场发包人的工作；对施工过程中的合同执行情况进行检查监督。但是凡工程施工过程中发生的影响工程决算费用的事项均须经发包人单位盖章确认方为有效，方可作为工程价款的结算依据，包括但不限于：涉及工程造价的签证；增加工程量或设计变更的联系单或签证；涉及开工令、停工令、复工令以及工程延期、索赔等手续。</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2.2施工现场、施工条件和基础资料的提供</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2.2.1 提供施工现场</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关于发包人移交施工现场的期限要求：</w:t>
      </w:r>
      <w:r>
        <w:rPr>
          <w:rFonts w:hint="eastAsia" w:ascii="宋体" w:hAnsi="宋体" w:cs="宋体"/>
          <w:color w:val="000000"/>
          <w:u w:val="single"/>
        </w:rPr>
        <w:t xml:space="preserve">签订本合同，签署开工令后3日内</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2.2.2 提供施工条件</w:t>
      </w:r>
      <w:r/>
    </w:p>
    <w:p>
      <w:pPr>
        <w:pStyle w:val="831"/>
        <w:jc w:val="both"/>
        <w:rPr>
          <w:rFonts w:hint="eastAsia" w:ascii="宋体" w:hAnsi="宋体" w:cs="宋体"/>
          <w:b/>
          <w:color w:val="000000"/>
          <w:u w:val="single"/>
        </w:rPr>
      </w:pPr>
      <w:r>
        <w:rPr>
          <w:rFonts w:hint="eastAsia" w:ascii="宋体" w:hAnsi="宋体" w:cs="宋体"/>
          <w:color w:val="000000"/>
        </w:rPr>
        <w:t xml:space="preserve">关于发包人应负责提供施工所需要的条件，包括：</w:t>
      </w:r>
      <w:r>
        <w:rPr>
          <w:rFonts w:hint="eastAsia" w:ascii="宋体" w:hAnsi="宋体" w:cs="宋体"/>
          <w:b/>
          <w:color w:val="000000"/>
          <w:u w:val="single"/>
        </w:rPr>
        <w:t xml:space="preserve">关于资源占用量（含水电）的约定，按照现行有效的学校规定执行。</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2.3资金来源证明及支付担保</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发包人提供资金来源证明的期限要求：</w:t>
      </w:r>
      <w:r>
        <w:rPr>
          <w:rFonts w:hint="eastAsia" w:ascii="宋体" w:hAnsi="宋体" w:cs="宋体"/>
          <w:color w:val="000000"/>
          <w:u w:val="single"/>
        </w:rPr>
        <w:t xml:space="preserve">无</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发包人是否提供支付担保：</w:t>
      </w:r>
      <w:r>
        <w:rPr>
          <w:rFonts w:hint="eastAsia" w:ascii="宋体" w:hAnsi="宋体" w:cs="宋体"/>
          <w:color w:val="000000"/>
          <w:u w:val="single"/>
        </w:rPr>
        <w:t xml:space="preserve">否</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3. 承包人</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3.1 承包人的一般义务</w:t>
      </w:r>
      <w:r/>
    </w:p>
    <w:p>
      <w:pPr>
        <w:pStyle w:val="831"/>
        <w:jc w:val="both"/>
        <w:spacing w:line="360" w:lineRule="auto"/>
        <w:rPr>
          <w:rFonts w:hint="eastAsia" w:ascii="宋体" w:hAnsi="宋体" w:cs="宋体"/>
          <w:color w:val="000000"/>
          <w:u w:val="single"/>
        </w:rPr>
      </w:pPr>
      <w:r>
        <w:rPr>
          <w:rFonts w:hint="eastAsia" w:ascii="宋体" w:hAnsi="宋体" w:cs="宋体"/>
          <w:color w:val="000000"/>
        </w:rPr>
        <w:t xml:space="preserve">（1）承包人提交的竣工资料的内容：</w:t>
      </w:r>
      <w:r>
        <w:rPr>
          <w:rFonts w:hint="eastAsia" w:ascii="宋体" w:hAnsi="宋体" w:cs="宋体"/>
          <w:color w:val="000000"/>
          <w:u w:val="single"/>
        </w:rPr>
        <w:t xml:space="preserve">提供工程竣工报告、施工技术管理资料、产品质量证明文件、施工质量试验资料、施工质量检测资料、施工记录、工程安全和功能检验资料核查及主要功能抽查记录等，同时还须符合工程所在地行政主管部门要求执行，提供符合城建档案馆及其他有关部门要求的竣工图纸和竣工资料。</w:t>
      </w:r>
      <w:r/>
    </w:p>
    <w:p>
      <w:pPr>
        <w:pStyle w:val="831"/>
        <w:jc w:val="both"/>
        <w:spacing w:line="360" w:lineRule="auto"/>
        <w:rPr>
          <w:rFonts w:hint="eastAsia" w:ascii="宋体" w:hAnsi="宋体" w:cs="宋体"/>
          <w:color w:val="000000"/>
        </w:rPr>
      </w:pPr>
      <w:r>
        <w:rPr>
          <w:rFonts w:hint="eastAsia" w:ascii="宋体" w:hAnsi="宋体" w:cs="宋体"/>
          <w:color w:val="000000"/>
        </w:rPr>
        <w:t xml:space="preserve">承包人需要提交的竣工资料套数：</w:t>
      </w:r>
      <w:r>
        <w:rPr>
          <w:rFonts w:hint="eastAsia" w:ascii="宋体" w:hAnsi="宋体" w:cs="宋体"/>
          <w:color w:val="000000"/>
          <w:u w:val="single"/>
        </w:rPr>
        <w:t xml:space="preserve">【叁】套完整的纸质竣工资料（另附竣工电子文件一套），其中包括竣工决算资料等</w:t>
      </w:r>
      <w:r>
        <w:rPr>
          <w:rFonts w:hint="eastAsia" w:ascii="宋体" w:hAnsi="宋体" w:cs="宋体"/>
          <w:color w:val="000000"/>
        </w:rPr>
        <w:t xml:space="preserve">。</w:t>
      </w:r>
      <w:r/>
    </w:p>
    <w:p>
      <w:pPr>
        <w:pStyle w:val="831"/>
        <w:jc w:val="both"/>
        <w:spacing w:line="360" w:lineRule="auto"/>
        <w:rPr>
          <w:rFonts w:hint="eastAsia" w:ascii="宋体" w:hAnsi="宋体" w:cs="宋体"/>
          <w:color w:val="000000"/>
        </w:rPr>
      </w:pPr>
      <w:r>
        <w:rPr>
          <w:rFonts w:hint="eastAsia" w:ascii="宋体" w:hAnsi="宋体" w:cs="宋体"/>
          <w:color w:val="000000"/>
        </w:rPr>
        <w:t xml:space="preserve">承包人提交的竣工资料的费用承担：承包人</w:t>
      </w:r>
      <w:r>
        <w:rPr>
          <w:rFonts w:hint="eastAsia" w:ascii="宋体" w:hAnsi="宋体" w:cs="宋体"/>
          <w:color w:val="000000"/>
          <w:u w:val="single"/>
        </w:rPr>
        <w:t xml:space="preserve">自行承担</w:t>
      </w:r>
      <w:r>
        <w:rPr>
          <w:rFonts w:hint="eastAsia" w:ascii="宋体" w:hAnsi="宋体" w:cs="宋体"/>
          <w:color w:val="000000"/>
        </w:rPr>
        <w:t xml:space="preserve">。</w:t>
      </w:r>
      <w:r/>
    </w:p>
    <w:p>
      <w:pPr>
        <w:pStyle w:val="831"/>
        <w:jc w:val="both"/>
        <w:spacing w:line="360" w:lineRule="auto"/>
        <w:rPr>
          <w:rFonts w:hint="eastAsia" w:ascii="宋体" w:hAnsi="宋体" w:cs="宋体"/>
          <w:color w:val="000000"/>
        </w:rPr>
      </w:pPr>
      <w:r>
        <w:rPr>
          <w:rFonts w:hint="eastAsia" w:ascii="宋体" w:hAnsi="宋体" w:cs="宋体"/>
          <w:color w:val="000000"/>
        </w:rPr>
        <w:t xml:space="preserve">承包人提交的竣工资料移交时间：</w:t>
      </w:r>
      <w:r>
        <w:rPr>
          <w:rFonts w:hint="eastAsia" w:ascii="宋体" w:hAnsi="宋体" w:cs="宋体"/>
          <w:color w:val="000000"/>
          <w:u w:val="single"/>
        </w:rPr>
        <w:t xml:space="preserve">工程竣工验收合格后一周之内，承包人应向发包人递交前述完整的竣工资料</w:t>
      </w:r>
      <w:r>
        <w:rPr>
          <w:rFonts w:hint="eastAsia" w:ascii="宋体" w:hAnsi="宋体" w:cs="宋体"/>
          <w:color w:val="000000"/>
        </w:rPr>
        <w:t xml:space="preserve">。</w:t>
      </w:r>
      <w:r/>
    </w:p>
    <w:p>
      <w:pPr>
        <w:pStyle w:val="831"/>
        <w:jc w:val="both"/>
        <w:spacing w:line="360" w:lineRule="auto"/>
        <w:rPr>
          <w:rFonts w:hint="eastAsia" w:ascii="宋体" w:hAnsi="宋体" w:cs="宋体"/>
          <w:color w:val="000000"/>
          <w:u w:val="single"/>
        </w:rPr>
      </w:pPr>
      <w:r>
        <w:rPr>
          <w:rFonts w:hint="eastAsia" w:ascii="宋体" w:hAnsi="宋体" w:cs="宋体"/>
          <w:color w:val="000000"/>
        </w:rPr>
        <w:t xml:space="preserve">承包人提交的竣工资料形式要求：</w:t>
      </w:r>
      <w:r>
        <w:rPr>
          <w:rFonts w:hint="eastAsia" w:ascii="宋体" w:hAnsi="宋体" w:cs="宋体"/>
          <w:color w:val="000000"/>
          <w:u w:val="single"/>
        </w:rPr>
      </w:r>
      <w:r/>
    </w:p>
    <w:p>
      <w:pPr>
        <w:pStyle w:val="831"/>
        <w:jc w:val="both"/>
        <w:spacing w:line="360" w:lineRule="auto"/>
        <w:rPr>
          <w:rFonts w:hint="eastAsia" w:ascii="宋体" w:hAnsi="宋体" w:cs="宋体"/>
          <w:color w:val="000000"/>
        </w:rPr>
      </w:pPr>
      <w:r>
        <w:rPr>
          <w:rFonts w:hint="eastAsia" w:ascii="宋体" w:hAnsi="宋体" w:cs="宋体"/>
          <w:color w:val="000000"/>
          <w:u w:val="single"/>
        </w:rPr>
        <w:t xml:space="preserve">书面及电子文档，所有工程资料必须符合工程验收和档案管理要求，因承包人提供的资料不符合档案管理要求而重新制作整理所产生的费用由承包人自行承担；承包人逾期提交竣工资料的，每逾期一日，应向发包人承担违约金【500】元</w:t>
      </w:r>
      <w:r>
        <w:rPr>
          <w:rFonts w:hint="eastAsia" w:ascii="宋体" w:hAnsi="宋体" w:cs="宋体"/>
          <w:color w:val="000000"/>
        </w:rPr>
        <w:t xml:space="preserve">。</w:t>
      </w:r>
      <w:r/>
    </w:p>
    <w:p>
      <w:pPr>
        <w:pStyle w:val="831"/>
        <w:jc w:val="both"/>
        <w:spacing w:line="360" w:lineRule="auto"/>
        <w:rPr>
          <w:rFonts w:hint="eastAsia" w:ascii="宋体" w:hAnsi="宋体" w:cs="宋体"/>
          <w:color w:val="000000"/>
        </w:rPr>
      </w:pPr>
      <w:r>
        <w:rPr>
          <w:rFonts w:hint="eastAsia" w:ascii="宋体" w:hAnsi="宋体" w:cs="宋体"/>
          <w:color w:val="000000"/>
        </w:rPr>
        <w:t xml:space="preserve">（2）承包人应履行的其他义务：</w:t>
      </w:r>
      <w:r/>
    </w:p>
    <w:p>
      <w:pPr>
        <w:pStyle w:val="831"/>
        <w:jc w:val="both"/>
        <w:spacing w:line="360" w:lineRule="auto"/>
        <w:rPr>
          <w:rFonts w:hint="eastAsia" w:ascii="宋体" w:hAnsi="宋体" w:cs="宋体"/>
          <w:color w:val="000000"/>
        </w:rPr>
      </w:pPr>
      <w:r>
        <w:rPr>
          <w:rFonts w:hint="eastAsia" w:ascii="宋体" w:hAnsi="宋体" w:cs="宋体"/>
          <w:color w:val="000000"/>
          <w:u w:val="single"/>
        </w:rPr>
        <w:t xml:space="preserve">承包人除完成招标文件要求和合同约定的义务外，还须遵守发包人的监督管理</w:t>
      </w:r>
      <w:r>
        <w:rPr>
          <w:rFonts w:hint="eastAsia" w:ascii="宋体" w:hAnsi="宋体" w:cs="宋体"/>
          <w:color w:val="000000"/>
        </w:rPr>
        <w:t xml:space="preserve">。</w:t>
      </w:r>
      <w:r>
        <w:rPr>
          <w:rFonts w:hint="eastAsia" w:ascii="宋体" w:hAnsi="宋体" w:cs="宋体"/>
          <w:color w:val="000000"/>
          <w:u w:val="single"/>
        </w:rPr>
        <w:t xml:space="preserve">承包人应保证本工程施工过程不对工程所在楼内的正常生活等使用功能和秩序造成不良影响，如需夜间施工，所涉及的所有费用由承包人自行承担。承包人在施工过程中，应根据发包人</w:t>
      </w:r>
      <w:r>
        <w:rPr>
          <w:rFonts w:hint="eastAsia" w:ascii="宋体" w:hAnsi="宋体" w:cs="宋体"/>
          <w:color w:val="000000"/>
          <w:u w:val="single"/>
        </w:rPr>
        <w:t xml:space="preserve">的要求和现场情况进行成品保护，做好安全防护和围挡施工，所有设备设施及物品未经发包人现场负责人同意均不可移动，特别是通风管道、净化空调管道、计算机、服务器等设施。施工须做好防尘、防水防潮、防震动、防噪音措施；明火施工须远离危化品储存柜及气体钢瓶接触。如有损坏，则由承包人负责恢复原状，无法恢复原状的，则由承包人按原价赔偿，造成发包人或第三人损失的，承包人还应赔偿发包人或第三人的相应损失。确需移动贵重仪器才能施工的，承包人须联系或申请发包人联系仪器设备供应商派专业人员统一移机和复位，所产生的一切费用由承包人承担。</w:t>
      </w:r>
      <w:r>
        <w:rPr>
          <w:rFonts w:hint="eastAsia" w:ascii="宋体" w:hAnsi="宋体" w:cs="宋体"/>
          <w:color w:val="000000"/>
        </w:rPr>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1）需由设计资质等级和业务范围允许的承包人完成的设计文件提交时间：不采用。</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2）应提供计划、报表的名称及完成时间：</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开工前根据发包人、监理要求提供合同内容工程建设项目总进度计划、材料设备总需求计划、材料设备供应计划表。承包人需在进场后一周内提供发包人供材料（如有）计划，每7天分别向发包人及监理方提供下周详细的施工进度计划、已完工程量报表（含工程变更及签证预算）、提供发包人供材用料计划（如有）、承包人购材料清单、材料进场计划、劳动力及用款计划等资料。分项的施工组织设计在开工前向发包人提供。</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3）承担施工安全保卫工作及非夜间施工照明的责任和要求：</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（1）建立和执行防火管理制度。</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2）施工现场临时用水、用电费用由承包人承担，按照附件1：《南京财经大学水电管理办法》第六章的具体规定执行。承包人认真做好施工现场的安全防护工作（包括照明、安全设施等），承包人对安全防护工作负全责（责任和费用均由承包人承担）。</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4）向发包人提供的办公和生活房屋及设施的要求：   /   。</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5）需承包人办理的有关施工场地交通、环卫和施工噪音管理等手续：此项工作及费用由承包人负责，发包人不再补贴。</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6）已完工程成品保护的特殊要求及费用承担：工程全部成品、半成品在竣工验收交付前均由承包人负责管理和保护，费用含在总承包管理（配合）费中；其它按通用条款9.1第（6）条执行。</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7）施工场地周围地下管线和邻近建筑物、构筑物（含文物保护建筑）、古树名木的保护要求及费用承担：</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承包人对该工程履行总承包责任和义务，施工期间严格按照招标文件、投标文件及（经批准的）施工组织设计要求进行保护，所发生费用在投标报价中。如有保护不周而至地下管线和邻近建筑物、构筑物（含文物保护建筑）、古树名木毁坏或古树名木死亡者，承包人依法并按实际发生的全部相关损失进行补偿或赔偿。8）施工场清洁卫生的要求：施工场地在保证安全的前提下，按照标准化施工现场要求，保持场内、场外、交通进出口的安全和清洁卫生，所发生费用已包含在投标报价中。</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9）双方约定承包人应做的其他工作： 1、施工期间保证场内相邻道路的畅通，安全防护减少噪音干扰和灰尘处理。2、施工现场所有外部协调工作由承包人负责解决。若因承包人不履行或未完全履行上述约定工作所产生工程质量问题、影响工程进度、造成有关部门找发包人处理等情形，发包人有权责令承包人停工和暂停支付工程款直到问题解决，并可先行处理理赔，费用从承包人工程款中扣除。上述情形下工期不予顺延，若导致工期延误，发包人另追究承包人违约责任。</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10）承包人应对建设工程施工过程中的环境安全负责，承包人员必须遵守《建设工程安全生产条例》等安全生产法律、法规规定，严格执行投标文件中的安全管理、防护和技术措施，保证建设工程安全生产，依法承担建设工程安全生产责任。如因承包人违反有关安全操作规程、消防条例或安全管理、防护不到位，导致发生安全或火灾事故，承包人应承担全部责任，并赔偿由此给发包人和第三方造成的一切损失。</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11）承包人应对建设工程施工过程中安全负责，承包人聘用人员在建设工程过程中发生的安全事故、意外伤亡事故或对第三方造成的一切损失由承包人负责并承担，发包人不承担任何连带责任和补充责任，亦不做任何赔偿和补偿。</w:t>
      </w:r>
      <w:r/>
    </w:p>
    <w:p>
      <w:pPr>
        <w:pStyle w:val="831"/>
        <w:jc w:val="both"/>
        <w:spacing w:line="460" w:lineRule="exact"/>
        <w:rPr>
          <w:color w:val="000000"/>
        </w:rPr>
      </w:pPr>
      <w:r>
        <w:rPr>
          <w:rFonts w:hint="eastAsia" w:ascii="宋体" w:hAnsi="宋体" w:cs="宋体"/>
          <w:color w:val="000000"/>
          <w:u w:val="single"/>
        </w:rPr>
        <w:t xml:space="preserve">12）承包人聘用的人员应遵守当地法律法规、及发包人的各项规章制度，服从发包人管理。因工程建设不到位或工作人员违章作业、违法犯纪行为造成发包人损失时，承包人应负相应赔偿责任。</w:t>
      </w:r>
      <w:r>
        <w:rPr>
          <w:color w:val="000000"/>
        </w:rPr>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13）承包人对于改建、扩建工程不得破坏原有消防设施。如消防设施需要变动的，须按照《中华人民共和国消防法》和《建设工程消防设计审查验收管理暂行规定》等法律，严格执行建设工程消防审查验收和备案制度，因此产生费用的，由承包人承担。</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3.2 项目经理</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3.2.1 项目经理：</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姓名：______；</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身份证号：_____；</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建造师执业资格等级：_____；</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建造师注册证书号：______；</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建造师执业印章号：______；</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安全生产考核合格证书号：_____；</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联系电话：_____；</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电子信箱：_____；</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通信地址：_____；</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承包人对项目经理的授权范围如下：</w:t>
      </w:r>
      <w:r>
        <w:rPr>
          <w:rFonts w:hint="eastAsia" w:ascii="宋体" w:hAnsi="宋体" w:cs="宋体"/>
          <w:color w:val="000000"/>
          <w:u w:val="single"/>
        </w:rPr>
        <w:t xml:space="preserve">代表承包人行使合同约定的承包人权利和义务，履行合同约定的承包人职责，代表承包人与发包人办理各类文件、材料签收手续</w:t>
      </w:r>
      <w:r>
        <w:rPr>
          <w:rFonts w:hint="eastAsia" w:ascii="宋体" w:hAnsi="宋体" w:cs="宋体"/>
          <w:color w:val="000000"/>
        </w:rPr>
        <w:t xml:space="preserve">。</w:t>
      </w:r>
      <w:r/>
    </w:p>
    <w:p>
      <w:pPr>
        <w:pStyle w:val="831"/>
        <w:jc w:val="both"/>
        <w:spacing w:line="460" w:lineRule="exact"/>
        <w:rPr>
          <w:rFonts w:hint="eastAsia" w:ascii="宋体" w:hAnsi="宋体" w:cs="宋体"/>
          <w:b/>
          <w:bCs/>
          <w:color w:val="000000"/>
        </w:rPr>
      </w:pPr>
      <w:r>
        <w:rPr>
          <w:rFonts w:hint="eastAsia" w:ascii="宋体" w:hAnsi="宋体" w:cs="宋体"/>
          <w:b/>
          <w:bCs/>
          <w:color w:val="000000"/>
        </w:rPr>
        <w:t xml:space="preserve">关于项目经理在施工现场的时间要求：</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施工期间，项目经理每天且每天不少于八小时必须在本工程现场工作，且必须参加每周召开的例会，并随时接受发包人代表、</w:t>
      </w:r>
      <w:r>
        <w:rPr>
          <w:rFonts w:hint="eastAsia" w:ascii="宋体" w:hAnsi="宋体" w:cs="宋体"/>
          <w:b/>
          <w:bCs/>
          <w:color w:val="000000"/>
          <w:u w:val="single"/>
        </w:rPr>
        <w:t xml:space="preserve">发包人其他管理部门</w:t>
      </w:r>
      <w:r>
        <w:rPr>
          <w:rFonts w:hint="eastAsia" w:ascii="宋体" w:hAnsi="宋体" w:cs="宋体"/>
          <w:color w:val="000000"/>
          <w:u w:val="single"/>
        </w:rPr>
        <w:t xml:space="preserve">和监理总监的考勤和监督检查。如项目经理、有特殊原因不能保证上述在岗时间的，需征得发包人书面同意后，授权发包人认可的现场技术负责人全权处理现场事务。</w:t>
      </w:r>
      <w:r/>
    </w:p>
    <w:p>
      <w:pPr>
        <w:pStyle w:val="831"/>
        <w:jc w:val="both"/>
        <w:spacing w:line="460" w:lineRule="exact"/>
        <w:rPr>
          <w:rFonts w:hint="eastAsia" w:ascii="宋体" w:hAnsi="宋体" w:cs="宋体"/>
          <w:b/>
          <w:bCs/>
          <w:color w:val="000000"/>
        </w:rPr>
      </w:pPr>
      <w:r>
        <w:rPr>
          <w:rFonts w:hint="eastAsia" w:ascii="宋体" w:hAnsi="宋体" w:cs="宋体"/>
          <w:b/>
          <w:bCs/>
          <w:color w:val="000000"/>
        </w:rPr>
        <w:t xml:space="preserve">项目经理未经批准，擅自离开施工现场的违约责任：</w:t>
      </w:r>
      <w:r/>
    </w:p>
    <w:p>
      <w:pPr>
        <w:pStyle w:val="831"/>
        <w:jc w:val="both"/>
        <w:spacing w:line="460" w:lineRule="exact"/>
        <w:rPr>
          <w:rFonts w:hint="eastAsia" w:ascii="宋体" w:hAnsi="宋体" w:cs="宋体"/>
          <w:color w:val="000000"/>
        </w:rPr>
      </w:pPr>
      <w:r>
        <w:rPr>
          <w:rFonts w:hint="eastAsia" w:ascii="宋体" w:hAnsi="宋体" w:cs="宋体"/>
          <w:color w:val="000000"/>
          <w:u w:val="single"/>
        </w:rPr>
        <w:t xml:space="preserve">发包人发现项目经理未经批准连续【24】小时不在本工程现场工作，发包人有权按每天2000元人民币的标准向承包人</w:t>
      </w:r>
      <w:r>
        <w:rPr>
          <w:rFonts w:hint="eastAsia" w:ascii="宋体" w:hAnsi="宋体" w:cs="宋体"/>
          <w:color w:val="000000"/>
          <w:u w:val="single"/>
        </w:rPr>
        <w:t xml:space="preserve">收取违约金（发包人可从工程款中扣抵）。项目经理无故不参加每周例会的，发包人有权向承包人收取违约金500元/次（发包人可从工程款中扣抵）。如项目经理连续两天或累计5天不在现场，视为承包人严重违约，发包人除有权按前述约定追索承包人违约金之外，还有权要求承包人更换项目经理（更换的新项目经理资质条件须不低于原项目经理、资质条件）或单方面解除合同、追究承包人违约责任。承包人不得擅自更换本合同确定的项目经理、，如经发包人书面同意更换的，更换后项目经理资质条件不得低于原项目经理，且发包人仍有权收取承包人违约金【2】万元。</w:t>
      </w:r>
      <w:r>
        <w:rPr>
          <w:rFonts w:hint="eastAsia" w:ascii="宋体" w:hAnsi="宋体" w:cs="宋体"/>
          <w:color w:val="000000"/>
        </w:rPr>
      </w:r>
      <w:r/>
    </w:p>
    <w:p>
      <w:pPr>
        <w:pStyle w:val="831"/>
        <w:jc w:val="both"/>
        <w:spacing w:line="460" w:lineRule="exact"/>
        <w:rPr>
          <w:rFonts w:hint="eastAsia" w:ascii="宋体" w:hAnsi="宋体" w:cs="宋体"/>
          <w:b/>
          <w:bCs/>
          <w:color w:val="000000"/>
        </w:rPr>
      </w:pPr>
      <w:r>
        <w:rPr>
          <w:rFonts w:hint="eastAsia" w:ascii="宋体" w:hAnsi="宋体" w:cs="宋体"/>
          <w:b/>
          <w:bCs/>
          <w:color w:val="000000"/>
        </w:rPr>
        <w:t xml:space="preserve">承包人未提交劳动合同，以及没有为项目经理缴纳社会保险证明的违约责任：</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承包人须在签订本合同时向发包人提交项目经理的劳动合同及缴纳社会保险证明。如未履行，每延迟一天，承包人承担违约金【5000】元/天，超过【7】日不提供的，发包人有权单方解除本合同。</w:t>
      </w:r>
      <w:r/>
    </w:p>
    <w:p>
      <w:pPr>
        <w:pStyle w:val="831"/>
        <w:jc w:val="both"/>
        <w:spacing w:line="460" w:lineRule="exact"/>
        <w:rPr>
          <w:rFonts w:hint="eastAsia" w:ascii="宋体" w:hAnsi="宋体" w:cs="宋体"/>
          <w:b/>
          <w:bCs/>
          <w:color w:val="000000"/>
        </w:rPr>
      </w:pPr>
      <w:r>
        <w:rPr>
          <w:rFonts w:hint="eastAsia" w:ascii="宋体" w:hAnsi="宋体" w:cs="宋体"/>
          <w:b/>
          <w:bCs/>
          <w:color w:val="000000"/>
        </w:rPr>
        <w:t xml:space="preserve">3.2.2承包人擅自更换项目经理的违约责任：</w:t>
      </w:r>
      <w:r/>
    </w:p>
    <w:p>
      <w:pPr>
        <w:pStyle w:val="831"/>
        <w:jc w:val="both"/>
        <w:spacing w:line="460" w:lineRule="exact"/>
        <w:rPr>
          <w:rFonts w:hint="eastAsia" w:ascii="宋体" w:hAnsi="宋体" w:cs="宋体"/>
          <w:color w:val="000000"/>
        </w:rPr>
      </w:pPr>
      <w:r>
        <w:rPr>
          <w:rFonts w:hint="eastAsia" w:ascii="宋体" w:hAnsi="宋体" w:cs="宋体"/>
          <w:color w:val="000000"/>
          <w:u w:val="single"/>
        </w:rPr>
        <w:t xml:space="preserve">承包人擅自更换项目经理的将被视为承包人违约，承包人须按20000元/人·次付向发包人支付违约金，在工程款中扣除，发包人还有权解除合同、追究承包人不能履约的违约责任，有权要求承包人赔偿发包人因此造成的一切损失，并报主管部门备案</w:t>
      </w:r>
      <w:r>
        <w:rPr>
          <w:rFonts w:hint="eastAsia" w:ascii="宋体" w:hAnsi="宋体" w:cs="宋体"/>
          <w:color w:val="000000"/>
        </w:rPr>
        <w:t xml:space="preserve">。</w:t>
      </w:r>
      <w:r/>
    </w:p>
    <w:p>
      <w:pPr>
        <w:pStyle w:val="831"/>
        <w:jc w:val="both"/>
        <w:spacing w:line="360" w:lineRule="auto"/>
        <w:rPr>
          <w:rFonts w:hint="eastAsia" w:ascii="宋体" w:hAnsi="宋体" w:cs="宋体"/>
          <w:b/>
          <w:bCs/>
          <w:color w:val="000000"/>
          <w:u w:val="single"/>
        </w:rPr>
      </w:pPr>
      <w:r>
        <w:rPr>
          <w:rFonts w:hint="eastAsia" w:ascii="宋体" w:hAnsi="宋体" w:cs="宋体"/>
          <w:b/>
          <w:bCs/>
          <w:color w:val="000000"/>
        </w:rPr>
        <w:t xml:space="preserve">3.2.3承包人无正当理由拒绝更换项目经理的违约责任：</w:t>
      </w:r>
      <w:r>
        <w:rPr>
          <w:rFonts w:hint="eastAsia" w:ascii="宋体" w:hAnsi="宋体" w:cs="宋体"/>
          <w:b/>
          <w:bCs/>
          <w:color w:val="000000"/>
          <w:u w:val="single"/>
        </w:rPr>
      </w:r>
      <w:r/>
    </w:p>
    <w:p>
      <w:pPr>
        <w:pStyle w:val="831"/>
        <w:jc w:val="both"/>
        <w:spacing w:line="360" w:lineRule="auto"/>
        <w:rPr>
          <w:rFonts w:hint="eastAsia" w:ascii="宋体" w:hAnsi="宋体" w:cs="宋体"/>
          <w:color w:val="000000"/>
        </w:rPr>
      </w:pPr>
      <w:r>
        <w:rPr>
          <w:rFonts w:hint="eastAsia" w:ascii="宋体" w:hAnsi="宋体" w:cs="宋体"/>
          <w:color w:val="000000"/>
          <w:u w:val="single"/>
        </w:rPr>
        <w:t xml:space="preserve">发包人有权要求承包人在一周内撤换调整不称职的项目经理，新的项目经理人选须经发包人审核同意。承包人无正当理由拒绝更换项目经理的，每次支付违约金【20000】元，由发包人从工程款中直接扣抵，且发包人有权解除合同，并追究承包人违约责任</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3.3 承包人人员</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3.3.1 承包人提交项目管理机构及施工现场管理人员安排报告的期限：</w:t>
      </w:r>
      <w:r>
        <w:rPr>
          <w:rFonts w:hint="eastAsia" w:ascii="宋体" w:hAnsi="宋体" w:cs="宋体"/>
          <w:color w:val="000000"/>
          <w:u w:val="single"/>
        </w:rPr>
        <w:t xml:space="preserve">开工前一周</w:t>
      </w:r>
      <w:r>
        <w:rPr>
          <w:rFonts w:hint="eastAsia" w:ascii="宋体" w:hAnsi="宋体" w:cs="宋体"/>
          <w:color w:val="000000"/>
        </w:rPr>
        <w:t xml:space="preserve">。</w:t>
      </w:r>
      <w:r/>
    </w:p>
    <w:p>
      <w:pPr>
        <w:pStyle w:val="831"/>
        <w:jc w:val="both"/>
        <w:spacing w:line="460" w:lineRule="exact"/>
        <w:rPr>
          <w:rFonts w:hint="eastAsia" w:ascii="宋体" w:hAnsi="宋体" w:cs="宋体"/>
          <w:b/>
          <w:bCs/>
          <w:color w:val="000000"/>
        </w:rPr>
      </w:pPr>
      <w:r>
        <w:rPr>
          <w:rFonts w:hint="eastAsia" w:ascii="宋体" w:hAnsi="宋体" w:cs="宋体"/>
          <w:b/>
          <w:bCs/>
          <w:color w:val="000000"/>
        </w:rPr>
        <w:t xml:space="preserve">3.3.2关于项目其他主要管理人员（现场技术负责人、施工员、质量员、安全员、资料员）在施工现场的时间要求：</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施工期间，</w:t>
      </w:r>
      <w:r>
        <w:rPr>
          <w:rFonts w:hint="eastAsia" w:ascii="宋体" w:hAnsi="宋体" w:cs="宋体"/>
          <w:b/>
          <w:bCs/>
          <w:color w:val="000000"/>
          <w:u w:val="single"/>
        </w:rPr>
        <w:t xml:space="preserve">现场技术负责人、施工员、质量员、安全员</w:t>
      </w:r>
      <w:r>
        <w:rPr>
          <w:rFonts w:hint="eastAsia" w:ascii="宋体" w:hAnsi="宋体" w:cs="宋体"/>
          <w:color w:val="000000"/>
          <w:u w:val="single"/>
        </w:rPr>
        <w:t xml:space="preserve">每天且每天不少于八小时必须在本工程现场工作，资料员按有关规定标准和本合同约定履行职责，并随时接受发包人代表、</w:t>
      </w:r>
      <w:r>
        <w:rPr>
          <w:rFonts w:hint="eastAsia" w:ascii="宋体" w:hAnsi="宋体" w:cs="宋体"/>
          <w:b/>
          <w:bCs/>
          <w:color w:val="000000"/>
          <w:u w:val="single"/>
        </w:rPr>
        <w:t xml:space="preserve">发包人其他管理部门</w:t>
      </w:r>
      <w:r>
        <w:rPr>
          <w:rFonts w:hint="eastAsia" w:ascii="宋体" w:hAnsi="宋体" w:cs="宋体"/>
          <w:color w:val="000000"/>
          <w:u w:val="single"/>
        </w:rPr>
        <w:t xml:space="preserve">和监理总监的考勤和监督检查。</w:t>
      </w:r>
      <w:r/>
    </w:p>
    <w:p>
      <w:pPr>
        <w:pStyle w:val="831"/>
        <w:jc w:val="both"/>
        <w:spacing w:line="460" w:lineRule="exact"/>
        <w:rPr>
          <w:rFonts w:hint="eastAsia" w:ascii="宋体" w:hAnsi="宋体" w:cs="宋体"/>
          <w:b/>
          <w:bCs/>
          <w:color w:val="000000"/>
        </w:rPr>
      </w:pPr>
      <w:r>
        <w:rPr>
          <w:rFonts w:hint="eastAsia" w:ascii="宋体" w:hAnsi="宋体" w:cs="宋体"/>
          <w:b/>
          <w:bCs/>
          <w:color w:val="000000"/>
        </w:rPr>
        <w:t xml:space="preserve">承包人项目其他主要管理人员（现场技术负责人、施工员、质量员、安全员）离开施工现场的批准要求：</w:t>
      </w:r>
      <w:r/>
    </w:p>
    <w:p>
      <w:pPr>
        <w:pStyle w:val="831"/>
        <w:jc w:val="both"/>
        <w:spacing w:line="460" w:lineRule="exact"/>
        <w:rPr>
          <w:rFonts w:hint="eastAsia" w:ascii="宋体" w:hAnsi="宋体" w:cs="宋体"/>
          <w:color w:val="000000"/>
        </w:rPr>
      </w:pPr>
      <w:r>
        <w:rPr>
          <w:rFonts w:hint="eastAsia" w:ascii="宋体" w:hAnsi="宋体" w:cs="宋体"/>
          <w:color w:val="000000"/>
          <w:u w:val="single"/>
        </w:rPr>
        <w:t xml:space="preserve">提前一天向发包人书面申请，经发包人书面批准后方可离开</w:t>
      </w:r>
      <w:r>
        <w:rPr>
          <w:rFonts w:hint="eastAsia" w:ascii="宋体" w:hAnsi="宋体" w:cs="宋体"/>
          <w:color w:val="000000"/>
        </w:rPr>
        <w:t xml:space="preserve">。</w:t>
      </w:r>
      <w:r/>
    </w:p>
    <w:p>
      <w:pPr>
        <w:pStyle w:val="831"/>
        <w:jc w:val="both"/>
        <w:spacing w:line="460" w:lineRule="exact"/>
        <w:rPr>
          <w:rFonts w:hint="eastAsia" w:ascii="宋体" w:hAnsi="宋体" w:cs="宋体"/>
          <w:b/>
          <w:bCs/>
          <w:color w:val="000000"/>
        </w:rPr>
      </w:pPr>
      <w:r>
        <w:rPr>
          <w:rFonts w:hint="eastAsia" w:ascii="宋体" w:hAnsi="宋体" w:cs="宋体"/>
          <w:b/>
          <w:bCs/>
          <w:color w:val="000000"/>
        </w:rPr>
        <w:t xml:space="preserve">承包人主要施工管理人员擅自离开施工现场的违约责任：</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若出现未经发包人书面批准的项目其他主要管理人员（现场技术负责人、施工员、质量员、安全员）擅自离开施工现场的情况，发包人将处罚承包人2000元/人·次的违约金（发包人可从工程款中扣抵）。</w:t>
      </w:r>
      <w:r>
        <w:rPr>
          <w:rFonts w:hint="eastAsia" w:ascii="宋体" w:hAnsi="宋体" w:cs="宋体"/>
          <w:b/>
          <w:bCs/>
          <w:color w:val="000000"/>
          <w:u w:val="single"/>
        </w:rPr>
        <w:t xml:space="preserve">现场技术负责人、施工员、质量员、安全员</w:t>
      </w:r>
      <w:r>
        <w:rPr>
          <w:rFonts w:hint="eastAsia" w:ascii="宋体" w:hAnsi="宋体" w:cs="宋体"/>
          <w:color w:val="000000"/>
          <w:u w:val="single"/>
        </w:rPr>
        <w:t xml:space="preserve">连续2天或施工期内累计5天不在现场，视为承包人严重违约，发包人除有权按前述约定追索承包人违约金之外，还有权单方解除合同，并追究承包人违约责任。</w:t>
      </w:r>
      <w:r/>
    </w:p>
    <w:p>
      <w:pPr>
        <w:pStyle w:val="831"/>
        <w:jc w:val="both"/>
        <w:spacing w:line="460" w:lineRule="exact"/>
        <w:rPr>
          <w:rFonts w:hint="eastAsia" w:ascii="宋体" w:hAnsi="宋体" w:cs="宋体"/>
          <w:b/>
          <w:bCs/>
          <w:color w:val="000000"/>
        </w:rPr>
      </w:pPr>
      <w:r>
        <w:rPr>
          <w:rFonts w:hint="eastAsia" w:ascii="宋体" w:hAnsi="宋体" w:cs="宋体"/>
          <w:b/>
          <w:bCs/>
          <w:color w:val="000000"/>
        </w:rPr>
        <w:t xml:space="preserve">3.3.3承包人擅自更换项目其他主要管理人员（现场技术负责人、施工员、质量员、安全员、资料员）的违约责任：</w:t>
      </w:r>
      <w:r/>
    </w:p>
    <w:p>
      <w:pPr>
        <w:pStyle w:val="831"/>
        <w:jc w:val="both"/>
        <w:spacing w:line="460" w:lineRule="exact"/>
        <w:rPr>
          <w:rFonts w:hint="eastAsia" w:ascii="宋体" w:hAnsi="宋体" w:cs="宋体"/>
          <w:color w:val="000000"/>
        </w:rPr>
      </w:pPr>
      <w:r>
        <w:rPr>
          <w:rFonts w:hint="eastAsia" w:ascii="宋体" w:hAnsi="宋体" w:cs="宋体"/>
          <w:color w:val="000000"/>
          <w:u w:val="single"/>
        </w:rPr>
        <w:t xml:space="preserve">投标文件中及合同中明确的项目其他主要管理人员（现场技术负责人、施工员、质量员、安全员、资料员）不得擅自变更，开工时或施工过程中若有擅自变更，将被视为承包人违约，承包人须按5000元/人·次付向发包人支付违约金，在工程款中扣除，发包人还有权解除合同，并追究承包人不能履约的违约责任，有权要求承包人赔偿发包人因此造成的一切损失，并报主管部门备案</w:t>
      </w:r>
      <w:r>
        <w:rPr>
          <w:rFonts w:hint="eastAsia" w:ascii="宋体" w:hAnsi="宋体" w:cs="宋体"/>
          <w:color w:val="000000"/>
        </w:rPr>
        <w:t xml:space="preserve">。</w:t>
      </w:r>
      <w:r/>
    </w:p>
    <w:p>
      <w:pPr>
        <w:pStyle w:val="831"/>
        <w:jc w:val="both"/>
        <w:spacing w:line="460" w:lineRule="exact"/>
        <w:rPr>
          <w:rFonts w:hint="eastAsia" w:ascii="宋体" w:hAnsi="宋体" w:cs="宋体"/>
          <w:b/>
          <w:bCs/>
          <w:color w:val="000000"/>
        </w:rPr>
      </w:pPr>
      <w:r>
        <w:rPr>
          <w:rFonts w:hint="eastAsia" w:ascii="宋体" w:hAnsi="宋体" w:cs="宋体"/>
          <w:b/>
          <w:bCs/>
          <w:color w:val="000000"/>
        </w:rPr>
        <w:t xml:space="preserve">3.3.4承包人无正当理由拒绝撤换项目其他主要管理人员（现场技术负责人、施工员、质量员、安全员、资料员）的违约责任：</w:t>
      </w:r>
      <w:r/>
    </w:p>
    <w:p>
      <w:pPr>
        <w:pStyle w:val="831"/>
        <w:jc w:val="both"/>
        <w:spacing w:line="460" w:lineRule="exact"/>
        <w:rPr>
          <w:rFonts w:hint="eastAsia" w:ascii="宋体" w:hAnsi="宋体" w:cs="宋体"/>
          <w:color w:val="000000"/>
        </w:rPr>
      </w:pPr>
      <w:r>
        <w:rPr>
          <w:rFonts w:hint="eastAsia" w:ascii="宋体" w:hAnsi="宋体" w:cs="宋体"/>
          <w:color w:val="000000"/>
          <w:u w:val="single"/>
        </w:rPr>
        <w:t xml:space="preserve">发包人有权要求承包人撤换调整其认为不称职的项目其他主要管理人员，承包人拒绝撤换的，发包人除了有权参照上述3.2.3条款向承包人追索违约金，还有权解除合同、追究承包人违约责任</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3.4分包</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3.4.1 分包的一般约定</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禁止分包的工程包括：</w:t>
      </w:r>
      <w:r>
        <w:rPr>
          <w:rFonts w:hint="eastAsia" w:ascii="宋体" w:hAnsi="宋体" w:cs="宋体"/>
          <w:color w:val="000000"/>
          <w:u w:val="single"/>
        </w:rPr>
        <w:t xml:space="preserve">本工程禁止分包</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主体结构、关键性工作的范围：</w:t>
      </w:r>
      <w:r>
        <w:rPr>
          <w:rFonts w:hint="eastAsia" w:ascii="宋体" w:hAnsi="宋体" w:cs="宋体"/>
          <w:color w:val="000000"/>
          <w:u w:val="single"/>
        </w:rPr>
        <w:t xml:space="preserve">本协议约定的所有施工内容</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3.4.2分包的确定</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允许分包的专业工程包括：</w:t>
      </w:r>
      <w:r>
        <w:rPr>
          <w:rFonts w:hint="eastAsia" w:ascii="宋体" w:hAnsi="宋体" w:cs="宋体"/>
          <w:color w:val="000000"/>
          <w:u w:val="single"/>
        </w:rPr>
        <w:t xml:space="preserve">无</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其他关于分包的约定：</w:t>
      </w:r>
      <w:r>
        <w:rPr>
          <w:rFonts w:hint="eastAsia" w:ascii="宋体" w:hAnsi="宋体" w:cs="宋体"/>
          <w:color w:val="000000"/>
          <w:u w:val="single"/>
        </w:rPr>
        <w:t xml:space="preserve">无</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3.4.3分包合同价款</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关于分包合同价款支付的约定：</w:t>
      </w:r>
      <w:r>
        <w:rPr>
          <w:rFonts w:hint="eastAsia" w:ascii="宋体" w:hAnsi="宋体" w:cs="宋体"/>
          <w:color w:val="000000"/>
          <w:u w:val="single"/>
        </w:rPr>
        <w:t xml:space="preserve">无</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3.5工程照管与成品、半成品保护</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承包人负责照管工程及工程相关的材料、工程设备的起始时间：</w:t>
      </w:r>
      <w:r>
        <w:rPr>
          <w:rFonts w:hint="eastAsia" w:ascii="宋体" w:hAnsi="宋体" w:cs="宋体"/>
          <w:color w:val="000000"/>
          <w:u w:val="single"/>
        </w:rPr>
        <w:t xml:space="preserve">自发包人向承包人移交施工现场之日起，承包人应负责照管工程及工程相关的材料、工程设备，直到颁发工程接收证书之日止，费用由承包人承担；在承包人负责照管期间，因承包人原因造成工程、材料、工程设备损坏的，由承包人负责修复或更换，并承担由此增加的费用和（或）延误的工期的违约责任</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3.6履约担保</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承包人是否提供履约担保：</w:t>
      </w:r>
      <w:r>
        <w:rPr>
          <w:rFonts w:hint="eastAsia" w:ascii="宋体" w:hAnsi="宋体" w:cs="宋体"/>
          <w:color w:val="000000"/>
          <w:u w:val="single"/>
        </w:rPr>
        <w:t xml:space="preserve">是</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承包人提供履约担保的形式、金额及期限：</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1）本项目承包人在领取中标通知书【5】日内，承包人按照如下信息缴纳履约保证金，履约保证金金额为合同签约价的【5%】，工程竣工并经发包人组织的验收合格后，自发包人组织的竣工合格验收报告签署之日起，一次性无息退还。</w:t>
      </w:r>
      <w:r/>
    </w:p>
    <w:p>
      <w:pPr>
        <w:pStyle w:val="831"/>
        <w:jc w:val="both"/>
        <w:spacing w:line="460" w:lineRule="exact"/>
        <w:rPr>
          <w:rFonts w:ascii="宋体" w:hAnsi="宋体" w:cs="宋体"/>
          <w:color w:val="000000"/>
          <w:u w:val="single"/>
        </w:rPr>
      </w:pPr>
      <w:r>
        <w:rPr>
          <w:rFonts w:hint="eastAsia" w:ascii="宋体" w:hAnsi="宋体" w:cs="宋体"/>
          <w:color w:val="000000"/>
          <w:u w:val="single"/>
        </w:rPr>
        <w:t xml:space="preserve">（2）履约保证金汇款银行、账号及户名：承包人必须在本项目中标公示结束后将履约保证金汇入发包人指定的账号，账号为：</w:t>
      </w:r>
      <w:r>
        <w:rPr>
          <w:rFonts w:hint="eastAsia"/>
          <w:color w:val="000000"/>
          <w:u w:val="single"/>
        </w:rPr>
        <w:t xml:space="preserve">4301011219100159523</w:t>
      </w:r>
      <w:r>
        <w:rPr>
          <w:rFonts w:ascii="宋体" w:hAnsi="宋体" w:cs="宋体"/>
          <w:color w:val="000000"/>
          <w:u w:val="single"/>
        </w:rPr>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（开户行为：中国工商银行</w:t>
      </w:r>
      <w:r>
        <w:rPr>
          <w:rFonts w:hint="eastAsia"/>
          <w:color w:val="000000"/>
          <w:u w:val="single"/>
        </w:rPr>
        <w:t xml:space="preserve">察哈尔路支行</w:t>
      </w:r>
      <w:r>
        <w:rPr>
          <w:rFonts w:hint="eastAsia" w:ascii="宋体" w:hAnsi="宋体" w:cs="宋体"/>
          <w:color w:val="000000"/>
          <w:u w:val="single"/>
        </w:rPr>
        <w:t xml:space="preserve">，收款人为：南京财经大学），汇款必须从承包人基本账户转出，在备注、用途或附加说明中写明是本工程项目的履约保证金。逾期不交者，将列入发包人不诚信单位记录名单，后期不得参与发包人任何采购活动。承包人未缴纳履约保证金的，本合同不生效。</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4 . 监理人</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4.1监理人的一般规定</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关于监理人的监理内容：</w:t>
      </w:r>
      <w:r>
        <w:rPr>
          <w:rFonts w:hint="eastAsia" w:ascii="宋体" w:hAnsi="宋体" w:cs="宋体"/>
          <w:color w:val="000000"/>
          <w:u w:val="single"/>
        </w:rPr>
        <w:t xml:space="preserve">即本工程施工阶段及保修阶段的全过程监理。监理人须依据国家监理规则相关内容和本合同约定，对交付发包人的全部施工内容实施监理，包括但不限于对工程质量、进度、造价、安全进行控制，信息管理、合同管理和现场的组织协调，以及负责将开工至竣工验收全套资料收集完备，配合发包人在工程实施过程中的各种工程变更、索赔、验收，以及竣工结算、决算审计等。</w:t>
      </w:r>
      <w:r>
        <w:rPr>
          <w:rFonts w:hint="eastAsia" w:ascii="宋体" w:hAnsi="宋体" w:cs="宋体"/>
          <w:color w:val="000000"/>
        </w:rPr>
      </w:r>
      <w:r/>
    </w:p>
    <w:p>
      <w:pPr>
        <w:pStyle w:val="831"/>
        <w:jc w:val="both"/>
        <w:spacing w:line="460" w:lineRule="exact"/>
        <w:rPr>
          <w:rFonts w:hint="eastAsia" w:ascii="宋体" w:hAnsi="宋体" w:cs="宋体"/>
          <w:color w:val="000000"/>
          <w:u w:val="single"/>
        </w:rPr>
      </w:pPr>
      <w:r>
        <w:rPr>
          <w:rFonts w:hint="eastAsia" w:ascii="宋体" w:hAnsi="宋体" w:cs="宋体"/>
          <w:color w:val="000000"/>
        </w:rPr>
        <w:t xml:space="preserve">关于监理人的监理权限：</w:t>
      </w:r>
      <w:r>
        <w:rPr>
          <w:rFonts w:hint="eastAsia" w:ascii="宋体" w:hAnsi="宋体" w:cs="宋体"/>
          <w:color w:val="000000"/>
          <w:u w:val="single"/>
        </w:rPr>
        <w:t xml:space="preserve">所有涉及工程造价的签证、设计变更、标准的确认、分包单位的确定、工期延期、开工令、停工令、复工令以及工程施工过程中将会导致造价变化的一切事宜，监理人需要取得发包人书面盖章确认，其相关行为方为有效。详见监理合同。</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关于监理人在施工现场的办公场所、生活场所的提供和费用承担的约定：</w:t>
      </w:r>
      <w:r>
        <w:rPr>
          <w:rFonts w:hint="eastAsia" w:ascii="宋体" w:hAnsi="宋体" w:cs="宋体"/>
          <w:color w:val="000000"/>
          <w:u w:val="single"/>
        </w:rPr>
        <w:t xml:space="preserve">由承包人提供，费用已计入本合同总价款中，或由承包人另行承担，发包人不再另行支付</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4.2 监理人员</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总监理工程师：</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姓名：_____；</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职务：_____；</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监理工程师执业资格证书号：_____；</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联系电话：_____；</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电子信箱：_____；</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通信地址：_____；</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关于监理人的其他约定：</w:t>
      </w:r>
      <w:r>
        <w:rPr>
          <w:rFonts w:hint="eastAsia" w:ascii="宋体" w:hAnsi="宋体" w:cs="宋体"/>
          <w:color w:val="000000"/>
          <w:u w:val="single"/>
        </w:rPr>
        <w:t xml:space="preserve">详见本工程监理合同。</w:t>
      </w:r>
      <w:r>
        <w:rPr>
          <w:rFonts w:hint="eastAsia" w:ascii="宋体" w:hAnsi="宋体" w:cs="宋体"/>
          <w:color w:val="000000"/>
        </w:rPr>
      </w:r>
      <w:r/>
    </w:p>
    <w:p>
      <w:pPr>
        <w:pStyle w:val="831"/>
        <w:jc w:val="both"/>
        <w:spacing w:line="460" w:lineRule="exact"/>
        <w:rPr>
          <w:rFonts w:hint="eastAsia" w:ascii="宋体" w:hAnsi="宋体" w:cs="宋体"/>
          <w:color w:val="000000"/>
        </w:rPr>
      </w:pPr>
      <w:r>
        <w:rPr>
          <w:rFonts w:hint="eastAsia" w:ascii="宋体" w:hAnsi="宋体" w:cs="宋体"/>
          <w:color w:val="000000"/>
        </w:rPr>
        <w:t xml:space="preserve">4.3商定或确定</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在发包人和承包人不能通过协商达成一致意见时，发包人授权监理人对以下事项进行确定：</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u w:val="single"/>
        </w:rPr>
        <w:t xml:space="preserve">/</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u w:val="single"/>
        </w:rPr>
        <w:t xml:space="preserve">/</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u w:val="single"/>
        </w:rPr>
        <w:t xml:space="preserve">/</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5. 工程质量</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5.1 质量要求</w:t>
      </w:r>
      <w:r/>
    </w:p>
    <w:p>
      <w:pPr>
        <w:pStyle w:val="831"/>
        <w:jc w:val="both"/>
        <w:spacing w:line="360" w:lineRule="auto"/>
        <w:rPr>
          <w:rFonts w:hint="eastAsia" w:ascii="宋体" w:hAnsi="宋体" w:cs="宋体"/>
          <w:color w:val="000000"/>
        </w:rPr>
      </w:pPr>
      <w:r>
        <w:rPr>
          <w:rFonts w:hint="eastAsia" w:ascii="宋体" w:hAnsi="宋体" w:cs="宋体"/>
          <w:color w:val="000000"/>
        </w:rPr>
        <w:t xml:space="preserve">特殊质量标准和要求：质量标准的评定以现行国家、地方政府以及行业的质量检验评定标准为依据，确保质量</w:t>
      </w:r>
      <w:r>
        <w:rPr>
          <w:rFonts w:hint="eastAsia" w:ascii="宋体" w:hAnsi="宋体" w:cs="宋体"/>
          <w:color w:val="000000"/>
          <w:u w:val="single"/>
        </w:rPr>
        <w:t xml:space="preserve">符合国家现行质量验收标准、《建筑工程施工质量验收统一标准》、本合同约定的特殊要求</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关于工程奖项的约定：/。</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5.2隐蔽工程检查</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承包人提前通知监理人隐蔽工程检查的期限的约定：</w:t>
      </w:r>
      <w:r>
        <w:rPr>
          <w:rFonts w:hint="eastAsia" w:ascii="宋体" w:hAnsi="宋体" w:cs="宋体"/>
          <w:color w:val="000000"/>
          <w:u w:val="single"/>
        </w:rPr>
        <w:t xml:space="preserve">共同检查前48小时书面通知监理。所有隐蔽工程和中间验收均须经监理工程师和发包人验收确认后方可继续施工</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监理人不能按时进行检查时，应提前</w:t>
      </w:r>
      <w:r>
        <w:rPr>
          <w:rFonts w:hint="eastAsia" w:ascii="宋体" w:hAnsi="宋体" w:cs="宋体"/>
          <w:color w:val="000000"/>
          <w:u w:val="single"/>
        </w:rPr>
        <w:t xml:space="preserve"> 8 </w:t>
      </w:r>
      <w:r>
        <w:rPr>
          <w:rFonts w:hint="eastAsia" w:ascii="宋体" w:hAnsi="宋体" w:cs="宋体"/>
          <w:color w:val="000000"/>
        </w:rPr>
        <w:t xml:space="preserve">小时提交书面延期要求。</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关于延期最长不得超过：</w:t>
      </w:r>
      <w:r>
        <w:rPr>
          <w:rFonts w:hint="eastAsia" w:ascii="宋体" w:hAnsi="宋体" w:cs="宋体"/>
          <w:color w:val="000000"/>
          <w:u w:val="single"/>
        </w:rPr>
        <w:t xml:space="preserve"> 24 </w:t>
      </w:r>
      <w:r>
        <w:rPr>
          <w:rFonts w:hint="eastAsia" w:ascii="宋体" w:hAnsi="宋体" w:cs="宋体"/>
          <w:color w:val="000000"/>
        </w:rPr>
        <w:t xml:space="preserve">小时。</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5.3重新检验</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无论发包人、监理人员是否进行过验收，当其要求已经隐蔽的工程重新检验时，承包人应按要求进行剥离或开孔，并在检验后重新覆盖或修复。检验不合格时，承包人承担发生的全部费用，工期不顺延。</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5.3.1 工程质量</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按专用条款和招标文件要求执行。</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5.3.2检查和返工</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（1）承包人应严格按照施工规范、技术规程以及经监</w:t>
      </w:r>
      <w:r>
        <w:rPr>
          <w:rFonts w:hint="eastAsia" w:ascii="宋体" w:hAnsi="宋体" w:cs="宋体"/>
          <w:color w:val="000000"/>
          <w:u w:val="single"/>
        </w:rPr>
        <w:t xml:space="preserve">理工程师和发包人审核批复的实施性施工组织设计精心组织施工，确保工程进度及质量。在工序验收中，如检查发现质量不合格，承包人除必须返工至达标外，还应向发包人支付每项2000元/次的违约金。在分项工程验收中，如在各类抽测、抽检、抽查中发现质量不合格，承包人除必须返工达标外，还应向发包人支付每项10000元/次的违约金，并承担全部检测费用。在分项验收中对达不到验收合格标准的，如监理工程师和发包人决定降格验收，承包人按该分项工程造价的5%（不足10000元的按10000元执行）向发包人支付违约金，并承担全部检测费用。</w:t>
      </w:r>
      <w:r/>
    </w:p>
    <w:p>
      <w:pPr>
        <w:pStyle w:val="831"/>
        <w:jc w:val="both"/>
        <w:spacing w:line="460" w:lineRule="exact"/>
        <w:rPr>
          <w:rFonts w:hint="eastAsia" w:ascii="宋体" w:hAnsi="宋体" w:cs="宋体"/>
          <w:color w:val="000000"/>
        </w:rPr>
      </w:pPr>
      <w:r>
        <w:rPr>
          <w:rFonts w:hint="eastAsia" w:ascii="宋体" w:hAnsi="宋体" w:cs="宋体"/>
          <w:color w:val="000000"/>
          <w:u w:val="single"/>
        </w:rPr>
        <w:t xml:space="preserve">（2）承包人在发生工程质量问题时隐瞒监理工程师及发包人，或有偷工减料行为、使用假冒伪劣产品行为，除及时进行整改外另需向发包人支付40000元/次的质量违约金。</w:t>
      </w:r>
      <w:r>
        <w:rPr>
          <w:rFonts w:hint="eastAsia" w:ascii="宋体" w:hAnsi="宋体" w:cs="宋体"/>
          <w:color w:val="000000"/>
        </w:rPr>
      </w:r>
      <w:r/>
    </w:p>
    <w:p>
      <w:pPr>
        <w:pStyle w:val="831"/>
        <w:jc w:val="both"/>
        <w:spacing w:line="460" w:lineRule="exact"/>
        <w:rPr>
          <w:rFonts w:hint="eastAsia" w:ascii="宋体" w:hAnsi="宋体" w:cs="宋体"/>
          <w:color w:val="000000"/>
        </w:rPr>
      </w:pPr>
      <w:r>
        <w:rPr>
          <w:rFonts w:hint="eastAsia" w:ascii="宋体" w:hAnsi="宋体" w:cs="宋体"/>
          <w:color w:val="000000"/>
        </w:rPr>
        <w:t xml:space="preserve">6. 安全文明施工与环境保护</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6.1安全文明施工</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6.1.1 项目安全生产的达标目标及相应事项的约定：</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（1）除执行通用条款的相关规定外，承包人应严格按照规范和施工组织设计组织施工，采取有效防护措施，并在安全管理方面除正常进行安全学习、安全教</w:t>
      </w:r>
      <w:r>
        <w:rPr>
          <w:rFonts w:hint="eastAsia" w:ascii="宋体" w:hAnsi="宋体" w:cs="宋体"/>
          <w:color w:val="000000"/>
          <w:u w:val="single"/>
        </w:rPr>
        <w:t xml:space="preserve">育外，同时应高度重视全部施工期间的安全工作，安全措施要落实到位，应急措施要跟上，高空作业必须有安全防护措施等，并配备专职安全人员。对于不重视安全工作，措施不到位，未按规定或本合同约定要求（安全文明施工、质量标准等方面）进行施工、管理的，每发现一次，承包人应按300-500元/次向发包人支付违约金；导致发生安全事故的，承包人将承担全部责任，并承担所有赔偿费用。若发生任何大小安全事故或伤亡事故均由承包人承担赔偿责任，发包人不承担任何责任，并根据事故大小对承包人收取每次1万元至5万元的违约金，在工程款中直接扣除。</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（2）如由于承包人不安全施工或其他违法违规等原因，导致发包人受到区级及以上行政主管部门处罚的，发包人将对承包人进行处罚，每发生一次扣除工程总价款的1%作为违约金。</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6.1.2关于治安保卫的特别约定：</w:t>
      </w:r>
      <w:r>
        <w:rPr>
          <w:rFonts w:hint="eastAsia" w:ascii="宋体" w:hAnsi="宋体" w:cs="宋体"/>
          <w:color w:val="000000"/>
          <w:u w:val="single"/>
        </w:rPr>
        <w:t xml:space="preserve"> / </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关于编制施工场地治安管理计划的约定：</w:t>
      </w:r>
      <w:r>
        <w:rPr>
          <w:rFonts w:hint="eastAsia" w:ascii="宋体" w:hAnsi="宋体" w:cs="宋体"/>
          <w:color w:val="000000"/>
          <w:u w:val="single"/>
        </w:rPr>
        <w:t xml:space="preserve">在开工前提交的施工组织设计中必须要有此部分内容</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6.1.3文明施工</w:t>
      </w:r>
      <w:r/>
    </w:p>
    <w:p>
      <w:pPr>
        <w:pStyle w:val="831"/>
        <w:jc w:val="both"/>
        <w:spacing w:line="360" w:lineRule="auto"/>
        <w:rPr>
          <w:rFonts w:hint="eastAsia" w:ascii="宋体" w:hAnsi="宋体" w:cs="宋体"/>
          <w:color w:val="000000"/>
        </w:rPr>
      </w:pPr>
      <w:r>
        <w:rPr>
          <w:rFonts w:hint="eastAsia" w:ascii="宋体" w:hAnsi="宋体" w:cs="宋体"/>
          <w:color w:val="000000"/>
        </w:rPr>
        <w:t xml:space="preserve">合同当事人对文明施工的要求：</w:t>
      </w:r>
      <w:r>
        <w:rPr>
          <w:rFonts w:hint="eastAsia" w:ascii="宋体" w:hAnsi="宋体" w:cs="宋体"/>
          <w:color w:val="000000"/>
          <w:u w:val="single"/>
        </w:rPr>
        <w:t xml:space="preserve">达到《建筑施工安全检查标准》。</w:t>
      </w:r>
      <w:r>
        <w:rPr>
          <w:rFonts w:hint="eastAsia" w:ascii="宋体" w:hAnsi="宋体" w:cs="宋体"/>
          <w:color w:val="000000"/>
        </w:rPr>
      </w:r>
      <w:r/>
    </w:p>
    <w:p>
      <w:pPr>
        <w:pStyle w:val="831"/>
        <w:jc w:val="both"/>
        <w:spacing w:line="460" w:lineRule="exact"/>
        <w:rPr>
          <w:rFonts w:hint="eastAsia" w:ascii="宋体" w:hAnsi="宋体" w:cs="宋体"/>
          <w:color w:val="000000"/>
        </w:rPr>
      </w:pPr>
      <w:r>
        <w:rPr>
          <w:rFonts w:hint="eastAsia" w:ascii="宋体" w:hAnsi="宋体" w:cs="宋体"/>
          <w:color w:val="000000"/>
          <w:u w:val="single"/>
        </w:rPr>
        <w:t xml:space="preserve">（1）承包人须定期上报现场一线操作工人名单、人数、籍贯等。如有人员调整，必须及时通知发包人</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u w:val="single"/>
        </w:rPr>
        <w:t xml:space="preserve">（2）施工人员未经允许不得进入已经交付的工程区域</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u w:val="single"/>
        </w:rPr>
        <w:t xml:space="preserve">（3）承包人对施工范围内的安全防火承担责任</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u w:val="single"/>
        </w:rPr>
        <w:t xml:space="preserve">（4）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造成安全事故带来不良影响的，发包人按照本合同6.1.1(1)追究承包人违约责任。承包人负责施工现场的安全及第三方人身安全</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u w:val="single"/>
        </w:rPr>
        <w:t xml:space="preserve">（5）承包人应负责为其雇员安排食宿并提供各种必需的生活设施，并应采取合理的卫生防护措施和安全措施以保护其雇员的健康和安全。若因卫生、火灾等原因造成损失，由承包人承担全部责任。发包人有权根据现场损失情况要求承包人承担签约合同价不超过2%的违约金</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u w:val="single"/>
        </w:rPr>
        <w:t xml:space="preserve">（6）施工期间必须做好场地清洁卫生，设置冲洗平台，做到净车出场，避免在场外道路上“抛、洒、滴、漏”。由此产生的责任由施工单位承担</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u w:val="single"/>
        </w:rPr>
        <w:t xml:space="preserve">（7）承包人严禁污水乱排放，将生活垃圾集中外运，达到标化现场要求</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u w:val="single"/>
        </w:rPr>
        <w:t xml:space="preserve">（8）对施工场地内的已完工程、在建工程、管沟、管网等进行保护</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u w:val="single"/>
        </w:rPr>
        <w:t xml:space="preserve">（9）施工期间必须挂牌上岗并统一着装</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u w:val="single"/>
        </w:rPr>
        <w:t xml:space="preserve">（10）禁止乱堆乱放材料与机械设备</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u w:val="single"/>
        </w:rPr>
        <w:t xml:space="preserve">（11）预制场、土场必须设置标语牌（包括安全、质量、环境、操作规程等）</w:t>
      </w:r>
      <w:r>
        <w:rPr>
          <w:rFonts w:hint="eastAsia" w:ascii="宋体" w:hAnsi="宋体" w:cs="宋体"/>
          <w:color w:val="000000"/>
        </w:rPr>
        <w:t xml:space="preserve">。</w:t>
      </w:r>
      <w:r/>
    </w:p>
    <w:p>
      <w:pPr>
        <w:pStyle w:val="831"/>
        <w:jc w:val="both"/>
        <w:spacing w:line="360" w:lineRule="auto"/>
        <w:rPr>
          <w:rFonts w:hint="eastAsia" w:ascii="宋体" w:hAnsi="宋体" w:cs="宋体"/>
          <w:color w:val="000000"/>
          <w:u w:val="single"/>
        </w:rPr>
      </w:pPr>
      <w:r>
        <w:rPr>
          <w:rFonts w:hint="eastAsia" w:ascii="宋体" w:hAnsi="宋体" w:cs="宋体"/>
          <w:color w:val="000000"/>
        </w:rPr>
        <w:t xml:space="preserve">6.1.4关于安全文明施工费支付比例和支付期限的约定：</w:t>
      </w:r>
      <w:r>
        <w:rPr>
          <w:rFonts w:hint="eastAsia" w:ascii="宋体" w:hAnsi="宋体" w:cs="宋体"/>
          <w:color w:val="000000"/>
          <w:u w:val="single"/>
        </w:rPr>
        <w:t xml:space="preserve">纳入合同价格执行</w:t>
      </w:r>
      <w:r>
        <w:rPr>
          <w:rFonts w:hint="eastAsia" w:ascii="宋体" w:hAnsi="宋体" w:cs="宋体"/>
          <w:color w:val="000000"/>
        </w:rPr>
        <w:t xml:space="preserve">。</w:t>
      </w:r>
      <w:r>
        <w:rPr>
          <w:rFonts w:hint="eastAsia" w:ascii="宋体" w:hAnsi="宋体" w:cs="宋体"/>
          <w:color w:val="000000"/>
          <w:u w:val="single"/>
        </w:rPr>
      </w:r>
      <w:r/>
    </w:p>
    <w:p>
      <w:pPr>
        <w:pStyle w:val="831"/>
        <w:jc w:val="both"/>
        <w:spacing w:line="460" w:lineRule="exact"/>
        <w:rPr>
          <w:rFonts w:hint="eastAsia" w:ascii="宋体" w:hAnsi="宋体" w:cs="宋体"/>
          <w:color w:val="000000"/>
        </w:rPr>
      </w:pPr>
      <w:r>
        <w:rPr>
          <w:rFonts w:hint="eastAsia" w:ascii="宋体" w:hAnsi="宋体" w:cs="宋体"/>
          <w:color w:val="000000"/>
        </w:rPr>
        <w:t xml:space="preserve">7.工期和进度</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7.1施工组织设计</w:t>
      </w:r>
      <w:r/>
    </w:p>
    <w:p>
      <w:pPr>
        <w:pStyle w:val="831"/>
        <w:jc w:val="both"/>
        <w:spacing w:line="360" w:lineRule="auto"/>
        <w:rPr>
          <w:rFonts w:hint="eastAsia" w:ascii="宋体" w:hAnsi="宋体" w:cs="宋体"/>
          <w:color w:val="000000"/>
          <w:u w:val="single"/>
        </w:rPr>
      </w:pPr>
      <w:r>
        <w:rPr>
          <w:rFonts w:hint="eastAsia" w:ascii="宋体" w:hAnsi="宋体" w:cs="宋体"/>
          <w:color w:val="000000"/>
        </w:rPr>
        <w:t xml:space="preserve">7.1.1合同当事人约定的施工组织设计应包括的其他内容：</w:t>
      </w:r>
      <w:r>
        <w:rPr>
          <w:rFonts w:hint="eastAsia" w:ascii="宋体" w:hAnsi="宋体" w:cs="宋体"/>
          <w:color w:val="000000"/>
          <w:u w:val="single"/>
        </w:rPr>
        <w:t xml:space="preserve">按招标文件约定，招标文件无约定按通用条款或双方另行约定。</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7.1.2施工组织设计的提交和修改</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承包人提交详细施工组织设计的期限的约定：</w:t>
      </w:r>
      <w:r>
        <w:rPr>
          <w:rFonts w:hint="eastAsia" w:ascii="宋体" w:hAnsi="宋体" w:cs="宋体"/>
          <w:color w:val="000000"/>
          <w:u w:val="single"/>
        </w:rPr>
        <w:t xml:space="preserve">合同签订后7日内，向监理人提交详细的施工组织设计，并由监理人报送发包人</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发包人和监理人在收到详细的施工组织设计后确认或提出修改意见的期限：</w:t>
      </w:r>
      <w:r>
        <w:rPr>
          <w:rFonts w:hint="eastAsia" w:ascii="宋体" w:hAnsi="宋体" w:cs="宋体"/>
          <w:color w:val="000000"/>
          <w:u w:val="single"/>
        </w:rPr>
        <w:t xml:space="preserve">发包人和监理人应在监理人收到施工组织设计后【3】日内确认或提出修改意见</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7.2施工进度计划</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施工进度计划的修订</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发包人和监理人在收到修订的施工进度计划后确认或提出修改意见的期限：</w:t>
      </w:r>
      <w:r>
        <w:rPr>
          <w:rFonts w:hint="eastAsia" w:ascii="宋体" w:hAnsi="宋体" w:cs="宋体"/>
          <w:color w:val="000000"/>
          <w:u w:val="single"/>
        </w:rPr>
        <w:t xml:space="preserve">发包人和监理人应在收到修订的施工进度计划后 7日内完成审核和批准或提出修改意见</w:t>
      </w:r>
      <w:r>
        <w:rPr>
          <w:rFonts w:hint="eastAsia" w:ascii="宋体" w:hAnsi="宋体" w:cs="宋体"/>
          <w:color w:val="000000"/>
        </w:rPr>
        <w:t xml:space="preserve">。</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开工前七天承包人须向发包人、监理提出总进度计划。开工后承包人每周例会时须报周进度计划。承包人提供的施工组织设计必须是交发包人、监理方审核后的施工组织设计。</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7.3开工</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7.3.1开工准备</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关于承包人提交工程开工报审表的期限：</w:t>
      </w:r>
      <w:r>
        <w:rPr>
          <w:rFonts w:hint="eastAsia" w:ascii="宋体" w:hAnsi="宋体" w:cs="宋体"/>
          <w:color w:val="000000"/>
          <w:u w:val="single"/>
        </w:rPr>
        <w:t xml:space="preserve">合同签订后3日</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关于发包人应完成的其他开工准备工作及期限：</w:t>
      </w:r>
      <w:r>
        <w:rPr>
          <w:rFonts w:hint="eastAsia" w:ascii="宋体" w:hAnsi="宋体" w:cs="宋体"/>
          <w:color w:val="000000"/>
          <w:u w:val="single"/>
        </w:rPr>
        <w:t xml:space="preserve">无</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关于承包人应完成的其他开工准备工作及期限：</w:t>
      </w:r>
      <w:r>
        <w:rPr>
          <w:rFonts w:hint="eastAsia" w:ascii="宋体" w:hAnsi="宋体" w:cs="宋体"/>
          <w:color w:val="000000"/>
          <w:u w:val="single"/>
        </w:rPr>
        <w:t xml:space="preserve">临时设施搭建、材料、设备、人员等须在合同签订后3日内完成</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7.3.2开工通知</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计划开工日期之日起</w:t>
      </w:r>
      <w:r>
        <w:rPr>
          <w:rFonts w:hint="eastAsia" w:ascii="宋体" w:hAnsi="宋体" w:cs="宋体"/>
          <w:color w:val="000000"/>
          <w:u w:val="single"/>
        </w:rPr>
        <w:t xml:space="preserve"> 7 </w:t>
      </w:r>
      <w:r>
        <w:rPr>
          <w:rFonts w:hint="eastAsia" w:ascii="宋体" w:hAnsi="宋体" w:cs="宋体"/>
          <w:color w:val="000000"/>
        </w:rPr>
        <w:t xml:space="preserve">天内发出开工通知</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7.4测量放线</w:t>
      </w:r>
      <w:r/>
    </w:p>
    <w:p>
      <w:pPr>
        <w:pStyle w:val="831"/>
        <w:jc w:val="both"/>
        <w:spacing w:line="460" w:lineRule="exact"/>
        <w:rPr>
          <w:rFonts w:hint="eastAsia" w:ascii="宋体" w:hAnsi="宋体" w:cs="宋体"/>
          <w:color w:val="000000"/>
          <w:u w:val="single"/>
        </w:rPr>
      </w:pPr>
      <w:r>
        <w:rPr>
          <w:rFonts w:hint="eastAsia" w:ascii="宋体" w:hAnsi="宋体" w:cs="宋体"/>
          <w:color w:val="000000"/>
        </w:rPr>
        <w:t xml:space="preserve">发包人通过监理人向承包人提供测量基准点、基准线和水准点及其书面资料的期限：</w:t>
      </w:r>
      <w:r>
        <w:rPr>
          <w:rFonts w:hint="eastAsia" w:ascii="宋体" w:hAnsi="宋体" w:cs="宋体"/>
          <w:color w:val="000000"/>
          <w:u w:val="single"/>
        </w:rPr>
        <w:t xml:space="preserve">开工前。</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7.5工期延误</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7.5.1 因发包人原因导致工期延误</w:t>
      </w:r>
      <w:r/>
    </w:p>
    <w:p>
      <w:pPr>
        <w:pStyle w:val="831"/>
        <w:jc w:val="both"/>
        <w:spacing w:line="360" w:lineRule="auto"/>
        <w:rPr>
          <w:rFonts w:hint="eastAsia" w:ascii="宋体" w:hAnsi="宋体" w:cs="宋体"/>
          <w:color w:val="000000"/>
          <w:u w:val="single"/>
        </w:rPr>
      </w:pPr>
      <w:r>
        <w:rPr>
          <w:rFonts w:hint="eastAsia" w:ascii="宋体" w:hAnsi="宋体" w:cs="宋体"/>
          <w:color w:val="000000"/>
        </w:rPr>
        <w:t xml:space="preserve">因发包人原因导致工期延误的其他情形：</w:t>
      </w:r>
      <w:r>
        <w:rPr>
          <w:rFonts w:hint="eastAsia" w:ascii="宋体" w:hAnsi="宋体" w:cs="宋体"/>
          <w:color w:val="000000"/>
          <w:u w:val="single"/>
        </w:rPr>
        <w:t xml:space="preserve">由于发包人原因和国家行政相关要求的停工（非承包人的责任），须由承包人书面提出，并经监理和发包人同意并共同签证，工期方可顺延。对此，承包人同意在工期顺延的情况下不要求经济补偿或赔偿</w:t>
      </w:r>
      <w:r>
        <w:rPr>
          <w:rFonts w:hint="eastAsia" w:ascii="宋体" w:hAnsi="宋体" w:cs="宋体"/>
          <w:color w:val="000000"/>
        </w:rPr>
        <w:t xml:space="preserve">。</w:t>
      </w:r>
      <w:r>
        <w:rPr>
          <w:rFonts w:hint="eastAsia" w:ascii="宋体" w:hAnsi="宋体" w:cs="宋体"/>
          <w:color w:val="000000"/>
          <w:u w:val="single"/>
        </w:rPr>
      </w:r>
      <w:r/>
    </w:p>
    <w:p>
      <w:pPr>
        <w:pStyle w:val="831"/>
        <w:jc w:val="both"/>
        <w:spacing w:line="460" w:lineRule="exact"/>
        <w:rPr>
          <w:rFonts w:hint="eastAsia" w:ascii="宋体" w:hAnsi="宋体" w:cs="宋体"/>
          <w:color w:val="000000"/>
        </w:rPr>
      </w:pPr>
      <w:r>
        <w:rPr>
          <w:rFonts w:hint="eastAsia" w:ascii="宋体" w:hAnsi="宋体" w:cs="宋体"/>
          <w:color w:val="000000"/>
        </w:rPr>
        <w:t xml:space="preserve">7.5.2因承包人原因导致工期延误</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因承包人原因造成工期延误，逾期竣工违约金的计算方法为：</w:t>
      </w:r>
      <w:r/>
    </w:p>
    <w:p>
      <w:pPr>
        <w:pStyle w:val="831"/>
        <w:jc w:val="both"/>
        <w:spacing w:line="360" w:lineRule="auto"/>
        <w:rPr>
          <w:rFonts w:hint="eastAsia" w:ascii="宋体" w:hAnsi="宋体" w:cs="宋体"/>
          <w:color w:val="000000"/>
        </w:rPr>
      </w:pPr>
      <w:r>
        <w:rPr>
          <w:rFonts w:hint="eastAsia" w:ascii="宋体" w:hAnsi="宋体" w:cs="宋体"/>
          <w:color w:val="000000"/>
          <w:u w:val="single"/>
        </w:rPr>
        <w:t xml:space="preserve">承包人不能按合同总工期竣工，每推迟一天，承包人向发包人支付合同价款1%作为违约金。</w:t>
      </w:r>
      <w:r>
        <w:rPr>
          <w:rFonts w:hint="eastAsia" w:ascii="宋体" w:hAnsi="宋体" w:cs="宋体"/>
          <w:color w:val="000000"/>
        </w:rPr>
        <w:t xml:space="preserve">因承包人原因造成工期延误，逾期竣工违约金的上限：</w:t>
      </w:r>
      <w:r>
        <w:rPr>
          <w:rFonts w:hint="eastAsia" w:ascii="宋体" w:hAnsi="宋体" w:cs="宋体"/>
          <w:color w:val="000000"/>
          <w:u w:val="single"/>
        </w:rPr>
        <w:t xml:space="preserve">合同价款的30%，如因承包人原因造成工期延误计算出的违约金超过上限（合同价款的30%），则视为承包人构成严重违约，发包人有权单方解除合同，并要求承包人赔偿发包人损失</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7.6不利物质条件</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不利物质条件的其他情形和有关约定：</w:t>
      </w:r>
      <w:r>
        <w:rPr>
          <w:rFonts w:hint="eastAsia" w:ascii="宋体" w:hAnsi="宋体" w:cs="宋体"/>
          <w:color w:val="000000"/>
          <w:u w:val="single"/>
        </w:rPr>
        <w:t xml:space="preserve">无</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7.7异常恶劣的气候条件</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发包人和承包人同意以下情形视为异常恶劣的气候条件：</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u w:val="single"/>
        </w:rPr>
        <w:t xml:space="preserve">/</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u w:val="single"/>
        </w:rPr>
        <w:t xml:space="preserve"> / </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u w:val="single"/>
        </w:rPr>
        <w:t xml:space="preserve"> / </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7.8提前竣工的奖励</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提前竣工的奖励：</w:t>
      </w:r>
      <w:r>
        <w:rPr>
          <w:rFonts w:hint="eastAsia" w:ascii="宋体" w:hAnsi="宋体" w:cs="宋体"/>
          <w:color w:val="000000"/>
          <w:u w:val="single"/>
        </w:rPr>
        <w:t xml:space="preserve">无</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8.材料与设备</w:t>
      </w:r>
      <w:r/>
    </w:p>
    <w:p>
      <w:pPr>
        <w:pStyle w:val="831"/>
        <w:jc w:val="both"/>
        <w:spacing w:line="360" w:lineRule="auto"/>
        <w:rPr>
          <w:rFonts w:hint="eastAsia" w:ascii="宋体" w:hAnsi="宋体" w:cs="宋体"/>
          <w:color w:val="000000"/>
        </w:rPr>
      </w:pPr>
      <w:r>
        <w:rPr>
          <w:rFonts w:hint="eastAsia" w:ascii="宋体" w:hAnsi="宋体" w:cs="宋体"/>
          <w:color w:val="000000"/>
        </w:rPr>
        <w:t xml:space="preserve">8.1材料与工程设备的保管与使用</w:t>
      </w:r>
      <w:r/>
    </w:p>
    <w:p>
      <w:pPr>
        <w:pStyle w:val="831"/>
        <w:jc w:val="both"/>
        <w:spacing w:line="360" w:lineRule="auto"/>
        <w:rPr>
          <w:rFonts w:hint="eastAsia" w:ascii="宋体" w:hAnsi="宋体" w:cs="宋体"/>
          <w:color w:val="000000"/>
        </w:rPr>
      </w:pPr>
      <w:r>
        <w:rPr>
          <w:rFonts w:hint="eastAsia" w:ascii="宋体" w:hAnsi="宋体" w:cs="宋体"/>
          <w:color w:val="000000"/>
        </w:rPr>
        <w:t xml:space="preserve">8 .1.1发包人供应的材料设备的保管费用的承担：</w:t>
      </w:r>
      <w:r>
        <w:rPr>
          <w:rFonts w:hint="eastAsia" w:ascii="宋体" w:hAnsi="宋体" w:cs="宋体"/>
          <w:color w:val="000000"/>
          <w:u w:val="single"/>
        </w:rPr>
        <w:t xml:space="preserve">发包人供应的材料和设备，由承包人清点后由承包人妥善保管，保管费用含在投标报价中，发包人不另行支付，承包人承担所供应设备的保管费用</w:t>
      </w:r>
      <w:r>
        <w:rPr>
          <w:rFonts w:hint="eastAsia" w:ascii="宋体" w:hAnsi="宋体" w:cs="宋体"/>
          <w:color w:val="000000"/>
        </w:rPr>
        <w:t xml:space="preserve">。</w:t>
      </w:r>
      <w:r/>
    </w:p>
    <w:p>
      <w:pPr>
        <w:pStyle w:val="831"/>
        <w:ind w:firstLine="480"/>
        <w:jc w:val="both"/>
        <w:spacing w:line="360" w:lineRule="auto"/>
        <w:rPr>
          <w:rFonts w:hint="eastAsia" w:ascii="宋体" w:hAnsi="宋体" w:cs="宋体"/>
          <w:color w:val="000000"/>
          <w:u w:val="single"/>
        </w:rPr>
      </w:pPr>
      <w:r>
        <w:rPr>
          <w:rFonts w:hint="eastAsia" w:ascii="宋体" w:hAnsi="宋体" w:cs="宋体"/>
          <w:color w:val="000000"/>
          <w:u w:val="single"/>
        </w:rPr>
        <w:t xml:space="preserve">双方约定由承包人采购的材料必须符合有关规范规定的质量要求、环保要求以及投标时的样板，必须有详细的质保书及复试报告，且在进场前经发包人、设计人和监理人事先书面确认，发包人确认符合合同约定要求并批准后方可使用。若发生承包人所供材料与封样不符等不符前述要求的情形，发包人可拒绝验收和使用，并按限定时间运出施工场地，重新采购，承包人承担由此发生的费用，由此延误的工期不予顺延。</w:t>
      </w:r>
      <w:r/>
    </w:p>
    <w:p>
      <w:pPr>
        <w:pStyle w:val="831"/>
        <w:ind w:firstLine="480"/>
        <w:jc w:val="both"/>
        <w:spacing w:line="360" w:lineRule="auto"/>
        <w:rPr>
          <w:rFonts w:hint="eastAsia" w:ascii="宋体" w:hAnsi="宋体" w:cs="宋体"/>
          <w:color w:val="000000"/>
          <w:u w:val="single"/>
        </w:rPr>
      </w:pPr>
      <w:r>
        <w:rPr>
          <w:rFonts w:hint="eastAsia" w:ascii="宋体" w:hAnsi="宋体" w:cs="宋体"/>
          <w:color w:val="000000"/>
          <w:u w:val="single"/>
        </w:rPr>
        <w:t xml:space="preserve">本项目材料在招标时如有推荐品牌的按推荐品牌执行，如承包人选择推荐品牌外的产品，需经发包人书面盖章确认后方可使用，同时发包人有权要求更换为推荐品牌中任一品牌的同质产品，所报材料单价不调整。所有材料进场前必须取得发包人书面盖章确认的品牌、质量、款式和颜色后方可批量进场，否则一切后果由承包人自行承担。</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8.2样品</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样品的报送与封存</w:t>
      </w:r>
      <w:r/>
    </w:p>
    <w:p>
      <w:pPr>
        <w:pStyle w:val="831"/>
        <w:jc w:val="both"/>
        <w:spacing w:line="460" w:lineRule="exact"/>
        <w:rPr>
          <w:rFonts w:hint="eastAsia" w:ascii="宋体" w:hAnsi="宋体" w:cs="宋体"/>
          <w:color w:val="000000"/>
          <w:u w:val="single"/>
        </w:rPr>
      </w:pPr>
      <w:r>
        <w:rPr>
          <w:rFonts w:hint="eastAsia" w:ascii="宋体" w:hAnsi="宋体" w:cs="宋体"/>
          <w:color w:val="000000"/>
        </w:rPr>
        <w:t xml:space="preserve">需要承包人报送样品的材料或工程设备，样品的种类、名称、规格、数量要求：</w:t>
      </w:r>
      <w:r>
        <w:rPr>
          <w:rFonts w:hint="eastAsia" w:ascii="宋体" w:hAnsi="宋体" w:cs="宋体"/>
          <w:color w:val="000000"/>
          <w:u w:val="single"/>
        </w:rPr>
        <w:t xml:space="preserve">工程使用的所有材料，承包人须向发包人提供样板并经发包人、设计师及现场监理单位确认，发包人确认符合工程要求并批准后方可使用。如发生所供材料等与封样不符，发包人有权拒用，损失由承包人承担。</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8.3施工设备和临时设施</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承包人提供的施工设备和临时设施</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关于修建临时设施费用承担的约定：承包人确认已经</w:t>
      </w:r>
      <w:r>
        <w:rPr>
          <w:rFonts w:hint="eastAsia" w:ascii="宋体" w:hAnsi="宋体" w:cs="宋体"/>
          <w:color w:val="000000"/>
          <w:u w:val="single"/>
        </w:rPr>
        <w:t xml:space="preserve">计入投标报价中</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9.试验与检验</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9.1试验设备与试验人员</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施工现场需要配置的试验场所：</w:t>
      </w:r>
      <w:r>
        <w:rPr>
          <w:rFonts w:hint="eastAsia" w:ascii="宋体" w:hAnsi="宋体" w:cs="宋体"/>
          <w:color w:val="000000"/>
          <w:u w:val="single"/>
        </w:rPr>
        <w:t xml:space="preserve">无</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施工现场需要配备的试验设备：</w:t>
      </w:r>
      <w:r>
        <w:rPr>
          <w:rFonts w:hint="eastAsia" w:ascii="宋体" w:hAnsi="宋体" w:cs="宋体"/>
          <w:color w:val="000000"/>
          <w:u w:val="single"/>
        </w:rPr>
        <w:t xml:space="preserve">水准仪、测量仪等</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施工现场需要具备的其他试验条件：</w:t>
      </w:r>
      <w:r>
        <w:rPr>
          <w:rFonts w:hint="eastAsia" w:ascii="宋体" w:hAnsi="宋体" w:cs="宋体"/>
          <w:color w:val="000000"/>
          <w:u w:val="single"/>
        </w:rPr>
        <w:t xml:space="preserve">/</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9.2现场工艺试验</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现场工艺试验的有关约定：</w:t>
      </w:r>
      <w:r>
        <w:rPr>
          <w:rFonts w:hint="eastAsia" w:ascii="宋体" w:hAnsi="宋体" w:cs="宋体"/>
          <w:color w:val="000000"/>
          <w:u w:val="single"/>
        </w:rPr>
        <w:t xml:space="preserve">无</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10.变更</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10.1变更的范围</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关于变更的范围的约定：</w:t>
      </w:r>
      <w:r>
        <w:rPr>
          <w:rFonts w:hint="eastAsia" w:ascii="宋体" w:hAnsi="宋体" w:cs="宋体"/>
          <w:color w:val="000000"/>
          <w:u w:val="single"/>
        </w:rPr>
        <w:t xml:space="preserve">发包人认可经发包人审核、批准后的设计变更；发包人和监理方均认可经发包人和监理方审核、批准后的工程签证</w:t>
      </w:r>
      <w:r>
        <w:rPr>
          <w:rFonts w:hint="eastAsia" w:ascii="宋体" w:hAnsi="宋体" w:cs="宋体"/>
          <w:color w:val="000000"/>
        </w:rPr>
        <w:t xml:space="preserve">。</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10.2工程设计变更</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10.2.1</w:t>
      </w:r>
      <w:r>
        <w:rPr>
          <w:rFonts w:hint="eastAsia" w:ascii="宋体" w:hAnsi="宋体" w:cs="宋体"/>
          <w:color w:val="000000"/>
        </w:rPr>
        <w:t xml:space="preserve">发包人有可能根据工程需要修改施工图或发出指令增加或减少工程量，工程量不论增减多少，承包人均应无条件服从。承包人拒不接受和服从的，发包人有权单方解除合同、要求承包人无条件退场。</w:t>
      </w:r>
      <w:r>
        <w:rPr>
          <w:rFonts w:hint="eastAsia" w:ascii="宋体" w:hAnsi="宋体" w:cs="宋体"/>
          <w:color w:val="000000"/>
          <w:u w:val="single"/>
        </w:rPr>
        <w:t xml:space="preserve">施工中发包人需对原工程设计进行变更的，应提前 7 天以书面形式向承包人发出变更通知。承包人按照监理工程师发出的变更通知及有关要求，进行下列需要的变更：</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（1）更改工程有关部分的标高、基线、位置和尺寸；</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（2）增减合同中约定的工程量；</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（3）改变有关工程的施工时间和顺序；</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（4）其他有关工程变更需要的附加工作。</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因发包人变更导致延误的工期可相应顺延。</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10.2.2 施工中承包人不得对原工程设计进行变更。因承包人擅自变更设计发生的费用和由此导致发包人的直接损失，由承包人承担，延误的工期不予顺延。</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10.2.3 承包人在施工中提出的合理化建议涉及到对设计图纸或施工组织设计的更改及对材料、设备的换用，须经发包人、工程监理、跟踪审计三方同意。未经同意擅自更改或换用时，承包人承担由此发生的费用，并赔偿发包人的有关损失，延误的工期不予顺延。</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10.3其他变更</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10.3.1发包人保留变更或调整工程量的权力，承包人不得拒绝变更，更不得以变更为由提出不合理的要求；</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10.3.2承包人必须按发包人要求完成变更工作，若承包人拒不执行，经发包人书面催告后在【5】日内仍不纠正其行为的，发包人有权单方通知其解除合同，将本合同工程交由第三方承包商继续完成。届时，承包人须立即退场，并配合发包人就承包人已完成的工程量进行审计，发包人按最终审计审定价的【50】%与承包人结付工程款。同时，承包人还须按本合同签约合同价的【10】%向发包人支付违约金。</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10.3.3变更导致工期的顺延时间以监理工程师审核、发包人批准为准。</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10.3.4承包人提出的工程变更申请必须严格按照发包人规定的工程变更管理流程执行，涉及主体结构的变更内容必须经设计单位确认。</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 10.3.5设计单位出具的设计变更必须得到发包人的批准。承包人不得直接从设计单位取得设计变更，或者以贿赂等不正当手段影响本工程的设计师进行变更。否则，由此增加的工程费用由承包人承担，工期不予顺延。</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10.3.6针对工程量发生变化的隐蔽工程及发包人提出的对已完成的分项工程进行变更，承包人应在施工前将施工方案报发包人及监理工程师确认；对于有可能重复利用的材料设备，承包人应小心保护，属承包人拆除时未采取保护措施或拆除后保护不当的，由承包人负责赔偿损失。</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10.3.7办理签证时，变更、签证结算费用编制应按“一单一价”的原则，即每一份变更、签证附一份造价核定单。一份造价核定单上只能申报一项内容。签证原件1式4份，发包人二份、监理一份、承包人保留一份。</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10.3.8为避免签证出现混乱、重复结算，承包人在办理签证时必须明确每份签证的具体原因、施工部位、施工时间、签证的编号等，否则，该签证为无效签证。</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10.4确定变更价款</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10.4.1承包人在工程变更、现场签证确定后14天内，完成变更申报及签证手续，提出变更工程价款的报告，经须经发包人、工程监理、跟踪审计三方确认后调整合同价款。变更合同价款按下列方法进行：</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（1）合同中已有适用于变更工程的价格，按合同已有的价格变更合同价款；</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（2）合同中只有类似于变更工程的价格，可以参照类似价格变更合同价款；</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3）合同中没有适用或类似于变更工程的价格，按《江苏省市政工程计价表》等现行省计价表以及南京市建筑委员会关于贯彻执行《建设工程量清单计价规范》(GB50500-2013)的通知规定计算，按照承包人投标报价的取费和同等优惠率下浮；与投标报价时相同的材料单价按投标报价执行，没有的材料单价执行与南京工程造价管理同期的工程材料市场指导价格，指导价格中没有的，参照市场价（发包人承包人双方协商确定）；经监理、跟踪审计及发包人共同确认后执行。</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10.4.2承包人在双方确定变更、现场签证后14天内不向发包人提出变更程价款报告时，视为该项变更、签证不涉及合同价款的变更。</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10.4.3因承包人自身原因导致的工程变更，承包人无权要求追加合同价款。</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10.4.4不同金额的变更签证由发包人实行分级授权制度：</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（1）对于变更、签证计价及结算的约定：</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1）工程变更签证的审批程序：</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a、工程变更签证的情形发生后，承包人将工程变更签证报监理组初审，监理工程师在签证单上签署审核意见（如需现场计量，监理单位应提前24小时通知项目代表、跟踪审计咨询人员到场）；</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b、监理组初审批准后报发包人代表，由发包人代表将监理工程师初审批准的相关资料送跟踪审计咨询人员，跟踪审计咨询人员审核后在签证单上签署审核意见；</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c、项目代表根据监理工程师和跟踪审计咨询人员的审核意见，对所报资料进行审核，并按审批权限报相关领导批准后在签证单上签署审核意见。</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2）有效工程签证的认定原则：签证单上必须有发包人代表、跟踪审计咨询人员、监理工程师、承包人项目经理及项目部（项目经理签字、项目部盖章）四方的代表签字和单位盖章，方可作为竣工结算的依据；签证单上必须明确签证的原因、位置、尺寸、数量、材料、人工、机械台班、价格等和签证时间。</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3）关于临时用工的签证事项，双方应在签证通知单上协商确定以下问题：工作内容及工作量、工作时间、工作人数、取定的人工单价（是综合单价，已含管理费和利润）。</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4）当变更的工作内容完成之后，承包人要及时督促监理人员和发包人项目代表签字确认，对于隐蔽工程的签证，必须在覆盖前完成验收手续、工程量的确认和费用数额的报送手续，否则发包人可以不予支付相关款项。</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10.5变更估价</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变更估价原则</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关于变更估价的约定:</w:t>
      </w:r>
      <w:r>
        <w:rPr>
          <w:rFonts w:hint="eastAsia" w:ascii="宋体" w:hAnsi="宋体" w:cs="宋体"/>
          <w:color w:val="000000"/>
          <w:u w:val="single"/>
        </w:rPr>
        <w:t xml:space="preserve">因经发包人同意的设计变更，由承包人将工程量变更设计价款报送监理方和发包人（包括发包人委托的跟踪审计单位）审核，获得发包人书面盖章同意后，在工程结算审计时予以调整价款；由承包人提出的变更，承包人应编制变更依据，变更的工程量，变更的价款报设计方、监理方、发包人（包括发包人委托的跟踪审计单位）审核，获得发包人书面盖章同意后，变更价款按照14.竣工结算的约定在工程结算审计时予以调整</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10.6承包人的合理化建议</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监理人审查承包人合理化建议的期限：</w:t>
      </w:r>
      <w:r>
        <w:rPr>
          <w:rFonts w:hint="eastAsia" w:ascii="宋体" w:hAnsi="宋体" w:cs="宋体"/>
          <w:color w:val="000000"/>
          <w:u w:val="single"/>
        </w:rPr>
        <w:t xml:space="preserve">收到建议之日起3日</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发包人审批承包人合理化建议的期限：</w:t>
      </w:r>
      <w:r>
        <w:rPr>
          <w:rFonts w:hint="eastAsia" w:ascii="宋体" w:hAnsi="宋体" w:cs="宋体"/>
          <w:color w:val="000000"/>
          <w:u w:val="single"/>
        </w:rPr>
        <w:t xml:space="preserve">收到建议之日起3日</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承包人提出的合理化建议降低了合同价格或者提高了工程经济效益的奖励的方法和金额为：</w:t>
      </w:r>
      <w:r>
        <w:rPr>
          <w:rFonts w:hint="eastAsia" w:ascii="宋体" w:hAnsi="宋体" w:cs="宋体"/>
          <w:color w:val="000000"/>
          <w:u w:val="single"/>
        </w:rPr>
        <w:t xml:space="preserve">无</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10.7暂估价</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本项目无暂估价</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 0.7.1依法必须招标的暂估价项目</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对于依法必须招标的暂估价项目的确认和批准采取第</w:t>
      </w:r>
      <w:r>
        <w:rPr>
          <w:rFonts w:hint="eastAsia" w:ascii="宋体" w:hAnsi="宋体" w:cs="宋体"/>
          <w:color w:val="000000"/>
          <w:u w:val="single"/>
        </w:rPr>
        <w:t xml:space="preserve">/</w:t>
      </w:r>
      <w:r>
        <w:rPr>
          <w:rFonts w:hint="eastAsia" w:ascii="宋体" w:hAnsi="宋体" w:cs="宋体"/>
          <w:color w:val="000000"/>
        </w:rPr>
        <w:t xml:space="preserve">种方式确定。</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10.7.2不属于依法必须招标的暂估价项目</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对于不属于依法必须招标的暂估价项目的确认和批准采取第</w:t>
      </w:r>
      <w:r>
        <w:rPr>
          <w:rFonts w:hint="eastAsia" w:ascii="宋体" w:hAnsi="宋体" w:cs="宋体"/>
          <w:color w:val="000000"/>
          <w:u w:val="single"/>
        </w:rPr>
        <w:t xml:space="preserve"> / </w:t>
      </w:r>
      <w:r>
        <w:rPr>
          <w:rFonts w:hint="eastAsia" w:ascii="宋体" w:hAnsi="宋体" w:cs="宋体"/>
          <w:color w:val="000000"/>
        </w:rPr>
        <w:t xml:space="preserve">种方式确定。</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第3种方式：承包人直接实施的暂估价项目</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承包人直接实施的暂估价项目的约定：</w:t>
      </w:r>
      <w:r>
        <w:rPr>
          <w:rFonts w:hint="eastAsia" w:ascii="宋体" w:hAnsi="宋体" w:cs="宋体"/>
          <w:color w:val="000000"/>
          <w:u w:val="single"/>
        </w:rPr>
        <w:t xml:space="preserve">无</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10.8 暂列金额</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合同当事人关于暂列金额使用的约定：</w:t>
      </w:r>
      <w:r>
        <w:rPr>
          <w:rFonts w:hint="eastAsia" w:ascii="宋体" w:hAnsi="宋体" w:cs="宋体"/>
          <w:color w:val="000000"/>
          <w:u w:val="single"/>
        </w:rPr>
        <w:t xml:space="preserve">暂列金额应按照发包人的要求使用</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11.价格调整</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11.1市场价格波动引起的调整</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市场价格波动是否调整合同价格的约定：</w:t>
      </w:r>
      <w:r>
        <w:rPr>
          <w:rFonts w:hint="eastAsia" w:ascii="宋体" w:hAnsi="宋体" w:cs="宋体"/>
          <w:color w:val="000000"/>
          <w:u w:val="single"/>
        </w:rPr>
        <w:t xml:space="preserve">不调整</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因市场价格波动调整合同价格，采用以下第</w:t>
      </w:r>
      <w:r>
        <w:rPr>
          <w:rFonts w:hint="eastAsia" w:ascii="宋体" w:hAnsi="宋体" w:cs="宋体"/>
          <w:color w:val="000000"/>
          <w:u w:val="single"/>
        </w:rPr>
        <w:t xml:space="preserve">/</w:t>
      </w:r>
      <w:r>
        <w:rPr>
          <w:rFonts w:hint="eastAsia" w:ascii="宋体" w:hAnsi="宋体" w:cs="宋体"/>
          <w:color w:val="000000"/>
        </w:rPr>
        <w:t xml:space="preserve">种方式对合同价格进行调整：</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第1种方式：采用价格指数进行价格调整。</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关于各可调因子、定值和变值权重，以及基本价格指数及其来源的约定：</w:t>
      </w:r>
      <w:r>
        <w:rPr>
          <w:rFonts w:hint="eastAsia" w:ascii="宋体" w:hAnsi="宋体" w:cs="宋体"/>
          <w:color w:val="000000"/>
          <w:u w:val="single"/>
        </w:rPr>
        <w:t xml:space="preserve"> / </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第2种方式：采用造价信息进行价格调整。</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12.合同价格、计量与支付</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12.1合同价格形式</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1、单价合同：</w:t>
      </w:r>
      <w:r/>
    </w:p>
    <w:p>
      <w:pPr>
        <w:pStyle w:val="831"/>
        <w:jc w:val="both"/>
        <w:spacing w:line="360" w:lineRule="auto"/>
        <w:rPr>
          <w:rFonts w:hint="eastAsia" w:ascii="宋体" w:hAnsi="宋体" w:cs="宋体"/>
          <w:color w:val="000000"/>
        </w:rPr>
      </w:pPr>
      <w:r>
        <w:rPr>
          <w:rFonts w:hint="eastAsia" w:ascii="宋体" w:hAnsi="宋体" w:cs="宋体"/>
          <w:color w:val="000000"/>
        </w:rPr>
        <w:t xml:space="preserve">综合单价包含的风险范围：</w:t>
      </w:r>
      <w:r>
        <w:rPr>
          <w:rFonts w:hint="eastAsia" w:ascii="宋体" w:hAnsi="宋体" w:cs="宋体"/>
          <w:color w:val="000000"/>
          <w:u w:val="single"/>
        </w:rPr>
        <w:t xml:space="preserve">已包含所有风险</w:t>
      </w:r>
      <w:r>
        <w:rPr>
          <w:rFonts w:hint="eastAsia" w:ascii="宋体" w:hAnsi="宋体" w:cs="宋体"/>
          <w:color w:val="000000"/>
        </w:rPr>
        <w:t xml:space="preserve">。</w:t>
      </w:r>
      <w:r/>
    </w:p>
    <w:p>
      <w:pPr>
        <w:pStyle w:val="831"/>
        <w:jc w:val="both"/>
        <w:spacing w:line="360" w:lineRule="auto"/>
        <w:rPr>
          <w:rFonts w:hint="eastAsia" w:ascii="宋体" w:hAnsi="宋体" w:cs="宋体"/>
          <w:color w:val="000000"/>
        </w:rPr>
      </w:pPr>
      <w:r>
        <w:rPr>
          <w:rFonts w:hint="eastAsia" w:ascii="宋体" w:hAnsi="宋体" w:cs="宋体"/>
          <w:color w:val="000000"/>
        </w:rPr>
        <w:t xml:space="preserve">风险费用的计算方法：</w:t>
      </w:r>
      <w:r>
        <w:rPr>
          <w:rFonts w:hint="eastAsia" w:ascii="宋体" w:hAnsi="宋体" w:cs="宋体"/>
          <w:color w:val="000000"/>
          <w:u w:val="single"/>
        </w:rPr>
        <w:t xml:space="preserve">风险费用已包含在报价中，不予调整</w:t>
      </w:r>
      <w:r>
        <w:rPr>
          <w:rFonts w:hint="eastAsia" w:ascii="宋体" w:hAnsi="宋体" w:cs="宋体"/>
          <w:color w:val="000000"/>
        </w:rPr>
        <w:t xml:space="preserve">。</w:t>
      </w:r>
      <w:r/>
    </w:p>
    <w:p>
      <w:pPr>
        <w:pStyle w:val="831"/>
        <w:jc w:val="both"/>
        <w:spacing w:line="360" w:lineRule="auto"/>
        <w:rPr>
          <w:rFonts w:hint="eastAsia" w:ascii="宋体" w:hAnsi="宋体" w:cs="宋体"/>
          <w:color w:val="000000"/>
          <w:u w:val="single"/>
        </w:rPr>
      </w:pPr>
      <w:r>
        <w:rPr>
          <w:rFonts w:hint="eastAsia" w:ascii="宋体" w:hAnsi="宋体" w:cs="宋体"/>
          <w:color w:val="000000"/>
        </w:rPr>
        <w:t xml:space="preserve">风险范围以外合同价格的调整方法：</w:t>
      </w:r>
      <w:r>
        <w:rPr>
          <w:rFonts w:hint="eastAsia" w:ascii="宋体" w:hAnsi="宋体" w:cs="宋体"/>
          <w:color w:val="000000"/>
          <w:u w:val="single"/>
        </w:rPr>
        <w:t xml:space="preserve">①工程设计变更及签证以及发包人另行委托施工的追加的工程，结算时必须提供</w:t>
      </w:r>
      <w:r>
        <w:rPr>
          <w:rFonts w:hint="eastAsia" w:ascii="宋体" w:hAnsi="宋体" w:cs="宋体"/>
          <w:color w:val="000000"/>
          <w:u w:val="single"/>
        </w:rPr>
        <w:t xml:space="preserve">经发包人、监理等有关各方共同签字盖章的确认单，按照承包人的投标报价和取费标准，在工程竣工后进行结算。具体对设计变更、签证部分的结算方法双方约定如下:①合同中已有的适用于变更工程的价格，按合同已有价格结算，变更合同价款；②合同中有类似于变更工程价格的，可参照此价格确定变更合同价款；③合同中没有适用或类似于变更工程价格，具体计算方法依据江苏省计价表内人工、机械、材料的消耗量，人工、机械单价依据承包人投标书相应单价，材料单价按同期市场价格定价；管理费、利润按承包人投标书相应分部工程的相应比例，在工程竣工后进行结算</w:t>
      </w:r>
      <w:r>
        <w:rPr>
          <w:rFonts w:hint="eastAsia" w:ascii="宋体" w:hAnsi="宋体" w:cs="宋体"/>
          <w:b/>
          <w:color w:val="000000"/>
        </w:rPr>
        <w:t xml:space="preserve">。</w:t>
      </w:r>
      <w:r>
        <w:rPr>
          <w:rFonts w:hint="eastAsia" w:ascii="宋体" w:hAnsi="宋体" w:cs="宋体"/>
          <w:color w:val="000000"/>
          <w:u w:val="single"/>
        </w:rPr>
      </w:r>
      <w:r/>
    </w:p>
    <w:p>
      <w:pPr>
        <w:pStyle w:val="831"/>
        <w:jc w:val="both"/>
        <w:spacing w:line="460" w:lineRule="exact"/>
        <w:rPr>
          <w:rFonts w:hint="eastAsia" w:ascii="宋体" w:hAnsi="宋体" w:cs="宋体"/>
          <w:color w:val="000000"/>
        </w:rPr>
      </w:pPr>
      <w:r>
        <w:rPr>
          <w:rFonts w:hint="eastAsia" w:ascii="宋体" w:hAnsi="宋体" w:cs="宋体"/>
          <w:color w:val="000000"/>
        </w:rPr>
        <w:t xml:space="preserve">2、总价合同。</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总价包含的风险范围：</w:t>
      </w:r>
      <w:r>
        <w:rPr>
          <w:rFonts w:hint="eastAsia" w:ascii="宋体" w:hAnsi="宋体" w:cs="宋体"/>
          <w:color w:val="000000"/>
          <w:u w:val="single"/>
        </w:rPr>
        <w:t xml:space="preserve">/</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风险费用的计算方法：</w:t>
      </w:r>
      <w:r>
        <w:rPr>
          <w:rFonts w:hint="eastAsia" w:ascii="宋体" w:hAnsi="宋体" w:cs="宋体"/>
          <w:color w:val="000000"/>
          <w:u w:val="single"/>
        </w:rPr>
        <w:t xml:space="preserve">/</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风险范围以外合同价格的调整方法：</w:t>
      </w:r>
      <w:r>
        <w:rPr>
          <w:rFonts w:hint="eastAsia" w:ascii="宋体" w:hAnsi="宋体" w:cs="宋体"/>
          <w:color w:val="000000"/>
          <w:u w:val="single"/>
        </w:rPr>
        <w:t xml:space="preserve">/</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3、其他价格方式：</w:t>
      </w:r>
      <w:r>
        <w:rPr>
          <w:rFonts w:hint="eastAsia" w:ascii="宋体" w:hAnsi="宋体" w:cs="宋体"/>
          <w:color w:val="000000"/>
          <w:u w:val="single"/>
        </w:rPr>
        <w:t xml:space="preserve">/</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12.2 预付款</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12.2.1 预付款的支付</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预付款支付比例或金额：</w:t>
      </w:r>
      <w:r>
        <w:rPr>
          <w:rFonts w:hint="eastAsia" w:ascii="宋体" w:hAnsi="宋体" w:cs="宋体"/>
          <w:color w:val="000000"/>
          <w:u w:val="single"/>
        </w:rPr>
        <w:t xml:space="preserve">无</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预付款支付期限：</w:t>
      </w:r>
      <w:r>
        <w:rPr>
          <w:rFonts w:hint="eastAsia" w:ascii="宋体" w:hAnsi="宋体" w:cs="宋体"/>
          <w:color w:val="000000"/>
          <w:u w:val="single"/>
        </w:rPr>
        <w:t xml:space="preserve">/</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预付款扣回的方式：</w:t>
      </w:r>
      <w:r>
        <w:rPr>
          <w:rFonts w:hint="eastAsia" w:ascii="宋体" w:hAnsi="宋体" w:cs="宋体"/>
          <w:color w:val="000000"/>
          <w:u w:val="single"/>
        </w:rPr>
        <w:t xml:space="preserve">/</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12.2.2 预付款担保</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承包人提交预付款担保的期限：</w:t>
      </w:r>
      <w:r>
        <w:rPr>
          <w:rFonts w:hint="eastAsia" w:ascii="宋体" w:hAnsi="宋体" w:cs="宋体"/>
          <w:color w:val="000000"/>
          <w:u w:val="single"/>
        </w:rPr>
        <w:t xml:space="preserve">/</w:t>
      </w:r>
      <w:r>
        <w:rPr>
          <w:rFonts w:hint="eastAsia" w:ascii="宋体" w:hAnsi="宋体" w:cs="宋体"/>
          <w:color w:val="000000"/>
        </w:rPr>
        <w:t xml:space="preserve">。</w:t>
      </w:r>
      <w:r/>
    </w:p>
    <w:p>
      <w:pPr>
        <w:pStyle w:val="831"/>
        <w:jc w:val="both"/>
        <w:rPr>
          <w:rFonts w:hint="eastAsia" w:ascii="宋体" w:hAnsi="宋体" w:cs="宋体"/>
          <w:color w:val="000000"/>
        </w:rPr>
      </w:pPr>
      <w:r>
        <w:rPr>
          <w:rFonts w:hint="eastAsia" w:ascii="宋体" w:hAnsi="宋体" w:cs="宋体"/>
          <w:color w:val="000000"/>
        </w:rPr>
        <w:t xml:space="preserve">预付款担保的形式为：</w:t>
      </w:r>
      <w:r>
        <w:rPr>
          <w:rFonts w:hint="eastAsia" w:ascii="宋体" w:hAnsi="宋体" w:cs="宋体"/>
          <w:color w:val="000000"/>
          <w:u w:val="single"/>
        </w:rPr>
        <w:t xml:space="preserve">/</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12.3 计量</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12.3.1 计量原则</w:t>
      </w:r>
      <w:r/>
    </w:p>
    <w:p>
      <w:pPr>
        <w:pStyle w:val="831"/>
        <w:jc w:val="both"/>
        <w:spacing w:line="360" w:lineRule="auto"/>
        <w:rPr>
          <w:rFonts w:hint="eastAsia" w:ascii="宋体" w:hAnsi="宋体" w:cs="宋体"/>
          <w:color w:val="000000"/>
          <w:u w:val="single"/>
        </w:rPr>
      </w:pPr>
      <w:r>
        <w:rPr>
          <w:rFonts w:hint="eastAsia" w:ascii="宋体" w:hAnsi="宋体" w:cs="宋体"/>
          <w:color w:val="000000"/>
        </w:rPr>
        <w:t xml:space="preserve">工程量计算规则：</w:t>
      </w:r>
      <w:r>
        <w:rPr>
          <w:rFonts w:hint="eastAsia" w:ascii="宋体" w:hAnsi="宋体" w:cs="宋体"/>
          <w:color w:val="000000"/>
          <w:u w:val="single"/>
        </w:rPr>
      </w:r>
      <w:r/>
    </w:p>
    <w:p>
      <w:pPr>
        <w:pStyle w:val="831"/>
        <w:jc w:val="both"/>
        <w:spacing w:line="360" w:lineRule="auto"/>
        <w:rPr>
          <w:rFonts w:hint="eastAsia" w:ascii="宋体" w:hAnsi="宋体" w:cs="宋体"/>
          <w:color w:val="000000"/>
          <w:u w:val="single"/>
        </w:rPr>
      </w:pPr>
      <w:r>
        <w:rPr>
          <w:rFonts w:hint="eastAsia" w:ascii="宋体" w:hAnsi="宋体" w:cs="宋体"/>
          <w:color w:val="000000"/>
          <w:u w:val="single"/>
        </w:rPr>
        <w:t xml:space="preserve">工程量计量按照合同约定的工程量计算规则、图纸及变更指示等进行计量。工程量计算规则应以相关的国家标准、行业标准等为依据，由合同当事人在专用合同条款中约定。</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12.3.2计量周期</w:t>
      </w:r>
      <w:r/>
    </w:p>
    <w:p>
      <w:pPr>
        <w:pStyle w:val="831"/>
        <w:jc w:val="both"/>
        <w:spacing w:line="460" w:lineRule="exact"/>
        <w:rPr>
          <w:rFonts w:hint="eastAsia" w:ascii="宋体" w:hAnsi="宋体" w:cs="宋体"/>
          <w:color w:val="000000"/>
          <w:u w:val="single"/>
        </w:rPr>
      </w:pPr>
      <w:r>
        <w:rPr>
          <w:rFonts w:hint="eastAsia" w:ascii="宋体" w:hAnsi="宋体" w:cs="宋体"/>
          <w:color w:val="000000"/>
        </w:rPr>
        <w:t xml:space="preserve">关于计量周期的约定：</w:t>
      </w:r>
      <w:r>
        <w:rPr>
          <w:rFonts w:hint="eastAsia" w:ascii="宋体" w:hAnsi="宋体" w:cs="宋体"/>
          <w:color w:val="000000"/>
          <w:u w:val="single"/>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12.3.3单价合同的计量</w:t>
      </w:r>
      <w:r/>
    </w:p>
    <w:p>
      <w:pPr>
        <w:pStyle w:val="831"/>
        <w:jc w:val="both"/>
        <w:spacing w:line="360" w:lineRule="auto"/>
        <w:rPr>
          <w:rFonts w:hint="eastAsia" w:ascii="宋体" w:hAnsi="宋体" w:cs="宋体"/>
          <w:color w:val="000000"/>
          <w:u w:val="single"/>
        </w:rPr>
      </w:pPr>
      <w:r>
        <w:rPr>
          <w:rFonts w:hint="eastAsia" w:ascii="宋体" w:hAnsi="宋体" w:cs="宋体"/>
          <w:color w:val="000000"/>
        </w:rPr>
        <w:t xml:space="preserve">关于单价合同计量的约定：</w:t>
      </w:r>
      <w:r>
        <w:rPr>
          <w:rFonts w:hint="eastAsia" w:ascii="宋体" w:hAnsi="宋体" w:cs="宋体"/>
          <w:color w:val="000000"/>
          <w:u w:val="single"/>
        </w:rPr>
      </w:r>
      <w:r/>
    </w:p>
    <w:p>
      <w:pPr>
        <w:pStyle w:val="831"/>
        <w:jc w:val="both"/>
        <w:spacing w:line="360" w:lineRule="auto"/>
        <w:rPr>
          <w:rFonts w:hint="eastAsia" w:ascii="宋体" w:hAnsi="宋体" w:cs="宋体"/>
          <w:color w:val="000000"/>
          <w:u w:val="single"/>
        </w:rPr>
      </w:pPr>
      <w:r>
        <w:rPr>
          <w:rFonts w:hint="eastAsia" w:ascii="宋体" w:hAnsi="宋体" w:cs="宋体"/>
          <w:color w:val="000000"/>
          <w:u w:val="single"/>
        </w:rPr>
        <w:t xml:space="preserve">除专用合同条款另有约定外，单价合同的计量按照本项约定执行：</w:t>
      </w:r>
      <w:r/>
    </w:p>
    <w:p>
      <w:pPr>
        <w:pStyle w:val="831"/>
        <w:jc w:val="both"/>
        <w:spacing w:line="360" w:lineRule="auto"/>
        <w:rPr>
          <w:rFonts w:hint="eastAsia" w:ascii="宋体" w:hAnsi="宋体" w:cs="宋体"/>
          <w:color w:val="000000"/>
          <w:u w:val="single"/>
        </w:rPr>
      </w:pPr>
      <w:r>
        <w:rPr>
          <w:rFonts w:hint="eastAsia" w:ascii="宋体" w:hAnsi="宋体" w:cs="宋体"/>
          <w:color w:val="000000"/>
          <w:u w:val="single"/>
        </w:rPr>
        <w:t xml:space="preserve">（1）承包人应于每月25日向监理人报送上月20日至当月19日已完成的工程量报告，并附具进度付款申请单、已完成工程量报表和有关资料。</w:t>
      </w:r>
      <w:r/>
    </w:p>
    <w:p>
      <w:pPr>
        <w:pStyle w:val="831"/>
        <w:jc w:val="both"/>
        <w:spacing w:line="360" w:lineRule="auto"/>
        <w:rPr>
          <w:rFonts w:hint="eastAsia" w:ascii="宋体" w:hAnsi="宋体" w:cs="宋体"/>
          <w:color w:val="000000"/>
          <w:u w:val="single"/>
        </w:rPr>
      </w:pPr>
      <w:r>
        <w:rPr>
          <w:rFonts w:hint="eastAsia" w:ascii="宋体" w:hAnsi="宋体" w:cs="宋体"/>
          <w:color w:val="000000"/>
          <w:u w:val="singl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pStyle w:val="831"/>
        <w:jc w:val="both"/>
        <w:spacing w:line="360" w:lineRule="auto"/>
        <w:rPr>
          <w:rFonts w:hint="eastAsia" w:ascii="宋体" w:hAnsi="宋体" w:cs="宋体"/>
          <w:color w:val="000000"/>
          <w:u w:val="single"/>
        </w:rPr>
      </w:pPr>
      <w:r>
        <w:rPr>
          <w:rFonts w:hint="eastAsia" w:ascii="宋体" w:hAnsi="宋体" w:cs="宋体"/>
          <w:color w:val="000000"/>
          <w:u w:val="single"/>
        </w:rPr>
        <w:t xml:space="preserve">（3）监理人和发包人未在收到承包人提交的工程量报表后的14天内完成审核的，承包人报送的工程量报告中的工程量视为承包人实际完成的工程量，据此计算工程价款。</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12.3.4总价合同的计量</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关于总价合同计量的约定：</w:t>
      </w:r>
      <w:r>
        <w:rPr>
          <w:rFonts w:hint="eastAsia" w:ascii="宋体" w:hAnsi="宋体" w:cs="宋体"/>
          <w:color w:val="000000"/>
          <w:u w:val="single"/>
        </w:rPr>
        <w:t xml:space="preserve">不采用</w:t>
      </w:r>
      <w:r>
        <w:rPr>
          <w:rFonts w:hint="eastAsia" w:ascii="宋体" w:hAnsi="宋体" w:cs="宋体"/>
          <w:color w:val="000000"/>
        </w:rPr>
        <w:t xml:space="preserve">。</w:t>
      </w:r>
      <w:r/>
    </w:p>
    <w:p>
      <w:pPr>
        <w:pStyle w:val="831"/>
        <w:jc w:val="both"/>
        <w:spacing w:line="360" w:lineRule="auto"/>
        <w:rPr>
          <w:rFonts w:hint="eastAsia" w:ascii="宋体" w:hAnsi="宋体" w:cs="宋体"/>
          <w:color w:val="000000"/>
        </w:rPr>
      </w:pPr>
      <w:r>
        <w:rPr>
          <w:rFonts w:hint="eastAsia" w:ascii="宋体" w:hAnsi="宋体" w:cs="宋体"/>
          <w:color w:val="000000"/>
        </w:rPr>
        <w:t xml:space="preserve">12.3.5总价合同采用支付分解表计量支付的，是否适用第12.3.4 项〔总价合同的计量〕约定进行计量：</w:t>
      </w:r>
      <w:r>
        <w:rPr>
          <w:rFonts w:hint="eastAsia" w:ascii="宋体" w:hAnsi="宋体" w:cs="宋体"/>
          <w:color w:val="000000"/>
          <w:u w:val="single"/>
        </w:rPr>
        <w:t xml:space="preserve"> / </w:t>
      </w:r>
      <w:r>
        <w:rPr>
          <w:rFonts w:hint="eastAsia" w:ascii="宋体" w:hAnsi="宋体" w:cs="宋体"/>
          <w:color w:val="000000"/>
        </w:rPr>
        <w:t xml:space="preserve">。</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12.3.6其他价格形式合同的计量</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其他价格形式的计量方式和程序：</w:t>
      </w:r>
      <w:r>
        <w:rPr>
          <w:rFonts w:hint="eastAsia" w:ascii="宋体" w:hAnsi="宋体" w:cs="宋体"/>
          <w:color w:val="000000"/>
          <w:u w:val="single"/>
        </w:rPr>
        <w:t xml:space="preserve"> / </w:t>
      </w:r>
      <w:r>
        <w:rPr>
          <w:rFonts w:hint="eastAsia" w:ascii="宋体" w:hAnsi="宋体" w:cs="宋体"/>
          <w:color w:val="000000"/>
        </w:rPr>
        <w:t xml:space="preserve">。</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12.4工程进度款支付</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12.4.1付款周期</w:t>
      </w:r>
      <w:r/>
    </w:p>
    <w:p>
      <w:pPr>
        <w:pStyle w:val="831"/>
        <w:ind w:firstLine="420"/>
        <w:jc w:val="both"/>
        <w:spacing w:line="315" w:lineRule="exact"/>
        <w:rPr>
          <w:color w:val="000000"/>
          <w:u w:val="single"/>
        </w:rPr>
      </w:pPr>
      <w:r>
        <w:rPr>
          <w:rFonts w:ascii="宋体" w:hAnsi="宋体" w:eastAsia="宋体" w:cs="宋体"/>
          <w:color w:val="000000"/>
          <w:u w:val="single"/>
        </w:rPr>
        <w:t xml:space="preserve">本项目无预付款。合同签定，工程竣工验收合格后付至合同总价的80％；审计结束后付至审定价（扣除审计费）的97％；其余3％为质保金，质保期满无质量问题后30个工作日内无息付清，审计费按校审计相关规定执行。</w:t>
      </w:r>
      <w:r>
        <w:rPr>
          <w:color w:val="000000"/>
          <w:u w:val="single"/>
        </w:rPr>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12.4.2 进度付款申请单的编制</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关于进度付款申请单编制的约定：</w:t>
      </w:r>
      <w:r>
        <w:rPr>
          <w:rFonts w:hint="eastAsia" w:ascii="宋体" w:hAnsi="宋体" w:cs="宋体"/>
          <w:color w:val="000000"/>
          <w:u w:val="single"/>
        </w:rPr>
        <w:t xml:space="preserve">按通用条款执行</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12.4.3 进度付款申请单的提交</w:t>
      </w:r>
      <w:r/>
    </w:p>
    <w:p>
      <w:pPr>
        <w:pStyle w:val="831"/>
        <w:jc w:val="both"/>
        <w:spacing w:line="460" w:lineRule="exact"/>
        <w:rPr>
          <w:rFonts w:hint="eastAsia" w:ascii="宋体" w:hAnsi="宋体" w:cs="宋体"/>
          <w:color w:val="000000"/>
          <w:u w:val="single"/>
        </w:rPr>
      </w:pPr>
      <w:r>
        <w:rPr>
          <w:rFonts w:hint="eastAsia" w:ascii="宋体" w:hAnsi="宋体" w:cs="宋体"/>
          <w:color w:val="000000"/>
        </w:rPr>
        <w:t xml:space="preserve">（1）单价合同进度付款申请单提交的约定：</w:t>
      </w:r>
      <w:r>
        <w:rPr>
          <w:rFonts w:hint="eastAsia" w:ascii="宋体" w:hAnsi="宋体" w:cs="宋体"/>
          <w:color w:val="000000"/>
          <w:u w:val="single"/>
        </w:rPr>
        <w:t xml:space="preserve">所有工程款支付均须有发包人、监理、跟踪审计三方代表签字确认工作量和付款意见后，发包人才予办理工程款支付的手续；</w:t>
      </w:r>
      <w:r/>
    </w:p>
    <w:p>
      <w:pPr>
        <w:pStyle w:val="831"/>
        <w:jc w:val="both"/>
        <w:spacing w:line="460" w:lineRule="exact"/>
        <w:rPr>
          <w:rFonts w:hint="eastAsia" w:ascii="宋体" w:hAnsi="宋体" w:cs="宋体"/>
          <w:color w:val="000000"/>
        </w:rPr>
      </w:pPr>
      <w:r>
        <w:rPr>
          <w:rFonts w:hint="eastAsia" w:ascii="宋体" w:hAnsi="宋体" w:cs="宋体"/>
          <w:color w:val="000000"/>
          <w:u w:val="single"/>
        </w:rPr>
        <w:t xml:space="preserve">所有合同外增加的工作内容和工程变更调整的价款，一律不作为进度款支付的计算基数，须待竣工结算审计后与工程款结算款同期支付</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（2）总价合同进度付款申请单提交的约定：</w:t>
      </w:r>
      <w:r>
        <w:rPr>
          <w:rFonts w:hint="eastAsia" w:ascii="宋体" w:hAnsi="宋体" w:cs="宋体"/>
          <w:color w:val="000000"/>
          <w:u w:val="single"/>
        </w:rPr>
        <w:t xml:space="preserve"> / </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（3）其他价格形式合同进度付款申请单提交的约定：</w:t>
      </w:r>
      <w:r>
        <w:rPr>
          <w:rFonts w:hint="eastAsia" w:ascii="宋体" w:hAnsi="宋体" w:cs="宋体"/>
          <w:color w:val="000000"/>
          <w:u w:val="single"/>
        </w:rPr>
        <w:t xml:space="preserve"> / </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12.4.4 进度款审核和支付</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（1）监理人审查并报送发包人的期限：</w:t>
      </w:r>
      <w:r>
        <w:rPr>
          <w:rFonts w:hint="eastAsia" w:ascii="宋体" w:hAnsi="宋体" w:cs="宋体"/>
          <w:color w:val="000000"/>
          <w:u w:val="single"/>
        </w:rPr>
        <w:t xml:space="preserve">按专用条款执行</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发包人完成审批并签发进度款支付证书的期限：</w:t>
      </w:r>
      <w:r>
        <w:rPr>
          <w:rFonts w:hint="eastAsia" w:ascii="宋体" w:hAnsi="宋体" w:cs="宋体"/>
          <w:color w:val="000000"/>
          <w:u w:val="single"/>
        </w:rPr>
        <w:t xml:space="preserve">按专用条款执行</w:t>
      </w:r>
      <w:r>
        <w:rPr>
          <w:rFonts w:hint="eastAsia" w:ascii="宋体" w:hAnsi="宋体" w:cs="宋体"/>
          <w:color w:val="000000"/>
        </w:rPr>
        <w:t xml:space="preserve">。</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（2）发包人支付进度款的期限：</w:t>
      </w:r>
      <w:r>
        <w:rPr>
          <w:rFonts w:hint="eastAsia" w:ascii="宋体" w:hAnsi="宋体" w:cs="宋体"/>
          <w:color w:val="000000"/>
          <w:u w:val="single"/>
        </w:rPr>
        <w:t xml:space="preserve">按专用条款执行</w:t>
      </w:r>
      <w:r>
        <w:rPr>
          <w:rFonts w:hint="eastAsia" w:ascii="宋体" w:hAnsi="宋体" w:cs="宋体"/>
          <w:color w:val="000000"/>
        </w:rPr>
        <w:t xml:space="preserve">。</w:t>
      </w:r>
      <w:r/>
    </w:p>
    <w:p>
      <w:pPr>
        <w:pStyle w:val="831"/>
        <w:jc w:val="both"/>
        <w:spacing w:line="440" w:lineRule="exact"/>
        <w:rPr>
          <w:rFonts w:hint="eastAsia" w:ascii="宋体" w:hAnsi="宋体" w:cs="宋体"/>
          <w:color w:val="000000"/>
          <w:u w:val="single"/>
        </w:rPr>
      </w:pPr>
      <w:r>
        <w:rPr>
          <w:rFonts w:hint="eastAsia" w:ascii="宋体" w:hAnsi="宋体" w:cs="宋体"/>
          <w:color w:val="000000"/>
        </w:rPr>
        <w:t xml:space="preserve">发包人逾期支付进度款的违约金的计算方式：</w:t>
      </w:r>
      <w:r>
        <w:rPr>
          <w:rFonts w:hint="eastAsia" w:ascii="宋体" w:hAnsi="宋体" w:cs="宋体"/>
          <w:color w:val="000000"/>
          <w:u w:val="single"/>
        </w:rPr>
      </w:r>
      <w:r/>
    </w:p>
    <w:p>
      <w:pPr>
        <w:pStyle w:val="831"/>
        <w:jc w:val="both"/>
        <w:spacing w:line="440" w:lineRule="exact"/>
        <w:rPr>
          <w:rFonts w:hint="eastAsia" w:ascii="宋体" w:hAnsi="宋体" w:cs="宋体"/>
          <w:color w:val="000000"/>
          <w:u w:val="single"/>
        </w:rPr>
      </w:pPr>
      <w:r>
        <w:rPr>
          <w:rFonts w:hint="eastAsia" w:ascii="宋体" w:hAnsi="宋体" w:cs="宋体"/>
          <w:color w:val="000000"/>
          <w:u w:val="single"/>
        </w:rPr>
        <w:t xml:space="preserve">按同期全国银行间同业拆借中心公布的贷款市场报价利率计算。承包人理解发包人高校财务付款制度的特殊性，自愿放弃违约金主张。</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12.4.5支付分解表的编制</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（1）总价合同支付分解表的编制与审批：</w:t>
      </w:r>
      <w:r>
        <w:rPr>
          <w:rFonts w:hint="eastAsia" w:ascii="宋体" w:hAnsi="宋体" w:cs="宋体"/>
          <w:color w:val="000000"/>
          <w:u w:val="single"/>
        </w:rPr>
        <w:t xml:space="preserve">不采用</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（2）单价合同的总价项目支付分解表的编制与审批：</w:t>
      </w:r>
      <w:r>
        <w:rPr>
          <w:rFonts w:hint="eastAsia" w:ascii="宋体" w:hAnsi="宋体" w:cs="宋体"/>
          <w:color w:val="000000"/>
          <w:u w:val="single"/>
        </w:rPr>
        <w:t xml:space="preserve">不采用</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13.验收和工程试车</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13.1分部分项工程验收</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监理人不能按时进行验收时，应提前</w:t>
      </w:r>
      <w:r>
        <w:rPr>
          <w:rFonts w:hint="eastAsia" w:ascii="宋体" w:hAnsi="宋体" w:cs="宋体"/>
          <w:color w:val="000000"/>
          <w:u w:val="single"/>
        </w:rPr>
        <w:t xml:space="preserve"> 24</w:t>
      </w:r>
      <w:r>
        <w:rPr>
          <w:rFonts w:hint="eastAsia" w:ascii="宋体" w:hAnsi="宋体" w:cs="宋体"/>
          <w:color w:val="000000"/>
        </w:rPr>
        <w:t xml:space="preserve">小时提交书面延期要求。</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关于延期最长不得超过：</w:t>
      </w:r>
      <w:r>
        <w:rPr>
          <w:rFonts w:hint="eastAsia" w:ascii="宋体" w:hAnsi="宋体" w:cs="宋体"/>
          <w:color w:val="000000"/>
          <w:u w:val="single"/>
        </w:rPr>
        <w:t xml:space="preserve"> 48 </w:t>
      </w:r>
      <w:r>
        <w:rPr>
          <w:rFonts w:hint="eastAsia" w:ascii="宋体" w:hAnsi="宋体" w:cs="宋体"/>
          <w:color w:val="000000"/>
        </w:rPr>
        <w:t xml:space="preserve">小时。</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13.2竣工验收</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13.2.1竣工验收程序</w:t>
      </w:r>
      <w:r/>
    </w:p>
    <w:p>
      <w:pPr>
        <w:pStyle w:val="831"/>
        <w:jc w:val="both"/>
        <w:spacing w:line="360" w:lineRule="auto"/>
        <w:rPr>
          <w:rFonts w:hint="eastAsia" w:ascii="宋体" w:hAnsi="宋体" w:cs="宋体"/>
          <w:color w:val="000000"/>
        </w:rPr>
      </w:pPr>
      <w:r>
        <w:rPr>
          <w:rFonts w:hint="eastAsia" w:ascii="宋体" w:hAnsi="宋体" w:cs="宋体"/>
          <w:color w:val="000000"/>
        </w:rPr>
        <w:t xml:space="preserve">关于竣工验收程序的约定：</w:t>
      </w:r>
      <w:r/>
    </w:p>
    <w:p>
      <w:pPr>
        <w:pStyle w:val="831"/>
        <w:jc w:val="both"/>
        <w:spacing w:line="360" w:lineRule="auto"/>
        <w:rPr>
          <w:rFonts w:hint="eastAsia" w:ascii="宋体" w:hAnsi="宋体" w:cs="宋体"/>
          <w:color w:val="000000"/>
        </w:rPr>
      </w:pPr>
      <w:r>
        <w:rPr>
          <w:rFonts w:hint="eastAsia" w:ascii="宋体" w:hAnsi="宋体" w:cs="宋体"/>
          <w:color w:val="000000"/>
        </w:rPr>
        <w:t xml:space="preserve">（1）承包人向监理报送竣工验收申请报告，监理应在收到竣工验收申请报告后【7】天内完成审查并报送发包人。监理审查后认为尚不具备验收条件的，应通知承包人在竣工验收前承包人还需完成的工作内容，承包人应在完成监理通知的全部工作内容后，再次提交竣工验收申请报告。</w:t>
      </w:r>
      <w:r/>
    </w:p>
    <w:p>
      <w:pPr>
        <w:pStyle w:val="831"/>
        <w:jc w:val="both"/>
        <w:spacing w:line="360" w:lineRule="auto"/>
        <w:rPr>
          <w:rFonts w:hint="eastAsia" w:ascii="宋体" w:hAnsi="宋体" w:cs="宋体"/>
          <w:color w:val="000000"/>
        </w:rPr>
      </w:pPr>
      <w:r>
        <w:rPr>
          <w:rFonts w:hint="eastAsia" w:ascii="宋体" w:hAnsi="宋体" w:cs="宋体"/>
          <w:color w:val="000000"/>
        </w:rPr>
        <w:t xml:space="preserve">（2）监理审查后认为已具备竣工验收条件的，应将竣工验收申请报告提交发包人，发包人应在收到经监理审核的竣工验收申请报告后【7】天内审批完毕并组织监理、承包人、设计单位等相关单位完成竣工验收。</w:t>
      </w:r>
      <w:r/>
    </w:p>
    <w:p>
      <w:pPr>
        <w:pStyle w:val="831"/>
        <w:jc w:val="both"/>
        <w:spacing w:line="360" w:lineRule="auto"/>
        <w:rPr>
          <w:rFonts w:hint="eastAsia" w:ascii="宋体" w:hAnsi="宋体" w:cs="宋体"/>
          <w:color w:val="000000"/>
        </w:rPr>
      </w:pPr>
      <w:r>
        <w:rPr>
          <w:rFonts w:hint="eastAsia" w:ascii="宋体" w:hAnsi="宋体" w:cs="宋体"/>
          <w:color w:val="000000"/>
        </w:rPr>
        <w:t xml:space="preserve">（3）项目竣工验收合格后，承包人需安排人员看管，直至将项目整体移交给项目发包人为止。在项目未移交前的现场看管费，成品保护费均由承包人承担。遇特殊情况，承发包人双方另行协商</w:t>
      </w:r>
      <w:r/>
    </w:p>
    <w:p>
      <w:pPr>
        <w:pStyle w:val="831"/>
        <w:jc w:val="both"/>
        <w:spacing w:line="360" w:lineRule="auto"/>
        <w:rPr>
          <w:rFonts w:hint="eastAsia" w:ascii="宋体" w:hAnsi="宋体" w:cs="宋体"/>
          <w:color w:val="000000"/>
        </w:rPr>
      </w:pPr>
      <w:r>
        <w:rPr>
          <w:rFonts w:hint="eastAsia" w:ascii="宋体" w:hAnsi="宋体" w:cs="宋体"/>
          <w:color w:val="000000"/>
        </w:rPr>
        <w:t xml:space="preserve">（4）竣工验收不合格的，承包人应按照发包人和监理人的验收意见和指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pStyle w:val="831"/>
        <w:ind w:firstLine="360"/>
        <w:jc w:val="both"/>
        <w:spacing w:line="360" w:lineRule="auto"/>
        <w:rPr>
          <w:rFonts w:hint="eastAsia" w:ascii="宋体" w:hAnsi="宋体" w:cs="宋体"/>
          <w:color w:val="000000"/>
        </w:rPr>
      </w:pPr>
      <w:r>
        <w:rPr>
          <w:rFonts w:hint="eastAsia" w:ascii="宋体" w:hAnsi="宋体" w:cs="宋体"/>
          <w:color w:val="000000"/>
          <w:u w:val="single"/>
        </w:rPr>
        <w:t xml:space="preserve">工程质量不符合设计要求或质量不能达到合同约定标准的，发包人有权要求承包人返工或有权单方解除合同，承包人须无条件接受；返工的费用由承包人承担，工期不予顺延。</w:t>
      </w:r>
      <w:r>
        <w:rPr>
          <w:rFonts w:hint="eastAsia" w:ascii="宋体" w:hAnsi="宋体" w:cs="宋体"/>
          <w:color w:val="000000"/>
        </w:rPr>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发包人不按照本项约定组织竣工验收、颁发工程接收证书的违约金的计算方法：</w:t>
      </w:r>
      <w:r>
        <w:rPr>
          <w:rFonts w:hint="eastAsia" w:ascii="宋体" w:hAnsi="宋体" w:cs="宋体"/>
          <w:color w:val="000000"/>
          <w:u w:val="single"/>
        </w:rPr>
        <w:t xml:space="preserve">无</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13.2.2移交、接收全部与部分工程</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承包人向发包人移交工程的期限：</w:t>
      </w:r>
      <w:r>
        <w:rPr>
          <w:rFonts w:hint="eastAsia" w:ascii="宋体" w:hAnsi="宋体" w:cs="宋体"/>
          <w:color w:val="000000"/>
          <w:u w:val="single"/>
        </w:rPr>
        <w:t xml:space="preserve">竣工验收合格后，自验收合格之日起10天内承包人将工程移交给发包人</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发包人未按本合同约定接收全部或部分工程的，违约金的计算方法为：</w:t>
      </w:r>
      <w:r>
        <w:rPr>
          <w:rFonts w:hint="eastAsia" w:ascii="宋体" w:hAnsi="宋体" w:cs="宋体"/>
          <w:color w:val="000000"/>
          <w:u w:val="single"/>
        </w:rPr>
        <w:t xml:space="preserve">无</w:t>
      </w:r>
      <w:r>
        <w:rPr>
          <w:rFonts w:hint="eastAsia" w:ascii="宋体" w:hAnsi="宋体" w:cs="宋体"/>
          <w:color w:val="000000"/>
        </w:rPr>
        <w:t xml:space="preserve">。</w:t>
      </w:r>
      <w:r/>
    </w:p>
    <w:p>
      <w:pPr>
        <w:pStyle w:val="831"/>
        <w:jc w:val="both"/>
        <w:spacing w:line="360" w:lineRule="auto"/>
        <w:rPr>
          <w:rFonts w:hint="eastAsia" w:ascii="宋体" w:hAnsi="宋体" w:cs="宋体"/>
          <w:color w:val="000000"/>
        </w:rPr>
      </w:pPr>
      <w:r>
        <w:rPr>
          <w:rFonts w:hint="eastAsia" w:ascii="宋体" w:hAnsi="宋体" w:cs="宋体"/>
          <w:color w:val="000000"/>
        </w:rPr>
        <w:t xml:space="preserve">承包人未按时移交工程的，违约金的计算方法为：</w:t>
      </w:r>
      <w:r>
        <w:rPr>
          <w:rFonts w:hint="eastAsia" w:ascii="宋体" w:hAnsi="宋体" w:cs="宋体"/>
          <w:color w:val="000000"/>
          <w:u w:val="single"/>
        </w:rPr>
        <w:t xml:space="preserve">经发包人组织验收合格的工程，则自验收合格之日起10天内承包人将工程移交给发包人，撤出全部临建、施工人员、施工机械和剩余材料，并将承包范围内的所有工程清理干净，如承包人不能及时拆除或清理，对于占用的范围发包人将收取100元/平方•天的占用费，发包人还有权派人强行拆除并清理，造成的费用和损失由承包人承担</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13.3工程试车</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13.3.1试车程序</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工程试车内容：</w:t>
      </w:r>
      <w:r>
        <w:rPr>
          <w:rFonts w:hint="eastAsia" w:ascii="宋体" w:hAnsi="宋体" w:cs="宋体"/>
          <w:color w:val="000000"/>
          <w:u w:val="single"/>
        </w:rPr>
        <w:t xml:space="preserve"> / </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（1）单机无负荷试车费用由</w:t>
      </w:r>
      <w:r>
        <w:rPr>
          <w:rFonts w:hint="eastAsia" w:ascii="宋体" w:hAnsi="宋体" w:cs="宋体"/>
          <w:color w:val="000000"/>
          <w:u w:val="single"/>
        </w:rPr>
        <w:t xml:space="preserve"> / </w:t>
      </w:r>
      <w:r>
        <w:rPr>
          <w:rFonts w:hint="eastAsia" w:ascii="宋体" w:hAnsi="宋体" w:cs="宋体"/>
          <w:color w:val="000000"/>
        </w:rPr>
        <w:t xml:space="preserve">承担；</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（2）无负荷联动试车费用由</w:t>
      </w:r>
      <w:r>
        <w:rPr>
          <w:rFonts w:hint="eastAsia" w:ascii="宋体" w:hAnsi="宋体" w:cs="宋体"/>
          <w:color w:val="000000"/>
          <w:u w:val="single"/>
        </w:rPr>
        <w:t xml:space="preserve"> / </w:t>
      </w:r>
      <w:r>
        <w:rPr>
          <w:rFonts w:hint="eastAsia" w:ascii="宋体" w:hAnsi="宋体" w:cs="宋体"/>
          <w:color w:val="000000"/>
        </w:rPr>
        <w:t xml:space="preserve">承担。</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13.3.2投料试车</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关于投料试车相关事项的约定：</w:t>
      </w:r>
      <w:r>
        <w:rPr>
          <w:rFonts w:hint="eastAsia" w:ascii="宋体" w:hAnsi="宋体" w:cs="宋体"/>
          <w:color w:val="000000"/>
          <w:u w:val="single"/>
        </w:rPr>
        <w:t xml:space="preserve"> / </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13.6 竣工退场</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承包人完成竣工退场的期限：</w:t>
      </w:r>
      <w:r>
        <w:rPr>
          <w:rFonts w:hint="eastAsia" w:ascii="宋体" w:hAnsi="宋体" w:cs="宋体"/>
          <w:color w:val="000000"/>
          <w:u w:val="single"/>
        </w:rPr>
        <w:t xml:space="preserve">竣工验收合格后10日内</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14.竣工结算</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14.1竣工结算申请</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承包人提交竣工结算申请单的期限：</w:t>
      </w:r>
      <w:r>
        <w:rPr>
          <w:rFonts w:hint="eastAsia" w:ascii="宋体" w:hAnsi="宋体" w:cs="宋体"/>
          <w:color w:val="000000"/>
          <w:u w:val="single"/>
        </w:rPr>
        <w:t xml:space="preserve">竣工验收合格后28天内</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竣工付款申请单应包括的内容：</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承包人应向发包人提交承包人盖章、结算编制人员盖章的竣工结算报告及完整、有效的结算资料，工程结算资料包括送审资料清单、结算汇总表、各项结算调整的依据、内容及费用、已经发包人工程人员确认的竣工图、变更联系单（原件，包括图纸会审纪要、过程中的洽商等）、隐蔽工程记录、工程结算书、招投标相关资料一式三份。发包人工程师对结算资料进行审核，符合要求的在竣工结算资料回执上签字方可视为发包人收到竣工结算资料；由发包人送审计部门开展竣工结算审计。</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（2）若审计部门在结算审核中发现结算资料无效或不完整的，审计延误的责任由承包人承担。</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（3）承包人未按本条款约定的时间和要求向发包人提交竣工结算报告和资料的，发包人将不能保证按专用条款规定的时间内提出审核意见，并且发包人有权根据已有资料进行审核，责任由承包人自行承担。</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14.2 竣工结算审核</w:t>
      </w:r>
      <w:r/>
    </w:p>
    <w:p>
      <w:pPr>
        <w:pStyle w:val="831"/>
        <w:jc w:val="both"/>
        <w:spacing w:line="440" w:lineRule="exact"/>
        <w:rPr>
          <w:rFonts w:hint="eastAsia" w:ascii="宋体" w:hAnsi="宋体" w:cs="宋体"/>
          <w:color w:val="000000"/>
          <w:u w:val="single"/>
        </w:rPr>
      </w:pPr>
      <w:r>
        <w:rPr>
          <w:rFonts w:hint="eastAsia" w:ascii="宋体" w:hAnsi="宋体" w:cs="宋体"/>
          <w:color w:val="000000"/>
        </w:rPr>
        <w:t xml:space="preserve">发包人审批竣工付款申请单的期限：</w:t>
      </w:r>
      <w:r>
        <w:rPr>
          <w:rFonts w:hint="eastAsia" w:ascii="宋体" w:hAnsi="宋体" w:cs="宋体"/>
          <w:color w:val="000000"/>
          <w:u w:val="single"/>
        </w:rPr>
      </w:r>
      <w:r/>
    </w:p>
    <w:p>
      <w:pPr>
        <w:pStyle w:val="831"/>
        <w:jc w:val="both"/>
        <w:spacing w:line="440" w:lineRule="exact"/>
        <w:rPr>
          <w:rFonts w:hint="eastAsia" w:ascii="宋体" w:hAnsi="宋体" w:cs="宋体"/>
          <w:color w:val="000000"/>
        </w:rPr>
      </w:pPr>
      <w:r>
        <w:rPr>
          <w:rFonts w:hint="eastAsia" w:ascii="宋体" w:hAnsi="宋体" w:cs="宋体"/>
          <w:color w:val="000000"/>
          <w:u w:val="single"/>
        </w:rPr>
        <w:t xml:space="preserve">监理人应在收到竣工结算申请单后14天内完成核查并报送发包人。发包人应在收到监理人提交的经审核的竣工结算申请单后14天内完成审批，并由监理人向承包人签发经发包人签认的竣工付款证书。监理人或发包人对竣工结算申请单有异议的，有权要求承包人进行修正和提供补充资料，承包人应提交修正后的竣工结算申请单。发包人在收到承包人提交竣工结算申请书后60天内未完成审批且未提出异议的，视为发包人认可承包人提交的竣工结算申请单，并自发包人收到承包人提交的竣工结算申请单后第61天起视为已签发竣工付款证书</w:t>
      </w:r>
      <w:r>
        <w:rPr>
          <w:rFonts w:hint="eastAsia" w:ascii="宋体" w:hAnsi="宋体" w:cs="宋体"/>
          <w:color w:val="000000"/>
        </w:rPr>
        <w:t xml:space="preserve">。</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发包人完成竣工付款的期限：发包人审计部门审计并出具最终审计报告后按约定付款。但是，考虑发包人高校财务管理的特殊性，如该项目为跨年度工程或遇付款时间为学校财务封帐期及寒暑假等特殊情况，暂时无法支付工程款时，付款时间由发包人、承包人双方另行商定。对此承包人表示，遇此情况下发包人可以推迟付款且不构成违约。</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关于竣工付款证书异议部分复核的方式和程序：</w:t>
      </w:r>
      <w:r>
        <w:rPr>
          <w:rFonts w:hint="eastAsia" w:ascii="宋体" w:hAnsi="宋体" w:cs="宋体"/>
          <w:color w:val="000000"/>
          <w:u w:val="single"/>
        </w:rPr>
        <w:t xml:space="preserve">承包人对发包人签认的竣工付款证书有异议的，对于有异议部分应在收到发包人签认的竣工付款证书后7天内提出异议，并由合同当事人按照专用合同条款约定的方式和程序进行复核。承包人逾期未提出异议的，视为认可发包人的审批结果</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14.3最终结清</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14.3.1 最终结清申请单</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承包人提交最终结清申请单的份数：</w:t>
      </w:r>
      <w:r>
        <w:rPr>
          <w:rFonts w:hint="eastAsia" w:ascii="宋体" w:hAnsi="宋体" w:cs="宋体"/>
          <w:color w:val="000000"/>
          <w:u w:val="single"/>
        </w:rPr>
        <w:t xml:space="preserve">叁份</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承包人提交最终结算申请单的期限：</w:t>
      </w:r>
      <w:r>
        <w:rPr>
          <w:rFonts w:hint="eastAsia" w:ascii="宋体" w:hAnsi="宋体" w:cs="宋体"/>
          <w:color w:val="000000"/>
          <w:u w:val="single"/>
        </w:rPr>
        <w:t xml:space="preserve">缺陷责任期终止证书颁发后7天内。</w:t>
      </w:r>
      <w:r>
        <w:rPr>
          <w:rFonts w:hint="eastAsia" w:ascii="宋体" w:hAnsi="宋体" w:cs="宋体"/>
          <w:color w:val="000000"/>
        </w:rPr>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14.3.2 最终结清证书和支付</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（1）发包人完成最终结清申请单的审批并颁发最终结清证书的期限：</w:t>
      </w:r>
      <w:r>
        <w:rPr>
          <w:rFonts w:hint="eastAsia" w:ascii="宋体" w:hAnsi="宋体" w:cs="宋体"/>
          <w:color w:val="000000"/>
          <w:u w:val="single"/>
        </w:rPr>
        <w:t xml:space="preserve">执行通用条款</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（2）发包人完成支付的期限：</w:t>
      </w:r>
      <w:r>
        <w:rPr>
          <w:rFonts w:hint="eastAsia" w:ascii="宋体" w:hAnsi="宋体" w:cs="宋体"/>
          <w:color w:val="000000"/>
          <w:u w:val="single"/>
        </w:rPr>
        <w:t xml:space="preserve">按进度款支付约定</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15. 缺陷责任期与保修</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15.1缺陷责任期</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缺陷责任期的具体期限：</w:t>
      </w:r>
      <w:r>
        <w:rPr>
          <w:rFonts w:hint="eastAsia" w:ascii="宋体" w:hAnsi="宋体" w:cs="宋体"/>
          <w:color w:val="000000"/>
          <w:u w:val="single"/>
        </w:rPr>
        <w:t xml:space="preserve">自工程竣工验收合格之日起【24 】个月</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15.2质量保证金</w:t>
      </w:r>
      <w:r/>
    </w:p>
    <w:p>
      <w:pPr>
        <w:pStyle w:val="831"/>
        <w:jc w:val="both"/>
        <w:spacing w:line="460" w:lineRule="exact"/>
        <w:rPr>
          <w:rFonts w:hint="eastAsia" w:ascii="宋体" w:hAnsi="宋体" w:cs="宋体"/>
          <w:color w:val="000000"/>
          <w:u w:val="single"/>
        </w:rPr>
      </w:pPr>
      <w:r>
        <w:rPr>
          <w:rFonts w:hint="eastAsia" w:ascii="宋体" w:hAnsi="宋体" w:cs="宋体"/>
          <w:color w:val="000000"/>
        </w:rPr>
        <w:t xml:space="preserve">关于是否扣留质量保证金的约定：</w:t>
      </w:r>
      <w:r>
        <w:rPr>
          <w:rFonts w:hint="eastAsia" w:ascii="宋体" w:hAnsi="宋体" w:cs="宋体"/>
          <w:color w:val="000000"/>
          <w:u w:val="single"/>
        </w:rPr>
        <w:t xml:space="preserve">审定价的3%为</w:t>
      </w:r>
      <w:r>
        <w:rPr>
          <w:rFonts w:hint="eastAsia" w:ascii="宋体" w:hAnsi="宋体" w:cs="宋体"/>
          <w:color w:val="000000"/>
          <w:u w:val="single"/>
        </w:rPr>
        <w:t xml:space="preserve">质量保证金，自发包人组织的竣工验收合格报告签署之日起算的质保期（24个月）满后，且发包人确认工程无质量且无任何遗留问题后【14】日内，发包人一次性无息返还承包人质量保证金（扣除因质量问题引起的维修费用、质量赔偿金及其他违约金等）。质量保证金支付程序：在缺陷责任期内，由发包人通知承包人进行该工程的维修事项，若承包人尽心尽责的服务，发包人满意，则质保期（ 24个月）满后，经发包人单位盖章，无息返还承包人质量保证金。若承包人不能及时响应或保质处理维修事项，发包人有权另找工程队维修，所发生的费用从质量保证金中支付。</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在工程项目竣工前，承包人按专用合同条款第3.6条提供履约担保的，发包人不得同时预留工程质量保证金。</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15.2.1 承包人提供质量保证金的方式</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质量保证金采用以下第</w:t>
      </w:r>
      <w:r>
        <w:rPr>
          <w:rFonts w:hint="eastAsia" w:ascii="宋体" w:hAnsi="宋体" w:cs="宋体"/>
          <w:color w:val="000000"/>
          <w:u w:val="single"/>
        </w:rPr>
        <w:t xml:space="preserve">2</w:t>
      </w:r>
      <w:r>
        <w:rPr>
          <w:rFonts w:hint="eastAsia" w:ascii="宋体" w:hAnsi="宋体" w:cs="宋体"/>
          <w:color w:val="000000"/>
        </w:rPr>
        <w:t xml:space="preserve">种方式：</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（1）质量保证金保函，保证金额为：</w:t>
      </w:r>
      <w:r>
        <w:rPr>
          <w:rFonts w:hint="eastAsia" w:ascii="宋体" w:hAnsi="宋体" w:cs="宋体"/>
          <w:color w:val="000000"/>
          <w:u w:val="single"/>
        </w:rPr>
        <w:t xml:space="preserve">/；</w:t>
      </w:r>
      <w:r>
        <w:rPr>
          <w:rFonts w:hint="eastAsia" w:ascii="宋体" w:hAnsi="宋体" w:cs="宋体"/>
          <w:color w:val="000000"/>
        </w:rPr>
      </w:r>
      <w:r/>
    </w:p>
    <w:p>
      <w:pPr>
        <w:pStyle w:val="831"/>
        <w:jc w:val="both"/>
        <w:spacing w:line="460" w:lineRule="exact"/>
        <w:rPr>
          <w:rFonts w:hint="eastAsia" w:ascii="宋体" w:hAnsi="宋体" w:cs="宋体"/>
          <w:color w:val="000000"/>
        </w:rPr>
      </w:pPr>
      <w:r>
        <w:rPr>
          <w:rFonts w:hint="eastAsia" w:ascii="宋体" w:hAnsi="宋体" w:cs="宋体"/>
          <w:color w:val="000000"/>
        </w:rPr>
        <w:t xml:space="preserve">（2）合同价款</w:t>
      </w:r>
      <w:r>
        <w:rPr>
          <w:rFonts w:hint="eastAsia" w:ascii="宋体" w:hAnsi="宋体" w:cs="宋体"/>
          <w:color w:val="000000"/>
          <w:u w:val="single"/>
        </w:rPr>
        <w:t xml:space="preserve">3%</w:t>
      </w:r>
      <w:r>
        <w:rPr>
          <w:rFonts w:hint="eastAsia" w:ascii="宋体" w:hAnsi="宋体" w:cs="宋体"/>
          <w:color w:val="000000"/>
        </w:rPr>
        <w:t xml:space="preserve">的工程款；</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（3）其他方式：</w:t>
      </w:r>
      <w:r>
        <w:rPr>
          <w:rFonts w:hint="eastAsia" w:ascii="宋体" w:hAnsi="宋体" w:cs="宋体"/>
          <w:color w:val="000000"/>
          <w:u w:val="single"/>
        </w:rPr>
        <w:t xml:space="preserve">/</w:t>
      </w:r>
      <w:r>
        <w:rPr>
          <w:rFonts w:hint="eastAsia" w:ascii="宋体" w:hAnsi="宋体" w:cs="宋体"/>
          <w:color w:val="000000"/>
        </w:rPr>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15.2.2 质量保证金的扣留</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质量保证金的扣留采取以下第</w:t>
      </w:r>
      <w:r>
        <w:rPr>
          <w:rFonts w:hint="eastAsia" w:ascii="宋体" w:hAnsi="宋体" w:cs="宋体"/>
          <w:color w:val="000000"/>
          <w:u w:val="single"/>
        </w:rPr>
        <w:t xml:space="preserve"> 2 </w:t>
      </w:r>
      <w:r>
        <w:rPr>
          <w:rFonts w:hint="eastAsia" w:ascii="宋体" w:hAnsi="宋体" w:cs="宋体"/>
          <w:color w:val="000000"/>
        </w:rPr>
        <w:t xml:space="preserve">种方式：</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（1）在支付工程进度款时逐次扣留，在此情形下，质量保证金的计算基数不包括预付款的支付、扣回以及价格调整的金额；</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（2）工程竣工结算时一次性扣留质量保证金；</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（3）其他扣留方式:/。</w:t>
      </w:r>
      <w:r/>
    </w:p>
    <w:p>
      <w:pPr>
        <w:pStyle w:val="831"/>
        <w:jc w:val="both"/>
        <w:spacing w:line="460" w:lineRule="exact"/>
        <w:rPr>
          <w:rFonts w:hint="eastAsia" w:ascii="宋体" w:hAnsi="宋体" w:cs="宋体"/>
          <w:color w:val="000000"/>
          <w:u w:val="single"/>
        </w:rPr>
      </w:pPr>
      <w:r>
        <w:rPr>
          <w:rFonts w:hint="eastAsia" w:ascii="宋体" w:hAnsi="宋体" w:cs="宋体"/>
          <w:color w:val="000000"/>
        </w:rPr>
        <w:t xml:space="preserve">关于质量保证金的补充约定：</w:t>
      </w:r>
      <w:r>
        <w:rPr>
          <w:rFonts w:hint="eastAsia" w:ascii="宋体" w:hAnsi="宋体" w:cs="宋体"/>
          <w:color w:val="000000"/>
          <w:u w:val="single"/>
        </w:rPr>
        <w:t xml:space="preserve">工程质量保修金在自发包人组织的竣工验收合格报告签署之日起算的质保期（24个月）满后，且发包人确认工程无质量问题且无任何遗留问题后【14】日内一次性退还承包人（不计息，扣除因质量问题引起的维修费用、质量赔偿金及其他违约金等）。</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15.3保修</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15.3.1 保修责任</w:t>
      </w:r>
      <w:r/>
    </w:p>
    <w:p>
      <w:pPr>
        <w:pStyle w:val="831"/>
        <w:jc w:val="both"/>
        <w:spacing w:line="360" w:lineRule="auto"/>
        <w:rPr>
          <w:rFonts w:hint="eastAsia" w:ascii="宋体" w:hAnsi="宋体" w:cs="宋体"/>
          <w:color w:val="000000"/>
          <w:u w:val="single"/>
        </w:rPr>
      </w:pPr>
      <w:r>
        <w:rPr>
          <w:rFonts w:hint="eastAsia" w:ascii="宋体" w:hAnsi="宋体" w:cs="宋体"/>
          <w:color w:val="000000"/>
        </w:rPr>
        <w:t xml:space="preserve">工程保修期为：</w:t>
      </w:r>
      <w:r>
        <w:rPr>
          <w:rFonts w:hint="eastAsia" w:ascii="宋体" w:hAnsi="宋体" w:cs="宋体"/>
          <w:color w:val="000000"/>
          <w:u w:val="single"/>
        </w:rPr>
        <w:t xml:space="preserve">自发包人组织的竣工验收合格报告签署之日起【24】个月</w:t>
      </w:r>
      <w:r>
        <w:rPr>
          <w:rFonts w:hint="eastAsia" w:ascii="宋体" w:hAnsi="宋体" w:cs="宋体"/>
          <w:color w:val="000000"/>
        </w:rPr>
        <w:t xml:space="preserve">。</w:t>
      </w:r>
      <w:r>
        <w:rPr>
          <w:rFonts w:hint="eastAsia" w:ascii="宋体" w:hAnsi="宋体" w:cs="宋体"/>
          <w:color w:val="000000"/>
          <w:u w:val="single"/>
        </w:rPr>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15.3.2修复通知</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承包人收到保修通知并到达工程现场的合理时间：</w:t>
      </w:r>
      <w:r>
        <w:rPr>
          <w:rFonts w:hint="eastAsia" w:ascii="宋体" w:hAnsi="宋体" w:cs="宋体"/>
          <w:color w:val="000000"/>
          <w:u w:val="single"/>
        </w:rPr>
        <w:t xml:space="preserve">自收到保修通知24小时内</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16. 违约</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16.1 发包人违约</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16.1.1发包人违约的情形</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发包人违约的其他情形：</w:t>
      </w:r>
      <w:r>
        <w:rPr>
          <w:rFonts w:hint="eastAsia" w:ascii="宋体" w:hAnsi="宋体" w:cs="宋体"/>
          <w:color w:val="000000"/>
          <w:u w:val="single"/>
        </w:rPr>
        <w:t xml:space="preserve">按通用条款执行</w:t>
      </w:r>
      <w:r>
        <w:rPr>
          <w:rFonts w:hint="eastAsia" w:ascii="宋体" w:hAnsi="宋体" w:cs="宋体"/>
          <w:color w:val="000000"/>
        </w:rPr>
        <w:t xml:space="preserve">。</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16.1.2 发包人违约的责任</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发包人违约责任的承担方式和计算方法：</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（1）因发包人原因未能在计划开工日期前7天内下达开工通知的违约责任：</w:t>
      </w:r>
      <w:r>
        <w:rPr>
          <w:rFonts w:hint="eastAsia" w:ascii="宋体" w:hAnsi="宋体" w:cs="宋体"/>
          <w:color w:val="000000"/>
          <w:u w:val="single"/>
        </w:rPr>
        <w:t xml:space="preserve">相应工期顺延，承包人不主张违约金或补偿金</w:t>
      </w:r>
      <w:r>
        <w:rPr>
          <w:rFonts w:hint="eastAsia" w:ascii="宋体" w:hAnsi="宋体" w:cs="宋体"/>
          <w:color w:val="000000"/>
        </w:rPr>
        <w:t xml:space="preserve">。</w:t>
      </w:r>
      <w:r/>
    </w:p>
    <w:p>
      <w:pPr>
        <w:pStyle w:val="831"/>
        <w:jc w:val="both"/>
        <w:spacing w:line="440" w:lineRule="exact"/>
        <w:rPr>
          <w:rFonts w:hint="eastAsia" w:ascii="宋体" w:hAnsi="宋体" w:cs="宋体"/>
          <w:color w:val="000000"/>
          <w:u w:val="single"/>
        </w:rPr>
      </w:pPr>
      <w:r>
        <w:rPr>
          <w:rFonts w:hint="eastAsia" w:ascii="宋体" w:hAnsi="宋体" w:cs="宋体"/>
          <w:color w:val="000000"/>
        </w:rPr>
        <w:t xml:space="preserve">（2）因发包人原因未能按合同约定支付合同价款的违约责任：</w:t>
      </w:r>
      <w:r>
        <w:rPr>
          <w:rFonts w:hint="eastAsia" w:ascii="宋体" w:hAnsi="宋体" w:cs="宋体"/>
          <w:color w:val="000000"/>
          <w:u w:val="single"/>
        </w:rPr>
        <w:t xml:space="preserve">按同期全国银行间同业拆借中心公布的贷款市场报价利率计算利息。承包人理解发包人高校财务付款制度的特殊性，由于发包人财务付款制度导致的迟延付款，承包人自愿放弃违约金主张。</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（3）发包人违反第10.1款〔变更的范围〕第（2）项约定，自行实施被取消的工作或转由他人实施的违约责任：</w:t>
      </w:r>
      <w:r>
        <w:rPr>
          <w:rFonts w:hint="eastAsia" w:ascii="宋体" w:hAnsi="宋体" w:cs="宋体"/>
          <w:color w:val="000000"/>
          <w:u w:val="single"/>
        </w:rPr>
        <w:t xml:space="preserve">无</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（4）发包人提供的材料、工程设备的规格、数量或质量不符合合同约定，或因发包人原因导致交货日期延误或交货地点变更等情况的违约责任：无。</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（5）因发包人违反合同约定造成暂停施工的违约责任：</w:t>
      </w:r>
      <w:r>
        <w:rPr>
          <w:rFonts w:hint="eastAsia" w:ascii="宋体" w:hAnsi="宋体" w:cs="宋体"/>
          <w:color w:val="000000"/>
          <w:u w:val="single"/>
        </w:rPr>
        <w:t xml:space="preserve">无</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（6）发包人无正当理由没有在约定期限内发出复工指示，导致承包人无法复工的违约责任：</w:t>
      </w:r>
      <w:r>
        <w:rPr>
          <w:rFonts w:hint="eastAsia" w:ascii="宋体" w:hAnsi="宋体" w:cs="宋体"/>
          <w:color w:val="000000"/>
          <w:u w:val="single"/>
        </w:rPr>
        <w:t xml:space="preserve">无</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（7）其他：</w:t>
      </w:r>
      <w:r>
        <w:rPr>
          <w:rFonts w:hint="eastAsia" w:ascii="宋体" w:hAnsi="宋体" w:cs="宋体"/>
          <w:color w:val="000000"/>
          <w:u w:val="single"/>
        </w:rPr>
        <w:t xml:space="preserve">无</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16.1.3 因发包人违约解除合同</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承包人按16.1.1项〔发包人违约的情形〕约定暂停施工满</w:t>
      </w:r>
      <w:r>
        <w:rPr>
          <w:rFonts w:hint="eastAsia" w:ascii="宋体" w:hAnsi="宋体" w:cs="宋体"/>
          <w:color w:val="000000"/>
          <w:u w:val="single"/>
        </w:rPr>
        <w:t xml:space="preserve"> / </w:t>
      </w:r>
      <w:r>
        <w:rPr>
          <w:rFonts w:hint="eastAsia" w:ascii="宋体" w:hAnsi="宋体" w:cs="宋体"/>
          <w:color w:val="000000"/>
        </w:rPr>
        <w:t xml:space="preserve">天后发包人仍不纠正其违约行为并致使合同目的不能实现的，承包人有权解除合同。</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16.2 承包人违约</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16.2.1 承包人违约的情形</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承包人违约的其他情形：</w:t>
      </w:r>
      <w:r>
        <w:rPr>
          <w:rFonts w:hint="eastAsia" w:ascii="宋体" w:hAnsi="宋体" w:cs="宋体"/>
          <w:color w:val="000000"/>
          <w:u w:val="single"/>
        </w:rPr>
        <w:t xml:space="preserve">工期延误、质量问题、技术文件未按约定时间提交、承包人擅自停工或单方面终止合同等</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16.2.2承包人违约的责任</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承包人违约责任的承担方式和计算方法：</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u w:val="single"/>
        </w:rPr>
        <w:t xml:space="preserve">承包人不能按合同总工期竣工，每推迟一天，承包人向发包人支付合同价款1%的违约金；违约金总额累计不超过合同价款的30%，但是，若该违约金不足以弥补发包人损失的，承包人还须继续承担赔偿责任</w:t>
      </w:r>
      <w:r>
        <w:rPr>
          <w:rFonts w:hint="eastAsia" w:ascii="宋体" w:hAnsi="宋体" w:cs="宋体"/>
          <w:color w:val="000000"/>
        </w:rPr>
        <w:t xml:space="preserve">；</w:t>
      </w:r>
      <w:r/>
    </w:p>
    <w:p>
      <w:pPr>
        <w:pStyle w:val="831"/>
        <w:jc w:val="both"/>
        <w:spacing w:line="440" w:lineRule="exact"/>
        <w:rPr>
          <w:rFonts w:hint="eastAsia" w:ascii="宋体" w:hAnsi="宋体" w:cs="宋体"/>
          <w:color w:val="000000"/>
          <w:u w:val="single"/>
        </w:rPr>
      </w:pPr>
      <w:r>
        <w:rPr>
          <w:rFonts w:hint="eastAsia" w:ascii="宋体" w:hAnsi="宋体" w:cs="宋体"/>
          <w:color w:val="000000"/>
        </w:rPr>
        <w:t xml:space="preserve">（2）</w:t>
      </w:r>
      <w:r>
        <w:rPr>
          <w:rFonts w:hint="eastAsia" w:ascii="宋体" w:hAnsi="宋体" w:cs="宋体"/>
          <w:color w:val="000000"/>
          <w:u w:val="single"/>
        </w:rPr>
        <w:t xml:space="preserve">本工程具体分项工程完成时间应服从发包人的总体要求，如因承包人原因导致实际进度与发包</w:t>
      </w:r>
      <w:r>
        <w:rPr>
          <w:rFonts w:hint="eastAsia" w:ascii="宋体" w:hAnsi="宋体" w:cs="宋体"/>
          <w:color w:val="000000"/>
          <w:u w:val="single"/>
        </w:rPr>
        <w:t xml:space="preserve">人要求的进度计划不符，承包人无法按工期完工或质量无法达到合同要求的，发包人有权对部分分项工程指定第三方施工，承包人必须无条件服从和配合；此分项工程费用由发包人按实际发生费用从承包人的工程款中扣除，同时，承包人还须按签约合同价的10%向发包人支付违约金；合同约定的工期届满时，当承包人累计完成工程量不足计划进度的70%时，可认为承包人无能力按期履行合同并构成严重违约，发包人有权单方解除合同，承包人须按签约合同价的30%向发包人支付违约金，若该违约金不足以弥补发包人损失的，承包人还须承担由此给发包人造成的一切损失</w:t>
      </w:r>
      <w:r>
        <w:rPr>
          <w:rFonts w:hint="eastAsia" w:ascii="宋体" w:hAnsi="宋体" w:cs="宋体"/>
          <w:color w:val="000000"/>
        </w:rPr>
        <w:t xml:space="preserve">；</w:t>
      </w:r>
      <w:r>
        <w:rPr>
          <w:rFonts w:hint="eastAsia" w:ascii="宋体" w:hAnsi="宋体" w:cs="宋体"/>
          <w:color w:val="000000"/>
          <w:u w:val="single"/>
        </w:rPr>
      </w:r>
      <w:r/>
    </w:p>
    <w:p>
      <w:pPr>
        <w:pStyle w:val="831"/>
        <w:jc w:val="both"/>
        <w:spacing w:line="440" w:lineRule="exact"/>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u w:val="single"/>
        </w:rPr>
        <w:t xml:space="preserve">承包人未按程序报验的，每次向发包人支付2000元违约赔偿金；工序验收不合格的，须按要求返工，并每次向发包人支付2000元/次违约赔偿金</w:t>
      </w:r>
      <w:r>
        <w:rPr>
          <w:rFonts w:hint="eastAsia" w:ascii="宋体" w:hAnsi="宋体" w:cs="宋体"/>
          <w:color w:val="000000"/>
        </w:rPr>
        <w:t xml:space="preserve">；</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u w:val="single"/>
        </w:rPr>
        <w:t xml:space="preserve">承包人必须服从发包人发布的各项符合现行法律、法规的管理规定，如承包人不服从发包人及监理的管理，每次向发包人支付10000元违约赔偿金，且发包人有权解除合同，并要求承包人赔偿损失</w:t>
      </w:r>
      <w:r>
        <w:rPr>
          <w:rFonts w:hint="eastAsia" w:ascii="宋体" w:hAnsi="宋体" w:cs="宋体"/>
          <w:color w:val="000000"/>
        </w:rPr>
        <w:t xml:space="preserve">；</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u w:val="single"/>
        </w:rPr>
        <w:t xml:space="preserve">投标文件中明确的项目经理和主要管理人员不得擅自变更，开工时或施工过程中若有承包人擅自变更，发包人有权依据本合同追究承包人的违约责任，直至解除合同，并追究损失赔偿责任。</w:t>
      </w:r>
      <w:r>
        <w:rPr>
          <w:rFonts w:hint="eastAsia" w:ascii="宋体" w:hAnsi="宋体" w:cs="宋体"/>
          <w:color w:val="000000"/>
        </w:rPr>
      </w:r>
      <w:r/>
    </w:p>
    <w:p>
      <w:pPr>
        <w:pStyle w:val="831"/>
        <w:jc w:val="both"/>
        <w:spacing w:line="440" w:lineRule="exact"/>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u w:val="single"/>
        </w:rPr>
        <w:t xml:space="preserve">在施工过程中，发包人将对承包人的安全文明情况进行考评，只有考评合格，结算时方可计取现场安全文明措施费现场考评费和奖励费，否则结算时不得计取该项费用</w:t>
      </w:r>
      <w:r>
        <w:rPr>
          <w:rFonts w:hint="eastAsia" w:ascii="宋体" w:hAnsi="宋体" w:cs="宋体"/>
          <w:color w:val="000000"/>
        </w:rPr>
        <w:t xml:space="preserve">；</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（7）</w:t>
      </w:r>
      <w:r>
        <w:rPr>
          <w:rFonts w:hint="eastAsia" w:ascii="宋体" w:hAnsi="宋体" w:cs="宋体"/>
          <w:color w:val="000000"/>
          <w:u w:val="single"/>
        </w:rPr>
        <w:t xml:space="preserve">工程竣工验收合格后28天内，承包人必须将符合发包人要求的竣工结算书及相关资料上报给发包人，否则每延迟一天须向发包人支付5000元作为违约赔偿金</w:t>
      </w:r>
      <w:r>
        <w:rPr>
          <w:rFonts w:hint="eastAsia" w:ascii="宋体" w:hAnsi="宋体" w:cs="宋体"/>
          <w:color w:val="000000"/>
        </w:rPr>
        <w:t xml:space="preserve">；</w:t>
      </w:r>
      <w:r/>
    </w:p>
    <w:p>
      <w:pPr>
        <w:pStyle w:val="831"/>
        <w:jc w:val="both"/>
        <w:spacing w:line="440" w:lineRule="exact"/>
        <w:rPr>
          <w:rFonts w:hint="eastAsia" w:ascii="宋体" w:hAnsi="宋体" w:cs="宋体"/>
          <w:color w:val="000000"/>
          <w:u w:val="single"/>
        </w:rPr>
      </w:pPr>
      <w:r>
        <w:rPr>
          <w:rFonts w:hint="eastAsia" w:ascii="宋体" w:hAnsi="宋体" w:cs="宋体"/>
          <w:color w:val="000000"/>
          <w:u w:val="single"/>
        </w:rPr>
        <w:t xml:space="preserve">（8）经查实如承包人有出借资质或挂靠施工现象发生，视承包人严重违约，承包人除须立即进行纠正外，发包人有权没收履约保证金，发包人还有权选择解除合同并要求承包人按签约合同价的30%向发包人支付违约金；</w:t>
      </w:r>
      <w:r/>
    </w:p>
    <w:p>
      <w:pPr>
        <w:pStyle w:val="831"/>
        <w:jc w:val="both"/>
        <w:spacing w:line="440" w:lineRule="exact"/>
        <w:rPr>
          <w:rFonts w:hint="eastAsia" w:ascii="宋体" w:hAnsi="宋体" w:cs="宋体"/>
          <w:color w:val="000000"/>
          <w:u w:val="single"/>
        </w:rPr>
      </w:pPr>
      <w:r>
        <w:rPr>
          <w:rFonts w:hint="eastAsia" w:ascii="宋体" w:hAnsi="宋体" w:cs="宋体"/>
          <w:color w:val="000000"/>
          <w:u w:val="single"/>
        </w:rPr>
        <w:t xml:space="preserve">（9）工程质量应符合国家验收规范和本合同约定要求，并一次性验收合格，若质量未达到要求，承包人按签约合同价的2%向发包人支付违约金，同时承包人应进行整改，并须承担使工程达到约定质量标准所发生的所有费用。返工合格后，发包人有权在承包人工程结算款中扣除承包人工期延误违约金以及由此而给发包人造成的经济损失。</w:t>
      </w:r>
      <w:r/>
    </w:p>
    <w:p>
      <w:pPr>
        <w:pStyle w:val="831"/>
        <w:jc w:val="both"/>
        <w:spacing w:line="440" w:lineRule="exact"/>
        <w:rPr>
          <w:rFonts w:hint="eastAsia" w:ascii="宋体" w:hAnsi="宋体" w:cs="宋体"/>
          <w:color w:val="000000"/>
          <w:u w:val="single"/>
        </w:rPr>
      </w:pPr>
      <w:r>
        <w:rPr>
          <w:rFonts w:hint="eastAsia" w:ascii="宋体" w:hAnsi="宋体" w:cs="宋体"/>
          <w:color w:val="000000"/>
        </w:rPr>
        <w:t xml:space="preserve">（10）</w:t>
      </w:r>
      <w:r>
        <w:rPr>
          <w:rFonts w:hint="eastAsia" w:ascii="宋体" w:hAnsi="宋体" w:cs="宋体"/>
          <w:color w:val="000000"/>
          <w:u w:val="single"/>
        </w:rPr>
        <w:t xml:space="preserve">若承包人擅自停工、单方面终止合同、工期严重延误或存在其他严重违约行为，导致发包人不得不单方解除合同的，在发包人通知解除本合同的情况下，承包人必须在5天内无条件退场。发包人将在承包人完成退场的情况下按承包人已完成工程量的50%给予结算，承包人还须按签约合同价【30】%标准向发包人支付违约金。若违约金不足以弥补发包人损失的，承包人还应承担由此而给发包人造成的一切损失。</w:t>
      </w:r>
      <w:r/>
    </w:p>
    <w:p>
      <w:pPr>
        <w:pStyle w:val="831"/>
        <w:jc w:val="both"/>
        <w:spacing w:line="440" w:lineRule="exact"/>
        <w:rPr>
          <w:rFonts w:hint="eastAsia" w:ascii="宋体" w:hAnsi="宋体" w:cs="宋体"/>
          <w:color w:val="000000"/>
          <w:u w:val="single"/>
        </w:rPr>
      </w:pPr>
      <w:r>
        <w:rPr>
          <w:rFonts w:hint="eastAsia" w:ascii="宋体" w:hAnsi="宋体" w:cs="宋体"/>
          <w:color w:val="000000"/>
        </w:rPr>
        <w:t xml:space="preserve">（11）</w:t>
      </w:r>
      <w:r>
        <w:rPr>
          <w:rFonts w:hint="eastAsia" w:ascii="宋体" w:hAnsi="宋体" w:cs="宋体"/>
          <w:color w:val="000000"/>
          <w:u w:val="single"/>
        </w:rPr>
        <w:t xml:space="preserve">因承包人原因导致技术文件（包括竣工图纸、签证等）未能按约定时间提交，每迟一天，发包人在支付给承包人的工程款内扣除1000元的违约金。同时并不解除承包人继续交付上述技术文件的义务。</w:t>
      </w:r>
      <w:r/>
    </w:p>
    <w:p>
      <w:pPr>
        <w:pStyle w:val="831"/>
        <w:jc w:val="both"/>
        <w:spacing w:line="440" w:lineRule="exact"/>
        <w:rPr>
          <w:rFonts w:hint="eastAsia" w:ascii="宋体" w:hAnsi="宋体" w:cs="宋体"/>
          <w:color w:val="000000"/>
          <w:u w:val="single"/>
        </w:rPr>
      </w:pPr>
      <w:r>
        <w:rPr>
          <w:rFonts w:hint="eastAsia" w:ascii="宋体" w:hAnsi="宋体" w:cs="宋体"/>
          <w:color w:val="000000"/>
        </w:rPr>
        <w:t xml:space="preserve">（12）</w:t>
      </w:r>
      <w:r>
        <w:rPr>
          <w:rFonts w:hint="eastAsia" w:ascii="宋体" w:hAnsi="宋体" w:cs="宋体"/>
          <w:color w:val="000000"/>
          <w:u w:val="single"/>
        </w:rPr>
        <w:t xml:space="preserve">若因承包人施工质量问题或所使用产品、材料、设备的质量问题引起的安全责任（包括造成发包人师生或其他方人身伤害或财产损失等情形）由承包人负责，承包人应承担全部损失赔偿责任和相关法律责任。</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16.2.3 因承包人违约解除合同</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关于承包人违约解除合同的特别约定：</w:t>
      </w:r>
      <w:r>
        <w:rPr>
          <w:rFonts w:hint="eastAsia" w:ascii="宋体" w:hAnsi="宋体" w:cs="宋体"/>
          <w:color w:val="000000"/>
          <w:u w:val="single"/>
        </w:rPr>
        <w:t xml:space="preserve">在本合同解除后，承包人必须在5天内无条件退场。发包人将按承包人已完成工程量的50%给予结算，承包人还须按合同签约价【30】%标准向发包人支付违约金并承担由此而给发包人造成的一切损失</w:t>
      </w:r>
      <w:r>
        <w:rPr>
          <w:rFonts w:hint="eastAsia" w:ascii="宋体" w:hAnsi="宋体" w:cs="宋体"/>
          <w:color w:val="000000"/>
        </w:rPr>
        <w:t xml:space="preserve">。</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发包人继续使用承包人在施工现场的材料、设备、临时工程、承包人文件和由承包人或以其名义编制的其他文件的费用承担方式：</w:t>
      </w:r>
      <w:r>
        <w:rPr>
          <w:rFonts w:hint="eastAsia" w:ascii="宋体" w:hAnsi="宋体" w:cs="宋体"/>
          <w:color w:val="000000"/>
          <w:u w:val="single"/>
        </w:rPr>
        <w:t xml:space="preserve">根据监理、审计出具的报告结算给承包人</w:t>
      </w:r>
      <w:r>
        <w:rPr>
          <w:rFonts w:hint="eastAsia" w:ascii="宋体" w:hAnsi="宋体" w:cs="宋体"/>
          <w:color w:val="000000"/>
        </w:rPr>
        <w:t xml:space="preserve">。</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17.不可抗力</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17.1不可抗力的确认</w:t>
      </w:r>
      <w:r/>
    </w:p>
    <w:p>
      <w:pPr>
        <w:pStyle w:val="831"/>
        <w:jc w:val="both"/>
        <w:spacing w:line="440" w:lineRule="exact"/>
        <w:rPr>
          <w:rFonts w:hint="eastAsia" w:ascii="宋体" w:hAnsi="宋体" w:cs="宋体"/>
          <w:color w:val="000000"/>
          <w:u w:val="single"/>
        </w:rPr>
      </w:pPr>
      <w:r>
        <w:rPr>
          <w:rFonts w:hint="eastAsia" w:ascii="宋体" w:hAnsi="宋体" w:cs="宋体"/>
          <w:color w:val="000000"/>
        </w:rPr>
        <w:t xml:space="preserve">除通用合同条款约定的不可抗力事件之外，视为不可抗力的其他情形：</w:t>
      </w:r>
      <w:r>
        <w:rPr>
          <w:rFonts w:hint="eastAsia" w:ascii="宋体" w:hAnsi="宋体" w:cs="宋体"/>
          <w:color w:val="000000"/>
          <w:u w:val="single"/>
        </w:rPr>
        <w:t xml:space="preserve">因国家和政府举办大型活动限制施工、因维护学生稳定而不能正常施工</w:t>
      </w:r>
      <w:r>
        <w:rPr>
          <w:rFonts w:hint="eastAsia" w:ascii="宋体" w:hAnsi="宋体" w:cs="宋体"/>
          <w:color w:val="000000"/>
        </w:rPr>
        <w:t xml:space="preserve">。</w:t>
      </w:r>
      <w:r>
        <w:rPr>
          <w:rFonts w:hint="eastAsia" w:ascii="宋体" w:hAnsi="宋体" w:cs="宋体"/>
          <w:color w:val="000000"/>
          <w:u w:val="single"/>
        </w:rPr>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17.2因不可抗力解除合同</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合同解除后，发包人应在商定或确定发包人应支付款项后</w:t>
      </w:r>
      <w:r>
        <w:rPr>
          <w:rFonts w:hint="eastAsia" w:ascii="宋体" w:hAnsi="宋体" w:cs="宋体"/>
          <w:color w:val="000000"/>
          <w:u w:val="single"/>
        </w:rPr>
        <w:t xml:space="preserve">/</w:t>
      </w:r>
      <w:r>
        <w:rPr>
          <w:rFonts w:hint="eastAsia" w:ascii="宋体" w:hAnsi="宋体" w:cs="宋体"/>
          <w:color w:val="000000"/>
        </w:rPr>
        <w:t xml:space="preserve">天内完成款项的支付。</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18. 保险</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18.1 工程保险</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关于工程保险的特别约定：</w:t>
      </w:r>
      <w:r>
        <w:rPr>
          <w:rFonts w:hint="eastAsia" w:ascii="宋体" w:hAnsi="宋体" w:cs="宋体"/>
          <w:color w:val="000000"/>
          <w:u w:val="single"/>
        </w:rPr>
        <w:t xml:space="preserve">/</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18.2其他保险</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关于其他保险的约定：</w:t>
      </w:r>
      <w:r>
        <w:rPr>
          <w:rFonts w:hint="eastAsia" w:ascii="宋体" w:hAnsi="宋体" w:cs="宋体"/>
          <w:color w:val="000000"/>
          <w:u w:val="single"/>
        </w:rPr>
        <w:t xml:space="preserve"> / </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承包人是否应为其施工设备等办理财产保险：</w:t>
      </w:r>
      <w:r>
        <w:rPr>
          <w:rFonts w:hint="eastAsia" w:ascii="宋体" w:hAnsi="宋体" w:cs="宋体"/>
          <w:color w:val="000000"/>
          <w:u w:val="single"/>
        </w:rPr>
        <w:t xml:space="preserve">/</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18.3通知义务</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关于变更保险合同时的通知义务的约定：</w:t>
      </w:r>
      <w:r>
        <w:rPr>
          <w:rFonts w:hint="eastAsia" w:ascii="宋体" w:hAnsi="宋体" w:cs="宋体"/>
          <w:color w:val="000000"/>
          <w:u w:val="single"/>
        </w:rPr>
        <w:t xml:space="preserve">/</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19.争议解决</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19.1争议评审</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合同当事人是否同意将工程争议提交争议评审小组决定：</w:t>
      </w:r>
      <w:r>
        <w:rPr>
          <w:rFonts w:hint="eastAsia" w:ascii="宋体" w:hAnsi="宋体" w:cs="宋体"/>
          <w:color w:val="000000"/>
          <w:u w:val="single"/>
        </w:rPr>
        <w:t xml:space="preserve">不同意</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19.1.1争议评审小组的确定</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争议评审小组成员的确定：</w:t>
      </w:r>
      <w:r>
        <w:rPr>
          <w:rFonts w:hint="eastAsia" w:ascii="宋体" w:hAnsi="宋体" w:cs="宋体"/>
          <w:color w:val="000000"/>
          <w:u w:val="single"/>
        </w:rPr>
        <w:t xml:space="preserve"> / </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选定争议评审员的期限：</w:t>
      </w:r>
      <w:r>
        <w:rPr>
          <w:rFonts w:hint="eastAsia" w:ascii="宋体" w:hAnsi="宋体" w:cs="宋体"/>
          <w:color w:val="000000"/>
          <w:u w:val="single"/>
        </w:rPr>
        <w:t xml:space="preserve"> / </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争议评审小组成员的报酬承担方式：</w:t>
      </w:r>
      <w:r>
        <w:rPr>
          <w:rFonts w:hint="eastAsia" w:ascii="宋体" w:hAnsi="宋体" w:cs="宋体"/>
          <w:color w:val="000000"/>
          <w:u w:val="single"/>
        </w:rPr>
        <w:t xml:space="preserve"> / </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其他事项的约定：</w:t>
      </w:r>
      <w:r>
        <w:rPr>
          <w:rFonts w:hint="eastAsia" w:ascii="宋体" w:hAnsi="宋体" w:cs="宋体"/>
          <w:color w:val="000000"/>
          <w:u w:val="single"/>
        </w:rPr>
        <w:t xml:space="preserve"> / </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19.1.2争议评审小组的决定</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合同当事人关于本项的约定：</w:t>
      </w:r>
      <w:r>
        <w:rPr>
          <w:rFonts w:hint="eastAsia" w:ascii="宋体" w:hAnsi="宋体" w:cs="宋体"/>
          <w:color w:val="000000"/>
          <w:u w:val="single"/>
        </w:rPr>
        <w:t xml:space="preserve"> / </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19.2仲裁或诉讼</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因合同及合同有关事项发生的争议，按下列第</w:t>
      </w:r>
      <w:r>
        <w:rPr>
          <w:rFonts w:hint="eastAsia" w:ascii="宋体" w:hAnsi="宋体" w:cs="宋体"/>
          <w:color w:val="000000"/>
          <w:u w:val="single"/>
        </w:rPr>
        <w:t xml:space="preserve">（2）</w:t>
      </w:r>
      <w:r>
        <w:rPr>
          <w:rFonts w:hint="eastAsia" w:ascii="宋体" w:hAnsi="宋体" w:cs="宋体"/>
          <w:color w:val="000000"/>
        </w:rPr>
        <w:t xml:space="preserve">种方式解决：</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（1）向</w:t>
      </w:r>
      <w:r>
        <w:rPr>
          <w:rFonts w:hint="eastAsia" w:ascii="宋体" w:hAnsi="宋体" w:cs="宋体"/>
          <w:color w:val="000000"/>
          <w:u w:val="single"/>
        </w:rPr>
        <w:t xml:space="preserve"> / </w:t>
      </w:r>
      <w:r>
        <w:rPr>
          <w:rFonts w:hint="eastAsia" w:ascii="宋体" w:hAnsi="宋体" w:cs="宋体"/>
          <w:color w:val="000000"/>
        </w:rPr>
        <w:t xml:space="preserve">仲裁委员会申请仲裁；</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（2）向</w:t>
      </w:r>
      <w:r>
        <w:rPr>
          <w:rFonts w:hint="eastAsia" w:ascii="宋体" w:hAnsi="宋体" w:cs="宋体"/>
          <w:color w:val="000000"/>
          <w:u w:val="single"/>
        </w:rPr>
        <w:t xml:space="preserve">工程所在地</w:t>
      </w:r>
      <w:r>
        <w:rPr>
          <w:rFonts w:hint="eastAsia" w:ascii="宋体" w:hAnsi="宋体" w:cs="宋体"/>
          <w:color w:val="000000"/>
        </w:rPr>
        <w:t xml:space="preserve">人民法院起诉。</w:t>
      </w:r>
      <w:r/>
    </w:p>
    <w:p>
      <w:pPr>
        <w:pStyle w:val="1056"/>
        <w:tabs>
          <w:tab w:val="left" w:pos="0" w:leader="none"/>
        </w:tabs>
        <w:rPr>
          <w:rFonts w:hint="eastAsia" w:ascii="宋体" w:hAnsi="宋体" w:cs="宋体"/>
          <w:b/>
          <w:color w:val="000000"/>
        </w:rPr>
      </w:pPr>
      <w:r>
        <w:rPr>
          <w:rFonts w:hint="eastAsia" w:ascii="宋体" w:hAnsi="宋体" w:cs="宋体"/>
          <w:b/>
          <w:color w:val="000000"/>
        </w:rPr>
      </w:r>
      <w:r/>
    </w:p>
    <w:p>
      <w:pPr>
        <w:pStyle w:val="1056"/>
        <w:tabs>
          <w:tab w:val="left" w:pos="0" w:leader="none"/>
        </w:tabs>
        <w:rPr>
          <w:rFonts w:hint="eastAsia" w:ascii="宋体" w:hAnsi="宋体" w:cs="宋体"/>
          <w:color w:val="000000"/>
        </w:rPr>
      </w:pPr>
      <w:r>
        <w:rPr>
          <w:rFonts w:hint="eastAsia" w:ascii="宋体" w:hAnsi="宋体" w:cs="宋体"/>
          <w:color w:val="000000"/>
        </w:rPr>
      </w:r>
      <w:r/>
    </w:p>
    <w:p>
      <w:pPr>
        <w:pStyle w:val="1055"/>
        <w:jc w:val="both"/>
        <w:rPr>
          <w:rFonts w:hint="eastAsia" w:ascii="宋体" w:hAnsi="宋体" w:cs="宋体"/>
          <w:color w:val="000000"/>
          <w:sz w:val="24"/>
          <w:szCs w:val="24"/>
        </w:rPr>
      </w:pPr>
      <w:r>
        <w:rPr>
          <w:rFonts w:hint="eastAsia" w:ascii="宋体" w:hAnsi="宋体" w:cs="宋体"/>
          <w:color w:val="000000"/>
          <w:sz w:val="24"/>
          <w:szCs w:val="24"/>
        </w:rPr>
      </w:r>
      <w:r/>
    </w:p>
    <w:p>
      <w:pPr>
        <w:pStyle w:val="831"/>
        <w:jc w:val="both"/>
        <w:rPr>
          <w:rFonts w:hint="eastAsia" w:ascii="宋体" w:hAnsi="宋体" w:cs="宋体"/>
          <w:color w:val="000000"/>
        </w:rPr>
      </w:pPr>
      <w:r>
        <w:rPr>
          <w:rFonts w:hint="eastAsia" w:ascii="宋体" w:hAnsi="宋体" w:cs="宋体"/>
          <w:color w:val="000000"/>
        </w:rPr>
      </w:r>
      <w:r/>
    </w:p>
    <w:p>
      <w:pPr>
        <w:pStyle w:val="1056"/>
        <w:spacing w:line="360" w:lineRule="auto"/>
        <w:rPr>
          <w:rFonts w:hint="eastAsia" w:ascii="宋体" w:hAnsi="宋体" w:cs="宋体"/>
          <w:color w:val="000000"/>
        </w:rPr>
      </w:pPr>
      <w:r>
        <w:rPr>
          <w:rFonts w:hint="eastAsia" w:ascii="宋体" w:hAnsi="宋体" w:cs="宋体"/>
          <w:color w:val="000000"/>
        </w:rPr>
      </w:r>
      <w:r/>
    </w:p>
    <w:p>
      <w:pPr>
        <w:pStyle w:val="1056"/>
        <w:ind w:firstLine="480"/>
        <w:jc w:val="center"/>
        <w:spacing w:line="360" w:lineRule="auto"/>
        <w:rPr>
          <w:rFonts w:hint="eastAsia" w:ascii="宋体" w:hAnsi="宋体" w:cs="宋体"/>
          <w:color w:val="000000"/>
        </w:rPr>
      </w:pPr>
      <w:r>
        <w:rPr>
          <w:rFonts w:hint="eastAsia" w:ascii="宋体" w:hAnsi="宋体" w:cs="宋体"/>
          <w:color w:val="000000"/>
        </w:rPr>
        <w:br w:type="page" w:clear="all"/>
      </w:r>
      <w:r>
        <w:rPr>
          <w:rFonts w:hint="eastAsia" w:ascii="宋体" w:hAnsi="宋体" w:cs="宋体"/>
          <w:color w:val="000000"/>
          <w:sz w:val="22"/>
          <w:szCs w:val="24"/>
        </w:rPr>
        <w:t xml:space="preserve">工程质量保修书</w:t>
      </w:r>
      <w:r>
        <w:rPr>
          <w:rFonts w:hint="eastAsia" w:ascii="宋体" w:hAnsi="宋体" w:cs="宋体"/>
          <w:color w:val="000000"/>
        </w:rPr>
      </w:r>
      <w:r/>
    </w:p>
    <w:p>
      <w:pPr>
        <w:pStyle w:val="1056"/>
        <w:ind w:firstLine="480"/>
        <w:spacing w:line="360" w:lineRule="auto"/>
        <w:rPr>
          <w:rFonts w:hint="eastAsia" w:ascii="宋体" w:hAnsi="宋体" w:cs="宋体"/>
          <w:color w:val="000000"/>
        </w:rPr>
      </w:pPr>
      <w:r>
        <w:rPr>
          <w:rFonts w:hint="eastAsia" w:ascii="宋体" w:hAnsi="宋体" w:cs="宋体"/>
          <w:color w:val="000000"/>
        </w:rPr>
        <w:t xml:space="preserve">发包人（全称）： </w:t>
      </w:r>
      <w:r/>
    </w:p>
    <w:p>
      <w:pPr>
        <w:pStyle w:val="1056"/>
        <w:ind w:firstLine="480"/>
        <w:spacing w:line="360" w:lineRule="auto"/>
        <w:rPr>
          <w:rFonts w:hint="eastAsia" w:ascii="宋体" w:hAnsi="宋体" w:cs="宋体"/>
          <w:color w:val="000000"/>
        </w:rPr>
      </w:pPr>
      <w:r>
        <w:rPr>
          <w:rFonts w:hint="eastAsia" w:ascii="宋体" w:hAnsi="宋体" w:cs="宋体"/>
          <w:color w:val="000000"/>
        </w:rPr>
        <w:t xml:space="preserve">承包人（全称）：   </w:t>
      </w:r>
      <w:r/>
    </w:p>
    <w:p>
      <w:pPr>
        <w:pStyle w:val="1056"/>
        <w:ind w:firstLine="420"/>
        <w:spacing w:line="360" w:lineRule="auto"/>
        <w:rPr>
          <w:rFonts w:hint="eastAsia" w:ascii="宋体" w:hAnsi="宋体" w:cs="宋体"/>
          <w:color w:val="000000"/>
        </w:rPr>
      </w:pPr>
      <w:r>
        <w:rPr>
          <w:rFonts w:hint="eastAsia" w:ascii="宋体" w:hAnsi="宋体" w:cs="宋体"/>
          <w:color w:val="000000"/>
        </w:rPr>
        <w:t xml:space="preserve">发包人和承包人根据《中华人民共和国建筑法》和《建设工程质量管理条例》，经协商一致就</w:t>
      </w:r>
      <w:r>
        <w:rPr>
          <w:rFonts w:hint="eastAsia" w:ascii="宋体" w:hAnsi="宋体" w:eastAsia="宋体" w:cs="宋体"/>
          <w:b/>
          <w:bCs/>
          <w:color w:val="000000"/>
        </w:rPr>
        <w:t xml:space="preserve">仙林校区德经楼高压变电所设备升级改造项目</w:t>
      </w:r>
      <w:r>
        <w:rPr>
          <w:rFonts w:hint="eastAsia" w:ascii="宋体" w:hAnsi="宋体" w:cs="宋体"/>
          <w:color w:val="000000"/>
        </w:rPr>
        <w:t xml:space="preserve">（工程全称）签订工程质量保修书。</w:t>
      </w:r>
      <w:r/>
    </w:p>
    <w:p>
      <w:pPr>
        <w:pStyle w:val="1056"/>
        <w:ind w:firstLine="420"/>
        <w:spacing w:line="360" w:lineRule="auto"/>
        <w:rPr>
          <w:rFonts w:hint="eastAsia" w:ascii="宋体" w:hAnsi="宋体" w:cs="宋体"/>
          <w:color w:val="000000"/>
        </w:rPr>
      </w:pPr>
      <w:r>
        <w:rPr>
          <w:rFonts w:hint="eastAsia" w:ascii="宋体" w:hAnsi="宋体" w:cs="宋体"/>
          <w:color w:val="000000"/>
        </w:rPr>
        <w:t xml:space="preserve">一、工程质量保修范围和内容</w:t>
      </w:r>
      <w:r/>
    </w:p>
    <w:p>
      <w:pPr>
        <w:pStyle w:val="1056"/>
        <w:ind w:firstLine="420"/>
        <w:spacing w:line="360" w:lineRule="auto"/>
        <w:rPr>
          <w:rFonts w:hint="eastAsia" w:ascii="宋体" w:hAnsi="宋体" w:cs="宋体"/>
          <w:color w:val="000000"/>
        </w:rPr>
      </w:pPr>
      <w:r>
        <w:rPr>
          <w:rFonts w:hint="eastAsia" w:ascii="宋体" w:hAnsi="宋体" w:cs="宋体"/>
          <w:color w:val="000000"/>
        </w:rPr>
        <w:t xml:space="preserve">承包人在质量保修期内，按照有关法律规定和合同约定，承担工程质量保修责任。</w:t>
      </w:r>
      <w:r/>
    </w:p>
    <w:p>
      <w:pPr>
        <w:pStyle w:val="1056"/>
        <w:ind w:firstLine="420"/>
        <w:spacing w:line="360" w:lineRule="auto"/>
        <w:rPr>
          <w:rFonts w:hint="eastAsia" w:ascii="宋体" w:hAnsi="宋体" w:cs="宋体"/>
          <w:color w:val="000000"/>
        </w:rPr>
      </w:pPr>
      <w:r>
        <w:rPr>
          <w:rFonts w:hint="eastAsia" w:ascii="宋体" w:hAnsi="宋体" w:cs="宋体"/>
          <w:color w:val="000000"/>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pStyle w:val="1056"/>
        <w:ind w:firstLine="420"/>
        <w:spacing w:line="360" w:lineRule="auto"/>
        <w:rPr>
          <w:rFonts w:hint="eastAsia" w:ascii="宋体" w:hAnsi="宋体" w:cs="宋体"/>
          <w:color w:val="000000"/>
        </w:rPr>
      </w:pPr>
      <w:r>
        <w:rPr>
          <w:rFonts w:hint="eastAsia" w:ascii="宋体" w:hAnsi="宋体" w:cs="宋体"/>
          <w:color w:val="000000"/>
        </w:rPr>
        <w:t xml:space="preserve">质量保修范围包括承包人施工范围内的全部内容，承包人负责施工的所有工程项目，如出现施工质量缺陷或施工质量隐患，承包人必须履行保修义务。</w:t>
      </w:r>
      <w:r/>
    </w:p>
    <w:p>
      <w:pPr>
        <w:pStyle w:val="1056"/>
        <w:ind w:firstLine="420"/>
        <w:spacing w:line="360" w:lineRule="auto"/>
        <w:rPr>
          <w:rFonts w:hint="eastAsia" w:ascii="宋体" w:hAnsi="宋体" w:cs="宋体"/>
          <w:color w:val="000000"/>
        </w:rPr>
      </w:pPr>
      <w:r>
        <w:rPr>
          <w:rFonts w:hint="eastAsia" w:ascii="宋体" w:hAnsi="宋体" w:cs="宋体"/>
          <w:color w:val="000000"/>
        </w:rPr>
        <w:t xml:space="preserve">二、质量保修期</w:t>
      </w:r>
      <w:r/>
    </w:p>
    <w:p>
      <w:pPr>
        <w:pStyle w:val="1056"/>
        <w:ind w:firstLine="420"/>
        <w:spacing w:line="360" w:lineRule="auto"/>
        <w:rPr>
          <w:rFonts w:hint="eastAsia" w:ascii="宋体" w:hAnsi="宋体" w:cs="宋体"/>
          <w:color w:val="000000"/>
        </w:rPr>
      </w:pPr>
      <w:r>
        <w:rPr>
          <w:rFonts w:hint="eastAsia" w:ascii="宋体" w:hAnsi="宋体" w:cs="宋体"/>
          <w:color w:val="000000"/>
        </w:rPr>
        <w:t xml:space="preserve">根据《建设工程质量管理条例》及有关规定，工程的质量保修期如下：</w:t>
      </w:r>
      <w:r/>
    </w:p>
    <w:p>
      <w:pPr>
        <w:pStyle w:val="1056"/>
        <w:ind w:firstLine="420"/>
        <w:spacing w:line="360" w:lineRule="auto"/>
        <w:rPr>
          <w:rFonts w:hint="eastAsia" w:ascii="宋体" w:hAnsi="宋体" w:cs="宋体"/>
          <w:color w:val="000000"/>
        </w:rPr>
      </w:pPr>
      <w:r>
        <w:rPr>
          <w:rFonts w:hint="eastAsia" w:ascii="宋体" w:hAnsi="宋体" w:cs="宋体"/>
          <w:color w:val="000000"/>
        </w:rPr>
        <w:t xml:space="preserve">1．地基基础工程和主体结构工程为设计文件规定的工程合理使用年限；</w:t>
      </w:r>
      <w:r/>
    </w:p>
    <w:p>
      <w:pPr>
        <w:pStyle w:val="1056"/>
        <w:ind w:firstLine="420"/>
        <w:spacing w:line="360" w:lineRule="auto"/>
        <w:rPr>
          <w:rFonts w:hint="eastAsia" w:ascii="宋体" w:hAnsi="宋体" w:cs="宋体"/>
          <w:color w:val="000000"/>
        </w:rPr>
      </w:pPr>
      <w:r>
        <w:rPr>
          <w:rFonts w:hint="eastAsia" w:ascii="宋体" w:hAnsi="宋体" w:cs="宋体"/>
          <w:color w:val="000000"/>
        </w:rPr>
        <w:t xml:space="preserve">2．屋面防水工程、有防水要求的卫生间、房间和外墙面的防渗为  5 年；</w:t>
      </w:r>
      <w:r/>
    </w:p>
    <w:p>
      <w:pPr>
        <w:pStyle w:val="1056"/>
        <w:ind w:firstLine="420"/>
        <w:spacing w:line="360" w:lineRule="auto"/>
        <w:rPr>
          <w:rFonts w:hint="eastAsia" w:ascii="宋体" w:hAnsi="宋体" w:cs="宋体"/>
          <w:color w:val="000000"/>
        </w:rPr>
      </w:pPr>
      <w:r>
        <w:rPr>
          <w:rFonts w:hint="eastAsia" w:ascii="宋体" w:hAnsi="宋体" w:cs="宋体"/>
          <w:color w:val="000000"/>
        </w:rPr>
        <w:t xml:space="preserve">3．装修工程为  2年；</w:t>
      </w:r>
      <w:r/>
    </w:p>
    <w:p>
      <w:pPr>
        <w:pStyle w:val="1056"/>
        <w:ind w:firstLine="420"/>
        <w:spacing w:line="360" w:lineRule="auto"/>
        <w:rPr>
          <w:rFonts w:hint="eastAsia" w:ascii="宋体" w:hAnsi="宋体" w:cs="宋体"/>
          <w:color w:val="000000"/>
        </w:rPr>
      </w:pPr>
      <w:r>
        <w:rPr>
          <w:rFonts w:hint="eastAsia" w:ascii="宋体" w:hAnsi="宋体" w:cs="宋体"/>
          <w:color w:val="000000"/>
        </w:rPr>
        <w:t xml:space="preserve">4．电气管线、给排水管道、设备安装工程为  2年；</w:t>
      </w:r>
      <w:r/>
    </w:p>
    <w:p>
      <w:pPr>
        <w:pStyle w:val="1056"/>
        <w:ind w:firstLine="420"/>
        <w:spacing w:line="360" w:lineRule="auto"/>
        <w:rPr>
          <w:rFonts w:hint="eastAsia" w:ascii="宋体" w:hAnsi="宋体" w:cs="宋体"/>
          <w:color w:val="000000"/>
        </w:rPr>
      </w:pPr>
      <w:r>
        <w:rPr>
          <w:rFonts w:hint="eastAsia" w:ascii="宋体" w:hAnsi="宋体" w:cs="宋体"/>
          <w:color w:val="000000"/>
        </w:rPr>
        <w:t xml:space="preserve">5．供热与供冷系统为  2个采暖期、供冷期；</w:t>
      </w:r>
      <w:r/>
    </w:p>
    <w:p>
      <w:pPr>
        <w:pStyle w:val="1056"/>
        <w:ind w:firstLine="420"/>
        <w:spacing w:line="360" w:lineRule="auto"/>
        <w:rPr>
          <w:rFonts w:hint="eastAsia" w:ascii="宋体" w:hAnsi="宋体" w:cs="宋体"/>
          <w:color w:val="000000"/>
        </w:rPr>
      </w:pPr>
      <w:r>
        <w:rPr>
          <w:rFonts w:hint="eastAsia" w:ascii="宋体" w:hAnsi="宋体" w:cs="宋体"/>
          <w:color w:val="000000"/>
        </w:rPr>
        <w:t xml:space="preserve">6．住宅小区内的给排水设施、道路等配套工程为  2年；</w:t>
      </w:r>
      <w:r/>
    </w:p>
    <w:p>
      <w:pPr>
        <w:pStyle w:val="1056"/>
        <w:ind w:firstLine="420"/>
        <w:spacing w:line="360" w:lineRule="auto"/>
        <w:rPr>
          <w:rFonts w:hint="eastAsia" w:ascii="宋体" w:hAnsi="宋体" w:cs="宋体"/>
          <w:color w:val="000000"/>
        </w:rPr>
      </w:pPr>
      <w:r>
        <w:rPr>
          <w:rFonts w:hint="eastAsia" w:ascii="宋体" w:hAnsi="宋体" w:cs="宋体"/>
          <w:color w:val="000000"/>
        </w:rPr>
        <w:t xml:space="preserve">7．其他项目保修期限约定如下：</w:t>
      </w:r>
      <w:r/>
    </w:p>
    <w:p>
      <w:pPr>
        <w:pStyle w:val="1056"/>
        <w:ind w:firstLine="420"/>
        <w:spacing w:line="360" w:lineRule="auto"/>
        <w:rPr>
          <w:rFonts w:hint="eastAsia" w:ascii="宋体" w:hAnsi="宋体" w:cs="宋体"/>
          <w:color w:val="000000"/>
        </w:rPr>
      </w:pPr>
      <w:r>
        <w:rPr>
          <w:rFonts w:hint="eastAsia" w:ascii="宋体" w:hAnsi="宋体" w:cs="宋体"/>
          <w:color w:val="000000"/>
        </w:rPr>
        <w:t xml:space="preserve">质量保修期自工程竣工验收合格之日起计算。</w:t>
      </w:r>
      <w:r/>
    </w:p>
    <w:p>
      <w:pPr>
        <w:pStyle w:val="1056"/>
        <w:ind w:firstLine="420"/>
        <w:spacing w:line="360" w:lineRule="auto"/>
        <w:rPr>
          <w:rFonts w:hint="eastAsia" w:ascii="宋体" w:hAnsi="宋体" w:cs="宋体"/>
          <w:color w:val="000000"/>
        </w:rPr>
      </w:pPr>
      <w:r>
        <w:rPr>
          <w:rFonts w:hint="eastAsia" w:ascii="宋体" w:hAnsi="宋体" w:cs="宋体"/>
          <w:color w:val="000000"/>
        </w:rPr>
        <w:t xml:space="preserve">三、缺陷责任期</w:t>
      </w:r>
      <w:r/>
    </w:p>
    <w:p>
      <w:pPr>
        <w:pStyle w:val="1056"/>
        <w:ind w:firstLine="420"/>
        <w:spacing w:line="360" w:lineRule="auto"/>
        <w:rPr>
          <w:rFonts w:hint="eastAsia" w:ascii="宋体" w:hAnsi="宋体" w:cs="宋体"/>
          <w:color w:val="000000"/>
        </w:rPr>
      </w:pPr>
      <w:r>
        <w:rPr>
          <w:rFonts w:hint="eastAsia" w:ascii="宋体" w:hAnsi="宋体" w:cs="宋体"/>
          <w:color w:val="000000"/>
        </w:rPr>
        <w:t xml:space="preserve">工程缺陷责任期为 24个月，缺陷责任期从工程通过竣工验收之日起计算。单位工程先于全部工程进行验收，经验收合格并交付使用的，单位工程缺陷责任期自单位工程验收合格之日起算。由于承包人原因导致工程无法按规定期限进行竣工验收的，缺陷责任期从实际通过竣工验收之日起计。</w:t>
      </w:r>
      <w:r/>
    </w:p>
    <w:p>
      <w:pPr>
        <w:pStyle w:val="1056"/>
        <w:ind w:firstLine="420"/>
        <w:spacing w:line="360" w:lineRule="auto"/>
        <w:rPr>
          <w:rFonts w:hint="eastAsia" w:ascii="宋体" w:hAnsi="宋体" w:cs="宋体"/>
          <w:color w:val="000000"/>
        </w:rPr>
      </w:pPr>
      <w:r>
        <w:rPr>
          <w:rFonts w:hint="eastAsia" w:ascii="宋体" w:hAnsi="宋体" w:cs="宋体"/>
          <w:color w:val="000000"/>
        </w:rPr>
        <w:t xml:space="preserve">缺陷责任期终止后，发包人应退还剩余的质量保证金。</w:t>
      </w:r>
      <w:r/>
    </w:p>
    <w:p>
      <w:pPr>
        <w:pStyle w:val="1056"/>
        <w:ind w:firstLine="420"/>
        <w:spacing w:line="360" w:lineRule="auto"/>
        <w:rPr>
          <w:rFonts w:hint="eastAsia" w:ascii="宋体" w:hAnsi="宋体" w:cs="宋体"/>
          <w:color w:val="000000"/>
        </w:rPr>
      </w:pPr>
      <w:r>
        <w:rPr>
          <w:rFonts w:hint="eastAsia" w:ascii="宋体" w:hAnsi="宋体" w:cs="宋体"/>
          <w:color w:val="000000"/>
        </w:rPr>
        <w:t xml:space="preserve"> 四、质量保修责任</w:t>
      </w:r>
      <w:r/>
    </w:p>
    <w:p>
      <w:pPr>
        <w:pStyle w:val="1056"/>
        <w:ind w:firstLine="420"/>
        <w:spacing w:line="360" w:lineRule="auto"/>
        <w:rPr>
          <w:rFonts w:hint="eastAsia" w:ascii="宋体" w:hAnsi="宋体" w:cs="宋体"/>
          <w:color w:val="000000"/>
        </w:rPr>
      </w:pPr>
      <w:r>
        <w:rPr>
          <w:rFonts w:hint="eastAsia" w:ascii="宋体" w:hAnsi="宋体" w:cs="宋体"/>
          <w:color w:val="000000"/>
        </w:rPr>
        <w:t xml:space="preserve">1．属于保修范围、内容的项目，承包人应当在接到保修通知之日起7天内派人保修。承包人不在约定期限内派人保修的，发包人可以委托他人修理。</w:t>
      </w:r>
      <w:r/>
    </w:p>
    <w:p>
      <w:pPr>
        <w:pStyle w:val="1056"/>
        <w:ind w:firstLine="420"/>
        <w:spacing w:line="360" w:lineRule="auto"/>
        <w:rPr>
          <w:rFonts w:hint="eastAsia" w:ascii="宋体" w:hAnsi="宋体" w:cs="宋体"/>
          <w:color w:val="000000"/>
        </w:rPr>
      </w:pPr>
      <w:r>
        <w:rPr>
          <w:rFonts w:hint="eastAsia" w:ascii="宋体" w:hAnsi="宋体" w:cs="宋体"/>
          <w:color w:val="000000"/>
        </w:rPr>
        <w:t xml:space="preserve">2．发生紧急事故需抢修的，承包人在接到事故通知后，应当立即到达事故现场抢修。</w:t>
      </w:r>
      <w:r/>
    </w:p>
    <w:p>
      <w:pPr>
        <w:pStyle w:val="1056"/>
        <w:ind w:firstLine="420"/>
        <w:spacing w:line="360" w:lineRule="auto"/>
        <w:rPr>
          <w:rFonts w:hint="eastAsia" w:ascii="宋体" w:hAnsi="宋体" w:cs="宋体"/>
          <w:color w:val="000000"/>
        </w:rPr>
      </w:pPr>
      <w:r>
        <w:rPr>
          <w:rFonts w:hint="eastAsia" w:ascii="宋体" w:hAnsi="宋体" w:cs="宋体"/>
          <w:color w:val="000000"/>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1056"/>
        <w:ind w:firstLine="420"/>
        <w:spacing w:line="360" w:lineRule="auto"/>
        <w:rPr>
          <w:rFonts w:hint="eastAsia" w:ascii="宋体" w:hAnsi="宋体" w:cs="宋体"/>
          <w:color w:val="000000"/>
        </w:rPr>
      </w:pPr>
      <w:r>
        <w:rPr>
          <w:rFonts w:hint="eastAsia" w:ascii="宋体" w:hAnsi="宋体" w:cs="宋体"/>
          <w:color w:val="000000"/>
        </w:rPr>
        <w:t xml:space="preserve">4．质量保修完成后，由发包人组织验收。</w:t>
      </w:r>
      <w:r/>
    </w:p>
    <w:p>
      <w:pPr>
        <w:pStyle w:val="1056"/>
        <w:ind w:firstLine="420"/>
        <w:spacing w:line="360" w:lineRule="auto"/>
        <w:rPr>
          <w:rFonts w:hint="eastAsia" w:ascii="宋体" w:hAnsi="宋体" w:cs="宋体"/>
          <w:color w:val="000000"/>
        </w:rPr>
      </w:pPr>
      <w:r>
        <w:rPr>
          <w:rFonts w:hint="eastAsia" w:ascii="宋体" w:hAnsi="宋体" w:cs="宋体"/>
          <w:color w:val="000000"/>
        </w:rPr>
        <w:t xml:space="preserve">五、保修费用</w:t>
      </w:r>
      <w:r/>
    </w:p>
    <w:p>
      <w:pPr>
        <w:pStyle w:val="1056"/>
        <w:ind w:firstLine="420"/>
        <w:spacing w:line="360" w:lineRule="auto"/>
        <w:rPr>
          <w:rFonts w:hint="eastAsia" w:ascii="宋体" w:hAnsi="宋体" w:cs="宋体"/>
          <w:color w:val="000000"/>
        </w:rPr>
      </w:pPr>
      <w:r>
        <w:rPr>
          <w:rFonts w:hint="eastAsia" w:ascii="宋体" w:hAnsi="宋体" w:cs="宋体"/>
          <w:color w:val="000000"/>
        </w:rPr>
        <w:t xml:space="preserve">保修费用由造成质量缺陷的责任方承担。</w:t>
      </w:r>
      <w:r/>
    </w:p>
    <w:p>
      <w:pPr>
        <w:pStyle w:val="1056"/>
        <w:ind w:firstLine="420"/>
        <w:spacing w:line="360" w:lineRule="auto"/>
        <w:rPr>
          <w:rFonts w:hint="eastAsia" w:ascii="宋体" w:hAnsi="宋体" w:cs="宋体"/>
          <w:color w:val="000000"/>
        </w:rPr>
      </w:pPr>
      <w:r>
        <w:rPr>
          <w:rFonts w:hint="eastAsia" w:ascii="宋体" w:hAnsi="宋体" w:cs="宋体"/>
          <w:color w:val="000000"/>
        </w:rPr>
        <w:t xml:space="preserve">六、双方约定的其他工程质量保修事项：/。</w:t>
      </w:r>
      <w:r/>
    </w:p>
    <w:p>
      <w:pPr>
        <w:pStyle w:val="1056"/>
        <w:ind w:firstLine="420"/>
        <w:spacing w:line="360" w:lineRule="auto"/>
        <w:rPr>
          <w:rFonts w:hint="eastAsia" w:ascii="宋体" w:hAnsi="宋体" w:cs="宋体"/>
          <w:color w:val="000000"/>
        </w:rPr>
      </w:pPr>
      <w:r>
        <w:rPr>
          <w:rFonts w:hint="eastAsia" w:ascii="宋体" w:hAnsi="宋体" w:cs="宋体"/>
          <w:color w:val="000000"/>
        </w:rPr>
        <w:t xml:space="preserve">工程质量保修书由发包人、承包人在工程竣工验收前共同签署，作为施工合同附件，其有效期限至保修期满。</w:t>
      </w:r>
      <w:r/>
    </w:p>
    <w:p>
      <w:pPr>
        <w:pStyle w:val="1056"/>
        <w:ind w:firstLine="480"/>
        <w:spacing w:line="360" w:lineRule="auto"/>
        <w:rPr>
          <w:rFonts w:hint="eastAsia" w:ascii="宋体" w:hAnsi="宋体" w:cs="宋体"/>
          <w:color w:val="000000"/>
        </w:rPr>
      </w:pPr>
      <w:r>
        <w:rPr>
          <w:rFonts w:hint="eastAsia" w:ascii="宋体" w:hAnsi="宋体" w:cs="宋体"/>
          <w:color w:val="000000"/>
        </w:rPr>
      </w:r>
      <w:r/>
    </w:p>
    <w:p>
      <w:pPr>
        <w:pStyle w:val="1056"/>
        <w:ind w:firstLine="480"/>
        <w:spacing w:line="360" w:lineRule="auto"/>
        <w:rPr>
          <w:rFonts w:hint="eastAsia" w:ascii="宋体" w:hAnsi="宋体" w:cs="宋体"/>
          <w:color w:val="000000"/>
        </w:rPr>
      </w:pPr>
      <w:r>
        <w:rPr>
          <w:rFonts w:hint="eastAsia" w:ascii="宋体" w:hAnsi="宋体" w:cs="宋体"/>
          <w:color w:val="000000"/>
        </w:rPr>
        <w:t xml:space="preserve">发包人(公章)：                                     承包人(公章)：          </w:t>
      </w:r>
      <w:r/>
    </w:p>
    <w:p>
      <w:pPr>
        <w:pStyle w:val="1056"/>
        <w:ind w:firstLine="480"/>
        <w:spacing w:line="360" w:lineRule="auto"/>
        <w:rPr>
          <w:rFonts w:hint="eastAsia" w:ascii="宋体" w:hAnsi="宋体" w:cs="宋体"/>
          <w:color w:val="000000"/>
        </w:rPr>
      </w:pPr>
      <w:r>
        <w:rPr>
          <w:rFonts w:hint="eastAsia" w:ascii="宋体" w:hAnsi="宋体" w:cs="宋体"/>
          <w:color w:val="000000"/>
        </w:rPr>
        <w:t xml:space="preserve">地  址：                                           地  址：                 </w:t>
      </w:r>
      <w:r/>
    </w:p>
    <w:p>
      <w:pPr>
        <w:pStyle w:val="1056"/>
        <w:ind w:firstLine="480"/>
        <w:spacing w:line="360" w:lineRule="auto"/>
        <w:rPr>
          <w:rFonts w:hint="eastAsia" w:ascii="宋体" w:hAnsi="宋体" w:cs="宋体"/>
          <w:color w:val="000000"/>
        </w:rPr>
      </w:pPr>
      <w:r>
        <w:rPr>
          <w:rFonts w:hint="eastAsia" w:ascii="宋体" w:hAnsi="宋体" w:cs="宋体"/>
          <w:color w:val="000000"/>
        </w:rPr>
        <w:t xml:space="preserve">法定代表人(签字)：                                 法定代表人(签字)：       </w:t>
      </w:r>
      <w:r/>
    </w:p>
    <w:p>
      <w:pPr>
        <w:pStyle w:val="1056"/>
        <w:ind w:firstLine="480"/>
        <w:spacing w:line="360" w:lineRule="auto"/>
        <w:rPr>
          <w:rFonts w:hint="eastAsia" w:ascii="宋体" w:hAnsi="宋体" w:cs="宋体"/>
          <w:color w:val="000000"/>
        </w:rPr>
      </w:pPr>
      <w:r>
        <w:rPr>
          <w:rFonts w:hint="eastAsia" w:ascii="宋体" w:hAnsi="宋体" w:cs="宋体"/>
          <w:color w:val="000000"/>
        </w:rPr>
        <w:t xml:space="preserve">委托代理人(签字)：                                 委托代理人(签字)：       </w:t>
      </w:r>
      <w:r/>
    </w:p>
    <w:p>
      <w:pPr>
        <w:pStyle w:val="1056"/>
        <w:ind w:firstLine="480"/>
        <w:spacing w:line="360" w:lineRule="auto"/>
        <w:rPr>
          <w:rFonts w:hint="eastAsia" w:ascii="宋体" w:hAnsi="宋体" w:cs="宋体"/>
          <w:color w:val="000000"/>
        </w:rPr>
      </w:pPr>
      <w:r>
        <w:rPr>
          <w:rFonts w:hint="eastAsia" w:ascii="宋体" w:hAnsi="宋体" w:cs="宋体"/>
          <w:color w:val="000000"/>
        </w:rPr>
        <w:t xml:space="preserve">电  话：                                           电  话：                 </w:t>
      </w:r>
      <w:r/>
    </w:p>
    <w:p>
      <w:pPr>
        <w:pStyle w:val="1056"/>
        <w:ind w:firstLine="480"/>
        <w:spacing w:line="360" w:lineRule="auto"/>
        <w:rPr>
          <w:rFonts w:hint="eastAsia" w:ascii="宋体" w:hAnsi="宋体" w:cs="宋体"/>
          <w:color w:val="000000"/>
        </w:rPr>
      </w:pPr>
      <w:r>
        <w:rPr>
          <w:rFonts w:hint="eastAsia" w:ascii="宋体" w:hAnsi="宋体" w:cs="宋体"/>
          <w:color w:val="000000"/>
        </w:rPr>
        <w:t xml:space="preserve">传  真：                                           传  真：                 </w:t>
      </w:r>
      <w:r/>
    </w:p>
    <w:p>
      <w:pPr>
        <w:pStyle w:val="1056"/>
        <w:ind w:firstLine="480"/>
        <w:spacing w:line="360" w:lineRule="auto"/>
        <w:rPr>
          <w:rFonts w:hint="eastAsia" w:ascii="宋体" w:hAnsi="宋体" w:cs="宋体"/>
          <w:color w:val="000000"/>
        </w:rPr>
      </w:pPr>
      <w:r>
        <w:rPr>
          <w:rFonts w:hint="eastAsia" w:ascii="宋体" w:hAnsi="宋体" w:cs="宋体"/>
          <w:color w:val="000000"/>
        </w:rPr>
        <w:t xml:space="preserve">开户银行：                                         开户银行：               </w:t>
      </w:r>
      <w:r/>
    </w:p>
    <w:p>
      <w:pPr>
        <w:pStyle w:val="1056"/>
        <w:ind w:firstLine="480"/>
        <w:spacing w:line="360" w:lineRule="auto"/>
        <w:rPr>
          <w:rFonts w:hint="eastAsia" w:ascii="宋体" w:hAnsi="宋体" w:cs="宋体"/>
          <w:color w:val="000000"/>
        </w:rPr>
      </w:pPr>
      <w:r>
        <w:rPr>
          <w:rFonts w:hint="eastAsia" w:ascii="宋体" w:hAnsi="宋体" w:cs="宋体"/>
          <w:color w:val="000000"/>
        </w:rPr>
        <w:t xml:space="preserve">账  号：                                           账  号：                  </w:t>
      </w:r>
      <w:r/>
    </w:p>
    <w:p>
      <w:pPr>
        <w:pStyle w:val="1056"/>
        <w:ind w:right="1233" w:firstLine="480"/>
        <w:spacing w:before="36" w:line="360" w:lineRule="auto"/>
        <w:tabs>
          <w:tab w:val="left" w:pos="6871" w:leader="none"/>
          <w:tab w:val="left" w:pos="7831" w:leader="none"/>
        </w:tabs>
        <w:rPr>
          <w:rFonts w:hint="eastAsia" w:ascii="宋体" w:hAnsi="宋体" w:cs="宋体"/>
          <w:b/>
          <w:bCs/>
          <w:color w:val="000000"/>
        </w:rPr>
      </w:pPr>
      <w:r>
        <w:rPr>
          <w:rFonts w:hint="eastAsia" w:ascii="宋体" w:hAnsi="宋体" w:cs="宋体"/>
          <w:color w:val="000000"/>
        </w:rPr>
        <w:t xml:space="preserve">邮政编码：                                         邮政编码： </w:t>
      </w:r>
      <w:r>
        <w:rPr>
          <w:rFonts w:hint="eastAsia" w:ascii="宋体" w:hAnsi="宋体" w:cs="宋体"/>
          <w:b/>
          <w:bCs/>
          <w:color w:val="000000"/>
        </w:rPr>
      </w:r>
      <w:r/>
    </w:p>
    <w:p>
      <w:pPr>
        <w:pStyle w:val="831"/>
        <w:jc w:val="both"/>
        <w:rPr>
          <w:rFonts w:hint="eastAsia"/>
          <w:b/>
          <w:bCs/>
          <w:color w:val="000000"/>
          <w:sz w:val="44"/>
          <w:szCs w:val="44"/>
        </w:rPr>
      </w:pPr>
      <w:r>
        <w:rPr>
          <w:rFonts w:hint="eastAsia"/>
          <w:b/>
          <w:bCs/>
          <w:color w:val="000000"/>
          <w:sz w:val="44"/>
          <w:szCs w:val="44"/>
        </w:rPr>
      </w:r>
      <w:r/>
    </w:p>
    <w:p>
      <w:pPr>
        <w:pStyle w:val="831"/>
        <w:jc w:val="both"/>
        <w:rPr>
          <w:rFonts w:hint="eastAsia"/>
          <w:b/>
          <w:bCs/>
          <w:color w:val="000000"/>
          <w:sz w:val="44"/>
          <w:szCs w:val="44"/>
        </w:rPr>
      </w:pPr>
      <w:r>
        <w:rPr>
          <w:rFonts w:hint="eastAsia"/>
          <w:b/>
          <w:bCs/>
          <w:color w:val="000000"/>
          <w:sz w:val="44"/>
          <w:szCs w:val="44"/>
        </w:rPr>
      </w:r>
      <w:r/>
    </w:p>
    <w:p>
      <w:pPr>
        <w:pStyle w:val="831"/>
        <w:jc w:val="both"/>
        <w:rPr>
          <w:rFonts w:ascii="宋体" w:hAnsi="宋体" w:eastAsia="宋体" w:cs="宋体"/>
          <w:b/>
          <w:color w:val="000000"/>
          <w:sz w:val="28"/>
        </w:rPr>
      </w:pPr>
      <w:r>
        <w:rPr>
          <w:rFonts w:ascii="宋体" w:hAnsi="宋体" w:eastAsia="宋体" w:cs="宋体"/>
          <w:b/>
          <w:color w:val="000000"/>
          <w:sz w:val="28"/>
        </w:rPr>
        <w:br w:type="page" w:clear="all"/>
      </w:r>
      <w:r/>
    </w:p>
    <w:p>
      <w:pPr>
        <w:pStyle w:val="831"/>
        <w:jc w:val="center"/>
        <w:spacing w:before="240" w:after="6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第六章 投标文件格式</w:t>
      </w:r>
      <w:r>
        <w:rPr>
          <w:color w:val="000000"/>
        </w:rPr>
      </w:r>
      <w:r/>
    </w:p>
    <w:p>
      <w:pPr>
        <w:pStyle w:val="831"/>
        <w:ind w:firstLine="472"/>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投标文件相应材料请按投标文件格式进行填写，如投标文件格式无明确规定的，由</w:t>
      </w:r>
      <w:r>
        <w:rPr>
          <w:rFonts w:hint="eastAsia" w:ascii="宋体" w:hAnsi="宋体" w:eastAsia="宋体" w:cs="宋体"/>
          <w:b/>
          <w:color w:val="000000"/>
          <w:sz w:val="24"/>
        </w:rPr>
        <w:t xml:space="preserve">投标供应商</w:t>
      </w:r>
      <w:r>
        <w:rPr>
          <w:rFonts w:ascii="宋体" w:hAnsi="宋体" w:eastAsia="宋体" w:cs="宋体"/>
          <w:b/>
          <w:color w:val="000000"/>
          <w:sz w:val="24"/>
        </w:rPr>
        <w:t xml:space="preserve">自行编制。</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right"/>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正本/副本</w:t>
      </w:r>
      <w:r>
        <w:rPr>
          <w:color w:val="000000"/>
        </w:rPr>
      </w:r>
      <w:r/>
    </w:p>
    <w:p>
      <w:pPr>
        <w:pStyle w:val="831"/>
        <w:jc w:val="center"/>
        <w:spacing w:before="240" w:after="240" w:line="85" w:lineRule="atLeast"/>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仙林校区德经楼高压变电所设备升级改造项目</w:t>
      </w:r>
      <w:r>
        <w:rPr>
          <w:rFonts w:hint="eastAsia" w:ascii="宋体" w:hAnsi="宋体" w:eastAsia="宋体" w:cs="宋体"/>
          <w:b/>
          <w:color w:val="000000"/>
          <w:sz w:val="36"/>
        </w:rPr>
      </w:r>
      <w:r/>
    </w:p>
    <w:p>
      <w:pPr>
        <w:pStyle w:val="831"/>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投标文件</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831"/>
        <w:ind w:firstLine="3534"/>
        <w:jc w:val="both"/>
        <w:spacing w:before="240" w:after="240" w:line="85" w:lineRule="atLeast"/>
        <w:rPr>
          <w:rFonts w:ascii="宋体" w:hAnsi="宋体" w:eastAsia="宋体" w:cs="宋体"/>
          <w:b/>
          <w:color w:val="000000"/>
          <w:sz w:val="28"/>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4"/>
        </w:rPr>
      </w:r>
      <w:r/>
    </w:p>
    <w:p>
      <w:pPr>
        <w:pStyle w:val="831"/>
        <w:ind w:firstLine="3534"/>
        <w:jc w:val="both"/>
        <w:spacing w:before="240" w:after="240" w:line="85" w:lineRule="atLeast"/>
        <w:rPr>
          <w:rFonts w:ascii="宋体" w:hAnsi="宋体" w:eastAsia="宋体" w:cs="宋体"/>
          <w:b/>
          <w:color w:val="000000"/>
          <w:sz w:val="28"/>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4"/>
        </w:rPr>
      </w:r>
      <w:r/>
    </w:p>
    <w:p>
      <w:pPr>
        <w:pStyle w:val="831"/>
        <w:ind w:firstLine="3534"/>
        <w:jc w:val="both"/>
        <w:spacing w:before="240" w:after="240" w:line="85" w:lineRule="atLeast"/>
        <w:rPr>
          <w:color w:val="000000"/>
          <w:sz w:val="22"/>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4"/>
        </w:rPr>
        <w:t xml:space="preserve">项目编号：</w:t>
      </w:r>
      <w:r>
        <w:rPr>
          <w:color w:val="000000"/>
          <w:sz w:val="22"/>
          <w:szCs w:val="24"/>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投标供应商</w:t>
      </w:r>
      <w:r>
        <w:rPr>
          <w:rFonts w:ascii="宋体" w:hAnsi="宋体" w:eastAsia="宋体" w:cs="宋体"/>
          <w:color w:val="000000"/>
          <w:sz w:val="24"/>
        </w:rPr>
        <w:t xml:space="preserve">：（盖单位章）</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法定代表人或其委托代理人：（签字）</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年  月  日</w:t>
      </w:r>
      <w:r>
        <w:rPr>
          <w:color w:val="000000"/>
        </w:rPr>
      </w:r>
      <w:r/>
    </w:p>
    <w:p>
      <w:pPr>
        <w:pStyle w:val="831"/>
        <w:jc w:val="both"/>
        <w:spacing w:before="240" w:after="24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831"/>
        <w:jc w:val="both"/>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评分索引表</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91"/>
        <w:gridCol w:w="6971"/>
        <w:gridCol w:w="993"/>
      </w:tblGrid>
      <w:tr>
        <w:trPr>
          <w:trHeight w:val="806"/>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391" w:type="dxa"/>
            <w:vAlign w:val="center"/>
            <w:textDirection w:val="lrTb"/>
            <w:noWrap w:val="false"/>
          </w:tcPr>
          <w:p>
            <w:pPr>
              <w:pStyle w:val="831"/>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评分因素</w:t>
            </w:r>
            <w:r>
              <w:rPr>
                <w:color w:val="000000"/>
              </w:rPr>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6971" w:type="dxa"/>
            <w:vAlign w:val="center"/>
            <w:textDirection w:val="lrTb"/>
            <w:noWrap w:val="false"/>
          </w:tcPr>
          <w:p>
            <w:pPr>
              <w:pStyle w:val="831"/>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评分标准</w:t>
            </w:r>
            <w:r>
              <w:rPr>
                <w:color w:val="000000"/>
              </w:rPr>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993" w:type="dxa"/>
            <w:vAlign w:val="center"/>
            <w:textDirection w:val="lrTb"/>
            <w:noWrap w:val="false"/>
          </w:tcPr>
          <w:p>
            <w:pPr>
              <w:pStyle w:val="831"/>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投标</w:t>
            </w:r>
            <w:r>
              <w:rPr>
                <w:rFonts w:ascii="宋体" w:hAnsi="宋体" w:eastAsia="宋体" w:cs="宋体"/>
                <w:color w:val="000000"/>
                <w:sz w:val="24"/>
              </w:rPr>
              <w:t xml:space="preserve">文件对应页码</w:t>
            </w:r>
            <w:r>
              <w:rPr>
                <w:color w:val="000000"/>
              </w:rPr>
            </w:r>
            <w:r/>
          </w:p>
        </w:tc>
      </w:tr>
      <w:tr>
        <w:trPr>
          <w:trHeight w:val="531"/>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391"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971"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93"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31"/>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391"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971"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93"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31"/>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391"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971"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93"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31"/>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391"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971"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93"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31"/>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391"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971"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93"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31"/>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391"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971"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93"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31"/>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391"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971"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93"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31"/>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391"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971"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93"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31"/>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391"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971"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93"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31"/>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391"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971"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93"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31"/>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391"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971"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93"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31"/>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391"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971"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93"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bl>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投标供应商</w:t>
      </w:r>
      <w:r>
        <w:rPr>
          <w:rFonts w:ascii="宋体" w:hAnsi="宋体" w:eastAsia="宋体" w:cs="宋体"/>
          <w:color w:val="000000"/>
          <w:sz w:val="24"/>
        </w:rPr>
        <w:t xml:space="preserve">名称：（盖章）</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说明：如果行数不够，请自行增加。</w:t>
      </w:r>
      <w:r>
        <w:rPr>
          <w:color w:val="000000"/>
        </w:rPr>
      </w:r>
      <w:r/>
    </w:p>
    <w:p>
      <w:pPr>
        <w:pStyle w:val="831"/>
        <w:jc w:val="both"/>
        <w:spacing w:before="240" w:after="6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目录</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831"/>
        <w:ind w:firstLine="960"/>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w:t>
      </w:r>
      <w:r>
        <w:rPr>
          <w:rFonts w:hint="eastAsia" w:ascii="宋体" w:hAnsi="宋体" w:eastAsia="宋体" w:cs="宋体"/>
          <w:color w:val="000000"/>
          <w:sz w:val="24"/>
        </w:rPr>
        <w:t xml:space="preserve">投标供应商</w:t>
      </w:r>
      <w:r>
        <w:rPr>
          <w:rFonts w:ascii="宋体" w:hAnsi="宋体" w:eastAsia="宋体" w:cs="宋体"/>
          <w:color w:val="000000"/>
          <w:sz w:val="24"/>
        </w:rPr>
        <w:t xml:space="preserve">根据附件顺序编制投标文件并制作目录（须生成页码）]</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rFonts w:ascii="宋体" w:hAnsi="宋体" w:eastAsia="宋体" w:cs="宋体"/>
          <w:b/>
          <w:color w:val="000000"/>
          <w:sz w:val="24"/>
        </w:rPr>
        <w:t xml:space="preserve">附件一</w:t>
      </w:r>
      <w:r>
        <w:rPr>
          <w:rFonts w:hint="eastAsia" w:ascii="宋体" w:hAnsi="宋体" w:eastAsia="宋体" w:cs="宋体"/>
          <w:b/>
          <w:color w:val="000000"/>
          <w:sz w:val="24"/>
        </w:rPr>
        <w:t xml:space="preserve">、</w:t>
      </w:r>
      <w:r>
        <w:rPr>
          <w:rFonts w:ascii="宋体" w:hAnsi="宋体" w:eastAsia="宋体" w:cs="宋体"/>
          <w:b/>
          <w:color w:val="000000"/>
          <w:sz w:val="24"/>
        </w:rPr>
        <w:t xml:space="preserve">投标申请及申明</w:t>
      </w:r>
      <w:r>
        <w:rPr>
          <w:color w:val="000000"/>
        </w:rPr>
      </w:r>
      <w:r/>
    </w:p>
    <w:p>
      <w:pPr>
        <w:pStyle w:val="831"/>
        <w:ind w:firstLine="3600"/>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投标申请及申明</w:t>
      </w:r>
      <w:r>
        <w:rPr>
          <w:color w:val="000000"/>
        </w:rPr>
      </w:r>
      <w:r/>
    </w:p>
    <w:p>
      <w:pPr>
        <w:pStyle w:val="831"/>
        <w:jc w:val="both"/>
        <w:spacing w:line="9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致：</w:t>
      </w:r>
      <w:r>
        <w:rPr>
          <w:rFonts w:hint="eastAsia" w:ascii="宋体" w:hAnsi="宋体" w:eastAsia="宋体" w:cs="宋体"/>
          <w:color w:val="000000"/>
        </w:rPr>
        <w:t xml:space="preserve">南京财经大学</w:t>
      </w:r>
      <w:r>
        <w:rPr>
          <w:rFonts w:ascii="宋体" w:hAnsi="宋体" w:eastAsia="宋体" w:cs="宋体"/>
          <w:color w:val="000000"/>
        </w:rPr>
        <w:t xml:space="preserve"> </w:t>
      </w:r>
      <w:r>
        <w:rPr>
          <w:color w:val="000000"/>
        </w:rPr>
      </w:r>
      <w:r/>
    </w:p>
    <w:p>
      <w:pPr>
        <w:pStyle w:val="831"/>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根据贵方</w:t>
      </w:r>
      <w:r>
        <w:rPr>
          <w:rFonts w:ascii="宋体" w:hAnsi="宋体" w:eastAsia="宋体" w:cs="宋体"/>
          <w:color w:val="000000"/>
          <w:u w:val="single"/>
        </w:rPr>
        <w:t xml:space="preserve">          </w:t>
      </w:r>
      <w:r>
        <w:rPr>
          <w:rFonts w:ascii="宋体" w:hAnsi="宋体" w:eastAsia="宋体" w:cs="宋体"/>
          <w:color w:val="000000"/>
        </w:rPr>
        <w:t xml:space="preserve">（项目名称</w:t>
      </w:r>
      <w:r>
        <w:rPr>
          <w:rFonts w:hint="eastAsia" w:ascii="宋体" w:hAnsi="宋体" w:eastAsia="宋体" w:cs="宋体"/>
          <w:color w:val="000000"/>
        </w:rPr>
        <w:t xml:space="preserve">、分包号</w:t>
      </w:r>
      <w:r>
        <w:rPr>
          <w:rFonts w:ascii="宋体" w:hAnsi="宋体" w:eastAsia="宋体" w:cs="宋体"/>
          <w:color w:val="000000"/>
        </w:rPr>
        <w:t xml:space="preserve">）</w:t>
      </w:r>
      <w:r>
        <w:rPr>
          <w:rFonts w:ascii="宋体" w:hAnsi="宋体" w:eastAsia="宋体" w:cs="宋体"/>
          <w:color w:val="000000"/>
          <w:u w:val="single"/>
        </w:rPr>
        <w:t xml:space="preserve">          </w:t>
      </w:r>
      <w:r>
        <w:rPr>
          <w:rFonts w:ascii="宋体" w:hAnsi="宋体" w:eastAsia="宋体" w:cs="宋体"/>
          <w:color w:val="000000"/>
        </w:rPr>
        <w:t xml:space="preserve">（项目编号</w:t>
      </w:r>
      <w:r>
        <w:rPr>
          <w:rFonts w:hint="eastAsia" w:ascii="宋体" w:hAnsi="宋体" w:eastAsia="宋体" w:cs="宋体"/>
          <w:color w:val="000000"/>
        </w:rPr>
        <w:t xml:space="preserve">）</w:t>
      </w:r>
      <w:r>
        <w:rPr>
          <w:rFonts w:ascii="宋体" w:hAnsi="宋体" w:eastAsia="宋体" w:cs="宋体"/>
          <w:color w:val="000000"/>
        </w:rPr>
        <w:t xml:space="preserve">招标公告，正式授权下述签字人</w:t>
      </w:r>
      <w:r>
        <w:rPr>
          <w:rFonts w:ascii="宋体" w:hAnsi="宋体" w:eastAsia="宋体" w:cs="宋体"/>
          <w:color w:val="000000"/>
          <w:u w:val="single"/>
        </w:rPr>
        <w:t xml:space="preserve">          </w:t>
      </w:r>
      <w:r>
        <w:rPr>
          <w:rFonts w:ascii="宋体" w:hAnsi="宋体" w:eastAsia="宋体" w:cs="宋体"/>
          <w:color w:val="000000"/>
        </w:rPr>
        <w:t xml:space="preserve">（姓名和职务）代表</w:t>
      </w:r>
      <w:r>
        <w:rPr>
          <w:rFonts w:hint="eastAsia" w:ascii="宋体" w:hAnsi="宋体" w:eastAsia="宋体" w:cs="宋体"/>
          <w:color w:val="000000"/>
        </w:rPr>
        <w:t xml:space="preserve">投标供应商</w:t>
      </w:r>
      <w:r>
        <w:rPr>
          <w:rFonts w:ascii="宋体" w:hAnsi="宋体" w:eastAsia="宋体" w:cs="宋体"/>
          <w:color w:val="000000"/>
          <w:u w:val="single"/>
        </w:rPr>
        <w:t xml:space="preserve">       </w:t>
      </w:r>
      <w:r>
        <w:rPr>
          <w:rFonts w:ascii="宋体" w:hAnsi="宋体" w:eastAsia="宋体" w:cs="宋体"/>
          <w:color w:val="000000"/>
        </w:rPr>
        <w:t xml:space="preserve">（</w:t>
      </w:r>
      <w:r>
        <w:rPr>
          <w:rFonts w:hint="eastAsia" w:ascii="宋体" w:hAnsi="宋体" w:eastAsia="宋体" w:cs="宋体"/>
          <w:color w:val="000000"/>
        </w:rPr>
        <w:t xml:space="preserve">投标供应商</w:t>
      </w:r>
      <w:r>
        <w:rPr>
          <w:rFonts w:ascii="宋体" w:hAnsi="宋体" w:eastAsia="宋体" w:cs="宋体"/>
          <w:color w:val="000000"/>
        </w:rPr>
        <w:t xml:space="preserve">名称），提交投标文件。</w:t>
      </w:r>
      <w:r>
        <w:rPr>
          <w:color w:val="000000"/>
        </w:rPr>
      </w:r>
      <w:r/>
    </w:p>
    <w:p>
      <w:pPr>
        <w:pStyle w:val="831"/>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据此函，签字人兹宣布声明和承诺如下：</w:t>
      </w:r>
      <w:r>
        <w:rPr>
          <w:color w:val="000000"/>
        </w:rPr>
      </w:r>
      <w:r/>
    </w:p>
    <w:p>
      <w:pPr>
        <w:pStyle w:val="831"/>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w:t>
      </w:r>
      <w:r>
        <w:rPr>
          <w:rFonts w:ascii="宋体" w:hAnsi="宋体" w:eastAsia="宋体" w:cs="宋体"/>
          <w:b/>
          <w:color w:val="000000"/>
        </w:rPr>
        <w:t xml:space="preserve">我们的资格条件完全符合政府采购法和本次招标要求</w:t>
      </w:r>
      <w:r>
        <w:rPr>
          <w:rFonts w:ascii="宋体" w:hAnsi="宋体" w:eastAsia="宋体" w:cs="宋体"/>
          <w:color w:val="000000"/>
        </w:rPr>
        <w:t xml:space="preserve">，我们同意并向贵方提供了与投标有关的所有证据和资料。</w:t>
      </w:r>
      <w:r>
        <w:rPr>
          <w:color w:val="000000"/>
        </w:rPr>
      </w:r>
      <w:r/>
    </w:p>
    <w:p>
      <w:pPr>
        <w:pStyle w:val="831"/>
        <w:ind w:firstLine="420"/>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2、按招标要求，我们的投标总报价为（大写）</w:t>
      </w:r>
      <w:r>
        <w:rPr>
          <w:rFonts w:ascii="宋体" w:hAnsi="宋体" w:eastAsia="宋体" w:cs="宋体"/>
          <w:color w:val="000000"/>
          <w:u w:val="single"/>
        </w:rPr>
        <w:t xml:space="preserve">   </w:t>
      </w:r>
      <w:r>
        <w:rPr>
          <w:rFonts w:hint="eastAsia" w:ascii="宋体" w:hAnsi="宋体" w:eastAsia="宋体" w:cs="宋体"/>
          <w:color w:val="000000"/>
          <w:u w:val="single"/>
        </w:rPr>
        <w:t xml:space="preserve">           </w:t>
      </w:r>
      <w:r>
        <w:rPr>
          <w:rFonts w:ascii="宋体" w:hAnsi="宋体" w:eastAsia="宋体" w:cs="宋体"/>
          <w:color w:val="000000"/>
        </w:rPr>
        <w:t xml:space="preserve">元人民币。</w:t>
      </w:r>
      <w:r/>
    </w:p>
    <w:p>
      <w:pPr>
        <w:pStyle w:val="831"/>
        <w:ind w:firstLine="420"/>
        <w:jc w:val="both"/>
        <w:spacing w:line="360" w:lineRule="auto"/>
        <w:rPr>
          <w:rFonts w:hint="eastAsia" w:ascii="宋体" w:hAnsi="宋体" w:eastAsia="宋体" w:cs="宋体"/>
          <w:color w:val="000000"/>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w:t>
      </w:r>
      <w:r>
        <w:rPr>
          <w:rFonts w:hint="eastAsia" w:ascii="宋体" w:hAnsi="宋体" w:eastAsia="宋体" w:cs="宋体"/>
          <w:color w:val="000000"/>
        </w:rPr>
        <w:t xml:space="preserve">我方拟派项目负责人为 </w:t>
      </w:r>
      <w:r>
        <w:rPr>
          <w:rFonts w:hint="eastAsia" w:ascii="宋体" w:hAnsi="宋体" w:eastAsia="宋体" w:cs="宋体"/>
          <w:color w:val="000000"/>
          <w:u w:val="single"/>
        </w:rPr>
        <w:t xml:space="preserve">       。</w:t>
      </w:r>
      <w:r/>
    </w:p>
    <w:p>
      <w:pPr>
        <w:pStyle w:val="831"/>
        <w:ind w:firstLine="420"/>
        <w:jc w:val="both"/>
        <w:spacing w:line="360" w:lineRule="auto"/>
        <w:rPr>
          <w:rFonts w:hint="eastAsia" w:eastAsia="宋体"/>
          <w:color w:val="000000"/>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4、本项目</w:t>
      </w:r>
      <w:r>
        <w:rPr>
          <w:rFonts w:hint="eastAsia" w:ascii="宋体" w:hAnsi="宋体" w:eastAsia="宋体" w:cs="宋体"/>
          <w:color w:val="000000"/>
        </w:rPr>
        <w:t xml:space="preserve">合同期限</w:t>
      </w:r>
      <w:r>
        <w:rPr>
          <w:rFonts w:ascii="宋体" w:hAnsi="宋体" w:eastAsia="宋体" w:cs="宋体"/>
          <w:color w:val="000000"/>
        </w:rPr>
        <w:t xml:space="preserve">：</w:t>
      </w:r>
      <w:r>
        <w:rPr>
          <w:rFonts w:hint="eastAsia" w:ascii="宋体" w:hAnsi="宋体" w:eastAsia="宋体" w:cs="宋体"/>
          <w:color w:val="000000"/>
          <w:u w:val="single"/>
        </w:rPr>
        <w:t xml:space="preserve">   </w:t>
      </w:r>
      <w:r>
        <w:rPr>
          <w:rFonts w:hint="eastAsia" w:ascii="宋体" w:hAnsi="宋体" w:eastAsia="宋体" w:cs="宋体"/>
          <w:color w:val="000000"/>
        </w:rPr>
        <w:t xml:space="preserve">；质量标准为： </w:t>
      </w:r>
      <w:r>
        <w:rPr>
          <w:rFonts w:hint="eastAsia" w:ascii="宋体" w:hAnsi="宋体" w:eastAsia="宋体" w:cs="宋体"/>
          <w:color w:val="000000"/>
          <w:u w:val="single"/>
        </w:rPr>
        <w:t xml:space="preserve">         。</w:t>
      </w:r>
      <w:r>
        <w:rPr>
          <w:rFonts w:hint="eastAsia" w:eastAsia="宋体"/>
          <w:color w:val="000000"/>
          <w:u w:val="single"/>
        </w:rPr>
      </w:r>
      <w:r/>
    </w:p>
    <w:p>
      <w:pPr>
        <w:pStyle w:val="831"/>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5、我们已详细审核全部招标文件及其有效补充文件，我们放弃对招标文件任何误解的权利</w:t>
      </w:r>
      <w:r>
        <w:rPr>
          <w:rFonts w:hint="eastAsia" w:ascii="宋体" w:hAnsi="宋体" w:eastAsia="宋体" w:cs="宋体"/>
          <w:color w:val="000000"/>
        </w:rPr>
        <w:t xml:space="preserve">，在</w:t>
      </w:r>
      <w:r>
        <w:rPr>
          <w:rFonts w:ascii="宋体" w:hAnsi="宋体" w:eastAsia="宋体" w:cs="宋体"/>
          <w:color w:val="000000"/>
        </w:rPr>
        <w:t xml:space="preserve">提交投标文件后，</w:t>
      </w:r>
      <w:r>
        <w:rPr>
          <w:rFonts w:ascii="宋体" w:hAnsi="宋体" w:eastAsia="宋体" w:cs="宋体"/>
          <w:b/>
          <w:color w:val="000000"/>
        </w:rPr>
        <w:t xml:space="preserve">不对招标文件本身提出质疑。</w:t>
      </w:r>
      <w:r>
        <w:rPr>
          <w:color w:val="000000"/>
        </w:rPr>
      </w:r>
      <w:r/>
    </w:p>
    <w:p>
      <w:pPr>
        <w:pStyle w:val="831"/>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6、我们同意从规定的开标日期起遵循本投标文件，并在规定的投标有效期期满之前均具有约束力。</w:t>
      </w:r>
      <w:r>
        <w:rPr>
          <w:color w:val="000000"/>
        </w:rPr>
      </w:r>
      <w:r/>
    </w:p>
    <w:p>
      <w:pPr>
        <w:pStyle w:val="831"/>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7、投标截止时间结束后参加投标的</w:t>
      </w:r>
      <w:r>
        <w:rPr>
          <w:rFonts w:hint="eastAsia" w:ascii="宋体" w:hAnsi="宋体" w:eastAsia="宋体" w:cs="宋体"/>
          <w:color w:val="000000"/>
        </w:rPr>
        <w:t xml:space="preserve">投标供应商</w:t>
      </w:r>
      <w:r>
        <w:rPr>
          <w:rFonts w:ascii="宋体" w:hAnsi="宋体" w:eastAsia="宋体" w:cs="宋体"/>
          <w:color w:val="000000"/>
        </w:rPr>
        <w:t xml:space="preserve">不足三家的，或在评标期间出现符合专业条件的</w:t>
      </w:r>
      <w:r>
        <w:rPr>
          <w:rFonts w:hint="eastAsia" w:ascii="宋体" w:hAnsi="宋体" w:eastAsia="宋体" w:cs="宋体"/>
          <w:color w:val="000000"/>
        </w:rPr>
        <w:t xml:space="preserve">投标供应商</w:t>
      </w:r>
      <w:r>
        <w:rPr>
          <w:rFonts w:ascii="宋体" w:hAnsi="宋体" w:eastAsia="宋体" w:cs="宋体"/>
          <w:color w:val="000000"/>
        </w:rPr>
        <w:t xml:space="preserve">或者对招标文件作出实质响应的</w:t>
      </w:r>
      <w:r>
        <w:rPr>
          <w:rFonts w:hint="eastAsia" w:ascii="宋体" w:hAnsi="宋体" w:eastAsia="宋体" w:cs="宋体"/>
          <w:color w:val="000000"/>
        </w:rPr>
        <w:t xml:space="preserve">投标供应商</w:t>
      </w:r>
      <w:r>
        <w:rPr>
          <w:rFonts w:ascii="宋体" w:hAnsi="宋体" w:eastAsia="宋体" w:cs="宋体"/>
          <w:color w:val="000000"/>
        </w:rPr>
        <w:t xml:space="preserve">不足三家情形的，我们酌情决定是否参加贵方组织的其他采购方式采购。</w:t>
      </w:r>
      <w:r>
        <w:rPr>
          <w:color w:val="000000"/>
        </w:rPr>
      </w:r>
      <w:r/>
    </w:p>
    <w:p>
      <w:pPr>
        <w:pStyle w:val="831"/>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8、一旦我方中标，我方将根据招标文件的规定严格履行合同，并保证于承诺的时间完成项目的启动、实施等工作，及时交付采购人验收、使用。</w:t>
      </w:r>
      <w:r>
        <w:rPr>
          <w:color w:val="000000"/>
        </w:rPr>
      </w:r>
      <w:r/>
    </w:p>
    <w:p>
      <w:pPr>
        <w:pStyle w:val="831"/>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9、我方决不提供虚假材料谋取中标、决不采取不正当手段诋毁、排挤其他</w:t>
      </w:r>
      <w:r>
        <w:rPr>
          <w:rFonts w:hint="eastAsia" w:ascii="宋体" w:hAnsi="宋体" w:eastAsia="宋体" w:cs="宋体"/>
          <w:color w:val="000000"/>
        </w:rPr>
        <w:t xml:space="preserve">投标供应商</w:t>
      </w:r>
      <w:r>
        <w:rPr>
          <w:rFonts w:ascii="宋体" w:hAnsi="宋体" w:eastAsia="宋体" w:cs="宋体"/>
          <w:color w:val="000000"/>
        </w:rPr>
        <w:t xml:space="preserve">、决不与采购人、</w:t>
      </w:r>
      <w:r>
        <w:rPr>
          <w:rFonts w:hint="eastAsia" w:ascii="宋体" w:hAnsi="宋体" w:eastAsia="宋体" w:cs="宋体"/>
          <w:color w:val="000000"/>
        </w:rPr>
        <w:t xml:space="preserve">其他投标供应商</w:t>
      </w:r>
      <w:r>
        <w:rPr>
          <w:rFonts w:ascii="宋体" w:hAnsi="宋体" w:eastAsia="宋体" w:cs="宋体"/>
          <w:color w:val="000000"/>
        </w:rPr>
        <w:t xml:space="preserve">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color w:val="000000"/>
        </w:rPr>
      </w:r>
      <w:r/>
    </w:p>
    <w:p>
      <w:pPr>
        <w:pStyle w:val="831"/>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10、与本投标有关的正式联系方式为：</w:t>
      </w:r>
      <w:r>
        <w:rPr>
          <w:color w:val="000000"/>
        </w:rPr>
      </w:r>
      <w:r/>
    </w:p>
    <w:p>
      <w:pPr>
        <w:pStyle w:val="831"/>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地址：</w:t>
      </w:r>
      <w:r>
        <w:rPr>
          <w:rFonts w:ascii="宋体" w:hAnsi="宋体" w:eastAsia="宋体" w:cs="宋体"/>
          <w:color w:val="000000"/>
          <w:u w:val="single"/>
        </w:rPr>
        <w:t xml:space="preserve">                      </w:t>
      </w:r>
      <w:r>
        <w:rPr>
          <w:color w:val="000000"/>
        </w:rPr>
      </w:r>
      <w:r/>
    </w:p>
    <w:p>
      <w:pPr>
        <w:pStyle w:val="831"/>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电话：</w:t>
      </w:r>
      <w:r>
        <w:rPr>
          <w:rFonts w:ascii="宋体" w:hAnsi="宋体" w:eastAsia="宋体" w:cs="宋体"/>
          <w:color w:val="000000"/>
          <w:u w:val="single"/>
        </w:rPr>
        <w:t xml:space="preserve">                      </w:t>
      </w:r>
      <w:r>
        <w:rPr>
          <w:color w:val="000000"/>
        </w:rPr>
      </w:r>
      <w:r/>
    </w:p>
    <w:p>
      <w:pPr>
        <w:pStyle w:val="831"/>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传真：</w:t>
      </w:r>
      <w:r>
        <w:rPr>
          <w:rFonts w:ascii="宋体" w:hAnsi="宋体" w:eastAsia="宋体" w:cs="宋体"/>
          <w:color w:val="000000"/>
          <w:u w:val="single"/>
        </w:rPr>
        <w:t xml:space="preserve">                      </w:t>
      </w:r>
      <w:r>
        <w:rPr>
          <w:color w:val="000000"/>
        </w:rPr>
      </w:r>
      <w:r/>
    </w:p>
    <w:p>
      <w:pPr>
        <w:pStyle w:val="831"/>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开户银行：</w:t>
      </w:r>
      <w:r>
        <w:rPr>
          <w:rFonts w:ascii="宋体" w:hAnsi="宋体" w:eastAsia="宋体" w:cs="宋体"/>
          <w:color w:val="000000"/>
          <w:u w:val="single"/>
        </w:rPr>
        <w:t xml:space="preserve">                               </w:t>
      </w:r>
      <w:r>
        <w:rPr>
          <w:color w:val="000000"/>
        </w:rPr>
      </w:r>
      <w:r/>
    </w:p>
    <w:p>
      <w:pPr>
        <w:pStyle w:val="831"/>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银行账号：</w:t>
      </w:r>
      <w:r>
        <w:rPr>
          <w:rFonts w:ascii="宋体" w:hAnsi="宋体" w:eastAsia="宋体" w:cs="宋体"/>
          <w:color w:val="000000"/>
          <w:u w:val="single"/>
        </w:rPr>
        <w:t xml:space="preserve">                                </w:t>
      </w:r>
      <w:r>
        <w:rPr>
          <w:color w:val="000000"/>
        </w:rPr>
      </w:r>
      <w:r/>
    </w:p>
    <w:p>
      <w:pPr>
        <w:pStyle w:val="831"/>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投标供应商</w:t>
      </w:r>
      <w:r>
        <w:rPr>
          <w:rFonts w:ascii="宋体" w:hAnsi="宋体" w:eastAsia="宋体" w:cs="宋体"/>
          <w:color w:val="000000"/>
        </w:rPr>
        <w:t xml:space="preserve">授权代表姓名（签字）：</w:t>
      </w:r>
      <w:r>
        <w:rPr>
          <w:rFonts w:ascii="宋体" w:hAnsi="宋体" w:eastAsia="宋体" w:cs="宋体"/>
          <w:color w:val="000000"/>
          <w:u w:val="single"/>
        </w:rPr>
        <w:t xml:space="preserve">          </w:t>
      </w:r>
      <w:r>
        <w:rPr>
          <w:color w:val="000000"/>
        </w:rPr>
      </w:r>
      <w:r/>
    </w:p>
    <w:p>
      <w:pPr>
        <w:pStyle w:val="831"/>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投标供应商</w:t>
      </w:r>
      <w:r>
        <w:rPr>
          <w:rFonts w:ascii="宋体" w:hAnsi="宋体" w:eastAsia="宋体" w:cs="宋体"/>
          <w:color w:val="000000"/>
        </w:rPr>
        <w:t xml:space="preserve">名称：</w:t>
      </w:r>
      <w:r>
        <w:rPr>
          <w:rFonts w:ascii="宋体" w:hAnsi="宋体" w:eastAsia="宋体" w:cs="宋体"/>
          <w:color w:val="000000"/>
          <w:u w:val="single"/>
        </w:rPr>
        <w:t xml:space="preserve">                 </w:t>
      </w:r>
      <w:r>
        <w:rPr>
          <w:rFonts w:ascii="宋体" w:hAnsi="宋体" w:eastAsia="宋体" w:cs="宋体"/>
          <w:color w:val="000000"/>
        </w:rPr>
        <w:t xml:space="preserve">（盖章）</w:t>
      </w:r>
      <w:r>
        <w:rPr>
          <w:color w:val="000000"/>
        </w:rPr>
      </w:r>
      <w:r/>
    </w:p>
    <w:p>
      <w:pPr>
        <w:pStyle w:val="831"/>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rPr>
          <w:rFonts w:ascii="宋体" w:hAnsi="宋体" w:eastAsia="宋体" w:cs="宋体"/>
          <w:color w:val="000000"/>
        </w:rPr>
        <w:t xml:space="preserve">年</w:t>
      </w:r>
      <w:r>
        <w:rPr>
          <w:rFonts w:ascii="宋体" w:hAnsi="宋体" w:eastAsia="宋体" w:cs="宋体"/>
          <w:color w:val="000000"/>
          <w:u w:val="single"/>
        </w:rPr>
        <w:t xml:space="preserve">    </w:t>
      </w:r>
      <w:r>
        <w:rPr>
          <w:rFonts w:ascii="宋体" w:hAnsi="宋体" w:eastAsia="宋体" w:cs="宋体"/>
          <w:color w:val="000000"/>
        </w:rPr>
        <w:t xml:space="preserve">月</w:t>
      </w:r>
      <w:r>
        <w:rPr>
          <w:rFonts w:ascii="宋体" w:hAnsi="宋体" w:eastAsia="宋体" w:cs="宋体"/>
          <w:color w:val="000000"/>
          <w:u w:val="single"/>
        </w:rPr>
        <w:t xml:space="preserve">    </w:t>
      </w:r>
      <w:r>
        <w:rPr>
          <w:rFonts w:ascii="宋体" w:hAnsi="宋体" w:eastAsia="宋体" w:cs="宋体"/>
          <w:color w:val="000000"/>
        </w:rPr>
        <w:t xml:space="preserve">日</w:t>
      </w:r>
      <w:r>
        <w:rPr>
          <w:rFonts w:ascii="宋体" w:hAnsi="宋体" w:eastAsia="宋体" w:cs="宋体"/>
          <w:color w:val="000000"/>
          <w:sz w:val="24"/>
        </w:rPr>
        <w:t xml:space="preserve"> </w:t>
      </w:r>
      <w:r>
        <w:rPr>
          <w:color w:val="000000"/>
        </w:rPr>
      </w:r>
      <w:r/>
    </w:p>
    <w:p>
      <w:pPr>
        <w:pStyle w:val="831"/>
        <w:jc w:val="both"/>
        <w:spacing w:line="85" w:lineRule="atLeast"/>
        <w:rPr>
          <w:b/>
          <w:bCs/>
          <w:color w:val="00000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br w:type="page" w:clear="all"/>
        <w:t xml:space="preserve">附件二</w:t>
      </w:r>
      <w:r>
        <w:rPr>
          <w:rFonts w:hint="eastAsia" w:ascii="宋体" w:hAnsi="宋体" w:eastAsia="宋体" w:cs="宋体"/>
          <w:b/>
          <w:bCs/>
          <w:color w:val="000000"/>
          <w:sz w:val="24"/>
        </w:rPr>
        <w:t xml:space="preserve">、</w:t>
      </w:r>
      <w:r>
        <w:rPr>
          <w:rFonts w:ascii="宋体" w:hAnsi="宋体" w:eastAsia="宋体" w:cs="宋体"/>
          <w:b/>
          <w:bCs/>
          <w:color w:val="000000"/>
          <w:sz w:val="24"/>
        </w:rPr>
        <w:t xml:space="preserve">法定代表人授权书格式</w:t>
      </w:r>
      <w:r>
        <w:rPr>
          <w:b/>
          <w:bCs/>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831"/>
        <w:ind w:firstLine="720"/>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法定代表人授权委托书</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南京财经大学</w:t>
      </w:r>
      <w:r>
        <w:rPr>
          <w:rFonts w:ascii="宋体" w:hAnsi="宋体" w:eastAsia="宋体" w:cs="宋体"/>
          <w:color w:val="000000"/>
        </w:rPr>
        <w:t xml:space="preserve">：</w:t>
      </w:r>
      <w:r>
        <w:rPr>
          <w:color w:val="000000"/>
        </w:rPr>
      </w:r>
      <w:r/>
    </w:p>
    <w:p>
      <w:pPr>
        <w:pStyle w:val="831"/>
        <w:jc w:val="both"/>
        <w:spacing w:before="240" w:after="240"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本授权书声明：注册于</w:t>
      </w:r>
      <w:r>
        <w:rPr>
          <w:rFonts w:ascii="宋体" w:hAnsi="宋体" w:eastAsia="宋体" w:cs="宋体"/>
          <w:color w:val="000000"/>
          <w:u w:val="single"/>
        </w:rPr>
        <w:t xml:space="preserve">（</w:t>
      </w:r>
      <w:r>
        <w:rPr>
          <w:rFonts w:hint="eastAsia" w:ascii="宋体" w:hAnsi="宋体" w:eastAsia="宋体" w:cs="宋体"/>
          <w:color w:val="000000"/>
          <w:u w:val="single"/>
        </w:rPr>
        <w:t xml:space="preserve">投标供应商</w:t>
      </w:r>
      <w:r>
        <w:rPr>
          <w:rFonts w:ascii="宋体" w:hAnsi="宋体" w:eastAsia="宋体" w:cs="宋体"/>
          <w:color w:val="000000"/>
          <w:u w:val="single"/>
        </w:rPr>
        <w:t xml:space="preserve">住址）</w:t>
      </w:r>
      <w:r>
        <w:rPr>
          <w:rFonts w:ascii="宋体" w:hAnsi="宋体" w:eastAsia="宋体" w:cs="宋体"/>
          <w:color w:val="000000"/>
        </w:rPr>
        <w:t xml:space="preserve">的</w:t>
      </w:r>
      <w:r>
        <w:rPr>
          <w:rFonts w:ascii="宋体" w:hAnsi="宋体" w:eastAsia="宋体" w:cs="宋体"/>
          <w:color w:val="000000"/>
          <w:u w:val="single"/>
        </w:rPr>
        <w:t xml:space="preserve">（</w:t>
      </w:r>
      <w:r>
        <w:rPr>
          <w:rFonts w:hint="eastAsia" w:ascii="宋体" w:hAnsi="宋体" w:eastAsia="宋体" w:cs="宋体"/>
          <w:color w:val="000000"/>
          <w:u w:val="single"/>
        </w:rPr>
        <w:t xml:space="preserve">投标供应商</w:t>
      </w:r>
      <w:r>
        <w:rPr>
          <w:rFonts w:ascii="宋体" w:hAnsi="宋体" w:eastAsia="宋体" w:cs="宋体"/>
          <w:color w:val="000000"/>
          <w:u w:val="single"/>
        </w:rPr>
        <w:t xml:space="preserve">名称）</w:t>
      </w:r>
      <w:r>
        <w:rPr>
          <w:rFonts w:ascii="宋体" w:hAnsi="宋体" w:eastAsia="宋体" w:cs="宋体"/>
          <w:color w:val="000000"/>
        </w:rPr>
        <w:t xml:space="preserve">法定代表人</w:t>
      </w:r>
      <w:r>
        <w:rPr>
          <w:rFonts w:ascii="宋体" w:hAnsi="宋体" w:eastAsia="宋体" w:cs="宋体"/>
          <w:color w:val="000000"/>
          <w:u w:val="single"/>
        </w:rPr>
        <w:t xml:space="preserve">（法定代表人姓名、职务）</w:t>
      </w:r>
      <w:r>
        <w:rPr>
          <w:rFonts w:ascii="宋体" w:hAnsi="宋体" w:eastAsia="宋体" w:cs="宋体"/>
          <w:color w:val="000000"/>
        </w:rPr>
        <w:t xml:space="preserve">代表本公司授权在下面签字的</w:t>
      </w:r>
      <w:r>
        <w:rPr>
          <w:rFonts w:ascii="宋体" w:hAnsi="宋体" w:eastAsia="宋体" w:cs="宋体"/>
          <w:color w:val="000000"/>
          <w:u w:val="single"/>
        </w:rPr>
        <w:t xml:space="preserve">（</w:t>
      </w:r>
      <w:r>
        <w:rPr>
          <w:rFonts w:hint="eastAsia" w:ascii="宋体" w:hAnsi="宋体" w:eastAsia="宋体" w:cs="宋体"/>
          <w:color w:val="000000"/>
          <w:u w:val="single"/>
        </w:rPr>
        <w:t xml:space="preserve">投标供应商</w:t>
      </w:r>
      <w:r>
        <w:rPr>
          <w:rFonts w:ascii="宋体" w:hAnsi="宋体" w:eastAsia="宋体" w:cs="宋体"/>
          <w:color w:val="000000"/>
          <w:u w:val="single"/>
        </w:rPr>
        <w:t xml:space="preserve">代表姓名、职务）</w:t>
      </w:r>
      <w:r>
        <w:rPr>
          <w:rFonts w:ascii="宋体" w:hAnsi="宋体" w:eastAsia="宋体" w:cs="宋体"/>
          <w:color w:val="000000"/>
        </w:rPr>
        <w:t xml:space="preserve">为本公司的合法代理人，就贵方组织的</w:t>
      </w:r>
      <w:r>
        <w:rPr>
          <w:rFonts w:ascii="宋体" w:hAnsi="宋体" w:eastAsia="宋体" w:cs="宋体"/>
          <w:color w:val="000000"/>
          <w:u w:val="single"/>
        </w:rPr>
        <w:t xml:space="preserve">（项目名称      ）</w:t>
      </w:r>
      <w:r>
        <w:rPr>
          <w:rFonts w:ascii="宋体" w:hAnsi="宋体" w:eastAsia="宋体" w:cs="宋体"/>
          <w:color w:val="000000"/>
        </w:rPr>
        <w:t xml:space="preserve">，</w:t>
      </w:r>
      <w:r>
        <w:rPr>
          <w:rFonts w:ascii="宋体" w:hAnsi="宋体" w:eastAsia="宋体" w:cs="宋体"/>
          <w:color w:val="000000"/>
          <w:u w:val="single"/>
        </w:rPr>
        <w:t xml:space="preserve">（项目编号：      ）</w:t>
      </w:r>
      <w:r>
        <w:rPr>
          <w:rFonts w:ascii="宋体" w:hAnsi="宋体" w:eastAsia="宋体" w:cs="宋体"/>
          <w:color w:val="000000"/>
        </w:rPr>
        <w:t xml:space="preserve">投标，以本公司名义处理一切与之有关的事务。</w:t>
      </w:r>
      <w:r>
        <w:rPr>
          <w:color w:val="000000"/>
        </w:rPr>
      </w:r>
      <w:r/>
    </w:p>
    <w:p>
      <w:pPr>
        <w:pStyle w:val="831"/>
        <w:jc w:val="both"/>
        <w:spacing w:before="240" w:after="240"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本授权书于</w:t>
      </w:r>
      <w:r>
        <w:rPr>
          <w:rFonts w:ascii="宋体" w:hAnsi="宋体" w:eastAsia="宋体" w:cs="宋体"/>
          <w:color w:val="000000"/>
          <w:u w:val="single"/>
        </w:rPr>
        <w:t xml:space="preserve">   年   月   日</w:t>
      </w:r>
      <w:r>
        <w:rPr>
          <w:rFonts w:ascii="宋体" w:hAnsi="宋体" w:eastAsia="宋体" w:cs="宋体"/>
          <w:color w:val="000000"/>
        </w:rPr>
        <w:t xml:space="preserve">签字生效，特此声明。</w:t>
      </w:r>
      <w:r>
        <w:rPr>
          <w:color w:val="000000"/>
        </w:rPr>
      </w:r>
      <w:r/>
    </w:p>
    <w:p>
      <w:pPr>
        <w:pStyle w:val="831"/>
        <w:ind w:firstLine="420"/>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831"/>
        <w:ind w:firstLine="420"/>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投标供应商</w:t>
      </w:r>
      <w:r>
        <w:rPr>
          <w:rFonts w:ascii="宋体" w:hAnsi="宋体" w:eastAsia="宋体" w:cs="宋体"/>
          <w:color w:val="000000"/>
        </w:rPr>
        <w:t xml:space="preserve">名称：（盖章）</w:t>
      </w:r>
      <w:r>
        <w:rPr>
          <w:color w:val="000000"/>
        </w:rPr>
      </w:r>
      <w:r/>
    </w:p>
    <w:p>
      <w:pPr>
        <w:pStyle w:val="831"/>
        <w:ind w:firstLine="420"/>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法定代表人签字或盖章：</w:t>
      </w:r>
      <w:r>
        <w:rPr>
          <w:color w:val="000000"/>
        </w:rPr>
      </w:r>
      <w:r/>
    </w:p>
    <w:p>
      <w:pPr>
        <w:pStyle w:val="831"/>
        <w:ind w:firstLine="420"/>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被</w:t>
      </w:r>
      <w:r>
        <w:rPr>
          <w:rFonts w:ascii="宋体" w:hAnsi="宋体" w:eastAsia="宋体" w:cs="宋体"/>
          <w:color w:val="000000"/>
        </w:rPr>
        <w:t xml:space="preserve">授权</w:t>
      </w:r>
      <w:r>
        <w:rPr>
          <w:rFonts w:hint="eastAsia" w:ascii="宋体" w:hAnsi="宋体" w:eastAsia="宋体" w:cs="宋体"/>
          <w:color w:val="000000"/>
        </w:rPr>
        <w:t xml:space="preserve">人</w:t>
      </w:r>
      <w:r>
        <w:rPr>
          <w:rFonts w:ascii="宋体" w:hAnsi="宋体" w:eastAsia="宋体" w:cs="宋体"/>
          <w:color w:val="000000"/>
        </w:rPr>
        <w:t xml:space="preserve">签字：</w:t>
      </w:r>
      <w:r>
        <w:rPr>
          <w:color w:val="000000"/>
        </w:rPr>
      </w:r>
      <w:r/>
    </w:p>
    <w:p>
      <w:pPr>
        <w:pStyle w:val="831"/>
        <w:ind w:firstLine="420"/>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   年   月   日</w:t>
      </w:r>
      <w:r>
        <w:rPr>
          <w:color w:val="000000"/>
        </w:rPr>
      </w:r>
      <w:r/>
    </w:p>
    <w:p>
      <w:pPr>
        <w:pStyle w:val="831"/>
        <w:ind w:firstLine="422"/>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附：法定代表人、</w:t>
      </w:r>
      <w:r>
        <w:rPr>
          <w:rFonts w:hint="eastAsia" w:ascii="宋体" w:hAnsi="宋体" w:eastAsia="宋体" w:cs="宋体"/>
          <w:b/>
          <w:color w:val="000000"/>
        </w:rPr>
        <w:t xml:space="preserve">被</w:t>
      </w:r>
      <w:r>
        <w:rPr>
          <w:rFonts w:ascii="宋体" w:hAnsi="宋体" w:eastAsia="宋体" w:cs="宋体"/>
          <w:b/>
          <w:color w:val="000000"/>
        </w:rPr>
        <w:t xml:space="preserve">授权</w:t>
      </w:r>
      <w:r>
        <w:rPr>
          <w:rFonts w:hint="eastAsia" w:ascii="宋体" w:hAnsi="宋体" w:eastAsia="宋体" w:cs="宋体"/>
          <w:b/>
          <w:color w:val="000000"/>
        </w:rPr>
        <w:t xml:space="preserve">人</w:t>
      </w:r>
      <w:r>
        <w:rPr>
          <w:rFonts w:ascii="宋体" w:hAnsi="宋体" w:eastAsia="宋体" w:cs="宋体"/>
          <w:b/>
          <w:color w:val="000000"/>
        </w:rPr>
        <w:t xml:space="preserve">身份证</w:t>
      </w:r>
      <w:r>
        <w:rPr>
          <w:rFonts w:hint="eastAsia" w:ascii="宋体" w:hAnsi="宋体" w:eastAsia="宋体" w:cs="宋体"/>
          <w:b/>
          <w:color w:val="000000"/>
        </w:rPr>
        <w:t xml:space="preserve">正反面</w:t>
      </w:r>
      <w:r>
        <w:rPr>
          <w:rFonts w:ascii="宋体" w:hAnsi="宋体" w:eastAsia="宋体" w:cs="宋体"/>
          <w:b/>
          <w:color w:val="000000"/>
        </w:rPr>
        <w:t xml:space="preserve">扫描件</w:t>
      </w:r>
      <w:r>
        <w:rPr>
          <w:color w:val="000000"/>
        </w:rPr>
      </w:r>
      <w:r/>
    </w:p>
    <w:p>
      <w:pPr>
        <w:pStyle w:val="831"/>
        <w:ind w:firstLine="422"/>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831"/>
        <w:ind w:firstLine="422"/>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ind w:firstLine="422"/>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831"/>
        <w:ind w:firstLine="422"/>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831"/>
        <w:ind w:firstLine="422"/>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831"/>
        <w:ind w:firstLine="422"/>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831"/>
        <w:jc w:val="both"/>
        <w:spacing w:line="85" w:lineRule="atLeast"/>
        <w:rPr>
          <w:b/>
          <w:bCs/>
          <w:color w:val="00000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附件三</w:t>
      </w:r>
      <w:r>
        <w:rPr>
          <w:rFonts w:hint="eastAsia" w:ascii="宋体" w:hAnsi="宋体" w:eastAsia="宋体" w:cs="宋体"/>
          <w:b/>
          <w:bCs/>
          <w:color w:val="000000"/>
          <w:sz w:val="24"/>
        </w:rPr>
        <w:t xml:space="preserve">、</w:t>
      </w:r>
      <w:r>
        <w:rPr>
          <w:rFonts w:ascii="宋体" w:hAnsi="宋体" w:eastAsia="宋体" w:cs="宋体"/>
          <w:b/>
          <w:bCs/>
          <w:color w:val="000000"/>
          <w:sz w:val="24"/>
        </w:rPr>
        <w:t xml:space="preserve">开标一览表格式</w:t>
      </w:r>
      <w:r>
        <w:rPr>
          <w:b/>
          <w:bCs/>
          <w:color w:val="000000"/>
        </w:rPr>
      </w:r>
      <w:r/>
    </w:p>
    <w:p>
      <w:pPr>
        <w:pStyle w:val="831"/>
        <w:jc w:val="center"/>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开标一览表</w:t>
      </w:r>
      <w:r>
        <w:rPr>
          <w:rFonts w:hint="eastAsia" w:eastAsia="宋体"/>
          <w:color w:val="000000"/>
        </w:rPr>
      </w:r>
      <w:r/>
    </w:p>
    <w:p>
      <w:pPr>
        <w:pStyle w:val="831"/>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项目名称：                       项目编号：</w:t>
      </w:r>
      <w:r>
        <w:rPr>
          <w:color w:val="000000"/>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25"/>
        <w:gridCol w:w="7329"/>
      </w:tblGrid>
      <w:tr>
        <w:trPr>
          <w:trHeight w:val="1183"/>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2025" w:type="dxa"/>
            <w:vAlign w:val="center"/>
            <w:textDirection w:val="lrTb"/>
            <w:noWrap w:val="false"/>
          </w:tcPr>
          <w:p>
            <w:pPr>
              <w:pStyle w:val="831"/>
              <w:ind w:firstLine="42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投标总价</w:t>
            </w:r>
            <w:r>
              <w:rPr>
                <w:color w:val="000000"/>
              </w:rPr>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7329" w:type="dxa"/>
            <w:vAlign w:val="center"/>
            <w:textDirection w:val="lrTb"/>
            <w:noWrap w:val="false"/>
          </w:tcPr>
          <w:p>
            <w:pPr>
              <w:pStyle w:val="831"/>
              <w:jc w:val="both"/>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小写：</w:t>
            </w:r>
            <w:r>
              <w:rPr>
                <w:rFonts w:hint="eastAsia" w:ascii="宋体" w:hAnsi="宋体" w:eastAsia="宋体" w:cs="宋体"/>
                <w:color w:val="000000"/>
              </w:rPr>
              <w:t xml:space="preserve">¥</w:t>
            </w:r>
            <w:r>
              <w:rPr>
                <w:rFonts w:hint="eastAsia" w:eastAsia="宋体"/>
                <w:color w:val="000000"/>
              </w:rPr>
            </w:r>
            <w:r/>
          </w:p>
          <w:p>
            <w:pPr>
              <w:pStyle w:val="831"/>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大写：人民币</w:t>
            </w:r>
            <w:r>
              <w:rPr>
                <w:color w:val="000000"/>
              </w:rPr>
            </w:r>
            <w:r/>
          </w:p>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62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2025"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合同履行</w:t>
            </w:r>
            <w:r>
              <w:rPr>
                <w:rFonts w:ascii="宋体" w:hAnsi="宋体" w:eastAsia="宋体" w:cs="宋体"/>
                <w:color w:val="000000"/>
              </w:rPr>
              <w:t xml:space="preserve">期</w:t>
            </w:r>
            <w:r>
              <w:rPr>
                <w:color w:val="000000"/>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7329" w:type="dxa"/>
            <w:vAlign w:val="center"/>
            <w:textDirection w:val="lrTb"/>
            <w:noWrap w:val="false"/>
          </w:tcPr>
          <w:p>
            <w:pPr>
              <w:pStyle w:val="831"/>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831"/>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615"/>
        </w:trPr>
        <w:tc>
          <w:tcPr>
            <w:tcBorders>
              <w:top w:val="none" w:color="000000" w:sz="4" w:space="0"/>
              <w:left w:val="single" w:color="000000" w:sz="8" w:space="0"/>
              <w:bottom w:val="single" w:color="000000" w:sz="4" w:space="0"/>
              <w:right w:val="single" w:color="000000" w:sz="8" w:space="0"/>
            </w:tcBorders>
            <w:tcMar>
              <w:left w:w="80" w:type="dxa"/>
              <w:top w:w="80" w:type="dxa"/>
              <w:right w:w="80" w:type="dxa"/>
              <w:bottom w:w="80" w:type="dxa"/>
            </w:tcMar>
            <w:tcW w:w="2025" w:type="dxa"/>
            <w:vAlign w:val="center"/>
            <w:textDirection w:val="lrTb"/>
            <w:noWrap w:val="false"/>
          </w:tcPr>
          <w:p>
            <w:pPr>
              <w:pStyle w:val="831"/>
              <w:jc w:val="both"/>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项目负责人</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8" w:space="0"/>
            </w:tcBorders>
            <w:tcMar>
              <w:left w:w="80" w:type="dxa"/>
              <w:top w:w="80" w:type="dxa"/>
              <w:right w:w="80" w:type="dxa"/>
              <w:bottom w:w="80" w:type="dxa"/>
            </w:tcMar>
            <w:tcW w:w="7329" w:type="dxa"/>
            <w:vAlign w:val="center"/>
            <w:textDirection w:val="lrTb"/>
            <w:noWrap w:val="false"/>
          </w:tcPr>
          <w:p>
            <w:pPr>
              <w:pStyle w:val="831"/>
              <w:ind w:firstLine="540"/>
              <w:jc w:val="both"/>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r>
        <w:trPr>
          <w:trHeight w:val="1096"/>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25" w:type="dxa"/>
            <w:vAlign w:val="center"/>
            <w:textDirection w:val="lrTb"/>
            <w:noWrap w:val="false"/>
          </w:tcPr>
          <w:p>
            <w:pPr>
              <w:pStyle w:val="831"/>
              <w:jc w:val="both"/>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质量标准</w:t>
            </w:r>
            <w:r>
              <w:rPr>
                <w:rFonts w:eastAsia="宋体"/>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329" w:type="dxa"/>
            <w:vAlign w:val="center"/>
            <w:textDirection w:val="lrTb"/>
            <w:noWrap w:val="false"/>
          </w:tcPr>
          <w:p>
            <w:pPr>
              <w:pStyle w:val="831"/>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1096"/>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25" w:type="dxa"/>
            <w:vAlign w:val="center"/>
            <w:textDirection w:val="lrTb"/>
            <w:noWrap w:val="false"/>
          </w:tcPr>
          <w:p>
            <w:pPr>
              <w:pStyle w:val="831"/>
              <w:jc w:val="both"/>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是否为小微企业</w:t>
            </w:r>
            <w:r>
              <w:rPr>
                <w:rFonts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329" w:type="dxa"/>
            <w:vAlign w:val="center"/>
            <w:textDirection w:val="lrTb"/>
            <w:noWrap w:val="false"/>
          </w:tcPr>
          <w:p>
            <w:pPr>
              <w:pStyle w:val="831"/>
              <w:ind w:firstLine="540"/>
              <w:jc w:val="both"/>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bl>
    <w:p>
      <w:pPr>
        <w:pStyle w:val="831"/>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投标单位（盖章）：</w:t>
      </w:r>
      <w:r>
        <w:rPr>
          <w:rFonts w:ascii="宋体" w:hAnsi="宋体" w:eastAsia="宋体" w:cs="宋体"/>
          <w:color w:val="000000"/>
          <w:u w:val="single"/>
        </w:rPr>
        <w:t xml:space="preserve">                      </w:t>
      </w:r>
      <w:r>
        <w:rPr>
          <w:color w:val="000000"/>
        </w:rPr>
      </w:r>
      <w:r/>
    </w:p>
    <w:p>
      <w:pPr>
        <w:pStyle w:val="831"/>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被</w:t>
      </w:r>
      <w:r>
        <w:rPr>
          <w:rFonts w:ascii="宋体" w:hAnsi="宋体" w:eastAsia="宋体" w:cs="宋体"/>
          <w:color w:val="000000"/>
        </w:rPr>
        <w:t xml:space="preserve">授权</w:t>
      </w:r>
      <w:r>
        <w:rPr>
          <w:rFonts w:hint="eastAsia" w:ascii="宋体" w:hAnsi="宋体" w:eastAsia="宋体" w:cs="宋体"/>
          <w:color w:val="000000"/>
        </w:rPr>
        <w:t xml:space="preserve">人</w:t>
      </w:r>
      <w:r>
        <w:rPr>
          <w:rFonts w:ascii="宋体" w:hAnsi="宋体" w:eastAsia="宋体" w:cs="宋体"/>
          <w:color w:val="000000"/>
        </w:rPr>
        <w:t xml:space="preserve">（签字）：</w:t>
      </w:r>
      <w:r>
        <w:rPr>
          <w:rFonts w:ascii="宋体" w:hAnsi="宋体" w:eastAsia="宋体" w:cs="宋体"/>
          <w:color w:val="000000"/>
          <w:u w:val="single"/>
        </w:rPr>
        <w:t xml:space="preserve">                      </w:t>
      </w:r>
      <w:r>
        <w:rPr>
          <w:color w:val="000000"/>
        </w:rPr>
      </w:r>
      <w:r/>
    </w:p>
    <w:p>
      <w:pPr>
        <w:pStyle w:val="831"/>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rPr>
          <w:color w:val="000000"/>
        </w:rPr>
      </w:r>
      <w:r/>
    </w:p>
    <w:p>
      <w:pPr>
        <w:pStyle w:val="831"/>
        <w:jc w:val="both"/>
        <w:spacing w:before="240" w:after="240" w:line="360" w:lineRule="auto"/>
        <w:shd w:val="clear" w:color="ffffff" w:fill="ffffff"/>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说明：1.本项目仅接受一个价格，不得填报有选择性报价方案。</w:t>
      </w:r>
      <w:r/>
    </w:p>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bookmarkStart w:id="29" w:name="OLE_LINK3"/>
      <w:r/>
      <w:bookmarkStart w:id="30" w:name="OLE_LINK2"/>
      <w:r>
        <w:rPr>
          <w:rFonts w:ascii="宋体" w:hAnsi="宋体" w:eastAsia="宋体" w:cs="宋体"/>
          <w:color w:val="000000"/>
          <w:sz w:val="24"/>
        </w:rPr>
        <w:br w:type="page" w:clear="all"/>
      </w:r>
      <w:bookmarkEnd w:id="29"/>
      <w:r/>
      <w:bookmarkEnd w:id="30"/>
      <w:r>
        <w:rPr>
          <w:color w:val="000000"/>
        </w:rPr>
      </w:r>
      <w:r/>
    </w:p>
    <w:p>
      <w:pPr>
        <w:pStyle w:val="831"/>
        <w:jc w:val="both"/>
        <w:spacing w:line="85" w:lineRule="atLeast"/>
        <w:rPr>
          <w:b/>
          <w:bCs/>
          <w:color w:val="00000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附件四</w:t>
      </w:r>
      <w:r>
        <w:rPr>
          <w:rFonts w:hint="eastAsia" w:ascii="宋体" w:hAnsi="宋体" w:eastAsia="宋体" w:cs="宋体"/>
          <w:b/>
          <w:bCs/>
          <w:color w:val="000000"/>
          <w:sz w:val="24"/>
        </w:rPr>
        <w:t xml:space="preserve">、</w:t>
      </w:r>
      <w:r>
        <w:rPr>
          <w:rFonts w:ascii="宋体" w:hAnsi="宋体" w:eastAsia="宋体" w:cs="宋体"/>
          <w:b/>
          <w:bCs/>
          <w:color w:val="000000"/>
          <w:sz w:val="24"/>
        </w:rPr>
        <w:t xml:space="preserve">分项报价表格式</w:t>
      </w:r>
      <w:r>
        <w:rPr>
          <w:b/>
          <w:bCs/>
          <w:color w:val="000000"/>
        </w:rPr>
      </w:r>
      <w:r/>
    </w:p>
    <w:p>
      <w:pPr>
        <w:pStyle w:val="831"/>
        <w:jc w:val="center"/>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已标价工程量清单</w:t>
      </w:r>
      <w:r/>
    </w:p>
    <w:p>
      <w:pPr>
        <w:pStyle w:val="831"/>
        <w:jc w:val="center"/>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（根据工程量清单填列）</w:t>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rFonts w:ascii="宋体" w:hAnsi="宋体" w:eastAsia="宋体" w:cs="宋体"/>
          <w:b/>
          <w:color w:val="000000"/>
          <w:sz w:val="24"/>
        </w:rPr>
        <w:t xml:space="preserve">附件五</w:t>
      </w:r>
      <w:r>
        <w:rPr>
          <w:rFonts w:hint="eastAsia" w:ascii="宋体" w:hAnsi="宋体" w:eastAsia="宋体" w:cs="宋体"/>
          <w:b/>
          <w:color w:val="000000"/>
          <w:sz w:val="24"/>
        </w:rPr>
        <w:t xml:space="preserve">、</w:t>
      </w:r>
      <w:r>
        <w:rPr>
          <w:rFonts w:ascii="宋体" w:hAnsi="宋体" w:eastAsia="宋体" w:cs="宋体"/>
          <w:b/>
          <w:color w:val="000000"/>
          <w:sz w:val="24"/>
        </w:rPr>
        <w:t xml:space="preserve">技术偏离表格式</w:t>
      </w:r>
      <w:r>
        <w:rPr>
          <w:color w:val="000000"/>
        </w:rPr>
      </w:r>
      <w:r/>
    </w:p>
    <w:p>
      <w:pPr>
        <w:pStyle w:val="831"/>
        <w:jc w:val="both"/>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pStyle w:val="831"/>
        <w:jc w:val="both"/>
        <w:spacing w:line="85" w:lineRule="atLeast"/>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项目名称：                                       项目编号：</w:t>
      </w:r>
      <w:r>
        <w:rPr>
          <w:rFonts w:ascii="宋体" w:hAnsi="宋体" w:eastAsia="宋体" w:cs="宋体"/>
          <w:color w:val="000000"/>
          <w:szCs w:val="21"/>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9"/>
        <w:gridCol w:w="2255"/>
        <w:gridCol w:w="2448"/>
        <w:gridCol w:w="1596"/>
        <w:gridCol w:w="2237"/>
      </w:tblGrid>
      <w:tr>
        <w:trPr>
          <w:trHeight w:val="87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979" w:type="dxa"/>
            <w:vAlign w:val="center"/>
            <w:textDirection w:val="lrTb"/>
            <w:noWrap w:val="false"/>
          </w:tcPr>
          <w:p>
            <w:pPr>
              <w:pStyle w:val="831"/>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序号</w:t>
            </w:r>
            <w:r>
              <w:rPr>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55" w:type="dxa"/>
            <w:vAlign w:val="center"/>
            <w:textDirection w:val="lrTb"/>
            <w:noWrap w:val="false"/>
          </w:tcPr>
          <w:p>
            <w:pPr>
              <w:pStyle w:val="831"/>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招标</w:t>
            </w:r>
            <w:r>
              <w:rPr>
                <w:rFonts w:hint="eastAsia" w:ascii="宋体" w:hAnsi="宋体" w:eastAsia="宋体" w:cs="宋体"/>
                <w:color w:val="000000"/>
              </w:rPr>
              <w:t xml:space="preserve">文件技术要求</w:t>
            </w:r>
            <w:r>
              <w:rPr>
                <w:rFonts w:eastAsia="宋体"/>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448" w:type="dxa"/>
            <w:vAlign w:val="center"/>
            <w:textDirection w:val="lrTb"/>
            <w:noWrap w:val="false"/>
          </w:tcPr>
          <w:p>
            <w:pPr>
              <w:pStyle w:val="831"/>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color w:val="000000"/>
              </w:rPr>
              <w:t xml:space="preserve">投标文件技术指标情况</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96" w:type="dxa"/>
            <w:vAlign w:val="center"/>
            <w:textDirection w:val="lrTb"/>
            <w:noWrap w:val="false"/>
          </w:tcPr>
          <w:p>
            <w:pPr>
              <w:pStyle w:val="831"/>
              <w:jc w:val="center"/>
              <w:spacing w:before="200" w:after="200"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响应/</w:t>
            </w:r>
            <w:r>
              <w:rPr>
                <w:rFonts w:ascii="宋体" w:hAnsi="宋体" w:eastAsia="宋体" w:cs="宋体"/>
                <w:color w:val="000000"/>
              </w:rPr>
              <w:t xml:space="preserve">偏离</w:t>
            </w:r>
            <w:r>
              <w:rPr>
                <w:rFonts w:hint="eastAsia" w:ascii="宋体" w:hAnsi="宋体" w:eastAsia="宋体" w:cs="宋体"/>
                <w:color w:val="000000"/>
              </w:rPr>
              <w:t xml:space="preserve">情况</w:t>
            </w:r>
            <w:r>
              <w:rPr>
                <w:rFonts w:hint="eastAsia" w:eastAsia="宋体"/>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37" w:type="dxa"/>
            <w:vAlign w:val="center"/>
            <w:textDirection w:val="lrTb"/>
            <w:noWrap w:val="false"/>
          </w:tcPr>
          <w:p>
            <w:pPr>
              <w:pStyle w:val="831"/>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color w:val="000000"/>
              </w:rPr>
              <w:t xml:space="preserve">必要的证明材料所在页码</w:t>
            </w:r>
            <w:r/>
          </w:p>
        </w:tc>
      </w:tr>
      <w:tr>
        <w:trPr>
          <w:trHeight w:val="30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979" w:type="dxa"/>
            <w:vAlign w:val="center"/>
            <w:textDirection w:val="lrTb"/>
            <w:noWrap w:val="false"/>
          </w:tcPr>
          <w:p>
            <w:pPr>
              <w:pStyle w:val="831"/>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55" w:type="dxa"/>
            <w:vAlign w:val="center"/>
            <w:textDirection w:val="lrTb"/>
            <w:noWrap w:val="false"/>
          </w:tcPr>
          <w:p>
            <w:pPr>
              <w:pStyle w:val="831"/>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448" w:type="dxa"/>
            <w:vAlign w:val="center"/>
            <w:textDirection w:val="lrTb"/>
            <w:noWrap w:val="false"/>
          </w:tcPr>
          <w:p>
            <w:pPr>
              <w:pStyle w:val="831"/>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96" w:type="dxa"/>
            <w:vAlign w:val="center"/>
            <w:textDirection w:val="lrTb"/>
            <w:noWrap w:val="false"/>
          </w:tcPr>
          <w:p>
            <w:pPr>
              <w:pStyle w:val="831"/>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37" w:type="dxa"/>
            <w:vAlign w:val="center"/>
            <w:textDirection w:val="lrTb"/>
            <w:noWrap w:val="false"/>
          </w:tcPr>
          <w:p>
            <w:pPr>
              <w:pStyle w:val="831"/>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30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979" w:type="dxa"/>
            <w:vAlign w:val="center"/>
            <w:textDirection w:val="lrTb"/>
            <w:noWrap w:val="false"/>
          </w:tcPr>
          <w:p>
            <w:pPr>
              <w:pStyle w:val="831"/>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55" w:type="dxa"/>
            <w:vAlign w:val="center"/>
            <w:textDirection w:val="lrTb"/>
            <w:noWrap w:val="false"/>
          </w:tcPr>
          <w:p>
            <w:pPr>
              <w:pStyle w:val="831"/>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448" w:type="dxa"/>
            <w:vAlign w:val="center"/>
            <w:textDirection w:val="lrTb"/>
            <w:noWrap w:val="false"/>
          </w:tcPr>
          <w:p>
            <w:pPr>
              <w:pStyle w:val="831"/>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96" w:type="dxa"/>
            <w:vAlign w:val="center"/>
            <w:textDirection w:val="lrTb"/>
            <w:noWrap w:val="false"/>
          </w:tcPr>
          <w:p>
            <w:pPr>
              <w:pStyle w:val="831"/>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37" w:type="dxa"/>
            <w:vAlign w:val="center"/>
            <w:textDirection w:val="lrTb"/>
            <w:noWrap w:val="false"/>
          </w:tcPr>
          <w:p>
            <w:pPr>
              <w:pStyle w:val="831"/>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295"/>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979" w:type="dxa"/>
            <w:vAlign w:val="center"/>
            <w:textDirection w:val="lrTb"/>
            <w:noWrap w:val="false"/>
          </w:tcPr>
          <w:p>
            <w:pPr>
              <w:pStyle w:val="831"/>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55" w:type="dxa"/>
            <w:vAlign w:val="center"/>
            <w:textDirection w:val="lrTb"/>
            <w:noWrap w:val="false"/>
          </w:tcPr>
          <w:p>
            <w:pPr>
              <w:pStyle w:val="831"/>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448" w:type="dxa"/>
            <w:vAlign w:val="center"/>
            <w:textDirection w:val="lrTb"/>
            <w:noWrap w:val="false"/>
          </w:tcPr>
          <w:p>
            <w:pPr>
              <w:pStyle w:val="831"/>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96" w:type="dxa"/>
            <w:vAlign w:val="center"/>
            <w:textDirection w:val="lrTb"/>
            <w:noWrap w:val="false"/>
          </w:tcPr>
          <w:p>
            <w:pPr>
              <w:pStyle w:val="831"/>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37" w:type="dxa"/>
            <w:vAlign w:val="center"/>
            <w:textDirection w:val="lrTb"/>
            <w:noWrap w:val="false"/>
          </w:tcPr>
          <w:p>
            <w:pPr>
              <w:pStyle w:val="831"/>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bl>
    <w:p>
      <w:pPr>
        <w:pStyle w:val="831"/>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投标单位（盖章）：</w:t>
      </w:r>
      <w:r>
        <w:rPr>
          <w:rFonts w:ascii="宋体" w:hAnsi="宋体" w:eastAsia="宋体" w:cs="宋体"/>
          <w:color w:val="000000"/>
          <w:u w:val="single"/>
        </w:rPr>
        <w:t xml:space="preserve">                      </w:t>
      </w:r>
      <w:r>
        <w:rPr>
          <w:color w:val="000000"/>
        </w:rPr>
      </w:r>
      <w:r/>
    </w:p>
    <w:p>
      <w:pPr>
        <w:pStyle w:val="831"/>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rPr>
          <w:color w:val="000000"/>
        </w:rPr>
      </w:r>
      <w:r/>
    </w:p>
    <w:p>
      <w:pPr>
        <w:pStyle w:val="831"/>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rPr>
          <w:color w:val="000000"/>
        </w:rPr>
      </w:r>
      <w:r/>
    </w:p>
    <w:p>
      <w:pPr>
        <w:pStyle w:val="831"/>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说明：</w:t>
      </w:r>
      <w:r>
        <w:rPr>
          <w:color w:val="000000"/>
        </w:rPr>
      </w:r>
      <w:r/>
    </w:p>
    <w:p>
      <w:pPr>
        <w:pStyle w:val="831"/>
        <w:jc w:val="both"/>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w:t>
      </w:r>
      <w:r>
        <w:rPr>
          <w:rFonts w:hint="eastAsia" w:ascii="宋体" w:hAnsi="宋体" w:eastAsia="宋体" w:cs="宋体"/>
          <w:color w:val="000000"/>
        </w:rPr>
        <w:t xml:space="preserve">.投标供应商</w:t>
      </w:r>
      <w:r>
        <w:rPr>
          <w:rFonts w:ascii="宋体" w:hAnsi="宋体" w:eastAsia="宋体" w:cs="宋体"/>
          <w:color w:val="000000"/>
        </w:rPr>
        <w:t xml:space="preserve">应在上表中明确投标文件技术部分与招标文件要求的技术要求偏离情况，未在上表中说明的，如在投标文件其他内容中已有文字说明或相关证明材料的，则以已有文字说明或相关证明材料为准。</w:t>
      </w:r>
      <w:r>
        <w:rPr>
          <w:color w:val="000000"/>
        </w:rPr>
      </w:r>
      <w:r/>
    </w:p>
    <w:p>
      <w:pPr>
        <w:pStyle w:val="831"/>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w:t>
      </w:r>
      <w:r>
        <w:rPr>
          <w:rFonts w:hint="eastAsia" w:ascii="宋体" w:hAnsi="宋体" w:eastAsia="宋体" w:cs="宋体"/>
          <w:color w:val="000000"/>
        </w:rPr>
        <w:t xml:space="preserve">.</w:t>
      </w:r>
      <w:r>
        <w:rPr>
          <w:rFonts w:ascii="宋体" w:hAnsi="宋体" w:eastAsia="宋体" w:cs="宋体"/>
          <w:color w:val="000000"/>
        </w:rPr>
        <w:t xml:space="preserve">如果行数不够，请自行增加。</w:t>
      </w:r>
      <w:r>
        <w:rPr>
          <w:color w:val="000000"/>
        </w:rPr>
      </w:r>
      <w:r/>
    </w:p>
    <w:p>
      <w:pPr>
        <w:pStyle w:val="831"/>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pStyle w:val="831"/>
        <w:jc w:val="both"/>
        <w:spacing w:before="240" w:after="240"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eastAsia="宋体"/>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831"/>
        <w:jc w:val="both"/>
        <w:spacing w:line="85" w:lineRule="atLeast"/>
        <w:rPr>
          <w:b/>
          <w:bCs/>
          <w:color w:val="00000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附件六</w:t>
      </w:r>
      <w:r>
        <w:rPr>
          <w:rFonts w:hint="eastAsia" w:ascii="宋体" w:hAnsi="宋体" w:eastAsia="宋体" w:cs="宋体"/>
          <w:b/>
          <w:bCs/>
          <w:color w:val="000000"/>
          <w:sz w:val="24"/>
        </w:rPr>
        <w:t xml:space="preserve">、</w:t>
      </w:r>
      <w:r>
        <w:rPr>
          <w:rFonts w:ascii="宋体" w:hAnsi="宋体" w:eastAsia="宋体" w:cs="宋体"/>
          <w:b/>
          <w:bCs/>
          <w:color w:val="000000"/>
          <w:sz w:val="24"/>
        </w:rPr>
        <w:t xml:space="preserve">商务条款偏离表格式</w:t>
      </w:r>
      <w:r>
        <w:rPr>
          <w:b/>
          <w:bCs/>
          <w:color w:val="000000"/>
        </w:rPr>
      </w:r>
      <w:r/>
    </w:p>
    <w:p>
      <w:pPr>
        <w:pStyle w:val="831"/>
        <w:jc w:val="cente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商务条款偏离表</w:t>
      </w:r>
      <w:r/>
    </w:p>
    <w:p>
      <w:pPr>
        <w:pStyle w:val="831"/>
        <w:jc w:val="both"/>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pStyle w:val="831"/>
        <w:jc w:val="both"/>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项目名称：                                       项目编号：</w:t>
      </w:r>
      <w:r>
        <w:rPr>
          <w:rFonts w:ascii="宋体" w:hAnsi="宋体" w:eastAsia="宋体" w:cs="宋体"/>
          <w:color w:val="000000"/>
          <w:sz w:val="24"/>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08"/>
        <w:gridCol w:w="2564"/>
        <w:gridCol w:w="3438"/>
        <w:gridCol w:w="1544"/>
      </w:tblGrid>
      <w:tr>
        <w:trPr>
          <w:trHeight w:val="53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08" w:type="dxa"/>
            <w:vAlign w:val="center"/>
            <w:textDirection w:val="lrTb"/>
            <w:noWrap w:val="false"/>
          </w:tcPr>
          <w:p>
            <w:pPr>
              <w:pStyle w:val="831"/>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序号</w:t>
            </w:r>
            <w:r>
              <w:rPr>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564" w:type="dxa"/>
            <w:vAlign w:val="center"/>
            <w:textDirection w:val="lrTb"/>
            <w:noWrap w:val="false"/>
          </w:tcPr>
          <w:p>
            <w:pPr>
              <w:pStyle w:val="831"/>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招标文件要求的商务条款</w:t>
            </w:r>
            <w:r>
              <w:rPr>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438" w:type="dxa"/>
            <w:vAlign w:val="center"/>
            <w:textDirection w:val="lrTb"/>
            <w:noWrap w:val="false"/>
          </w:tcPr>
          <w:p>
            <w:pPr>
              <w:pStyle w:val="831"/>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投标响应</w:t>
            </w:r>
            <w:r>
              <w:rPr>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44" w:type="dxa"/>
            <w:vAlign w:val="center"/>
            <w:textDirection w:val="lrTb"/>
            <w:noWrap w:val="false"/>
          </w:tcPr>
          <w:p>
            <w:pPr>
              <w:pStyle w:val="831"/>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偏离</w:t>
            </w:r>
            <w:r>
              <w:rPr>
                <w:color w:val="000000"/>
              </w:rPr>
            </w:r>
            <w:r/>
          </w:p>
        </w:tc>
      </w:tr>
      <w:tr>
        <w:trPr>
          <w:trHeight w:val="30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08" w:type="dxa"/>
            <w:vAlign w:val="center"/>
            <w:textDirection w:val="lrTb"/>
            <w:noWrap w:val="false"/>
          </w:tcPr>
          <w:p>
            <w:pPr>
              <w:pStyle w:val="831"/>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564" w:type="dxa"/>
            <w:vAlign w:val="center"/>
            <w:textDirection w:val="lrTb"/>
            <w:noWrap w:val="false"/>
          </w:tcPr>
          <w:p>
            <w:pPr>
              <w:pStyle w:val="831"/>
              <w:jc w:val="both"/>
              <w:spacing w:before="200" w:after="200"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438" w:type="dxa"/>
            <w:vAlign w:val="center"/>
            <w:textDirection w:val="lrTb"/>
            <w:noWrap w:val="false"/>
          </w:tcPr>
          <w:p>
            <w:pPr>
              <w:pStyle w:val="831"/>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44" w:type="dxa"/>
            <w:vAlign w:val="center"/>
            <w:textDirection w:val="lrTb"/>
            <w:noWrap w:val="false"/>
          </w:tcPr>
          <w:p>
            <w:pPr>
              <w:pStyle w:val="831"/>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30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08" w:type="dxa"/>
            <w:vAlign w:val="center"/>
            <w:textDirection w:val="lrTb"/>
            <w:noWrap w:val="false"/>
          </w:tcPr>
          <w:p>
            <w:pPr>
              <w:pStyle w:val="831"/>
              <w:jc w:val="both"/>
              <w:spacing w:before="200" w:after="20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564" w:type="dxa"/>
            <w:vAlign w:val="center"/>
            <w:textDirection w:val="lrTb"/>
            <w:noWrap w:val="false"/>
          </w:tcPr>
          <w:p>
            <w:pPr>
              <w:pStyle w:val="831"/>
              <w:jc w:val="both"/>
              <w:spacing w:before="200" w:after="200"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438" w:type="dxa"/>
            <w:vAlign w:val="center"/>
            <w:textDirection w:val="lrTb"/>
            <w:noWrap w:val="false"/>
          </w:tcPr>
          <w:p>
            <w:pPr>
              <w:pStyle w:val="831"/>
              <w:jc w:val="both"/>
              <w:spacing w:before="200" w:after="20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44" w:type="dxa"/>
            <w:vAlign w:val="center"/>
            <w:textDirection w:val="lrTb"/>
            <w:noWrap w:val="false"/>
          </w:tcPr>
          <w:p>
            <w:pPr>
              <w:pStyle w:val="831"/>
              <w:jc w:val="both"/>
              <w:spacing w:before="200" w:after="20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r>
        <w:trPr>
          <w:trHeight w:val="30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08" w:type="dxa"/>
            <w:vAlign w:val="center"/>
            <w:textDirection w:val="lrTb"/>
            <w:noWrap w:val="false"/>
          </w:tcPr>
          <w:p>
            <w:pPr>
              <w:pStyle w:val="831"/>
              <w:jc w:val="both"/>
              <w:spacing w:before="200" w:after="20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564" w:type="dxa"/>
            <w:vAlign w:val="center"/>
            <w:textDirection w:val="lrTb"/>
            <w:noWrap w:val="false"/>
          </w:tcPr>
          <w:p>
            <w:pPr>
              <w:pStyle w:val="831"/>
              <w:jc w:val="both"/>
              <w:spacing w:before="200" w:after="200"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438" w:type="dxa"/>
            <w:vAlign w:val="center"/>
            <w:textDirection w:val="lrTb"/>
            <w:noWrap w:val="false"/>
          </w:tcPr>
          <w:p>
            <w:pPr>
              <w:pStyle w:val="831"/>
              <w:jc w:val="both"/>
              <w:spacing w:before="200" w:after="20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44" w:type="dxa"/>
            <w:vAlign w:val="center"/>
            <w:textDirection w:val="lrTb"/>
            <w:noWrap w:val="false"/>
          </w:tcPr>
          <w:p>
            <w:pPr>
              <w:pStyle w:val="831"/>
              <w:jc w:val="both"/>
              <w:spacing w:before="200" w:after="20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r>
        <w:trPr>
          <w:trHeight w:val="30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08" w:type="dxa"/>
            <w:vAlign w:val="center"/>
            <w:textDirection w:val="lrTb"/>
            <w:noWrap w:val="false"/>
          </w:tcPr>
          <w:p>
            <w:pPr>
              <w:pStyle w:val="831"/>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564" w:type="dxa"/>
            <w:vAlign w:val="center"/>
            <w:textDirection w:val="lrTb"/>
            <w:noWrap w:val="false"/>
          </w:tcPr>
          <w:p>
            <w:pPr>
              <w:pStyle w:val="831"/>
              <w:jc w:val="both"/>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438" w:type="dxa"/>
            <w:vAlign w:val="center"/>
            <w:textDirection w:val="lrTb"/>
            <w:noWrap w:val="false"/>
          </w:tcPr>
          <w:p>
            <w:pPr>
              <w:pStyle w:val="831"/>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44" w:type="dxa"/>
            <w:vAlign w:val="center"/>
            <w:textDirection w:val="lrTb"/>
            <w:noWrap w:val="false"/>
          </w:tcPr>
          <w:p>
            <w:pPr>
              <w:pStyle w:val="831"/>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30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08" w:type="dxa"/>
            <w:vAlign w:val="center"/>
            <w:textDirection w:val="lrTb"/>
            <w:noWrap w:val="false"/>
          </w:tcPr>
          <w:p>
            <w:pPr>
              <w:pStyle w:val="831"/>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564" w:type="dxa"/>
            <w:vAlign w:val="center"/>
            <w:textDirection w:val="lrTb"/>
            <w:noWrap w:val="false"/>
          </w:tcPr>
          <w:p>
            <w:pPr>
              <w:pStyle w:val="831"/>
              <w:jc w:val="both"/>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rFonts w:hint="eastAsia" w:ascii="宋体" w:hAnsi="宋体" w:eastAsia="宋体" w:cs="宋体"/>
                <w:color w:val="000000"/>
              </w:rPr>
              <w:t xml:space="preserve">...</w:t>
            </w:r>
            <w:r>
              <w:rPr>
                <w:rFonts w:eastAsia="宋体"/>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438" w:type="dxa"/>
            <w:vAlign w:val="center"/>
            <w:textDirection w:val="lrTb"/>
            <w:noWrap w:val="false"/>
          </w:tcPr>
          <w:p>
            <w:pPr>
              <w:pStyle w:val="831"/>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44" w:type="dxa"/>
            <w:vAlign w:val="center"/>
            <w:textDirection w:val="lrTb"/>
            <w:noWrap w:val="false"/>
          </w:tcPr>
          <w:p>
            <w:pPr>
              <w:pStyle w:val="831"/>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30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08" w:type="dxa"/>
            <w:vAlign w:val="center"/>
            <w:textDirection w:val="lrTb"/>
            <w:noWrap w:val="false"/>
          </w:tcPr>
          <w:p>
            <w:pPr>
              <w:pStyle w:val="831"/>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564" w:type="dxa"/>
            <w:vAlign w:val="center"/>
            <w:textDirection w:val="lrTb"/>
            <w:noWrap w:val="false"/>
          </w:tcPr>
          <w:p>
            <w:pPr>
              <w:pStyle w:val="831"/>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438" w:type="dxa"/>
            <w:vAlign w:val="center"/>
            <w:textDirection w:val="lrTb"/>
            <w:noWrap w:val="false"/>
          </w:tcPr>
          <w:p>
            <w:pPr>
              <w:pStyle w:val="831"/>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44" w:type="dxa"/>
            <w:vAlign w:val="center"/>
            <w:textDirection w:val="lrTb"/>
            <w:noWrap w:val="false"/>
          </w:tcPr>
          <w:p>
            <w:pPr>
              <w:pStyle w:val="831"/>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bl>
    <w:p>
      <w:pPr>
        <w:pStyle w:val="831"/>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投标单位（盖章）：</w:t>
      </w:r>
      <w:r>
        <w:rPr>
          <w:rFonts w:ascii="宋体" w:hAnsi="宋体" w:eastAsia="宋体" w:cs="宋体"/>
          <w:color w:val="000000"/>
          <w:u w:val="single"/>
        </w:rPr>
        <w:t xml:space="preserve">                      </w:t>
      </w:r>
      <w:r>
        <w:rPr>
          <w:color w:val="000000"/>
        </w:rPr>
      </w:r>
      <w:r/>
    </w:p>
    <w:p>
      <w:pPr>
        <w:pStyle w:val="831"/>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rPr>
          <w:color w:val="000000"/>
        </w:rPr>
      </w:r>
      <w:r/>
    </w:p>
    <w:p>
      <w:pPr>
        <w:pStyle w:val="831"/>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rPr>
          <w:color w:val="000000"/>
        </w:rPr>
      </w:r>
      <w:r/>
    </w:p>
    <w:p>
      <w:pPr>
        <w:pStyle w:val="831"/>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w:t>
      </w:r>
      <w:r>
        <w:rPr>
          <w:rFonts w:hint="eastAsia" w:ascii="宋体" w:hAnsi="宋体" w:eastAsia="宋体" w:cs="宋体"/>
          <w:color w:val="000000"/>
        </w:rPr>
        <w:t xml:space="preserve">.投标供应商</w:t>
      </w:r>
      <w:r>
        <w:rPr>
          <w:rFonts w:ascii="宋体" w:hAnsi="宋体" w:eastAsia="宋体" w:cs="宋体"/>
          <w:color w:val="000000"/>
        </w:rPr>
        <w:t xml:space="preserve">应在上表中明确投标文件</w:t>
      </w:r>
      <w:r>
        <w:rPr>
          <w:rFonts w:hint="eastAsia" w:ascii="宋体" w:hAnsi="宋体" w:eastAsia="宋体" w:cs="宋体"/>
          <w:color w:val="000000"/>
        </w:rPr>
        <w:t xml:space="preserve">商务</w:t>
      </w:r>
      <w:r>
        <w:rPr>
          <w:rFonts w:ascii="宋体" w:hAnsi="宋体" w:eastAsia="宋体" w:cs="宋体"/>
          <w:color w:val="000000"/>
        </w:rPr>
        <w:t xml:space="preserve">部分与招标文件要求的</w:t>
      </w:r>
      <w:r>
        <w:rPr>
          <w:rFonts w:hint="eastAsia" w:ascii="宋体" w:hAnsi="宋体" w:eastAsia="宋体" w:cs="宋体"/>
          <w:color w:val="000000"/>
        </w:rPr>
        <w:t xml:space="preserve">商务</w:t>
      </w:r>
      <w:r>
        <w:rPr>
          <w:rFonts w:ascii="宋体" w:hAnsi="宋体" w:eastAsia="宋体" w:cs="宋体"/>
          <w:color w:val="000000"/>
        </w:rPr>
        <w:t xml:space="preserve">要求偏离情况，未在上表中说明的，如在投标文件其他内容中已有文字说明或相关证明材料的，则以已有文字说明或相关证明材料为准。</w:t>
      </w:r>
      <w:r>
        <w:rPr>
          <w:color w:val="000000"/>
        </w:rPr>
      </w:r>
      <w:r/>
    </w:p>
    <w:p>
      <w:pPr>
        <w:pStyle w:val="831"/>
        <w:jc w:val="both"/>
        <w:spacing w:before="240" w:after="240" w:line="85" w:lineRule="atLeast"/>
        <w:shd w:val="clear" w:color="ffffff" w:fill="ffffff"/>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w:t>
      </w:r>
      <w:r>
        <w:rPr>
          <w:rFonts w:hint="eastAsia" w:ascii="宋体" w:hAnsi="宋体" w:eastAsia="宋体" w:cs="宋体"/>
          <w:color w:val="000000"/>
        </w:rPr>
        <w:t xml:space="preserve">.</w:t>
      </w:r>
      <w:r>
        <w:rPr>
          <w:rFonts w:ascii="宋体" w:hAnsi="宋体" w:eastAsia="宋体" w:cs="宋体"/>
          <w:color w:val="000000"/>
        </w:rPr>
        <w:t xml:space="preserve">说明：如果行数不够，请自行增加。</w:t>
      </w:r>
      <w:r/>
    </w:p>
    <w:p>
      <w:pPr>
        <w:pStyle w:val="831"/>
        <w:jc w:val="both"/>
        <w:spacing w:before="240" w:after="240" w:line="85" w:lineRule="atLeast"/>
        <w:shd w:val="clear" w:color="ffffff" w:fill="ffffff"/>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3.所有偏离必须在本表中列出，未在本偏离表中列出偏离，将视为投标供应商已完全接受招标文件要求。如完全无偏离，也无其他说明，可在本表第一行填写“全部无偏离”。</w:t>
      </w:r>
      <w:r>
        <w:rPr>
          <w:rFonts w:ascii="宋体" w:hAnsi="宋体" w:eastAsia="宋体" w:cs="宋体"/>
          <w:color w:val="000000"/>
        </w:rPr>
      </w:r>
      <w:r/>
    </w:p>
    <w:p>
      <w:pPr>
        <w:pStyle w:val="831"/>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color w:val="000000"/>
        </w:rPr>
      </w:r>
      <w:r/>
    </w:p>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br w:type="page" w:clear="all"/>
      </w:r>
      <w:r>
        <w:rPr>
          <w:rFonts w:ascii="宋体" w:hAnsi="宋体" w:eastAsia="宋体" w:cs="宋体"/>
          <w:b/>
          <w:bCs/>
          <w:color w:val="000000"/>
          <w:sz w:val="24"/>
        </w:rPr>
        <w:t xml:space="preserve">附件</w:t>
      </w:r>
      <w:r>
        <w:rPr>
          <w:rFonts w:hint="eastAsia" w:ascii="宋体" w:hAnsi="宋体" w:eastAsia="宋体" w:cs="宋体"/>
          <w:b/>
          <w:bCs/>
          <w:color w:val="000000"/>
          <w:sz w:val="24"/>
        </w:rPr>
        <w:t xml:space="preserve">七、投标供应商</w:t>
      </w:r>
      <w:r>
        <w:rPr>
          <w:rFonts w:ascii="宋体" w:hAnsi="宋体" w:eastAsia="宋体" w:cs="宋体"/>
          <w:b/>
          <w:bCs/>
          <w:color w:val="000000"/>
          <w:sz w:val="24"/>
        </w:rPr>
        <w:t xml:space="preserve">类似业绩情况表 </w:t>
      </w:r>
      <w:r>
        <w:rPr>
          <w:color w:val="000000"/>
        </w:rPr>
      </w:r>
      <w:r/>
    </w:p>
    <w:p>
      <w:pPr>
        <w:pStyle w:val="831"/>
        <w:jc w:val="cente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投标供应商</w:t>
      </w:r>
      <w:r>
        <w:rPr>
          <w:rFonts w:ascii="宋体" w:hAnsi="宋体" w:eastAsia="宋体" w:cs="宋体"/>
          <w:color w:val="000000"/>
          <w:sz w:val="24"/>
        </w:rPr>
        <w:t xml:space="preserve">类似业绩情况表</w:t>
      </w:r>
      <w:r/>
    </w:p>
    <w:p>
      <w:pPr>
        <w:pStyle w:val="831"/>
        <w:jc w:val="both"/>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pStyle w:val="831"/>
        <w:ind w:firstLine="240"/>
        <w:jc w:val="both"/>
        <w:spacing w:before="100" w:after="1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项目名称</w:t>
      </w:r>
      <w:r>
        <w:rPr>
          <w:rFonts w:hint="eastAsia" w:ascii="宋体" w:hAnsi="宋体" w:eastAsia="宋体" w:cs="宋体"/>
          <w:color w:val="000000"/>
        </w:rPr>
        <w:t xml:space="preserve">、分包号</w:t>
      </w:r>
      <w:r>
        <w:rPr>
          <w:rFonts w:ascii="宋体" w:hAnsi="宋体" w:eastAsia="宋体" w:cs="宋体"/>
          <w:color w:val="000000"/>
        </w:rPr>
        <w:t xml:space="preserve">：</w:t>
      </w:r>
      <w:r>
        <w:rPr>
          <w:rFonts w:hint="eastAsia" w:ascii="宋体" w:hAnsi="宋体" w:eastAsia="宋体" w:cs="宋体"/>
          <w:color w:val="000000"/>
        </w:rPr>
        <w:t xml:space="preserve">                                          </w:t>
      </w:r>
      <w:r>
        <w:rPr>
          <w:rFonts w:ascii="宋体" w:hAnsi="宋体" w:eastAsia="宋体" w:cs="宋体"/>
          <w:color w:val="000000"/>
        </w:rPr>
        <w:t xml:space="preserve">项目编号：</w:t>
      </w:r>
      <w:r>
        <w:rPr>
          <w:color w:val="000000"/>
        </w:rPr>
      </w:r>
      <w:r/>
    </w:p>
    <w:tbl>
      <w:tblPr>
        <w:tblW w:w="0" w:type="auto"/>
        <w:tblInd w:w="2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4"/>
        <w:gridCol w:w="1540"/>
        <w:gridCol w:w="1401"/>
        <w:gridCol w:w="980"/>
        <w:gridCol w:w="1021"/>
        <w:gridCol w:w="1498"/>
        <w:gridCol w:w="1120"/>
        <w:gridCol w:w="1120"/>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pStyle w:val="831"/>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序号</w:t>
            </w:r>
            <w:r>
              <w:rPr>
                <w:color w:val="000000"/>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40" w:type="dxa"/>
            <w:vAlign w:val="center"/>
            <w:textDirection w:val="lrTb"/>
            <w:noWrap w:val="false"/>
          </w:tcPr>
          <w:p>
            <w:pPr>
              <w:pStyle w:val="831"/>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项目名称</w:t>
            </w:r>
            <w:r>
              <w:rPr>
                <w:color w:val="000000"/>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1" w:type="dxa"/>
            <w:vAlign w:val="center"/>
            <w:textDirection w:val="lrTb"/>
            <w:noWrap w:val="false"/>
          </w:tcPr>
          <w:p>
            <w:pPr>
              <w:pStyle w:val="831"/>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业主单位</w:t>
            </w:r>
            <w:r>
              <w:rPr>
                <w:color w:val="000000"/>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80" w:type="dxa"/>
            <w:vAlign w:val="center"/>
            <w:textDirection w:val="lrTb"/>
            <w:noWrap w:val="false"/>
          </w:tcPr>
          <w:p>
            <w:pPr>
              <w:pStyle w:val="831"/>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合同</w:t>
            </w:r>
            <w:r>
              <w:rPr>
                <w:color w:val="000000"/>
              </w:rPr>
            </w:r>
            <w:r/>
          </w:p>
          <w:p>
            <w:pPr>
              <w:pStyle w:val="831"/>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金额</w:t>
            </w:r>
            <w:r>
              <w:rPr>
                <w:color w:val="000000"/>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21" w:type="dxa"/>
            <w:vAlign w:val="center"/>
            <w:textDirection w:val="lrTb"/>
            <w:noWrap w:val="false"/>
          </w:tcPr>
          <w:p>
            <w:pPr>
              <w:pStyle w:val="831"/>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w:t>
            </w:r>
            <w:r>
              <w:rPr>
                <w:color w:val="000000"/>
              </w:rPr>
            </w:r>
            <w:r/>
          </w:p>
          <w:p>
            <w:pPr>
              <w:pStyle w:val="831"/>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内容</w:t>
            </w:r>
            <w:r>
              <w:rPr>
                <w:color w:val="000000"/>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98" w:type="dxa"/>
            <w:vAlign w:val="center"/>
            <w:textDirection w:val="lrTb"/>
            <w:noWrap w:val="false"/>
          </w:tcPr>
          <w:p>
            <w:pPr>
              <w:pStyle w:val="831"/>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签约及服务</w:t>
            </w:r>
            <w:r>
              <w:rPr>
                <w:color w:val="000000"/>
              </w:rPr>
            </w:r>
            <w:r/>
          </w:p>
          <w:p>
            <w:pPr>
              <w:pStyle w:val="831"/>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时间</w:t>
            </w:r>
            <w:r>
              <w:rPr>
                <w:color w:val="000000"/>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0" w:type="dxa"/>
            <w:vAlign w:val="center"/>
            <w:textDirection w:val="lrTb"/>
            <w:noWrap w:val="false"/>
          </w:tcPr>
          <w:p>
            <w:pPr>
              <w:pStyle w:val="831"/>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联系人及电话</w:t>
            </w:r>
            <w:r>
              <w:rPr>
                <w:color w:val="000000"/>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0" w:type="dxa"/>
            <w:vAlign w:val="center"/>
            <w:textDirection w:val="lrTb"/>
            <w:noWrap w:val="false"/>
          </w:tcPr>
          <w:p>
            <w:pPr>
              <w:pStyle w:val="831"/>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备注</w:t>
            </w:r>
            <w:r>
              <w:rPr>
                <w:color w:val="000000"/>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0"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1" w:type="dxa"/>
            <w:vAlign w:val="top"/>
            <w:textDirection w:val="lrTb"/>
            <w:noWrap w:val="false"/>
          </w:tcPr>
          <w:p>
            <w:pPr>
              <w:pStyle w:val="831"/>
              <w:ind w:firstLine="12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0"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1"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98"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0"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1"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0"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1"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98"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0"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1"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0"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1"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98"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0"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1"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0"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1"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98"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0"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1"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0"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1"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98"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0"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1"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0"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1"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98"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0"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1"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0"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1"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98"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0"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1"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0"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1"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98"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bl>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 </w:t>
      </w:r>
      <w:r>
        <w:rPr>
          <w:color w:val="000000"/>
        </w:rPr>
      </w:r>
      <w:r/>
    </w:p>
    <w:p>
      <w:pPr>
        <w:pStyle w:val="831"/>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投标单位（盖章）：</w:t>
      </w:r>
      <w:r>
        <w:rPr>
          <w:rFonts w:ascii="宋体" w:hAnsi="宋体" w:eastAsia="宋体" w:cs="宋体"/>
          <w:color w:val="000000"/>
          <w:u w:val="single"/>
        </w:rPr>
        <w:t xml:space="preserve">                      </w:t>
      </w:r>
      <w:r>
        <w:rPr>
          <w:color w:val="000000"/>
        </w:rPr>
      </w:r>
      <w:r/>
    </w:p>
    <w:p>
      <w:pPr>
        <w:pStyle w:val="831"/>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rPr>
          <w:color w:val="000000"/>
        </w:rPr>
      </w:r>
      <w:r/>
    </w:p>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rPr>
          <w:color w:val="000000"/>
        </w:rPr>
      </w:r>
      <w:r/>
    </w:p>
    <w:p>
      <w:pPr>
        <w:pStyle w:val="831"/>
        <w:jc w:val="both"/>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说明：具体要求及需提交的证明材料详见评分标准。</w:t>
      </w:r>
      <w:r>
        <w:rPr>
          <w:color w:val="000000"/>
        </w:rPr>
      </w:r>
      <w:r/>
    </w:p>
    <w:p>
      <w:pPr>
        <w:pStyle w:val="831"/>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ind w:firstLine="4116"/>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831"/>
        <w:jc w:val="both"/>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附件</w:t>
      </w:r>
      <w:r>
        <w:rPr>
          <w:rFonts w:hint="eastAsia" w:ascii="宋体" w:hAnsi="宋体" w:eastAsia="宋体" w:cs="宋体"/>
          <w:b/>
          <w:bCs/>
          <w:color w:val="000000"/>
          <w:sz w:val="24"/>
        </w:rPr>
        <w:t xml:space="preserve">八</w:t>
      </w:r>
      <w:r>
        <w:rPr>
          <w:rFonts w:ascii="宋体" w:hAnsi="宋体" w:eastAsia="宋体" w:cs="宋体"/>
          <w:b/>
          <w:bCs/>
          <w:color w:val="000000"/>
          <w:sz w:val="24"/>
        </w:rPr>
        <w:t xml:space="preserve">、无重大违法记录声明格式</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无重大违法记录声明</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南京财经大学</w:t>
      </w:r>
      <w:r>
        <w:rPr>
          <w:rFonts w:ascii="宋体" w:hAnsi="宋体" w:eastAsia="宋体" w:cs="宋体"/>
          <w:color w:val="000000"/>
        </w:rPr>
        <w:t xml:space="preserve">：</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831"/>
        <w:ind w:firstLine="480"/>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我单位</w:t>
      </w:r>
      <w:r>
        <w:rPr>
          <w:rFonts w:hint="eastAsia" w:ascii="宋体" w:hAnsi="宋体" w:eastAsia="宋体" w:cs="宋体"/>
          <w:color w:val="000000"/>
          <w:u w:val="single"/>
        </w:rPr>
        <w:t xml:space="preserve">           </w:t>
      </w:r>
      <w:r>
        <w:rPr>
          <w:rFonts w:ascii="宋体" w:hAnsi="宋体" w:eastAsia="宋体" w:cs="宋体"/>
          <w:color w:val="000000"/>
        </w:rPr>
        <w:t xml:space="preserve">（</w:t>
      </w:r>
      <w:r>
        <w:rPr>
          <w:rFonts w:hint="eastAsia" w:ascii="宋体" w:hAnsi="宋体" w:eastAsia="宋体" w:cs="宋体"/>
          <w:color w:val="000000"/>
        </w:rPr>
        <w:t xml:space="preserve">投标供应商</w:t>
      </w:r>
      <w:r>
        <w:rPr>
          <w:rFonts w:ascii="宋体" w:hAnsi="宋体" w:eastAsia="宋体" w:cs="宋体"/>
          <w:color w:val="000000"/>
        </w:rPr>
        <w:t xml:space="preserve">名称）郑重声明：</w:t>
      </w:r>
      <w:r>
        <w:rPr>
          <w:color w:val="000000"/>
        </w:rPr>
      </w:r>
      <w:r/>
    </w:p>
    <w:p>
      <w:pPr>
        <w:pStyle w:val="831"/>
        <w:ind w:firstLine="480"/>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参加政府采购活动前3年内在经营活动中</w:t>
      </w:r>
      <w:r>
        <w:rPr>
          <w:rFonts w:hint="eastAsia" w:ascii="宋体" w:hAnsi="宋体" w:eastAsia="宋体" w:cs="宋体"/>
          <w:color w:val="000000"/>
          <w:u w:val="single"/>
        </w:rPr>
        <w:t xml:space="preserve">        </w:t>
      </w:r>
      <w:r>
        <w:rPr>
          <w:rFonts w:ascii="宋体" w:hAnsi="宋体" w:eastAsia="宋体" w:cs="宋体"/>
          <w:color w:val="000000"/>
        </w:rPr>
        <w:t xml:space="preserve">（在下划线上如实填写：有或没有）重大违法记录。</w:t>
      </w:r>
      <w:r>
        <w:rPr>
          <w:color w:val="000000"/>
        </w:rPr>
      </w:r>
      <w:r/>
    </w:p>
    <w:p>
      <w:pPr>
        <w:pStyle w:val="831"/>
        <w:ind w:firstLine="360"/>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（说明：政府采购法第二十二条第一款第五项所称重大违法记录，是指</w:t>
      </w:r>
      <w:r>
        <w:rPr>
          <w:rFonts w:hint="eastAsia" w:ascii="宋体" w:hAnsi="宋体" w:eastAsia="宋体" w:cs="宋体"/>
          <w:color w:val="000000"/>
        </w:rPr>
        <w:t xml:space="preserve">投标供应商</w:t>
      </w:r>
      <w:r>
        <w:rPr>
          <w:rFonts w:ascii="宋体" w:hAnsi="宋体" w:eastAsia="宋体" w:cs="宋体"/>
          <w:color w:val="000000"/>
        </w:rPr>
        <w:t xml:space="preserve">因违法经营受到刑事处罚或者责令停产停业、吊销许可证或者执照、较大数额罚款等行政处罚）</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831"/>
        <w:jc w:val="both"/>
        <w:spacing w:before="240" w:after="240" w:line="85" w:lineRule="atLeast"/>
        <w:shd w:val="clear" w:color="ffffff" w:fill="ffffff"/>
        <w:rPr>
          <w:color w:val="000000"/>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投标单位（盖章）：</w:t>
      </w:r>
      <w:r>
        <w:rPr>
          <w:color w:val="000000"/>
          <w:u w:val="single"/>
        </w:rPr>
      </w:r>
      <w:r/>
    </w:p>
    <w:p>
      <w:pPr>
        <w:pStyle w:val="831"/>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rPr>
          <w:color w:val="000000"/>
        </w:rPr>
      </w:r>
      <w:r/>
    </w:p>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 </w:t>
      </w:r>
      <w:r>
        <w:rPr>
          <w:rFonts w:ascii="宋体" w:hAnsi="宋体" w:eastAsia="宋体" w:cs="宋体"/>
          <w:color w:val="000000"/>
          <w:u w:val="single"/>
        </w:rPr>
        <w:t xml:space="preserve">           </w:t>
      </w:r>
      <w:r>
        <w:rPr>
          <w:rFonts w:ascii="宋体" w:hAnsi="宋体" w:eastAsia="宋体" w:cs="宋体"/>
          <w:color w:val="000000"/>
        </w:rPr>
        <w:t xml:space="preserve"> </w:t>
      </w:r>
      <w:r>
        <w:rPr>
          <w:color w:val="000000"/>
        </w:rPr>
      </w:r>
      <w:r/>
    </w:p>
    <w:p>
      <w:pPr>
        <w:pStyle w:val="831"/>
        <w:jc w:val="both"/>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ind w:right="480"/>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6"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831"/>
        <w:jc w:val="both"/>
        <w:spacing w:before="26" w:line="85" w:lineRule="atLeast"/>
        <w:rPr>
          <w:b/>
          <w:bCs/>
          <w:color w:val="00000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附件</w:t>
      </w:r>
      <w:r>
        <w:rPr>
          <w:rFonts w:hint="eastAsia" w:ascii="宋体" w:hAnsi="宋体" w:eastAsia="宋体" w:cs="宋体"/>
          <w:b/>
          <w:bCs/>
          <w:color w:val="000000"/>
          <w:sz w:val="24"/>
        </w:rPr>
        <w:t xml:space="preserve">九、</w:t>
      </w:r>
      <w:r>
        <w:rPr>
          <w:rFonts w:ascii="宋体" w:hAnsi="宋体" w:eastAsia="宋体" w:cs="宋体"/>
          <w:b/>
          <w:bCs/>
          <w:color w:val="000000"/>
          <w:sz w:val="24"/>
        </w:rPr>
        <w:t xml:space="preserve">具备履行合同所必需的设备和专业技术能力的声明格式</w:t>
      </w:r>
      <w:r>
        <w:rPr>
          <w:b/>
          <w:bCs/>
          <w:color w:val="000000"/>
        </w:rPr>
      </w:r>
      <w:r/>
    </w:p>
    <w:p>
      <w:pPr>
        <w:pStyle w:val="831"/>
        <w:jc w:val="both"/>
        <w:spacing w:before="26"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831"/>
        <w:jc w:val="center"/>
        <w:spacing w:before="26"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具备履行合同所必需的设备和专业技术能力</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南京财经大学</w:t>
      </w:r>
      <w:r>
        <w:rPr>
          <w:rFonts w:ascii="宋体" w:hAnsi="宋体" w:eastAsia="宋体" w:cs="宋体"/>
          <w:color w:val="000000"/>
        </w:rPr>
        <w:t xml:space="preserve">： </w:t>
      </w:r>
      <w:r>
        <w:rPr>
          <w:color w:val="000000"/>
        </w:rPr>
      </w:r>
      <w:r/>
    </w:p>
    <w:p>
      <w:pPr>
        <w:pStyle w:val="831"/>
        <w:jc w:val="both"/>
        <w:spacing w:before="26" w:after="12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p>
      <w:pPr>
        <w:pStyle w:val="831"/>
        <w:jc w:val="both"/>
        <w:spacing w:before="26" w:after="12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我单位</w:t>
      </w:r>
      <w:r>
        <w:rPr>
          <w:rFonts w:hint="eastAsia" w:ascii="宋体" w:hAnsi="宋体" w:eastAsia="宋体" w:cs="宋体"/>
          <w:color w:val="000000"/>
          <w:u w:val="single"/>
        </w:rPr>
        <w:t xml:space="preserve">            </w:t>
      </w:r>
      <w:r>
        <w:rPr>
          <w:rFonts w:ascii="宋体" w:hAnsi="宋体" w:eastAsia="宋体" w:cs="宋体"/>
          <w:color w:val="000000"/>
        </w:rPr>
        <w:t xml:space="preserve">（</w:t>
      </w:r>
      <w:r>
        <w:rPr>
          <w:rFonts w:hint="eastAsia" w:ascii="宋体" w:hAnsi="宋体" w:eastAsia="宋体" w:cs="宋体"/>
          <w:color w:val="000000"/>
        </w:rPr>
        <w:t xml:space="preserve">投标供应商</w:t>
      </w:r>
      <w:r>
        <w:rPr>
          <w:rFonts w:ascii="宋体" w:hAnsi="宋体" w:eastAsia="宋体" w:cs="宋体"/>
          <w:color w:val="000000"/>
        </w:rPr>
        <w:t xml:space="preserve">名称）郑重声明：</w:t>
      </w:r>
      <w:r>
        <w:rPr>
          <w:color w:val="000000"/>
        </w:rPr>
      </w:r>
      <w:r/>
    </w:p>
    <w:p>
      <w:pPr>
        <w:pStyle w:val="831"/>
        <w:jc w:val="both"/>
        <w:spacing w:before="26" w:after="12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p>
      <w:pPr>
        <w:pStyle w:val="831"/>
        <w:jc w:val="both"/>
        <w:spacing w:before="26" w:after="120"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我公司具备履行本项采购合同所必需的设备和专业技术能力</w:t>
      </w:r>
      <w:r>
        <w:rPr>
          <w:rFonts w:hint="eastAsia" w:ascii="宋体" w:hAnsi="宋体" w:eastAsia="宋体" w:cs="宋体"/>
          <w:color w:val="000000"/>
        </w:rPr>
        <w:t xml:space="preserve">。</w:t>
      </w:r>
      <w:r>
        <w:rPr>
          <w:rFonts w:hint="eastAsia" w:eastAsia="宋体"/>
          <w:color w:val="000000"/>
        </w:rPr>
      </w:r>
      <w:r/>
    </w:p>
    <w:p>
      <w:pPr>
        <w:pStyle w:val="831"/>
        <w:jc w:val="both"/>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投标单位（盖章）：</w:t>
      </w:r>
      <w:r>
        <w:rPr>
          <w:color w:val="000000"/>
        </w:rPr>
      </w:r>
      <w:r/>
    </w:p>
    <w:p>
      <w:pPr>
        <w:pStyle w:val="831"/>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rPr>
          <w:color w:val="000000"/>
        </w:rPr>
      </w:r>
      <w:r/>
    </w:p>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 </w:t>
      </w:r>
      <w:r>
        <w:rPr>
          <w:rFonts w:ascii="宋体" w:hAnsi="宋体" w:eastAsia="宋体" w:cs="宋体"/>
          <w:color w:val="000000"/>
          <w:u w:val="single"/>
        </w:rPr>
        <w:t xml:space="preserve">           </w:t>
      </w:r>
      <w:r>
        <w:rPr>
          <w:rFonts w:ascii="宋体" w:hAnsi="宋体" w:eastAsia="宋体" w:cs="宋体"/>
          <w:color w:val="000000"/>
        </w:rPr>
        <w:t xml:space="preserve"> </w:t>
      </w:r>
      <w:r>
        <w:rPr>
          <w:color w:val="000000"/>
        </w:rPr>
      </w:r>
      <w:r/>
    </w:p>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831"/>
        <w:jc w:val="both"/>
        <w:spacing w:line="85" w:lineRule="atLeast"/>
        <w:rPr>
          <w:b/>
          <w:bCs/>
          <w:color w:val="00000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附件十</w:t>
      </w:r>
      <w:r>
        <w:rPr>
          <w:rFonts w:hint="eastAsia" w:ascii="宋体" w:hAnsi="宋体" w:eastAsia="宋体" w:cs="宋体"/>
          <w:b/>
          <w:bCs/>
          <w:color w:val="000000"/>
          <w:sz w:val="24"/>
        </w:rPr>
        <w:t xml:space="preserve">、</w:t>
      </w:r>
      <w:r>
        <w:rPr>
          <w:rFonts w:ascii="宋体" w:hAnsi="宋体" w:eastAsia="宋体" w:cs="宋体"/>
          <w:b/>
          <w:bCs/>
          <w:color w:val="000000"/>
          <w:sz w:val="24"/>
        </w:rPr>
        <w:t xml:space="preserve">资格证明文件</w:t>
      </w:r>
      <w:r>
        <w:rPr>
          <w:b/>
          <w:bCs/>
          <w:color w:val="000000"/>
        </w:rPr>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1满足《中华人民共和国政府采购法》第二十二条规定：</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（1）具有独立承担民事责任的能力（提供法人或者其他组织的营业执照，自然人的身份证明扫描件并上传至投标文件中）；</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（2）具有良好的商业信誉和健全的财务会计制度（提供经审计的2024或2025年度财务报告</w:t>
      </w:r>
      <w:r>
        <w:rPr>
          <w:rFonts w:hint="eastAsia" w:ascii="宋体" w:hAnsi="宋体" w:eastAsia="宋体" w:cs="宋体"/>
          <w:color w:val="000000"/>
          <w:szCs w:val="21"/>
        </w:rPr>
        <w:t xml:space="preserve">扫描件</w:t>
      </w:r>
      <w:r>
        <w:rPr>
          <w:rFonts w:hint="eastAsia" w:ascii="宋体" w:hAnsi="宋体" w:eastAsia="宋体" w:cs="宋体"/>
          <w:color w:val="000000"/>
          <w:szCs w:val="21"/>
        </w:rPr>
        <w:t xml:space="preserve">加盖公章，或提供投标截止时间前6个月内（即2025年11月以来）任意一个月的财务报表（至少包含利润表和资产负债表）扫描件，或银行出具的投标截止时间前6个月（即2025年11月以来）内资信证书扫描件，或财政部门认可的政府采购专业担保机构出具的投标担保函扫描件上传至电子投标文件中）；</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（3）具有履行合同所必需的设备和专业技术能力（根据项目需求提供履行合同所必需的设备和专业技术能力的证明材料并加盖公章的承诺书原件扫描件上传至电子投标文件）；</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有依法缴纳税收和社会保障资金的良好记录（提供参加本次政府采购活动前半年内（即2025年11月以来），至少1个月缴纳税收和社会保险的凭证扫描件，依法享受免缴、缓缴的，提供证明材料扫描件上传至电子投标文件中）；</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（5）参加政府采购活动前三年内，在经营活动中没有重大违法记录（提供参加本次政府采购活动前3年内在经营活动中没有重大违法记录的书面声明上传至电子投标文件中）（格式见后附件）；</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（6）法律、行政法规规定的其他条件。</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2落实政府采购政策需要满足的资格条件：本项目非专门面向中小企业采购，执行价格优惠政策。</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3采购人根据项目的特殊要求规定的特定条件：</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（1）具备施工总承包电力工程三级(含)以上或者专业承包输变电工程三级(含)以上并且具备有效的安全生产许可证。（</w:t>
      </w:r>
      <w:r>
        <w:rPr>
          <w:rFonts w:hint="eastAsia" w:ascii="宋体" w:hAnsi="宋体" w:eastAsia="宋体" w:cs="宋体"/>
          <w:color w:val="000000"/>
          <w:szCs w:val="21"/>
        </w:rPr>
        <w:t xml:space="preserve">有效期内的证书扫描件上传至电子投标文件中</w:t>
      </w:r>
      <w:r>
        <w:rPr>
          <w:rFonts w:hint="eastAsia" w:ascii="宋体" w:hAnsi="宋体" w:eastAsia="宋体" w:cs="宋体"/>
          <w:color w:val="000000"/>
          <w:szCs w:val="21"/>
        </w:rPr>
        <w:t xml:space="preserve">）</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（2）项目负责人资格：具备注册建造师证机电工程二级(含)以上并且具备有效的安全生产考核合格证书（B类证）（</w:t>
      </w:r>
      <w:r>
        <w:rPr>
          <w:rFonts w:hint="eastAsia" w:ascii="宋体" w:hAnsi="宋体" w:eastAsia="宋体" w:cs="宋体"/>
          <w:color w:val="000000"/>
          <w:szCs w:val="21"/>
        </w:rPr>
        <w:t xml:space="preserve">有效期内的证书扫描件上传至电子投标文件中</w:t>
      </w:r>
      <w:r>
        <w:rPr>
          <w:rFonts w:hint="eastAsia" w:ascii="宋体" w:hAnsi="宋体" w:eastAsia="宋体" w:cs="宋体"/>
          <w:color w:val="000000"/>
          <w:szCs w:val="21"/>
        </w:rPr>
        <w:t xml:space="preserve">）</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（3）投标人必须具有国家电力监管部门颁发的承装（修、试）电力设施许可证，许可类别和等级：承装（修、试）类三级（含）及以上资质（投标人将</w:t>
      </w:r>
      <w:r>
        <w:rPr>
          <w:rFonts w:hint="eastAsia" w:ascii="宋体" w:hAnsi="宋体" w:eastAsia="宋体" w:cs="宋体"/>
          <w:color w:val="000000"/>
          <w:szCs w:val="21"/>
        </w:rPr>
        <w:t xml:space="preserve">证书扫描件</w:t>
      </w:r>
      <w:r>
        <w:rPr>
          <w:rFonts w:hint="eastAsia" w:ascii="宋体" w:hAnsi="宋体" w:eastAsia="宋体" w:cs="宋体"/>
          <w:color w:val="000000"/>
          <w:szCs w:val="21"/>
        </w:rPr>
        <w:t xml:space="preserve">上传至投标文件中，否则视为资格审查不通过）。</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4拒绝下述供应商参加本次招标活动：</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（1）供应商单位负责人为同一人或者存在直接控股、管理关系的不同供应商，不得参加同一合同项下的政府采购活动。</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（2）凡为采购项目提供整体设计、规范编制或者项目管理、监理、检测等服务的供应商，不得再参加本项目的采购活动。</w:t>
      </w:r>
      <w:r/>
    </w:p>
    <w:p>
      <w:pPr>
        <w:pStyle w:val="831"/>
        <w:ind w:firstLine="420"/>
        <w:jc w:val="both"/>
        <w:spacing w:line="360" w:lineRule="auto"/>
        <w:rPr>
          <w:rFonts w:ascii="宋体" w:hAnsi="宋体" w:eastAsia="宋体" w:cs="宋体"/>
          <w:b/>
          <w:color w:val="000000"/>
          <w:sz w:val="24"/>
        </w:rPr>
      </w:pPr>
      <w:r>
        <w:rPr>
          <w:rFonts w:hint="eastAsia" w:ascii="宋体" w:hAnsi="宋体" w:eastAsia="宋体" w:cs="宋体"/>
          <w:color w:val="000000"/>
          <w:szCs w:val="21"/>
        </w:rPr>
        <w:t xml:space="preserve">（3）供应商被“信用中国”网站（www.creditchina.gov.cn）、“中国政府采购网”（www.ccgp.gov.cn） 列入失信被执行人、重大税收违法失信主体名单、政府采购严重违法失信行为记录名单。</w:t>
      </w:r>
      <w:r>
        <w:rPr>
          <w:rFonts w:ascii="宋体" w:hAnsi="宋体" w:eastAsia="宋体" w:cs="宋体"/>
          <w:b/>
          <w:color w:val="000000"/>
          <w:sz w:val="24"/>
        </w:rPr>
      </w:r>
      <w:r/>
    </w:p>
    <w:p>
      <w:pPr>
        <w:pStyle w:val="831"/>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br w:type="page" w:clear="all"/>
        <w:t xml:space="preserve">附件十</w:t>
      </w:r>
      <w:r>
        <w:rPr>
          <w:rFonts w:hint="eastAsia" w:ascii="宋体" w:hAnsi="宋体" w:eastAsia="宋体" w:cs="宋体"/>
          <w:b/>
          <w:color w:val="000000"/>
          <w:sz w:val="24"/>
        </w:rPr>
        <w:t xml:space="preserve">一</w:t>
      </w:r>
      <w:r>
        <w:rPr>
          <w:rFonts w:ascii="宋体" w:hAnsi="宋体" w:eastAsia="宋体" w:cs="宋体"/>
          <w:b/>
          <w:color w:val="000000"/>
          <w:sz w:val="24"/>
        </w:rPr>
        <w:t xml:space="preserve">、中小企业声明函</w:t>
      </w:r>
      <w:r/>
    </w:p>
    <w:p>
      <w:pPr>
        <w:pStyle w:val="831"/>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831"/>
        <w:jc w:val="center"/>
        <w:rPr>
          <w:rFonts w:hint="eastAsia" w:cs="宋体"/>
          <w:b/>
          <w:bCs/>
          <w:color w:val="000000"/>
          <w:szCs w:val="24"/>
        </w:rPr>
      </w:pPr>
      <w:r>
        <w:rPr>
          <w:rFonts w:hint="eastAsia" w:cs="宋体"/>
          <w:b/>
          <w:bCs/>
          <w:color w:val="000000"/>
          <w:szCs w:val="24"/>
        </w:rPr>
        <w:t xml:space="preserve">中小企业声明函（工程、服务）</w:t>
      </w:r>
      <w:r/>
    </w:p>
    <w:p>
      <w:pPr>
        <w:pStyle w:val="831"/>
        <w:ind w:firstLine="480"/>
        <w:jc w:val="both"/>
        <w:spacing w:line="360" w:lineRule="auto"/>
        <w:rPr>
          <w:rFonts w:hint="eastAsia" w:cs="宋体"/>
          <w:color w:val="000000"/>
          <w:szCs w:val="24"/>
        </w:rPr>
      </w:pPr>
      <w:r>
        <w:rPr>
          <w:rFonts w:hint="eastAsia" w:cs="宋体"/>
          <w:color w:val="000000"/>
          <w:szCs w:val="24"/>
        </w:rPr>
        <w:t xml:space="preserve">本公司（联合体）郑重声明，根据《政府采购促进中小企业发展管理办法》（财库﹝</w:t>
      </w:r>
      <w:r>
        <w:rPr>
          <w:rFonts w:cs="宋体"/>
          <w:color w:val="000000"/>
          <w:szCs w:val="24"/>
        </w:rPr>
        <w:t xml:space="preserve">2020﹞46号）的规定，本公司</w:t>
      </w:r>
      <w:r>
        <w:rPr>
          <w:rFonts w:hint="eastAsia" w:cs="宋体"/>
          <w:color w:val="000000"/>
          <w:szCs w:val="24"/>
        </w:rPr>
        <w:t xml:space="preserve">（联合体）参加</w:t>
      </w:r>
      <w:r>
        <w:rPr>
          <w:rFonts w:hint="eastAsia" w:cs="宋体"/>
          <w:color w:val="000000"/>
          <w:szCs w:val="24"/>
          <w:u w:val="single"/>
        </w:rPr>
        <w:t xml:space="preserve">（单位名称）</w:t>
      </w:r>
      <w:r>
        <w:rPr>
          <w:rFonts w:hint="eastAsia" w:cs="宋体"/>
          <w:color w:val="000000"/>
          <w:szCs w:val="24"/>
        </w:rPr>
        <w:t xml:space="preserve">的</w:t>
      </w:r>
      <w:r>
        <w:rPr>
          <w:rFonts w:hint="eastAsia" w:cs="宋体"/>
          <w:color w:val="000000"/>
          <w:szCs w:val="24"/>
          <w:u w:val="single"/>
        </w:rPr>
        <w:t xml:space="preserve">（项目名称）</w:t>
      </w:r>
      <w:r>
        <w:rPr>
          <w:rFonts w:hint="eastAsia" w:cs="宋体"/>
          <w:color w:val="000000"/>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831"/>
        <w:ind w:firstLine="480"/>
        <w:jc w:val="both"/>
        <w:spacing w:line="360" w:lineRule="auto"/>
        <w:rPr>
          <w:rFonts w:hint="eastAsia" w:cs="宋体"/>
          <w:color w:val="000000"/>
          <w:szCs w:val="24"/>
          <w:u w:val="single"/>
        </w:rPr>
      </w:pPr>
      <w:r>
        <w:rPr>
          <w:rFonts w:cs="宋体"/>
          <w:color w:val="000000"/>
          <w:szCs w:val="24"/>
        </w:rPr>
        <w:t xml:space="preserve">1.</w:t>
      </w:r>
      <w:r>
        <w:rPr>
          <w:rFonts w:cs="宋体"/>
          <w:color w:val="000000"/>
          <w:szCs w:val="24"/>
          <w:u w:val="single"/>
        </w:rPr>
        <w:t xml:space="preserve">（标的名称）</w:t>
      </w:r>
      <w:r>
        <w:rPr>
          <w:rFonts w:cs="宋体"/>
          <w:color w:val="000000"/>
          <w:szCs w:val="24"/>
        </w:rPr>
        <w:t xml:space="preserve">，属于</w:t>
      </w:r>
      <w:r>
        <w:rPr>
          <w:rFonts w:cs="宋体"/>
          <w:color w:val="000000"/>
          <w:szCs w:val="24"/>
          <w:u w:val="single"/>
        </w:rPr>
        <w:t xml:space="preserve">（采购文件中明确的所属行业）</w:t>
      </w:r>
      <w:r>
        <w:rPr>
          <w:rFonts w:cs="宋体"/>
          <w:color w:val="000000"/>
          <w:szCs w:val="24"/>
        </w:rPr>
        <w:t xml:space="preserve">；</w:t>
      </w:r>
      <w:r>
        <w:rPr>
          <w:rFonts w:hint="eastAsia" w:cs="宋体"/>
          <w:color w:val="000000"/>
          <w:szCs w:val="24"/>
        </w:rPr>
        <w:t xml:space="preserve">承建（承接）企业为</w:t>
      </w:r>
      <w:r>
        <w:rPr>
          <w:rFonts w:hint="eastAsia" w:cs="宋体"/>
          <w:color w:val="000000"/>
          <w:szCs w:val="24"/>
          <w:u w:val="single"/>
        </w:rPr>
        <w:t xml:space="preserve">（企业名称）</w:t>
      </w:r>
      <w:r>
        <w:rPr>
          <w:rFonts w:hint="eastAsia" w:cs="宋体"/>
          <w:color w:val="000000"/>
          <w:szCs w:val="24"/>
        </w:rPr>
        <w:t xml:space="preserve">，从业人员</w:t>
      </w:r>
      <w:r>
        <w:rPr>
          <w:rFonts w:cs="宋体"/>
          <w:color w:val="000000"/>
          <w:szCs w:val="24"/>
          <w:u w:val="single"/>
        </w:rPr>
        <w:t xml:space="preserve">    </w:t>
      </w:r>
      <w:r>
        <w:rPr>
          <w:rFonts w:cs="宋体"/>
          <w:color w:val="000000"/>
          <w:szCs w:val="24"/>
        </w:rPr>
        <w:t xml:space="preserve">人，营业</w:t>
      </w:r>
      <w:r>
        <w:rPr>
          <w:rFonts w:hint="eastAsia" w:cs="宋体"/>
          <w:color w:val="000000"/>
          <w:szCs w:val="24"/>
        </w:rPr>
        <w:t xml:space="preserve">收入为</w:t>
      </w:r>
      <w:r>
        <w:rPr>
          <w:rFonts w:cs="宋体"/>
          <w:color w:val="000000"/>
          <w:szCs w:val="24"/>
          <w:u w:val="single"/>
        </w:rPr>
        <w:t xml:space="preserve">    </w:t>
      </w:r>
      <w:r>
        <w:rPr>
          <w:rFonts w:cs="宋体"/>
          <w:color w:val="000000"/>
          <w:szCs w:val="24"/>
        </w:rPr>
        <w:t xml:space="preserve">万元，资产总额为</w:t>
      </w:r>
      <w:r>
        <w:rPr>
          <w:rFonts w:cs="宋体"/>
          <w:color w:val="000000"/>
          <w:szCs w:val="24"/>
          <w:u w:val="single"/>
        </w:rPr>
        <w:t xml:space="preserve">    </w:t>
      </w:r>
      <w:r>
        <w:rPr>
          <w:rFonts w:cs="宋体"/>
          <w:color w:val="000000"/>
          <w:szCs w:val="24"/>
        </w:rPr>
        <w:t xml:space="preserve">万元</w:t>
      </w:r>
      <w:r>
        <w:rPr>
          <w:rFonts w:hint="eastAsia" w:cs="宋体"/>
          <w:color w:val="000000"/>
          <w:szCs w:val="24"/>
        </w:rPr>
        <w:t xml:space="preserve">，属于</w:t>
      </w:r>
      <w:r>
        <w:rPr>
          <w:rFonts w:hint="eastAsia" w:cs="宋体"/>
          <w:color w:val="000000"/>
          <w:szCs w:val="24"/>
          <w:u w:val="single"/>
        </w:rPr>
        <w:t xml:space="preserve">（中型企业、小型企业、微型企业）；</w:t>
      </w:r>
      <w:r/>
    </w:p>
    <w:p>
      <w:pPr>
        <w:pStyle w:val="831"/>
        <w:ind w:firstLine="480"/>
        <w:jc w:val="both"/>
        <w:spacing w:line="360" w:lineRule="auto"/>
        <w:rPr>
          <w:rFonts w:hint="eastAsia" w:cs="宋体"/>
          <w:color w:val="000000"/>
          <w:szCs w:val="24"/>
        </w:rPr>
      </w:pPr>
      <w:r>
        <w:rPr>
          <w:rFonts w:cs="宋体"/>
          <w:color w:val="000000"/>
          <w:szCs w:val="24"/>
        </w:rPr>
        <w:t xml:space="preserve">2.</w:t>
      </w:r>
      <w:r>
        <w:rPr>
          <w:rFonts w:cs="宋体"/>
          <w:color w:val="000000"/>
          <w:szCs w:val="24"/>
          <w:u w:val="single"/>
        </w:rPr>
        <w:t xml:space="preserve">（标的名称）</w:t>
      </w:r>
      <w:r>
        <w:rPr>
          <w:rFonts w:cs="宋体"/>
          <w:color w:val="000000"/>
          <w:szCs w:val="24"/>
        </w:rPr>
        <w:t xml:space="preserve">，属于</w:t>
      </w:r>
      <w:r>
        <w:rPr>
          <w:rFonts w:cs="宋体"/>
          <w:color w:val="000000"/>
          <w:szCs w:val="24"/>
          <w:u w:val="single"/>
        </w:rPr>
        <w:t xml:space="preserve">（采购文件中明确的所属行业）</w:t>
      </w:r>
      <w:r>
        <w:rPr>
          <w:rFonts w:cs="宋体"/>
          <w:color w:val="000000"/>
          <w:szCs w:val="24"/>
        </w:rPr>
        <w:t xml:space="preserve">；</w:t>
      </w:r>
      <w:r>
        <w:rPr>
          <w:rFonts w:hint="eastAsia" w:cs="宋体"/>
          <w:color w:val="000000"/>
          <w:szCs w:val="24"/>
        </w:rPr>
        <w:t xml:space="preserve">承建（承接）企业为</w:t>
      </w:r>
      <w:r>
        <w:rPr>
          <w:rFonts w:hint="eastAsia" w:cs="宋体"/>
          <w:color w:val="000000"/>
          <w:szCs w:val="24"/>
          <w:u w:val="single"/>
        </w:rPr>
        <w:t xml:space="preserve">（企业名称）</w:t>
      </w:r>
      <w:r>
        <w:rPr>
          <w:rFonts w:hint="eastAsia" w:cs="宋体"/>
          <w:color w:val="000000"/>
          <w:szCs w:val="24"/>
        </w:rPr>
        <w:t xml:space="preserve">，从业人员</w:t>
      </w:r>
      <w:r>
        <w:rPr>
          <w:rFonts w:cs="宋体"/>
          <w:color w:val="000000"/>
          <w:szCs w:val="24"/>
          <w:u w:val="single"/>
        </w:rPr>
        <w:t xml:space="preserve">    </w:t>
      </w:r>
      <w:r>
        <w:rPr>
          <w:rFonts w:cs="宋体"/>
          <w:color w:val="000000"/>
          <w:szCs w:val="24"/>
        </w:rPr>
        <w:t xml:space="preserve">人，营业</w:t>
      </w:r>
      <w:r>
        <w:rPr>
          <w:rFonts w:hint="eastAsia" w:cs="宋体"/>
          <w:color w:val="000000"/>
          <w:szCs w:val="24"/>
        </w:rPr>
        <w:t xml:space="preserve">收入为</w:t>
      </w:r>
      <w:r>
        <w:rPr>
          <w:rFonts w:cs="宋体"/>
          <w:color w:val="000000"/>
          <w:szCs w:val="24"/>
          <w:u w:val="single"/>
        </w:rPr>
        <w:t xml:space="preserve">    </w:t>
      </w:r>
      <w:r>
        <w:rPr>
          <w:rFonts w:cs="宋体"/>
          <w:color w:val="000000"/>
          <w:szCs w:val="24"/>
        </w:rPr>
        <w:t xml:space="preserve">万元，资产总额为</w:t>
      </w:r>
      <w:r>
        <w:rPr>
          <w:rFonts w:cs="宋体"/>
          <w:color w:val="000000"/>
          <w:szCs w:val="24"/>
          <w:u w:val="single"/>
        </w:rPr>
        <w:t xml:space="preserve">    </w:t>
      </w:r>
      <w:r>
        <w:rPr>
          <w:rFonts w:cs="宋体"/>
          <w:color w:val="000000"/>
          <w:szCs w:val="24"/>
        </w:rPr>
        <w:t xml:space="preserve">万元，属于</w:t>
      </w:r>
      <w:r>
        <w:rPr>
          <w:rFonts w:cs="宋体"/>
          <w:color w:val="000000"/>
          <w:szCs w:val="24"/>
          <w:u w:val="single"/>
        </w:rPr>
        <w:t xml:space="preserve">（中型企业、</w:t>
      </w:r>
      <w:r>
        <w:rPr>
          <w:rFonts w:hint="eastAsia" w:cs="宋体"/>
          <w:color w:val="000000"/>
          <w:szCs w:val="24"/>
          <w:u w:val="single"/>
        </w:rPr>
        <w:t xml:space="preserve">小型企业、微型企业）</w:t>
      </w:r>
      <w:r>
        <w:rPr>
          <w:rFonts w:hint="eastAsia" w:cs="宋体"/>
          <w:color w:val="000000"/>
          <w:szCs w:val="24"/>
        </w:rPr>
        <w:t xml:space="preserve">；</w:t>
      </w:r>
      <w:r/>
    </w:p>
    <w:p>
      <w:pPr>
        <w:pStyle w:val="831"/>
        <w:ind w:firstLine="480"/>
        <w:jc w:val="both"/>
        <w:spacing w:line="360" w:lineRule="auto"/>
        <w:rPr>
          <w:rFonts w:hint="eastAsia" w:cs="宋体"/>
          <w:color w:val="000000"/>
          <w:szCs w:val="24"/>
        </w:rPr>
      </w:pPr>
      <w:r>
        <w:rPr>
          <w:rFonts w:hint="eastAsia" w:cs="宋体"/>
          <w:color w:val="000000"/>
          <w:szCs w:val="24"/>
        </w:rPr>
        <w:t xml:space="preserve">……</w:t>
      </w:r>
      <w:r/>
    </w:p>
    <w:p>
      <w:pPr>
        <w:pStyle w:val="831"/>
        <w:ind w:firstLine="480"/>
        <w:jc w:val="both"/>
        <w:spacing w:line="360" w:lineRule="auto"/>
        <w:rPr>
          <w:rFonts w:hint="eastAsia" w:cs="宋体"/>
          <w:color w:val="000000"/>
          <w:szCs w:val="24"/>
        </w:rPr>
      </w:pPr>
      <w:r>
        <w:rPr>
          <w:rFonts w:hint="eastAsia" w:cs="宋体"/>
          <w:color w:val="000000"/>
          <w:szCs w:val="24"/>
        </w:rPr>
        <w:t xml:space="preserve">以上企业，不属于大企业的分支机构，不存在控股股东为大企业的情形，也不存在与大企业的负责人为同一人的情形。</w:t>
      </w:r>
      <w:r/>
    </w:p>
    <w:p>
      <w:pPr>
        <w:pStyle w:val="831"/>
        <w:ind w:firstLine="480"/>
        <w:jc w:val="both"/>
        <w:spacing w:line="360" w:lineRule="auto"/>
        <w:rPr>
          <w:rFonts w:hint="eastAsia" w:cs="宋体"/>
          <w:color w:val="000000"/>
          <w:szCs w:val="24"/>
        </w:rPr>
      </w:pPr>
      <w:r>
        <w:rPr>
          <w:rFonts w:hint="eastAsia" w:cs="宋体"/>
          <w:color w:val="000000"/>
          <w:szCs w:val="24"/>
        </w:rPr>
        <w:t xml:space="preserve">本企业对上述声明内容的真实性负责。如有虚假，将依法承担相应责任。</w:t>
      </w:r>
      <w:r/>
    </w:p>
    <w:p>
      <w:pPr>
        <w:pStyle w:val="831"/>
        <w:ind w:firstLine="480"/>
        <w:jc w:val="both"/>
        <w:spacing w:line="360" w:lineRule="auto"/>
        <w:rPr>
          <w:rFonts w:hint="eastAsia" w:cs="宋体"/>
          <w:color w:val="000000"/>
          <w:szCs w:val="24"/>
        </w:rPr>
      </w:pPr>
      <w:r>
        <w:rPr>
          <w:rFonts w:hint="eastAsia" w:cs="宋体"/>
          <w:color w:val="000000"/>
          <w:szCs w:val="24"/>
        </w:rPr>
      </w:r>
      <w:r/>
    </w:p>
    <w:p>
      <w:pPr>
        <w:pStyle w:val="831"/>
        <w:ind w:firstLine="480"/>
        <w:jc w:val="both"/>
        <w:spacing w:line="360" w:lineRule="auto"/>
        <w:rPr>
          <w:rFonts w:hint="eastAsia" w:cs="宋体"/>
          <w:color w:val="000000"/>
          <w:szCs w:val="24"/>
        </w:rPr>
      </w:pPr>
      <w:r>
        <w:rPr>
          <w:rFonts w:hint="eastAsia" w:cs="宋体"/>
          <w:color w:val="000000"/>
          <w:szCs w:val="24"/>
        </w:rPr>
      </w:r>
      <w:r/>
    </w:p>
    <w:p>
      <w:pPr>
        <w:pStyle w:val="831"/>
        <w:ind w:right="720"/>
        <w:jc w:val="both"/>
        <w:spacing w:line="360" w:lineRule="auto"/>
        <w:rPr>
          <w:rFonts w:hint="eastAsia" w:cs="宋体"/>
          <w:color w:val="000000"/>
          <w:szCs w:val="24"/>
        </w:rPr>
      </w:pPr>
      <w:r>
        <w:rPr>
          <w:rFonts w:hint="eastAsia" w:cs="宋体"/>
          <w:color w:val="000000"/>
          <w:szCs w:val="24"/>
        </w:rPr>
        <w:t xml:space="preserve">企业名称（盖章）：</w:t>
      </w:r>
      <w:r/>
    </w:p>
    <w:p>
      <w:pPr>
        <w:pStyle w:val="831"/>
        <w:ind w:right="720"/>
        <w:jc w:val="both"/>
        <w:spacing w:line="360" w:lineRule="auto"/>
        <w:rPr>
          <w:rFonts w:hint="eastAsia" w:cs="宋体"/>
          <w:color w:val="000000"/>
          <w:szCs w:val="24"/>
        </w:rPr>
      </w:pPr>
      <w:r>
        <w:rPr>
          <w:rFonts w:hint="eastAsia" w:cs="宋体"/>
          <w:color w:val="000000"/>
          <w:szCs w:val="24"/>
        </w:rPr>
      </w:r>
      <w:r/>
    </w:p>
    <w:p>
      <w:pPr>
        <w:pStyle w:val="831"/>
        <w:ind w:right="1920"/>
        <w:jc w:val="both"/>
        <w:spacing w:line="360" w:lineRule="auto"/>
        <w:rPr>
          <w:rFonts w:hint="eastAsia" w:cs="宋体"/>
          <w:color w:val="000000"/>
          <w:szCs w:val="24"/>
        </w:rPr>
      </w:pPr>
      <w:r>
        <w:rPr>
          <w:rFonts w:hint="eastAsia" w:cs="宋体"/>
          <w:color w:val="000000"/>
          <w:szCs w:val="24"/>
        </w:rPr>
        <w:t xml:space="preserve">日</w:t>
      </w:r>
      <w:r>
        <w:rPr>
          <w:rFonts w:cs="宋体"/>
          <w:color w:val="000000"/>
          <w:szCs w:val="24"/>
        </w:rPr>
        <w:t xml:space="preserve">期：</w:t>
      </w:r>
      <w:r>
        <w:rPr>
          <w:rFonts w:hint="eastAsia" w:cs="宋体"/>
          <w:color w:val="000000"/>
          <w:szCs w:val="24"/>
        </w:rPr>
      </w:r>
      <w:r/>
    </w:p>
    <w:p>
      <w:pPr>
        <w:pStyle w:val="831"/>
        <w:jc w:val="both"/>
        <w:spacing w:line="360" w:lineRule="auto"/>
        <w:rPr>
          <w:rFonts w:hint="eastAsia" w:cs="宋体"/>
          <w:color w:val="000000"/>
          <w:szCs w:val="24"/>
        </w:rPr>
      </w:pPr>
      <w:r>
        <w:rPr>
          <w:rFonts w:cs="宋体"/>
          <w:color w:val="000000"/>
          <w:szCs w:val="24"/>
        </w:rPr>
        <w:t xml:space="preserve">注：</w:t>
      </w:r>
      <w:r>
        <w:rPr>
          <w:rFonts w:hint="eastAsia" w:cs="宋体"/>
          <w:color w:val="000000"/>
          <w:szCs w:val="24"/>
        </w:rPr>
      </w:r>
      <w:r/>
    </w:p>
    <w:p>
      <w:pPr>
        <w:pStyle w:val="831"/>
        <w:jc w:val="both"/>
        <w:spacing w:line="360" w:lineRule="auto"/>
        <w:rPr>
          <w:rFonts w:hint="eastAsia"/>
          <w:b/>
          <w:bCs/>
          <w:color w:val="000000"/>
          <w:szCs w:val="24"/>
          <w:lang w:val="zh-CN" w:bidi="en-US"/>
        </w:rPr>
      </w:pPr>
      <w:r>
        <w:rPr>
          <w:rFonts w:cs="宋体"/>
          <w:color w:val="000000"/>
          <w:szCs w:val="24"/>
        </w:rPr>
        <w:t xml:space="preserve">以上内容须填写完整并盖章。</w:t>
      </w:r>
      <w:r>
        <w:rPr>
          <w:rFonts w:hint="eastAsia"/>
          <w:b/>
          <w:bCs/>
          <w:color w:val="000000"/>
          <w:szCs w:val="24"/>
          <w:lang w:val="zh-CN" w:bidi="en-US"/>
        </w:rPr>
      </w:r>
      <w:r/>
    </w:p>
    <w:p>
      <w:pPr>
        <w:pStyle w:val="831"/>
        <w:spacing w:line="360" w:lineRule="auto"/>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br w:type="page" w:clear="all"/>
        <w:t xml:space="preserve">附件十</w:t>
      </w:r>
      <w:r>
        <w:rPr>
          <w:rFonts w:hint="eastAsia" w:ascii="宋体" w:hAnsi="宋体" w:eastAsia="宋体" w:cs="宋体"/>
          <w:b/>
          <w:color w:val="000000"/>
          <w:sz w:val="24"/>
        </w:rPr>
        <w:t xml:space="preserve">二</w:t>
      </w:r>
      <w:r>
        <w:rPr>
          <w:rFonts w:ascii="宋体" w:hAnsi="宋体" w:eastAsia="宋体" w:cs="宋体"/>
          <w:b/>
          <w:color w:val="000000"/>
          <w:sz w:val="24"/>
        </w:rPr>
        <w:t xml:space="preserve">、残疾人福利性单位声明函格式（如</w:t>
      </w:r>
      <w:r>
        <w:rPr>
          <w:rFonts w:hint="eastAsia" w:ascii="宋体" w:hAnsi="宋体" w:eastAsia="宋体" w:cs="宋体"/>
          <w:b/>
          <w:color w:val="000000"/>
          <w:sz w:val="24"/>
        </w:rPr>
        <w:t xml:space="preserve">投标供应商</w:t>
      </w:r>
      <w:r>
        <w:rPr>
          <w:rFonts w:ascii="宋体" w:hAnsi="宋体" w:eastAsia="宋体" w:cs="宋体"/>
          <w:b/>
          <w:color w:val="000000"/>
          <w:sz w:val="24"/>
        </w:rPr>
        <w:t xml:space="preserve">为残疾人福利性单位</w:t>
      </w:r>
      <w:r>
        <w:rPr>
          <w:rFonts w:hint="eastAsia" w:ascii="宋体" w:hAnsi="宋体" w:eastAsia="宋体" w:cs="宋体"/>
          <w:b/>
          <w:color w:val="000000"/>
          <w:sz w:val="24"/>
        </w:rPr>
        <w:t xml:space="preserve">需</w:t>
      </w:r>
      <w:r>
        <w:rPr>
          <w:rFonts w:ascii="宋体" w:hAnsi="宋体" w:eastAsia="宋体" w:cs="宋体"/>
          <w:b/>
          <w:color w:val="000000"/>
          <w:sz w:val="24"/>
        </w:rPr>
        <w:t xml:space="preserve">提供此函）</w:t>
      </w:r>
      <w:r>
        <w:rPr>
          <w:color w:val="000000"/>
        </w:rPr>
      </w:r>
      <w:r/>
    </w:p>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残疾人福利性单位声明函</w:t>
      </w:r>
      <w:r>
        <w:rPr>
          <w:color w:val="000000"/>
        </w:rPr>
      </w:r>
      <w:r/>
    </w:p>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831"/>
        <w:ind w:right="112" w:firstLine="420"/>
        <w:jc w:val="both"/>
        <w:spacing w:before="154"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本单位郑重声明，根据《财政部 民政部 中国残疾人联合会关于促进残疾人就业政府采购政策 的通知》（财库〔2017〕141 号）的规定，本单位为符合条件的残疾人福利性单位，且本单位参加 单位的项目采购活动提供本单位制造的货物（由本单位承担工程/提供服务），或者提 供其他残疾人福利性单位制造的货物（不包括使用非残疾人福利性单位注册商标的货物）。</w:t>
      </w:r>
      <w:r/>
    </w:p>
    <w:p>
      <w:pPr>
        <w:pStyle w:val="831"/>
        <w:ind w:right="112" w:firstLine="420"/>
        <w:jc w:val="both"/>
        <w:spacing w:before="154"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本单位对上述声明的真实性负责。如有虚假，将依法承担相应责任。</w:t>
      </w:r>
      <w:r>
        <w:rPr>
          <w:color w:val="000000"/>
        </w:rPr>
      </w:r>
      <w:r/>
    </w:p>
    <w:p>
      <w:pPr>
        <w:pStyle w:val="831"/>
        <w:jc w:val="both"/>
        <w:spacing w:before="4"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831"/>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投标单位（盖章）：</w:t>
      </w:r>
      <w:r>
        <w:rPr>
          <w:rFonts w:ascii="宋体" w:hAnsi="宋体" w:eastAsia="宋体" w:cs="宋体"/>
          <w:color w:val="000000"/>
          <w:u w:val="single"/>
        </w:rPr>
        <w:t xml:space="preserve">                      </w:t>
      </w:r>
      <w:r>
        <w:rPr>
          <w:color w:val="000000"/>
        </w:rPr>
      </w:r>
      <w:r/>
    </w:p>
    <w:p>
      <w:pPr>
        <w:pStyle w:val="831"/>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rPr>
          <w:color w:val="000000"/>
        </w:rPr>
      </w:r>
      <w:r/>
    </w:p>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rPr>
          <w:color w:val="000000"/>
        </w:rPr>
      </w:r>
      <w:r/>
    </w:p>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831"/>
        <w:jc w:val="both"/>
        <w:spacing w:before="12"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ind w:right="112"/>
        <w:jc w:val="both"/>
        <w:spacing w:after="29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831"/>
        <w:ind w:right="112"/>
        <w:jc w:val="both"/>
        <w:spacing w:after="29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831"/>
        <w:ind w:right="112"/>
        <w:jc w:val="both"/>
        <w:spacing w:after="29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附件十</w:t>
      </w:r>
      <w:r>
        <w:rPr>
          <w:rFonts w:hint="eastAsia" w:ascii="宋体" w:hAnsi="宋体" w:eastAsia="宋体" w:cs="宋体"/>
          <w:b/>
          <w:color w:val="000000"/>
          <w:sz w:val="24"/>
        </w:rPr>
        <w:t xml:space="preserve">三</w:t>
      </w:r>
      <w:r>
        <w:rPr>
          <w:rFonts w:ascii="宋体" w:hAnsi="宋体" w:eastAsia="宋体" w:cs="宋体"/>
          <w:b/>
          <w:color w:val="000000"/>
          <w:sz w:val="24"/>
        </w:rPr>
        <w:t xml:space="preserve">、属于监狱企业的证明文件（如</w:t>
      </w:r>
      <w:r>
        <w:rPr>
          <w:rFonts w:hint="eastAsia" w:ascii="宋体" w:hAnsi="宋体" w:eastAsia="宋体" w:cs="宋体"/>
          <w:b/>
          <w:color w:val="000000"/>
          <w:sz w:val="24"/>
        </w:rPr>
        <w:t xml:space="preserve">投标供应商</w:t>
      </w:r>
      <w:r>
        <w:rPr>
          <w:rFonts w:ascii="宋体" w:hAnsi="宋体" w:eastAsia="宋体" w:cs="宋体"/>
          <w:b/>
          <w:color w:val="000000"/>
          <w:sz w:val="24"/>
        </w:rPr>
        <w:t xml:space="preserve">为监狱企业</w:t>
      </w:r>
      <w:r>
        <w:rPr>
          <w:rFonts w:hint="eastAsia" w:ascii="宋体" w:hAnsi="宋体" w:eastAsia="宋体" w:cs="宋体"/>
          <w:b/>
          <w:color w:val="000000"/>
          <w:sz w:val="24"/>
        </w:rPr>
        <w:t xml:space="preserve">需</w:t>
      </w:r>
      <w:r>
        <w:rPr>
          <w:rFonts w:ascii="宋体" w:hAnsi="宋体" w:eastAsia="宋体" w:cs="宋体"/>
          <w:b/>
          <w:color w:val="000000"/>
          <w:sz w:val="24"/>
        </w:rPr>
        <w:t xml:space="preserve">提供相关证明文件）</w:t>
      </w:r>
      <w:r>
        <w:rPr>
          <w:color w:val="000000"/>
        </w:rPr>
      </w:r>
      <w:r/>
    </w:p>
    <w:p>
      <w:pPr>
        <w:pStyle w:val="831"/>
        <w:ind w:right="112"/>
        <w:jc w:val="both"/>
        <w:spacing w:before="154"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提供由省级以上监狱管理局、戒毒管理局</w:t>
      </w:r>
      <w:r>
        <w:rPr>
          <w:rFonts w:hint="eastAsia" w:ascii="宋体" w:hAnsi="宋体" w:eastAsia="宋体" w:cs="宋体"/>
          <w:color w:val="000000"/>
        </w:rPr>
        <w:t xml:space="preserve">（</w:t>
      </w:r>
      <w:r>
        <w:rPr>
          <w:rFonts w:ascii="宋体" w:hAnsi="宋体" w:eastAsia="宋体" w:cs="宋体"/>
          <w:color w:val="000000"/>
        </w:rPr>
        <w:t xml:space="preserve">含新疆生产建设兵团</w:t>
      </w:r>
      <w:r>
        <w:rPr>
          <w:rFonts w:hint="eastAsia" w:ascii="宋体" w:hAnsi="宋体" w:eastAsia="宋体" w:cs="宋体"/>
          <w:color w:val="000000"/>
        </w:rPr>
        <w:t xml:space="preserve">）</w:t>
      </w:r>
      <w:r>
        <w:rPr>
          <w:rFonts w:ascii="宋体" w:hAnsi="宋体" w:eastAsia="宋体" w:cs="宋体"/>
          <w:color w:val="000000"/>
        </w:rPr>
        <w:t xml:space="preserve">出具的属于监狱企业的证明文件。</w:t>
      </w:r>
      <w:r>
        <w:rPr>
          <w:color w:val="000000"/>
        </w:rPr>
      </w:r>
      <w:r/>
    </w:p>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ind w:right="112"/>
        <w:jc w:val="both"/>
        <w:spacing w:before="154" w:after="29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831"/>
        <w:ind w:right="112"/>
        <w:jc w:val="both"/>
        <w:spacing w:before="154" w:after="29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附件十</w:t>
      </w:r>
      <w:r>
        <w:rPr>
          <w:rFonts w:hint="eastAsia" w:ascii="宋体" w:hAnsi="宋体" w:eastAsia="宋体" w:cs="宋体"/>
          <w:b/>
          <w:color w:val="000000"/>
          <w:sz w:val="24"/>
        </w:rPr>
        <w:t xml:space="preserve">四</w:t>
      </w:r>
      <w:r>
        <w:rPr>
          <w:rFonts w:ascii="宋体" w:hAnsi="宋体" w:eastAsia="宋体" w:cs="宋体"/>
          <w:b/>
          <w:color w:val="000000"/>
          <w:sz w:val="24"/>
        </w:rPr>
        <w:t xml:space="preserve">、节能产品认证文件（如有</w:t>
      </w:r>
      <w:r>
        <w:rPr>
          <w:rFonts w:hint="eastAsia" w:ascii="宋体" w:hAnsi="宋体" w:eastAsia="宋体" w:cs="宋体"/>
          <w:b/>
          <w:color w:val="000000"/>
          <w:sz w:val="24"/>
        </w:rPr>
        <w:t xml:space="preserve">需</w:t>
      </w:r>
      <w:r>
        <w:rPr>
          <w:rFonts w:ascii="宋体" w:hAnsi="宋体" w:eastAsia="宋体" w:cs="宋体"/>
          <w:b/>
          <w:color w:val="000000"/>
          <w:sz w:val="24"/>
        </w:rPr>
        <w:t xml:space="preserve">提供）</w:t>
      </w:r>
      <w:r>
        <w:rPr>
          <w:color w:val="000000"/>
        </w:rPr>
      </w:r>
      <w:r/>
    </w:p>
    <w:p>
      <w:pPr>
        <w:pStyle w:val="831"/>
        <w:jc w:val="both"/>
        <w:spacing w:before="154"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以</w:t>
      </w:r>
      <w:r>
        <w:rPr>
          <w:rFonts w:hint="eastAsia" w:ascii="宋体" w:hAnsi="宋体" w:eastAsia="宋体" w:cs="宋体"/>
          <w:color w:val="000000"/>
        </w:rPr>
        <w:t xml:space="preserve">投标供应商</w:t>
      </w:r>
      <w:r>
        <w:rPr>
          <w:rFonts w:ascii="宋体" w:hAnsi="宋体" w:eastAsia="宋体" w:cs="宋体"/>
          <w:color w:val="000000"/>
        </w:rPr>
        <w:t xml:space="preserve">提供经国家确定的认证机构出具的、处于有效期之内的节能产品认证证书</w:t>
      </w:r>
      <w:r>
        <w:rPr>
          <w:rFonts w:ascii="宋体" w:hAnsi="宋体" w:eastAsia="宋体" w:cs="宋体"/>
          <w:color w:val="000000"/>
        </w:rPr>
        <w:t xml:space="preserve">扫描件</w:t>
      </w:r>
      <w:r>
        <w:rPr>
          <w:rFonts w:ascii="宋体" w:hAnsi="宋体" w:eastAsia="宋体" w:cs="宋体"/>
          <w:color w:val="000000"/>
        </w:rPr>
        <w:t xml:space="preserve">为准。</w:t>
      </w:r>
      <w:r>
        <w:rPr>
          <w:color w:val="000000"/>
        </w:rPr>
      </w:r>
      <w:r/>
    </w:p>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ind w:right="112"/>
        <w:jc w:val="both"/>
        <w:spacing w:before="154" w:after="29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831"/>
        <w:ind w:right="112"/>
        <w:jc w:val="both"/>
        <w:spacing w:before="154" w:after="29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附件十</w:t>
      </w:r>
      <w:r>
        <w:rPr>
          <w:rFonts w:hint="eastAsia" w:ascii="宋体" w:hAnsi="宋体" w:eastAsia="宋体" w:cs="宋体"/>
          <w:b/>
          <w:color w:val="000000"/>
          <w:sz w:val="24"/>
        </w:rPr>
        <w:t xml:space="preserve">五</w:t>
      </w:r>
      <w:r>
        <w:rPr>
          <w:rFonts w:ascii="宋体" w:hAnsi="宋体" w:eastAsia="宋体" w:cs="宋体"/>
          <w:b/>
          <w:color w:val="000000"/>
          <w:sz w:val="24"/>
        </w:rPr>
        <w:t xml:space="preserve">、环境标志产品认证文件（如有</w:t>
      </w:r>
      <w:r>
        <w:rPr>
          <w:rFonts w:hint="eastAsia" w:ascii="宋体" w:hAnsi="宋体" w:eastAsia="宋体" w:cs="宋体"/>
          <w:b/>
          <w:color w:val="000000"/>
          <w:sz w:val="24"/>
        </w:rPr>
        <w:t xml:space="preserve">需</w:t>
      </w:r>
      <w:r>
        <w:rPr>
          <w:rFonts w:ascii="宋体" w:hAnsi="宋体" w:eastAsia="宋体" w:cs="宋体"/>
          <w:b/>
          <w:color w:val="000000"/>
          <w:sz w:val="24"/>
        </w:rPr>
        <w:t xml:space="preserve">提供）</w:t>
      </w:r>
      <w:r>
        <w:rPr>
          <w:color w:val="000000"/>
        </w:rPr>
      </w:r>
      <w:r/>
    </w:p>
    <w:p>
      <w:pPr>
        <w:pStyle w:val="831"/>
        <w:ind w:right="112"/>
        <w:jc w:val="both"/>
        <w:spacing w:before="154"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以</w:t>
      </w:r>
      <w:r>
        <w:rPr>
          <w:rFonts w:hint="eastAsia" w:ascii="宋体" w:hAnsi="宋体" w:eastAsia="宋体" w:cs="宋体"/>
          <w:color w:val="000000"/>
        </w:rPr>
        <w:t xml:space="preserve">投标供应商</w:t>
      </w:r>
      <w:r>
        <w:rPr>
          <w:rFonts w:ascii="宋体" w:hAnsi="宋体" w:eastAsia="宋体" w:cs="宋体"/>
          <w:color w:val="000000"/>
        </w:rPr>
        <w:t xml:space="preserve">提供经国家确定的认证机构出具的、处于有效期之内的环境标志产品认证证书</w:t>
      </w:r>
      <w:r>
        <w:rPr>
          <w:rFonts w:ascii="宋体" w:hAnsi="宋体" w:eastAsia="宋体" w:cs="宋体"/>
          <w:color w:val="000000"/>
        </w:rPr>
        <w:t xml:space="preserve">扫描件</w:t>
      </w:r>
      <w:r>
        <w:rPr>
          <w:rFonts w:ascii="宋体" w:hAnsi="宋体" w:eastAsia="宋体" w:cs="宋体"/>
          <w:color w:val="000000"/>
        </w:rPr>
        <w:t xml:space="preserve">为准。</w:t>
      </w:r>
      <w:r>
        <w:rPr>
          <w:color w:val="000000"/>
        </w:rPr>
      </w:r>
      <w:r/>
    </w:p>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831"/>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831"/>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831"/>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831"/>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br w:type="page" w:clear="all"/>
      </w:r>
      <w:r/>
    </w:p>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附件十六、</w:t>
      </w:r>
      <w:r>
        <w:rPr>
          <w:rFonts w:ascii="宋体" w:hAnsi="宋体" w:eastAsia="宋体" w:cs="宋体"/>
          <w:b/>
          <w:color w:val="000000"/>
          <w:sz w:val="24"/>
        </w:rPr>
        <w:t xml:space="preserve">其他</w:t>
      </w:r>
      <w:r>
        <w:rPr>
          <w:color w:val="000000"/>
        </w:rPr>
      </w:r>
      <w:r/>
    </w:p>
    <w:p>
      <w:pPr>
        <w:pStyle w:val="831"/>
        <w:ind w:right="633"/>
        <w:jc w:val="both"/>
        <w:spacing w:line="85" w:lineRule="atLeast"/>
        <w:shd w:val="clear" w:color="ffffff" w:fill="ffffff"/>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p>
      <w:pPr>
        <w:pStyle w:val="831"/>
        <w:ind w:right="633"/>
        <w:jc w:val="both"/>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（各</w:t>
      </w:r>
      <w:r>
        <w:rPr>
          <w:rFonts w:hint="eastAsia" w:ascii="宋体" w:hAnsi="宋体" w:eastAsia="宋体" w:cs="宋体"/>
          <w:color w:val="000000"/>
        </w:rPr>
        <w:t xml:space="preserve">投标供应商</w:t>
      </w:r>
      <w:r>
        <w:rPr>
          <w:rFonts w:ascii="宋体" w:hAnsi="宋体" w:eastAsia="宋体" w:cs="宋体"/>
          <w:color w:val="000000"/>
        </w:rPr>
        <w:t xml:space="preserve">根据采购文件规定的打分细则对应提供相关证明材料等，格式自拟）</w:t>
      </w:r>
      <w:r>
        <w:rPr>
          <w:color w:val="000000"/>
        </w:rPr>
      </w:r>
      <w:r/>
    </w:p>
    <w:p>
      <w:pPr>
        <w:pStyle w:val="831"/>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831"/>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831"/>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831"/>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831"/>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831"/>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831"/>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831"/>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831"/>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831"/>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831"/>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831"/>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831"/>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w:t>
      </w:r>
      <w:r>
        <w:rPr>
          <w:rFonts w:hint="eastAsia" w:ascii="宋体" w:hAnsi="宋体" w:eastAsia="宋体" w:cs="宋体"/>
          <w:b/>
          <w:color w:val="000000"/>
          <w:sz w:val="24"/>
        </w:rPr>
        <w:t xml:space="preserve">十七</w:t>
      </w:r>
      <w:r>
        <w:rPr>
          <w:rFonts w:ascii="宋体" w:hAnsi="宋体" w:eastAsia="宋体" w:cs="宋体"/>
          <w:b/>
          <w:color w:val="000000"/>
          <w:sz w:val="24"/>
        </w:rPr>
        <w:t xml:space="preserve">、技术部分</w:t>
      </w:r>
      <w:r>
        <w:rPr>
          <w:color w:val="000000"/>
        </w:rPr>
      </w:r>
      <w:r/>
    </w:p>
    <w:p>
      <w:pPr>
        <w:pStyle w:val="831"/>
        <w:ind w:right="633"/>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（技术部分应根据采购人对项目的要求、评标标准的要求及项目本身的特点编写）</w:t>
      </w:r>
      <w:r>
        <w:rPr>
          <w:color w:val="000000"/>
        </w:rPr>
      </w:r>
      <w:r/>
    </w:p>
    <w:p>
      <w:pPr>
        <w:pStyle w:val="831"/>
        <w:ind w:right="633"/>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color w:val="000000"/>
        </w:rPr>
      </w:r>
      <w:r/>
    </w:p>
    <w:p>
      <w:pPr>
        <w:pStyle w:val="860"/>
        <w:ind w:left="0" w:right="1470"/>
        <w:jc w:val="both"/>
        <w:rPr>
          <w:rFonts w:hint="eastAsia" w:ascii="宋体" w:hAnsi="宋体" w:eastAsia="宋体" w:cs="宋体"/>
          <w:b/>
          <w:color w:val="000000"/>
        </w:rPr>
      </w:pPr>
      <w:r>
        <w:rPr>
          <w:rFonts w:hint="eastAsia" w:ascii="宋体" w:hAnsi="宋体" w:eastAsia="宋体" w:cs="宋体"/>
          <w:b/>
          <w:color w:val="000000"/>
        </w:rPr>
      </w:r>
      <w:r/>
    </w:p>
    <w:p>
      <w:pPr>
        <w:pStyle w:val="860"/>
        <w:ind w:left="0" w:right="1470"/>
        <w:jc w:val="both"/>
        <w:rPr>
          <w:rFonts w:hint="eastAsia" w:ascii="宋体" w:hAnsi="宋体" w:eastAsia="宋体" w:cs="宋体"/>
          <w:b/>
          <w:color w:val="000000"/>
        </w:rPr>
      </w:pPr>
      <w:r>
        <w:rPr>
          <w:rFonts w:hint="eastAsia" w:ascii="宋体" w:hAnsi="宋体" w:eastAsia="宋体" w:cs="宋体"/>
          <w:b/>
          <w:color w:val="000000"/>
        </w:rPr>
      </w:r>
      <w:r/>
    </w:p>
    <w:p>
      <w:pPr>
        <w:pStyle w:val="860"/>
        <w:ind w:left="0" w:right="1470"/>
        <w:jc w:val="both"/>
        <w:rPr>
          <w:rFonts w:hint="eastAsia" w:ascii="宋体" w:hAnsi="宋体" w:eastAsia="宋体" w:cs="宋体"/>
          <w:b/>
          <w:color w:val="000000"/>
        </w:rPr>
      </w:pPr>
      <w:r>
        <w:rPr>
          <w:rFonts w:hint="eastAsia" w:ascii="宋体" w:hAnsi="宋体" w:eastAsia="宋体" w:cs="宋体"/>
          <w:b/>
          <w:color w:val="000000"/>
        </w:rPr>
      </w:r>
      <w:r/>
    </w:p>
    <w:p>
      <w:pPr>
        <w:pStyle w:val="860"/>
        <w:ind w:left="0" w:right="1470"/>
        <w:jc w:val="both"/>
        <w:rPr>
          <w:rFonts w:hint="eastAsia" w:ascii="宋体" w:hAnsi="宋体" w:eastAsia="宋体" w:cs="宋体"/>
          <w:b/>
          <w:color w:val="000000"/>
        </w:rPr>
      </w:pPr>
      <w:r>
        <w:rPr>
          <w:rFonts w:hint="eastAsia" w:ascii="宋体" w:hAnsi="宋体" w:eastAsia="宋体" w:cs="宋体"/>
          <w:b/>
          <w:color w:val="000000"/>
        </w:rPr>
      </w:r>
      <w:r/>
    </w:p>
    <w:p>
      <w:pPr>
        <w:pStyle w:val="860"/>
        <w:ind w:left="0" w:right="1470"/>
        <w:jc w:val="both"/>
        <w:rPr>
          <w:rFonts w:hint="eastAsia" w:ascii="宋体" w:hAnsi="宋体" w:eastAsia="宋体" w:cs="宋体"/>
          <w:b/>
          <w:color w:val="000000"/>
        </w:rPr>
      </w:pPr>
      <w:r>
        <w:rPr>
          <w:rFonts w:hint="eastAsia" w:ascii="宋体" w:hAnsi="宋体" w:eastAsia="宋体" w:cs="宋体"/>
          <w:b/>
          <w:color w:val="000000"/>
        </w:rPr>
      </w:r>
      <w:r/>
    </w:p>
    <w:p>
      <w:pPr>
        <w:pStyle w:val="860"/>
        <w:ind w:left="0" w:right="1470"/>
        <w:jc w:val="both"/>
        <w:rPr>
          <w:rFonts w:hint="eastAsia" w:ascii="宋体" w:hAnsi="宋体" w:eastAsia="宋体" w:cs="宋体"/>
          <w:b/>
          <w:color w:val="000000"/>
        </w:rPr>
      </w:pPr>
      <w:r>
        <w:rPr>
          <w:rFonts w:hint="eastAsia" w:ascii="宋体" w:hAnsi="宋体" w:eastAsia="宋体" w:cs="宋体"/>
          <w:b/>
          <w:color w:val="000000"/>
        </w:rPr>
      </w:r>
      <w:r/>
    </w:p>
    <w:p>
      <w:pPr>
        <w:pStyle w:val="860"/>
        <w:ind w:left="0" w:right="1470"/>
        <w:jc w:val="both"/>
        <w:rPr>
          <w:rFonts w:hint="eastAsia" w:ascii="宋体" w:hAnsi="宋体" w:eastAsia="宋体" w:cs="宋体"/>
          <w:b/>
          <w:color w:val="000000"/>
        </w:rPr>
      </w:pPr>
      <w:r>
        <w:rPr>
          <w:rFonts w:hint="eastAsia" w:ascii="宋体" w:hAnsi="宋体" w:eastAsia="宋体" w:cs="宋体"/>
          <w:b/>
          <w:color w:val="000000"/>
        </w:rPr>
      </w:r>
      <w:r/>
    </w:p>
    <w:p>
      <w:pPr>
        <w:pStyle w:val="860"/>
        <w:ind w:left="0" w:right="1470"/>
        <w:jc w:val="both"/>
        <w:rPr>
          <w:rFonts w:hint="eastAsia" w:ascii="宋体" w:hAnsi="宋体" w:eastAsia="宋体" w:cs="宋体"/>
          <w:b/>
          <w:color w:val="000000"/>
        </w:rPr>
      </w:pPr>
      <w:r>
        <w:rPr>
          <w:rFonts w:hint="eastAsia" w:ascii="宋体" w:hAnsi="宋体" w:eastAsia="宋体" w:cs="宋体"/>
          <w:b/>
          <w:color w:val="000000"/>
        </w:rPr>
        <w:t xml:space="preserve">附件十八、相关承诺</w:t>
      </w:r>
      <w:r/>
    </w:p>
    <w:p>
      <w:pPr>
        <w:pStyle w:val="860"/>
        <w:ind w:left="0" w:right="1470"/>
        <w:jc w:val="both"/>
        <w:rPr>
          <w:rFonts w:ascii="宋体" w:hAnsi="宋体" w:eastAsia="宋体" w:cs="宋体"/>
          <w:bCs/>
          <w:color w:val="000000"/>
          <w:sz w:val="21"/>
          <w:szCs w:val="21"/>
        </w:rPr>
      </w:pPr>
      <w:r>
        <w:rPr>
          <w:rFonts w:hint="eastAsia" w:ascii="宋体" w:hAnsi="宋体" w:eastAsia="宋体" w:cs="宋体"/>
          <w:bCs/>
          <w:color w:val="000000"/>
          <w:sz w:val="21"/>
          <w:szCs w:val="21"/>
        </w:rPr>
        <w:t xml:space="preserve">（该部分各投标供应商根据采购文件要求提供，格式自拟）</w:t>
      </w:r>
      <w:r>
        <w:rPr>
          <w:rFonts w:ascii="宋体" w:hAnsi="宋体" w:eastAsia="宋体" w:cs="宋体"/>
          <w:bCs/>
          <w:color w:val="000000"/>
          <w:sz w:val="21"/>
          <w:szCs w:val="21"/>
        </w:rPr>
      </w:r>
      <w:r/>
    </w:p>
    <w:p>
      <w:pPr>
        <w:pStyle w:val="860"/>
        <w:ind w:left="0" w:right="1470"/>
        <w:jc w:val="both"/>
        <w:rPr>
          <w:rFonts w:hint="eastAsia" w:ascii="宋体" w:hAnsi="宋体" w:eastAsia="宋体" w:cs="宋体"/>
          <w:b/>
          <w:color w:val="000000"/>
        </w:rPr>
      </w:pPr>
      <w:r>
        <w:rPr>
          <w:rFonts w:hint="eastAsia" w:ascii="宋体" w:hAnsi="宋体" w:eastAsia="宋体" w:cs="宋体"/>
          <w:b/>
          <w:color w:val="000000"/>
        </w:rPr>
      </w:r>
      <w:r/>
    </w:p>
    <w:p>
      <w:pPr>
        <w:pStyle w:val="860"/>
        <w:ind w:left="0" w:right="1470"/>
        <w:jc w:val="both"/>
        <w:rPr>
          <w:rFonts w:hint="eastAsia" w:ascii="宋体" w:hAnsi="宋体" w:eastAsia="宋体" w:cs="宋体"/>
          <w:b/>
          <w:color w:val="000000"/>
        </w:rPr>
      </w:pPr>
      <w:r>
        <w:rPr>
          <w:rFonts w:hint="eastAsia" w:ascii="宋体" w:hAnsi="宋体" w:eastAsia="宋体" w:cs="宋体"/>
          <w:b/>
          <w:color w:val="000000"/>
        </w:rPr>
      </w:r>
      <w:r/>
    </w:p>
    <w:p>
      <w:pPr>
        <w:pStyle w:val="860"/>
        <w:ind w:left="0" w:right="1470"/>
        <w:jc w:val="both"/>
        <w:rPr>
          <w:rFonts w:hint="eastAsia" w:ascii="宋体" w:hAnsi="宋体" w:eastAsia="宋体" w:cs="宋体"/>
          <w:b/>
          <w:color w:val="000000"/>
        </w:rPr>
      </w:pPr>
      <w:r>
        <w:rPr>
          <w:rFonts w:hint="eastAsia" w:ascii="宋体" w:hAnsi="宋体" w:eastAsia="宋体" w:cs="宋体"/>
          <w:b/>
          <w:color w:val="000000"/>
        </w:rPr>
      </w:r>
      <w:r/>
    </w:p>
    <w:p>
      <w:pPr>
        <w:pStyle w:val="860"/>
        <w:ind w:left="0" w:right="1470"/>
        <w:jc w:val="both"/>
        <w:rPr>
          <w:rFonts w:hint="eastAsia" w:ascii="宋体" w:hAnsi="宋体" w:eastAsia="宋体" w:cs="宋体"/>
          <w:b/>
          <w:color w:val="000000"/>
        </w:rPr>
      </w:pPr>
      <w:r>
        <w:rPr>
          <w:rFonts w:hint="eastAsia" w:ascii="宋体" w:hAnsi="宋体" w:eastAsia="宋体" w:cs="宋体"/>
          <w:b/>
          <w:color w:val="000000"/>
        </w:rPr>
      </w:r>
      <w:r/>
    </w:p>
    <w:sectPr>
      <w:footerReference w:type="default" r:id="rId12"/>
      <w:footnotePr/>
      <w:endnotePr/>
      <w:type w:val="nextPage"/>
      <w:pgSz w:w="11906" w:h="16838" w:orient="portrait"/>
      <w:pgMar w:top="1134" w:right="850" w:bottom="1134" w:left="1701" w:header="709" w:footer="709"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Cambria">
    <w:panose1 w:val="02040503050406030204"/>
  </w:font>
  <w:font w:name="Wingdings">
    <w:panose1 w:val="05000000000000000000"/>
  </w:font>
  <w:font w:name="华文楷体">
    <w:panose1 w:val="02010600040101010101"/>
  </w:font>
  <w:font w:name="Courier New">
    <w:panose1 w:val="02070309020205020404"/>
  </w:font>
  <w:font w:name="仿宋">
    <w:panose1 w:val="02010609060101010101"/>
  </w:font>
  <w:font w:name="Songti SC">
    <w:panose1 w:val="020B0503020202020204"/>
  </w:font>
  <w:font w:name="Calibri">
    <w:panose1 w:val="020F0502020204030204"/>
  </w:font>
  <w:font w:name="Verdana">
    <w:panose1 w:val="020B0604030504040204"/>
  </w:font>
  <w:font w:name="黑体">
    <w:panose1 w:val="02010609060101010101"/>
  </w:font>
  <w:font w:name="仿宋_GB2312">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8"/>
                          </w:pPr>
                          <w:r>
                            <w:fldChar w:fldCharType="begin"/>
                          </w:r>
                          <w:r>
                            <w:instrText xml:space="preserve"> PAGE  \* MERGEFORMAT </w:instrText>
                          </w:r>
                          <w:r>
                            <w:fldChar w:fldCharType="separate"/>
                          </w:r>
                          <w:r>
                            <w:t xml:space="preserve">2</w:t>
                          </w:r>
                          <w:r>
                            <w:fldChar w:fldCharType="end"/>
                          </w:r>
                          <w:r/>
                        </w:p>
                        <w:p>
                          <w:pPr>
                            <w:pStyle w:val="83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8"/>
                    </w:pPr>
                    <w:r>
                      <w:fldChar w:fldCharType="begin"/>
                    </w:r>
                    <w:r>
                      <w:instrText xml:space="preserve"> PAGE  \* MERGEFORMAT </w:instrText>
                    </w:r>
                    <w:r>
                      <w:fldChar w:fldCharType="separate"/>
                    </w:r>
                    <w:r>
                      <w:t xml:space="preserve">2</w:t>
                    </w:r>
                    <w:r>
                      <w:fldChar w:fldCharType="end"/>
                    </w:r>
                    <w:r/>
                  </w:p>
                  <w:p>
                    <w:pPr>
                      <w:pStyle w:val="831"/>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ind w:firstLine="360"/>
      <w:rPr>
        <w:rStyle w:val="906"/>
      </w:rPr>
      <w:framePr w:wrap="around" w:vAnchor="text" w:hAnchor="margin" w:xAlign="center" w:y="1"/>
    </w:pPr>
    <w:r>
      <w:fldChar w:fldCharType="begin"/>
    </w:r>
    <w:r>
      <w:rPr>
        <w:rStyle w:val="906"/>
      </w:rPr>
      <w:instrText xml:space="preserve">PAGE  </w:instrText>
    </w:r>
    <w:r>
      <w:fldChar w:fldCharType="end"/>
    </w:r>
    <w:r>
      <w:rPr>
        <w:rStyle w:val="906"/>
      </w:rPr>
    </w:r>
    <w:r/>
  </w:p>
  <w:p>
    <w:pPr>
      <w:pStyle w:val="1058"/>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tabs>
        <w:tab w:val="center" w:pos="467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8"/>
                          </w:pPr>
                          <w:r>
                            <w:fldChar w:fldCharType="begin"/>
                          </w:r>
                          <w:r>
                            <w:instrText xml:space="preserve"> PAGE  \* MERGEFORMAT </w:instrText>
                          </w:r>
                          <w:r>
                            <w:fldChar w:fldCharType="separate"/>
                          </w:r>
                          <w:r>
                            <w:t xml:space="preserve">51</w:t>
                          </w:r>
                          <w:r>
                            <w:fldChar w:fldCharType="end"/>
                          </w:r>
                          <w:r/>
                        </w:p>
                        <w:p>
                          <w:pPr>
                            <w:pStyle w:val="831"/>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8"/>
                    </w:pPr>
                    <w:r>
                      <w:fldChar w:fldCharType="begin"/>
                    </w:r>
                    <w:r>
                      <w:instrText xml:space="preserve"> PAGE  \* MERGEFORMAT </w:instrText>
                    </w:r>
                    <w:r>
                      <w:fldChar w:fldCharType="separate"/>
                    </w:r>
                    <w:r>
                      <w:t xml:space="preserve">51</w:t>
                    </w:r>
                    <w:r>
                      <w:fldChar w:fldCharType="end"/>
                    </w:r>
                    <w:r/>
                  </w:p>
                  <w:p>
                    <w:pPr>
                      <w:pStyle w:val="831"/>
                    </w:pPr>
                    <w:r/>
                    <w:r/>
                  </w:p>
                </w:txbxContent>
              </v:textbox>
            </v:shape>
          </w:pict>
        </mc:Fallback>
      </mc:AlternateContent>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spacing w:line="14" w:lineRule="auto"/>
      <w:rPr>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wps:spPr>
                    <wps:txbx>
                      <w:txbxContent>
                        <w:p>
                          <w:pPr>
                            <w:pStyle w:val="831"/>
                          </w:pPr>
                          <w:r/>
                          <w:r/>
                        </w:p>
                        <w:p>
                          <w:pPr>
                            <w:pStyle w:val="831"/>
                          </w:pPr>
                          <w:r/>
                          <w:r/>
                        </w:p>
                        <w:p>
                          <w:pPr>
                            <w:pStyle w:val="831"/>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pStyle w:val="831"/>
                    </w:pPr>
                    <w:r/>
                    <w:r/>
                  </w:p>
                  <w:p>
                    <w:pPr>
                      <w:pStyle w:val="831"/>
                    </w:pPr>
                    <w:r/>
                    <w:r/>
                  </w:p>
                  <w:p>
                    <w:pPr>
                      <w:pStyle w:val="831"/>
                    </w:pPr>
                    <w:r/>
                    <w:r/>
                  </w:p>
                </w:txbxContent>
              </v:textbox>
            </v:shape>
          </w:pict>
        </mc:Fallback>
      </mc:AlternateContent>
    </w:r>
    <w:r>
      <w:rPr>
        <w:sz w:val="20"/>
        <w:szCs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31"/>
      </w:pPr>
    </w:lvl>
    <w:lvl w:ilvl="1">
      <w:start w:val="1"/>
      <w:numFmt w:val="bullet"/>
      <w:isLgl w:val="false"/>
      <w:suff w:val="tab"/>
      <w:lvlText w:val="o"/>
      <w:lvlJc w:val="left"/>
      <w:pPr>
        <w:pStyle w:val="831"/>
        <w:ind w:left="1440" w:hanging="360"/>
      </w:pPr>
      <w:rPr>
        <w:rFonts w:ascii="Courier New" w:hAnsi="Courier New" w:eastAsia="Courier New" w:cs="Courier New"/>
      </w:rPr>
    </w:lvl>
    <w:lvl w:ilvl="2">
      <w:start w:val="1"/>
      <w:numFmt w:val="bullet"/>
      <w:isLgl w:val="false"/>
      <w:suff w:val="tab"/>
      <w:lvlText w:val="§"/>
      <w:lvlJc w:val="left"/>
      <w:pPr>
        <w:pStyle w:val="831"/>
        <w:ind w:left="2160" w:hanging="360"/>
      </w:pPr>
      <w:rPr>
        <w:rFonts w:ascii="Wingdings" w:hAnsi="Wingdings" w:eastAsia="Wingdings" w:cs="Wingdings"/>
      </w:rPr>
    </w:lvl>
    <w:lvl w:ilvl="3">
      <w:start w:val="1"/>
      <w:numFmt w:val="bullet"/>
      <w:isLgl w:val="false"/>
      <w:suff w:val="tab"/>
      <w:lvlText w:val="·"/>
      <w:lvlJc w:val="left"/>
      <w:pPr>
        <w:pStyle w:val="831"/>
        <w:ind w:left="2880" w:hanging="360"/>
      </w:pPr>
      <w:rPr>
        <w:rFonts w:ascii="Symbol" w:hAnsi="Symbol" w:eastAsia="Symbol" w:cs="Symbol"/>
      </w:rPr>
    </w:lvl>
    <w:lvl w:ilvl="4">
      <w:start w:val="1"/>
      <w:numFmt w:val="bullet"/>
      <w:isLgl w:val="false"/>
      <w:suff w:val="tab"/>
      <w:lvlText w:val="o"/>
      <w:lvlJc w:val="left"/>
      <w:pPr>
        <w:pStyle w:val="831"/>
        <w:ind w:left="3600" w:hanging="360"/>
      </w:pPr>
      <w:rPr>
        <w:rFonts w:ascii="Courier New" w:hAnsi="Courier New" w:eastAsia="Courier New" w:cs="Courier New"/>
      </w:rPr>
    </w:lvl>
    <w:lvl w:ilvl="5">
      <w:start w:val="1"/>
      <w:numFmt w:val="bullet"/>
      <w:isLgl w:val="false"/>
      <w:suff w:val="tab"/>
      <w:lvlText w:val="§"/>
      <w:lvlJc w:val="left"/>
      <w:pPr>
        <w:pStyle w:val="831"/>
        <w:ind w:left="4320" w:hanging="360"/>
      </w:pPr>
      <w:rPr>
        <w:rFonts w:ascii="Wingdings" w:hAnsi="Wingdings" w:eastAsia="Wingdings" w:cs="Wingdings"/>
      </w:rPr>
    </w:lvl>
    <w:lvl w:ilvl="6">
      <w:start w:val="1"/>
      <w:numFmt w:val="bullet"/>
      <w:isLgl w:val="false"/>
      <w:suff w:val="tab"/>
      <w:lvlText w:val="·"/>
      <w:lvlJc w:val="left"/>
      <w:pPr>
        <w:pStyle w:val="831"/>
        <w:ind w:left="5040" w:hanging="360"/>
      </w:pPr>
      <w:rPr>
        <w:rFonts w:ascii="Symbol" w:hAnsi="Symbol" w:eastAsia="Symbol" w:cs="Symbol"/>
      </w:rPr>
    </w:lvl>
    <w:lvl w:ilvl="7">
      <w:start w:val="1"/>
      <w:numFmt w:val="bullet"/>
      <w:isLgl w:val="false"/>
      <w:suff w:val="tab"/>
      <w:lvlText w:val="o"/>
      <w:lvlJc w:val="left"/>
      <w:pPr>
        <w:pStyle w:val="831"/>
        <w:ind w:left="5760" w:hanging="360"/>
      </w:pPr>
      <w:rPr>
        <w:rFonts w:ascii="Courier New" w:hAnsi="Courier New" w:eastAsia="Courier New" w:cs="Courier New"/>
      </w:rPr>
    </w:lvl>
    <w:lvl w:ilvl="8">
      <w:start w:val="1"/>
      <w:numFmt w:val="bullet"/>
      <w:isLgl w:val="false"/>
      <w:suff w:val="tab"/>
      <w:lvlText w:val="§"/>
      <w:lvlJc w:val="left"/>
      <w:pPr>
        <w:pStyle w:val="831"/>
        <w:ind w:left="6480" w:hanging="360"/>
      </w:pPr>
      <w:rPr>
        <w:rFonts w:ascii="Wingdings" w:hAnsi="Wingdings" w:eastAsia="Wingdings" w:cs="Wingdings"/>
      </w:rPr>
    </w:lvl>
  </w:abstractNum>
  <w:abstractNum w:abstractNumId="1">
    <w:multiLevelType w:val="hybridMultilevel"/>
    <w:lvl w:ilvl="0">
      <w:start w:val="6"/>
      <w:numFmt w:val="chineseCounting"/>
      <w:isLgl w:val="false"/>
      <w:suff w:val="nothing"/>
      <w:lvlText w:val="%1、"/>
      <w:lvlJc w:val="left"/>
      <w:pPr>
        <w:pStyle w:val="83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0"/>
      <w:numFmt w:val="decimal"/>
      <w:isLgl w:val="false"/>
      <w:suff w:val="tab"/>
      <w:lvlText w:val=""/>
      <w:lvlJc w:val="left"/>
      <w:pPr>
        <w:pStyle w:val="831"/>
        <w:tabs>
          <w:tab w:val="num" w:pos="360" w:leader="none"/>
        </w:tabs>
      </w:pPr>
    </w:lvl>
    <w:lvl w:ilvl="1">
      <w:start w:val="1"/>
      <w:numFmt w:val="decimal"/>
      <w:pStyle w:val="911"/>
      <w:isLgl w:val="false"/>
      <w:suff w:val="nothing"/>
      <w:lvlText w:val="%1%2　"/>
      <w:lvlJc w:val="left"/>
      <w:pPr>
        <w:pStyle w:val="831"/>
        <w:ind w:left="0" w:firstLine="0"/>
      </w:pPr>
      <w:rPr>
        <w:rFonts w:hint="eastAsia" w:ascii="Tahoma" w:hAnsi="Tahoma" w:eastAsia="Tahoma"/>
        <w:b/>
        <w:i w:val="0"/>
        <w:sz w:val="21"/>
      </w:rPr>
    </w:lvl>
    <w:lvl w:ilvl="2">
      <w:start w:val="1"/>
      <w:numFmt w:val="decimal"/>
      <w:pStyle w:val="910"/>
      <w:isLgl w:val="false"/>
      <w:suff w:val="nothing"/>
      <w:lvlText w:val="%1%2.%3　"/>
      <w:lvlJc w:val="left"/>
      <w:pPr>
        <w:pStyle w:val="831"/>
        <w:ind w:left="0" w:firstLine="0"/>
      </w:pPr>
      <w:rPr>
        <w:rFonts w:hint="eastAsia" w:ascii="Tahoma" w:hAnsi="Tahoma" w:eastAsia="Tahoma"/>
        <w:b/>
        <w:i w:val="0"/>
        <w:sz w:val="21"/>
      </w:rPr>
    </w:lvl>
    <w:lvl w:ilvl="3">
      <w:start w:val="1"/>
      <w:numFmt w:val="decimal"/>
      <w:isLgl w:val="false"/>
      <w:suff w:val="nothing"/>
      <w:lvlText w:val="%1%2.%3.%4　"/>
      <w:lvlJc w:val="left"/>
      <w:pPr>
        <w:pStyle w:val="831"/>
        <w:ind w:left="420" w:firstLine="0"/>
      </w:pPr>
      <w:rPr>
        <w:rFonts w:hint="eastAsia" w:ascii="Tahoma" w:hAnsi="Tahoma" w:eastAsia="Tahoma"/>
        <w:b/>
        <w:i w:val="0"/>
        <w:sz w:val="21"/>
      </w:rPr>
    </w:lvl>
    <w:lvl w:ilvl="4">
      <w:start w:val="1"/>
      <w:numFmt w:val="decimal"/>
      <w:isLgl w:val="false"/>
      <w:suff w:val="nothing"/>
      <w:lvlText w:val="%1%2.%3.%4.%5　"/>
      <w:lvlJc w:val="left"/>
      <w:pPr>
        <w:pStyle w:val="831"/>
        <w:ind w:left="142" w:firstLine="0"/>
      </w:pPr>
      <w:rPr>
        <w:rFonts w:hint="eastAsia" w:ascii="Tahoma" w:hAnsi="Tahoma" w:eastAsia="Tahoma"/>
        <w:b/>
        <w:i w:val="0"/>
        <w:sz w:val="21"/>
      </w:rPr>
    </w:lvl>
    <w:lvl w:ilvl="5">
      <w:start w:val="1"/>
      <w:numFmt w:val="decimal"/>
      <w:isLgl w:val="false"/>
      <w:suff w:val="nothing"/>
      <w:lvlText w:val="%1%2.%3.%4.%5.%6　"/>
      <w:lvlJc w:val="left"/>
      <w:pPr>
        <w:pStyle w:val="831"/>
        <w:ind w:left="0" w:firstLine="0"/>
      </w:pPr>
      <w:rPr>
        <w:rFonts w:hint="eastAsia" w:ascii="Arial" w:hAnsi="宋体" w:eastAsia="Arial"/>
        <w:b w:val="0"/>
        <w:i w:val="0"/>
        <w:sz w:val="21"/>
      </w:rPr>
    </w:lvl>
    <w:lvl w:ilvl="6">
      <w:start w:val="1"/>
      <w:numFmt w:val="decimal"/>
      <w:isLgl w:val="false"/>
      <w:suff w:val="nothing"/>
      <w:lvlText w:val="%1%2.%3.%4.%5.%6.%7　"/>
      <w:lvlJc w:val="left"/>
      <w:pPr>
        <w:pStyle w:val="831"/>
        <w:ind w:left="0" w:firstLine="0"/>
      </w:pPr>
      <w:rPr>
        <w:rFonts w:hint="eastAsia" w:ascii="Arial" w:hAnsi="宋体" w:eastAsia="Arial"/>
        <w:b w:val="0"/>
        <w:i w:val="0"/>
        <w:sz w:val="21"/>
      </w:rPr>
    </w:lvl>
    <w:lvl w:ilvl="7">
      <w:start w:val="1"/>
      <w:numFmt w:val="decimal"/>
      <w:isLgl w:val="false"/>
      <w:suff w:val="tab"/>
      <w:lvlText w:val="%1.%2.%3.%4.%5.%6.%7.%8"/>
      <w:lvlJc w:val="left"/>
      <w:pPr>
        <w:pStyle w:val="831"/>
        <w:ind w:left="3969" w:hanging="1418"/>
        <w:tabs>
          <w:tab w:val="num" w:pos="4351" w:leader="none"/>
        </w:tabs>
      </w:pPr>
      <w:rPr>
        <w:rFonts w:hint="eastAsia"/>
      </w:rPr>
    </w:lvl>
    <w:lvl w:ilvl="8">
      <w:start w:val="1"/>
      <w:numFmt w:val="decimal"/>
      <w:isLgl w:val="false"/>
      <w:suff w:val="tab"/>
      <w:lvlText w:val="%1.%2.%3.%4.%5.%6.%7.%8.%9"/>
      <w:lvlJc w:val="left"/>
      <w:pPr>
        <w:pStyle w:val="831"/>
        <w:ind w:left="4677" w:hanging="1700"/>
        <w:tabs>
          <w:tab w:val="num" w:pos="4777" w:leader="none"/>
        </w:tabs>
      </w:pPr>
      <w:rPr>
        <w:rFonts w:hint="eastAsia"/>
      </w:rPr>
    </w:lvl>
  </w:abstractNum>
  <w:abstractNum w:abstractNumId="3">
    <w:multiLevelType w:val="hybridMultilevel"/>
    <w:lvl w:ilvl="0">
      <w:start w:val="2"/>
      <w:numFmt w:val="chineseCounting"/>
      <w:isLgl w:val="false"/>
      <w:suff w:val="space"/>
      <w:lvlText w:val="第%1章"/>
      <w:lvlJc w:val="left"/>
      <w:pPr>
        <w:pStyle w:val="83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83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pStyle w:val="83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9">
    <w:name w:val="Heading 1"/>
    <w:basedOn w:val="831"/>
    <w:next w:val="831"/>
    <w:link w:val="780"/>
    <w:uiPriority w:val="9"/>
    <w:qFormat/>
    <w:pPr>
      <w:keepLines/>
      <w:keepNext/>
      <w:spacing w:before="480" w:after="200"/>
      <w:outlineLvl w:val="0"/>
    </w:pPr>
    <w:rPr>
      <w:rFonts w:ascii="Arial" w:hAnsi="Arial" w:eastAsia="Arial" w:cs="Arial"/>
      <w:sz w:val="40"/>
      <w:szCs w:val="40"/>
    </w:rPr>
  </w:style>
  <w:style w:type="character" w:styleId="780">
    <w:name w:val="Heading 1 Char"/>
    <w:link w:val="779"/>
    <w:uiPriority w:val="9"/>
    <w:rPr>
      <w:rFonts w:ascii="Arial" w:hAnsi="Arial" w:eastAsia="Arial" w:cs="Arial"/>
      <w:sz w:val="40"/>
      <w:szCs w:val="40"/>
    </w:rPr>
  </w:style>
  <w:style w:type="paragraph" w:styleId="781">
    <w:name w:val="Heading 2"/>
    <w:basedOn w:val="831"/>
    <w:next w:val="831"/>
    <w:link w:val="782"/>
    <w:uiPriority w:val="9"/>
    <w:unhideWhenUsed/>
    <w:qFormat/>
    <w:pPr>
      <w:keepLines/>
      <w:keepNext/>
      <w:spacing w:before="360" w:after="200"/>
      <w:outlineLvl w:val="1"/>
    </w:pPr>
    <w:rPr>
      <w:rFonts w:ascii="Arial" w:hAnsi="Arial" w:eastAsia="Arial" w:cs="Arial"/>
      <w:sz w:val="34"/>
    </w:rPr>
  </w:style>
  <w:style w:type="character" w:styleId="782">
    <w:name w:val="Heading 2 Char"/>
    <w:link w:val="781"/>
    <w:uiPriority w:val="9"/>
    <w:rPr>
      <w:rFonts w:ascii="Arial" w:hAnsi="Arial" w:eastAsia="Arial" w:cs="Arial"/>
      <w:sz w:val="34"/>
    </w:rPr>
  </w:style>
  <w:style w:type="paragraph" w:styleId="783">
    <w:name w:val="Heading 3"/>
    <w:basedOn w:val="831"/>
    <w:next w:val="831"/>
    <w:link w:val="784"/>
    <w:uiPriority w:val="9"/>
    <w:unhideWhenUsed/>
    <w:qFormat/>
    <w:pPr>
      <w:keepLines/>
      <w:keepNext/>
      <w:spacing w:before="320" w:after="200"/>
      <w:outlineLvl w:val="2"/>
    </w:pPr>
    <w:rPr>
      <w:rFonts w:ascii="Arial" w:hAnsi="Arial" w:eastAsia="Arial" w:cs="Arial"/>
      <w:sz w:val="30"/>
      <w:szCs w:val="30"/>
    </w:rPr>
  </w:style>
  <w:style w:type="character" w:styleId="784">
    <w:name w:val="Heading 3 Char"/>
    <w:link w:val="783"/>
    <w:uiPriority w:val="9"/>
    <w:rPr>
      <w:rFonts w:ascii="Arial" w:hAnsi="Arial" w:eastAsia="Arial" w:cs="Arial"/>
      <w:sz w:val="30"/>
      <w:szCs w:val="30"/>
    </w:rPr>
  </w:style>
  <w:style w:type="paragraph" w:styleId="785">
    <w:name w:val="Heading 4"/>
    <w:basedOn w:val="831"/>
    <w:next w:val="831"/>
    <w:link w:val="786"/>
    <w:uiPriority w:val="9"/>
    <w:unhideWhenUsed/>
    <w:qFormat/>
    <w:pPr>
      <w:keepLines/>
      <w:keepNext/>
      <w:spacing w:before="320" w:after="200"/>
      <w:outlineLvl w:val="3"/>
    </w:pPr>
    <w:rPr>
      <w:rFonts w:ascii="Arial" w:hAnsi="Arial" w:eastAsia="Arial" w:cs="Arial"/>
      <w:b/>
      <w:bCs/>
      <w:sz w:val="26"/>
      <w:szCs w:val="26"/>
    </w:rPr>
  </w:style>
  <w:style w:type="character" w:styleId="786">
    <w:name w:val="Heading 4 Char"/>
    <w:link w:val="785"/>
    <w:uiPriority w:val="9"/>
    <w:rPr>
      <w:rFonts w:ascii="Arial" w:hAnsi="Arial" w:eastAsia="Arial" w:cs="Arial"/>
      <w:b/>
      <w:bCs/>
      <w:sz w:val="26"/>
      <w:szCs w:val="26"/>
    </w:rPr>
  </w:style>
  <w:style w:type="paragraph" w:styleId="787">
    <w:name w:val="Heading 5"/>
    <w:basedOn w:val="831"/>
    <w:next w:val="831"/>
    <w:link w:val="788"/>
    <w:uiPriority w:val="9"/>
    <w:unhideWhenUsed/>
    <w:qFormat/>
    <w:pPr>
      <w:keepLines/>
      <w:keepNext/>
      <w:spacing w:before="320" w:after="200"/>
      <w:outlineLvl w:val="4"/>
    </w:pPr>
    <w:rPr>
      <w:rFonts w:ascii="Arial" w:hAnsi="Arial" w:eastAsia="Arial" w:cs="Arial"/>
      <w:b/>
      <w:bCs/>
      <w:sz w:val="24"/>
      <w:szCs w:val="24"/>
    </w:rPr>
  </w:style>
  <w:style w:type="character" w:styleId="788">
    <w:name w:val="Heading 5 Char"/>
    <w:link w:val="787"/>
    <w:uiPriority w:val="9"/>
    <w:rPr>
      <w:rFonts w:ascii="Arial" w:hAnsi="Arial" w:eastAsia="Arial" w:cs="Arial"/>
      <w:b/>
      <w:bCs/>
      <w:sz w:val="24"/>
      <w:szCs w:val="24"/>
    </w:rPr>
  </w:style>
  <w:style w:type="paragraph" w:styleId="789">
    <w:name w:val="Heading 6"/>
    <w:basedOn w:val="831"/>
    <w:next w:val="831"/>
    <w:link w:val="790"/>
    <w:uiPriority w:val="9"/>
    <w:unhideWhenUsed/>
    <w:qFormat/>
    <w:pPr>
      <w:keepLines/>
      <w:keepNext/>
      <w:spacing w:before="320" w:after="200"/>
      <w:outlineLvl w:val="5"/>
    </w:pPr>
    <w:rPr>
      <w:rFonts w:ascii="Arial" w:hAnsi="Arial" w:eastAsia="Arial" w:cs="Arial"/>
      <w:b/>
      <w:bCs/>
      <w:sz w:val="22"/>
      <w:szCs w:val="22"/>
    </w:rPr>
  </w:style>
  <w:style w:type="character" w:styleId="790">
    <w:name w:val="Heading 6 Char"/>
    <w:link w:val="789"/>
    <w:uiPriority w:val="9"/>
    <w:rPr>
      <w:rFonts w:ascii="Arial" w:hAnsi="Arial" w:eastAsia="Arial" w:cs="Arial"/>
      <w:b/>
      <w:bCs/>
      <w:sz w:val="22"/>
      <w:szCs w:val="22"/>
    </w:rPr>
  </w:style>
  <w:style w:type="paragraph" w:styleId="791">
    <w:name w:val="Heading 7"/>
    <w:basedOn w:val="831"/>
    <w:next w:val="831"/>
    <w:link w:val="792"/>
    <w:uiPriority w:val="9"/>
    <w:unhideWhenUsed/>
    <w:qFormat/>
    <w:pPr>
      <w:keepLines/>
      <w:keepNext/>
      <w:spacing w:before="320" w:after="200"/>
      <w:outlineLvl w:val="6"/>
    </w:pPr>
    <w:rPr>
      <w:rFonts w:ascii="Arial" w:hAnsi="Arial" w:eastAsia="Arial" w:cs="Arial"/>
      <w:b/>
      <w:bCs/>
      <w:i/>
      <w:iCs/>
      <w:sz w:val="22"/>
      <w:szCs w:val="22"/>
    </w:rPr>
  </w:style>
  <w:style w:type="character" w:styleId="792">
    <w:name w:val="Heading 7 Char"/>
    <w:link w:val="791"/>
    <w:uiPriority w:val="9"/>
    <w:rPr>
      <w:rFonts w:ascii="Arial" w:hAnsi="Arial" w:eastAsia="Arial" w:cs="Arial"/>
      <w:b/>
      <w:bCs/>
      <w:i/>
      <w:iCs/>
      <w:sz w:val="22"/>
      <w:szCs w:val="22"/>
    </w:rPr>
  </w:style>
  <w:style w:type="paragraph" w:styleId="793">
    <w:name w:val="Heading 8"/>
    <w:basedOn w:val="831"/>
    <w:next w:val="831"/>
    <w:link w:val="794"/>
    <w:uiPriority w:val="9"/>
    <w:unhideWhenUsed/>
    <w:qFormat/>
    <w:pPr>
      <w:keepLines/>
      <w:keepNext/>
      <w:spacing w:before="320" w:after="200"/>
      <w:outlineLvl w:val="7"/>
    </w:pPr>
    <w:rPr>
      <w:rFonts w:ascii="Arial" w:hAnsi="Arial" w:eastAsia="Arial" w:cs="Arial"/>
      <w:i/>
      <w:iCs/>
      <w:sz w:val="22"/>
      <w:szCs w:val="22"/>
    </w:rPr>
  </w:style>
  <w:style w:type="character" w:styleId="794">
    <w:name w:val="Heading 8 Char"/>
    <w:link w:val="793"/>
    <w:uiPriority w:val="9"/>
    <w:rPr>
      <w:rFonts w:ascii="Arial" w:hAnsi="Arial" w:eastAsia="Arial" w:cs="Arial"/>
      <w:i/>
      <w:iCs/>
      <w:sz w:val="22"/>
      <w:szCs w:val="22"/>
    </w:rPr>
  </w:style>
  <w:style w:type="paragraph" w:styleId="795">
    <w:name w:val="Heading 9"/>
    <w:basedOn w:val="831"/>
    <w:next w:val="831"/>
    <w:link w:val="796"/>
    <w:uiPriority w:val="9"/>
    <w:unhideWhenUsed/>
    <w:qFormat/>
    <w:pPr>
      <w:keepLines/>
      <w:keepNext/>
      <w:spacing w:before="320" w:after="200"/>
      <w:outlineLvl w:val="8"/>
    </w:pPr>
    <w:rPr>
      <w:rFonts w:ascii="Arial" w:hAnsi="Arial" w:eastAsia="Arial" w:cs="Arial"/>
      <w:i/>
      <w:iCs/>
      <w:sz w:val="21"/>
      <w:szCs w:val="21"/>
    </w:rPr>
  </w:style>
  <w:style w:type="character" w:styleId="796">
    <w:name w:val="Heading 9 Char"/>
    <w:link w:val="795"/>
    <w:uiPriority w:val="9"/>
    <w:rPr>
      <w:rFonts w:ascii="Arial" w:hAnsi="Arial" w:eastAsia="Arial" w:cs="Arial"/>
      <w:i/>
      <w:iCs/>
      <w:sz w:val="21"/>
      <w:szCs w:val="21"/>
    </w:rPr>
  </w:style>
  <w:style w:type="paragraph" w:styleId="797">
    <w:name w:val="List Paragraph"/>
    <w:basedOn w:val="831"/>
    <w:uiPriority w:val="34"/>
    <w:qFormat/>
    <w:pPr>
      <w:contextualSpacing/>
      <w:ind w:left="720"/>
    </w:pPr>
  </w:style>
  <w:style w:type="paragraph" w:styleId="798">
    <w:name w:val="No Spacing"/>
    <w:uiPriority w:val="1"/>
    <w:qFormat/>
    <w:pPr>
      <w:spacing w:before="0" w:after="0" w:line="240" w:lineRule="auto"/>
    </w:pPr>
  </w:style>
  <w:style w:type="paragraph" w:styleId="799">
    <w:name w:val="Title"/>
    <w:basedOn w:val="831"/>
    <w:next w:val="831"/>
    <w:link w:val="800"/>
    <w:uiPriority w:val="10"/>
    <w:qFormat/>
    <w:pPr>
      <w:contextualSpacing/>
      <w:spacing w:before="300" w:after="200"/>
    </w:pPr>
    <w:rPr>
      <w:sz w:val="48"/>
      <w:szCs w:val="48"/>
    </w:rPr>
  </w:style>
  <w:style w:type="character" w:styleId="800">
    <w:name w:val="Title Char"/>
    <w:link w:val="799"/>
    <w:uiPriority w:val="10"/>
    <w:rPr>
      <w:sz w:val="48"/>
      <w:szCs w:val="48"/>
    </w:rPr>
  </w:style>
  <w:style w:type="paragraph" w:styleId="801">
    <w:name w:val="Subtitle"/>
    <w:basedOn w:val="831"/>
    <w:next w:val="831"/>
    <w:link w:val="802"/>
    <w:uiPriority w:val="11"/>
    <w:qFormat/>
    <w:pPr>
      <w:spacing w:before="200" w:after="200"/>
    </w:pPr>
    <w:rPr>
      <w:sz w:val="24"/>
      <w:szCs w:val="24"/>
    </w:rPr>
  </w:style>
  <w:style w:type="character" w:styleId="802">
    <w:name w:val="Subtitle Char"/>
    <w:link w:val="801"/>
    <w:uiPriority w:val="11"/>
    <w:rPr>
      <w:sz w:val="24"/>
      <w:szCs w:val="24"/>
    </w:rPr>
  </w:style>
  <w:style w:type="paragraph" w:styleId="803">
    <w:name w:val="Quote"/>
    <w:basedOn w:val="831"/>
    <w:next w:val="831"/>
    <w:link w:val="804"/>
    <w:uiPriority w:val="29"/>
    <w:qFormat/>
    <w:pPr>
      <w:ind w:left="720" w:right="720"/>
    </w:pPr>
    <w:rPr>
      <w:i/>
    </w:rPr>
  </w:style>
  <w:style w:type="character" w:styleId="804">
    <w:name w:val="Quote Char"/>
    <w:link w:val="803"/>
    <w:uiPriority w:val="29"/>
    <w:rPr>
      <w:i/>
    </w:rPr>
  </w:style>
  <w:style w:type="paragraph" w:styleId="805">
    <w:name w:val="Intense Quote"/>
    <w:basedOn w:val="831"/>
    <w:next w:val="831"/>
    <w:link w:val="8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6">
    <w:name w:val="Intense Quote Char"/>
    <w:link w:val="805"/>
    <w:uiPriority w:val="30"/>
    <w:rPr>
      <w:i/>
    </w:rPr>
  </w:style>
  <w:style w:type="paragraph" w:styleId="807">
    <w:name w:val="Header"/>
    <w:basedOn w:val="831"/>
    <w:link w:val="808"/>
    <w:uiPriority w:val="99"/>
    <w:unhideWhenUsed/>
    <w:pPr>
      <w:spacing w:after="0" w:line="240" w:lineRule="auto"/>
      <w:tabs>
        <w:tab w:val="center" w:pos="7143" w:leader="none"/>
        <w:tab w:val="right" w:pos="14287" w:leader="none"/>
      </w:tabs>
    </w:pPr>
  </w:style>
  <w:style w:type="character" w:styleId="808">
    <w:name w:val="Header Char"/>
    <w:link w:val="807"/>
    <w:uiPriority w:val="99"/>
  </w:style>
  <w:style w:type="paragraph" w:styleId="809">
    <w:name w:val="Footer"/>
    <w:basedOn w:val="831"/>
    <w:link w:val="812"/>
    <w:uiPriority w:val="99"/>
    <w:unhideWhenUsed/>
    <w:pPr>
      <w:spacing w:after="0" w:line="240" w:lineRule="auto"/>
      <w:tabs>
        <w:tab w:val="center" w:pos="7143" w:leader="none"/>
        <w:tab w:val="right" w:pos="14287" w:leader="none"/>
      </w:tabs>
    </w:pPr>
  </w:style>
  <w:style w:type="character" w:styleId="810">
    <w:name w:val="Footer Char"/>
    <w:link w:val="809"/>
    <w:uiPriority w:val="99"/>
  </w:style>
  <w:style w:type="paragraph" w:styleId="811">
    <w:name w:val="Caption"/>
    <w:basedOn w:val="831"/>
    <w:next w:val="831"/>
    <w:uiPriority w:val="35"/>
    <w:semiHidden/>
    <w:unhideWhenUsed/>
    <w:qFormat/>
    <w:pPr>
      <w:spacing w:line="276" w:lineRule="auto"/>
    </w:pPr>
    <w:rPr>
      <w:b/>
      <w:bCs/>
      <w:color w:val="4f81bd" w:themeColor="accent1"/>
      <w:sz w:val="18"/>
      <w:szCs w:val="18"/>
    </w:rPr>
  </w:style>
  <w:style w:type="character" w:styleId="812">
    <w:name w:val="Caption Char"/>
    <w:basedOn w:val="811"/>
    <w:link w:val="809"/>
    <w:uiPriority w:val="99"/>
  </w:style>
  <w:style w:type="table" w:styleId="81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4">
    <w:name w:val="Hyperlink"/>
    <w:uiPriority w:val="99"/>
    <w:unhideWhenUsed/>
    <w:rPr>
      <w:color w:val="0000ff" w:themeColor="hyperlink"/>
      <w:u w:val="single"/>
    </w:rPr>
  </w:style>
  <w:style w:type="paragraph" w:styleId="815">
    <w:name w:val="footnote text"/>
    <w:basedOn w:val="831"/>
    <w:link w:val="816"/>
    <w:uiPriority w:val="99"/>
    <w:semiHidden/>
    <w:unhideWhenUsed/>
    <w:pPr>
      <w:spacing w:after="40" w:line="240" w:lineRule="auto"/>
    </w:pPr>
    <w:rPr>
      <w:sz w:val="18"/>
    </w:rPr>
  </w:style>
  <w:style w:type="character" w:styleId="816">
    <w:name w:val="Footnote Text Char"/>
    <w:link w:val="815"/>
    <w:uiPriority w:val="99"/>
    <w:rPr>
      <w:sz w:val="18"/>
    </w:rPr>
  </w:style>
  <w:style w:type="character" w:styleId="817">
    <w:name w:val="footnote reference"/>
    <w:uiPriority w:val="99"/>
    <w:unhideWhenUsed/>
    <w:rPr>
      <w:vertAlign w:val="superscript"/>
    </w:rPr>
  </w:style>
  <w:style w:type="paragraph" w:styleId="818">
    <w:name w:val="endnote text"/>
    <w:basedOn w:val="831"/>
    <w:link w:val="819"/>
    <w:uiPriority w:val="99"/>
    <w:semiHidden/>
    <w:unhideWhenUsed/>
    <w:pPr>
      <w:spacing w:after="0" w:line="240" w:lineRule="auto"/>
    </w:pPr>
    <w:rPr>
      <w:sz w:val="20"/>
    </w:rPr>
  </w:style>
  <w:style w:type="character" w:styleId="819">
    <w:name w:val="Endnote Text Char"/>
    <w:link w:val="818"/>
    <w:uiPriority w:val="99"/>
    <w:rPr>
      <w:sz w:val="20"/>
    </w:rPr>
  </w:style>
  <w:style w:type="character" w:styleId="820">
    <w:name w:val="endnote reference"/>
    <w:uiPriority w:val="99"/>
    <w:semiHidden/>
    <w:unhideWhenUsed/>
    <w:rPr>
      <w:vertAlign w:val="superscript"/>
    </w:rPr>
  </w:style>
  <w:style w:type="paragraph" w:styleId="821">
    <w:name w:val="toc 1"/>
    <w:basedOn w:val="831"/>
    <w:next w:val="831"/>
    <w:uiPriority w:val="39"/>
    <w:unhideWhenUsed/>
    <w:pPr>
      <w:ind w:left="0" w:right="0" w:firstLine="0"/>
      <w:spacing w:after="57"/>
    </w:pPr>
  </w:style>
  <w:style w:type="paragraph" w:styleId="822">
    <w:name w:val="toc 2"/>
    <w:basedOn w:val="831"/>
    <w:next w:val="831"/>
    <w:uiPriority w:val="39"/>
    <w:unhideWhenUsed/>
    <w:pPr>
      <w:ind w:left="283" w:right="0" w:firstLine="0"/>
      <w:spacing w:after="57"/>
    </w:pPr>
  </w:style>
  <w:style w:type="paragraph" w:styleId="823">
    <w:name w:val="toc 3"/>
    <w:basedOn w:val="831"/>
    <w:next w:val="831"/>
    <w:uiPriority w:val="39"/>
    <w:unhideWhenUsed/>
    <w:pPr>
      <w:ind w:left="567" w:right="0" w:firstLine="0"/>
      <w:spacing w:after="57"/>
    </w:pPr>
  </w:style>
  <w:style w:type="paragraph" w:styleId="824">
    <w:name w:val="toc 4"/>
    <w:basedOn w:val="831"/>
    <w:next w:val="831"/>
    <w:uiPriority w:val="39"/>
    <w:unhideWhenUsed/>
    <w:pPr>
      <w:ind w:left="850" w:right="0" w:firstLine="0"/>
      <w:spacing w:after="57"/>
    </w:pPr>
  </w:style>
  <w:style w:type="paragraph" w:styleId="825">
    <w:name w:val="toc 5"/>
    <w:basedOn w:val="831"/>
    <w:next w:val="831"/>
    <w:uiPriority w:val="39"/>
    <w:unhideWhenUsed/>
    <w:pPr>
      <w:ind w:left="1134" w:right="0" w:firstLine="0"/>
      <w:spacing w:after="57"/>
    </w:pPr>
  </w:style>
  <w:style w:type="paragraph" w:styleId="826">
    <w:name w:val="toc 6"/>
    <w:basedOn w:val="831"/>
    <w:next w:val="831"/>
    <w:uiPriority w:val="39"/>
    <w:unhideWhenUsed/>
    <w:pPr>
      <w:ind w:left="1417" w:right="0" w:firstLine="0"/>
      <w:spacing w:after="57"/>
    </w:pPr>
  </w:style>
  <w:style w:type="paragraph" w:styleId="827">
    <w:name w:val="toc 7"/>
    <w:basedOn w:val="831"/>
    <w:next w:val="831"/>
    <w:uiPriority w:val="39"/>
    <w:unhideWhenUsed/>
    <w:pPr>
      <w:ind w:left="1701" w:right="0" w:firstLine="0"/>
      <w:spacing w:after="57"/>
    </w:pPr>
  </w:style>
  <w:style w:type="paragraph" w:styleId="828">
    <w:name w:val="toc 8"/>
    <w:basedOn w:val="831"/>
    <w:next w:val="831"/>
    <w:uiPriority w:val="39"/>
    <w:unhideWhenUsed/>
    <w:pPr>
      <w:ind w:left="1984" w:right="0" w:firstLine="0"/>
      <w:spacing w:after="57"/>
    </w:pPr>
  </w:style>
  <w:style w:type="paragraph" w:styleId="829">
    <w:name w:val="toc 9"/>
    <w:basedOn w:val="831"/>
    <w:next w:val="831"/>
    <w:uiPriority w:val="39"/>
    <w:unhideWhenUsed/>
    <w:pPr>
      <w:ind w:left="2268" w:right="0" w:firstLine="0"/>
      <w:spacing w:after="57"/>
    </w:pPr>
  </w:style>
  <w:style w:type="paragraph" w:styleId="830">
    <w:name w:val="table of figures"/>
    <w:basedOn w:val="831"/>
    <w:next w:val="831"/>
    <w:uiPriority w:val="99"/>
    <w:unhideWhenUsed/>
    <w:pPr>
      <w:spacing w:after="0" w:afterAutospacing="0"/>
    </w:pPr>
  </w:style>
  <w:style w:type="paragraph" w:styleId="831" w:default="1">
    <w:name w:val="Normal"/>
    <w:next w:val="831"/>
    <w:link w:val="831"/>
    <w:qFormat/>
    <w:rPr>
      <w:rFonts w:eastAsia="Arial"/>
      <w:sz w:val="21"/>
      <w:szCs w:val="22"/>
      <w:lang w:val="en-US" w:eastAsia="zh-CN" w:bidi="ar-SA"/>
    </w:rPr>
  </w:style>
  <w:style w:type="paragraph" w:styleId="832">
    <w:name w:val="标题 1"/>
    <w:basedOn w:val="831"/>
    <w:next w:val="831"/>
    <w:link w:val="844"/>
    <w:uiPriority w:val="9"/>
    <w:qFormat/>
    <w:pPr>
      <w:keepLines/>
      <w:keepNext/>
      <w:spacing w:before="480" w:after="200"/>
      <w:outlineLvl w:val="0"/>
    </w:pPr>
    <w:rPr>
      <w:rFonts w:ascii="Arial" w:hAnsi="Arial" w:eastAsia="Arial"/>
      <w:sz w:val="40"/>
      <w:szCs w:val="40"/>
      <w:lang w:val="en-US" w:eastAsia="zh-CN" w:bidi="ar-SA"/>
    </w:rPr>
  </w:style>
  <w:style w:type="paragraph" w:styleId="833">
    <w:name w:val="标题 2"/>
    <w:basedOn w:val="831"/>
    <w:next w:val="831"/>
    <w:link w:val="845"/>
    <w:uiPriority w:val="9"/>
    <w:qFormat/>
    <w:pPr>
      <w:keepLines/>
      <w:keepNext/>
      <w:spacing w:before="360" w:after="200"/>
      <w:outlineLvl w:val="1"/>
    </w:pPr>
    <w:rPr>
      <w:rFonts w:ascii="Arial" w:hAnsi="Arial" w:eastAsia="Arial"/>
      <w:sz w:val="34"/>
      <w:lang w:val="en-US" w:eastAsia="zh-CN" w:bidi="ar-SA"/>
    </w:rPr>
  </w:style>
  <w:style w:type="paragraph" w:styleId="834">
    <w:name w:val="标题 3"/>
    <w:basedOn w:val="831"/>
    <w:next w:val="831"/>
    <w:link w:val="846"/>
    <w:uiPriority w:val="9"/>
    <w:qFormat/>
    <w:pPr>
      <w:keepLines/>
      <w:keepNext/>
      <w:spacing w:before="320" w:after="200"/>
      <w:outlineLvl w:val="2"/>
    </w:pPr>
    <w:rPr>
      <w:rFonts w:ascii="Arial" w:hAnsi="Arial" w:eastAsia="Arial"/>
      <w:sz w:val="30"/>
      <w:szCs w:val="30"/>
      <w:lang w:val="en-US" w:eastAsia="zh-CN" w:bidi="ar-SA"/>
    </w:rPr>
  </w:style>
  <w:style w:type="paragraph" w:styleId="835">
    <w:name w:val="标题 4"/>
    <w:basedOn w:val="831"/>
    <w:next w:val="831"/>
    <w:link w:val="847"/>
    <w:uiPriority w:val="9"/>
    <w:qFormat/>
    <w:pPr>
      <w:keepLines/>
      <w:keepNext/>
      <w:spacing w:before="320" w:after="200"/>
      <w:outlineLvl w:val="3"/>
    </w:pPr>
    <w:rPr>
      <w:rFonts w:ascii="Arial" w:hAnsi="Arial"/>
      <w:b/>
      <w:bCs/>
      <w:sz w:val="26"/>
      <w:szCs w:val="26"/>
    </w:rPr>
  </w:style>
  <w:style w:type="paragraph" w:styleId="836">
    <w:name w:val="标题 5"/>
    <w:next w:val="831"/>
    <w:link w:val="848"/>
    <w:uiPriority w:val="9"/>
    <w:qFormat/>
    <w:pPr>
      <w:keepLines/>
      <w:keepNext/>
      <w:spacing w:before="320" w:after="200"/>
      <w:outlineLvl w:val="4"/>
    </w:pPr>
    <w:rPr>
      <w:rFonts w:ascii="Arial" w:hAnsi="Arial" w:eastAsia="Arial"/>
      <w:b/>
      <w:bCs/>
      <w:sz w:val="24"/>
      <w:szCs w:val="24"/>
      <w:lang w:val="en-US" w:eastAsia="zh-CN" w:bidi="ar-SA"/>
    </w:rPr>
  </w:style>
  <w:style w:type="paragraph" w:styleId="837">
    <w:name w:val="标题 6"/>
    <w:next w:val="831"/>
    <w:link w:val="849"/>
    <w:uiPriority w:val="9"/>
    <w:qFormat/>
    <w:pPr>
      <w:keepLines/>
      <w:keepNext/>
      <w:spacing w:before="320" w:after="200"/>
      <w:outlineLvl w:val="5"/>
    </w:pPr>
    <w:rPr>
      <w:rFonts w:ascii="Arial" w:hAnsi="Arial" w:eastAsia="Arial"/>
      <w:b/>
      <w:bCs/>
      <w:sz w:val="22"/>
      <w:szCs w:val="22"/>
      <w:lang w:val="en-US" w:eastAsia="zh-CN" w:bidi="ar-SA"/>
    </w:rPr>
  </w:style>
  <w:style w:type="paragraph" w:styleId="838">
    <w:name w:val="标题 7"/>
    <w:next w:val="831"/>
    <w:link w:val="850"/>
    <w:uiPriority w:val="9"/>
    <w:qFormat/>
    <w:pPr>
      <w:keepLines/>
      <w:keepNext/>
      <w:spacing w:before="320" w:after="200"/>
      <w:outlineLvl w:val="6"/>
    </w:pPr>
    <w:rPr>
      <w:rFonts w:ascii="Arial" w:hAnsi="Arial" w:eastAsia="Arial"/>
      <w:b/>
      <w:bCs/>
      <w:i/>
      <w:iCs/>
      <w:sz w:val="22"/>
      <w:szCs w:val="22"/>
      <w:lang w:val="en-US" w:eastAsia="zh-CN" w:bidi="ar-SA"/>
    </w:rPr>
  </w:style>
  <w:style w:type="paragraph" w:styleId="839">
    <w:name w:val="标题 8"/>
    <w:next w:val="831"/>
    <w:link w:val="851"/>
    <w:uiPriority w:val="9"/>
    <w:qFormat/>
    <w:pPr>
      <w:keepLines/>
      <w:keepNext/>
      <w:spacing w:before="320" w:after="200"/>
      <w:outlineLvl w:val="7"/>
    </w:pPr>
    <w:rPr>
      <w:rFonts w:ascii="Arial" w:hAnsi="Arial" w:eastAsia="Arial"/>
      <w:i/>
      <w:iCs/>
      <w:sz w:val="22"/>
      <w:szCs w:val="22"/>
      <w:lang w:val="en-US" w:eastAsia="zh-CN" w:bidi="ar-SA"/>
    </w:rPr>
  </w:style>
  <w:style w:type="paragraph" w:styleId="840">
    <w:name w:val="标题 9"/>
    <w:next w:val="831"/>
    <w:link w:val="852"/>
    <w:uiPriority w:val="9"/>
    <w:qFormat/>
    <w:pPr>
      <w:keepLines/>
      <w:keepNext/>
      <w:spacing w:before="320" w:after="200"/>
      <w:outlineLvl w:val="8"/>
    </w:pPr>
    <w:rPr>
      <w:rFonts w:ascii="Arial" w:hAnsi="Arial" w:eastAsia="Arial"/>
      <w:i/>
      <w:iCs/>
      <w:sz w:val="21"/>
      <w:szCs w:val="21"/>
      <w:lang w:val="en-US" w:eastAsia="zh-CN" w:bidi="ar-SA"/>
    </w:rPr>
  </w:style>
  <w:style w:type="character" w:styleId="841">
    <w:name w:val="默认段落字体"/>
    <w:next w:val="841"/>
    <w:link w:val="831"/>
    <w:uiPriority w:val="1"/>
    <w:unhideWhenUsed/>
    <w:qFormat/>
  </w:style>
  <w:style w:type="table" w:styleId="842">
    <w:name w:val="普通表格"/>
    <w:next w:val="842"/>
    <w:link w:val="831"/>
    <w:uiPriority w:val="99"/>
    <w:unhideWhenUsed/>
    <w:qFormat/>
    <w:tblPr/>
  </w:style>
  <w:style w:type="numbering" w:styleId="843">
    <w:name w:val="无列表"/>
    <w:next w:val="843"/>
    <w:link w:val="831"/>
    <w:uiPriority w:val="99"/>
    <w:semiHidden/>
    <w:unhideWhenUsed/>
  </w:style>
  <w:style w:type="character" w:styleId="844">
    <w:name w:val="标题 1 Char"/>
    <w:next w:val="844"/>
    <w:link w:val="832"/>
    <w:uiPriority w:val="9"/>
    <w:qFormat/>
    <w:rPr>
      <w:rFonts w:ascii="Arial" w:hAnsi="Arial" w:eastAsia="Arial"/>
      <w:sz w:val="40"/>
      <w:szCs w:val="40"/>
      <w:lang w:bidi="ar-SA"/>
    </w:rPr>
  </w:style>
  <w:style w:type="character" w:styleId="845">
    <w:name w:val="标题 2 Char"/>
    <w:next w:val="845"/>
    <w:link w:val="833"/>
    <w:uiPriority w:val="9"/>
    <w:qFormat/>
    <w:rPr>
      <w:rFonts w:ascii="Arial" w:hAnsi="Arial" w:eastAsia="Arial"/>
      <w:sz w:val="34"/>
      <w:lang w:bidi="ar-SA"/>
    </w:rPr>
  </w:style>
  <w:style w:type="character" w:styleId="846">
    <w:name w:val="标题 3 Char"/>
    <w:next w:val="846"/>
    <w:link w:val="834"/>
    <w:uiPriority w:val="9"/>
    <w:qFormat/>
    <w:rPr>
      <w:rFonts w:ascii="Arial" w:hAnsi="Arial" w:eastAsia="Arial"/>
      <w:sz w:val="30"/>
      <w:szCs w:val="30"/>
      <w:lang w:bidi="ar-SA"/>
    </w:rPr>
  </w:style>
  <w:style w:type="character" w:styleId="847">
    <w:name w:val="标题 4 Char"/>
    <w:next w:val="847"/>
    <w:link w:val="835"/>
    <w:uiPriority w:val="9"/>
    <w:qFormat/>
    <w:rPr>
      <w:rFonts w:ascii="Arial" w:hAnsi="Arial" w:eastAsia="Arial" w:cs="Arial"/>
      <w:b/>
      <w:bCs/>
      <w:sz w:val="26"/>
      <w:szCs w:val="26"/>
    </w:rPr>
  </w:style>
  <w:style w:type="character" w:styleId="848">
    <w:name w:val="标题 5 Char"/>
    <w:next w:val="848"/>
    <w:link w:val="836"/>
    <w:uiPriority w:val="9"/>
    <w:qFormat/>
    <w:rPr>
      <w:rFonts w:ascii="Arial" w:hAnsi="Arial" w:eastAsia="Arial"/>
      <w:b/>
      <w:bCs/>
      <w:sz w:val="24"/>
      <w:szCs w:val="24"/>
      <w:lang w:bidi="ar-SA"/>
    </w:rPr>
  </w:style>
  <w:style w:type="character" w:styleId="849">
    <w:name w:val="标题 6 Char"/>
    <w:next w:val="849"/>
    <w:link w:val="837"/>
    <w:uiPriority w:val="9"/>
    <w:qFormat/>
    <w:rPr>
      <w:rFonts w:ascii="Arial" w:hAnsi="Arial" w:eastAsia="Arial"/>
      <w:b/>
      <w:bCs/>
      <w:sz w:val="22"/>
      <w:szCs w:val="22"/>
      <w:lang w:bidi="ar-SA"/>
    </w:rPr>
  </w:style>
  <w:style w:type="character" w:styleId="850">
    <w:name w:val="标题 7 Char"/>
    <w:next w:val="850"/>
    <w:link w:val="838"/>
    <w:uiPriority w:val="9"/>
    <w:qFormat/>
    <w:rPr>
      <w:rFonts w:ascii="Arial" w:hAnsi="Arial" w:eastAsia="Arial"/>
      <w:b/>
      <w:bCs/>
      <w:i/>
      <w:iCs/>
      <w:sz w:val="22"/>
      <w:szCs w:val="22"/>
      <w:lang w:bidi="ar-SA"/>
    </w:rPr>
  </w:style>
  <w:style w:type="character" w:styleId="851">
    <w:name w:val="标题 8 Char"/>
    <w:next w:val="851"/>
    <w:link w:val="839"/>
    <w:uiPriority w:val="9"/>
    <w:qFormat/>
    <w:rPr>
      <w:rFonts w:ascii="Arial" w:hAnsi="Arial" w:eastAsia="Arial"/>
      <w:i/>
      <w:iCs/>
      <w:sz w:val="22"/>
      <w:szCs w:val="22"/>
      <w:lang w:bidi="ar-SA"/>
    </w:rPr>
  </w:style>
  <w:style w:type="character" w:styleId="852">
    <w:name w:val="标题 9 Char"/>
    <w:next w:val="852"/>
    <w:link w:val="840"/>
    <w:uiPriority w:val="9"/>
    <w:qFormat/>
    <w:rPr>
      <w:rFonts w:ascii="Arial" w:hAnsi="Arial" w:eastAsia="Arial"/>
      <w:i/>
      <w:iCs/>
      <w:sz w:val="21"/>
      <w:szCs w:val="21"/>
      <w:lang w:bidi="ar-SA"/>
    </w:rPr>
  </w:style>
  <w:style w:type="paragraph" w:styleId="853">
    <w:name w:val="目录 7"/>
    <w:next w:val="831"/>
    <w:link w:val="831"/>
    <w:uiPriority w:val="39"/>
    <w:unhideWhenUsed/>
    <w:qFormat/>
    <w:pPr>
      <w:ind w:left="1701"/>
      <w:spacing w:after="57"/>
    </w:pPr>
    <w:rPr>
      <w:rFonts w:eastAsia="Arial"/>
      <w:sz w:val="21"/>
      <w:szCs w:val="22"/>
      <w:lang w:val="en-US" w:eastAsia="zh-CN" w:bidi="ar-SA"/>
    </w:rPr>
  </w:style>
  <w:style w:type="paragraph" w:styleId="854">
    <w:name w:val="正文缩进"/>
    <w:basedOn w:val="831"/>
    <w:next w:val="854"/>
    <w:link w:val="831"/>
    <w:qFormat/>
    <w:pPr>
      <w:ind w:firstLine="420"/>
    </w:pPr>
    <w:rPr>
      <w:szCs w:val="20"/>
    </w:rPr>
  </w:style>
  <w:style w:type="paragraph" w:styleId="855">
    <w:name w:val="题注"/>
    <w:next w:val="831"/>
    <w:link w:val="831"/>
    <w:uiPriority w:val="35"/>
    <w:qFormat/>
    <w:pPr>
      <w:spacing w:line="276" w:lineRule="auto"/>
    </w:pPr>
    <w:rPr>
      <w:rFonts w:eastAsia="Arial"/>
      <w:b/>
      <w:bCs/>
      <w:color w:val="4f81bd"/>
      <w:sz w:val="18"/>
      <w:szCs w:val="18"/>
      <w:lang w:val="en-US" w:eastAsia="zh-CN" w:bidi="ar-SA"/>
    </w:rPr>
  </w:style>
  <w:style w:type="paragraph" w:styleId="856">
    <w:name w:val="批注文字"/>
    <w:basedOn w:val="831"/>
    <w:next w:val="856"/>
    <w:link w:val="857"/>
    <w:uiPriority w:val="99"/>
    <w:unhideWhenUsed/>
    <w:qFormat/>
  </w:style>
  <w:style w:type="character" w:styleId="857">
    <w:name w:val="批注文字 Char"/>
    <w:next w:val="857"/>
    <w:link w:val="856"/>
    <w:uiPriority w:val="99"/>
    <w:rPr>
      <w:rFonts w:eastAsia="Arial"/>
      <w:sz w:val="21"/>
      <w:szCs w:val="22"/>
    </w:rPr>
  </w:style>
  <w:style w:type="paragraph" w:styleId="858">
    <w:name w:val="正文文本"/>
    <w:basedOn w:val="831"/>
    <w:next w:val="831"/>
    <w:link w:val="859"/>
    <w:qFormat/>
    <w:pPr>
      <w:spacing w:after="120"/>
    </w:pPr>
    <w:rPr>
      <w:szCs w:val="20"/>
    </w:rPr>
  </w:style>
  <w:style w:type="character" w:styleId="859">
    <w:name w:val="正文文本 Char"/>
    <w:next w:val="859"/>
    <w:link w:val="858"/>
    <w:rPr>
      <w:rFonts w:eastAsia="Arial"/>
      <w:sz w:val="21"/>
    </w:rPr>
  </w:style>
  <w:style w:type="paragraph" w:styleId="860">
    <w:name w:val="文本块"/>
    <w:basedOn w:val="831"/>
    <w:next w:val="860"/>
    <w:link w:val="831"/>
    <w:uiPriority w:val="99"/>
    <w:unhideWhenUsed/>
    <w:qFormat/>
    <w:pPr>
      <w:ind w:left="1440" w:right="1440"/>
      <w:spacing w:after="120"/>
    </w:pPr>
    <w:rPr>
      <w:sz w:val="24"/>
    </w:rPr>
  </w:style>
  <w:style w:type="paragraph" w:styleId="861">
    <w:name w:val="索引 4"/>
    <w:basedOn w:val="831"/>
    <w:next w:val="831"/>
    <w:link w:val="831"/>
    <w:qFormat/>
    <w:pPr>
      <w:ind w:left="840" w:hanging="210"/>
    </w:pPr>
    <w:rPr>
      <w:sz w:val="20"/>
    </w:rPr>
  </w:style>
  <w:style w:type="paragraph" w:styleId="862">
    <w:name w:val="目录 5"/>
    <w:next w:val="831"/>
    <w:link w:val="831"/>
    <w:uiPriority w:val="39"/>
    <w:unhideWhenUsed/>
    <w:qFormat/>
    <w:pPr>
      <w:ind w:left="1134"/>
      <w:spacing w:after="57"/>
    </w:pPr>
    <w:rPr>
      <w:rFonts w:eastAsia="Arial"/>
      <w:sz w:val="21"/>
      <w:szCs w:val="22"/>
      <w:lang w:val="en-US" w:eastAsia="zh-CN" w:bidi="ar-SA"/>
    </w:rPr>
  </w:style>
  <w:style w:type="paragraph" w:styleId="863">
    <w:name w:val="目录 3"/>
    <w:next w:val="831"/>
    <w:link w:val="831"/>
    <w:uiPriority w:val="39"/>
    <w:unhideWhenUsed/>
    <w:qFormat/>
    <w:pPr>
      <w:ind w:left="567"/>
      <w:spacing w:after="57"/>
    </w:pPr>
    <w:rPr>
      <w:rFonts w:eastAsia="Arial"/>
      <w:sz w:val="21"/>
      <w:szCs w:val="22"/>
      <w:lang w:val="en-US" w:eastAsia="zh-CN" w:bidi="ar-SA"/>
    </w:rPr>
  </w:style>
  <w:style w:type="paragraph" w:styleId="864">
    <w:name w:val="目录 8"/>
    <w:next w:val="831"/>
    <w:link w:val="831"/>
    <w:uiPriority w:val="39"/>
    <w:unhideWhenUsed/>
    <w:qFormat/>
    <w:pPr>
      <w:ind w:left="1984"/>
      <w:spacing w:after="57"/>
    </w:pPr>
    <w:rPr>
      <w:rFonts w:eastAsia="Arial"/>
      <w:sz w:val="21"/>
      <w:szCs w:val="22"/>
      <w:lang w:val="en-US" w:eastAsia="zh-CN" w:bidi="ar-SA"/>
    </w:rPr>
  </w:style>
  <w:style w:type="paragraph" w:styleId="865">
    <w:name w:val="正文文本缩进 2"/>
    <w:basedOn w:val="831"/>
    <w:next w:val="866"/>
    <w:link w:val="831"/>
    <w:qFormat/>
    <w:pPr>
      <w:ind w:left="630" w:firstLine="645"/>
    </w:pPr>
    <w:rPr>
      <w:rFonts w:ascii="Arial" w:hAnsi="Arial" w:eastAsia="仿宋_GB2312"/>
      <w:sz w:val="32"/>
    </w:rPr>
  </w:style>
  <w:style w:type="paragraph" w:styleId="866">
    <w:name w:val="xl75"/>
    <w:basedOn w:val="831"/>
    <w:next w:val="867"/>
    <w:link w:val="831"/>
    <w:qFormat/>
    <w:pPr>
      <w:ind w:left="200" w:firstLine="5320"/>
      <w:jc w:val="center"/>
      <w:spacing w:before="280" w:after="280"/>
      <w:widowControl/>
    </w:pPr>
    <w:rPr>
      <w:rFonts w:ascii="宋体"/>
    </w:rPr>
  </w:style>
  <w:style w:type="paragraph" w:styleId="867">
    <w:name w:val="Test2"/>
    <w:basedOn w:val="833"/>
    <w:next w:val="868"/>
    <w:link w:val="831"/>
    <w:qFormat/>
    <w:pPr>
      <w:jc w:val="center"/>
      <w:spacing w:line="480" w:lineRule="exact"/>
      <w:widowControl/>
    </w:pPr>
    <w:rPr>
      <w:rFonts w:ascii="黑体" w:hAnsi="Arial" w:eastAsia="黑体"/>
      <w:bCs/>
      <w:sz w:val="24"/>
    </w:rPr>
  </w:style>
  <w:style w:type="paragraph" w:styleId="868">
    <w:name w:val="xl59"/>
    <w:basedOn w:val="831"/>
    <w:next w:val="869"/>
    <w:link w:val="831"/>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869">
    <w:name w:val="方案正文"/>
    <w:basedOn w:val="831"/>
    <w:next w:val="870"/>
    <w:link w:val="831"/>
    <w:qFormat/>
    <w:pPr>
      <w:ind w:firstLine="359"/>
      <w:jc w:val="left"/>
      <w:spacing w:before="156" w:line="360" w:lineRule="auto"/>
    </w:pPr>
    <w:rPr>
      <w:rFonts w:ascii="Arial" w:hAnsi="Arial" w:cs="宋体"/>
      <w:sz w:val="24"/>
      <w:szCs w:val="21"/>
    </w:rPr>
  </w:style>
  <w:style w:type="paragraph" w:styleId="870">
    <w:name w:val="小四 段落 宋体 Char Char Char Char"/>
    <w:basedOn w:val="831"/>
    <w:next w:val="871"/>
    <w:link w:val="831"/>
    <w:qFormat/>
    <w:pPr>
      <w:ind w:right="-33" w:firstLine="480"/>
      <w:jc w:val="left"/>
      <w:spacing w:line="360" w:lineRule="auto"/>
    </w:pPr>
    <w:rPr>
      <w:sz w:val="24"/>
      <w:szCs w:val="24"/>
    </w:rPr>
  </w:style>
  <w:style w:type="paragraph" w:styleId="871">
    <w:name w:val="flType"/>
    <w:basedOn w:val="872"/>
    <w:next w:val="831"/>
    <w:link w:val="831"/>
    <w:qFormat/>
    <w:pPr>
      <w:spacing w:after="284"/>
    </w:pPr>
    <w:rPr>
      <w:rFonts w:eastAsia="宋体"/>
      <w:b w:val="0"/>
    </w:rPr>
  </w:style>
  <w:style w:type="paragraph" w:styleId="872">
    <w:name w:val="flName"/>
    <w:basedOn w:val="873"/>
    <w:next w:val="872"/>
    <w:link w:val="831"/>
    <w:qFormat/>
    <w:pPr>
      <w:spacing w:before="0" w:line="113" w:lineRule="atLeast"/>
    </w:pPr>
  </w:style>
  <w:style w:type="paragraph" w:styleId="873">
    <w:name w:val="flNote"/>
    <w:basedOn w:val="831"/>
    <w:next w:val="873"/>
    <w:link w:val="831"/>
    <w:qFormat/>
    <w:pPr>
      <w:jc w:val="center"/>
      <w:spacing w:before="567" w:line="360" w:lineRule="atLeast"/>
    </w:pPr>
    <w:rPr>
      <w:rFonts w:eastAsia="黑体"/>
      <w:b/>
      <w:sz w:val="24"/>
    </w:rPr>
  </w:style>
  <w:style w:type="paragraph" w:styleId="874">
    <w:name w:val="尾注文本"/>
    <w:next w:val="874"/>
    <w:link w:val="875"/>
    <w:uiPriority w:val="99"/>
    <w:unhideWhenUsed/>
    <w:qFormat/>
    <w:rPr>
      <w:lang w:val="en-US" w:eastAsia="zh-CN" w:bidi="ar-SA"/>
    </w:rPr>
  </w:style>
  <w:style w:type="character" w:styleId="875">
    <w:name w:val="尾注文本 Char"/>
    <w:next w:val="875"/>
    <w:link w:val="874"/>
    <w:uiPriority w:val="99"/>
    <w:qFormat/>
    <w:rPr>
      <w:lang w:val="en-US" w:eastAsia="zh-CN" w:bidi="ar-SA"/>
    </w:rPr>
  </w:style>
  <w:style w:type="paragraph" w:styleId="876">
    <w:name w:val="批注框文本"/>
    <w:basedOn w:val="831"/>
    <w:next w:val="876"/>
    <w:link w:val="877"/>
    <w:uiPriority w:val="99"/>
    <w:unhideWhenUsed/>
    <w:rPr>
      <w:sz w:val="18"/>
      <w:szCs w:val="18"/>
    </w:rPr>
  </w:style>
  <w:style w:type="character" w:styleId="877">
    <w:name w:val="批注框文本 Char"/>
    <w:next w:val="877"/>
    <w:link w:val="876"/>
    <w:uiPriority w:val="99"/>
    <w:semiHidden/>
    <w:rPr>
      <w:rFonts w:eastAsia="Arial"/>
      <w:sz w:val="18"/>
      <w:szCs w:val="18"/>
    </w:rPr>
  </w:style>
  <w:style w:type="paragraph" w:styleId="878">
    <w:name w:val="页脚"/>
    <w:next w:val="878"/>
    <w:link w:val="879"/>
    <w:uiPriority w:val="99"/>
    <w:unhideWhenUsed/>
    <w:qFormat/>
    <w:pPr>
      <w:tabs>
        <w:tab w:val="center" w:pos="7143" w:leader="none"/>
        <w:tab w:val="right" w:pos="14287" w:leader="none"/>
      </w:tabs>
    </w:pPr>
    <w:rPr>
      <w:rFonts w:eastAsia="Arial"/>
      <w:sz w:val="21"/>
      <w:szCs w:val="22"/>
      <w:lang w:val="en-US" w:eastAsia="zh-CN" w:bidi="ar-SA"/>
    </w:rPr>
  </w:style>
  <w:style w:type="character" w:styleId="879">
    <w:name w:val="页脚 Char"/>
    <w:next w:val="879"/>
    <w:link w:val="878"/>
    <w:uiPriority w:val="99"/>
    <w:qFormat/>
    <w:rPr>
      <w:rFonts w:eastAsia="Arial"/>
      <w:sz w:val="21"/>
      <w:szCs w:val="22"/>
      <w:lang w:val="en-US" w:eastAsia="zh-CN" w:bidi="ar-SA"/>
    </w:rPr>
  </w:style>
  <w:style w:type="paragraph" w:styleId="880">
    <w:name w:val="页眉"/>
    <w:basedOn w:val="831"/>
    <w:next w:val="880"/>
    <w:link w:val="881"/>
    <w:uiPriority w:val="99"/>
    <w:unhideWhenUsed/>
    <w:qFormat/>
    <w:pPr>
      <w:tabs>
        <w:tab w:val="center" w:pos="7143" w:leader="none"/>
        <w:tab w:val="right" w:pos="14287" w:leader="none"/>
      </w:tabs>
    </w:pPr>
  </w:style>
  <w:style w:type="character" w:styleId="881">
    <w:name w:val="页眉 Char"/>
    <w:next w:val="881"/>
    <w:link w:val="880"/>
    <w:uiPriority w:val="99"/>
    <w:qFormat/>
  </w:style>
  <w:style w:type="paragraph" w:styleId="882">
    <w:name w:val="目录 1"/>
    <w:next w:val="831"/>
    <w:link w:val="831"/>
    <w:uiPriority w:val="39"/>
    <w:unhideWhenUsed/>
    <w:qFormat/>
    <w:pPr>
      <w:spacing w:after="57"/>
    </w:pPr>
    <w:rPr>
      <w:rFonts w:eastAsia="Arial"/>
      <w:sz w:val="21"/>
      <w:szCs w:val="22"/>
      <w:lang w:val="en-US" w:eastAsia="zh-CN" w:bidi="ar-SA"/>
    </w:rPr>
  </w:style>
  <w:style w:type="paragraph" w:styleId="883">
    <w:name w:val="目录 4"/>
    <w:next w:val="831"/>
    <w:link w:val="831"/>
    <w:uiPriority w:val="39"/>
    <w:unhideWhenUsed/>
    <w:qFormat/>
    <w:pPr>
      <w:ind w:left="850"/>
      <w:spacing w:after="57"/>
    </w:pPr>
    <w:rPr>
      <w:rFonts w:eastAsia="Arial"/>
      <w:sz w:val="21"/>
      <w:szCs w:val="22"/>
      <w:lang w:val="en-US" w:eastAsia="zh-CN" w:bidi="ar-SA"/>
    </w:rPr>
  </w:style>
  <w:style w:type="paragraph" w:styleId="884">
    <w:name w:val="副标题"/>
    <w:next w:val="884"/>
    <w:link w:val="885"/>
    <w:uiPriority w:val="11"/>
    <w:qFormat/>
    <w:pPr>
      <w:spacing w:before="200" w:after="200"/>
    </w:pPr>
    <w:rPr>
      <w:sz w:val="24"/>
      <w:szCs w:val="24"/>
      <w:lang w:val="en-US" w:eastAsia="zh-CN" w:bidi="ar-SA"/>
    </w:rPr>
  </w:style>
  <w:style w:type="character" w:styleId="885">
    <w:name w:val="副标题 Char"/>
    <w:next w:val="885"/>
    <w:link w:val="884"/>
    <w:uiPriority w:val="11"/>
    <w:qFormat/>
    <w:rPr>
      <w:sz w:val="24"/>
      <w:szCs w:val="24"/>
      <w:lang w:bidi="ar-SA"/>
    </w:rPr>
  </w:style>
  <w:style w:type="paragraph" w:styleId="886">
    <w:name w:val="脚注文本"/>
    <w:next w:val="886"/>
    <w:link w:val="887"/>
    <w:uiPriority w:val="99"/>
    <w:unhideWhenUsed/>
    <w:qFormat/>
    <w:pPr>
      <w:spacing w:after="40"/>
    </w:pPr>
    <w:rPr>
      <w:sz w:val="18"/>
      <w:lang w:val="en-US" w:eastAsia="zh-CN" w:bidi="ar-SA"/>
    </w:rPr>
  </w:style>
  <w:style w:type="character" w:styleId="887">
    <w:name w:val="脚注文本 Char"/>
    <w:next w:val="887"/>
    <w:link w:val="886"/>
    <w:uiPriority w:val="99"/>
    <w:qFormat/>
    <w:rPr>
      <w:sz w:val="18"/>
      <w:lang w:bidi="ar-SA"/>
    </w:rPr>
  </w:style>
  <w:style w:type="paragraph" w:styleId="888">
    <w:name w:val="目录 6"/>
    <w:next w:val="831"/>
    <w:link w:val="831"/>
    <w:uiPriority w:val="39"/>
    <w:unhideWhenUsed/>
    <w:qFormat/>
    <w:pPr>
      <w:ind w:left="1417"/>
      <w:spacing w:after="57"/>
    </w:pPr>
    <w:rPr>
      <w:rFonts w:eastAsia="Arial"/>
      <w:sz w:val="21"/>
      <w:szCs w:val="22"/>
      <w:lang w:val="en-US" w:eastAsia="zh-CN" w:bidi="ar-SA"/>
    </w:rPr>
  </w:style>
  <w:style w:type="paragraph" w:styleId="889">
    <w:name w:val="图表目录"/>
    <w:next w:val="831"/>
    <w:link w:val="831"/>
    <w:uiPriority w:val="99"/>
    <w:unhideWhenUsed/>
    <w:qFormat/>
    <w:rPr>
      <w:rFonts w:eastAsia="Arial"/>
      <w:sz w:val="21"/>
      <w:szCs w:val="22"/>
      <w:lang w:val="en-US" w:eastAsia="zh-CN" w:bidi="ar-SA"/>
    </w:rPr>
  </w:style>
  <w:style w:type="paragraph" w:styleId="890">
    <w:name w:val="目录 2"/>
    <w:next w:val="831"/>
    <w:link w:val="831"/>
    <w:uiPriority w:val="39"/>
    <w:unhideWhenUsed/>
    <w:qFormat/>
    <w:pPr>
      <w:ind w:left="283"/>
      <w:spacing w:after="57"/>
    </w:pPr>
    <w:rPr>
      <w:rFonts w:eastAsia="Arial"/>
      <w:sz w:val="21"/>
      <w:szCs w:val="22"/>
      <w:lang w:val="en-US" w:eastAsia="zh-CN" w:bidi="ar-SA"/>
    </w:rPr>
  </w:style>
  <w:style w:type="paragraph" w:styleId="891">
    <w:name w:val="目录 9"/>
    <w:next w:val="831"/>
    <w:link w:val="831"/>
    <w:uiPriority w:val="39"/>
    <w:unhideWhenUsed/>
    <w:qFormat/>
    <w:pPr>
      <w:ind w:left="2268"/>
      <w:spacing w:after="57"/>
    </w:pPr>
    <w:rPr>
      <w:rFonts w:eastAsia="Arial"/>
      <w:sz w:val="21"/>
      <w:szCs w:val="22"/>
      <w:lang w:val="en-US" w:eastAsia="zh-CN" w:bidi="ar-SA"/>
    </w:rPr>
  </w:style>
  <w:style w:type="paragraph" w:styleId="892">
    <w:name w:val="普通(网站)"/>
    <w:basedOn w:val="831"/>
    <w:next w:val="892"/>
    <w:link w:val="831"/>
    <w:uiPriority w:val="99"/>
    <w:qFormat/>
    <w:pPr>
      <w:spacing w:before="100" w:beforeAutospacing="1" w:after="100" w:afterAutospacing="1"/>
      <w:widowControl/>
    </w:pPr>
    <w:rPr>
      <w:rFonts w:ascii="Times New Roman"/>
      <w:sz w:val="24"/>
      <w:szCs w:val="24"/>
    </w:rPr>
  </w:style>
  <w:style w:type="paragraph" w:styleId="893">
    <w:name w:val="标题"/>
    <w:basedOn w:val="831"/>
    <w:next w:val="831"/>
    <w:link w:val="894"/>
    <w:uiPriority w:val="10"/>
    <w:qFormat/>
    <w:pPr>
      <w:contextualSpacing/>
      <w:spacing w:before="300" w:after="200"/>
    </w:pPr>
    <w:rPr>
      <w:rFonts w:eastAsia="宋体"/>
      <w:sz w:val="48"/>
      <w:szCs w:val="48"/>
    </w:rPr>
  </w:style>
  <w:style w:type="character" w:styleId="894">
    <w:name w:val="标题 Char"/>
    <w:next w:val="894"/>
    <w:link w:val="893"/>
    <w:uiPriority w:val="10"/>
    <w:qFormat/>
    <w:rPr>
      <w:sz w:val="48"/>
      <w:szCs w:val="48"/>
    </w:rPr>
  </w:style>
  <w:style w:type="paragraph" w:styleId="895">
    <w:name w:val="批注主题"/>
    <w:basedOn w:val="856"/>
    <w:next w:val="856"/>
    <w:link w:val="896"/>
    <w:uiPriority w:val="99"/>
    <w:unhideWhenUsed/>
    <w:rPr>
      <w:b/>
      <w:bCs/>
    </w:rPr>
  </w:style>
  <w:style w:type="character" w:styleId="896">
    <w:name w:val="批注主题 Char"/>
    <w:next w:val="896"/>
    <w:link w:val="895"/>
    <w:uiPriority w:val="99"/>
    <w:semiHidden/>
    <w:rPr>
      <w:rFonts w:eastAsia="Arial"/>
      <w:b/>
      <w:bCs/>
      <w:sz w:val="21"/>
      <w:szCs w:val="22"/>
    </w:rPr>
  </w:style>
  <w:style w:type="paragraph" w:styleId="897">
    <w:name w:val="正文首行缩进"/>
    <w:basedOn w:val="858"/>
    <w:next w:val="897"/>
    <w:link w:val="898"/>
    <w:uiPriority w:val="99"/>
    <w:unhideWhenUsed/>
    <w:pPr>
      <w:ind w:firstLine="420"/>
    </w:pPr>
    <w:rPr>
      <w:szCs w:val="22"/>
    </w:rPr>
  </w:style>
  <w:style w:type="character" w:styleId="898">
    <w:name w:val="正文首行缩进 Char"/>
    <w:next w:val="898"/>
    <w:link w:val="897"/>
    <w:uiPriority w:val="99"/>
    <w:rPr>
      <w:rFonts w:eastAsia="Arial"/>
      <w:sz w:val="21"/>
      <w:szCs w:val="22"/>
    </w:rPr>
  </w:style>
  <w:style w:type="table" w:styleId="899">
    <w:name w:val="网格型"/>
    <w:next w:val="899"/>
    <w:link w:val="831"/>
    <w:uiPriority w:val="59"/>
    <w:qFormat/>
    <w:rPr>
      <w:lang w:val="en-US" w:eastAsia="zh-CN" w:bidi="ar-SA"/>
    </w:rPr>
    <w:tblPr/>
  </w:style>
  <w:style w:type="character" w:styleId="900">
    <w:name w:val="要点"/>
    <w:next w:val="900"/>
    <w:link w:val="831"/>
    <w:uiPriority w:val="22"/>
    <w:qFormat/>
    <w:rPr>
      <w:b/>
    </w:rPr>
  </w:style>
  <w:style w:type="character" w:styleId="901">
    <w:name w:val="尾注引用"/>
    <w:next w:val="901"/>
    <w:link w:val="831"/>
    <w:uiPriority w:val="99"/>
    <w:unhideWhenUsed/>
    <w:qFormat/>
    <w:rPr>
      <w:vertAlign w:val="superscript"/>
    </w:rPr>
  </w:style>
  <w:style w:type="character" w:styleId="902">
    <w:name w:val="强调"/>
    <w:next w:val="902"/>
    <w:link w:val="831"/>
    <w:uiPriority w:val="20"/>
    <w:qFormat/>
    <w:rPr>
      <w:i/>
    </w:rPr>
  </w:style>
  <w:style w:type="character" w:styleId="903">
    <w:name w:val="超链接"/>
    <w:next w:val="903"/>
    <w:link w:val="831"/>
    <w:uiPriority w:val="99"/>
    <w:unhideWhenUsed/>
    <w:qFormat/>
    <w:rPr>
      <w:color w:val="0000ff"/>
      <w:u w:val="single"/>
    </w:rPr>
  </w:style>
  <w:style w:type="character" w:styleId="904">
    <w:name w:val="批注引用"/>
    <w:next w:val="904"/>
    <w:link w:val="831"/>
    <w:uiPriority w:val="99"/>
    <w:unhideWhenUsed/>
    <w:rPr>
      <w:sz w:val="21"/>
      <w:szCs w:val="21"/>
    </w:rPr>
  </w:style>
  <w:style w:type="character" w:styleId="905">
    <w:name w:val="脚注引用"/>
    <w:next w:val="905"/>
    <w:link w:val="831"/>
    <w:uiPriority w:val="99"/>
    <w:unhideWhenUsed/>
    <w:qFormat/>
    <w:rPr>
      <w:vertAlign w:val="superscript"/>
    </w:rPr>
  </w:style>
  <w:style w:type="character" w:styleId="906">
    <w:name w:val="页码11"/>
    <w:next w:val="906"/>
    <w:link w:val="831"/>
    <w:qFormat/>
    <w:rPr>
      <w:rFonts w:eastAsia="Arial"/>
      <w:sz w:val="21"/>
      <w:szCs w:val="22"/>
      <w:lang w:val="en-US" w:eastAsia="zh-CN" w:bidi="ar-SA"/>
    </w:rPr>
  </w:style>
  <w:style w:type="paragraph" w:styleId="907">
    <w:name w:val="正文文本12"/>
    <w:basedOn w:val="831"/>
    <w:next w:val="831"/>
    <w:link w:val="831"/>
    <w:unhideWhenUsed/>
    <w:qFormat/>
    <w:pPr>
      <w:spacing w:after="120"/>
    </w:pPr>
  </w:style>
  <w:style w:type="paragraph" w:styleId="908">
    <w:name w:val="列出段落"/>
    <w:basedOn w:val="831"/>
    <w:next w:val="908"/>
    <w:link w:val="909"/>
    <w:uiPriority w:val="34"/>
    <w:qFormat/>
    <w:pPr>
      <w:contextualSpacing/>
      <w:ind w:left="720"/>
    </w:pPr>
    <w:rPr>
      <w:rFonts w:eastAsia="Arial"/>
      <w:sz w:val="21"/>
      <w:szCs w:val="22"/>
      <w:lang w:val="en-US" w:eastAsia="zh-CN" w:bidi="ar-SA"/>
    </w:rPr>
  </w:style>
  <w:style w:type="character" w:styleId="909">
    <w:name w:val="列出段落 Char"/>
    <w:next w:val="909"/>
    <w:link w:val="908"/>
    <w:uiPriority w:val="34"/>
    <w:qFormat/>
    <w:rPr>
      <w:rFonts w:eastAsia="Arial"/>
      <w:sz w:val="21"/>
      <w:szCs w:val="22"/>
    </w:rPr>
  </w:style>
  <w:style w:type="paragraph" w:styleId="910">
    <w:name w:val="一级条标题"/>
    <w:basedOn w:val="911"/>
    <w:next w:val="912"/>
    <w:link w:val="831"/>
    <w:qFormat/>
    <w:pPr>
      <w:numPr>
        <w:ilvl w:val="2"/>
        <w:numId w:val="1"/>
      </w:numPr>
    </w:pPr>
    <w:rPr>
      <w:rFonts w:ascii="Calibri" w:hAnsi="Calibri" w:eastAsia="宋体" w:cs="Times New Roman"/>
    </w:rPr>
  </w:style>
  <w:style w:type="paragraph" w:styleId="911">
    <w:name w:val="章标题"/>
    <w:basedOn w:val="831"/>
    <w:next w:val="831"/>
    <w:link w:val="831"/>
    <w:qFormat/>
    <w:pPr>
      <w:numPr>
        <w:ilvl w:val="1"/>
        <w:numId w:val="1"/>
      </w:numPr>
    </w:pPr>
    <w:rPr>
      <w:rFonts w:ascii="Songti SC" w:hAnsi="Songti SC" w:eastAsia="仿宋" w:cs="Times New Roman"/>
      <w:sz w:val="24"/>
      <w:szCs w:val="24"/>
      <w:lang w:eastAsia="zh-CN"/>
    </w:rPr>
  </w:style>
  <w:style w:type="paragraph" w:styleId="912">
    <w:name w:val="段"/>
    <w:basedOn w:val="831"/>
    <w:next w:val="831"/>
    <w:link w:val="831"/>
    <w:qFormat/>
    <w:pPr>
      <w:ind w:firstLine="200"/>
      <w:widowControl/>
    </w:pPr>
    <w:rPr>
      <w:rFonts w:hint="eastAsia" w:ascii="宋体" w:hAnsi="Times New Roman" w:eastAsia="宋体" w:cs="Times New Roman"/>
      <w:szCs w:val="20"/>
    </w:rPr>
  </w:style>
  <w:style w:type="character" w:styleId="913">
    <w:name w:val="页脚 字符"/>
    <w:next w:val="913"/>
    <w:link w:val="831"/>
    <w:uiPriority w:val="99"/>
    <w:qFormat/>
  </w:style>
  <w:style w:type="paragraph" w:styleId="914">
    <w:name w:val="正文首行缩进 21"/>
    <w:basedOn w:val="915"/>
    <w:next w:val="914"/>
    <w:link w:val="831"/>
    <w:qFormat/>
    <w:pPr>
      <w:ind w:firstLine="420"/>
      <w:spacing w:line="360" w:lineRule="auto"/>
    </w:pPr>
    <w:rPr>
      <w:szCs w:val="20"/>
    </w:rPr>
  </w:style>
  <w:style w:type="paragraph" w:styleId="915">
    <w:name w:val="正文文本缩进1"/>
    <w:basedOn w:val="831"/>
    <w:next w:val="915"/>
    <w:link w:val="831"/>
    <w:qFormat/>
    <w:pPr>
      <w:ind w:firstLine="403"/>
      <w:spacing w:line="440" w:lineRule="exact"/>
    </w:pPr>
    <w:rPr>
      <w:rFonts w:ascii="宋体" w:hAnsi="宋体" w:eastAsia="宋体"/>
      <w:sz w:val="20"/>
      <w:szCs w:val="21"/>
    </w:rPr>
  </w:style>
  <w:style w:type="paragraph" w:styleId="916">
    <w:name w:val="寄信人地址1"/>
    <w:basedOn w:val="831"/>
    <w:next w:val="916"/>
    <w:link w:val="831"/>
    <w:qFormat/>
  </w:style>
  <w:style w:type="paragraph" w:styleId="917">
    <w:name w:val="无间隔"/>
    <w:next w:val="917"/>
    <w:link w:val="831"/>
    <w:uiPriority w:val="1"/>
    <w:qFormat/>
    <w:rPr>
      <w:rFonts w:eastAsia="Arial"/>
      <w:sz w:val="21"/>
      <w:szCs w:val="22"/>
      <w:lang w:val="en-US" w:eastAsia="zh-CN" w:bidi="ar-SA"/>
    </w:rPr>
  </w:style>
  <w:style w:type="paragraph" w:styleId="918">
    <w:name w:val="引用"/>
    <w:next w:val="918"/>
    <w:link w:val="919"/>
    <w:uiPriority w:val="29"/>
    <w:qFormat/>
    <w:pPr>
      <w:ind w:left="720" w:right="720"/>
    </w:pPr>
    <w:rPr>
      <w:i/>
      <w:lang w:val="en-US" w:eastAsia="zh-CN" w:bidi="ar-SA"/>
    </w:rPr>
  </w:style>
  <w:style w:type="character" w:styleId="919">
    <w:name w:val="引用 Char"/>
    <w:next w:val="919"/>
    <w:link w:val="918"/>
    <w:uiPriority w:val="29"/>
    <w:qFormat/>
    <w:rPr>
      <w:i/>
      <w:lang w:val="en-US" w:eastAsia="zh-CN" w:bidi="ar-SA"/>
    </w:rPr>
  </w:style>
  <w:style w:type="paragraph" w:styleId="920">
    <w:name w:val="明显引用"/>
    <w:next w:val="920"/>
    <w:link w:val="9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lang w:val="en-US" w:eastAsia="zh-CN" w:bidi="ar-SA"/>
    </w:rPr>
  </w:style>
  <w:style w:type="character" w:styleId="921">
    <w:name w:val="明显引用 Char"/>
    <w:next w:val="921"/>
    <w:link w:val="920"/>
    <w:uiPriority w:val="30"/>
    <w:qFormat/>
    <w:rPr>
      <w:i/>
      <w:shd w:val="clear" w:color="auto" w:fill="f2f2f2"/>
      <w:lang w:val="en-US" w:eastAsia="zh-CN" w:bidi="ar-SA"/>
    </w:rPr>
  </w:style>
  <w:style w:type="table" w:styleId="922">
    <w:name w:val="Table Grid Light"/>
    <w:next w:val="922"/>
    <w:link w:val="831"/>
    <w:uiPriority w:val="59"/>
    <w:qFormat/>
    <w:rPr>
      <w:lang w:val="en-US" w:eastAsia="zh-CN" w:bidi="ar-SA"/>
    </w:rPr>
    <w:tblPr/>
  </w:style>
  <w:style w:type="table" w:styleId="923">
    <w:name w:val="Plain Table 1"/>
    <w:next w:val="923"/>
    <w:link w:val="831"/>
    <w:uiPriority w:val="59"/>
    <w:qFormat/>
    <w:rPr>
      <w:lang w:val="en-US" w:eastAsia="zh-CN" w:bidi="ar-SA"/>
    </w:rPr>
    <w:tblPr/>
  </w:style>
  <w:style w:type="table" w:styleId="924">
    <w:name w:val="Plain Table 2"/>
    <w:next w:val="924"/>
    <w:link w:val="831"/>
    <w:uiPriority w:val="59"/>
    <w:qFormat/>
    <w:rPr>
      <w:lang w:val="en-US" w:eastAsia="zh-CN" w:bidi="ar-SA"/>
    </w:rPr>
    <w:tblPr/>
  </w:style>
  <w:style w:type="table" w:styleId="925">
    <w:name w:val="Plain Table 3"/>
    <w:next w:val="925"/>
    <w:link w:val="831"/>
    <w:uiPriority w:val="99"/>
    <w:qFormat/>
    <w:rPr>
      <w:lang w:val="en-US" w:eastAsia="zh-CN" w:bidi="ar-SA"/>
    </w:rPr>
    <w:tblPr/>
  </w:style>
  <w:style w:type="table" w:styleId="926">
    <w:name w:val="Plain Table 4"/>
    <w:next w:val="926"/>
    <w:link w:val="831"/>
    <w:uiPriority w:val="99"/>
    <w:qFormat/>
    <w:rPr>
      <w:lang w:val="en-US" w:eastAsia="zh-CN" w:bidi="ar-SA"/>
    </w:rPr>
    <w:tblPr/>
  </w:style>
  <w:style w:type="table" w:styleId="927">
    <w:name w:val="Plain Table 5"/>
    <w:next w:val="927"/>
    <w:link w:val="831"/>
    <w:uiPriority w:val="99"/>
    <w:qFormat/>
    <w:rPr>
      <w:lang w:val="en-US" w:eastAsia="zh-CN" w:bidi="ar-SA"/>
    </w:rPr>
    <w:tblPr/>
  </w:style>
  <w:style w:type="table" w:styleId="928">
    <w:name w:val="Grid Table 1 Light"/>
    <w:next w:val="928"/>
    <w:link w:val="831"/>
    <w:uiPriority w:val="99"/>
    <w:qFormat/>
    <w:rPr>
      <w:lang w:val="en-US" w:eastAsia="zh-CN" w:bidi="ar-SA"/>
    </w:rPr>
    <w:tblPr/>
  </w:style>
  <w:style w:type="table" w:styleId="929">
    <w:name w:val="Grid Table 1 Light - Accent 1"/>
    <w:next w:val="929"/>
    <w:link w:val="831"/>
    <w:uiPriority w:val="99"/>
    <w:qFormat/>
    <w:rPr>
      <w:lang w:val="en-US" w:eastAsia="zh-CN" w:bidi="ar-SA"/>
    </w:rPr>
    <w:tblPr/>
  </w:style>
  <w:style w:type="table" w:styleId="930">
    <w:name w:val="Grid Table 1 Light - Accent 2"/>
    <w:next w:val="930"/>
    <w:link w:val="831"/>
    <w:uiPriority w:val="99"/>
    <w:qFormat/>
    <w:rPr>
      <w:lang w:val="en-US" w:eastAsia="zh-CN" w:bidi="ar-SA"/>
    </w:rPr>
    <w:tblPr/>
  </w:style>
  <w:style w:type="table" w:styleId="931">
    <w:name w:val="Grid Table 1 Light - Accent 3"/>
    <w:next w:val="931"/>
    <w:link w:val="831"/>
    <w:uiPriority w:val="99"/>
    <w:qFormat/>
    <w:rPr>
      <w:lang w:val="en-US" w:eastAsia="zh-CN" w:bidi="ar-SA"/>
    </w:rPr>
    <w:tblPr/>
  </w:style>
  <w:style w:type="table" w:styleId="932">
    <w:name w:val="Grid Table 1 Light - Accent 4"/>
    <w:next w:val="932"/>
    <w:link w:val="831"/>
    <w:uiPriority w:val="99"/>
    <w:qFormat/>
    <w:rPr>
      <w:lang w:val="en-US" w:eastAsia="zh-CN" w:bidi="ar-SA"/>
    </w:rPr>
    <w:tblPr/>
  </w:style>
  <w:style w:type="table" w:styleId="933">
    <w:name w:val="Grid Table 1 Light - Accent 5"/>
    <w:next w:val="933"/>
    <w:link w:val="831"/>
    <w:uiPriority w:val="99"/>
    <w:qFormat/>
    <w:rPr>
      <w:lang w:val="en-US" w:eastAsia="zh-CN" w:bidi="ar-SA"/>
    </w:rPr>
    <w:tblPr/>
  </w:style>
  <w:style w:type="table" w:styleId="934">
    <w:name w:val="Grid Table 1 Light - Accent 6"/>
    <w:next w:val="934"/>
    <w:link w:val="831"/>
    <w:uiPriority w:val="99"/>
    <w:qFormat/>
    <w:rPr>
      <w:lang w:val="en-US" w:eastAsia="zh-CN" w:bidi="ar-SA"/>
    </w:rPr>
    <w:tblPr/>
  </w:style>
  <w:style w:type="table" w:styleId="935">
    <w:name w:val="Grid Table 2"/>
    <w:next w:val="935"/>
    <w:link w:val="831"/>
    <w:uiPriority w:val="99"/>
    <w:qFormat/>
    <w:rPr>
      <w:lang w:val="en-US" w:eastAsia="zh-CN" w:bidi="ar-SA"/>
    </w:rPr>
    <w:tblPr/>
  </w:style>
  <w:style w:type="table" w:styleId="936">
    <w:name w:val="Grid Table 2 - Accent 1"/>
    <w:next w:val="936"/>
    <w:link w:val="831"/>
    <w:uiPriority w:val="99"/>
    <w:qFormat/>
    <w:rPr>
      <w:lang w:val="en-US" w:eastAsia="zh-CN" w:bidi="ar-SA"/>
    </w:rPr>
    <w:tblPr/>
  </w:style>
  <w:style w:type="table" w:styleId="937">
    <w:name w:val="Grid Table 2 - Accent 2"/>
    <w:next w:val="937"/>
    <w:link w:val="831"/>
    <w:uiPriority w:val="99"/>
    <w:qFormat/>
    <w:rPr>
      <w:lang w:val="en-US" w:eastAsia="zh-CN" w:bidi="ar-SA"/>
    </w:rPr>
    <w:tblPr/>
  </w:style>
  <w:style w:type="table" w:styleId="938">
    <w:name w:val="Grid Table 2 - Accent 3"/>
    <w:next w:val="938"/>
    <w:link w:val="831"/>
    <w:uiPriority w:val="99"/>
    <w:qFormat/>
    <w:rPr>
      <w:lang w:val="en-US" w:eastAsia="zh-CN" w:bidi="ar-SA"/>
    </w:rPr>
    <w:tblPr/>
  </w:style>
  <w:style w:type="table" w:styleId="939">
    <w:name w:val="Grid Table 2 - Accent 4"/>
    <w:next w:val="939"/>
    <w:link w:val="831"/>
    <w:uiPriority w:val="99"/>
    <w:qFormat/>
    <w:rPr>
      <w:lang w:val="en-US" w:eastAsia="zh-CN" w:bidi="ar-SA"/>
    </w:rPr>
    <w:tblPr/>
  </w:style>
  <w:style w:type="table" w:styleId="940">
    <w:name w:val="Grid Table 2 - Accent 5"/>
    <w:next w:val="940"/>
    <w:link w:val="831"/>
    <w:uiPriority w:val="99"/>
    <w:qFormat/>
    <w:rPr>
      <w:lang w:val="en-US" w:eastAsia="zh-CN" w:bidi="ar-SA"/>
    </w:rPr>
    <w:tblPr/>
  </w:style>
  <w:style w:type="table" w:styleId="941">
    <w:name w:val="Grid Table 2 - Accent 6"/>
    <w:next w:val="941"/>
    <w:link w:val="831"/>
    <w:uiPriority w:val="99"/>
    <w:qFormat/>
    <w:rPr>
      <w:lang w:val="en-US" w:eastAsia="zh-CN" w:bidi="ar-SA"/>
    </w:rPr>
    <w:tblPr/>
  </w:style>
  <w:style w:type="table" w:styleId="942">
    <w:name w:val="Grid Table 3"/>
    <w:next w:val="942"/>
    <w:link w:val="831"/>
    <w:uiPriority w:val="99"/>
    <w:qFormat/>
    <w:rPr>
      <w:lang w:val="en-US" w:eastAsia="zh-CN" w:bidi="ar-SA"/>
    </w:rPr>
    <w:tblPr/>
  </w:style>
  <w:style w:type="table" w:styleId="943">
    <w:name w:val="Grid Table 3 - Accent 1"/>
    <w:next w:val="943"/>
    <w:link w:val="831"/>
    <w:uiPriority w:val="99"/>
    <w:qFormat/>
    <w:rPr>
      <w:lang w:val="en-US" w:eastAsia="zh-CN" w:bidi="ar-SA"/>
    </w:rPr>
    <w:tblPr/>
  </w:style>
  <w:style w:type="table" w:styleId="944">
    <w:name w:val="Grid Table 3 - Accent 2"/>
    <w:next w:val="944"/>
    <w:link w:val="831"/>
    <w:uiPriority w:val="99"/>
    <w:qFormat/>
    <w:rPr>
      <w:lang w:val="en-US" w:eastAsia="zh-CN" w:bidi="ar-SA"/>
    </w:rPr>
    <w:tblPr/>
  </w:style>
  <w:style w:type="table" w:styleId="945">
    <w:name w:val="Grid Table 3 - Accent 3"/>
    <w:next w:val="945"/>
    <w:link w:val="831"/>
    <w:uiPriority w:val="99"/>
    <w:qFormat/>
    <w:rPr>
      <w:lang w:val="en-US" w:eastAsia="zh-CN" w:bidi="ar-SA"/>
    </w:rPr>
    <w:tblPr/>
  </w:style>
  <w:style w:type="table" w:styleId="946">
    <w:name w:val="Grid Table 3 - Accent 4"/>
    <w:next w:val="946"/>
    <w:link w:val="831"/>
    <w:uiPriority w:val="99"/>
    <w:qFormat/>
    <w:rPr>
      <w:lang w:val="en-US" w:eastAsia="zh-CN" w:bidi="ar-SA"/>
    </w:rPr>
    <w:tblPr/>
  </w:style>
  <w:style w:type="table" w:styleId="947">
    <w:name w:val="Grid Table 3 - Accent 5"/>
    <w:next w:val="947"/>
    <w:link w:val="831"/>
    <w:uiPriority w:val="99"/>
    <w:qFormat/>
    <w:rPr>
      <w:lang w:val="en-US" w:eastAsia="zh-CN" w:bidi="ar-SA"/>
    </w:rPr>
    <w:tblPr/>
  </w:style>
  <w:style w:type="table" w:styleId="948">
    <w:name w:val="Grid Table 3 - Accent 6"/>
    <w:next w:val="948"/>
    <w:link w:val="831"/>
    <w:uiPriority w:val="99"/>
    <w:qFormat/>
    <w:rPr>
      <w:lang w:val="en-US" w:eastAsia="zh-CN" w:bidi="ar-SA"/>
    </w:rPr>
    <w:tblPr/>
  </w:style>
  <w:style w:type="table" w:styleId="949">
    <w:name w:val="Grid Table 4"/>
    <w:next w:val="949"/>
    <w:link w:val="831"/>
    <w:uiPriority w:val="59"/>
    <w:qFormat/>
    <w:rPr>
      <w:lang w:val="en-US" w:eastAsia="zh-CN" w:bidi="ar-SA"/>
    </w:rPr>
    <w:tblPr/>
  </w:style>
  <w:style w:type="table" w:styleId="950">
    <w:name w:val="Grid Table 4 - Accent 1"/>
    <w:next w:val="950"/>
    <w:link w:val="831"/>
    <w:uiPriority w:val="59"/>
    <w:qFormat/>
    <w:rPr>
      <w:lang w:val="en-US" w:eastAsia="zh-CN" w:bidi="ar-SA"/>
    </w:rPr>
    <w:tblPr/>
  </w:style>
  <w:style w:type="table" w:styleId="951">
    <w:name w:val="Grid Table 4 - Accent 2"/>
    <w:next w:val="951"/>
    <w:link w:val="831"/>
    <w:uiPriority w:val="59"/>
    <w:qFormat/>
    <w:rPr>
      <w:lang w:val="en-US" w:eastAsia="zh-CN" w:bidi="ar-SA"/>
    </w:rPr>
    <w:tblPr/>
  </w:style>
  <w:style w:type="table" w:styleId="952">
    <w:name w:val="Grid Table 4 - Accent 3"/>
    <w:next w:val="952"/>
    <w:link w:val="831"/>
    <w:uiPriority w:val="59"/>
    <w:qFormat/>
    <w:rPr>
      <w:lang w:val="en-US" w:eastAsia="zh-CN" w:bidi="ar-SA"/>
    </w:rPr>
    <w:tblPr/>
  </w:style>
  <w:style w:type="table" w:styleId="953">
    <w:name w:val="Grid Table 4 - Accent 4"/>
    <w:next w:val="953"/>
    <w:link w:val="831"/>
    <w:uiPriority w:val="59"/>
    <w:qFormat/>
    <w:rPr>
      <w:lang w:val="en-US" w:eastAsia="zh-CN" w:bidi="ar-SA"/>
    </w:rPr>
    <w:tblPr/>
  </w:style>
  <w:style w:type="table" w:styleId="954">
    <w:name w:val="Grid Table 4 - Accent 5"/>
    <w:next w:val="954"/>
    <w:link w:val="831"/>
    <w:uiPriority w:val="59"/>
    <w:qFormat/>
    <w:rPr>
      <w:lang w:val="en-US" w:eastAsia="zh-CN" w:bidi="ar-SA"/>
    </w:rPr>
    <w:tblPr/>
  </w:style>
  <w:style w:type="table" w:styleId="955">
    <w:name w:val="Grid Table 4 - Accent 6"/>
    <w:next w:val="955"/>
    <w:link w:val="831"/>
    <w:uiPriority w:val="59"/>
    <w:qFormat/>
    <w:rPr>
      <w:lang w:val="en-US" w:eastAsia="zh-CN" w:bidi="ar-SA"/>
    </w:rPr>
    <w:tblPr/>
  </w:style>
  <w:style w:type="table" w:styleId="956">
    <w:name w:val="Grid Table 5 Dark"/>
    <w:next w:val="956"/>
    <w:link w:val="831"/>
    <w:uiPriority w:val="99"/>
    <w:qFormat/>
    <w:rPr>
      <w:lang w:val="en-US" w:eastAsia="zh-CN" w:bidi="ar-SA"/>
    </w:rPr>
    <w:tblPr/>
  </w:style>
  <w:style w:type="table" w:styleId="957">
    <w:name w:val="Grid Table 5 Dark- Accent 1"/>
    <w:next w:val="957"/>
    <w:link w:val="831"/>
    <w:uiPriority w:val="99"/>
    <w:qFormat/>
    <w:rPr>
      <w:lang w:val="en-US" w:eastAsia="zh-CN" w:bidi="ar-SA"/>
    </w:rPr>
    <w:tblPr/>
  </w:style>
  <w:style w:type="table" w:styleId="958">
    <w:name w:val="Grid Table 5 Dark - Accent 2"/>
    <w:next w:val="958"/>
    <w:link w:val="831"/>
    <w:uiPriority w:val="99"/>
    <w:qFormat/>
    <w:rPr>
      <w:lang w:val="en-US" w:eastAsia="zh-CN" w:bidi="ar-SA"/>
    </w:rPr>
    <w:tblPr/>
  </w:style>
  <w:style w:type="table" w:styleId="959">
    <w:name w:val="Grid Table 5 Dark - Accent 3"/>
    <w:next w:val="959"/>
    <w:link w:val="831"/>
    <w:uiPriority w:val="99"/>
    <w:qFormat/>
    <w:rPr>
      <w:lang w:val="en-US" w:eastAsia="zh-CN" w:bidi="ar-SA"/>
    </w:rPr>
    <w:tblPr/>
  </w:style>
  <w:style w:type="table" w:styleId="960">
    <w:name w:val="Grid Table 5 Dark- Accent 4"/>
    <w:next w:val="960"/>
    <w:link w:val="831"/>
    <w:uiPriority w:val="99"/>
    <w:qFormat/>
    <w:rPr>
      <w:lang w:val="en-US" w:eastAsia="zh-CN" w:bidi="ar-SA"/>
    </w:rPr>
    <w:tblPr/>
  </w:style>
  <w:style w:type="table" w:styleId="961">
    <w:name w:val="Grid Table 5 Dark - Accent 5"/>
    <w:next w:val="961"/>
    <w:link w:val="831"/>
    <w:uiPriority w:val="99"/>
    <w:qFormat/>
    <w:rPr>
      <w:lang w:val="en-US" w:eastAsia="zh-CN" w:bidi="ar-SA"/>
    </w:rPr>
    <w:tblPr/>
  </w:style>
  <w:style w:type="table" w:styleId="962">
    <w:name w:val="Grid Table 5 Dark - Accent 6"/>
    <w:next w:val="962"/>
    <w:link w:val="831"/>
    <w:uiPriority w:val="99"/>
    <w:qFormat/>
    <w:rPr>
      <w:lang w:val="en-US" w:eastAsia="zh-CN" w:bidi="ar-SA"/>
    </w:rPr>
    <w:tblPr/>
  </w:style>
  <w:style w:type="table" w:styleId="963">
    <w:name w:val="Grid Table 6 Colorful"/>
    <w:next w:val="963"/>
    <w:link w:val="831"/>
    <w:uiPriority w:val="99"/>
    <w:qFormat/>
    <w:rPr>
      <w:lang w:val="en-US" w:eastAsia="zh-CN" w:bidi="ar-SA"/>
    </w:rPr>
    <w:tblPr/>
  </w:style>
  <w:style w:type="table" w:styleId="964">
    <w:name w:val="Grid Table 6 Colorful - Accent 1"/>
    <w:next w:val="964"/>
    <w:link w:val="831"/>
    <w:uiPriority w:val="99"/>
    <w:qFormat/>
    <w:rPr>
      <w:lang w:val="en-US" w:eastAsia="zh-CN" w:bidi="ar-SA"/>
    </w:rPr>
    <w:tblPr/>
  </w:style>
  <w:style w:type="table" w:styleId="965">
    <w:name w:val="Grid Table 6 Colorful - Accent 2"/>
    <w:next w:val="965"/>
    <w:link w:val="831"/>
    <w:uiPriority w:val="99"/>
    <w:qFormat/>
    <w:rPr>
      <w:lang w:val="en-US" w:eastAsia="zh-CN" w:bidi="ar-SA"/>
    </w:rPr>
    <w:tblPr/>
  </w:style>
  <w:style w:type="table" w:styleId="966">
    <w:name w:val="Grid Table 6 Colorful - Accent 3"/>
    <w:next w:val="966"/>
    <w:link w:val="831"/>
    <w:uiPriority w:val="99"/>
    <w:qFormat/>
    <w:rPr>
      <w:lang w:val="en-US" w:eastAsia="zh-CN" w:bidi="ar-SA"/>
    </w:rPr>
    <w:tblPr/>
  </w:style>
  <w:style w:type="table" w:styleId="967">
    <w:name w:val="Grid Table 6 Colorful - Accent 4"/>
    <w:next w:val="967"/>
    <w:link w:val="831"/>
    <w:uiPriority w:val="99"/>
    <w:qFormat/>
    <w:rPr>
      <w:lang w:val="en-US" w:eastAsia="zh-CN" w:bidi="ar-SA"/>
    </w:rPr>
    <w:tblPr/>
  </w:style>
  <w:style w:type="table" w:styleId="968">
    <w:name w:val="Grid Table 6 Colorful - Accent 5"/>
    <w:next w:val="968"/>
    <w:link w:val="831"/>
    <w:uiPriority w:val="99"/>
    <w:qFormat/>
    <w:rPr>
      <w:lang w:val="en-US" w:eastAsia="zh-CN" w:bidi="ar-SA"/>
    </w:rPr>
    <w:tblPr/>
  </w:style>
  <w:style w:type="table" w:styleId="969">
    <w:name w:val="Grid Table 6 Colorful - Accent 6"/>
    <w:next w:val="969"/>
    <w:link w:val="831"/>
    <w:uiPriority w:val="99"/>
    <w:qFormat/>
    <w:rPr>
      <w:lang w:val="en-US" w:eastAsia="zh-CN" w:bidi="ar-SA"/>
    </w:rPr>
    <w:tblPr/>
  </w:style>
  <w:style w:type="table" w:styleId="970">
    <w:name w:val="Grid Table 7 Colorful"/>
    <w:next w:val="970"/>
    <w:link w:val="831"/>
    <w:uiPriority w:val="99"/>
    <w:qFormat/>
    <w:rPr>
      <w:lang w:val="en-US" w:eastAsia="zh-CN" w:bidi="ar-SA"/>
    </w:rPr>
    <w:tblPr/>
  </w:style>
  <w:style w:type="table" w:styleId="971">
    <w:name w:val="Grid Table 7 Colorful - Accent 1"/>
    <w:next w:val="971"/>
    <w:link w:val="831"/>
    <w:uiPriority w:val="99"/>
    <w:qFormat/>
    <w:rPr>
      <w:lang w:val="en-US" w:eastAsia="zh-CN" w:bidi="ar-SA"/>
    </w:rPr>
    <w:tblPr/>
  </w:style>
  <w:style w:type="table" w:styleId="972">
    <w:name w:val="Grid Table 7 Colorful - Accent 2"/>
    <w:next w:val="972"/>
    <w:link w:val="831"/>
    <w:uiPriority w:val="99"/>
    <w:qFormat/>
    <w:rPr>
      <w:lang w:val="en-US" w:eastAsia="zh-CN" w:bidi="ar-SA"/>
    </w:rPr>
    <w:tblPr/>
  </w:style>
  <w:style w:type="table" w:styleId="973">
    <w:name w:val="Grid Table 7 Colorful - Accent 3"/>
    <w:next w:val="973"/>
    <w:link w:val="831"/>
    <w:uiPriority w:val="99"/>
    <w:qFormat/>
    <w:rPr>
      <w:lang w:val="en-US" w:eastAsia="zh-CN" w:bidi="ar-SA"/>
    </w:rPr>
    <w:tblPr/>
  </w:style>
  <w:style w:type="table" w:styleId="974">
    <w:name w:val="Grid Table 7 Colorful - Accent 4"/>
    <w:next w:val="974"/>
    <w:link w:val="831"/>
    <w:uiPriority w:val="99"/>
    <w:qFormat/>
    <w:rPr>
      <w:lang w:val="en-US" w:eastAsia="zh-CN" w:bidi="ar-SA"/>
    </w:rPr>
    <w:tblPr/>
  </w:style>
  <w:style w:type="table" w:styleId="975">
    <w:name w:val="Grid Table 7 Colorful - Accent 5"/>
    <w:next w:val="975"/>
    <w:link w:val="831"/>
    <w:uiPriority w:val="99"/>
    <w:qFormat/>
    <w:rPr>
      <w:lang w:val="en-US" w:eastAsia="zh-CN" w:bidi="ar-SA"/>
    </w:rPr>
    <w:tblPr/>
  </w:style>
  <w:style w:type="table" w:styleId="976">
    <w:name w:val="Grid Table 7 Colorful - Accent 6"/>
    <w:next w:val="976"/>
    <w:link w:val="831"/>
    <w:uiPriority w:val="99"/>
    <w:qFormat/>
    <w:rPr>
      <w:lang w:val="en-US" w:eastAsia="zh-CN" w:bidi="ar-SA"/>
    </w:rPr>
    <w:tblPr/>
  </w:style>
  <w:style w:type="table" w:styleId="977">
    <w:name w:val="List Table 1 Light"/>
    <w:next w:val="977"/>
    <w:link w:val="831"/>
    <w:uiPriority w:val="99"/>
    <w:qFormat/>
    <w:rPr>
      <w:lang w:val="en-US" w:eastAsia="zh-CN" w:bidi="ar-SA"/>
    </w:rPr>
    <w:tblPr/>
  </w:style>
  <w:style w:type="table" w:styleId="978">
    <w:name w:val="List Table 1 Light - Accent 1"/>
    <w:next w:val="978"/>
    <w:link w:val="831"/>
    <w:uiPriority w:val="99"/>
    <w:qFormat/>
    <w:rPr>
      <w:lang w:val="en-US" w:eastAsia="zh-CN" w:bidi="ar-SA"/>
    </w:rPr>
    <w:tblPr/>
  </w:style>
  <w:style w:type="table" w:styleId="979">
    <w:name w:val="List Table 1 Light - Accent 2"/>
    <w:next w:val="979"/>
    <w:link w:val="831"/>
    <w:uiPriority w:val="99"/>
    <w:qFormat/>
    <w:rPr>
      <w:lang w:val="en-US" w:eastAsia="zh-CN" w:bidi="ar-SA"/>
    </w:rPr>
    <w:tblPr/>
  </w:style>
  <w:style w:type="table" w:styleId="980">
    <w:name w:val="List Table 1 Light - Accent 3"/>
    <w:next w:val="980"/>
    <w:link w:val="831"/>
    <w:uiPriority w:val="99"/>
    <w:qFormat/>
    <w:rPr>
      <w:lang w:val="en-US" w:eastAsia="zh-CN" w:bidi="ar-SA"/>
    </w:rPr>
    <w:tblPr/>
  </w:style>
  <w:style w:type="table" w:styleId="981">
    <w:name w:val="List Table 1 Light - Accent 4"/>
    <w:next w:val="981"/>
    <w:link w:val="831"/>
    <w:uiPriority w:val="99"/>
    <w:qFormat/>
    <w:rPr>
      <w:lang w:val="en-US" w:eastAsia="zh-CN" w:bidi="ar-SA"/>
    </w:rPr>
    <w:tblPr/>
  </w:style>
  <w:style w:type="table" w:styleId="982">
    <w:name w:val="List Table 1 Light - Accent 5"/>
    <w:next w:val="982"/>
    <w:link w:val="831"/>
    <w:uiPriority w:val="99"/>
    <w:qFormat/>
    <w:rPr>
      <w:lang w:val="en-US" w:eastAsia="zh-CN" w:bidi="ar-SA"/>
    </w:rPr>
    <w:tblPr/>
  </w:style>
  <w:style w:type="table" w:styleId="983">
    <w:name w:val="List Table 1 Light - Accent 6"/>
    <w:next w:val="983"/>
    <w:link w:val="831"/>
    <w:uiPriority w:val="99"/>
    <w:qFormat/>
    <w:rPr>
      <w:lang w:val="en-US" w:eastAsia="zh-CN" w:bidi="ar-SA"/>
    </w:rPr>
    <w:tblPr/>
  </w:style>
  <w:style w:type="table" w:styleId="984">
    <w:name w:val="List Table 2"/>
    <w:next w:val="984"/>
    <w:link w:val="831"/>
    <w:uiPriority w:val="99"/>
    <w:qFormat/>
    <w:rPr>
      <w:lang w:val="en-US" w:eastAsia="zh-CN" w:bidi="ar-SA"/>
    </w:rPr>
    <w:tblPr/>
  </w:style>
  <w:style w:type="table" w:styleId="985">
    <w:name w:val="List Table 2 - Accent 1"/>
    <w:next w:val="985"/>
    <w:link w:val="831"/>
    <w:uiPriority w:val="99"/>
    <w:qFormat/>
    <w:rPr>
      <w:lang w:val="en-US" w:eastAsia="zh-CN" w:bidi="ar-SA"/>
    </w:rPr>
    <w:tblPr/>
  </w:style>
  <w:style w:type="table" w:styleId="986">
    <w:name w:val="List Table 2 - Accent 2"/>
    <w:next w:val="986"/>
    <w:link w:val="831"/>
    <w:uiPriority w:val="99"/>
    <w:qFormat/>
    <w:rPr>
      <w:lang w:val="en-US" w:eastAsia="zh-CN" w:bidi="ar-SA"/>
    </w:rPr>
    <w:tblPr/>
  </w:style>
  <w:style w:type="table" w:styleId="987">
    <w:name w:val="List Table 2 - Accent 3"/>
    <w:next w:val="987"/>
    <w:link w:val="831"/>
    <w:uiPriority w:val="99"/>
    <w:qFormat/>
    <w:rPr>
      <w:lang w:val="en-US" w:eastAsia="zh-CN" w:bidi="ar-SA"/>
    </w:rPr>
    <w:tblPr/>
  </w:style>
  <w:style w:type="table" w:styleId="988">
    <w:name w:val="List Table 2 - Accent 4"/>
    <w:next w:val="988"/>
    <w:link w:val="831"/>
    <w:uiPriority w:val="99"/>
    <w:qFormat/>
    <w:rPr>
      <w:lang w:val="en-US" w:eastAsia="zh-CN" w:bidi="ar-SA"/>
    </w:rPr>
    <w:tblPr/>
  </w:style>
  <w:style w:type="table" w:styleId="989">
    <w:name w:val="List Table 2 - Accent 5"/>
    <w:next w:val="989"/>
    <w:link w:val="831"/>
    <w:uiPriority w:val="99"/>
    <w:qFormat/>
    <w:rPr>
      <w:lang w:val="en-US" w:eastAsia="zh-CN" w:bidi="ar-SA"/>
    </w:rPr>
    <w:tblPr/>
  </w:style>
  <w:style w:type="table" w:styleId="990">
    <w:name w:val="List Table 2 - Accent 6"/>
    <w:next w:val="990"/>
    <w:link w:val="831"/>
    <w:uiPriority w:val="99"/>
    <w:qFormat/>
    <w:rPr>
      <w:lang w:val="en-US" w:eastAsia="zh-CN" w:bidi="ar-SA"/>
    </w:rPr>
    <w:tblPr/>
  </w:style>
  <w:style w:type="table" w:styleId="991">
    <w:name w:val="List Table 3"/>
    <w:next w:val="991"/>
    <w:link w:val="831"/>
    <w:uiPriority w:val="99"/>
    <w:qFormat/>
    <w:rPr>
      <w:lang w:val="en-US" w:eastAsia="zh-CN" w:bidi="ar-SA"/>
    </w:rPr>
    <w:tblPr/>
  </w:style>
  <w:style w:type="table" w:styleId="992">
    <w:name w:val="List Table 3 - Accent 1"/>
    <w:next w:val="992"/>
    <w:link w:val="831"/>
    <w:uiPriority w:val="99"/>
    <w:qFormat/>
    <w:rPr>
      <w:lang w:val="en-US" w:eastAsia="zh-CN" w:bidi="ar-SA"/>
    </w:rPr>
    <w:tblPr/>
  </w:style>
  <w:style w:type="table" w:styleId="993">
    <w:name w:val="List Table 3 - Accent 2"/>
    <w:next w:val="993"/>
    <w:link w:val="831"/>
    <w:uiPriority w:val="99"/>
    <w:qFormat/>
    <w:rPr>
      <w:lang w:val="en-US" w:eastAsia="zh-CN" w:bidi="ar-SA"/>
    </w:rPr>
    <w:tblPr/>
  </w:style>
  <w:style w:type="table" w:styleId="994">
    <w:name w:val="List Table 3 - Accent 3"/>
    <w:next w:val="994"/>
    <w:link w:val="831"/>
    <w:uiPriority w:val="99"/>
    <w:qFormat/>
    <w:rPr>
      <w:lang w:val="en-US" w:eastAsia="zh-CN" w:bidi="ar-SA"/>
    </w:rPr>
    <w:tblPr/>
  </w:style>
  <w:style w:type="table" w:styleId="995">
    <w:name w:val="List Table 3 - Accent 4"/>
    <w:next w:val="995"/>
    <w:link w:val="831"/>
    <w:uiPriority w:val="99"/>
    <w:qFormat/>
    <w:rPr>
      <w:lang w:val="en-US" w:eastAsia="zh-CN" w:bidi="ar-SA"/>
    </w:rPr>
    <w:tblPr/>
  </w:style>
  <w:style w:type="table" w:styleId="996">
    <w:name w:val="List Table 3 - Accent 5"/>
    <w:next w:val="996"/>
    <w:link w:val="831"/>
    <w:uiPriority w:val="99"/>
    <w:qFormat/>
    <w:rPr>
      <w:lang w:val="en-US" w:eastAsia="zh-CN" w:bidi="ar-SA"/>
    </w:rPr>
    <w:tblPr/>
  </w:style>
  <w:style w:type="table" w:styleId="997">
    <w:name w:val="List Table 3 - Accent 6"/>
    <w:next w:val="997"/>
    <w:link w:val="831"/>
    <w:uiPriority w:val="99"/>
    <w:qFormat/>
    <w:rPr>
      <w:lang w:val="en-US" w:eastAsia="zh-CN" w:bidi="ar-SA"/>
    </w:rPr>
    <w:tblPr/>
  </w:style>
  <w:style w:type="table" w:styleId="998">
    <w:name w:val="List Table 4"/>
    <w:next w:val="998"/>
    <w:link w:val="831"/>
    <w:uiPriority w:val="99"/>
    <w:qFormat/>
    <w:rPr>
      <w:lang w:val="en-US" w:eastAsia="zh-CN" w:bidi="ar-SA"/>
    </w:rPr>
    <w:tblPr/>
  </w:style>
  <w:style w:type="table" w:styleId="999">
    <w:name w:val="List Table 4 - Accent 1"/>
    <w:next w:val="999"/>
    <w:link w:val="831"/>
    <w:uiPriority w:val="99"/>
    <w:qFormat/>
    <w:rPr>
      <w:lang w:val="en-US" w:eastAsia="zh-CN" w:bidi="ar-SA"/>
    </w:rPr>
    <w:tblPr/>
  </w:style>
  <w:style w:type="table" w:styleId="1000">
    <w:name w:val="List Table 4 - Accent 2"/>
    <w:next w:val="1000"/>
    <w:link w:val="831"/>
    <w:uiPriority w:val="99"/>
    <w:qFormat/>
    <w:rPr>
      <w:lang w:val="en-US" w:eastAsia="zh-CN" w:bidi="ar-SA"/>
    </w:rPr>
    <w:tblPr/>
  </w:style>
  <w:style w:type="table" w:styleId="1001">
    <w:name w:val="List Table 4 - Accent 3"/>
    <w:next w:val="1001"/>
    <w:link w:val="831"/>
    <w:uiPriority w:val="99"/>
    <w:qFormat/>
    <w:rPr>
      <w:lang w:val="en-US" w:eastAsia="zh-CN" w:bidi="ar-SA"/>
    </w:rPr>
    <w:tblPr/>
  </w:style>
  <w:style w:type="table" w:styleId="1002">
    <w:name w:val="List Table 4 - Accent 4"/>
    <w:next w:val="1002"/>
    <w:link w:val="831"/>
    <w:uiPriority w:val="99"/>
    <w:qFormat/>
    <w:rPr>
      <w:lang w:val="en-US" w:eastAsia="zh-CN" w:bidi="ar-SA"/>
    </w:rPr>
    <w:tblPr/>
  </w:style>
  <w:style w:type="table" w:styleId="1003">
    <w:name w:val="List Table 4 - Accent 5"/>
    <w:next w:val="1003"/>
    <w:link w:val="831"/>
    <w:uiPriority w:val="99"/>
    <w:qFormat/>
    <w:rPr>
      <w:lang w:val="en-US" w:eastAsia="zh-CN" w:bidi="ar-SA"/>
    </w:rPr>
    <w:tblPr/>
  </w:style>
  <w:style w:type="table" w:styleId="1004">
    <w:name w:val="List Table 4 - Accent 6"/>
    <w:next w:val="1004"/>
    <w:link w:val="831"/>
    <w:uiPriority w:val="99"/>
    <w:qFormat/>
    <w:rPr>
      <w:lang w:val="en-US" w:eastAsia="zh-CN" w:bidi="ar-SA"/>
    </w:rPr>
    <w:tblPr/>
  </w:style>
  <w:style w:type="table" w:styleId="1005">
    <w:name w:val="List Table 5 Dark"/>
    <w:next w:val="1005"/>
    <w:link w:val="831"/>
    <w:uiPriority w:val="99"/>
    <w:qFormat/>
    <w:rPr>
      <w:lang w:val="en-US" w:eastAsia="zh-CN" w:bidi="ar-SA"/>
    </w:rPr>
    <w:tblPr/>
  </w:style>
  <w:style w:type="table" w:styleId="1006">
    <w:name w:val="List Table 5 Dark - Accent 1"/>
    <w:next w:val="1006"/>
    <w:link w:val="831"/>
    <w:uiPriority w:val="99"/>
    <w:qFormat/>
    <w:rPr>
      <w:lang w:val="en-US" w:eastAsia="zh-CN" w:bidi="ar-SA"/>
    </w:rPr>
    <w:tblPr/>
  </w:style>
  <w:style w:type="table" w:styleId="1007">
    <w:name w:val="List Table 5 Dark - Accent 2"/>
    <w:next w:val="1007"/>
    <w:link w:val="831"/>
    <w:uiPriority w:val="99"/>
    <w:qFormat/>
    <w:rPr>
      <w:lang w:val="en-US" w:eastAsia="zh-CN" w:bidi="ar-SA"/>
    </w:rPr>
    <w:tblPr/>
  </w:style>
  <w:style w:type="table" w:styleId="1008">
    <w:name w:val="List Table 5 Dark - Accent 3"/>
    <w:next w:val="1008"/>
    <w:link w:val="831"/>
    <w:uiPriority w:val="99"/>
    <w:qFormat/>
    <w:rPr>
      <w:lang w:val="en-US" w:eastAsia="zh-CN" w:bidi="ar-SA"/>
    </w:rPr>
    <w:tblPr/>
  </w:style>
  <w:style w:type="table" w:styleId="1009">
    <w:name w:val="List Table 5 Dark - Accent 4"/>
    <w:next w:val="1009"/>
    <w:link w:val="831"/>
    <w:uiPriority w:val="99"/>
    <w:qFormat/>
    <w:rPr>
      <w:lang w:val="en-US" w:eastAsia="zh-CN" w:bidi="ar-SA"/>
    </w:rPr>
    <w:tblPr/>
  </w:style>
  <w:style w:type="table" w:styleId="1010">
    <w:name w:val="List Table 5 Dark - Accent 5"/>
    <w:next w:val="1010"/>
    <w:link w:val="831"/>
    <w:uiPriority w:val="99"/>
    <w:qFormat/>
    <w:rPr>
      <w:lang w:val="en-US" w:eastAsia="zh-CN" w:bidi="ar-SA"/>
    </w:rPr>
    <w:tblPr/>
  </w:style>
  <w:style w:type="table" w:styleId="1011">
    <w:name w:val="List Table 5 Dark - Accent 6"/>
    <w:next w:val="1011"/>
    <w:link w:val="831"/>
    <w:uiPriority w:val="99"/>
    <w:qFormat/>
    <w:rPr>
      <w:lang w:val="en-US" w:eastAsia="zh-CN" w:bidi="ar-SA"/>
    </w:rPr>
    <w:tblPr/>
  </w:style>
  <w:style w:type="table" w:styleId="1012">
    <w:name w:val="List Table 6 Colorful"/>
    <w:next w:val="1012"/>
    <w:link w:val="831"/>
    <w:uiPriority w:val="99"/>
    <w:qFormat/>
    <w:rPr>
      <w:lang w:val="en-US" w:eastAsia="zh-CN" w:bidi="ar-SA"/>
    </w:rPr>
    <w:tblPr/>
  </w:style>
  <w:style w:type="table" w:styleId="1013">
    <w:name w:val="List Table 6 Colorful - Accent 1"/>
    <w:next w:val="1013"/>
    <w:link w:val="831"/>
    <w:uiPriority w:val="99"/>
    <w:qFormat/>
    <w:rPr>
      <w:lang w:val="en-US" w:eastAsia="zh-CN" w:bidi="ar-SA"/>
    </w:rPr>
    <w:tblPr/>
  </w:style>
  <w:style w:type="table" w:styleId="1014">
    <w:name w:val="List Table 6 Colorful - Accent 2"/>
    <w:next w:val="1014"/>
    <w:link w:val="831"/>
    <w:uiPriority w:val="99"/>
    <w:qFormat/>
    <w:rPr>
      <w:lang w:val="en-US" w:eastAsia="zh-CN" w:bidi="ar-SA"/>
    </w:rPr>
    <w:tblPr/>
  </w:style>
  <w:style w:type="table" w:styleId="1015">
    <w:name w:val="List Table 6 Colorful - Accent 3"/>
    <w:next w:val="1015"/>
    <w:link w:val="831"/>
    <w:uiPriority w:val="99"/>
    <w:qFormat/>
    <w:rPr>
      <w:lang w:val="en-US" w:eastAsia="zh-CN" w:bidi="ar-SA"/>
    </w:rPr>
    <w:tblPr/>
  </w:style>
  <w:style w:type="table" w:styleId="1016">
    <w:name w:val="List Table 6 Colorful - Accent 4"/>
    <w:next w:val="1016"/>
    <w:link w:val="831"/>
    <w:uiPriority w:val="99"/>
    <w:qFormat/>
    <w:rPr>
      <w:lang w:val="en-US" w:eastAsia="zh-CN" w:bidi="ar-SA"/>
    </w:rPr>
    <w:tblPr/>
  </w:style>
  <w:style w:type="table" w:styleId="1017">
    <w:name w:val="List Table 6 Colorful - Accent 5"/>
    <w:next w:val="1017"/>
    <w:link w:val="831"/>
    <w:uiPriority w:val="99"/>
    <w:qFormat/>
    <w:rPr>
      <w:lang w:val="en-US" w:eastAsia="zh-CN" w:bidi="ar-SA"/>
    </w:rPr>
    <w:tblPr/>
  </w:style>
  <w:style w:type="table" w:styleId="1018">
    <w:name w:val="List Table 6 Colorful - Accent 6"/>
    <w:next w:val="1018"/>
    <w:link w:val="831"/>
    <w:uiPriority w:val="99"/>
    <w:qFormat/>
    <w:rPr>
      <w:lang w:val="en-US" w:eastAsia="zh-CN" w:bidi="ar-SA"/>
    </w:rPr>
    <w:tblPr/>
  </w:style>
  <w:style w:type="table" w:styleId="1019">
    <w:name w:val="List Table 7 Colorful"/>
    <w:next w:val="1019"/>
    <w:link w:val="831"/>
    <w:uiPriority w:val="99"/>
    <w:qFormat/>
    <w:rPr>
      <w:lang w:val="en-US" w:eastAsia="zh-CN" w:bidi="ar-SA"/>
    </w:rPr>
    <w:tblPr/>
  </w:style>
  <w:style w:type="table" w:styleId="1020">
    <w:name w:val="List Table 7 Colorful - Accent 1"/>
    <w:next w:val="1020"/>
    <w:link w:val="831"/>
    <w:uiPriority w:val="99"/>
    <w:qFormat/>
    <w:rPr>
      <w:lang w:val="en-US" w:eastAsia="zh-CN" w:bidi="ar-SA"/>
    </w:rPr>
    <w:tblPr/>
  </w:style>
  <w:style w:type="table" w:styleId="1021">
    <w:name w:val="List Table 7 Colorful - Accent 2"/>
    <w:next w:val="1021"/>
    <w:link w:val="831"/>
    <w:uiPriority w:val="99"/>
    <w:qFormat/>
    <w:rPr>
      <w:lang w:val="en-US" w:eastAsia="zh-CN" w:bidi="ar-SA"/>
    </w:rPr>
    <w:tblPr/>
  </w:style>
  <w:style w:type="table" w:styleId="1022">
    <w:name w:val="List Table 7 Colorful - Accent 3"/>
    <w:next w:val="1022"/>
    <w:link w:val="831"/>
    <w:uiPriority w:val="99"/>
    <w:qFormat/>
    <w:rPr>
      <w:lang w:val="en-US" w:eastAsia="zh-CN" w:bidi="ar-SA"/>
    </w:rPr>
    <w:tblPr/>
  </w:style>
  <w:style w:type="table" w:styleId="1023">
    <w:name w:val="List Table 7 Colorful - Accent 4"/>
    <w:next w:val="1023"/>
    <w:link w:val="831"/>
    <w:uiPriority w:val="99"/>
    <w:qFormat/>
    <w:rPr>
      <w:lang w:val="en-US" w:eastAsia="zh-CN" w:bidi="ar-SA"/>
    </w:rPr>
    <w:tblPr/>
  </w:style>
  <w:style w:type="table" w:styleId="1024">
    <w:name w:val="List Table 7 Colorful - Accent 5"/>
    <w:next w:val="1024"/>
    <w:link w:val="831"/>
    <w:uiPriority w:val="99"/>
    <w:qFormat/>
    <w:rPr>
      <w:lang w:val="en-US" w:eastAsia="zh-CN" w:bidi="ar-SA"/>
    </w:rPr>
    <w:tblPr/>
  </w:style>
  <w:style w:type="table" w:styleId="1025">
    <w:name w:val="List Table 7 Colorful - Accent 6"/>
    <w:next w:val="1025"/>
    <w:link w:val="831"/>
    <w:uiPriority w:val="99"/>
    <w:qFormat/>
    <w:rPr>
      <w:lang w:val="en-US" w:eastAsia="zh-CN" w:bidi="ar-SA"/>
    </w:rPr>
    <w:tblPr/>
  </w:style>
  <w:style w:type="table" w:styleId="1026">
    <w:name w:val="Lined - Accent"/>
    <w:next w:val="1026"/>
    <w:link w:val="831"/>
    <w:uiPriority w:val="99"/>
    <w:qFormat/>
    <w:rPr>
      <w:color w:val="404040"/>
      <w:lang w:val="en-US" w:eastAsia="zh-CN" w:bidi="ar-SA"/>
    </w:rPr>
    <w:tblPr/>
  </w:style>
  <w:style w:type="table" w:styleId="1027">
    <w:name w:val="Lined - Accent 1"/>
    <w:next w:val="1027"/>
    <w:link w:val="831"/>
    <w:uiPriority w:val="99"/>
    <w:qFormat/>
    <w:rPr>
      <w:color w:val="404040"/>
      <w:lang w:val="en-US" w:eastAsia="zh-CN" w:bidi="ar-SA"/>
    </w:rPr>
    <w:tblPr/>
  </w:style>
  <w:style w:type="table" w:styleId="1028">
    <w:name w:val="Lined - Accent 2"/>
    <w:next w:val="1028"/>
    <w:link w:val="831"/>
    <w:uiPriority w:val="99"/>
    <w:qFormat/>
    <w:rPr>
      <w:color w:val="404040"/>
      <w:lang w:val="en-US" w:eastAsia="zh-CN" w:bidi="ar-SA"/>
    </w:rPr>
    <w:tblPr/>
  </w:style>
  <w:style w:type="table" w:styleId="1029">
    <w:name w:val="Lined - Accent 3"/>
    <w:next w:val="1029"/>
    <w:link w:val="831"/>
    <w:uiPriority w:val="99"/>
    <w:qFormat/>
    <w:rPr>
      <w:color w:val="404040"/>
      <w:lang w:val="en-US" w:eastAsia="zh-CN" w:bidi="ar-SA"/>
    </w:rPr>
    <w:tblPr/>
  </w:style>
  <w:style w:type="table" w:styleId="1030">
    <w:name w:val="Lined - Accent 4"/>
    <w:next w:val="1030"/>
    <w:link w:val="831"/>
    <w:uiPriority w:val="99"/>
    <w:qFormat/>
    <w:rPr>
      <w:color w:val="404040"/>
      <w:lang w:val="en-US" w:eastAsia="zh-CN" w:bidi="ar-SA"/>
    </w:rPr>
    <w:tblPr/>
  </w:style>
  <w:style w:type="table" w:styleId="1031">
    <w:name w:val="Lined - Accent 5"/>
    <w:next w:val="1031"/>
    <w:link w:val="831"/>
    <w:uiPriority w:val="99"/>
    <w:qFormat/>
    <w:rPr>
      <w:color w:val="404040"/>
      <w:lang w:val="en-US" w:eastAsia="zh-CN" w:bidi="ar-SA"/>
    </w:rPr>
    <w:tblPr/>
  </w:style>
  <w:style w:type="table" w:styleId="1032">
    <w:name w:val="Lined - Accent 6"/>
    <w:next w:val="1032"/>
    <w:link w:val="831"/>
    <w:uiPriority w:val="99"/>
    <w:qFormat/>
    <w:rPr>
      <w:color w:val="404040"/>
      <w:lang w:val="en-US" w:eastAsia="zh-CN" w:bidi="ar-SA"/>
    </w:rPr>
    <w:tblPr/>
  </w:style>
  <w:style w:type="table" w:styleId="1033">
    <w:name w:val="Bordered &amp; Lined - Accent"/>
    <w:next w:val="1033"/>
    <w:link w:val="831"/>
    <w:uiPriority w:val="99"/>
    <w:qFormat/>
    <w:rPr>
      <w:color w:val="404040"/>
      <w:lang w:val="en-US" w:eastAsia="zh-CN" w:bidi="ar-SA"/>
    </w:rPr>
    <w:tblPr/>
  </w:style>
  <w:style w:type="table" w:styleId="1034">
    <w:name w:val="Bordered &amp; Lined - Accent 1"/>
    <w:next w:val="1034"/>
    <w:link w:val="831"/>
    <w:uiPriority w:val="99"/>
    <w:qFormat/>
    <w:rPr>
      <w:color w:val="404040"/>
      <w:lang w:val="en-US" w:eastAsia="zh-CN" w:bidi="ar-SA"/>
    </w:rPr>
    <w:tblPr/>
  </w:style>
  <w:style w:type="table" w:styleId="1035">
    <w:name w:val="Bordered &amp; Lined - Accent 2"/>
    <w:next w:val="1035"/>
    <w:link w:val="831"/>
    <w:uiPriority w:val="99"/>
    <w:qFormat/>
    <w:rPr>
      <w:color w:val="404040"/>
      <w:lang w:val="en-US" w:eastAsia="zh-CN" w:bidi="ar-SA"/>
    </w:rPr>
    <w:tblPr/>
  </w:style>
  <w:style w:type="table" w:styleId="1036">
    <w:name w:val="Bordered &amp; Lined - Accent 3"/>
    <w:next w:val="1036"/>
    <w:link w:val="831"/>
    <w:uiPriority w:val="99"/>
    <w:qFormat/>
    <w:rPr>
      <w:color w:val="404040"/>
      <w:lang w:val="en-US" w:eastAsia="zh-CN" w:bidi="ar-SA"/>
    </w:rPr>
    <w:tblPr/>
  </w:style>
  <w:style w:type="table" w:styleId="1037">
    <w:name w:val="Bordered &amp; Lined - Accent 4"/>
    <w:next w:val="1037"/>
    <w:link w:val="831"/>
    <w:uiPriority w:val="99"/>
    <w:qFormat/>
    <w:rPr>
      <w:color w:val="404040"/>
      <w:lang w:val="en-US" w:eastAsia="zh-CN" w:bidi="ar-SA"/>
    </w:rPr>
    <w:tblPr/>
  </w:style>
  <w:style w:type="table" w:styleId="1038">
    <w:name w:val="Bordered &amp; Lined - Accent 5"/>
    <w:next w:val="1038"/>
    <w:link w:val="831"/>
    <w:uiPriority w:val="99"/>
    <w:qFormat/>
    <w:rPr>
      <w:color w:val="404040"/>
      <w:lang w:val="en-US" w:eastAsia="zh-CN" w:bidi="ar-SA"/>
    </w:rPr>
    <w:tblPr/>
  </w:style>
  <w:style w:type="table" w:styleId="1039">
    <w:name w:val="Bordered &amp; Lined - Accent 6"/>
    <w:next w:val="1039"/>
    <w:link w:val="831"/>
    <w:uiPriority w:val="99"/>
    <w:qFormat/>
    <w:rPr>
      <w:color w:val="404040"/>
      <w:lang w:val="en-US" w:eastAsia="zh-CN" w:bidi="ar-SA"/>
    </w:rPr>
    <w:tblPr/>
  </w:style>
  <w:style w:type="table" w:styleId="1040">
    <w:name w:val="Bordered"/>
    <w:next w:val="1040"/>
    <w:link w:val="831"/>
    <w:uiPriority w:val="99"/>
    <w:qFormat/>
    <w:rPr>
      <w:lang w:val="en-US" w:eastAsia="zh-CN" w:bidi="ar-SA"/>
    </w:rPr>
    <w:tblPr/>
  </w:style>
  <w:style w:type="table" w:styleId="1041">
    <w:name w:val="Bordered - Accent 1"/>
    <w:next w:val="1041"/>
    <w:link w:val="831"/>
    <w:uiPriority w:val="99"/>
    <w:qFormat/>
    <w:rPr>
      <w:lang w:val="en-US" w:eastAsia="zh-CN" w:bidi="ar-SA"/>
    </w:rPr>
    <w:tblPr/>
  </w:style>
  <w:style w:type="table" w:styleId="1042">
    <w:name w:val="Bordered - Accent 2"/>
    <w:next w:val="1042"/>
    <w:link w:val="831"/>
    <w:uiPriority w:val="99"/>
    <w:qFormat/>
    <w:rPr>
      <w:lang w:val="en-US" w:eastAsia="zh-CN" w:bidi="ar-SA"/>
    </w:rPr>
    <w:tblPr/>
  </w:style>
  <w:style w:type="table" w:styleId="1043">
    <w:name w:val="Bordered - Accent 3"/>
    <w:next w:val="1043"/>
    <w:link w:val="831"/>
    <w:uiPriority w:val="99"/>
    <w:qFormat/>
    <w:rPr>
      <w:lang w:val="en-US" w:eastAsia="zh-CN" w:bidi="ar-SA"/>
    </w:rPr>
    <w:tblPr/>
  </w:style>
  <w:style w:type="table" w:styleId="1044">
    <w:name w:val="Bordered - Accent 4"/>
    <w:next w:val="1044"/>
    <w:link w:val="831"/>
    <w:uiPriority w:val="99"/>
    <w:qFormat/>
    <w:rPr>
      <w:lang w:val="en-US" w:eastAsia="zh-CN" w:bidi="ar-SA"/>
    </w:rPr>
    <w:tblPr/>
  </w:style>
  <w:style w:type="table" w:styleId="1045">
    <w:name w:val="Bordered - Accent 5"/>
    <w:next w:val="1045"/>
    <w:link w:val="831"/>
    <w:uiPriority w:val="99"/>
    <w:qFormat/>
    <w:rPr>
      <w:lang w:val="en-US" w:eastAsia="zh-CN" w:bidi="ar-SA"/>
    </w:rPr>
    <w:tblPr/>
  </w:style>
  <w:style w:type="table" w:styleId="1046">
    <w:name w:val="Bordered - Accent 6"/>
    <w:next w:val="1046"/>
    <w:link w:val="831"/>
    <w:uiPriority w:val="99"/>
    <w:qFormat/>
    <w:rPr>
      <w:lang w:val="en-US" w:eastAsia="zh-CN" w:bidi="ar-SA"/>
    </w:rPr>
    <w:tblPr/>
  </w:style>
  <w:style w:type="paragraph" w:styleId="1047">
    <w:name w:val="TOC Heading"/>
    <w:next w:val="1047"/>
    <w:link w:val="831"/>
    <w:uiPriority w:val="39"/>
    <w:unhideWhenUsed/>
    <w:qFormat/>
    <w:rPr>
      <w:rFonts w:eastAsia="Arial"/>
      <w:sz w:val="21"/>
      <w:szCs w:val="22"/>
      <w:lang w:val="en-US" w:eastAsia="zh-CN" w:bidi="ar-SA"/>
    </w:rPr>
  </w:style>
  <w:style w:type="paragraph" w:styleId="1048">
    <w:name w:val="纯文本1"/>
    <w:basedOn w:val="831"/>
    <w:next w:val="1048"/>
    <w:link w:val="831"/>
    <w:qFormat/>
    <w:rPr>
      <w:rFonts w:ascii="宋体" w:hAnsi="Courier New" w:eastAsia="宋体"/>
      <w:sz w:val="28"/>
      <w:szCs w:val="28"/>
    </w:rPr>
  </w:style>
  <w:style w:type="paragraph" w:styleId="1049">
    <w:name w:val="索引 41"/>
    <w:basedOn w:val="831"/>
    <w:next w:val="831"/>
    <w:link w:val="831"/>
    <w:uiPriority w:val="99"/>
    <w:unhideWhenUsed/>
    <w:qFormat/>
    <w:pPr>
      <w:ind w:left="600"/>
    </w:pPr>
    <w:rPr>
      <w:rFonts w:ascii="Verdana" w:hAnsi="Verdana"/>
      <w:szCs w:val="20"/>
    </w:rPr>
  </w:style>
  <w:style w:type="paragraph" w:styleId="1050">
    <w:name w:val="首行缩进"/>
    <w:basedOn w:val="831"/>
    <w:next w:val="1050"/>
    <w:link w:val="831"/>
    <w:qFormat/>
    <w:pPr>
      <w:ind w:firstLine="480"/>
      <w:spacing w:line="360" w:lineRule="auto"/>
    </w:pPr>
    <w:rPr>
      <w:rFonts w:ascii="宋体" w:hAnsi="宋体"/>
      <w:sz w:val="24"/>
      <w:szCs w:val="24"/>
    </w:rPr>
  </w:style>
  <w:style w:type="paragraph" w:styleId="1051">
    <w:name w:val="修订"/>
    <w:next w:val="1051"/>
    <w:link w:val="831"/>
    <w:uiPriority w:val="99"/>
    <w:unhideWhenUsed/>
    <w:rPr>
      <w:rFonts w:eastAsia="Arial"/>
      <w:sz w:val="21"/>
      <w:szCs w:val="22"/>
      <w:lang w:val="en-US" w:eastAsia="zh-CN" w:bidi="ar-SA"/>
    </w:rPr>
  </w:style>
  <w:style w:type="paragraph" w:styleId="1052">
    <w:name w:val="AONormal"/>
    <w:next w:val="1052"/>
    <w:link w:val="831"/>
    <w:qFormat/>
    <w:pPr>
      <w:ind w:firstLine="440"/>
      <w:spacing w:line="400" w:lineRule="exact"/>
    </w:pPr>
    <w:rPr>
      <w:rFonts w:ascii="华文楷体" w:hAnsi="华文楷体" w:eastAsia="华文楷体" w:cs="华文楷体"/>
      <w:sz w:val="22"/>
      <w:szCs w:val="21"/>
      <w:lang w:val="en-US" w:eastAsia="zh-CN" w:bidi="ar-SA"/>
    </w:rPr>
  </w:style>
  <w:style w:type="table" w:styleId="1053">
    <w:name w:val="网格型1"/>
    <w:basedOn w:val="1054"/>
    <w:next w:val="1053"/>
    <w:link w:val="831"/>
    <w:uiPriority w:val="59"/>
    <w:qFormat/>
    <w:tblPr/>
  </w:style>
  <w:style w:type="table" w:styleId="1054">
    <w:name w:val="普通表格1"/>
    <w:next w:val="1054"/>
    <w:link w:val="831"/>
    <w:uiPriority w:val="99"/>
    <w:unhideWhenUsed/>
    <w:qFormat/>
    <w:rPr>
      <w:lang w:val="en-US" w:eastAsia="zh-CN" w:bidi="ar-SA"/>
    </w:rPr>
    <w:tblPr/>
  </w:style>
  <w:style w:type="paragraph" w:styleId="1055">
    <w:name w:val="标题 411"/>
    <w:basedOn w:val="831"/>
    <w:next w:val="831"/>
    <w:link w:val="831"/>
    <w:qFormat/>
    <w:pPr>
      <w:keepLines/>
      <w:keepNext/>
      <w:spacing w:before="280" w:after="290" w:line="376" w:lineRule="auto"/>
      <w:outlineLvl w:val="3"/>
    </w:pPr>
    <w:rPr>
      <w:rFonts w:ascii="Cambria" w:hAnsi="Cambria"/>
      <w:b/>
      <w:bCs/>
      <w:sz w:val="28"/>
      <w:szCs w:val="28"/>
    </w:rPr>
  </w:style>
  <w:style w:type="paragraph" w:styleId="1056">
    <w:name w:val="正文文本1"/>
    <w:basedOn w:val="831"/>
    <w:next w:val="1056"/>
    <w:link w:val="831"/>
    <w:qFormat/>
    <w:pPr>
      <w:jc w:val="both"/>
      <w:spacing w:line="500" w:lineRule="exact"/>
      <w:tabs>
        <w:tab w:val="left" w:pos="993" w:leader="none"/>
        <w:tab w:val="left" w:pos="1134" w:leader="none"/>
      </w:tabs>
    </w:pPr>
  </w:style>
  <w:style w:type="paragraph" w:styleId="1057">
    <w:name w:val="正文_0"/>
    <w:next w:val="1057"/>
    <w:link w:val="831"/>
    <w:qFormat/>
    <w:pPr>
      <w:jc w:val="both"/>
      <w:widowControl w:val="off"/>
    </w:pPr>
    <w:rPr>
      <w:rFonts w:ascii="Calibri" w:hAnsi="Calibri" w:cs="Calibri"/>
      <w:sz w:val="21"/>
      <w:szCs w:val="24"/>
      <w:lang w:val="en-US" w:eastAsia="zh-CN" w:bidi="ar-SA"/>
    </w:rPr>
  </w:style>
  <w:style w:type="paragraph" w:styleId="1058">
    <w:name w:val="页脚1"/>
    <w:basedOn w:val="831"/>
    <w:next w:val="1058"/>
    <w:link w:val="831"/>
    <w:uiPriority w:val="99"/>
    <w:qFormat/>
    <w:pPr>
      <w:tabs>
        <w:tab w:val="center" w:pos="4153" w:leader="none"/>
        <w:tab w:val="right" w:pos="8306" w:leader="none"/>
      </w:tabs>
    </w:pPr>
    <w:rPr>
      <w:sz w:val="18"/>
      <w:szCs w:val="18"/>
    </w:rPr>
  </w:style>
  <w:style w:type="character" w:styleId="1059" w:default="1">
    <w:name w:val="Default Paragraph Font"/>
    <w:uiPriority w:val="1"/>
    <w:semiHidden/>
    <w:unhideWhenUsed/>
  </w:style>
  <w:style w:type="numbering" w:styleId="1060" w:default="1">
    <w:name w:val="No List"/>
    <w:uiPriority w:val="99"/>
    <w:semiHidden/>
    <w:unhideWhenUsed/>
  </w:style>
  <w:style w:type="table" w:styleId="106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11111111</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jly</dc:creator>
  <cp:lastModifiedBy>汪丹丹</cp:lastModifiedBy>
  <cp:revision>6</cp:revision>
  <dcterms:created xsi:type="dcterms:W3CDTF">2026-05-18T07:27:00Z</dcterms:created>
  <dcterms:modified xsi:type="dcterms:W3CDTF">2026-05-26T07:56:31Z</dcterms:modified>
  <cp:version>983040</cp:version>
</cp:coreProperties>
</file>