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ageBreakBefore w:val="0"/>
        <w:spacing w:beforeAutospacing="0" w:afterAutospacing="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jc w:val="center"/>
        <w:pageBreakBefore w:val="0"/>
        <w:spacing w:beforeAutospacing="0" w:afterAutospacing="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left"/>
        <w:pageBreakBefore w:val="0"/>
        <w:spacing w:beforeAutospacing="0" w:afterAutospacing="0"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项目名称：江苏省消防救援总队全省器材装备采购项目</w:t>
      </w:r>
      <w:r>
        <w:rPr>
          <w:rFonts w:hint="eastAsia" w:ascii="Arial" w:hAnsi="Arial"/>
          <w:b/>
          <w:bCs/>
          <w:color w:val="000000"/>
          <w:sz w:val="32"/>
          <w:szCs w:val="24"/>
          <w:lang w:eastAsia="zh-CN"/>
        </w:rPr>
        <w:t xml:space="preserve">（</w:t>
      </w:r>
      <w:r>
        <w:rPr>
          <w:rFonts w:hint="eastAsia" w:ascii="Arial" w:hAnsi="Arial"/>
          <w:b/>
          <w:bCs/>
          <w:color w:val="000000"/>
          <w:sz w:val="32"/>
          <w:szCs w:val="24"/>
          <w:lang w:val="en-US" w:eastAsia="zh-CN"/>
        </w:rPr>
        <w:t xml:space="preserve">第二批次</w:t>
      </w:r>
      <w:r>
        <w:rPr>
          <w:rFonts w:hint="eastAsia" w:ascii="Arial" w:hAnsi="Arial"/>
          <w:b/>
          <w:bCs/>
          <w:color w:val="000000"/>
          <w:sz w:val="32"/>
          <w:szCs w:val="24"/>
          <w:lang w:eastAsia="zh-CN"/>
        </w:rPr>
        <w:t xml:space="preserve">）</w:t>
      </w:r>
      <w:r/>
    </w:p>
    <w:p>
      <w:pPr>
        <w:pageBreakBefore w:val="0"/>
        <w:spacing w:beforeAutospacing="0" w:afterAutospacing="0" w:line="360" w:lineRule="auto"/>
        <w:rPr>
          <w:rFonts w:ascii="Arial" w:hAnsi="Arial" w:eastAsia="宋体"/>
          <w:b/>
          <w:bCs/>
          <w:sz w:val="32"/>
          <w:szCs w:val="24"/>
          <w:lang w:val="en-US" w:eastAsia="zh-CN"/>
        </w:rPr>
      </w:pPr>
      <w:r>
        <w:rPr>
          <w:rFonts w:hint="eastAsia" w:ascii="Arial" w:hAnsi="Arial"/>
          <w:b/>
          <w:bCs/>
          <w:sz w:val="32"/>
          <w:szCs w:val="24"/>
          <w:lang w:eastAsia="zh-CN"/>
        </w:rPr>
        <w:t xml:space="preserve">采购编号</w:t>
      </w:r>
      <w:r>
        <w:rPr>
          <w:rFonts w:hint="eastAsia" w:ascii="Arial" w:hAnsi="Arial"/>
          <w:b/>
          <w:bCs/>
          <w:sz w:val="32"/>
          <w:szCs w:val="24"/>
        </w:rPr>
        <w:t xml:space="preserve">：JSZC-320000-SCZX-G2026-0197</w:t>
      </w:r>
      <w:r/>
    </w:p>
    <w:p>
      <w:pPr>
        <w:ind w:left="2800" w:hanging="2800"/>
        <w:pageBreakBefore w:val="0"/>
        <w:spacing w:beforeAutospacing="0" w:afterAutospacing="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pageBreakBefore w:val="0"/>
        <w:spacing w:beforeAutospacing="0" w:afterAutospacing="0" w:line="360" w:lineRule="auto"/>
        <w:rPr>
          <w:rFonts w:hint="eastAsia" w:ascii="宋体" w:hAnsi="宋体"/>
          <w:color w:val="000000"/>
          <w:sz w:val="24"/>
          <w:szCs w:val="24"/>
        </w:rPr>
      </w:pPr>
      <w:r>
        <w:rPr>
          <w:rFonts w:hint="eastAsia" w:ascii="宋体" w:hAnsi="宋体"/>
          <w:color w:val="000000"/>
          <w:sz w:val="24"/>
          <w:szCs w:val="24"/>
        </w:rPr>
      </w:r>
      <w:r/>
    </w:p>
    <w:p>
      <w:pPr>
        <w:jc w:val="left"/>
        <w:pageBreakBefore w:val="0"/>
        <w:spacing w:beforeAutospacing="0" w:afterAutospacing="0" w:line="360" w:lineRule="auto"/>
        <w:rPr>
          <w:rFonts w:hint="eastAsia" w:ascii="宋体" w:hAnsi="宋体"/>
          <w:color w:val="000000"/>
          <w:sz w:val="24"/>
          <w:szCs w:val="24"/>
        </w:rPr>
      </w:pPr>
      <w:r>
        <w:rPr>
          <w:rFonts w:hint="eastAsia" w:ascii="宋体" w:hAnsi="宋体"/>
          <w:color w:val="000000"/>
          <w:sz w:val="24"/>
          <w:szCs w:val="24"/>
        </w:rPr>
      </w:r>
      <w:r/>
    </w:p>
    <w:p>
      <w:pPr>
        <w:jc w:val="left"/>
        <w:pageBreakBefore w:val="0"/>
        <w:spacing w:beforeAutospacing="0" w:afterAutospacing="0" w:line="360" w:lineRule="auto"/>
        <w:rPr>
          <w:rFonts w:hint="eastAsia" w:ascii="宋体" w:hAnsi="宋体"/>
          <w:color w:val="000000"/>
          <w:sz w:val="24"/>
          <w:szCs w:val="24"/>
        </w:rPr>
      </w:pPr>
      <w:r>
        <w:rPr>
          <w:rFonts w:hint="eastAsia" w:ascii="宋体" w:hAnsi="宋体"/>
          <w:color w:val="000000"/>
          <w:sz w:val="24"/>
          <w:szCs w:val="24"/>
        </w:rPr>
      </w:r>
      <w:r/>
    </w:p>
    <w:p>
      <w:pPr>
        <w:jc w:val="left"/>
        <w:pageBreakBefore w:val="0"/>
        <w:spacing w:beforeAutospacing="0" w:afterAutospacing="0" w:line="360" w:lineRule="auto"/>
        <w:rPr>
          <w:rFonts w:hint="eastAsia" w:ascii="宋体" w:hAnsi="宋体"/>
          <w:color w:val="000000"/>
          <w:sz w:val="24"/>
          <w:szCs w:val="24"/>
        </w:rPr>
      </w:pPr>
      <w:r>
        <w:rPr>
          <w:rFonts w:hint="eastAsia" w:ascii="宋体" w:hAnsi="宋体"/>
          <w:color w:val="000000"/>
          <w:sz w:val="24"/>
          <w:szCs w:val="24"/>
        </w:rPr>
      </w:r>
      <w:r/>
    </w:p>
    <w:p>
      <w:pPr>
        <w:jc w:val="left"/>
        <w:pageBreakBefore w:val="0"/>
        <w:spacing w:beforeAutospacing="0" w:afterAutospacing="0" w:line="360" w:lineRule="auto"/>
        <w:rPr>
          <w:rFonts w:hint="eastAsia" w:ascii="宋体" w:hAnsi="宋体"/>
          <w:color w:val="000000"/>
          <w:sz w:val="24"/>
          <w:szCs w:val="24"/>
        </w:rPr>
      </w:pPr>
      <w:r>
        <w:rPr>
          <w:rFonts w:hint="eastAsia" w:ascii="宋体" w:hAnsi="宋体"/>
          <w:color w:val="000000"/>
          <w:sz w:val="24"/>
          <w:szCs w:val="24"/>
        </w:rPr>
      </w:r>
      <w:r/>
    </w:p>
    <w:p>
      <w:pPr>
        <w:jc w:val="center"/>
        <w:pageBreakBefore w:val="0"/>
        <w:spacing w:beforeAutospacing="0" w:afterAutospacing="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p>
    <w:p>
      <w:pPr>
        <w:jc w:val="center"/>
        <w:pageBreakBefore w:val="0"/>
        <w:spacing w:beforeAutospacing="0" w:afterAutospacing="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月</w:t>
      </w:r>
      <w:r/>
    </w:p>
    <w:p>
      <w:pPr>
        <w:jc w:val="left"/>
        <w:pageBreakBefore w:val="0"/>
        <w:spacing w:beforeAutospacing="0" w:afterAutospacing="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pageBreakBefore w:val="0"/>
        <w:spacing w:beforeAutospacing="0" w:afterAutospacing="0" w:line="360" w:lineRule="auto"/>
        <w:rPr>
          <w:rFonts w:hint="eastAsia" w:ascii="Arial" w:hAnsi="Arial"/>
          <w:color w:val="000000"/>
          <w:sz w:val="24"/>
          <w:szCs w:val="24"/>
        </w:rPr>
      </w:pPr>
      <w:r>
        <w:rPr>
          <w:rFonts w:hint="eastAsia" w:ascii="Arial" w:hAnsi="Arial"/>
          <w:color w:val="000000"/>
          <w:sz w:val="24"/>
          <w:szCs w:val="24"/>
        </w:rPr>
      </w:r>
      <w:r/>
    </w:p>
    <w:p>
      <w:pPr>
        <w:jc w:val="center"/>
        <w:pageBreakBefore w:val="0"/>
        <w:spacing w:beforeAutospacing="0" w:afterAutospacing="0"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黑体" w:hAnsi="Arial" w:eastAsia="黑体"/>
          <w:b/>
          <w:color w:val="000000"/>
          <w:sz w:val="44"/>
          <w:szCs w:val="21"/>
        </w:rPr>
        <w:t xml:space="preserve">总  目  录</w:t>
      </w:r>
      <w:r/>
    </w:p>
    <w:p>
      <w:pPr>
        <w:pageBreakBefore w:val="0"/>
        <w:spacing w:beforeAutospacing="0" w:afterAutospacing="0"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pageBreakBefore w:val="0"/>
        <w:spacing w:beforeAutospacing="0" w:afterAutospacing="0"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p>
    <w:p>
      <w:pPr>
        <w:numPr>
          <w:ilvl w:val="0"/>
          <w:numId w:val="4"/>
        </w:numPr>
        <w:pageBreakBefore w:val="0"/>
        <w:spacing w:beforeAutospacing="0" w:afterAutospacing="0"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p>
    <w:p>
      <w:pPr>
        <w:numPr>
          <w:ilvl w:val="0"/>
          <w:numId w:val="4"/>
        </w:numPr>
        <w:pageBreakBefore w:val="0"/>
        <w:spacing w:beforeAutospacing="0" w:afterAutospacing="0"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……………………………………16</w:t>
      </w:r>
      <w:r/>
    </w:p>
    <w:p>
      <w:pPr>
        <w:numPr>
          <w:ilvl w:val="0"/>
          <w:numId w:val="4"/>
        </w:numPr>
        <w:pageBreakBefore w:val="0"/>
        <w:spacing w:beforeAutospacing="0" w:afterAutospacing="0"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38</w:t>
      </w:r>
      <w:r/>
    </w:p>
    <w:p>
      <w:pPr>
        <w:numPr>
          <w:ilvl w:val="0"/>
          <w:numId w:val="4"/>
        </w:numPr>
        <w:pageBreakBefore w:val="0"/>
        <w:spacing w:beforeAutospacing="0" w:afterAutospacing="0"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52</w:t>
      </w:r>
      <w:r/>
    </w:p>
    <w:p>
      <w:pPr>
        <w:numPr>
          <w:ilvl w:val="0"/>
          <w:numId w:val="4"/>
        </w:numPr>
        <w:pageBreakBefore w:val="0"/>
        <w:spacing w:beforeAutospacing="0" w:afterAutospacing="0"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75</w:t>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jc w:val="center"/>
        <w:keepNext/>
        <w:pageBreakBefore w:val="0"/>
        <w:spacing w:beforeAutospacing="0" w:afterAutospacing="0"/>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受江苏省消防救援总队的委托，江苏省政府采购中心就江苏省消防救援总队全省器材装备采购</w:t>
      </w:r>
      <w:r>
        <w:rPr>
          <w:rFonts w:hint="eastAsia" w:ascii="宋体" w:hAnsi="宋体"/>
          <w:color w:val="000000"/>
          <w:sz w:val="24"/>
          <w:szCs w:val="24"/>
        </w:rPr>
        <w:t xml:space="preserve">项目（第二批次）</w:t>
      </w:r>
      <w:r>
        <w:rPr>
          <w:rFonts w:hint="eastAsia" w:ascii="宋体" w:hAnsi="宋体"/>
          <w:color w:val="000000"/>
          <w:sz w:val="24"/>
          <w:szCs w:val="24"/>
        </w:rPr>
        <w:t xml:space="preserve">(JSZC-320000-SCZX-G2026-0197)项目进行公开招标采购，欢迎符合条件的供应商投标。</w:t>
      </w:r>
      <w:r/>
    </w:p>
    <w:p>
      <w:pPr>
        <w:ind w:firstLine="480"/>
        <w:pageBreakBefore w:val="0"/>
        <w:spacing w:beforeAutospacing="0" w:afterAutospacing="0"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pageBreakBefore w:val="0"/>
        <w:spacing w:beforeAutospacing="0" w:afterAutospacing="0"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江苏省消防救援总队全省器材装备采购</w:t>
      </w:r>
      <w:r>
        <w:rPr>
          <w:rFonts w:hint="eastAsia" w:ascii="宋体" w:hAnsi="宋体"/>
          <w:color w:val="000000"/>
          <w:sz w:val="24"/>
          <w:szCs w:val="24"/>
          <w:u w:val="single"/>
        </w:rPr>
        <w:t xml:space="preserve">项目</w:t>
      </w:r>
      <w:r>
        <w:rPr>
          <w:rFonts w:hint="eastAsia" w:ascii="宋体" w:hAnsi="宋体"/>
          <w:color w:val="000000"/>
          <w:sz w:val="24"/>
          <w:szCs w:val="24"/>
          <w:u w:val="single"/>
        </w:rPr>
        <w:t xml:space="preserve">（第二批次）</w:t>
      </w:r>
      <w:r>
        <w:rPr>
          <w:rFonts w:hint="eastAsia" w:ascii="宋体" w:hAnsi="宋体"/>
          <w:color w:val="000000"/>
          <w:sz w:val="24"/>
          <w:szCs w:val="24"/>
          <w:u w:val="single"/>
        </w:rPr>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2026 </w:t>
      </w:r>
      <w:r>
        <w:rPr>
          <w:rFonts w:hint="eastAsia" w:ascii="宋体" w:hAnsi="宋体"/>
          <w:bCs/>
          <w:color w:val="000000"/>
          <w:sz w:val="24"/>
          <w:szCs w:val="24"/>
          <w:u w:val="single"/>
        </w:rPr>
        <w:t xml:space="preserve">年 7 月 22</w:t>
      </w:r>
      <w:r>
        <w:rPr>
          <w:rFonts w:hint="eastAsia" w:ascii="宋体" w:hAnsi="宋体"/>
          <w:bCs/>
          <w:color w:val="000000"/>
          <w:sz w:val="24"/>
          <w:szCs w:val="24"/>
          <w:u w:val="single"/>
        </w:rPr>
        <w:t xml:space="preserve"> 日 9 点30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pageBreakBefore w:val="0"/>
        <w:spacing w:beforeAutospacing="0" w:afterAutospacing="0" w:line="400" w:lineRule="exact"/>
        <w:rPr>
          <w:rFonts w:ascii="Times New Roman" w:hAnsi="Times New Roman"/>
          <w:b/>
          <w:bCs/>
          <w:color w:val="000000"/>
          <w:sz w:val="32"/>
          <w:szCs w:val="32"/>
        </w:rPr>
        <w:outlineLvl w:val="2"/>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pageBreakBefore w:val="0"/>
        <w:spacing w:beforeAutospacing="0" w:afterAutospacing="0" w:line="400" w:lineRule="exact"/>
        <w:rPr>
          <w:rFonts w:ascii="宋体" w:hAnsi="宋体" w:eastAsia="宋体" w:cs="Times New Roman"/>
          <w:color w:val="000000"/>
          <w:sz w:val="24"/>
          <w:szCs w:val="24"/>
          <w:lang w:val="en-US" w:eastAsia="zh-CN"/>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JSZC-320000-</w:t>
      </w:r>
      <w:r>
        <w:rPr>
          <w:rFonts w:hint="eastAsia" w:ascii="宋体" w:hAnsi="宋体" w:eastAsia="宋体" w:cs="Times New Roman"/>
          <w:color w:val="000000"/>
          <w:sz w:val="24"/>
          <w:szCs w:val="24"/>
          <w:lang w:val="en-US" w:eastAsia="zh-CN"/>
        </w:rPr>
        <w:t xml:space="preserve">SCZX-G2026-0197</w:t>
      </w:r>
      <w:r/>
    </w:p>
    <w:p>
      <w:pPr>
        <w:ind w:firstLine="480"/>
        <w:pageBreakBefore w:val="0"/>
        <w:spacing w:beforeAutospacing="0" w:afterAutospacing="0" w:line="400" w:lineRule="exact"/>
        <w:rPr>
          <w:rFonts w:ascii="宋体" w:hAnsi="宋体"/>
          <w:color w:val="000000"/>
          <w:sz w:val="28"/>
          <w:szCs w:val="28"/>
        </w:rPr>
      </w:pPr>
      <w:r>
        <w:rPr>
          <w:rFonts w:hint="eastAsia" w:ascii="宋体" w:hAnsi="宋体"/>
          <w:color w:val="000000"/>
          <w:sz w:val="24"/>
          <w:szCs w:val="24"/>
        </w:rPr>
        <w:t xml:space="preserve">2.项目名称：江苏省消防救援总队全省器材装备采购项目</w:t>
      </w:r>
      <w:bookmarkEnd w:id="11"/>
      <w:r>
        <w:rPr>
          <w:rFonts w:hint="eastAsia" w:ascii="宋体" w:hAnsi="宋体"/>
          <w:color w:val="000000"/>
          <w:sz w:val="24"/>
          <w:szCs w:val="24"/>
        </w:rPr>
        <w:t xml:space="preserve">（</w:t>
      </w:r>
      <w:r>
        <w:rPr>
          <w:rFonts w:hint="eastAsia" w:ascii="宋体" w:hAnsi="宋体"/>
          <w:color w:val="000000"/>
          <w:sz w:val="24"/>
          <w:szCs w:val="24"/>
        </w:rPr>
        <w:t xml:space="preserve">第二批次</w:t>
      </w:r>
      <w:r>
        <w:rPr>
          <w:rFonts w:hint="eastAsia" w:ascii="宋体" w:hAnsi="宋体"/>
          <w:color w:val="000000"/>
          <w:sz w:val="24"/>
          <w:szCs w:val="24"/>
        </w:rPr>
        <w:t xml:space="preserve">）</w:t>
      </w:r>
      <w:r>
        <w:rPr>
          <w:rFonts w:hint="eastAsia" w:ascii="宋体" w:hAnsi="宋体"/>
          <w:color w:val="000000"/>
          <w:sz w:val="24"/>
          <w:szCs w:val="24"/>
        </w:rPr>
      </w:r>
      <w:r>
        <w:rPr>
          <w:sz w:val="22"/>
          <w:szCs w:val="24"/>
        </w:rPr>
      </w:r>
    </w:p>
    <w:p>
      <w:pPr>
        <w:ind w:firstLine="480"/>
        <w:pageBreakBefore w:val="0"/>
        <w:spacing w:beforeAutospacing="0" w:afterAutospacing="0" w:line="400" w:lineRule="exact"/>
        <w:rPr>
          <w:rFonts w:ascii="宋体" w:hAnsi="宋体"/>
          <w:sz w:val="24"/>
          <w:szCs w:val="24"/>
        </w:rPr>
      </w:pPr>
      <w:r>
        <w:rPr>
          <w:rFonts w:hint="eastAsia" w:ascii="宋体" w:hAnsi="宋体"/>
          <w:sz w:val="24"/>
          <w:szCs w:val="24"/>
        </w:rPr>
        <w:t xml:space="preserve">3.预算金额</w:t>
      </w:r>
      <w:r/>
    </w:p>
    <w:tbl>
      <w:tblPr>
        <w:tblStyle w:val="719"/>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pageBreakBefore w:val="0"/>
              <w:spacing w:beforeAutospacing="0" w:afterAutospacing="0" w:line="0" w:lineRule="atLeast"/>
              <w:rPr>
                <w:rFonts w:ascii="宋体" w:hAnsi="宋体"/>
                <w:sz w:val="24"/>
                <w:szCs w:val="24"/>
              </w:rPr>
            </w:pPr>
            <w:r>
              <w:rPr>
                <w:rFonts w:hint="eastAsia" w:ascii="宋体" w:hAnsi="宋体"/>
                <w:sz w:val="24"/>
                <w:szCs w:val="24"/>
              </w:rPr>
              <w:t xml:space="preserve">采购</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pageBreakBefore w:val="0"/>
              <w:spacing w:beforeAutospacing="0" w:afterAutospacing="0"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pageBreakBefore w:val="0"/>
              <w:spacing w:beforeAutospacing="0" w:afterAutospacing="0"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55.984</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2</w:t>
            </w:r>
            <w:r/>
          </w:p>
        </w:tc>
        <w:tc>
          <w:tcPr>
            <w:tcW w:w="2800" w:type="dxa"/>
            <w:vAlign w:val="top"/>
            <w:textDirection w:val="lrTb"/>
            <w:noWrap w:val="false"/>
          </w:tcPr>
          <w:p>
            <w:pPr>
              <w:jc w:val="center"/>
              <w:pageBreakBefore w:val="0"/>
              <w:spacing w:beforeAutospacing="0" w:afterAutospacing="0"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48.51</w:t>
            </w:r>
            <w:r/>
          </w:p>
        </w:tc>
      </w:tr>
      <w:tr>
        <w:trPr/>
        <w:tc>
          <w:tcPr>
            <w:tcW w:w="1148"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lang w:val="en-US" w:eastAsia="zh-CN"/>
              </w:rPr>
              <w:t xml:space="preserve">3</w:t>
            </w:r>
            <w:r/>
          </w:p>
        </w:tc>
        <w:tc>
          <w:tcPr>
            <w:tcW w:w="2800" w:type="dxa"/>
            <w:vAlign w:val="top"/>
            <w:textDirection w:val="lrTb"/>
            <w:noWrap w:val="false"/>
          </w:tcPr>
          <w:p>
            <w:pPr>
              <w:jc w:val="center"/>
              <w:pageBreakBefore w:val="0"/>
              <w:spacing w:beforeAutospacing="0" w:afterAutospacing="0"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45</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lang w:val="en-US" w:eastAsia="zh-CN"/>
              </w:rPr>
              <w:t xml:space="preserve">4</w:t>
            </w:r>
            <w:r/>
          </w:p>
        </w:tc>
        <w:tc>
          <w:tcPr>
            <w:tcW w:w="2800" w:type="dxa"/>
            <w:vAlign w:val="top"/>
            <w:textDirection w:val="lrTb"/>
            <w:noWrap w:val="false"/>
          </w:tcPr>
          <w:p>
            <w:pPr>
              <w:jc w:val="center"/>
              <w:pageBreakBefore w:val="0"/>
              <w:spacing w:beforeAutospacing="0" w:afterAutospacing="0"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84</w:t>
            </w:r>
            <w:r/>
          </w:p>
        </w:tc>
      </w:tr>
    </w:tbl>
    <w:p>
      <w:pPr>
        <w:numPr>
          <w:ilvl w:val="0"/>
          <w:numId w:val="5"/>
        </w:numPr>
        <w:ind w:firstLine="480"/>
        <w:pageBreakBefore w:val="0"/>
        <w:spacing w:beforeAutospacing="0" w:afterAutospacing="0"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w:t>
      </w:r>
      <w:r/>
    </w:p>
    <w:tbl>
      <w:tblPr>
        <w:tblStyle w:val="719"/>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numPr>
                <w:ilvl w:val="0"/>
                <w:numId w:val="0"/>
              </w:numPr>
              <w:pageBreakBefore w:val="0"/>
              <w:spacing w:beforeAutospacing="0" w:afterAutospacing="0" w:line="400" w:lineRule="exact"/>
              <w:rPr>
                <w:rFonts w:ascii="宋体" w:hAnsi="宋体"/>
                <w:sz w:val="24"/>
                <w:szCs w:val="24"/>
              </w:rPr>
            </w:pPr>
            <w:r>
              <w:rPr>
                <w:rFonts w:hint="eastAsia" w:ascii="方正魏碑_GBK" w:hAnsi="方正魏碑_GBK" w:eastAsia="方正魏碑_GBK" w:cs="方正魏碑_GBK"/>
                <w:color w:val="000000"/>
                <w:sz w:val="24"/>
                <w:szCs w:val="24"/>
                <w:lang w:val="en-US" w:eastAsia="zh-CN"/>
              </w:rPr>
              <w:t xml:space="preserve">  </w:t>
            </w:r>
            <w:r>
              <w:rPr>
                <w:rFonts w:hint="eastAsia" w:ascii="宋体" w:hAnsi="宋体"/>
                <w:sz w:val="24"/>
                <w:szCs w:val="24"/>
              </w:rPr>
              <w:t xml:space="preserve">采购</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pageBreakBefore w:val="0"/>
              <w:spacing w:beforeAutospacing="0" w:afterAutospacing="0"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1</w:t>
            </w:r>
            <w:r/>
          </w:p>
        </w:tc>
        <w:tc>
          <w:tcPr>
            <w:shd w:val="clear" w:color="auto" w:fill="auto"/>
            <w:tcW w:w="2800" w:type="dxa"/>
            <w:vAlign w:val="top"/>
            <w:textDirection w:val="lrTb"/>
            <w:noWrap w:val="false"/>
          </w:tcPr>
          <w:p>
            <w:pPr>
              <w:jc w:val="center"/>
              <w:pageBreakBefore w:val="0"/>
              <w:spacing w:beforeAutospacing="0" w:afterAutospacing="0" w:line="0" w:lineRule="atLeast"/>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55.984</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2</w:t>
            </w:r>
            <w:r/>
          </w:p>
        </w:tc>
        <w:tc>
          <w:tcPr>
            <w:shd w:val="clear" w:color="auto" w:fill="auto"/>
            <w:tcW w:w="2800" w:type="dxa"/>
            <w:vAlign w:val="top"/>
            <w:textDirection w:val="lrTb"/>
            <w:noWrap w:val="false"/>
          </w:tcPr>
          <w:p>
            <w:pPr>
              <w:jc w:val="center"/>
              <w:pageBreakBefore w:val="0"/>
              <w:spacing w:beforeAutospacing="0" w:afterAutospacing="0" w:line="0" w:lineRule="atLeast"/>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48.51</w:t>
            </w:r>
            <w:r/>
          </w:p>
        </w:tc>
      </w:tr>
      <w:tr>
        <w:trPr/>
        <w:tc>
          <w:tcPr>
            <w:tcW w:w="1148"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lang w:val="en-US" w:eastAsia="zh-CN"/>
              </w:rPr>
              <w:t xml:space="preserve">3</w:t>
            </w:r>
            <w:r/>
          </w:p>
        </w:tc>
        <w:tc>
          <w:tcPr>
            <w:shd w:val="clear" w:color="auto" w:fill="auto"/>
            <w:tcW w:w="2800" w:type="dxa"/>
            <w:vAlign w:val="top"/>
            <w:textDirection w:val="lrTb"/>
            <w:noWrap w:val="false"/>
          </w:tcPr>
          <w:p>
            <w:pPr>
              <w:jc w:val="center"/>
              <w:pageBreakBefore w:val="0"/>
              <w:spacing w:beforeAutospacing="0" w:afterAutospacing="0" w:line="0" w:lineRule="atLeast"/>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45</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lang w:val="en-US" w:eastAsia="zh-CN"/>
              </w:rPr>
              <w:t xml:space="preserve">4</w:t>
            </w:r>
            <w:r/>
          </w:p>
        </w:tc>
        <w:tc>
          <w:tcPr>
            <w:shd w:val="clear" w:color="auto" w:fill="auto"/>
            <w:tcW w:w="2800" w:type="dxa"/>
            <w:vAlign w:val="top"/>
            <w:textDirection w:val="lrTb"/>
            <w:noWrap w:val="false"/>
          </w:tcPr>
          <w:p>
            <w:pPr>
              <w:jc w:val="center"/>
              <w:pageBreakBefore w:val="0"/>
              <w:spacing w:beforeAutospacing="0" w:afterAutospacing="0" w:line="0" w:lineRule="atLeast"/>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84</w:t>
            </w:r>
            <w:r/>
          </w:p>
        </w:tc>
      </w:tr>
    </w:tbl>
    <w:p>
      <w:pPr>
        <w:ind w:firstLine="480"/>
        <w:pageBreakBefore w:val="0"/>
        <w:spacing w:beforeAutospacing="0" w:afterAutospacing="0"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5.采购需求(简介)：江苏省消防救援总队</w:t>
      </w:r>
      <w:r>
        <w:rPr>
          <w:rFonts w:hint="eastAsia" w:ascii="宋体" w:hAnsi="宋体"/>
          <w:color w:val="000000"/>
          <w:sz w:val="24"/>
          <w:szCs w:val="24"/>
          <w:highlight w:val="none"/>
          <w:lang w:val="en-US" w:eastAsia="zh-CN"/>
        </w:rPr>
        <w:t xml:space="preserve">进行</w:t>
      </w:r>
      <w:r>
        <w:rPr>
          <w:rFonts w:hint="eastAsia" w:ascii="宋体" w:hAnsi="宋体"/>
          <w:color w:val="000000"/>
          <w:sz w:val="24"/>
          <w:szCs w:val="24"/>
          <w:highlight w:val="none"/>
        </w:rPr>
        <w:t xml:space="preserve">全省器材装备采购</w:t>
      </w:r>
      <w:r>
        <w:rPr>
          <w:rFonts w:hint="eastAsia" w:ascii="宋体" w:hAnsi="宋体"/>
          <w:color w:val="000000"/>
          <w:sz w:val="24"/>
          <w:szCs w:val="24"/>
          <w:highlight w:val="none"/>
          <w:lang w:eastAsia="zh-CN"/>
        </w:rPr>
        <w:t xml:space="preserve">。</w:t>
      </w:r>
      <w:r>
        <w:rPr>
          <w:rFonts w:hint="eastAsia" w:ascii="宋体" w:hAnsi="宋体" w:cs="宋体"/>
          <w:color w:val="000000"/>
          <w:sz w:val="24"/>
          <w:szCs w:val="24"/>
          <w:highlight w:val="none"/>
        </w:rPr>
        <w:t xml:space="preserve">（详细内容见本招标文件第四章）</w:t>
      </w:r>
      <w:r/>
    </w:p>
    <w:p>
      <w:pPr>
        <w:ind w:firstLine="480"/>
        <w:pageBreakBefore w:val="0"/>
        <w:spacing w:beforeAutospacing="0" w:afterAutospacing="0" w:line="400" w:lineRule="exact"/>
        <w:rPr>
          <w:rFonts w:ascii="宋体" w:hAnsi="宋体"/>
          <w:color w:val="000000"/>
          <w:sz w:val="24"/>
          <w:szCs w:val="24"/>
          <w:highlight w:val="yellow"/>
          <w:u w:val="single"/>
        </w:rPr>
      </w:pPr>
      <w:r>
        <w:rPr>
          <w:rFonts w:hint="eastAsia" w:ascii="宋体" w:hAnsi="宋体"/>
          <w:color w:val="000000"/>
          <w:sz w:val="24"/>
          <w:szCs w:val="24"/>
          <w:highlight w:val="none"/>
        </w:rPr>
        <w:t xml:space="preserve">6.合同履行期限：</w:t>
      </w:r>
      <w:r>
        <w:rPr>
          <w:rFonts w:ascii="宋体" w:hAnsi="宋体" w:eastAsia="宋体" w:cs="Times New Roman"/>
          <w:color w:val="000000"/>
          <w:sz w:val="24"/>
          <w:szCs w:val="24"/>
          <w:highlight w:val="none"/>
        </w:rPr>
        <w:t xml:space="preserve">签订合同后60日内将货物送达指定地点。</w:t>
      </w:r>
      <w:r/>
    </w:p>
    <w:p>
      <w:pPr>
        <w:ind w:firstLine="496"/>
        <w:keepLines/>
        <w:keepNext/>
        <w:pageBreakBefore w:val="0"/>
        <w:spacing w:beforeAutospacing="0" w:afterAutospacing="0" w:line="360" w:lineRule="auto"/>
        <w:rPr>
          <w:rFonts w:ascii="Times New Roman" w:hAnsi="Times New Roman"/>
          <w:b/>
          <w:bCs/>
          <w:color w:val="000000"/>
          <w:sz w:val="32"/>
          <w:szCs w:val="32"/>
        </w:rPr>
        <w:outlineLvl w:val="2"/>
      </w:pPr>
      <w:r/>
      <w:bookmarkStart w:id="12" w:name="_Toc35393791"/>
      <w:r/>
      <w:bookmarkStart w:id="13" w:name="_Toc28359080"/>
      <w:r/>
      <w:bookmarkStart w:id="14" w:name="_Toc35393622"/>
      <w:r/>
      <w:bookmarkStart w:id="15" w:name="_Toc38985264"/>
      <w:r/>
      <w:bookmarkStart w:id="16" w:name="_Toc28359003"/>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
    </w:p>
    <w:p>
      <w:pPr>
        <w:ind w:firstLine="560"/>
        <w:pageBreakBefore w:val="0"/>
        <w:spacing w:beforeAutospacing="0" w:afterAutospacing="0" w:line="400" w:lineRule="exact"/>
        <w:rPr>
          <w:rFonts w:hint="eastAsia" w:ascii="宋体" w:hAnsi="宋体"/>
          <w:color w:val="000000"/>
          <w:sz w:val="28"/>
          <w:szCs w:val="28"/>
        </w:rPr>
      </w:pPr>
      <w:r/>
      <w:bookmarkStart w:id="17" w:name="_Toc28359081"/>
      <w:r/>
      <w:bookmarkStart w:id="18" w:name="_Toc28359004"/>
      <w:r/>
      <w:bookmarkStart w:id="19" w:name="_Toc35393623"/>
      <w:r/>
      <w:bookmarkStart w:id="20" w:name="_Toc38985265"/>
      <w:r/>
      <w:bookmarkStart w:id="21" w:name="_Toc35393792"/>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pageBreakBefore w:val="0"/>
        <w:spacing w:beforeAutospacing="0" w:afterAutospacing="0"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1.6</w:t>
      </w:r>
      <w:r>
        <w:rPr>
          <w:rFonts w:hint="eastAsia" w:ascii="宋体" w:hAnsi="宋体" w:eastAsia="宋体" w:cs="Times New Roman"/>
          <w:b w:val="0"/>
          <w:bCs w:val="0"/>
          <w:color w:val="000000"/>
          <w:sz w:val="24"/>
          <w:szCs w:val="24"/>
          <w:highlight w:val="none"/>
        </w:rPr>
        <w:t xml:space="preserve">投标人参加本次政府采购活动前3年内无涉及行贿等重大违法案件</w:t>
      </w:r>
      <w:r>
        <w:rPr>
          <w:rFonts w:hint="eastAsia" w:ascii="宋体" w:hAnsi="宋体" w:eastAsia="宋体" w:cs="Times New Roman"/>
          <w:b w:val="0"/>
          <w:bCs w:val="0"/>
          <w:color w:val="000000"/>
          <w:sz w:val="24"/>
          <w:szCs w:val="24"/>
          <w:highlight w:val="none"/>
          <w:lang w:val="en-US" w:eastAsia="zh-CN"/>
        </w:rPr>
        <w:t xml:space="preserve">声明</w:t>
      </w:r>
      <w:r/>
    </w:p>
    <w:p>
      <w:pPr>
        <w:ind w:firstLine="480"/>
        <w:pageBreakBefore w:val="0"/>
        <w:spacing w:beforeAutospacing="0" w:afterAutospacing="0"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pageBreakBefore w:val="0"/>
        <w:spacing w:beforeAutospacing="0" w:afterAutospacing="0" w:line="400" w:lineRule="exact"/>
        <w:rPr>
          <w:rFonts w:ascii="宋体" w:hAnsi="宋体" w:cs="宋体"/>
          <w:sz w:val="24"/>
          <w:szCs w:val="24"/>
        </w:rPr>
      </w:pPr>
      <w:r>
        <w:rPr>
          <w:rFonts w:hint="eastAsia" w:ascii="宋体" w:hAnsi="宋体"/>
          <w:sz w:val="24"/>
          <w:szCs w:val="24"/>
        </w:rPr>
        <w:t xml:space="preserve">3.落实政府采购政策需满足的资格要求：本项目采购包</w:t>
      </w:r>
      <w:r>
        <w:rPr>
          <w:rFonts w:hint="eastAsia" w:ascii="宋体" w:hAnsi="宋体"/>
          <w:sz w:val="24"/>
          <w:szCs w:val="24"/>
          <w:lang w:val="en-US" w:eastAsia="zh-CN"/>
        </w:rPr>
        <w:t xml:space="preserve">号1、2</w:t>
      </w:r>
      <w:r>
        <w:rPr>
          <w:rFonts w:hint="eastAsia" w:ascii="宋体" w:hAnsi="宋体"/>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pageBreakBefore w:val="0"/>
        <w:spacing w:beforeAutospacing="0" w:afterAutospacing="0"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19"/>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采购</w:t>
            </w:r>
            <w:r/>
          </w:p>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pageBreakBefore w:val="0"/>
              <w:spacing w:beforeAutospacing="0" w:afterAutospacing="0"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1</w:t>
            </w:r>
            <w:r/>
          </w:p>
        </w:tc>
        <w:tc>
          <w:tcPr>
            <w:tcW w:w="2968" w:type="dxa"/>
            <w:vAlign w:val="top"/>
            <w:textDirection w:val="lrTb"/>
            <w:noWrap w:val="false"/>
          </w:tcPr>
          <w:p>
            <w:pPr>
              <w:jc w:val="center"/>
              <w:pageBreakBefore w:val="0"/>
              <w:spacing w:beforeAutospacing="0" w:afterAutospacing="0"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2967"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2</w:t>
            </w:r>
            <w:r/>
          </w:p>
        </w:tc>
        <w:tc>
          <w:tcPr>
            <w:tcW w:w="296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3</w:t>
            </w:r>
            <w:r/>
          </w:p>
        </w:tc>
        <w:tc>
          <w:tcPr>
            <w:tcW w:w="296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296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w:t>
            </w:r>
            <w:r/>
          </w:p>
        </w:tc>
      </w:tr>
    </w:tbl>
    <w:p>
      <w:pPr>
        <w:ind w:firstLine="560"/>
        <w:pageBreakBefore w:val="0"/>
        <w:spacing w:beforeAutospacing="0" w:afterAutospacing="0" w:line="40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p>
    <w:tbl>
      <w:tblPr>
        <w:tblStyle w:val="719"/>
        <w:tblW w:w="706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highlight w:val="none"/>
              </w:rPr>
            </w:pPr>
            <w:r>
              <w:rPr>
                <w:rFonts w:hint="eastAsia" w:ascii="宋体" w:hAnsi="宋体"/>
                <w:sz w:val="24"/>
                <w:szCs w:val="24"/>
                <w:highlight w:val="none"/>
              </w:rPr>
              <w:t xml:space="preserve">采购</w:t>
            </w:r>
            <w:r/>
          </w:p>
          <w:p>
            <w:pPr>
              <w:jc w:val="center"/>
              <w:pageBreakBefore w:val="0"/>
              <w:spacing w:beforeAutospacing="0" w:afterAutospacing="0" w:line="400" w:lineRule="exact"/>
              <w:rPr>
                <w:rFonts w:hint="eastAsia" w:ascii="宋体" w:hAnsi="宋体"/>
                <w:sz w:val="24"/>
                <w:szCs w:val="24"/>
                <w:highlight w:val="none"/>
              </w:rPr>
            </w:pPr>
            <w:r>
              <w:rPr>
                <w:rFonts w:hint="eastAsia" w:ascii="宋体" w:hAnsi="宋体"/>
                <w:sz w:val="24"/>
                <w:szCs w:val="24"/>
                <w:highlight w:val="none"/>
              </w:rPr>
              <w:t xml:space="preserve">包号</w:t>
            </w:r>
            <w:r/>
          </w:p>
        </w:tc>
        <w:tc>
          <w:tcPr>
            <w:tcW w:w="5921" w:type="dxa"/>
            <w:vAlign w:val="top"/>
            <w:textDirection w:val="lrTb"/>
            <w:noWrap w:val="false"/>
          </w:tcPr>
          <w:p>
            <w:pPr>
              <w:jc w:val="center"/>
              <w:pageBreakBefore w:val="0"/>
              <w:spacing w:beforeAutospacing="0" w:afterAutospacing="0" w:line="400" w:lineRule="exact"/>
              <w:rPr>
                <w:rFonts w:hint="eastAsia" w:ascii="宋体" w:hAnsi="宋体"/>
                <w:sz w:val="24"/>
                <w:szCs w:val="24"/>
                <w:highlight w:val="none"/>
              </w:rPr>
            </w:pPr>
            <w:r>
              <w:rPr>
                <w:rFonts w:hint="eastAsia" w:ascii="宋体" w:hAnsi="宋体"/>
                <w:sz w:val="24"/>
                <w:szCs w:val="24"/>
                <w:highlight w:val="none"/>
              </w:rPr>
              <w:t xml:space="preserve">特定</w:t>
            </w:r>
            <w:r>
              <w:rPr>
                <w:rFonts w:ascii="宋体" w:hAnsi="宋体"/>
                <w:sz w:val="24"/>
                <w:szCs w:val="24"/>
                <w:highlight w:val="none"/>
              </w:rPr>
              <w:t xml:space="preserve">资格要求</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highlight w:val="none"/>
              </w:rPr>
            </w:pPr>
            <w:r>
              <w:rPr>
                <w:rFonts w:hint="eastAsia" w:ascii="宋体" w:hAnsi="宋体"/>
                <w:sz w:val="24"/>
                <w:szCs w:val="24"/>
                <w:highlight w:val="none"/>
              </w:rPr>
              <w:t xml:space="preserve">1</w:t>
            </w:r>
            <w:r/>
          </w:p>
        </w:tc>
        <w:tc>
          <w:tcPr>
            <w:tcW w:w="5921" w:type="dxa"/>
            <w:vAlign w:val="top"/>
            <w:textDirection w:val="lrTb"/>
            <w:noWrap w:val="false"/>
          </w:tcPr>
          <w:p>
            <w:pPr>
              <w:jc w:val="center"/>
              <w:pageBreakBefore w:val="0"/>
              <w:spacing w:beforeAutospacing="0" w:afterAutospacing="0"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highlight w:val="none"/>
              </w:rPr>
            </w:pPr>
            <w:r>
              <w:rPr>
                <w:rFonts w:hint="eastAsia" w:ascii="宋体" w:hAnsi="宋体"/>
                <w:sz w:val="24"/>
                <w:szCs w:val="24"/>
                <w:highlight w:val="none"/>
              </w:rPr>
              <w:t xml:space="preserve">2</w:t>
            </w:r>
            <w:r/>
          </w:p>
        </w:tc>
        <w:tc>
          <w:tcPr>
            <w:tcW w:w="5921" w:type="dxa"/>
            <w:vAlign w:val="top"/>
            <w:textDirection w:val="lrTb"/>
            <w:noWrap w:val="false"/>
          </w:tcPr>
          <w:p>
            <w:pPr>
              <w:jc w:val="center"/>
              <w:pageBreakBefore w:val="0"/>
              <w:spacing w:beforeAutospacing="0" w:afterAutospacing="0" w:line="400" w:lineRule="exact"/>
              <w:rPr>
                <w:rFonts w:hint="eastAsia" w:ascii="宋体" w:hAnsi="宋体"/>
                <w:sz w:val="24"/>
                <w:szCs w:val="24"/>
                <w:highlight w:val="none"/>
              </w:rPr>
            </w:pPr>
            <w:r>
              <w:rPr>
                <w:rFonts w:hint="eastAsia" w:ascii="宋体" w:hAnsi="宋体"/>
                <w:sz w:val="24"/>
                <w:szCs w:val="24"/>
                <w:highlight w:val="none"/>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3</w:t>
            </w:r>
            <w:r/>
          </w:p>
        </w:tc>
        <w:tc>
          <w:tcPr>
            <w:tcW w:w="5921" w:type="dxa"/>
            <w:vAlign w:val="top"/>
            <w:textDirection w:val="lrTb"/>
            <w:noWrap w:val="false"/>
          </w:tcPr>
          <w:p>
            <w:pPr>
              <w:jc w:val="center"/>
              <w:pageBreakBefore w:val="0"/>
              <w:spacing w:beforeAutospacing="0" w:afterAutospacing="0" w:line="400" w:lineRule="exact"/>
              <w:rPr>
                <w:rFonts w:ascii="宋体" w:hAnsi="宋体"/>
                <w:sz w:val="24"/>
                <w:szCs w:val="24"/>
                <w:highlight w:val="none"/>
              </w:rPr>
            </w:pPr>
            <w:r>
              <w:rPr>
                <w:rFonts w:hint="eastAsia" w:ascii="宋体" w:hAnsi="宋体"/>
                <w:sz w:val="24"/>
                <w:szCs w:val="24"/>
                <w:highlight w:val="none"/>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p>
        </w:tc>
        <w:tc>
          <w:tcPr>
            <w:tcW w:w="5921" w:type="dxa"/>
            <w:vAlign w:val="top"/>
            <w:textDirection w:val="lrTb"/>
            <w:noWrap w:val="false"/>
          </w:tcPr>
          <w:p>
            <w:pPr>
              <w:jc w:val="center"/>
              <w:pageBreakBefore w:val="0"/>
              <w:spacing w:beforeAutospacing="0" w:afterAutospacing="0" w:line="400" w:lineRule="exact"/>
              <w:rPr>
                <w:rFonts w:ascii="宋体" w:hAnsi="宋体"/>
                <w:sz w:val="24"/>
                <w:szCs w:val="24"/>
                <w:highlight w:val="none"/>
              </w:rPr>
            </w:pPr>
            <w:r>
              <w:rPr>
                <w:rFonts w:hint="eastAsia" w:ascii="宋体" w:hAnsi="宋体"/>
                <w:sz w:val="24"/>
                <w:szCs w:val="24"/>
                <w:highlight w:val="none"/>
              </w:rPr>
              <w:t xml:space="preserve">/</w:t>
            </w:r>
            <w:r/>
          </w:p>
        </w:tc>
      </w:tr>
    </w:tbl>
    <w:p>
      <w:pPr>
        <w:ind w:firstLine="496"/>
        <w:keepLines/>
        <w:keepNext/>
        <w:pageBreakBefore w:val="0"/>
        <w:spacing w:beforeAutospacing="0" w:afterAutospacing="0"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三、获取招标文件</w:t>
      </w:r>
      <w:r/>
    </w:p>
    <w:p>
      <w:pPr>
        <w:ind w:firstLine="540"/>
        <w:pageBreakBefore w:val="0"/>
        <w:spacing w:beforeAutospacing="0" w:afterAutospacing="0"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pageBreakBefore w:val="0"/>
        <w:spacing w:beforeAutospacing="0" w:afterAutospacing="0"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ind w:firstLine="496"/>
        <w:keepLines/>
        <w:keepNext/>
        <w:pageBreakBefore w:val="0"/>
        <w:spacing w:beforeAutospacing="0" w:afterAutospacing="0" w:line="400" w:lineRule="exact"/>
        <w:rPr>
          <w:rFonts w:ascii="Times New Roman" w:hAnsi="Times New Roman"/>
          <w:b/>
          <w:bCs/>
          <w:color w:val="000000"/>
          <w:sz w:val="32"/>
          <w:szCs w:val="32"/>
        </w:rPr>
        <w:outlineLvl w:val="2"/>
      </w:pPr>
      <w:r/>
      <w:bookmarkStart w:id="22" w:name="_Toc28359005"/>
      <w:r/>
      <w:bookmarkStart w:id="23" w:name="_Toc28359082"/>
      <w:r/>
      <w:bookmarkStart w:id="24" w:name="_Toc35393793"/>
      <w:r/>
      <w:bookmarkStart w:id="25" w:name="_Toc35393624"/>
      <w:r/>
      <w:bookmarkStart w:id="26" w:name="_Toc38985266"/>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
    </w:p>
    <w:p>
      <w:pPr>
        <w:ind w:firstLine="480"/>
        <w:pageBreakBefore w:val="0"/>
        <w:spacing w:beforeAutospacing="0" w:afterAutospacing="0"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2026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7 </w:t>
      </w:r>
      <w:r>
        <w:rPr>
          <w:rFonts w:hint="eastAsia" w:ascii="宋体" w:hAnsi="宋体"/>
          <w:bCs/>
          <w:color w:val="000000"/>
          <w:sz w:val="24"/>
          <w:szCs w:val="24"/>
        </w:rPr>
        <w:t xml:space="preserve">月</w:t>
      </w:r>
      <w:r>
        <w:rPr>
          <w:rFonts w:hint="eastAsia" w:ascii="宋体" w:hAnsi="宋体"/>
          <w:bCs/>
          <w:color w:val="000000"/>
          <w:sz w:val="24"/>
          <w:szCs w:val="24"/>
          <w:u w:val="single"/>
          <w:lang w:val="en-US" w:eastAsia="zh-CN"/>
        </w:rPr>
        <w:t xml:space="preserve">  22 </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p>
    <w:p>
      <w:pPr>
        <w:ind w:firstLine="480"/>
        <w:pageBreakBefore w:val="0"/>
        <w:spacing w:beforeAutospacing="0" w:afterAutospacing="0"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pageBreakBefore w:val="0"/>
        <w:spacing w:beforeAutospacing="0" w:afterAutospacing="0" w:line="360" w:lineRule="auto"/>
        <w:rPr>
          <w:rFonts w:ascii="Times New Roman" w:hAnsi="Times New Roman"/>
          <w:b/>
          <w:bCs/>
          <w:color w:val="000000"/>
          <w:sz w:val="32"/>
          <w:szCs w:val="32"/>
        </w:rPr>
        <w:outlineLvl w:val="2"/>
      </w:pPr>
      <w:r/>
      <w:bookmarkStart w:id="27" w:name="_Toc28359084"/>
      <w:r/>
      <w:bookmarkStart w:id="28" w:name="_Toc35393794"/>
      <w:r/>
      <w:bookmarkStart w:id="29" w:name="_Toc38985267"/>
      <w:r/>
      <w:bookmarkStart w:id="30" w:name="_Toc28359007"/>
      <w:r/>
      <w:bookmarkStart w:id="31" w:name="_Toc35393625"/>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pageBreakBefore w:val="0"/>
        <w:spacing w:beforeAutospacing="0" w:afterAutospacing="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pageBreakBefore w:val="0"/>
        <w:spacing w:beforeAutospacing="0" w:afterAutospacing="0" w:line="400" w:lineRule="exact"/>
        <w:rPr>
          <w:rFonts w:ascii="Times New Roman" w:hAnsi="Times New Roman"/>
          <w:b/>
          <w:bCs/>
          <w:color w:val="000000"/>
          <w:sz w:val="32"/>
          <w:szCs w:val="32"/>
        </w:rPr>
        <w:outlineLvl w:val="2"/>
      </w:pPr>
      <w:r/>
      <w:bookmarkStart w:id="32" w:name="_Toc35393626"/>
      <w:r/>
      <w:bookmarkStart w:id="33" w:name="_Toc35393795"/>
      <w:r/>
      <w:bookmarkStart w:id="34" w:name="_Toc38985268"/>
      <w:r>
        <w:rPr>
          <w:rFonts w:hint="eastAsia" w:ascii="Times New Roman" w:hAnsi="Times New Roman"/>
          <w:b/>
          <w:bCs/>
          <w:color w:val="000000"/>
          <w:sz w:val="32"/>
          <w:szCs w:val="32"/>
        </w:rPr>
        <w:t xml:space="preserve">六、其他补充事宜</w:t>
      </w:r>
      <w:bookmarkEnd w:id="32"/>
      <w:r/>
      <w:bookmarkEnd w:id="33"/>
      <w:r/>
      <w:bookmarkEnd w:id="34"/>
      <w:r/>
      <w:r/>
    </w:p>
    <w:p>
      <w:pPr>
        <w:ind w:firstLine="480"/>
        <w:pageBreakBefore w:val="0"/>
        <w:spacing w:beforeAutospacing="0" w:afterAutospacing="0"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pageBreakBefore w:val="0"/>
        <w:spacing w:beforeAutospacing="0" w:afterAutospacing="0" w:line="400" w:lineRule="exact"/>
        <w:rPr>
          <w:rFonts w:ascii="Times New Roman" w:hAnsi="Times New Roman"/>
          <w:b/>
          <w:bCs/>
          <w:color w:val="000000"/>
          <w:sz w:val="32"/>
          <w:szCs w:val="32"/>
        </w:rPr>
        <w:outlineLvl w:val="2"/>
      </w:pPr>
      <w:r/>
      <w:bookmarkStart w:id="35" w:name="_Toc35393796"/>
      <w:r/>
      <w:bookmarkStart w:id="36" w:name="_Toc35393627"/>
      <w:r/>
      <w:bookmarkStart w:id="37" w:name="_Toc38985269"/>
      <w:r/>
      <w:bookmarkStart w:id="38" w:name="_Toc28359085"/>
      <w:r/>
      <w:bookmarkStart w:id="39" w:name="_Toc28359008"/>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
    </w:p>
    <w:p>
      <w:pPr>
        <w:jc w:val="left"/>
        <w:pageBreakBefore w:val="0"/>
        <w:spacing w:beforeAutospacing="0" w:afterAutospacing="0" w:line="400" w:lineRule="exact"/>
        <w:widowControl/>
        <w:rPr>
          <w:rFonts w:ascii="宋体" w:hAnsi="宋体"/>
          <w:color w:val="000000"/>
          <w:sz w:val="24"/>
          <w:szCs w:val="24"/>
          <w:highlight w:val="none"/>
        </w:rPr>
      </w:pPr>
      <w:r>
        <w:rPr>
          <w:rFonts w:hint="eastAsia" w:ascii="仿宋" w:hAnsi="仿宋" w:eastAsia="仿宋" w:cs="宋体"/>
          <w:color w:val="000000"/>
          <w:sz w:val="28"/>
          <w:szCs w:val="28"/>
        </w:rPr>
        <w:t xml:space="preserve">　　</w:t>
      </w:r>
      <w:r>
        <w:rPr>
          <w:rFonts w:hint="eastAsia" w:ascii="宋体" w:hAnsi="宋体" w:cs="宋体"/>
          <w:color w:val="000000"/>
          <w:sz w:val="24"/>
          <w:szCs w:val="24"/>
          <w:highlight w:val="none"/>
        </w:rPr>
        <w:t xml:space="preserve">1.采购人信息</w:t>
      </w:r>
      <w:r/>
    </w:p>
    <w:p>
      <w:pPr>
        <w:ind w:firstLine="480"/>
        <w:jc w:val="left"/>
        <w:pageBreakBefore w:val="0"/>
        <w:spacing w:beforeAutospacing="0" w:afterAutospacing="0"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江苏省消防救援总队</w:t>
      </w:r>
      <w:r>
        <w:rPr>
          <w:rFonts w:hint="eastAsia" w:ascii="宋体" w:hAnsi="宋体"/>
          <w:color w:val="000000"/>
          <w:sz w:val="24"/>
          <w:szCs w:val="24"/>
          <w:highlight w:val="none"/>
          <w:u w:val="single"/>
        </w:rPr>
        <w:t xml:space="preserve">　</w:t>
      </w:r>
      <w:r/>
    </w:p>
    <w:p>
      <w:pPr>
        <w:ind w:firstLine="480"/>
        <w:jc w:val="left"/>
        <w:pageBreakBefore w:val="0"/>
        <w:spacing w:beforeAutospacing="0" w:afterAutospacing="0"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u w:val="single"/>
          <w:lang w:val="en-US" w:eastAsia="zh-CN"/>
        </w:rPr>
        <w:t xml:space="preserve">南京市鼓楼区月光广场6号</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p>
    <w:p>
      <w:pPr>
        <w:ind w:firstLine="480"/>
        <w:jc w:val="left"/>
        <w:pageBreakBefore w:val="0"/>
        <w:spacing w:beforeAutospacing="0" w:afterAutospacing="0" w:line="400" w:lineRule="exact"/>
        <w:rPr>
          <w:rFonts w:hint="eastAsia" w:ascii="宋体" w:hAnsi="宋体" w:eastAsia="宋体" w:cs="Times New Roman"/>
          <w:color w:val="000000"/>
          <w:sz w:val="24"/>
          <w:szCs w:val="24"/>
          <w:highlight w:val="none"/>
          <w:u w:val="singl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周</w:t>
      </w:r>
      <w:r>
        <w:rPr>
          <w:rFonts w:ascii="宋体" w:hAnsi="宋体" w:eastAsia="宋体" w:cs="Times New Roman"/>
          <w:color w:val="000000"/>
          <w:sz w:val="24"/>
          <w:szCs w:val="24"/>
          <w:highlight w:val="none"/>
          <w:u w:val="single"/>
          <w:lang w:val="en-US" w:eastAsia="zh-CN"/>
        </w:rPr>
        <w:t xml:space="preserve">工</w:t>
      </w:r>
      <w:r>
        <w:rPr>
          <w:rFonts w:hint="eastAsia" w:ascii="宋体" w:hAnsi="宋体" w:eastAsia="宋体" w:cs="Times New Roman"/>
          <w:color w:val="000000"/>
          <w:sz w:val="24"/>
          <w:szCs w:val="24"/>
          <w:highlight w:val="none"/>
          <w:u w:val="single"/>
          <w:lang w:val="en-US" w:eastAsia="zh-CN"/>
        </w:rPr>
        <w:t xml:space="preserve">           </w:t>
      </w:r>
      <w:r/>
    </w:p>
    <w:p>
      <w:pPr>
        <w:ind w:firstLine="480"/>
        <w:jc w:val="left"/>
        <w:pageBreakBefore w:val="0"/>
        <w:spacing w:beforeAutospacing="0" w:afterAutospacing="0" w:line="400" w:lineRule="exact"/>
        <w:rPr>
          <w:rFonts w:hint="eastAsia" w:ascii="宋体" w:hAnsi="宋体" w:eastAsia="宋体" w:cs="Times New Roman"/>
          <w:color w:val="000000"/>
          <w:sz w:val="24"/>
          <w:szCs w:val="24"/>
          <w:highlight w:val="none"/>
          <w:u w:val="single"/>
          <w:lang w:val="en-US" w:eastAsia="zh-CN"/>
        </w:rPr>
      </w:pPr>
      <w:r>
        <w:rPr>
          <w:rFonts w:hint="eastAsia" w:ascii="宋体" w:hAnsi="宋体" w:eastAsia="宋体" w:cs="Times New Roman"/>
          <w:color w:val="000000"/>
          <w:sz w:val="24"/>
          <w:szCs w:val="24"/>
          <w:highlight w:val="none"/>
          <w:u w:val="none"/>
          <w:lang w:val="en-US" w:eastAsia="zh-CN"/>
        </w:rPr>
        <w:t xml:space="preserve">联系方式：</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u w:val="single"/>
          <w:lang w:val="en-US" w:eastAsia="zh-CN"/>
        </w:rPr>
        <w:t xml:space="preserve">025-86335357</w:t>
      </w:r>
      <w:r>
        <w:rPr>
          <w:rFonts w:hint="eastAsia" w:ascii="宋体" w:hAnsi="宋体" w:eastAsia="宋体" w:cs="Times New Roman"/>
          <w:color w:val="000000"/>
          <w:sz w:val="24"/>
          <w:szCs w:val="24"/>
          <w:highlight w:val="none"/>
          <w:u w:val="single"/>
          <w:lang w:val="en-US" w:eastAsia="zh-CN"/>
        </w:rPr>
        <w:t xml:space="preserve"> </w:t>
      </w:r>
      <w:bookmarkStart w:id="40" w:name="_Toc28359009"/>
      <w:r/>
      <w:bookmarkStart w:id="41" w:name="_Toc28359086"/>
      <w:r/>
      <w:r/>
    </w:p>
    <w:p>
      <w:pPr>
        <w:ind w:firstLine="480"/>
        <w:jc w:val="left"/>
        <w:pageBreakBefore w:val="0"/>
        <w:spacing w:beforeAutospacing="0" w:afterAutospacing="0"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
    </w:p>
    <w:p>
      <w:pPr>
        <w:ind w:firstLine="480"/>
        <w:jc w:val="left"/>
        <w:pageBreakBefore w:val="0"/>
        <w:spacing w:beforeAutospacing="0" w:afterAutospacing="0" w:line="500" w:lineRule="exact"/>
        <w:rPr>
          <w:rFonts w:ascii="宋体" w:hAnsi="宋体"/>
          <w:sz w:val="24"/>
          <w:szCs w:val="24"/>
          <w:u w:val="single"/>
        </w:rPr>
      </w:pPr>
      <w:r/>
      <w:bookmarkStart w:id="42" w:name="_Toc28359087"/>
      <w:r/>
      <w:bookmarkStart w:id="43" w:name="_Toc28359010"/>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p>
    <w:p>
      <w:pPr>
        <w:ind w:firstLine="480"/>
        <w:jc w:val="left"/>
        <w:pageBreakBefore w:val="0"/>
        <w:spacing w:beforeAutospacing="0" w:afterAutospacing="0"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p>
    <w:p>
      <w:pPr>
        <w:ind w:firstLine="480"/>
        <w:pageBreakBefore w:val="0"/>
        <w:spacing w:beforeAutospacing="0" w:afterAutospacing="0"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bookmarkEnd w:id="42"/>
      <w:r/>
      <w:bookmarkEnd w:id="43"/>
      <w:r/>
      <w:r/>
    </w:p>
    <w:p>
      <w:pPr>
        <w:ind w:firstLine="496"/>
        <w:keepLines/>
        <w:keepNext/>
        <w:pageBreakBefore w:val="0"/>
        <w:spacing w:beforeAutospacing="0" w:afterAutospacing="0"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80"/>
        <w:keepLines w:val="0"/>
        <w:keepNext w:val="0"/>
        <w:pageBreakBefore w:val="0"/>
        <w:spacing w:beforeAutospacing="0" w:afterAutospacing="0" w:line="400" w:lineRule="exact"/>
        <w:widowControl w:val="off"/>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color w:val="000000"/>
          <w:szCs w:val="21"/>
          <w:u w:val="none"/>
        </w:rPr>
        <w:t xml:space="preserve">http://www.ccgp-jiangsu.gov.cn/jiangsu/zlxz/ee/ee3a4bc5a3454aa2b0d9312230633ce9.html</w:t>
      </w:r>
      <w:r>
        <w:rPr>
          <w:rFonts w:ascii="Times New Roman" w:hAnsi="Times New Roman"/>
          <w:bCs/>
          <w:szCs w:val="21"/>
        </w:rPr>
        <w:t xml:space="preserve">。</w:t>
      </w:r>
      <w:r/>
    </w:p>
    <w:p>
      <w:pPr>
        <w:ind w:firstLine="480"/>
        <w:keepLines w:val="0"/>
        <w:keepNext w:val="0"/>
        <w:pageBreakBefore w:val="0"/>
        <w:spacing w:beforeAutospacing="0" w:afterAutospacing="0" w:line="400" w:lineRule="exact"/>
        <w:widowControl w:val="off"/>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keepLines w:val="0"/>
        <w:keepNext w:val="0"/>
        <w:pageBreakBefore w:val="0"/>
        <w:spacing w:beforeAutospacing="0" w:afterAutospacing="0" w:line="400" w:lineRule="exact"/>
        <w:widowControl w:val="off"/>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pageBreakBefore w:val="0"/>
        <w:spacing w:beforeAutospacing="0" w:afterAutospacing="0"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pageBreakBefore w:val="0"/>
        <w:spacing w:beforeAutospacing="0" w:afterAutospacing="0"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pageBreakBefore w:val="0"/>
        <w:spacing w:beforeAutospacing="0" w:afterAutospacing="0"/>
        <w:rPr>
          <w:rFonts w:hint="eastAsia" w:ascii="宋体" w:hAnsi="宋体"/>
          <w:color w:val="000000"/>
          <w:sz w:val="24"/>
          <w:szCs w:val="24"/>
        </w:rPr>
      </w:pPr>
      <w:r>
        <w:rPr>
          <w:rFonts w:ascii="宋体" w:hAnsi="宋体"/>
          <w:color w:val="000000"/>
          <w:sz w:val="24"/>
          <w:szCs w:val="24"/>
        </w:rPr>
        <w:br w:type="page" w:clear="all"/>
      </w:r>
      <w:r/>
    </w:p>
    <w:p>
      <w:pPr>
        <w:ind w:firstLine="2420"/>
        <w:keepLines/>
        <w:keepNext/>
        <w:pageBreakBefore w:val="0"/>
        <w:spacing w:beforeAutospacing="0" w:afterAutospacing="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6"/>
        <w:keepLines/>
        <w:keepNext/>
        <w:pageBreakBefore w:val="0"/>
        <w:spacing w:beforeAutospacing="0" w:afterAutospacing="0" w:line="400" w:lineRule="exact"/>
        <w:rPr>
          <w:rFonts w:hint="eastAsia" w:ascii="Times New Roman" w:hAnsi="Times New Roman"/>
          <w:b/>
          <w:bCs/>
          <w:color w:val="000000"/>
          <w:sz w:val="32"/>
          <w:szCs w:val="32"/>
        </w:rPr>
        <w:outlineLvl w:val="2"/>
      </w:pPr>
      <w:r/>
      <w:bookmarkStart w:id="49" w:name="_Toc20823275"/>
      <w:r/>
      <w:bookmarkStart w:id="50" w:name="_Toc513029203"/>
      <w:r/>
      <w:bookmarkStart w:id="51" w:name="_Toc120614214"/>
      <w:r/>
      <w:bookmarkStart w:id="52" w:name="_Toc16938519"/>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58" w:name="_Toc16938521"/>
      <w:r/>
      <w:bookmarkStart w:id="59" w:name="_Toc20823277"/>
      <w:r/>
      <w:bookmarkStart w:id="60" w:name="_Toc513029205"/>
      <w:r>
        <w:rPr>
          <w:rFonts w:hint="eastAsia" w:ascii="Arial" w:hAnsi="Arial" w:eastAsia="黑体" w:cs="Arial"/>
          <w:color w:val="000000"/>
          <w:sz w:val="28"/>
          <w:szCs w:val="28"/>
        </w:rPr>
        <w:t xml:space="preserve">2、合格的投标人</w:t>
      </w:r>
      <w:bookmarkEnd w:id="58"/>
      <w:r/>
      <w:bookmarkEnd w:id="59"/>
      <w:r/>
      <w:bookmarkEnd w:id="60"/>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pageBreakBefore w:val="0"/>
        <w:spacing w:beforeAutospacing="0" w:afterAutospacing="0" w:line="400" w:lineRule="exact"/>
        <w:rPr>
          <w:rFonts w:hint="eastAsia" w:ascii="Arial" w:hAnsi="Arial" w:eastAsia="黑体" w:cs="Arial"/>
          <w:color w:val="000000"/>
          <w:sz w:val="28"/>
          <w:szCs w:val="28"/>
          <w:lang w:eastAsia="zh-CN"/>
        </w:rPr>
        <w:outlineLvl w:val="3"/>
      </w:pPr>
      <w:r/>
      <w:bookmarkStart w:id="61" w:name="_Toc20823278"/>
      <w:r/>
      <w:bookmarkStart w:id="62" w:name="_Toc513029206"/>
      <w:r/>
      <w:bookmarkStart w:id="63" w:name="_Toc16938522"/>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lang w:eastAsia="zh-CN"/>
        </w:rPr>
        <w:t xml:space="preserve">和标准</w:t>
      </w:r>
      <w:r/>
    </w:p>
    <w:p>
      <w:pPr>
        <w:ind w:firstLine="420"/>
        <w:pageBreakBefore w:val="0"/>
        <w:spacing w:beforeAutospacing="0" w:afterAutospacing="0"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pageBreakBefore w:val="0"/>
        <w:spacing w:beforeAutospacing="0" w:afterAutospacing="0"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64" w:name="_Toc16938523"/>
      <w:r/>
      <w:bookmarkStart w:id="65" w:name="_Toc462564067"/>
      <w:r/>
      <w:bookmarkStart w:id="66" w:name="_Toc513029207"/>
      <w:r/>
      <w:bookmarkStart w:id="67" w:name="_Toc20823279"/>
      <w:r>
        <w:rPr>
          <w:rFonts w:hint="eastAsia" w:ascii="Arial" w:hAnsi="Arial" w:eastAsia="黑体" w:cs="Arial"/>
          <w:color w:val="000000"/>
          <w:sz w:val="28"/>
          <w:szCs w:val="28"/>
        </w:rPr>
        <w:t xml:space="preserve">4、投标费用</w:t>
      </w:r>
      <w:bookmarkEnd w:id="64"/>
      <w:r/>
      <w:bookmarkEnd w:id="65"/>
      <w:r/>
      <w:bookmarkEnd w:id="66"/>
      <w:r/>
      <w:bookmarkEnd w:id="67"/>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0"/>
        <w:keepLines/>
        <w:keepNext/>
        <w:pageBreakBefore w:val="0"/>
        <w:spacing w:beforeAutospacing="0" w:afterAutospacing="0"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pageBreakBefore w:val="0"/>
        <w:spacing w:beforeAutospacing="0" w:afterAutospacing="0" w:line="400" w:lineRule="exact"/>
        <w:rPr>
          <w:rFonts w:hint="eastAsia" w:ascii="Times New Roman" w:hAnsi="Times New Roman"/>
          <w:b/>
          <w:bCs/>
          <w:color w:val="000000"/>
          <w:sz w:val="32"/>
          <w:szCs w:val="32"/>
        </w:rPr>
        <w:outlineLvl w:val="2"/>
      </w:pPr>
      <w:r/>
      <w:bookmarkStart w:id="68" w:name="_Toc513029209"/>
      <w:r/>
      <w:bookmarkStart w:id="69" w:name="_Toc20823281"/>
      <w:r/>
      <w:bookmarkStart w:id="70" w:name="_Toc16938525"/>
      <w:r/>
      <w:bookmarkStart w:id="71" w:name="_Toc120614215"/>
      <w:r>
        <w:rPr>
          <w:rFonts w:hint="eastAsia" w:ascii="Times New Roman" w:hAnsi="Times New Roman"/>
          <w:b/>
          <w:bCs/>
          <w:color w:val="000000"/>
          <w:sz w:val="32"/>
          <w:szCs w:val="32"/>
        </w:rPr>
        <w:t xml:space="preserve">二、招标文件</w:t>
      </w:r>
      <w:bookmarkEnd w:id="68"/>
      <w:r/>
      <w:bookmarkEnd w:id="69"/>
      <w:r/>
      <w:bookmarkEnd w:id="70"/>
      <w:r/>
      <w:bookmarkEnd w:id="71"/>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72" w:name="_Toc513029210"/>
      <w:r/>
      <w:bookmarkStart w:id="73" w:name="_Toc20823282"/>
      <w:r/>
      <w:bookmarkStart w:id="74" w:name="_Toc16938526"/>
      <w:r>
        <w:rPr>
          <w:rFonts w:hint="eastAsia" w:ascii="Arial" w:hAnsi="Arial" w:eastAsia="黑体" w:cs="Arial"/>
          <w:color w:val="000000"/>
          <w:sz w:val="28"/>
          <w:szCs w:val="28"/>
        </w:rPr>
        <w:t xml:space="preserve">6、招标文件构成</w:t>
      </w:r>
      <w:bookmarkEnd w:id="72"/>
      <w:r/>
      <w:bookmarkEnd w:id="73"/>
      <w:r/>
      <w:bookmarkEnd w:id="74"/>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pageBreakBefore w:val="0"/>
        <w:spacing w:beforeAutospacing="0" w:afterAutospacing="0"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75" w:name="_Toc462564071"/>
      <w:r/>
      <w:bookmarkStart w:id="76" w:name="_Toc20823284"/>
      <w:r/>
      <w:bookmarkStart w:id="77" w:name="_Toc16938528"/>
      <w:r/>
      <w:bookmarkStart w:id="78"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
    </w:p>
    <w:p>
      <w:pPr>
        <w:ind w:firstLine="480"/>
        <w:pageBreakBefore w:val="0"/>
        <w:spacing w:beforeAutospacing="0" w:afterAutospacing="0"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pageBreakBefore w:val="0"/>
        <w:spacing w:beforeAutospacing="0" w:afterAutospacing="0"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pageBreakBefore w:val="0"/>
        <w:spacing w:beforeAutospacing="0" w:afterAutospacing="0"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pageBreakBefore w:val="0"/>
        <w:spacing w:beforeAutospacing="0" w:afterAutospacing="0" w:line="400" w:lineRule="exact"/>
        <w:rPr>
          <w:rFonts w:hint="eastAsia" w:ascii="Times New Roman" w:hAnsi="Times New Roman"/>
          <w:b/>
          <w:bCs/>
          <w:color w:val="000000"/>
          <w:sz w:val="32"/>
          <w:szCs w:val="32"/>
        </w:rPr>
        <w:outlineLvl w:val="2"/>
      </w:pPr>
      <w:r/>
      <w:bookmarkStart w:id="79" w:name="_Toc16938529"/>
      <w:r/>
      <w:bookmarkStart w:id="80" w:name="_Toc462564072"/>
      <w:r/>
      <w:bookmarkStart w:id="81" w:name="_Toc120614216"/>
      <w:r/>
      <w:bookmarkStart w:id="82" w:name="_Toc513029213"/>
      <w:r/>
      <w:bookmarkStart w:id="83" w:name="_Toc20823285"/>
      <w:r>
        <w:rPr>
          <w:rFonts w:hint="eastAsia" w:ascii="Times New Roman" w:hAnsi="Times New Roman"/>
          <w:b/>
          <w:bCs/>
          <w:color w:val="000000"/>
          <w:sz w:val="32"/>
          <w:szCs w:val="32"/>
        </w:rPr>
        <w:t xml:space="preserve">三、投标文件的编制</w:t>
      </w:r>
      <w:bookmarkEnd w:id="79"/>
      <w:r/>
      <w:bookmarkEnd w:id="80"/>
      <w:r/>
      <w:bookmarkEnd w:id="81"/>
      <w:r/>
      <w:bookmarkEnd w:id="82"/>
      <w:r/>
      <w:bookmarkEnd w:id="83"/>
      <w:r/>
      <w:r/>
    </w:p>
    <w:p>
      <w:pPr>
        <w:ind w:firstLine="560"/>
        <w:keepLines/>
        <w:keepNext/>
        <w:pageBreakBefore w:val="0"/>
        <w:spacing w:beforeAutospacing="0" w:afterAutospacing="0" w:line="400" w:lineRule="exact"/>
        <w:rPr>
          <w:rFonts w:hint="eastAsia" w:ascii="Arial" w:hAnsi="Arial" w:eastAsia="黑体" w:cs="Arial"/>
          <w:b/>
          <w:color w:val="000000"/>
          <w:sz w:val="28"/>
          <w:szCs w:val="28"/>
        </w:rPr>
        <w:outlineLvl w:val="3"/>
      </w:pPr>
      <w:r/>
      <w:bookmarkStart w:id="84" w:name="_Toc20823286"/>
      <w:r/>
      <w:bookmarkStart w:id="85" w:name="_Toc513029214"/>
      <w:r/>
      <w:bookmarkStart w:id="86" w:name="_Toc16938530"/>
      <w:r/>
      <w:bookmarkStart w:id="87"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
    </w:p>
    <w:p>
      <w:pPr>
        <w:ind w:firstLine="480"/>
        <w:pageBreakBefore w:val="0"/>
        <w:spacing w:beforeAutospacing="0" w:afterAutospacing="0"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pageBreakBefore w:val="0"/>
        <w:spacing w:beforeAutospacing="0" w:afterAutospacing="0"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88" w:name="_Toc20823287"/>
      <w:r/>
      <w:bookmarkStart w:id="89" w:name="_Toc513029215"/>
      <w:r/>
      <w:bookmarkStart w:id="90" w:name="_Toc16938531"/>
      <w:r/>
      <w:bookmarkStart w:id="91"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
    </w:p>
    <w:p>
      <w:pPr>
        <w:ind w:firstLine="480"/>
        <w:pageBreakBefore w:val="0"/>
        <w:spacing w:beforeAutospacing="0" w:afterAutospacing="0"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pageBreakBefore w:val="0"/>
        <w:spacing w:beforeAutospacing="0" w:afterAutospacing="0"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92" w:name="_Hlt26668975"/>
      <w:r/>
      <w:bookmarkEnd w:id="92"/>
      <w:r/>
      <w:bookmarkStart w:id="93" w:name="_Hlt26954838"/>
      <w:r/>
      <w:bookmarkEnd w:id="93"/>
      <w:r/>
      <w:bookmarkStart w:id="94" w:name="_Hlt26670360"/>
      <w:r/>
      <w:bookmarkEnd w:id="94"/>
      <w:r/>
      <w:bookmarkStart w:id="95" w:name="_Toc14577354"/>
      <w:r/>
      <w:bookmarkStart w:id="96" w:name="_Toc49090507"/>
      <w:r/>
      <w:bookmarkStart w:id="97" w:name="_Toc513029219"/>
      <w:r/>
      <w:bookmarkStart w:id="98" w:name="_Toc14577357"/>
      <w:r/>
      <w:bookmarkStart w:id="99" w:name="_Toc513029216"/>
      <w:r/>
      <w:bookmarkStart w:id="100" w:name="_Toc49090509"/>
      <w:r/>
      <w:bookmarkStart w:id="101" w:name="_Toc14577355"/>
      <w:r/>
      <w:bookmarkStart w:id="102"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bookmarkEnd w:id="98"/>
      <w:r/>
      <w:bookmarkEnd w:id="99"/>
      <w:r/>
      <w:bookmarkEnd w:id="100"/>
      <w:r/>
      <w:r/>
    </w:p>
    <w:p>
      <w:pP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1"/>
      <w:r/>
      <w:bookmarkEnd w:id="102"/>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pageBreakBefore w:val="0"/>
        <w:spacing w:beforeAutospacing="0" w:afterAutospacing="0"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p>
    <w:p>
      <w:pPr>
        <w:ind w:firstLine="480"/>
        <w:pageBreakBefore w:val="0"/>
        <w:spacing w:beforeAutospacing="0" w:afterAutospacing="0"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pageBreakBefore w:val="0"/>
        <w:spacing w:beforeAutospacing="0" w:afterAutospacing="0" w:line="400" w:lineRule="exact"/>
        <w:rPr>
          <w:rFonts w:hint="eastAsia" w:ascii="Arial" w:hAnsi="Arial" w:eastAsia="黑体" w:cs="Arial"/>
          <w:sz w:val="28"/>
          <w:szCs w:val="28"/>
        </w:rPr>
        <w:outlineLvl w:val="3"/>
      </w:pPr>
      <w:r/>
      <w:bookmarkStart w:id="105" w:name="_Hlt26670486"/>
      <w:r/>
      <w:bookmarkEnd w:id="105"/>
      <w:r/>
      <w:bookmarkStart w:id="106" w:name="_Hlt26670482"/>
      <w:r/>
      <w:bookmarkEnd w:id="106"/>
      <w:r/>
      <w:bookmarkStart w:id="107" w:name="_Hlt26954846"/>
      <w:r/>
      <w:bookmarkEnd w:id="107"/>
      <w:r/>
      <w:bookmarkStart w:id="108" w:name="_Hlt26954731"/>
      <w:r/>
      <w:bookmarkEnd w:id="108"/>
      <w:r/>
      <w:bookmarkStart w:id="109" w:name="_Hlt26954848"/>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pageBreakBefore w:val="0"/>
        <w:spacing w:beforeAutospacing="0" w:afterAutospacing="0"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pageBreakBefore w:val="0"/>
        <w:spacing w:beforeAutospacing="0" w:afterAutospacing="0"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110" w:name="_Toc49090510"/>
      <w:r/>
      <w:bookmarkStart w:id="111"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112" w:name="_Toc14577360"/>
      <w:r/>
      <w:bookmarkStart w:id="11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pageBreakBefore w:val="0"/>
        <w:spacing w:beforeAutospacing="0" w:afterAutospacing="0" w:line="400" w:lineRule="exact"/>
        <w:rPr>
          <w:rFonts w:hint="eastAsia" w:ascii="Times New Roman" w:hAnsi="Times New Roman"/>
          <w:b/>
          <w:bCs/>
          <w:color w:val="000000"/>
          <w:sz w:val="32"/>
          <w:szCs w:val="32"/>
        </w:rPr>
        <w:outlineLvl w:val="2"/>
      </w:pPr>
      <w:r/>
      <w:bookmarkStart w:id="114" w:name="_Hlt26954852"/>
      <w:r/>
      <w:bookmarkEnd w:id="114"/>
      <w:r/>
      <w:bookmarkStart w:id="115" w:name="_Hlt26954739"/>
      <w:r/>
      <w:bookmarkEnd w:id="115"/>
      <w:r/>
      <w:bookmarkStart w:id="116" w:name="_Toc120614217"/>
      <w:r/>
      <w:bookmarkStart w:id="117" w:name="_Toc16938540"/>
      <w:r/>
      <w:bookmarkStart w:id="118" w:name="_Toc20823296"/>
      <w:r/>
      <w:bookmarkStart w:id="119" w:name="_Toc513029224"/>
      <w:r>
        <w:rPr>
          <w:rFonts w:hint="eastAsia" w:ascii="Times New Roman" w:hAnsi="Times New Roman"/>
          <w:b/>
          <w:bCs/>
          <w:color w:val="000000"/>
          <w:sz w:val="32"/>
          <w:szCs w:val="32"/>
        </w:rPr>
        <w:t xml:space="preserve">四、投标文件的递交</w:t>
      </w:r>
      <w:bookmarkEnd w:id="116"/>
      <w:r/>
      <w:bookmarkEnd w:id="117"/>
      <w:r/>
      <w:bookmarkEnd w:id="118"/>
      <w:r/>
      <w:bookmarkEnd w:id="119"/>
      <w:r/>
      <w:r/>
    </w:p>
    <w:p>
      <w:pPr>
        <w:ind w:firstLine="420"/>
        <w:keepLines/>
        <w:keepNext/>
        <w:pageBreakBefore w:val="0"/>
        <w:spacing w:beforeAutospacing="0" w:afterAutospacing="0" w:line="400" w:lineRule="exact"/>
        <w:rPr>
          <w:rFonts w:hint="eastAsia" w:ascii="黑体" w:hAnsi="Arial" w:eastAsia="黑体" w:cs="Arial"/>
          <w:color w:val="000000"/>
          <w:sz w:val="28"/>
          <w:szCs w:val="28"/>
        </w:rPr>
        <w:outlineLvl w:val="3"/>
      </w:pPr>
      <w:r/>
      <w:bookmarkStart w:id="120" w:name="_Toc462564084"/>
      <w:r/>
      <w:bookmarkStart w:id="121" w:name="_Toc20823297"/>
      <w:r/>
      <w:bookmarkStart w:id="122" w:name="_Toc16938541"/>
      <w:r/>
      <w:bookmarkStart w:id="123"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p>
    <w:p>
      <w:pPr>
        <w:ind w:left="525"/>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16938542"/>
      <w:r/>
      <w:bookmarkStart w:id="125" w:name="_Toc20823298"/>
      <w:r/>
      <w:bookmarkStart w:id="126" w:name="_Toc513029226"/>
      <w:r/>
      <w:r/>
    </w:p>
    <w:p>
      <w:pPr>
        <w:ind w:firstLine="420"/>
        <w:keepLines/>
        <w:keepNext/>
        <w:pageBreakBefore w:val="0"/>
        <w:spacing w:beforeAutospacing="0" w:afterAutospacing="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
    </w:p>
    <w:p>
      <w:pPr>
        <w:ind w:firstLine="480"/>
        <w:pageBreakBefore w:val="0"/>
        <w:spacing w:beforeAutospacing="0" w:afterAutospacing="0"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pageBreakBefore w:val="0"/>
        <w:spacing w:beforeAutospacing="0" w:afterAutospacing="0"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127" w:name="_Toc513029227"/>
      <w:r/>
      <w:bookmarkStart w:id="128" w:name="_Toc20823299"/>
      <w:r/>
      <w:bookmarkStart w:id="129"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p>
    <w:p>
      <w:pPr>
        <w:ind w:firstLine="480"/>
        <w:pageBreakBefore w:val="0"/>
        <w:spacing w:beforeAutospacing="0" w:afterAutospacing="0"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130" w:name="_Toc20823300"/>
      <w:r/>
      <w:bookmarkStart w:id="131" w:name="_Toc513029228"/>
      <w:r/>
      <w:bookmarkStart w:id="13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pageBreakBefore w:val="0"/>
        <w:spacing w:beforeAutospacing="0" w:afterAutospacing="0" w:line="400" w:lineRule="exact"/>
        <w:rPr>
          <w:rFonts w:hint="eastAsia" w:ascii="Times New Roman" w:hAnsi="Times New Roman"/>
          <w:b/>
          <w:bCs/>
          <w:color w:val="000000"/>
          <w:sz w:val="32"/>
          <w:szCs w:val="32"/>
        </w:rPr>
        <w:outlineLvl w:val="2"/>
      </w:pPr>
      <w:r/>
      <w:bookmarkStart w:id="133" w:name="_Toc16938545"/>
      <w:r/>
      <w:bookmarkStart w:id="134" w:name="_Toc513029229"/>
      <w:r/>
      <w:bookmarkStart w:id="135" w:name="_Toc20823301"/>
      <w:r/>
      <w:bookmarkStart w:id="136" w:name="_Toc120614218"/>
      <w:r>
        <w:rPr>
          <w:rFonts w:hint="eastAsia" w:ascii="Times New Roman" w:hAnsi="Times New Roman"/>
          <w:b/>
          <w:bCs/>
          <w:color w:val="000000"/>
          <w:sz w:val="32"/>
          <w:szCs w:val="32"/>
        </w:rPr>
        <w:t xml:space="preserve">五、开标与评标</w:t>
      </w:r>
      <w:bookmarkEnd w:id="133"/>
      <w:r/>
      <w:bookmarkEnd w:id="134"/>
      <w:r/>
      <w:bookmarkEnd w:id="135"/>
      <w:r/>
      <w:bookmarkEnd w:id="136"/>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137" w:name="_Toc513029230"/>
      <w:r/>
      <w:bookmarkStart w:id="138" w:name="_Toc20823302"/>
      <w:r/>
      <w:bookmarkStart w:id="139"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
    </w:p>
    <w:p>
      <w:pPr>
        <w:ind w:firstLine="480"/>
        <w:pageBreakBefore w:val="0"/>
        <w:spacing w:beforeAutospacing="0" w:afterAutospacing="0"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pageBreakBefore w:val="0"/>
        <w:spacing w:beforeAutospacing="0" w:afterAutospacing="0"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pageBreakBefore w:val="0"/>
        <w:spacing w:beforeAutospacing="0" w:afterAutospacing="0"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pageBreakBefore w:val="0"/>
        <w:spacing w:beforeAutospacing="0" w:afterAutospacing="0"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pageBreakBefore w:val="0"/>
        <w:spacing w:beforeAutospacing="0" w:afterAutospacing="0" w:line="400" w:lineRule="exact"/>
        <w:rPr>
          <w:rFonts w:hint="eastAsia" w:ascii="Arial" w:hAnsi="Arial" w:eastAsia="黑体" w:cs="Arial"/>
          <w:sz w:val="28"/>
          <w:szCs w:val="28"/>
        </w:rPr>
        <w:outlineLvl w:val="3"/>
      </w:pPr>
      <w:r/>
      <w:bookmarkStart w:id="140" w:name="_Toc513029231"/>
      <w:r/>
      <w:bookmarkStart w:id="141" w:name="_Toc20823303"/>
      <w:r/>
      <w:bookmarkStart w:id="142"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pageBreakBefore w:val="0"/>
        <w:spacing w:beforeAutospacing="0" w:afterAutospacing="0"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p>
    <w:p>
      <w:pPr>
        <w:pageBreakBefore w:val="0"/>
        <w:spacing w:beforeAutospacing="0" w:afterAutospacing="0"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p>
    <w:p>
      <w:pPr>
        <w:pageBreakBefore w:val="0"/>
        <w:spacing w:beforeAutospacing="0" w:afterAutospacing="0"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p>
    <w:p>
      <w:pPr>
        <w:ind w:firstLine="420"/>
        <w:keepLines/>
        <w:keepNext/>
        <w:pageBreakBefore w:val="0"/>
        <w:spacing w:beforeAutospacing="0" w:afterAutospacing="0"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0"/>
      <w:r/>
      <w:bookmarkEnd w:id="141"/>
      <w:r/>
      <w:bookmarkEnd w:id="142"/>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pageBreakBefore w:val="0"/>
        <w:spacing w:beforeAutospacing="0" w:afterAutospacing="0"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143" w:name="_Toc16938548"/>
      <w:r/>
      <w:bookmarkStart w:id="144" w:name="_Toc20823304"/>
      <w:r/>
      <w:bookmarkStart w:id="145"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
    </w:p>
    <w:p>
      <w:pPr>
        <w:ind w:firstLine="480"/>
        <w:pageBreakBefore w:val="0"/>
        <w:spacing w:beforeAutospacing="0" w:afterAutospacing="0" w:line="400" w:lineRule="exact"/>
        <w:rPr>
          <w:rFonts w:ascii="宋体" w:hAnsi="宋体"/>
          <w:color w:val="000000"/>
          <w:sz w:val="24"/>
          <w:szCs w:val="24"/>
        </w:rPr>
      </w:pPr>
      <w:r/>
      <w:bookmarkStart w:id="146" w:name="_Toc16938549"/>
      <w:r/>
      <w:bookmarkStart w:id="147" w:name="_Toc20823305"/>
      <w:r/>
      <w:bookmarkStart w:id="148"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p>
    <w:p>
      <w:pPr>
        <w:ind w:firstLine="480"/>
        <w:pageBreakBefore w:val="0"/>
        <w:spacing w:beforeAutospacing="0" w:afterAutospacing="0"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p>
    <w:p>
      <w:pPr>
        <w:ind w:firstLine="480"/>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pageBreakBefore w:val="0"/>
        <w:spacing w:beforeAutospacing="0" w:afterAutospacing="0"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pageBreakBefore w:val="0"/>
        <w:spacing w:beforeAutospacing="0" w:afterAutospacing="0" w:line="400" w:lineRule="exact"/>
        <w:rPr>
          <w:rFonts w:ascii="宋体" w:hAnsi="宋体"/>
          <w:color w:val="000000"/>
          <w:sz w:val="24"/>
          <w:szCs w:val="21"/>
        </w:rPr>
      </w:pPr>
      <w:r/>
      <w:bookmarkStart w:id="149" w:name="_Toc513029234"/>
      <w:r/>
      <w:bookmarkStart w:id="150" w:name="_Toc16938550"/>
      <w:r/>
      <w:bookmarkStart w:id="151"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pageBreakBefore w:val="0"/>
        <w:spacing w:beforeAutospacing="0" w:afterAutospacing="0"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pageBreakBefore w:val="0"/>
        <w:spacing w:beforeAutospacing="0" w:afterAutospacing="0"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pageBreakBefore w:val="0"/>
        <w:spacing w:beforeAutospacing="0" w:afterAutospacing="0"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pageBreakBefore w:val="0"/>
        <w:spacing w:beforeAutospacing="0" w:afterAutospacing="0"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25.8 异常低价投标审查</w:t>
      </w:r>
      <w:r/>
    </w:p>
    <w:p>
      <w:pPr>
        <w:ind w:firstLine="420"/>
        <w:pageBreakBefore w:val="0"/>
        <w:spacing w:beforeAutospacing="0" w:afterAutospacing="0"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25.8.1 评标过程中出现下列情形之一的，评标委员会应当启动异常低价投标审查程序：</w:t>
      </w:r>
      <w:r/>
    </w:p>
    <w:p>
      <w:pPr>
        <w:ind w:firstLine="420"/>
        <w:pageBreakBefore w:val="0"/>
        <w:spacing w:beforeAutospacing="0" w:afterAutospacing="0"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（1）投标报价低于全部通过符合性审查供应商投标报价平均值</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的，即投标报价&lt;全部通过符合性审查供应商投标报价平均值×</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w:t>
      </w:r>
      <w:r/>
    </w:p>
    <w:p>
      <w:pPr>
        <w:ind w:firstLine="420"/>
        <w:pageBreakBefore w:val="0"/>
        <w:spacing w:beforeAutospacing="0" w:afterAutospacing="0"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（2）投标报价低于通过符合性审查的次低报价供应商投标报价</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的，即投标报价&lt;通过符合性审查的次低报价供应商投标报价×</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w:t>
      </w:r>
      <w:r/>
    </w:p>
    <w:p>
      <w:pPr>
        <w:ind w:firstLine="420"/>
        <w:pageBreakBefore w:val="0"/>
        <w:spacing w:beforeAutospacing="0" w:afterAutospacing="0" w:line="400" w:lineRule="exact"/>
        <w:rPr>
          <w:rFonts w:hint="eastAsia" w:ascii="方正魏碑_GBK" w:hAnsi="方正魏碑_GBK" w:eastAsia="方正魏碑_GBK" w:cs="方正魏碑_GBK"/>
          <w:color w:val="000000"/>
          <w:sz w:val="24"/>
          <w:szCs w:val="21"/>
          <w:lang w:eastAsia="zh-CN"/>
        </w:rPr>
      </w:pP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val="en-US" w:eastAsia="zh-CN"/>
        </w:rPr>
        <w:t xml:space="preserve">3</w:t>
      </w:r>
      <w:r>
        <w:rPr>
          <w:rFonts w:hint="eastAsia" w:ascii="方正魏碑_GBK" w:hAnsi="方正魏碑_GBK" w:eastAsia="方正魏碑_GBK" w:cs="方正魏碑_GBK"/>
          <w:color w:val="000000"/>
          <w:sz w:val="24"/>
          <w:szCs w:val="21"/>
          <w:lang w:eastAsia="zh-CN"/>
        </w:rPr>
        <w:t xml:space="preserve">）投标报价低于采购项目最高限价</w:t>
      </w:r>
      <w:r>
        <w:rPr>
          <w:rFonts w:hint="eastAsia" w:ascii="方正魏碑_GBK" w:hAnsi="方正魏碑_GBK" w:eastAsia="方正魏碑_GBK" w:cs="方正魏碑_GBK"/>
          <w:color w:val="000000"/>
          <w:sz w:val="24"/>
          <w:szCs w:val="21"/>
          <w:u w:val="single"/>
          <w:lang w:val="en-US" w:eastAsia="zh-CN"/>
        </w:rPr>
        <w:t xml:space="preserve">6</w:t>
      </w:r>
      <w:r>
        <w:rPr>
          <w:rFonts w:hint="eastAsia" w:ascii="方正魏碑_GBK" w:hAnsi="方正魏碑_GBK" w:eastAsia="方正魏碑_GBK" w:cs="方正魏碑_GBK"/>
          <w:color w:val="000000"/>
          <w:sz w:val="24"/>
          <w:szCs w:val="21"/>
          <w:u w:val="single"/>
          <w:lang w:eastAsia="zh-CN"/>
        </w:rPr>
        <w:t xml:space="preserve">5%</w:t>
      </w:r>
      <w:r>
        <w:rPr>
          <w:rFonts w:hint="eastAsia" w:ascii="方正魏碑_GBK" w:hAnsi="方正魏碑_GBK" w:eastAsia="方正魏碑_GBK" w:cs="方正魏碑_GBK"/>
          <w:color w:val="000000"/>
          <w:sz w:val="24"/>
          <w:szCs w:val="21"/>
          <w:lang w:eastAsia="zh-CN"/>
        </w:rPr>
        <w:t xml:space="preserve">的，即投标报价&lt;采购项目最高限价×</w:t>
      </w:r>
      <w:r>
        <w:rPr>
          <w:rFonts w:hint="eastAsia" w:ascii="方正魏碑_GBK" w:hAnsi="方正魏碑_GBK" w:eastAsia="方正魏碑_GBK" w:cs="方正魏碑_GBK"/>
          <w:color w:val="000000"/>
          <w:sz w:val="24"/>
          <w:szCs w:val="21"/>
          <w:u w:val="single"/>
          <w:lang w:val="en-US" w:eastAsia="zh-CN"/>
        </w:rPr>
        <w:t xml:space="preserve">6</w:t>
      </w:r>
      <w:r>
        <w:rPr>
          <w:rFonts w:hint="eastAsia" w:ascii="方正魏碑_GBK" w:hAnsi="方正魏碑_GBK" w:eastAsia="方正魏碑_GBK" w:cs="方正魏碑_GBK"/>
          <w:color w:val="000000"/>
          <w:sz w:val="24"/>
          <w:szCs w:val="21"/>
          <w:u w:val="single"/>
          <w:lang w:eastAsia="zh-CN"/>
        </w:rPr>
        <w:t xml:space="preserve">5%</w:t>
      </w:r>
      <w:r>
        <w:rPr>
          <w:rFonts w:hint="eastAsia" w:ascii="方正魏碑_GBK" w:hAnsi="方正魏碑_GBK" w:eastAsia="方正魏碑_GBK" w:cs="方正魏碑_GBK"/>
          <w:color w:val="000000"/>
          <w:sz w:val="24"/>
          <w:szCs w:val="21"/>
          <w:lang w:eastAsia="zh-CN"/>
        </w:rPr>
        <w:t xml:space="preserve">；</w:t>
      </w:r>
      <w:r/>
    </w:p>
    <w:p>
      <w:pPr>
        <w:ind w:firstLine="420"/>
        <w:pageBreakBefore w:val="0"/>
        <w:spacing w:beforeAutospacing="0" w:afterAutospacing="0" w:line="400" w:lineRule="exact"/>
        <w:rPr>
          <w:rFonts w:hint="eastAsia" w:ascii="宋体" w:hAnsi="宋体"/>
          <w:color w:val="000000"/>
          <w:sz w:val="24"/>
          <w:szCs w:val="24"/>
          <w:highlight w:val="yellow"/>
        </w:rPr>
      </w:pP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eastAsia="zh-CN"/>
        </w:rPr>
        <w:t xml:space="preserve">评标</w:t>
      </w:r>
      <w:r>
        <w:rPr>
          <w:rFonts w:hint="eastAsia" w:ascii="方正魏碑_GBK" w:hAnsi="方正魏碑_GBK" w:eastAsia="方正魏碑_GBK" w:cs="方正魏碑_GBK"/>
          <w:color w:val="000000"/>
          <w:sz w:val="24"/>
          <w:szCs w:val="21"/>
        </w:rPr>
        <w:t xml:space="preserve">委员会基于专业判断，认为供应商报价过低，有可能影响产品质量或者不能诚信履约的其他情形。</w:t>
      </w:r>
      <w:r/>
    </w:p>
    <w:p>
      <w:pPr>
        <w:ind w:firstLine="420"/>
        <w:pageBreakBefore w:val="0"/>
        <w:spacing w:beforeAutospacing="0" w:afterAutospacing="0"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rPr>
        <w:t xml:space="preserve">25.8.2 </w:t>
      </w:r>
      <w:r>
        <w:rPr>
          <w:rFonts w:hint="eastAsia" w:ascii="方正魏碑_GBK" w:hAnsi="方正魏碑_GBK" w:eastAsia="方正魏碑_GBK" w:cs="方正魏碑_GBK"/>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pageBreakBefore w:val="0"/>
        <w:spacing w:beforeAutospacing="0" w:afterAutospacing="0"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pageBreakBefore w:val="0"/>
        <w:spacing w:beforeAutospacing="0" w:afterAutospacing="0"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ind w:left="478"/>
        <w:pageBreakBefore w:val="0"/>
        <w:spacing w:beforeAutospacing="0" w:afterAutospacing="0" w:line="400" w:lineRule="exact"/>
        <w:rPr>
          <w:rFonts w:hint="eastAsia" w:ascii="宋体" w:hAnsi="宋体"/>
          <w:bCs/>
          <w:sz w:val="24"/>
          <w:szCs w:val="21"/>
        </w:rPr>
      </w:pPr>
      <w:r/>
      <w:bookmarkStart w:id="152" w:name="_Toc513029235"/>
      <w:r/>
      <w:bookmarkStart w:id="153" w:name="_Toc16938551"/>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pageBreakBefore w:val="0"/>
        <w:spacing w:beforeAutospacing="0" w:afterAutospacing="0"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8"/>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pageBreakBefore w:val="0"/>
        <w:spacing w:beforeAutospacing="0" w:afterAutospacing="0"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pageBreakBefore w:val="0"/>
        <w:spacing w:beforeAutospacing="0" w:afterAutospacing="0"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20"/>
        <w:pageBreakBefore w:val="0"/>
        <w:spacing w:beforeAutospacing="0" w:afterAutospacing="0"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26.1.10 评标委员会按照本招标文件规定对投标人进行异常低价投标审查后，认为投标人不能证明其报价合理性的。</w:t>
      </w:r>
      <w:r/>
    </w:p>
    <w:p>
      <w:pPr>
        <w:ind w:firstLine="420"/>
        <w:pageBreakBefore w:val="0"/>
        <w:spacing w:beforeAutospacing="0" w:afterAutospacing="0"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20"/>
        <w:pageBreakBefore w:val="0"/>
        <w:spacing w:beforeAutospacing="0" w:afterAutospacing="0"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26.1.13 投标人所投标产品不符合招标文件中所列国家强制性标准的。</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其他法律、法规及本招标文件规定的属无效投标的情形。</w:t>
      </w:r>
      <w:r/>
    </w:p>
    <w:p>
      <w:pPr>
        <w:ind w:left="478"/>
        <w:pageBreakBefore w:val="0"/>
        <w:spacing w:beforeAutospacing="0" w:afterAutospacing="0" w:line="400" w:lineRule="exact"/>
        <w:rPr>
          <w:rFonts w:hint="eastAsia"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lang w:val="en-US" w:eastAsia="zh-CN"/>
        </w:rPr>
        <w:t xml:space="preserve"> </w:t>
      </w:r>
      <w:r/>
    </w:p>
    <w:p>
      <w:pPr>
        <w:ind w:left="478"/>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8"/>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pageBreakBefore w:val="0"/>
        <w:spacing w:beforeAutospacing="0" w:afterAutospacing="0" w:line="400" w:lineRule="exact"/>
        <w:rPr>
          <w:rFonts w:ascii="宋体" w:hAnsi="宋体" w:eastAsia="宋体"/>
          <w:bCs/>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lang w:val="en-US" w:eastAsia="zh-CN"/>
        </w:rPr>
        <w:t xml:space="preserve">  </w:t>
      </w:r>
      <w:r/>
    </w:p>
    <w:p>
      <w:pPr>
        <w:ind w:left="478"/>
        <w:pageBreakBefore w:val="0"/>
        <w:spacing w:beforeAutospacing="0" w:afterAutospacing="0"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pageBreakBefore w:val="0"/>
        <w:spacing w:beforeAutospacing="0" w:afterAutospacing="0" w:line="400" w:lineRule="exact"/>
        <w:rPr>
          <w:rFonts w:hint="eastAsia"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w:t>
      </w:r>
      <w:bookmarkEnd w:id="152"/>
      <w:r/>
      <w:bookmarkEnd w:id="153"/>
      <w:r/>
      <w:bookmarkEnd w:id="154"/>
      <w:r>
        <w:rPr>
          <w:rFonts w:hint="eastAsia" w:ascii="Times New Roman" w:hAnsi="Times New Roman"/>
          <w:b/>
          <w:bCs/>
          <w:color w:val="000000"/>
          <w:sz w:val="32"/>
          <w:szCs w:val="32"/>
        </w:rPr>
        <w:t xml:space="preserve">定标</w:t>
      </w:r>
      <w:bookmarkEnd w:id="155"/>
      <w:r/>
      <w:r/>
    </w:p>
    <w:p>
      <w:pPr>
        <w:ind w:firstLine="600"/>
        <w:keepLines/>
        <w:keepNext/>
        <w:pageBreakBefore w:val="0"/>
        <w:spacing w:beforeAutospacing="0" w:afterAutospacing="0"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pageBreakBefore w:val="0"/>
        <w:spacing w:beforeAutospacing="0" w:afterAutospacing="0"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pageBreakBefore w:val="0"/>
        <w:spacing w:beforeAutospacing="0" w:afterAutospacing="0"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pageBreakBefore w:val="0"/>
        <w:spacing w:beforeAutospacing="0" w:afterAutospacing="0"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pageBreakBefore w:val="0"/>
        <w:spacing w:beforeAutospacing="0" w:afterAutospacing="0"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beforeAutospacing="0" w:afterAutospacing="0"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pageBreakBefore w:val="0"/>
        <w:spacing w:beforeAutospacing="0" w:afterAutospacing="0"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pageBreakBefore w:val="0"/>
        <w:spacing w:beforeAutospacing="0" w:afterAutospacing="0"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Autospacing="0" w:afterAutospacing="0" w:line="400" w:lineRule="exact"/>
        <w:rPr>
          <w:rFonts w:hint="eastAsia" w:ascii="Times New Roman" w:hAnsi="Times New Roman"/>
          <w:b/>
          <w:bCs/>
          <w:color w:val="000000"/>
          <w:sz w:val="32"/>
          <w:szCs w:val="32"/>
        </w:rPr>
        <w:outlineLvl w:val="2"/>
      </w:pPr>
      <w:r/>
      <w:bookmarkStart w:id="160" w:name="_Toc16938552"/>
      <w:r/>
      <w:bookmarkStart w:id="161" w:name="_Toc120614220"/>
      <w:r/>
      <w:bookmarkStart w:id="162" w:name="_Toc20823308"/>
      <w:r/>
      <w:bookmarkStart w:id="163" w:name="_Toc513029236"/>
      <w:r>
        <w:rPr>
          <w:rFonts w:hint="eastAsia" w:ascii="Times New Roman" w:hAnsi="Times New Roman"/>
          <w:b/>
          <w:bCs/>
          <w:color w:val="000000"/>
          <w:sz w:val="32"/>
          <w:szCs w:val="32"/>
        </w:rPr>
        <w:t xml:space="preserve">七、授予合同</w:t>
      </w:r>
      <w:bookmarkEnd w:id="160"/>
      <w:r/>
      <w:bookmarkEnd w:id="161"/>
      <w:r/>
      <w:bookmarkEnd w:id="162"/>
      <w:r/>
      <w:bookmarkEnd w:id="163"/>
      <w:r/>
      <w:r/>
    </w:p>
    <w:p>
      <w:pPr>
        <w:ind w:firstLine="600"/>
        <w:keepLines/>
        <w:keepNext/>
        <w:pageBreakBefore w:val="0"/>
        <w:spacing w:beforeAutospacing="0" w:afterAutospacing="0" w:line="400" w:lineRule="exact"/>
        <w:rPr>
          <w:rFonts w:hint="eastAsia" w:ascii="黑体" w:hAnsi="宋体" w:eastAsia="黑体"/>
          <w:bCs/>
          <w:color w:val="000000"/>
          <w:sz w:val="30"/>
          <w:szCs w:val="30"/>
        </w:rPr>
        <w:outlineLvl w:val="3"/>
      </w:pPr>
      <w:r/>
      <w:bookmarkStart w:id="164" w:name="_Toc16938553"/>
      <w:r/>
      <w:bookmarkStart w:id="165" w:name="_Toc513029237"/>
      <w:r/>
      <w:bookmarkStart w:id="166"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pageBreakBefore w:val="0"/>
        <w:spacing w:beforeAutospacing="0" w:afterAutospacing="0"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pageBreakBefore w:val="0"/>
        <w:spacing w:beforeAutospacing="0" w:afterAutospacing="0"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p>
    <w:p>
      <w:pPr>
        <w:ind w:firstLine="600"/>
        <w:keepLines/>
        <w:keepNext/>
        <w:pageBreakBefore w:val="0"/>
        <w:spacing w:beforeAutospacing="0" w:afterAutospacing="0"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pageBreakBefore w:val="0"/>
        <w:spacing w:beforeAutospacing="0" w:afterAutospacing="0"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pageBreakBefore w:val="0"/>
        <w:spacing w:beforeAutospacing="0" w:afterAutospacing="0" w:line="400" w:lineRule="exact"/>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line="500" w:lineRule="exact"/>
        <w:rPr>
          <w:rFonts w:hint="eastAsia" w:ascii="宋体" w:hAnsi="宋体"/>
          <w:bCs/>
          <w:color w:val="000000"/>
          <w:sz w:val="24"/>
          <w:szCs w:val="24"/>
        </w:rPr>
      </w:pPr>
      <w:r>
        <w:rPr>
          <w:rFonts w:hint="eastAsia" w:ascii="宋体" w:hAnsi="宋体"/>
          <w:bCs/>
          <w:color w:val="000000"/>
          <w:sz w:val="24"/>
          <w:szCs w:val="24"/>
        </w:rPr>
      </w:r>
      <w:r/>
    </w:p>
    <w:p>
      <w:pPr>
        <w:ind w:firstLine="2640"/>
        <w:jc w:val="left"/>
        <w:keepLines w:val="0"/>
        <w:keepNext w:val="0"/>
        <w:pageBreakBefore w:val="0"/>
        <w:spacing w:beforeAutospacing="0" w:afterAutospacing="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spacing w:beforeAutospacing="0" w:afterAutospacing="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spacing w:beforeAutospacing="0" w:afterAutospacing="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spacing w:beforeAutospacing="0" w:afterAutospacing="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Next/>
        <w:pageBreakBefore w:val="0"/>
        <w:spacing w:beforeAutospacing="0" w:afterAutospacing="0"/>
        <w:rPr>
          <w:rFonts w:ascii="宋体" w:hAnsi="宋体" w:eastAsia="宋体" w:cs="宋体"/>
          <w:b/>
          <w:bCs/>
          <w:spacing w:val="-20"/>
          <w:sz w:val="32"/>
          <w:szCs w:val="32"/>
        </w:rPr>
        <w:outlineLvl w:val="0"/>
      </w:pPr>
      <w:r>
        <w:rPr>
          <w:rFonts w:hint="eastAsia" w:ascii="黑体" w:hAnsi="Times New Roman" w:eastAsia="黑体"/>
          <w:bCs/>
          <w:color w:val="000000"/>
          <w:sz w:val="44"/>
          <w:szCs w:val="28"/>
        </w:rPr>
        <w:br w:type="page" w:clear="all"/>
      </w:r>
      <w:r/>
    </w:p>
    <w:p>
      <w:pPr>
        <w:ind w:left="0" w:right="0" w:firstLine="2640"/>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第三章合同文本</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keepLines w:val="0"/>
        <w:keepNext w:val="0"/>
        <w:pageBreakBefore w:val="0"/>
        <w:spacing w:beforeAutospacing="0" w:afterAutospacing="0" w:line="8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8"/>
          <w:u w:val="single"/>
        </w:rPr>
        <w:t xml:space="preserve">                 </w:t>
      </w:r>
      <w:r/>
    </w:p>
    <w:p>
      <w:pPr>
        <w:ind w:right="0"/>
        <w:jc w:val="both"/>
        <w:pageBreakBefore w:val="0"/>
        <w:spacing w:beforeAutospacing="0" w:afterAutospacing="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8"/>
          <w:u w:val="single"/>
        </w:rPr>
        <w:t xml:space="preserve">               </w:t>
      </w:r>
      <w:r/>
    </w:p>
    <w:p>
      <w:pPr>
        <w:ind w:right="0"/>
        <w:jc w:val="both"/>
        <w:pageBreakBefore w:val="0"/>
        <w:spacing w:beforeAutospacing="0" w:afterAutospacing="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8"/>
          <w:u w:val="single"/>
        </w:rPr>
        <w:t xml:space="preserve">                  </w:t>
      </w:r>
      <w:r/>
    </w:p>
    <w:p>
      <w:pPr>
        <w:ind w:right="0"/>
        <w:jc w:val="both"/>
        <w:pageBreakBefore w:val="0"/>
        <w:spacing w:beforeAutospacing="0" w:afterAutospacing="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8"/>
          <w:u w:val="single"/>
        </w:rPr>
        <w:t xml:space="preserve">                     </w:t>
      </w:r>
      <w:r/>
    </w:p>
    <w:p>
      <w:pPr>
        <w:ind w:right="0"/>
        <w:jc w:val="both"/>
        <w:pageBreakBefore w:val="0"/>
        <w:spacing w:beforeAutospacing="0" w:afterAutospacing="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8"/>
          <w:u w:val="single"/>
        </w:rPr>
        <w:t xml:space="preserve">      </w:t>
      </w:r>
      <w:r>
        <w:rPr>
          <w:rFonts w:ascii="Calibri" w:hAnsi="Calibri" w:eastAsia="Calibri" w:cs="Calibri"/>
          <w:color w:val="000000"/>
          <w:sz w:val="28"/>
          <w:u w:val="single"/>
        </w:rPr>
        <w:t xml:space="preserve">           </w:t>
      </w:r>
      <w:r>
        <w:rPr>
          <w:rFonts w:ascii="宋体" w:hAnsi="宋体" w:eastAsia="宋体" w:cs="宋体"/>
          <w:color w:val="000000"/>
          <w:sz w:val="28"/>
          <w:u w:val="single"/>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br w:type="page" w:clear="all"/>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第一节 政府采购合同协议书</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6"/>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numPr>
          <w:ilvl w:val="0"/>
          <w:numId w:val="7"/>
        </w:numPr>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采购项目名称：</w:t>
      </w:r>
      <w:r>
        <w:rPr>
          <w:rFonts w:ascii="宋体" w:hAnsi="宋体" w:eastAsia="宋体" w:cs="宋体"/>
          <w:color w:val="000000"/>
          <w:sz w:val="21"/>
          <w:u w:val="single"/>
        </w:rPr>
        <w:t xml:space="preserve">                    </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采购采购编号：</w:t>
      </w:r>
      <w:r>
        <w:rPr>
          <w:rFonts w:ascii="宋体" w:hAnsi="宋体" w:eastAsia="宋体" w:cs="宋体"/>
          <w:color w:val="000000"/>
          <w:sz w:val="21"/>
          <w:u w:val="single"/>
        </w:rPr>
        <w:t xml:space="preserve">                  </w:t>
      </w:r>
      <w:r/>
    </w:p>
    <w:p>
      <w:pPr>
        <w:ind w:right="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标的名称：</w:t>
      </w:r>
      <w:r>
        <w:rPr>
          <w:rFonts w:ascii="宋体" w:hAnsi="宋体" w:eastAsia="宋体" w:cs="宋体"/>
          <w:color w:val="000000"/>
          <w:sz w:val="21"/>
          <w:u w:val="single"/>
        </w:rPr>
        <w:t xml:space="preserve">                         </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right="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right="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（注：关键部件是指财政部会同有关部门发布的政府采购需求标准规定的需要通过国家有关部门指定的测评机构开展的安全可靠测评的软硬件，如CPU芯片、操作系统、数据库等。）</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pageBreakBefore w:val="0"/>
        <w:spacing w:beforeAutospacing="0" w:afterAutospacing="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right="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hint="eastAsia" w:ascii="华文楷体" w:hAnsi="华文楷体" w:eastAsia="华文楷体" w:cs="华文楷体"/>
          <w:color w:val="000000"/>
          <w:sz w:val="22"/>
          <w:lang w:val="en-US" w:eastAsia="zh-CN"/>
        </w:rPr>
        <w:t xml:space="preserve">       </w:t>
      </w: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ind w:right="0"/>
        <w:pageBreakBefore w:val="0"/>
        <w:spacing w:beforeAutospacing="0" w:afterAutospacing="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w:t>
      </w:r>
      <w:r>
        <w:rPr>
          <w:rFonts w:ascii="宋体" w:hAnsi="宋体" w:eastAsia="宋体" w:cs="宋体"/>
          <w:color w:val="000000"/>
          <w:sz w:val="22"/>
        </w:rPr>
        <w:t xml:space="preserve">6</w:t>
      </w:r>
      <w:r>
        <w:rPr>
          <w:rFonts w:ascii="华文楷体" w:hAnsi="华文楷体" w:eastAsia="华文楷体" w:cs="华文楷体"/>
          <w:color w:val="000000"/>
          <w:sz w:val="22"/>
        </w:rPr>
        <w:t xml:space="preserve">）</w:t>
      </w: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right="0"/>
        <w:jc w:val="both"/>
        <w:pageBreakBefore w:val="0"/>
        <w:spacing w:beforeAutospacing="0" w:afterAutospacing="0" w:line="400" w:lineRule="atLeast"/>
        <w:rPr>
          <w:rFonts w:ascii="宋体" w:hAnsi="宋体" w:eastAsia="宋体" w:cs="宋体"/>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分包主要内容：</w:t>
      </w:r>
      <w:r>
        <w:rPr>
          <w:rFonts w:ascii="宋体" w:hAnsi="宋体" w:eastAsia="宋体" w:cs="宋体"/>
          <w:color w:val="000000"/>
          <w:sz w:val="21"/>
          <w:u w:val="single"/>
        </w:rPr>
        <w:t xml:space="preserve">                    </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分包供应商/制造商名称（如供应商和制造商不同，请分别填写）：</w:t>
      </w:r>
      <w:r/>
    </w:p>
    <w:p>
      <w:pPr>
        <w:ind w:left="0" w:right="0" w:firstLine="840"/>
        <w:jc w:val="both"/>
        <w:pageBreakBefore w:val="0"/>
        <w:spacing w:beforeAutospacing="0" w:afterAutospacing="0" w:line="400" w:lineRule="atLeast"/>
        <w:rPr>
          <w:rFonts w:ascii="宋体" w:hAnsi="宋体" w:eastAsia="宋体" w:cs="宋体"/>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分包供应商/制造商类型（如果供应商和制造商不同，只填写制造商类型）：</w:t>
      </w:r>
      <w:r/>
    </w:p>
    <w:p>
      <w:pPr>
        <w:ind w:left="0" w:right="0" w:firstLine="84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p>
    <w:p>
      <w:pPr>
        <w:ind w:left="0" w:right="0" w:firstLine="84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（10）是否涉及节能产品：</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强制采购</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是否涉及环境标志产品：</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是否涉及绿色产品： </w:t>
      </w:r>
      <w:r/>
    </w:p>
    <w:p>
      <w:pPr>
        <w:ind w:right="0"/>
        <w:pageBreakBefore w:val="0"/>
        <w:spacing w:beforeAutospacing="0" w:afterAutospacing="0"/>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2"/>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强制采购</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right="0"/>
        <w:pageBreakBefore w:val="0"/>
        <w:spacing w:beforeAutospacing="0" w:afterAutospacing="0"/>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（11）涉及商品包装和快递包装的，是否参考《商品包装政府采购需求标准（试行）》、《快递包装政府采购需求标准（试行）》明确产品及相关快递服务的具体包装要求：</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numPr>
          <w:ilvl w:val="0"/>
          <w:numId w:val="6"/>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合同金额</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大写：</w:t>
      </w:r>
      <w:r>
        <w:rPr>
          <w:rFonts w:ascii="宋体" w:hAnsi="宋体" w:eastAsia="宋体" w:cs="宋体"/>
          <w:color w:val="000000"/>
          <w:sz w:val="21"/>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分包金额（如有）小写：</w:t>
      </w:r>
      <w:r>
        <w:rPr>
          <w:rFonts w:ascii="宋体" w:hAnsi="宋体" w:eastAsia="宋体" w:cs="宋体"/>
          <w:color w:val="000000"/>
          <w:sz w:val="21"/>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大写：</w:t>
      </w:r>
      <w:r>
        <w:rPr>
          <w:rFonts w:ascii="宋体" w:hAnsi="宋体" w:eastAsia="宋体" w:cs="宋体"/>
          <w:color w:val="000000"/>
          <w:sz w:val="21"/>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（注：固定单价合同应填写单价和最高限价）</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（2）合同定价方式（采用组合定价方式的，可以勾选多项）：</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þ</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right="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  （应明确一次性支付合同款项的条件）</w:t>
      </w:r>
      <w:r/>
    </w:p>
    <w:p>
      <w:pPr>
        <w:ind w:right="0"/>
        <w:jc w:val="both"/>
        <w:pageBreakBefore w:val="0"/>
        <w:spacing w:beforeAutospacing="0" w:afterAutospacing="0" w:line="85"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þ</w:t>
      </w:r>
      <w:r>
        <w:rPr>
          <w:rFonts w:ascii="宋体" w:hAnsi="宋体" w:eastAsia="宋体" w:cs="宋体"/>
          <w:color w:val="000000"/>
          <w:sz w:val="21"/>
        </w:rPr>
        <w:t xml:space="preserve">分期付款：</w:t>
      </w:r>
      <w:r>
        <w:rPr>
          <w:rFonts w:ascii="宋体" w:hAnsi="宋体" w:eastAsia="宋体" w:cs="宋体"/>
          <w:color w:val="000000"/>
          <w:sz w:val="21"/>
          <w:u w:val="single"/>
        </w:rPr>
        <w:t xml:space="preserve">  </w:t>
      </w:r>
      <w:r>
        <w:rPr>
          <w:rFonts w:ascii="宋体" w:hAnsi="宋体" w:eastAsia="宋体" w:cs="宋体"/>
          <w:color w:val="000000"/>
          <w:sz w:val="21"/>
        </w:rPr>
        <w:t xml:space="preserve">甲方在收到履约保证金（函）后，</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天内向乙方支付合同总金额</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的价款。乙方按照合同约定交货，并经甲方对合同中所有装备到货验收合格（甲方签署到货验收合格报告）后，凭乙方等额有效发票及甲方签署验收合格报告，甲方在</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天内向乙方支付合同金额</w:t>
      </w:r>
      <w:r>
        <w:rPr>
          <w:rFonts w:ascii="Times New Roman" w:hAnsi="Times New Roman" w:eastAsia="Times New Roman" w:cs="Times New Roman"/>
          <w:color w:val="000000"/>
          <w:sz w:val="21"/>
        </w:rPr>
        <w:t xml:space="preserve">70%</w:t>
      </w:r>
      <w:r>
        <w:rPr>
          <w:rFonts w:ascii="宋体" w:hAnsi="宋体" w:eastAsia="宋体" w:cs="宋体"/>
          <w:color w:val="000000"/>
          <w:sz w:val="21"/>
        </w:rPr>
        <w:t xml:space="preserve">的价款。当采购数量与实际使用数量不一致时，乙方应根据实际使用量供货，合同的最终结算金额按实际使用量乘以成交单价进行计算，其中涉及预付款的：</w:t>
      </w:r>
      <w:r>
        <w:rPr>
          <w:rFonts w:ascii="宋体" w:hAnsi="宋体" w:eastAsia="宋体" w:cs="宋体"/>
          <w:color w:val="000000"/>
          <w:sz w:val="21"/>
          <w:u w:val="single"/>
        </w:rPr>
        <w:t xml:space="preserve"> （应明确预付款的支付比例和支付条件） </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      （应明确按照成本补偿方式的支付方式和支付条件）</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      （应明确按照绩效激励方式的支付方式和支付条件）</w:t>
      </w:r>
      <w:r/>
    </w:p>
    <w:p>
      <w:pPr>
        <w:numPr>
          <w:ilvl w:val="0"/>
          <w:numId w:val="6"/>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þ</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本合同签订之日起</w:t>
      </w:r>
      <w:r>
        <w:rPr>
          <w:rFonts w:ascii="Times New Roman" w:hAnsi="Times New Roman" w:eastAsia="Times New Roman" w:cs="Times New Roman"/>
          <w:color w:val="000000"/>
          <w:sz w:val="21"/>
        </w:rPr>
        <w:t xml:space="preserve">7</w:t>
      </w:r>
      <w:r>
        <w:rPr>
          <w:rFonts w:ascii="宋体" w:hAnsi="宋体" w:eastAsia="宋体" w:cs="宋体"/>
          <w:color w:val="000000"/>
          <w:sz w:val="21"/>
        </w:rPr>
        <w:t xml:space="preserve">个工作日内，乙方应向甲方缴纳履约保证金（银行转账或金融机构出具的独立保函，该保函需载明：（</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）见索即付；（</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）收到甲方法定代表人或授权委托代理人签字确认并加盖公章的书面索赔通知后即应不争辩、不挑剔、不可撤销地向甲方支付索赔款，直至最高担保金额；（</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）有效期为保函开具之日起至验收合格后一年为止；（</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）担保金额为合同金额的</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。如乙方提供的保函未载明前述内容的，甲方可以拒收该保函，并要求乙方以银行转账的方式提供履约保证金。</w:t>
      </w:r>
      <w:r>
        <w:rPr>
          <w:rFonts w:ascii="宋体" w:hAnsi="宋体" w:eastAsia="宋体" w:cs="宋体"/>
          <w:color w:val="000000"/>
          <w:sz w:val="21"/>
          <w:u w:val="single"/>
        </w:rPr>
        <w:t xml:space="preserve">   </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合同总金额</w:t>
      </w:r>
      <w:r>
        <w:rPr>
          <w:rFonts w:ascii="Times New Roman" w:hAnsi="Times New Roman" w:eastAsia="Times New Roman" w:cs="Times New Roman"/>
          <w:color w:val="000000"/>
          <w:sz w:val="21"/>
        </w:rPr>
        <w:t xml:space="preserve">5% </w:t>
      </w:r>
      <w:r>
        <w:rPr>
          <w:rFonts w:ascii="宋体" w:hAnsi="宋体" w:eastAsia="宋体" w:cs="宋体"/>
          <w:color w:val="000000"/>
          <w:sz w:val="21"/>
          <w:u w:val="single"/>
        </w:rPr>
        <w:t xml:space="preserve">     </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ff"/>
          <w:sz w:val="21"/>
          <w:u w:val="single"/>
        </w:rPr>
        <w:t xml:space="preserve"> </w:t>
      </w:r>
      <w:r>
        <w:rPr>
          <w:rFonts w:ascii="宋体" w:hAnsi="宋体" w:eastAsia="宋体" w:cs="宋体"/>
          <w:color w:val="000000"/>
          <w:sz w:val="21"/>
          <w:u w:val="single"/>
        </w:rPr>
        <w:t xml:space="preserve">              </w:t>
      </w:r>
      <w:r/>
    </w:p>
    <w:p>
      <w:pPr>
        <w:numPr>
          <w:ilvl w:val="0"/>
          <w:numId w:val="6"/>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合同验收</w:t>
      </w:r>
      <w:r/>
    </w:p>
    <w:p>
      <w:pPr>
        <w:numPr>
          <w:ilvl w:val="0"/>
          <w:numId w:val="8"/>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w:t>
      </w:r>
      <w:r>
        <w:rPr>
          <w:rFonts w:hint="eastAsia" w:ascii="宋体" w:hAnsi="宋体" w:cs="宋体"/>
          <w:color w:val="000000"/>
          <w:sz w:val="21"/>
          <w:lang w:val="en-US" w:eastAsia="zh-CN"/>
        </w:rPr>
        <w:t xml:space="preserve">视频</w:t>
      </w:r>
      <w:r>
        <w:rPr>
          <w:rFonts w:ascii="宋体" w:hAnsi="宋体" w:eastAsia="宋体" w:cs="宋体"/>
          <w:color w:val="000000"/>
          <w:sz w:val="21"/>
        </w:rPr>
        <w:t xml:space="preserve">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6"/>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组成合同的文件</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ind w:left="0" w:right="0" w:firstLine="420"/>
        <w:jc w:val="both"/>
        <w:pageBreakBefore w:val="0"/>
        <w:spacing w:beforeAutospacing="0" w:afterAutospacing="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（9）补充条款：（支队根据实际情况与供货单位签署的售后服务承诺等保障合同履行的内容，但不得偏离合同实质性条款。）</w:t>
      </w:r>
      <w:r/>
    </w:p>
    <w:p>
      <w:pPr>
        <w:numPr>
          <w:ilvl w:val="0"/>
          <w:numId w:val="6"/>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合同生效</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本合同自甲乙双方法定代表或授权委托代表签字且加盖单位公章后生效。</w:t>
      </w:r>
      <w:r/>
    </w:p>
    <w:p>
      <w:pPr>
        <w:numPr>
          <w:ilvl w:val="0"/>
          <w:numId w:val="6"/>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合同份数</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肆</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贰</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贰</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rPr>
          <w:rFonts w:ascii="Calibri" w:hAnsi="Calibri" w:eastAsia="Calibri" w:cs="Calibri"/>
          <w:color w:val="000000"/>
          <w:sz w:val="21"/>
        </w:rPr>
        <w:t xml:space="preserve">   </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39"/>
        <w:tblW w:w="84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5"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vMerge w:val="restart"/>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法定代表人</w:t>
            </w:r>
            <w:r/>
          </w:p>
          <w:p>
            <w:pPr>
              <w:ind w:left="0" w:right="0" w:firstLine="10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Calibri" w:hAnsi="Calibri" w:eastAsia="Calibri" w:cs="Calibri"/>
                <w:color w:val="000000"/>
                <w:sz w:val="21"/>
              </w:rPr>
              <w:t xml:space="preserve">委托代理人</w:t>
            </w:r>
            <w:r>
              <w:rPr>
                <w:rFonts w:ascii="宋体" w:hAnsi="宋体" w:eastAsia="宋体" w:cs="宋体"/>
                <w:color w:val="000000"/>
                <w:sz w:val="21"/>
              </w:rPr>
              <w:t xml:space="preserve">（签章）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vMerge w:val="restart"/>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法定代表人</w:t>
            </w:r>
            <w:r/>
          </w:p>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Calibri" w:hAnsi="Calibri" w:eastAsia="Calibri" w:cs="Calibri"/>
                <w:color w:val="000000"/>
                <w:sz w:val="21"/>
              </w:rPr>
              <w:t xml:space="preserve">委托代理人</w:t>
            </w:r>
            <w:r>
              <w:rPr>
                <w:rFonts w:ascii="宋体" w:hAnsi="宋体" w:eastAsia="宋体" w:cs="宋体"/>
                <w:color w:val="000000"/>
                <w:sz w:val="21"/>
              </w:rPr>
              <w:t xml:space="preserve">（签章）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r>
      <w:tr>
        <w:trPr>
          <w:trHeight w:val="483"/>
        </w:trPr>
        <w:tc>
          <w:tcPr>
            <w:tcW w:w="1892" w:type="dxa"/>
            <w:vMerge w:val="continue"/>
            <w:textDirection w:val="lrTb"/>
            <w:noWrap w:val="false"/>
          </w:tcPr>
          <w:p>
            <w:pPr>
              <w:pageBreakBefore w:val="0"/>
              <w:spacing w:beforeAutospacing="0" w:after="0" w:afterAutospacing="0" w:line="240" w:lineRule="auto"/>
            </w:pPr>
            <w:r/>
            <w:r/>
          </w:p>
        </w:tc>
        <w:tc>
          <w:tcPr>
            <w:tcW w:w="2413" w:type="dxa"/>
            <w:vMerge w:val="continue"/>
            <w:textDirection w:val="lrTb"/>
            <w:noWrap w:val="false"/>
          </w:tcPr>
          <w:p>
            <w:pPr>
              <w:pageBreakBefore w:val="0"/>
              <w:spacing w:beforeAutospacing="0" w:after="0" w:afterAutospacing="0" w:line="240" w:lineRule="auto"/>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联 系 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联 系 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邮政编码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邮政编码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开户名称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开户银行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银行账号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586"/>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3" w:type="dxa"/>
            <w:vAlign w:val="center"/>
            <w:textDirection w:val="lrTb"/>
            <w:noWrap w:val="false"/>
          </w:tcPr>
          <w:p>
            <w:pPr>
              <w:ind w:left="0" w:right="0" w:firstLine="0"/>
              <w:pageBreakBefore w:val="0"/>
              <w:spacing w:beforeAutospacing="0" w:after="0" w:afterAutospacing="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br w:type="page" w:clear="all"/>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第二节 政府采购合同通用条款</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（3）“货物”系指乙方根据本合同规定须向甲方提供的各种形态和种类的物品，包括原材料、设备、产品（包括软件）及相关的备品备件、工具、手册及其他技术资料和材料等。</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9"/>
        </w:numPr>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0"/>
        </w:numPr>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对于满足合同约定支付条件的，甲方原则上应当自甲方在收到履约保证金（函）后，</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天内向乙方支付合同总金额</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的价款。乙方按照合同约定交货，并经甲方对合同中所有装备到货验收合格（甲方签署到货验收合格报告）后，凭乙方等额有效发票及甲方签署验收合格报告，甲方在</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天内向乙方支付合同金额</w:t>
      </w:r>
      <w:r>
        <w:rPr>
          <w:rFonts w:ascii="Times New Roman" w:hAnsi="Times New Roman" w:eastAsia="Times New Roman" w:cs="Times New Roman"/>
          <w:color w:val="000000"/>
          <w:sz w:val="21"/>
        </w:rPr>
        <w:t xml:space="preserve">70%</w:t>
      </w:r>
      <w:r>
        <w:rPr>
          <w:rFonts w:ascii="宋体" w:hAnsi="宋体" w:eastAsia="宋体" w:cs="宋体"/>
          <w:color w:val="000000"/>
          <w:sz w:val="21"/>
        </w:rPr>
        <w:t xml:space="preserve">的价款。当采购数量与实际使用数量不一致时，乙方应根据实际使用量供货，合同的最终结算金额按实际使用量乘以成交单价进行计算</w:t>
      </w:r>
      <w:r>
        <w:rPr>
          <w:rFonts w:hint="eastAsia" w:ascii="宋体" w:hAnsi="宋体" w:cs="宋体"/>
          <w:color w:val="000000"/>
          <w:sz w:val="21"/>
          <w:lang w:eastAsia="zh-CN"/>
        </w:rPr>
        <w:t xml:space="preserve">。</w:t>
      </w:r>
      <w:r>
        <w:rPr>
          <w:rFonts w:ascii="宋体" w:hAnsi="宋体" w:eastAsia="宋体" w:cs="宋体"/>
          <w:color w:val="000000"/>
          <w:sz w:val="21"/>
        </w:rPr>
        <w:t xml:space="preserve">甲方将资金支付到合同约定的乙方账户，不得以机构变动、人员更替、政策调整等为由迟延付款，不得将采购文件和合同中未规定的义务作为向乙方付款的条件。具体合同价款支付时间在【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numPr>
          <w:ilvl w:val="0"/>
          <w:numId w:val="11"/>
        </w:numPr>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合同变更、中止与终止</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21.2本合同条款与法律、行政法规的强制性规定不一致的，双方当事人应按照法律、行政法规的强制性规定修改本合同的相关条款。</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numPr>
          <w:ilvl w:val="0"/>
          <w:numId w:val="12"/>
        </w:numPr>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合同未尽事项</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br w:type="page" w:clear="all"/>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39"/>
        <w:tblW w:w="851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r>
        <w:trPr>
          <w:trHeight w:val="667"/>
        </w:trPr>
        <w:tc>
          <w:tcPr>
            <w:tcW w:w="1607" w:type="dxa"/>
            <w:vMerge w:val="continue"/>
            <w:textDirection w:val="lrTb"/>
            <w:noWrap w:val="false"/>
          </w:tcPr>
          <w:p>
            <w:pPr>
              <w:pageBreakBefore w:val="0"/>
              <w:spacing w:beforeAutospacing="0" w:after="0" w:afterAutospacing="0" w:line="240" w:lineRule="auto"/>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乙方在投标文件中的承诺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乙方在投标文件中的承诺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乙方在投标文件中的承诺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甲方在收到履约保证金（函）后，30</w:t>
            </w:r>
            <w:r>
              <w:rPr>
                <w:rFonts w:ascii="宋体" w:hAnsi="宋体" w:eastAsia="宋体" w:cs="宋体"/>
                <w:color w:val="000000"/>
                <w:sz w:val="21"/>
              </w:rPr>
              <w:t xml:space="preserve">天内向乙方支付合同总金额</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的价款。乙方按照合同约定交货，并经甲方对合同中所有装备到货验收合格（甲方签署到货验收合格报告）后，凭乙方等额有效发票及甲方签署验收合格报告，甲方在</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天内向乙方支付合同金额</w:t>
            </w:r>
            <w:r>
              <w:rPr>
                <w:rFonts w:ascii="Times New Roman" w:hAnsi="Times New Roman" w:eastAsia="Times New Roman" w:cs="Times New Roman"/>
                <w:color w:val="000000"/>
                <w:sz w:val="21"/>
              </w:rPr>
              <w:t xml:space="preserve">70%</w:t>
            </w:r>
            <w:r>
              <w:rPr>
                <w:rFonts w:ascii="宋体" w:hAnsi="宋体" w:eastAsia="宋体" w:cs="宋体"/>
                <w:color w:val="000000"/>
                <w:sz w:val="21"/>
              </w:rPr>
              <w:t xml:space="preserve">的价款。当采购数量与实际使用数量不一致时，乙方应根据实际使用量供货，合同的最终结算金额按实际使用量乘以成交单价进行计算</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无故不履约</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自甲方签署到货验收合格后，</w:t>
            </w:r>
            <w:r>
              <w:rPr>
                <w:rFonts w:hint="eastAsia" w:ascii="宋体" w:hAnsi="宋体" w:cs="宋体"/>
                <w:color w:val="000000"/>
                <w:sz w:val="21"/>
                <w:u w:val="none"/>
                <w:lang w:val="en-US" w:eastAsia="zh-CN"/>
              </w:rPr>
              <w:t xml:space="preserve">30日内</w:t>
            </w:r>
            <w:r>
              <w:rPr>
                <w:rFonts w:ascii="宋体" w:hAnsi="宋体" w:eastAsia="宋体" w:cs="宋体"/>
                <w:color w:val="000000"/>
                <w:sz w:val="21"/>
                <w:u w:val="none"/>
              </w:rPr>
              <w:t xml:space="preserve">退还履约保证金。</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以乙方在投标文件中的承诺为准</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以乙方在投标文件中的承诺为准</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以乙方在投标文件中的承诺为准</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以乙方在投标文件中的承诺为准</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乙方逾期交付货物的，乙方应按逾期交货总额每日万分之五向甲方支付违约金，由甲方从待付货款中扣除</w:t>
            </w:r>
            <w:r>
              <w:rPr>
                <w:rFonts w:ascii="宋体" w:hAnsi="宋体" w:eastAsia="宋体" w:cs="宋体"/>
                <w:color w:val="000000"/>
                <w:sz w:val="21"/>
              </w:rPr>
              <w:t xml:space="preserve">，上限为合同总额的</w:t>
            </w:r>
            <w:r>
              <w:rPr>
                <w:rFonts w:ascii="Calibri" w:hAnsi="Calibri" w:eastAsia="Calibri" w:cs="Calibri"/>
                <w:color w:val="000000"/>
                <w:sz w:val="21"/>
              </w:rPr>
              <w:t xml:space="preserve">30%</w:t>
            </w:r>
            <w:r>
              <w:rPr>
                <w:rFonts w:ascii="Times New Roman" w:hAnsi="Times New Roman" w:eastAsia="Times New Roman" w:cs="Times New Roman"/>
                <w:color w:val="000000"/>
                <w:sz w:val="21"/>
              </w:rPr>
              <w:t xml:space="preserve">。逾期超过约定日期10</w:t>
            </w:r>
            <w:r>
              <w:rPr>
                <w:rFonts w:ascii="宋体" w:hAnsi="宋体" w:eastAsia="宋体" w:cs="宋体"/>
                <w:color w:val="000000"/>
                <w:sz w:val="21"/>
              </w:rPr>
              <w:t xml:space="preserve">个工作日不能交货的，甲方可解除本合同或者起诉。乙方因逾期交货或因其他违约行为导致甲方解除合同的，乙方应向甲方支付合同总值</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的违约金，如造成甲方损失超过违约金的，超出部分由乙方继续承担赔偿责任。</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按逾期付款总额每日万分之五向乙方支付违约金。</w:t>
            </w:r>
            <w:r>
              <w:rPr>
                <w:rFonts w:ascii="宋体" w:hAnsi="宋体" w:eastAsia="宋体" w:cs="宋体"/>
                <w:color w:val="000000"/>
                <w:sz w:val="21"/>
              </w:rPr>
              <w:t xml:space="preserve">上限为合同总额的</w:t>
            </w:r>
            <w:r>
              <w:rPr>
                <w:rFonts w:ascii="Calibri" w:hAnsi="Calibri" w:eastAsia="Calibri" w:cs="Calibri"/>
                <w:color w:val="000000"/>
                <w:sz w:val="21"/>
              </w:rPr>
              <w:t xml:space="preserve">30%</w:t>
            </w:r>
            <w:r>
              <w:rPr>
                <w:rFonts w:ascii="Times New Roman" w:hAnsi="Times New Roman" w:eastAsia="Times New Roman" w:cs="Times New Roman"/>
                <w:color w:val="000000"/>
                <w:sz w:val="21"/>
              </w:rPr>
              <w:t xml:space="preserve">。</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（2）  </w:t>
            </w:r>
            <w:r>
              <w:rPr>
                <w:rFonts w:ascii="宋体" w:hAnsi="宋体" w:eastAsia="宋体" w:cs="宋体"/>
                <w:color w:val="000000"/>
                <w:sz w:val="21"/>
              </w:rPr>
              <w:t xml:space="preserve">种方式解决：</w:t>
            </w:r>
            <w:r/>
          </w:p>
          <w:p>
            <w:pPr>
              <w:ind w:left="0" w:right="0" w:firstLine="0"/>
              <w:pageBreakBefore w:val="0"/>
              <w:spacing w:beforeAutospacing="0" w:after="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hint="eastAsia" w:ascii="宋体" w:hAnsi="宋体" w:cs="宋体"/>
                <w:color w:val="000000"/>
                <w:sz w:val="21"/>
                <w:u w:val="single"/>
                <w:lang w:val="en-US" w:eastAsia="zh-CN"/>
              </w:rPr>
              <w:t xml:space="preserve">采购人所在地</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bl>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br w:type="page" w:clear="all"/>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合同附件：</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消防装备物资信息采集系统（企业）</w:t>
      </w:r>
      <w:r/>
    </w:p>
    <w:p>
      <w:pPr>
        <w:numPr>
          <w:ilvl w:val="0"/>
          <w:numId w:val="13"/>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系统使用地址</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http://xfzb.119.gov.cn</w:t>
      </w:r>
      <w:r/>
    </w:p>
    <w:p>
      <w:pPr>
        <w:numPr>
          <w:ilvl w:val="0"/>
          <w:numId w:val="13"/>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使用流程</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276850" cy="10287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5276849" cy="1028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5pt;height:81.0pt;mso-wrap-distance-left:0.0pt;mso-wrap-distance-top:0.0pt;mso-wrap-distance-right:0.0pt;mso-wrap-distance-bottom:0.0pt;" stroked="false">
                <v:path textboxrect="0,0,0,0"/>
                <v:imagedata r:id="rId13" o:title=""/>
              </v:shape>
            </w:pict>
          </mc:Fallback>
        </mc:AlternateContent>
      </w:r>
      <w:r>
        <w:rPr>
          <w:rFonts w:ascii="Times New Roman" w:hAnsi="Times New Roman" w:eastAsia="Times New Roman" w:cs="Times New Roman"/>
          <w:color w:val="000000"/>
          <w:sz w:val="21"/>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图</w:t>
      </w:r>
      <w:r>
        <w:rPr>
          <w:rFonts w:ascii="Times New Roman" w:hAnsi="Times New Roman" w:eastAsia="Times New Roman" w:cs="Times New Roman"/>
          <w:color w:val="000000"/>
          <w:sz w:val="21"/>
        </w:rPr>
        <w:t xml:space="preserve">1 </w:t>
      </w:r>
      <w:r>
        <w:rPr>
          <w:rFonts w:ascii="宋体" w:hAnsi="宋体" w:eastAsia="宋体" w:cs="宋体"/>
          <w:color w:val="000000"/>
          <w:sz w:val="21"/>
        </w:rPr>
        <w:t xml:space="preserve">企业装备信息采集使用流程图</w:t>
      </w:r>
      <w:r/>
    </w:p>
    <w:p>
      <w:pPr>
        <w:numPr>
          <w:ilvl w:val="0"/>
          <w:numId w:val="14"/>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企业注册</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企业在系统中注册申请系统使用账号，须提供工商营业注册凭证扫描件等基础信息；</w:t>
      </w:r>
      <w:r/>
    </w:p>
    <w:p>
      <w:pPr>
        <w:numPr>
          <w:ilvl w:val="0"/>
          <w:numId w:val="14"/>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企业信息完善</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企业注册审核通过后，登录系统并完善其</w:t>
      </w:r>
      <w:r>
        <w:rPr>
          <w:rFonts w:ascii="Times New Roman" w:hAnsi="Times New Roman" w:eastAsia="Times New Roman" w:cs="Times New Roman"/>
          <w:color w:val="000000"/>
          <w:sz w:val="21"/>
        </w:rPr>
        <w:t xml:space="preserve">GIS</w:t>
      </w:r>
      <w:r>
        <w:rPr>
          <w:rFonts w:ascii="宋体" w:hAnsi="宋体" w:eastAsia="宋体" w:cs="宋体"/>
          <w:color w:val="000000"/>
          <w:sz w:val="21"/>
        </w:rPr>
        <w:t xml:space="preserve">位置信息，售后机构，生产能力等信息。</w:t>
      </w:r>
      <w:r/>
    </w:p>
    <w:p>
      <w:pPr>
        <w:numPr>
          <w:ilvl w:val="0"/>
          <w:numId w:val="14"/>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产品信息录入</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各装备企业严格按照装备物资分类及核心参数标准，在系统上填写产品信息。</w:t>
      </w:r>
      <w:r/>
    </w:p>
    <w:p>
      <w:pPr>
        <w:numPr>
          <w:ilvl w:val="0"/>
          <w:numId w:val="14"/>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装备赋码申请</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各装备企业按照实际交付需要，申请装备编码，申请通过后，系统自动配发装备编码以及参考二维码。</w:t>
      </w:r>
      <w:r/>
    </w:p>
    <w:p>
      <w:pPr>
        <w:numPr>
          <w:ilvl w:val="0"/>
          <w:numId w:val="14"/>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企业装备赋码</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企业申请编码通过后，按照物联网标签赋码规范安装标签，统一交付队伍。</w:t>
      </w:r>
      <w:r/>
    </w:p>
    <w:p>
      <w:pPr>
        <w:numPr>
          <w:ilvl w:val="0"/>
          <w:numId w:val="14"/>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队伍验收</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队伍接收带编码的装备，统一交付验收。</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（三）技术支持联系方式</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马英虎</w:t>
      </w:r>
      <w:r>
        <w:rPr>
          <w:rFonts w:ascii="Times New Roman" w:hAnsi="Times New Roman" w:eastAsia="Times New Roman" w:cs="Times New Roman"/>
          <w:color w:val="000000"/>
          <w:sz w:val="21"/>
        </w:rPr>
        <w:t xml:space="preserve">  15380884762</w:t>
      </w:r>
      <w:r>
        <w:rPr>
          <w:rFonts w:ascii="宋体" w:hAnsi="宋体" w:eastAsia="宋体" w:cs="宋体"/>
          <w:color w:val="000000"/>
          <w:sz w:val="21"/>
        </w:rPr>
        <w:t xml:space="preserve">； 林凯同 </w:t>
      </w:r>
      <w:r>
        <w:rPr>
          <w:rFonts w:ascii="Times New Roman" w:hAnsi="Times New Roman" w:eastAsia="Times New Roman" w:cs="Times New Roman"/>
          <w:color w:val="000000"/>
          <w:sz w:val="21"/>
        </w:rPr>
        <w:t xml:space="preserve">15032108289</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二维码符号及</w:t>
      </w:r>
      <w:r>
        <w:rPr>
          <w:rFonts w:ascii="Times New Roman" w:hAnsi="Times New Roman" w:eastAsia="Times New Roman" w:cs="Times New Roman"/>
          <w:color w:val="000000"/>
          <w:sz w:val="21"/>
        </w:rPr>
        <w:t xml:space="preserve">RFID</w:t>
      </w:r>
      <w:r>
        <w:rPr>
          <w:rFonts w:ascii="宋体" w:hAnsi="宋体" w:eastAsia="宋体" w:cs="宋体"/>
          <w:color w:val="000000"/>
          <w:sz w:val="21"/>
        </w:rPr>
        <w:t xml:space="preserve">标签粘贴位置标准及要求</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二维码符号及</w:t>
      </w:r>
      <w:r>
        <w:rPr>
          <w:rFonts w:ascii="Times New Roman" w:hAnsi="Times New Roman" w:eastAsia="Times New Roman" w:cs="Times New Roman"/>
          <w:color w:val="000000"/>
          <w:sz w:val="21"/>
        </w:rPr>
        <w:t xml:space="preserve">RFID</w:t>
      </w:r>
      <w:r>
        <w:rPr>
          <w:rFonts w:ascii="宋体" w:hAnsi="宋体" w:eastAsia="宋体" w:cs="宋体"/>
          <w:color w:val="000000"/>
          <w:sz w:val="21"/>
        </w:rPr>
        <w:t xml:space="preserve">标签粘贴位置标准及要求待合同签订后再乙方参照甲方的</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二维码符号及</w:t>
      </w:r>
      <w:r>
        <w:rPr>
          <w:rFonts w:ascii="Times New Roman" w:hAnsi="Times New Roman" w:eastAsia="Times New Roman" w:cs="Times New Roman"/>
          <w:color w:val="000000"/>
          <w:sz w:val="21"/>
        </w:rPr>
        <w:t xml:space="preserve">RFID</w:t>
      </w:r>
      <w:r>
        <w:rPr>
          <w:rFonts w:ascii="宋体" w:hAnsi="宋体" w:eastAsia="宋体" w:cs="宋体"/>
          <w:color w:val="000000"/>
          <w:sz w:val="21"/>
        </w:rPr>
        <w:t xml:space="preserve">标签粘贴位置标准</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中的标准要求进行实施。</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ageBreakBefore w:val="0"/>
        <w:spacing w:beforeAutospacing="0" w:afterAutospacing="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pageBreakBefore w:val="0"/>
        <w:spacing w:beforeAutospacing="0" w:afterAutospacing="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pageBreakBefore w:val="0"/>
        <w:spacing w:beforeAutospacing="0" w:afterAutospacing="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第四章 采购需求</w:t>
      </w:r>
      <w:r/>
    </w:p>
    <w:p>
      <w:pPr>
        <w:pageBreakBefore w:val="0"/>
        <w:spacing w:beforeAutospacing="0" w:afterAutospacing="0" w:line="0" w:lineRule="atLeast"/>
        <w:rPr>
          <w:rFonts w:ascii="宋体" w:hAnsi="宋体"/>
          <w:color w:val="000000"/>
          <w:sz w:val="24"/>
          <w:szCs w:val="24"/>
        </w:rPr>
      </w:pPr>
      <w:r/>
      <w:bookmarkStart w:id="167" w:name="_Toc26554093"/>
      <w:r/>
      <w:bookmarkStart w:id="168" w:name="_Toc49090575"/>
      <w:r/>
      <w:r/>
    </w:p>
    <w:p>
      <w:pPr>
        <w:pageBreakBefore w:val="0"/>
        <w:spacing w:beforeAutospacing="0" w:afterAutospacing="0"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719"/>
        <w:tblW w:w="860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0" w:type="dxa"/>
        </w:tblCellMar>
        <w:tblLook w:val="04A0" w:firstRow="1" w:lastRow="0" w:firstColumn="1" w:lastColumn="0" w:noHBand="0" w:noVBand="1"/>
      </w:tblPr>
      <w:tblGrid>
        <w:gridCol w:w="537"/>
        <w:gridCol w:w="814"/>
        <w:gridCol w:w="2876"/>
        <w:gridCol w:w="960"/>
        <w:gridCol w:w="1035"/>
        <w:gridCol w:w="1035"/>
        <w:gridCol w:w="1350"/>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采购标的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单价</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总价</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restart"/>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Style w:val="957"/>
                <w:rFonts w:ascii="宋体" w:hAnsi="宋体" w:eastAsia="宋体" w:cs="宋体"/>
                <w:sz w:val="24"/>
                <w:szCs w:val="24"/>
                <w:lang w:val="en-US" w:eastAsia="zh-CN" w:bidi="ar"/>
              </w:rPr>
              <w:suppressLineNumbers w:val="0"/>
            </w:pPr>
            <w:r>
              <w:rPr>
                <w:rStyle w:val="957"/>
                <w:rFonts w:hint="eastAsia" w:ascii="宋体" w:hAnsi="宋体" w:eastAsia="宋体" w:cs="宋体"/>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消防腰斧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0.0180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10.7460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none"/>
                <w:u w:val="none"/>
                <w:lang w:val="en-US" w:eastAsia="zh-CN" w:bidi="ar"/>
              </w:rPr>
              <w:suppressLineNumbers w:val="0"/>
            </w:pPr>
            <w:r>
              <w:rPr>
                <w:rFonts w:ascii="Times New Roman" w:hAnsi="Times New Roman" w:cs="Times New Roman"/>
                <w:b w:val="0"/>
                <w:highlight w:val="none"/>
              </w:rPr>
              <w:t xml:space="preserve">工业</w:t>
            </w:r>
            <w:r/>
          </w:p>
        </w:tc>
      </w:tr>
      <w:tr>
        <w:trPr>
          <w:trHeight w:val="400"/>
        </w:trPr>
        <w:tc>
          <w:tcPr>
            <w:tcBorders>
              <w:left w:val="single" w:color="000000" w:sz="4" w:space="0"/>
              <w:right w:val="single" w:color="000000" w:sz="4" w:space="0"/>
            </w:tcBorders>
            <w:tcMar>
              <w:left w:w="15" w:type="dxa"/>
              <w:top w:w="15" w:type="dxa"/>
              <w:right w:w="15" w:type="dxa"/>
            </w:tcMar>
            <w:tcW w:w="537" w:type="dxa"/>
            <w:vAlign w:val="center"/>
            <w:vMerge w:val="continue"/>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Style w:val="957"/>
                <w:rFonts w:hint="default" w:ascii="宋体" w:hAnsi="宋体" w:eastAsia="宋体" w:cs="宋体"/>
                <w:sz w:val="24"/>
                <w:szCs w:val="24"/>
                <w:lang w:val="en-US" w:eastAsia="zh-CN" w:bidi="ar"/>
              </w:rPr>
              <w:suppressLineNumbers w:val="0"/>
            </w:pPr>
            <w:r>
              <w:rPr>
                <w:rStyle w:val="957"/>
                <w:rFonts w:hint="eastAsia" w:ascii="宋体" w:hAnsi="宋体" w:cs="宋体"/>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消防安全腰带2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805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0.0180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14.4900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ascii="Times New Roman" w:hAnsi="Times New Roman" w:cs="Times New Roman"/>
                <w:b w:val="0"/>
                <w:highlight w:val="none"/>
              </w:rPr>
              <w:suppressLineNumbers w:val="0"/>
            </w:pPr>
            <w:r>
              <w:rPr>
                <w:rFonts w:ascii="Times New Roman" w:hAnsi="Times New Roman" w:cs="Times New Roman"/>
                <w:b w:val="0"/>
                <w:highlight w:val="none"/>
              </w:rPr>
              <w:t xml:space="preserve">工业</w:t>
            </w:r>
            <w:r/>
          </w:p>
        </w:tc>
      </w:tr>
      <w:tr>
        <w:trPr>
          <w:trHeight w:val="400"/>
        </w:trPr>
        <w:tc>
          <w:tcPr>
            <w:tcBorders>
              <w:left w:val="single" w:color="000000" w:sz="4" w:space="0"/>
              <w:right w:val="single" w:color="000000" w:sz="4" w:space="0"/>
            </w:tcBorders>
            <w:tcMar>
              <w:left w:w="15" w:type="dxa"/>
              <w:top w:w="15" w:type="dxa"/>
              <w:right w:w="15" w:type="dxa"/>
            </w:tcMar>
            <w:tcW w:w="537" w:type="dxa"/>
            <w:vAlign w:val="center"/>
            <w:vMerge w:val="continue"/>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Style w:val="957"/>
                <w:rFonts w:hint="default" w:ascii="宋体" w:hAnsi="宋体" w:eastAsia="宋体" w:cs="宋体"/>
                <w:sz w:val="24"/>
                <w:szCs w:val="24"/>
                <w:lang w:val="en-US" w:eastAsia="zh-CN" w:bidi="ar"/>
              </w:rPr>
              <w:suppressLineNumbers w:val="0"/>
            </w:pPr>
            <w:r>
              <w:rPr>
                <w:rStyle w:val="957"/>
                <w:rFonts w:hint="eastAsia" w:ascii="宋体" w:hAnsi="宋体" w:cs="宋体"/>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防静电内衣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0.0140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2.5480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ascii="Times New Roman" w:hAnsi="Times New Roman" w:cs="Times New Roman"/>
                <w:b w:val="0"/>
                <w:highlight w:val="none"/>
              </w:rPr>
              <w:suppressLineNumbers w:val="0"/>
            </w:pPr>
            <w:r>
              <w:rPr>
                <w:rFonts w:ascii="Times New Roman" w:hAnsi="Times New Roman" w:cs="Times New Roman"/>
                <w:b w:val="0"/>
                <w:highlight w:val="none"/>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continue"/>
            <w:textDirection w:val="lrTb"/>
            <w:noWrap/>
          </w:tcPr>
          <w:p>
            <w:pPr>
              <w:jc w:val="center"/>
              <w:pageBreakBefore w:val="0"/>
              <w:spacing w:beforeAutospacing="0" w:afterAutospacing="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Fonts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消防员灭火防护头套（核心产品）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2350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0.0120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28.2000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t xml:space="preserve">消防手套（2）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1617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0.0300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48.5100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restart"/>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Style w:val="957"/>
                <w:rFonts w:ascii="宋体" w:hAnsi="宋体" w:eastAsia="宋体" w:cs="宋体"/>
                <w:sz w:val="24"/>
                <w:szCs w:val="24"/>
                <w:lang w:val="en-US" w:eastAsia="zh-CN" w:bidi="ar"/>
              </w:rPr>
              <w:suppressLineNumbers w:val="0"/>
            </w:pPr>
            <w:r>
              <w:rPr>
                <w:rStyle w:val="957"/>
                <w:rFonts w:hint="eastAsia" w:ascii="宋体" w:hAnsi="宋体" w:eastAsia="宋体" w:cs="宋体"/>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便携式 PDT 集群基站（核心产品）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27.0000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27.0000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p>
        </w:tc>
      </w:tr>
      <w:tr>
        <w:trPr>
          <w:trHeight w:val="3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continue"/>
            <w:textDirection w:val="lrTb"/>
            <w:noWrap/>
          </w:tcPr>
          <w:p>
            <w:pPr>
              <w:jc w:val="center"/>
              <w:pageBreakBefore w:val="0"/>
              <w:spacing w:beforeAutospacing="0" w:afterAutospacing="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双光融合视传终端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3.0000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6.0000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continue"/>
            <w:textDirection w:val="lrTb"/>
            <w:noWrap/>
          </w:tcPr>
          <w:p>
            <w:pPr>
              <w:jc w:val="center"/>
              <w:pageBreakBefore w:val="0"/>
              <w:spacing w:beforeAutospacing="0" w:afterAutospacing="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小型无人机系留装置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12.0000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12.0000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四足机器人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84.0000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84.0000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p>
        </w:tc>
      </w:tr>
    </w:tbl>
    <w:p>
      <w:pPr>
        <w:pageBreakBefore w:val="0"/>
        <w:spacing w:beforeAutospacing="0" w:afterAutospacing="0" w:line="0" w:lineRule="atLeast"/>
        <w:rPr>
          <w:rFonts w:hint="eastAsia" w:ascii="宋体" w:hAnsi="宋体"/>
          <w:sz w:val="24"/>
          <w:szCs w:val="24"/>
          <w:highlight w:val="yellow"/>
        </w:rPr>
      </w:pPr>
      <w:r>
        <w:rPr>
          <w:rFonts w:hint="eastAsia" w:ascii="宋体" w:hAnsi="宋体"/>
          <w:sz w:val="24"/>
          <w:szCs w:val="24"/>
          <w:highlight w:val="yellow"/>
        </w:rPr>
      </w:r>
      <w:r/>
    </w:p>
    <w:p>
      <w:pPr>
        <w:pageBreakBefore w:val="0"/>
        <w:spacing w:beforeAutospacing="0" w:afterAutospacing="0"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二、政府采购中实施本国产品标准及相关政策</w:t>
      </w:r>
      <w:r/>
    </w:p>
    <w:p>
      <w:pPr>
        <w:ind w:firstLine="480"/>
        <w:keepLines w:val="0"/>
        <w:keepNext w:val="0"/>
        <w:pageBreakBefore w:val="0"/>
        <w:spacing w:beforeAutospacing="0" w:afterAutospacing="0"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1.本项目对采购本国产品给予政策支持，具体内容见招标文件“第五章 评标方法与评标标准”。</w:t>
      </w:r>
      <w:r/>
    </w:p>
    <w:p>
      <w:pPr>
        <w:ind w:firstLine="480"/>
        <w:keepLines w:val="0"/>
        <w:keepNext w:val="0"/>
        <w:pageBreakBefore w:val="0"/>
        <w:spacing w:beforeAutospacing="0" w:afterAutospacing="0"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beforeAutospacing="0" w:afterAutospacing="0" w:line="0" w:lineRule="atLeast"/>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ageBreakBefore w:val="0"/>
        <w:spacing w:beforeAutospacing="0" w:afterAutospacing="0" w:line="0" w:lineRule="atLeast"/>
        <w:rPr>
          <w:rFonts w:ascii="宋体" w:hAnsi="宋体"/>
          <w:b/>
          <w:color w:val="000000"/>
          <w:sz w:val="24"/>
          <w:szCs w:val="24"/>
        </w:rPr>
      </w:pPr>
      <w:r>
        <w:rPr>
          <w:rFonts w:ascii="宋体" w:hAnsi="宋体"/>
          <w:b/>
          <w:color w:val="000000"/>
          <w:sz w:val="24"/>
          <w:szCs w:val="24"/>
        </w:rPr>
      </w:r>
      <w:r/>
    </w:p>
    <w:p>
      <w:pPr>
        <w:pageBreakBefore w:val="0"/>
        <w:spacing w:beforeAutospacing="0" w:afterAutospacing="0" w:line="0" w:lineRule="atLeast"/>
        <w:rPr>
          <w:rFonts w:ascii="宋体" w:hAnsi="宋体"/>
          <w:b/>
          <w:color w:val="000000"/>
          <w:sz w:val="24"/>
          <w:szCs w:val="24"/>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p>
    <w:p>
      <w:pPr>
        <w:pageBreakBefore w:val="0"/>
        <w:spacing w:beforeAutospacing="0" w:afterAutospacing="0" w:line="0" w:lineRule="atLeast"/>
        <w:rPr>
          <w:rFonts w:hint="eastAsia" w:ascii="宋体" w:hAnsi="宋体"/>
          <w:i/>
          <w:sz w:val="24"/>
          <w:szCs w:val="24"/>
          <w:u w:val="single"/>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pageBreakBefore w:val="0"/>
        <w:spacing w:beforeAutospacing="0" w:afterAutospacing="0" w:line="0" w:lineRule="atLeast"/>
        <w:rPr>
          <w:rFonts w:hint="eastAsia" w:ascii="宋体" w:hAnsi="宋体"/>
          <w:b w:val="0"/>
          <w:bCs w:val="0"/>
          <w:sz w:val="24"/>
          <w:szCs w:val="24"/>
        </w:rPr>
      </w:pPr>
      <w:r>
        <w:rPr>
          <w:rFonts w:hint="eastAsia" w:ascii="宋体" w:hAnsi="宋体"/>
          <w:b w:val="0"/>
          <w:bCs w:val="0"/>
          <w:sz w:val="24"/>
          <w:szCs w:val="24"/>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分包1：</w:t>
      </w:r>
      <w:r>
        <w:rPr>
          <w:rFonts w:hint="default" w:ascii="Times New Roman" w:hAnsi="Times New Roman" w:eastAsia="宋体" w:cs="Times New Roman"/>
          <w:b/>
          <w:bCs/>
          <w:sz w:val="24"/>
          <w:szCs w:val="24"/>
          <w:lang w:val="en-US" w:eastAsia="zh-CN"/>
        </w:rPr>
        <w:t xml:space="preserve">消防腰斧</w:t>
      </w:r>
      <w:r>
        <w:rPr>
          <w:rFonts w:hint="default" w:ascii="Times New Roman" w:hAnsi="Times New Roman" w:eastAsia="宋体" w:cs="Times New Roman"/>
          <w:b/>
          <w:bCs/>
          <w:sz w:val="24"/>
          <w:szCs w:val="24"/>
        </w:rPr>
        <w:t xml:space="preserve">等</w:t>
      </w:r>
      <w:r/>
    </w:p>
    <w:p>
      <w:pPr>
        <w:keepLines w:val="0"/>
        <w:keepNext w:val="0"/>
        <w:pageBreakBefore w:val="0"/>
        <w:spacing w:beforeAutospacing="0" w:afterAutospacing="0" w:line="0" w:lineRule="atLeast"/>
        <w:widowControl w:val="off"/>
        <w:rPr>
          <w:rFonts w:hint="default" w:ascii="Times New Roman" w:hAnsi="Times New Roman" w:eastAsia="宋体" w:cs="Times New Roman"/>
          <w:b w:val="0"/>
          <w:bCs w:val="0"/>
          <w:sz w:val="24"/>
          <w:szCs w:val="24"/>
        </w:rPr>
      </w:pPr>
      <w:r>
        <w:rPr>
          <w:rFonts w:hint="default" w:ascii="Times New Roman" w:hAnsi="Times New Roman" w:eastAsia="宋体" w:cs="Times New Roman"/>
          <w:b/>
          <w:bCs/>
          <w:sz w:val="24"/>
          <w:szCs w:val="24"/>
          <w:lang w:val="en-US" w:eastAsia="zh-CN"/>
        </w:rPr>
        <w:t xml:space="preserve">消防腰斧</w:t>
      </w:r>
      <w:r/>
    </w:p>
    <w:p>
      <w:pPr>
        <w:keepLines w:val="0"/>
        <w:keepNext w:val="0"/>
        <w:pageBreakBefore w:val="0"/>
        <w:spacing w:beforeAutospacing="0" w:afterAutospacing="0" w:line="0" w:lineRule="atLeast"/>
        <w:widowControl w:val="off"/>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rPr>
        <w:t xml:space="preserve">采购数</w:t>
      </w:r>
      <w:r>
        <w:rPr>
          <w:rFonts w:hint="default" w:ascii="Times New Roman" w:hAnsi="Times New Roman" w:eastAsia="宋体" w:cs="Times New Roman"/>
          <w:b w:val="0"/>
          <w:bCs w:val="0"/>
          <w:sz w:val="24"/>
          <w:szCs w:val="24"/>
          <w:highlight w:val="none"/>
        </w:rPr>
        <w:t xml:space="preserve">量</w:t>
      </w:r>
      <w:r>
        <w:rPr>
          <w:rFonts w:hint="default" w:ascii="Times New Roman" w:hAnsi="Times New Roman" w:eastAsia="宋体" w:cs="Times New Roman"/>
          <w:i w:val="0"/>
          <w:iCs w:val="0"/>
          <w:color w:val="000000"/>
          <w:sz w:val="24"/>
          <w:szCs w:val="24"/>
          <w:highlight w:val="none"/>
          <w:u w:val="none"/>
          <w:lang w:val="en-US" w:eastAsia="zh-CN" w:bidi="ar"/>
        </w:rPr>
        <w:t xml:space="preserve">597</w:t>
      </w:r>
      <w:r>
        <w:rPr>
          <w:rFonts w:hint="default" w:ascii="Times New Roman" w:hAnsi="Times New Roman" w:eastAsia="宋体" w:cs="Times New Roman"/>
          <w:b w:val="0"/>
          <w:bCs w:val="0"/>
          <w:sz w:val="24"/>
          <w:szCs w:val="24"/>
          <w:highlight w:val="none"/>
        </w:rPr>
        <w:t xml:space="preserve">套，</w:t>
      </w:r>
      <w:r>
        <w:rPr>
          <w:rFonts w:hint="default" w:ascii="Times New Roman" w:hAnsi="Times New Roman" w:eastAsia="宋体" w:cs="Times New Roman"/>
          <w:b w:val="0"/>
          <w:bCs w:val="0"/>
          <w:i/>
          <w:iCs/>
          <w:sz w:val="24"/>
          <w:szCs w:val="24"/>
          <w:highlight w:val="none"/>
          <w:u w:val="single"/>
        </w:rPr>
        <w:t xml:space="preserve">预算单价</w:t>
      </w:r>
      <w:r>
        <w:rPr>
          <w:rFonts w:hint="default" w:ascii="Times New Roman" w:hAnsi="Times New Roman" w:eastAsia="宋体" w:cs="Times New Roman"/>
          <w:b w:val="0"/>
          <w:bCs w:val="0"/>
          <w:i/>
          <w:iCs/>
          <w:sz w:val="24"/>
          <w:szCs w:val="24"/>
          <w:highlight w:val="none"/>
          <w:u w:val="single"/>
          <w:lang w:val="en-US" w:eastAsia="zh-CN"/>
        </w:rPr>
        <w:t xml:space="preserve">0.018</w:t>
      </w:r>
      <w:r>
        <w:rPr>
          <w:rFonts w:hint="default" w:ascii="Times New Roman" w:hAnsi="Times New Roman" w:eastAsia="宋体" w:cs="Times New Roman"/>
          <w:b w:val="0"/>
          <w:bCs w:val="0"/>
          <w:i/>
          <w:iCs/>
          <w:sz w:val="24"/>
          <w:szCs w:val="24"/>
          <w:highlight w:val="none"/>
          <w:u w:val="single"/>
        </w:rPr>
        <w:t xml:space="preserve">万，预算总价</w:t>
      </w:r>
      <w:r>
        <w:rPr>
          <w:rFonts w:hint="default" w:ascii="Times New Roman" w:hAnsi="Times New Roman" w:eastAsia="宋体" w:cs="Times New Roman"/>
          <w:b w:val="0"/>
          <w:bCs w:val="0"/>
          <w:i/>
          <w:iCs/>
          <w:sz w:val="24"/>
          <w:szCs w:val="24"/>
          <w:highlight w:val="none"/>
          <w:u w:val="single"/>
          <w:lang w:val="en-US" w:eastAsia="zh-CN"/>
        </w:rPr>
        <w:t xml:space="preserve">10.746</w:t>
      </w:r>
      <w:r>
        <w:rPr>
          <w:rFonts w:hint="default" w:ascii="Times New Roman" w:hAnsi="Times New Roman" w:eastAsia="宋体" w:cs="Times New Roman"/>
          <w:b w:val="0"/>
          <w:bCs w:val="0"/>
          <w:i/>
          <w:iCs/>
          <w:sz w:val="24"/>
          <w:szCs w:val="24"/>
          <w:highlight w:val="none"/>
          <w:u w:val="single"/>
        </w:rPr>
        <w:t xml:space="preserve">万。</w:t>
      </w:r>
      <w:r/>
    </w:p>
    <w:p>
      <w:pPr>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一、基本描述</w:t>
      </w:r>
      <w:r/>
    </w:p>
    <w:p>
      <w:pPr>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1、结构组成：由多功能腰斧和腰斧套组成。</w:t>
      </w:r>
      <w:r/>
    </w:p>
    <w:p>
      <w:pPr>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2、主要应用场景：具备能砍、能凿、能撬等性能，个人防护工具。</w:t>
      </w:r>
      <w:r/>
    </w:p>
    <w:p>
      <w:pPr>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二、标准规范及检验报告</w:t>
      </w:r>
      <w:r/>
    </w:p>
    <w:p>
      <w:pPr>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▲3、检测标准依据：符合 XF 630-2023《消防腰斧》标准要求。</w:t>
      </w:r>
      <w:r/>
    </w:p>
    <w:p>
      <w:pPr>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▲4、提供由国家认可的检测机构出具与所投产品型号一致、完整有效的检验（检测）报告。</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▲5、提供所投产品的消防产品认证证书，出具证书的认证机构应经国务院认证认可监督管理部门批准依法取得相应资质。</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三、基础性能参数</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6、基本尺寸（mm）：全长 285±2.5，斧头长度 160±2.5，斧头厚度 10±1，平刃宽度 56±1.5，柄刃宽度 22±1，撬口宽度 30±1，撬口深度 25±1。</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7、外观要求：腰斧各刃部应抛光，其表面粗糙度 Ra 值≤ 2.0 μm；腰斧金属表面应平整光洁，不应有裂纹、毛刺、凹痕、缺损或有害杂质等缺陷，涂漆部分不应有流痕气泡等缺陷；橡胶斧柄套应无碎渣、气泡、孔隙、夹杂物及其它明显缺陷，表面花纹应清晰。</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8、质量≤1.0kg（不包含腰斧套）。</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9、材质为 45#优质碳素钢，腰斧各刃部和撬口均应经热处理，且其硬度均应达到48HRC-56HRC,刃部热处理长度应 20-40mm,撬口热处理长度应 5-10mm。</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10、抗冲击性能：腰斧各刃部经5kg的重锤冲击后，不应有裂纹、变形等损伤。</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▲11、平刃砍断性能：腰斧平刃应能砍断直径6.5mm的 Q235A 圆钢，应无明显缺刃、卷边和裂纹等影响使用功能的损伤。</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12、尖刃和柄刃凿击性能：腰斧尖刃和柄刃应能凿击Q235A钢平板，应无明显缺刃、卷边和裂纹等影响使用功能的损伤。</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13、耐腐蚀性能：腰斧的金属部分经国际标准48h中性盐雾试验后，外观应符合国家标准外观等级评定轻微级的要求。</w:t>
      </w:r>
      <w:r/>
    </w:p>
    <w:p>
      <w:pPr>
        <w:pStyle w:val="72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消防安全腰带（2）</w:t>
      </w:r>
      <w:r/>
    </w:p>
    <w:p>
      <w:pPr>
        <w:keepLines w:val="0"/>
        <w:keepNext w:val="0"/>
        <w:pageBreakBefore w:val="0"/>
        <w:spacing w:beforeAutospacing="0" w:afterAutospacing="0" w:line="0" w:lineRule="atLeast"/>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auto"/>
          <w:sz w:val="24"/>
          <w:szCs w:val="24"/>
          <w:u w:val="none"/>
          <w:lang w:val="en-US" w:eastAsia="zh-CN" w:bidi="ar"/>
        </w:rPr>
        <w:t xml:space="preserve">805</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0.018</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14.49</w:t>
      </w:r>
      <w:r>
        <w:rPr>
          <w:rFonts w:hint="default" w:ascii="Times New Roman" w:hAnsi="Times New Roman" w:eastAsia="宋体" w:cs="Times New Roman"/>
          <w:b w:val="0"/>
          <w:bCs w:val="0"/>
          <w:i/>
          <w:iCs/>
          <w:color w:val="auto"/>
          <w:sz w:val="24"/>
          <w:szCs w:val="24"/>
          <w:u w:val="single"/>
        </w:rPr>
        <w:t xml:space="preserve">万。</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一、基本描述</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1、结构组成：安全腰带由织带、带扣、D 型环和移动板组成。</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2、主要应用场景：消防员登高作业和逃生自救。</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二、标准规范及检验报告</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▲3、检测标准依据：符合XF494-2023 《消防用防坠落装备》标准。</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▲4、提供由国家认可的检测机构出具与所投产品型号一致、完整有效的检验（检测）报告。</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三、检验报告中可体现的参数</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▲5、织带。尼龙 66 材质，织带为整根，不应有接缝，具有一定硬度，规格为宽 70mm(±2mm)×厚2.5mm(±0.5mm)，末端收尾为整烫圆弧型。</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▲6、带扣。热锻铝 7075 合金材质，阳极氧化处理工艺，规格为长 96mm(±2mm)×宽 90mm(±2mm)×厚 6mm(±1mm)。</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7、扦针：不锈钢 420 材质，双扦针，扦针的长度≥35mm。</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8、扦针：直径应与带扣、扦针孔适配。</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9、D 型环：热锻铝 7075 合金材质，阳极氧化处理工艺，配置两个 D 型环。</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10、D 型环：其中一个 D 型环采用缝合固定，距带扣 100mm(±5mm)处；</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11、D 型环：另一个 D 型环采用移动板和 D 型环组合结构，可自由调节。</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▲12、扦针孔。优质不锈钢材质，直径 12±1mm，距带尾部 200 ±4mm 处成双排六列型式向前等距排列。</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13、移动板。尼龙 66 材质，规格（长×宽×厚）：95mm(±2mm)×65mm(±2mm)×3mm(±0.5mm)。</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14、收带扣。尼龙材质，松紧带缝纫。</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15、缝线。尼龙 66 材质，电脑曲折缝制线迹。</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▲16、型号。分大、中、小三个型号，成品长度分别为 1400mm、1300mm、1200mm。</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17、腰带质量≤0.8kg。</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18、安全腰带设计负荷≥1.33KN。</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19、安全腰带的承重织带宽度应介于40mm~70mm</w:t>
      </w:r>
      <w:r/>
    </w:p>
    <w:p>
      <w:pPr>
        <w:pStyle w:val="72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防静电内衣</w:t>
      </w:r>
      <w:r/>
    </w:p>
    <w:p>
      <w:pPr>
        <w:keepLines w:val="0"/>
        <w:keepNext w:val="0"/>
        <w:pageBreakBefore w:val="0"/>
        <w:spacing w:beforeAutospacing="0" w:afterAutospacing="0" w:line="0" w:lineRule="atLeast"/>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auto"/>
          <w:sz w:val="24"/>
          <w:szCs w:val="24"/>
          <w:u w:val="none"/>
          <w:lang w:val="en-US" w:eastAsia="zh-CN" w:bidi="ar"/>
        </w:rPr>
        <w:t xml:space="preserve">182</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0.014</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2.548</w:t>
      </w:r>
      <w:r>
        <w:rPr>
          <w:rFonts w:hint="default" w:ascii="Times New Roman" w:hAnsi="Times New Roman" w:eastAsia="宋体" w:cs="Times New Roman"/>
          <w:b w:val="0"/>
          <w:bCs w:val="0"/>
          <w:i/>
          <w:iCs/>
          <w:color w:val="auto"/>
          <w:sz w:val="24"/>
          <w:szCs w:val="24"/>
          <w:u w:val="single"/>
        </w:rPr>
        <w:t xml:space="preserve">万。</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一、基本描述</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1、结构组成：由纯棉织物并经过防静电处理而成，具有透气、吸汗、防静电、阻燃等性能。</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2、主要应用场景：用于可燃气体、粉尘、蒸汽等易燃易爆场所作业时身体内层防护。</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二、标准规范及检验报告</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▲3、检测标准依据：符合 GB12014-2019《防静电服》标准。</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▲4、提供由国家认可的检测机构出具与所投产品型号一致、完整有效的检验（检测）报告。</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三、基础性能参数</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5、点对点电阻1×10⁷~1×10¹¹Ω</w:t>
      </w:r>
      <w:r>
        <w:rPr>
          <w:rFonts w:hint="eastAsia" w:ascii="Times New Roman" w:hAnsi="Times New Roman" w:cs="Times New Roman"/>
          <w:sz w:val="24"/>
          <w:szCs w:val="24"/>
          <w:lang w:val="en-US" w:eastAsia="zh-CN"/>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6、甲醛含量：直接接触皮肤≤75mg/kg ，非直接接触皮肤≤300mg/kg。</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7、pH值4.0∽8.5。</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▲8、透气率≥30mm/s。</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9、耐水色牢度/级(变色/沾色)≥3-4。</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10、耐干摩擦色牢度/级≥3-4。</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▲11、带电电荷量0.20~0.60μC/件。</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▲12、顶破强力≥250N。</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消防员灭火防护头套 （核心产品） </w:t>
      </w:r>
      <w:r/>
    </w:p>
    <w:p>
      <w:pPr>
        <w:keepLines w:val="0"/>
        <w:keepNext w:val="0"/>
        <w:pageBreakBefore w:val="0"/>
        <w:spacing w:beforeAutospacing="0" w:afterAutospacing="0" w:line="0" w:lineRule="atLeast"/>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auto"/>
          <w:sz w:val="24"/>
          <w:szCs w:val="24"/>
          <w:u w:val="none"/>
          <w:lang w:val="en-US" w:eastAsia="zh-CN" w:bidi="ar"/>
        </w:rPr>
        <w:t xml:space="preserve">2350</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0.012</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28.2</w:t>
      </w:r>
      <w:r>
        <w:rPr>
          <w:rFonts w:hint="default" w:ascii="Times New Roman" w:hAnsi="Times New Roman" w:eastAsia="宋体" w:cs="Times New Roman"/>
          <w:b w:val="0"/>
          <w:bCs w:val="0"/>
          <w:i/>
          <w:iCs/>
          <w:color w:val="auto"/>
          <w:sz w:val="24"/>
          <w:szCs w:val="24"/>
          <w:u w:val="single"/>
        </w:rPr>
        <w:t xml:space="preserve">万。</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一、基本描述</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1、结构组成：采用芳纶等本质阻燃材料制成，原材料采用原浆染色，洗涤不脱色。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2、主要应用场景：用于消防灭火作业时头部、侧面及颈部保护，免受火焰或高温烫伤。</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二、标准规范及检验报告</w:t>
      </w:r>
      <w:r/>
    </w:p>
    <w:p>
      <w:pPr>
        <w:pStyle w:val="720"/>
        <w:ind w:left="0" w:firstLine="0"/>
        <w:keepLines w:val="0"/>
        <w:keepNext w:val="0"/>
        <w:pageBreakBefore w:val="0"/>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sz w:val="24"/>
          <w:szCs w:val="24"/>
          <w:lang w:val="en-US" w:eastAsia="zh-CN"/>
        </w:rPr>
        <w:t xml:space="preserve">▲3、检测标准依据：符</w:t>
      </w:r>
      <w:r>
        <w:rPr>
          <w:rFonts w:hint="default" w:ascii="Times New Roman" w:hAnsi="Times New Roman" w:eastAsia="宋体" w:cs="Times New Roman"/>
          <w:color w:val="auto"/>
          <w:sz w:val="24"/>
          <w:szCs w:val="24"/>
          <w:highlight w:val="none"/>
          <w:lang w:val="en-US" w:eastAsia="zh-CN"/>
        </w:rPr>
        <w:t xml:space="preserve">合XF869-2010《消防员灭火防护头套》标准。</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▲4、提供由国家认可的检测机构出具与所投产品型号一致、完整有效的检验（检测）</w:t>
      </w:r>
      <w:r>
        <w:rPr>
          <w:rFonts w:hint="eastAsia" w:ascii="Times New Roman" w:hAnsi="Times New Roman" w:cs="Times New Roman"/>
          <w:sz w:val="24"/>
          <w:szCs w:val="24"/>
          <w:lang w:val="en-US" w:eastAsia="zh-CN"/>
        </w:rPr>
        <w:t xml:space="preserve">报告</w:t>
      </w:r>
      <w:r>
        <w:rPr>
          <w:rFonts w:hint="default" w:ascii="Times New Roman" w:hAnsi="Times New Roman" w:eastAsia="宋体" w:cs="Times New Roman"/>
          <w:sz w:val="24"/>
          <w:szCs w:val="24"/>
          <w:lang w:val="en-US" w:eastAsia="zh-CN"/>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三、基础性能参数</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5、保护区域：头套前部与防护服领口内重叠的长度≥200mm, 头套后部与防护服领口内重叠的长度≥200mm，头套侧部与防护服领口内重叠的长度≥130mm。</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6、面部开口边缘与呼吸防护装具面罩重叠长度≥10mm。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7、面料性能：</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▲7.1阻燃性能：经向续燃时间≤0s，损毁长度≤25mm，无熔融、滴落现象；纬向续燃时间≤0s，纬向损毁长度≤20mm，无熔融、滴落现象。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7.2经热稳定性能试验后沿经、纬方向尺寸变化率为≤2%，试样表面无变色、熔融和滴落等明显变化。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7.3水洗尺寸变化率直向≤3.5%，横向≤2%。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7.4单位面积质量：两层或两层以上≥200g/㎡。 面料抗起球等级≥4级。</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7.</w:t>
      </w:r>
      <w:r>
        <w:rPr>
          <w:rFonts w:hint="eastAsia" w:ascii="Times New Roman" w:hAnsi="Times New Roman" w:cs="Times New Roman"/>
          <w:sz w:val="24"/>
          <w:szCs w:val="24"/>
          <w:lang w:val="en-US" w:eastAsia="zh-CN"/>
        </w:rPr>
        <w:t xml:space="preserve">5</w:t>
      </w:r>
      <w:r>
        <w:rPr>
          <w:rFonts w:hint="default" w:ascii="Times New Roman" w:hAnsi="Times New Roman" w:eastAsia="宋体" w:cs="Times New Roman"/>
          <w:sz w:val="24"/>
          <w:szCs w:val="24"/>
          <w:lang w:val="en-US" w:eastAsia="zh-CN"/>
        </w:rPr>
        <w:t xml:space="preserve">PH值≤7。</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7.6甲醛含量：未检出。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8、缝纫线耐高温性能：无熔融、炭化的现象。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9、整体性能：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▲9.1接缝强力≥800N。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9.2针距密度：缝制明暗线每3cm≥14针。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▲9.3质量≤160g。</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分包</w:t>
      </w:r>
      <w:r>
        <w:rPr>
          <w:rFonts w:hint="default" w:ascii="Times New Roman" w:hAnsi="Times New Roman" w:eastAsia="宋体" w:cs="Times New Roman"/>
          <w:b/>
          <w:bCs/>
          <w:sz w:val="24"/>
          <w:szCs w:val="24"/>
          <w:lang w:val="en-US" w:eastAsia="zh-CN"/>
        </w:rPr>
        <w:t xml:space="preserve">2</w:t>
      </w:r>
      <w:r>
        <w:rPr>
          <w:rFonts w:hint="default" w:ascii="Times New Roman" w:hAnsi="Times New Roman" w:eastAsia="宋体" w:cs="Times New Roman"/>
          <w:b/>
          <w:bCs/>
          <w:sz w:val="24"/>
          <w:szCs w:val="24"/>
        </w:rPr>
        <w:t xml:space="preserve">：消防手套（2）</w:t>
      </w:r>
      <w:r/>
    </w:p>
    <w:p>
      <w:pPr>
        <w:keepLines w:val="0"/>
        <w:keepNext w:val="0"/>
        <w:pageBreakBefore w:val="0"/>
        <w:spacing w:beforeAutospacing="0" w:afterAutospacing="0" w:line="0" w:lineRule="atLeast"/>
        <w:widowControl w:val="off"/>
        <w:rPr>
          <w:rFonts w:hint="default" w:ascii="Times New Roman" w:hAnsi="Times New Roman" w:eastAsia="宋体" w:cs="Times New Roman"/>
          <w:sz w:val="24"/>
          <w:szCs w:val="24"/>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000000"/>
          <w:sz w:val="24"/>
          <w:szCs w:val="24"/>
          <w:u w:val="none"/>
          <w:lang w:val="en-US" w:eastAsia="zh-CN" w:bidi="ar"/>
        </w:rPr>
        <w:t xml:space="preserve">1617</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0.03</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48.51</w:t>
      </w:r>
      <w:r>
        <w:rPr>
          <w:rFonts w:hint="default" w:ascii="Times New Roman" w:hAnsi="Times New Roman" w:eastAsia="宋体" w:cs="Times New Roman"/>
          <w:b w:val="0"/>
          <w:bCs w:val="0"/>
          <w:i/>
          <w:iCs/>
          <w:color w:val="auto"/>
          <w:sz w:val="24"/>
          <w:szCs w:val="24"/>
          <w:u w:val="single"/>
        </w:rPr>
        <w:t xml:space="preserve">万。</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一、基本描述</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1、结构组成：由外层（采用阻燃牛皮），防水层，隔热层，衬里结构。</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2、主要应用场景：用于灭火救援作业中的手部及腕部防护。</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二、标准规范及检验报告</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▲3、检测标准依据：符合XF7-2004《消防手套》标准</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▲4、提供由国家认可的检测机构出具与所投产品型号一致、完整有效的检验（检测）报告（报告中带有CMA标识）。</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▲5、提供所投产品的消防产品认证证书，出具证书的认证机构应经国务院认证认可监督管理部门批准依法取得相应资质。</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三、基础性能参数</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6、阻燃性能：手掌、手背阴燃和续燃时间为0s，手套外层掌心面损毁长度经向≤10mm；纬向≤11mm；手套外层手背损毁长度经向≤10mm，纬向≤11mm；</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▲7、整体热防护性能(TPP)≥60(cal/cm²)。</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8、力学性能：</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8.1 耐磨性能（循环次数）：掌心＞2000，背面＞2000；</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8.2 割破力：掌心＞15.0N，背面＞15.0N；</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▲8.3 撕破强力：掌心≥100N，背面≥100N；</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▲8.4 刺穿力：掌心≥120N，背面≥120N。</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9、阻隔性能：</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9.1 耐静水压性能：手套防水层和其线缝在静水压 7kPa 下试验 5min 后，不出现水滴；</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9.2 整体防水性能：无渗漏。</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10、人体工效要求：</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10.1 灵巧性能（mm）：30s内3次拾取钢棒直径≤6.5mm；</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10.2 握紧性能（%）：拉重力比≥85%；穿戴性能（s）：穿戴时间≤2.5s。</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11、主体颜色为藏青色、黄银黄反光带，立体裁剪，翻指式指尖合缝，各层厚薄均匀，有灵巧舒适、防割、耐磨、防穿刺、防火阻燃、防水等功能。</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▲12、外层手掌材料采用牛皮，手背材料采用芳纶梭织布，防水材料采用防水透气膜，隔热层材料采用芳纶抗静电针织布，手腕处添加有腕带收紧，手背添加有防护软壳。</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72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 xml:space="preserve">分包</w:t>
      </w:r>
      <w:r>
        <w:rPr>
          <w:rFonts w:hint="default" w:ascii="Times New Roman" w:hAnsi="Times New Roman" w:eastAsia="宋体" w:cs="Times New Roman"/>
          <w:b/>
          <w:bCs/>
          <w:sz w:val="24"/>
          <w:szCs w:val="24"/>
          <w:lang w:val="en-US" w:eastAsia="zh-CN"/>
        </w:rPr>
        <w:t xml:space="preserve">3</w:t>
      </w:r>
      <w:r>
        <w:rPr>
          <w:rFonts w:hint="default" w:ascii="Times New Roman" w:hAnsi="Times New Roman" w:eastAsia="宋体" w:cs="Times New Roman"/>
          <w:b/>
          <w:bCs/>
          <w:sz w:val="24"/>
          <w:szCs w:val="24"/>
        </w:rPr>
        <w:t xml:space="preserve">：便携式 PDT 集群基站</w:t>
      </w:r>
      <w:r>
        <w:rPr>
          <w:rFonts w:hint="default" w:ascii="Times New Roman" w:hAnsi="Times New Roman" w:eastAsia="宋体" w:cs="Times New Roman"/>
          <w:b/>
          <w:bCs/>
          <w:sz w:val="24"/>
          <w:szCs w:val="24"/>
          <w:lang w:val="en-US" w:eastAsia="zh-CN"/>
        </w:rPr>
        <w:t xml:space="preserve">等</w:t>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便携式 PDT 集群基站（核心产品）</w:t>
      </w:r>
      <w:r/>
    </w:p>
    <w:p>
      <w:pPr>
        <w:keepLines w:val="0"/>
        <w:keepNext w:val="0"/>
        <w:pageBreakBefore w:val="0"/>
        <w:spacing w:beforeAutospacing="0" w:afterAutospacing="0" w:line="0" w:lineRule="atLeast"/>
        <w:widowControl w:val="off"/>
        <w:rPr>
          <w:rFonts w:hint="default" w:ascii="Times New Roman" w:hAnsi="Times New Roman" w:eastAsia="宋体" w:cs="Times New Roman"/>
          <w:sz w:val="24"/>
          <w:szCs w:val="24"/>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000000"/>
          <w:sz w:val="24"/>
          <w:szCs w:val="24"/>
          <w:u w:val="none"/>
          <w:lang w:val="en-US" w:eastAsia="zh-CN" w:bidi="ar"/>
        </w:rPr>
        <w:t xml:space="preserve">1</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27</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27</w:t>
      </w:r>
      <w:r>
        <w:rPr>
          <w:rFonts w:hint="default" w:ascii="Times New Roman" w:hAnsi="Times New Roman" w:eastAsia="宋体" w:cs="Times New Roman"/>
          <w:b w:val="0"/>
          <w:bCs w:val="0"/>
          <w:i/>
          <w:iCs/>
          <w:color w:val="auto"/>
          <w:sz w:val="24"/>
          <w:szCs w:val="24"/>
          <w:u w:val="single"/>
        </w:rPr>
        <w:t xml:space="preserve">万。</w:t>
      </w:r>
      <w:r/>
    </w:p>
    <w:p>
      <w:pPr>
        <w:pStyle w:val="720"/>
        <w:ind w:left="0" w:firstLine="0"/>
        <w:keepLines w:val="0"/>
        <w:keepNext w:val="0"/>
        <w:pageBreakBefore w:val="0"/>
        <w:widowControl w:val="off"/>
        <w:rPr>
          <w:rFonts w:hint="default" w:ascii="Times New Roman" w:hAnsi="Times New Roman" w:eastAsia="宋体" w:cs="Times New Roman"/>
          <w:i/>
          <w:iCs/>
          <w:sz w:val="24"/>
          <w:szCs w:val="24"/>
          <w:u w:val="single"/>
          <w:lang w:val="en-US" w:eastAsia="zh-CN"/>
        </w:rPr>
      </w:pP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i/>
          <w:iCs/>
          <w:sz w:val="24"/>
          <w:szCs w:val="24"/>
          <w:u w:val="single"/>
          <w:lang w:val="en-US" w:eastAsia="zh-CN"/>
        </w:rPr>
        <w:t xml:space="preserve">无线电发射设备型号核准证：应具有中华人民共和国工业和信息化部颁发的《无线电发射设备型号核准证》（型号核准证证书必须在有效期内）</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▲2、网络接入：基站支持链路自动切换功能，支持无线链路和有线链路自动切换，可通过手动设置链路优先级，当主链路故障时，自动切换到备链路，切换时间&lt;60S</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▲3、无线网络：内置4G/5G全网通模块，或额外配备设备支持4G/5G全网通无线接入，支持VPN网络配置</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4、制式：至少支持PDT</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▲5、载频数：支持 2 载频，并可扩容至4 载频</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6、专网频段：350-400MHz</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7、基站重量：≤10kg（含电池），支持背负使用，配备背负背包</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8、防护等级：≥IP67</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9、发射机性能：频率误差≤0.05ppm；占用带宽≤8.5KHz</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10、接收机性能：邻信道选择≥60dB；互调响应抑制≥70dB；共信道抑制 ≤-12dB</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11、续航时间：≥4h</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12、定位功能：支持北斗定位</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▲13、系统接入：需承诺支持接入江苏省应急管理厅370M 集群系统管理，实现单呼、组呼、卫星定位通话、呼叫限时和短消息、现场调度、按组改频、网管配置等功能（接入标准详见《GA/T 1364-2017警用数字集群(PDT)通信系统互联技术规范》）</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双光融合视传终端</w:t>
      </w:r>
      <w:r/>
    </w:p>
    <w:p>
      <w:pPr>
        <w:keepLines w:val="0"/>
        <w:keepNext w:val="0"/>
        <w:pageBreakBefore w:val="0"/>
        <w:spacing w:beforeAutospacing="0" w:afterAutospacing="0" w:line="0" w:lineRule="atLeast"/>
        <w:widowControl w:val="off"/>
        <w:rPr>
          <w:rFonts w:hint="default" w:ascii="Times New Roman" w:hAnsi="Times New Roman" w:eastAsia="宋体" w:cs="Times New Roman"/>
          <w:b w:val="0"/>
          <w:bCs w:val="0"/>
          <w:i/>
          <w:iCs/>
          <w:color w:val="auto"/>
          <w:sz w:val="24"/>
          <w:szCs w:val="24"/>
          <w:u w:val="single"/>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000000"/>
          <w:sz w:val="24"/>
          <w:szCs w:val="24"/>
          <w:u w:val="none"/>
          <w:lang w:val="en-US" w:eastAsia="zh-CN" w:bidi="ar"/>
        </w:rPr>
        <w:t xml:space="preserve">2</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3</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6</w:t>
      </w:r>
      <w:r>
        <w:rPr>
          <w:rFonts w:hint="default" w:ascii="Times New Roman" w:hAnsi="Times New Roman" w:eastAsia="宋体" w:cs="Times New Roman"/>
          <w:b w:val="0"/>
          <w:bCs w:val="0"/>
          <w:i/>
          <w:iCs/>
          <w:color w:val="auto"/>
          <w:sz w:val="24"/>
          <w:szCs w:val="24"/>
          <w:u w:val="single"/>
        </w:rPr>
        <w:t xml:space="preserve">万。</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兼容性要求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可通过手机或电脑实时调取设备第一视角可见光、红外热成像、可见光与热成像融合视频图像，并支持上下线状态、语音通话，定位信息实时获取。</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、盔装部分功能规格要求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夜视镜头：数字CMOS图像传感器，像素≥1920*1080；红外热成像镜头：分辨率≥256×192，支持探测距离≥100米，识别距离≥40米，辨认距离≥20米；</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red"/>
        </w:rPr>
      </w:pP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、测温范围≥-10℃～550℃，支持中心点测温和多点测</w:t>
      </w:r>
      <w:r>
        <w:rPr>
          <w:rFonts w:hint="default" w:ascii="Times New Roman" w:hAnsi="Times New Roman" w:eastAsia="宋体" w:cs="Times New Roman"/>
          <w:sz w:val="24"/>
          <w:szCs w:val="24"/>
          <w:highlight w:val="none"/>
        </w:rPr>
        <w:t xml:space="preserve">温；（</w:t>
      </w:r>
      <w:r>
        <w:rPr>
          <w:rFonts w:hint="default" w:ascii="Times New Roman" w:hAnsi="Times New Roman" w:eastAsia="宋体" w:cs="Times New Roman"/>
          <w:sz w:val="24"/>
          <w:szCs w:val="24"/>
          <w:highlight w:val="none"/>
          <w:lang w:val="en-US" w:eastAsia="zh-CN"/>
        </w:rPr>
        <w:t xml:space="preserve">提供由国家认可的检测机构出具与所投产品型号一致、完整有效的检验（检测）</w:t>
      </w:r>
      <w:r>
        <w:rPr>
          <w:rFonts w:hint="eastAsia" w:ascii="Times New Roman" w:hAnsi="Times New Roman" w:cs="Times New Roman"/>
          <w:sz w:val="24"/>
          <w:szCs w:val="24"/>
          <w:highlight w:val="none"/>
          <w:lang w:val="en-US" w:eastAsia="zh-CN"/>
        </w:rPr>
        <w:t xml:space="preserve">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、视频模式：至少支持可见光、红外热成像、可见光与热成像双光融合等三种视频图传模式；图像防抖：支持EIS视频防抖图像补偿技术，适应各种复杂运动场景；</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5</w:t>
      </w:r>
      <w:r>
        <w:rPr>
          <w:rFonts w:hint="default" w:ascii="Times New Roman" w:hAnsi="Times New Roman" w:eastAsia="宋体" w:cs="Times New Roman"/>
          <w:sz w:val="24"/>
          <w:szCs w:val="24"/>
        </w:rPr>
        <w:t xml:space="preserve">、网络：支持4G/5G全网通；支持Wi-Fi；具有AP热点模式；支持蓝牙，与腕戴视显匹配连接；支持接入自组网设备网络；</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、三防功能：防水防尘等级≥IP68，支持承受≥2米任意面跌落，且主要部件与数据安全；（</w:t>
      </w:r>
      <w:r>
        <w:rPr>
          <w:rFonts w:hint="default" w:ascii="Times New Roman" w:hAnsi="Times New Roman" w:eastAsia="宋体" w:cs="Times New Roman"/>
          <w:sz w:val="24"/>
          <w:szCs w:val="24"/>
          <w:highlight w:val="none"/>
          <w:lang w:val="en-US" w:eastAsia="zh-CN"/>
        </w:rPr>
        <w:t xml:space="preserve">提供由国家认可的检测机构出具与所投产品型号一致、完整有效的检验（检测）</w:t>
      </w:r>
      <w:r>
        <w:rPr>
          <w:rFonts w:hint="eastAsia" w:ascii="Times New Roman" w:hAnsi="Times New Roman" w:cs="Times New Roman"/>
          <w:sz w:val="24"/>
          <w:szCs w:val="24"/>
          <w:highlight w:val="none"/>
          <w:lang w:val="en-US" w:eastAsia="zh-CN"/>
        </w:rPr>
        <w:t xml:space="preserve">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val="en-US" w:eastAsia="zh-CN"/>
        </w:rPr>
        <w:t xml:space="preserve">7</w:t>
      </w:r>
      <w:r>
        <w:rPr>
          <w:rFonts w:hint="default" w:ascii="Times New Roman" w:hAnsi="Times New Roman" w:eastAsia="宋体" w:cs="Times New Roman"/>
          <w:sz w:val="24"/>
          <w:szCs w:val="24"/>
          <w:highlight w:val="none"/>
        </w:rPr>
        <w:t xml:space="preserve">、防爆功能：本安型；（</w:t>
      </w:r>
      <w:r>
        <w:rPr>
          <w:rFonts w:hint="default" w:ascii="Times New Roman" w:hAnsi="Times New Roman" w:eastAsia="宋体" w:cs="Times New Roman"/>
          <w:sz w:val="24"/>
          <w:szCs w:val="24"/>
          <w:highlight w:val="none"/>
          <w:lang w:val="en-US" w:eastAsia="zh-CN"/>
        </w:rPr>
        <w:t xml:space="preserve">提供由国家认可的检测机构出具与所投产品型号一致、完整有效的检验（检测）</w:t>
      </w:r>
      <w:r>
        <w:rPr>
          <w:rFonts w:hint="eastAsia" w:ascii="Times New Roman" w:hAnsi="Times New Roman" w:cs="Times New Roman"/>
          <w:sz w:val="24"/>
          <w:szCs w:val="24"/>
          <w:highlight w:val="none"/>
          <w:lang w:val="en-US" w:eastAsia="zh-CN"/>
        </w:rPr>
        <w:t xml:space="preserve">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w:t>
      </w:r>
      <w:bookmarkStart w:id="179" w:name="_GoBack"/>
      <w:r/>
      <w:bookmarkEnd w:id="179"/>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8</w:t>
      </w:r>
      <w:r>
        <w:rPr>
          <w:rFonts w:hint="default" w:ascii="Times New Roman" w:hAnsi="Times New Roman" w:eastAsia="宋体" w:cs="Times New Roman"/>
          <w:sz w:val="24"/>
          <w:szCs w:val="24"/>
        </w:rPr>
        <w:t xml:space="preserve">、NFC功能：支持快速管理、自动触碰配对设备；定位：支持北斗定位模式；</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9</w:t>
      </w:r>
      <w:r>
        <w:rPr>
          <w:rFonts w:hint="default" w:ascii="Times New Roman" w:hAnsi="Times New Roman" w:eastAsia="宋体" w:cs="Times New Roman"/>
          <w:sz w:val="24"/>
          <w:szCs w:val="24"/>
        </w:rPr>
        <w:t xml:space="preserve">、存储：≥32G；</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10</w:t>
      </w:r>
      <w:r>
        <w:rPr>
          <w:rFonts w:hint="default" w:ascii="Times New Roman" w:hAnsi="Times New Roman" w:eastAsia="宋体" w:cs="Times New Roman"/>
          <w:sz w:val="24"/>
          <w:szCs w:val="24"/>
        </w:rPr>
        <w:t xml:space="preserve">、续航时间≥3小时；机身重量：≤200g；（含电池）</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、机身及支架：支持主机与支架分离，支持现有各种统型消防头盔，快装快拆，视角角度可调节：垂直≥60度，支持定制专用支架；</w:t>
      </w:r>
      <w:r/>
    </w:p>
    <w:p>
      <w:pPr>
        <w:pStyle w:val="720"/>
        <w:ind w:left="0" w:firstLine="0"/>
        <w:keepLines w:val="0"/>
        <w:keepNext w:val="0"/>
        <w:pageBreakBefore w:val="0"/>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、对接接口：音视频信号支持接入江苏省消防救援总队图像管理平台（接口文档详见附件</w:t>
      </w:r>
      <w:r>
        <w:rPr>
          <w:rFonts w:hint="eastAsia" w:ascii="Times New Roman" w:hAnsi="Times New Roman" w:eastAsia="宋体" w:cs="Times New Roman"/>
          <w:color w:val="auto"/>
          <w:sz w:val="24"/>
          <w:szCs w:val="24"/>
          <w:lang w:eastAsia="zh-CN"/>
        </w:rPr>
        <w:t xml:space="preserve">《江苏省消防救援总队互联网图像管理服务平台-设备接入规范》</w:t>
      </w:r>
      <w:r>
        <w:rPr>
          <w:rFonts w:hint="default" w:ascii="Times New Roman" w:hAnsi="Times New Roman" w:eastAsia="宋体" w:cs="Times New Roman"/>
          <w:color w:val="auto"/>
          <w:sz w:val="24"/>
          <w:szCs w:val="24"/>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腕戴部分功能规格要求</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t xml:space="preserve">1、视频模式：支持查看可见光、红外热成像、可见光与热成像双光融合画面，支持物理功能按键快捷切换；</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13</w:t>
      </w:r>
      <w:r>
        <w:rPr>
          <w:rFonts w:hint="default" w:ascii="Times New Roman" w:hAnsi="Times New Roman" w:eastAsia="宋体" w:cs="Times New Roman"/>
          <w:sz w:val="24"/>
          <w:szCs w:val="24"/>
        </w:rPr>
        <w:t xml:space="preserve">、录像：存储：≥64G；支持音视频通信本地录像、服务器端远程录像、远程调用录像文件、数据线和远程方式下载录像文件；</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14</w:t>
      </w:r>
      <w:r>
        <w:rPr>
          <w:rFonts w:hint="default" w:ascii="Times New Roman" w:hAnsi="Times New Roman" w:eastAsia="宋体" w:cs="Times New Roman"/>
          <w:sz w:val="24"/>
          <w:szCs w:val="24"/>
        </w:rPr>
        <w:t xml:space="preserve">、网络：支持4G/5G全网通；支持Wi-Fi；具有AP热点模式；支持蓝牙，与盔装视传自动匹配长连接；支持接入自组网设备网络；</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15</w:t>
      </w:r>
      <w:r>
        <w:rPr>
          <w:rFonts w:hint="default" w:ascii="Times New Roman" w:hAnsi="Times New Roman" w:eastAsia="宋体" w:cs="Times New Roman"/>
          <w:sz w:val="24"/>
          <w:szCs w:val="24"/>
        </w:rPr>
        <w:t xml:space="preserve">、三防功能</w:t>
      </w:r>
      <w:r>
        <w:rPr>
          <w:rFonts w:hint="default" w:ascii="Times New Roman" w:hAnsi="Times New Roman" w:eastAsia="宋体" w:cs="Times New Roman"/>
          <w:sz w:val="24"/>
          <w:szCs w:val="24"/>
          <w:highlight w:val="none"/>
        </w:rPr>
        <w:t xml:space="preserve">：防水防尘等级≥IP68；支持承受≥1.5米任意面跌落，确保主要部件与数据安全；（</w:t>
      </w:r>
      <w:r>
        <w:rPr>
          <w:rFonts w:hint="default" w:ascii="Times New Roman" w:hAnsi="Times New Roman" w:eastAsia="宋体" w:cs="Times New Roman"/>
          <w:sz w:val="24"/>
          <w:szCs w:val="24"/>
          <w:highlight w:val="none"/>
          <w:lang w:val="en-US" w:eastAsia="zh-CN"/>
        </w:rPr>
        <w:t xml:space="preserve">提供由国家认可的检测机构出具与所投产品型号一致、完整有效的检验（检测）</w:t>
      </w:r>
      <w:r>
        <w:rPr>
          <w:rFonts w:hint="eastAsia" w:ascii="Times New Roman" w:hAnsi="Times New Roman" w:cs="Times New Roman"/>
          <w:sz w:val="24"/>
          <w:szCs w:val="24"/>
          <w:highlight w:val="none"/>
          <w:lang w:val="en-US" w:eastAsia="zh-CN"/>
        </w:rPr>
        <w:t xml:space="preserve">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val="en-US" w:eastAsia="zh-CN"/>
        </w:rPr>
        <w:t xml:space="preserve">16</w:t>
      </w:r>
      <w:r>
        <w:rPr>
          <w:rFonts w:hint="default" w:ascii="Times New Roman" w:hAnsi="Times New Roman" w:eastAsia="宋体" w:cs="Times New Roman"/>
          <w:sz w:val="24"/>
          <w:szCs w:val="24"/>
          <w:highlight w:val="none"/>
        </w:rPr>
        <w:t xml:space="preserve">、防爆功能：本安型。（</w:t>
      </w:r>
      <w:r>
        <w:rPr>
          <w:rFonts w:hint="default" w:ascii="Times New Roman" w:hAnsi="Times New Roman" w:eastAsia="宋体" w:cs="Times New Roman"/>
          <w:sz w:val="24"/>
          <w:szCs w:val="24"/>
          <w:highlight w:val="none"/>
          <w:lang w:val="en-US" w:eastAsia="zh-CN"/>
        </w:rPr>
        <w:t xml:space="preserve">提供由国家认可的检测机构出具与所投产品型号一致、完整有效的检验（检测）</w:t>
      </w:r>
      <w:r>
        <w:rPr>
          <w:rFonts w:hint="eastAsia" w:ascii="Times New Roman" w:hAnsi="Times New Roman" w:cs="Times New Roman"/>
          <w:sz w:val="24"/>
          <w:szCs w:val="24"/>
          <w:highlight w:val="none"/>
          <w:lang w:val="en-US" w:eastAsia="zh-CN"/>
        </w:rPr>
        <w:t xml:space="preserve">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17</w:t>
      </w:r>
      <w:r>
        <w:rPr>
          <w:rFonts w:hint="default" w:ascii="Times New Roman" w:hAnsi="Times New Roman" w:eastAsia="宋体" w:cs="Times New Roman"/>
          <w:sz w:val="24"/>
          <w:szCs w:val="24"/>
        </w:rPr>
        <w:t xml:space="preserve">、屏幕：彩色屏≥3英寸；</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18</w:t>
      </w:r>
      <w:r>
        <w:rPr>
          <w:rFonts w:hint="default" w:ascii="Times New Roman" w:hAnsi="Times New Roman" w:eastAsia="宋体" w:cs="Times New Roman"/>
          <w:sz w:val="24"/>
          <w:szCs w:val="24"/>
        </w:rPr>
        <w:t xml:space="preserve">、续航时间≥3小时；重量≤250g</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19、</w:t>
      </w:r>
      <w:r>
        <w:rPr>
          <w:rFonts w:hint="default" w:ascii="Times New Roman" w:hAnsi="Times New Roman" w:eastAsia="宋体" w:cs="Times New Roman"/>
          <w:sz w:val="24"/>
          <w:szCs w:val="24"/>
        </w:rPr>
        <w:t xml:space="preserve">语音模块要求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配置空呼麦克风</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小型无人机系留装置</w:t>
      </w:r>
      <w:r/>
    </w:p>
    <w:p>
      <w:pPr>
        <w:keepLines w:val="0"/>
        <w:keepNext w:val="0"/>
        <w:pageBreakBefore w:val="0"/>
        <w:spacing w:beforeAutospacing="0" w:afterAutospacing="0" w:line="0" w:lineRule="atLeast"/>
        <w:widowControl w:val="off"/>
        <w:rPr>
          <w:rFonts w:hint="default" w:ascii="Times New Roman" w:hAnsi="Times New Roman" w:eastAsia="宋体" w:cs="Times New Roman"/>
          <w:b w:val="0"/>
          <w:bCs w:val="0"/>
          <w:i/>
          <w:iCs/>
          <w:color w:val="auto"/>
          <w:sz w:val="24"/>
          <w:szCs w:val="24"/>
          <w:u w:val="single"/>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000000"/>
          <w:sz w:val="24"/>
          <w:szCs w:val="24"/>
          <w:u w:val="none"/>
          <w:lang w:val="en-US" w:eastAsia="zh-CN" w:bidi="ar"/>
        </w:rPr>
        <w:t xml:space="preserve">1</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12</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12</w:t>
      </w:r>
      <w:r>
        <w:rPr>
          <w:rFonts w:hint="default" w:ascii="Times New Roman" w:hAnsi="Times New Roman" w:eastAsia="宋体" w:cs="Times New Roman"/>
          <w:b w:val="0"/>
          <w:bCs w:val="0"/>
          <w:i/>
          <w:iCs/>
          <w:color w:val="auto"/>
          <w:sz w:val="24"/>
          <w:szCs w:val="24"/>
          <w:u w:val="single"/>
        </w:rPr>
        <w:t xml:space="preserve">万。</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兼容性要求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至少兼容大疆经纬4系列等机型。</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照明模块设备功能</w:t>
      </w:r>
      <w:r>
        <w:rPr>
          <w:rFonts w:hint="default" w:ascii="Times New Roman" w:hAnsi="Times New Roman" w:eastAsia="宋体" w:cs="Times New Roman"/>
          <w:sz w:val="24"/>
          <w:szCs w:val="24"/>
        </w:rPr>
        <w:tab/>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.灯板具备照明、警示闪烁功能；</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.灯板具备过热保护功能；</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.灯光满足手动方式或智能控制功能，可以通过按钮或遥控器控制灯光开启、关闭及调节灯光模式，警示灯通过手动开关或遥控器开启或关闭。</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照明模块规格要求</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5</w:t>
      </w:r>
      <w:r>
        <w:rPr>
          <w:rFonts w:hint="default" w:ascii="Times New Roman" w:hAnsi="Times New Roman" w:eastAsia="宋体" w:cs="Times New Roman"/>
          <w:sz w:val="24"/>
          <w:szCs w:val="24"/>
        </w:rPr>
        <w:t xml:space="preserve">.升空照明灯组额定功率≥1000W、警示闪烁灯功率：≥200W；</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red"/>
        </w:rPr>
      </w:pP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.照度值：高度30m处，中心最大值≥25 lx，水平距离30m处边缘照度≥10 lx；（</w:t>
      </w:r>
      <w:r>
        <w:rPr>
          <w:rFonts w:hint="default" w:ascii="Times New Roman" w:hAnsi="Times New Roman" w:eastAsia="宋体" w:cs="Times New Roman"/>
          <w:sz w:val="24"/>
          <w:szCs w:val="24"/>
          <w:lang w:val="en-US" w:eastAsia="zh-CN"/>
        </w:rPr>
        <w:t xml:space="preserve">提供</w:t>
      </w:r>
      <w:r>
        <w:rPr>
          <w:rFonts w:hint="default" w:ascii="Times New Roman" w:hAnsi="Times New Roman" w:eastAsia="宋体" w:cs="Times New Roman"/>
          <w:sz w:val="24"/>
          <w:szCs w:val="24"/>
          <w:highlight w:val="none"/>
          <w:lang w:val="en-US" w:eastAsia="zh-CN"/>
        </w:rPr>
        <w:t xml:space="preserve">由国家认可的检测机构出具与所投产品型号一致、完整有效的检验（检测）</w:t>
      </w:r>
      <w:r>
        <w:rPr>
          <w:rFonts w:hint="eastAsia" w:ascii="Times New Roman" w:hAnsi="Times New Roman" w:cs="Times New Roman"/>
          <w:sz w:val="24"/>
          <w:szCs w:val="24"/>
          <w:highlight w:val="none"/>
          <w:lang w:val="en-US" w:eastAsia="zh-CN"/>
        </w:rPr>
        <w:t xml:space="preserve">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7</w:t>
      </w:r>
      <w:r>
        <w:rPr>
          <w:rFonts w:hint="default" w:ascii="Times New Roman" w:hAnsi="Times New Roman" w:eastAsia="宋体" w:cs="Times New Roman"/>
          <w:sz w:val="24"/>
          <w:szCs w:val="24"/>
        </w:rPr>
        <w:t xml:space="preserve">.照明灯组（含支架）总重量≤400g；</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8</w:t>
      </w:r>
      <w:r>
        <w:rPr>
          <w:rFonts w:hint="default" w:ascii="Times New Roman" w:hAnsi="Times New Roman" w:eastAsia="宋体" w:cs="Times New Roman"/>
          <w:sz w:val="24"/>
          <w:szCs w:val="24"/>
        </w:rPr>
        <w:t xml:space="preserve">.防护等级：≥IP67。</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供电平台设备功能</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9</w:t>
      </w:r>
      <w:r>
        <w:rPr>
          <w:rFonts w:hint="default" w:ascii="Times New Roman" w:hAnsi="Times New Roman" w:eastAsia="宋体" w:cs="Times New Roman"/>
          <w:sz w:val="24"/>
          <w:szCs w:val="24"/>
        </w:rPr>
        <w:t xml:space="preserve">.系留线缆夜间可见清晰的系留线轨迹，具备常亮、呼吸灯等发光模式，进行安全警示；</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10</w:t>
      </w:r>
      <w:r>
        <w:rPr>
          <w:rFonts w:hint="default" w:ascii="Times New Roman" w:hAnsi="Times New Roman" w:eastAsia="宋体" w:cs="Times New Roman"/>
          <w:sz w:val="24"/>
          <w:szCs w:val="24"/>
        </w:rPr>
        <w:t xml:space="preserve">.具备可伸缩护线杆，高度可调，可伸缩护线杆最大高度≥1.5米；</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11</w:t>
      </w:r>
      <w:r>
        <w:rPr>
          <w:rFonts w:hint="default" w:ascii="Times New Roman" w:hAnsi="Times New Roman" w:eastAsia="宋体" w:cs="Times New Roman"/>
          <w:sz w:val="24"/>
          <w:szCs w:val="24"/>
        </w:rPr>
        <w:t xml:space="preserve">.断电保护功能：当外部供电电源异常中断时，飞行器可正常飞行及降落。</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供电平台规格要求</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12</w:t>
      </w:r>
      <w:r>
        <w:rPr>
          <w:rFonts w:hint="default" w:ascii="Times New Roman" w:hAnsi="Times New Roman" w:eastAsia="宋体" w:cs="Times New Roman"/>
          <w:sz w:val="24"/>
          <w:szCs w:val="24"/>
        </w:rPr>
        <w:t xml:space="preserve">.尺寸：长≤500、宽≤400、高≤300mm（包含无人机收纳仓）；</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13</w:t>
      </w:r>
      <w:r>
        <w:rPr>
          <w:rFonts w:hint="default" w:ascii="Times New Roman" w:hAnsi="Times New Roman" w:eastAsia="宋体" w:cs="Times New Roman"/>
          <w:sz w:val="24"/>
          <w:szCs w:val="24"/>
        </w:rPr>
        <w:t xml:space="preserve">.重量（包含电源）：≤15kg；</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14</w:t>
      </w:r>
      <w:r>
        <w:rPr>
          <w:rFonts w:hint="default" w:ascii="Times New Roman" w:hAnsi="Times New Roman" w:eastAsia="宋体" w:cs="Times New Roman"/>
          <w:sz w:val="24"/>
          <w:szCs w:val="24"/>
        </w:rPr>
        <w:t xml:space="preserve">.系留线缆长度≥50m，悬停高度：≥50m；</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15</w:t>
      </w:r>
      <w:r>
        <w:rPr>
          <w:rFonts w:hint="default" w:ascii="Times New Roman" w:hAnsi="Times New Roman" w:eastAsia="宋体" w:cs="Times New Roman"/>
          <w:sz w:val="24"/>
          <w:szCs w:val="24"/>
        </w:rPr>
        <w:t xml:space="preserve">.工作时间：可搭配市电、发电机等使用，可24h连续供电。</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地面伴随保障灯组设备功能</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16</w:t>
      </w:r>
      <w:r>
        <w:rPr>
          <w:rFonts w:hint="default" w:ascii="Times New Roman" w:hAnsi="Times New Roman" w:eastAsia="宋体" w:cs="Times New Roman"/>
          <w:sz w:val="24"/>
          <w:szCs w:val="24"/>
        </w:rPr>
        <w:t xml:space="preserve">.具备聚光、红蓝警示光等工作模式；</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17</w:t>
      </w:r>
      <w:r>
        <w:rPr>
          <w:rFonts w:hint="default" w:ascii="Times New Roman" w:hAnsi="Times New Roman" w:eastAsia="宋体" w:cs="Times New Roman"/>
          <w:sz w:val="24"/>
          <w:szCs w:val="24"/>
        </w:rPr>
        <w:t xml:space="preserve">.可显示灯具的工作模式、剩余电量、剩余时间等内容；</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18</w:t>
      </w:r>
      <w:r>
        <w:rPr>
          <w:rFonts w:hint="default" w:ascii="Times New Roman" w:hAnsi="Times New Roman" w:eastAsia="宋体" w:cs="Times New Roman"/>
          <w:sz w:val="24"/>
          <w:szCs w:val="24"/>
        </w:rPr>
        <w:t xml:space="preserve">.具备智能调节电压充电功能，可使用5V等多种充电器对灯具充电。</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地面伴随保障灯组规格要求</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19</w:t>
      </w:r>
      <w:r>
        <w:rPr>
          <w:rFonts w:hint="default" w:ascii="Times New Roman" w:hAnsi="Times New Roman" w:eastAsia="宋体" w:cs="Times New Roman"/>
          <w:sz w:val="24"/>
          <w:szCs w:val="24"/>
        </w:rPr>
        <w:t xml:space="preserve">.灯具重量≤2kg；</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red"/>
        </w:rPr>
      </w:pPr>
      <w:r>
        <w:rPr>
          <w:rFonts w:hint="default" w:ascii="Times New Roman" w:hAnsi="Times New Roman" w:eastAsia="宋体" w:cs="Times New Roman"/>
          <w:sz w:val="24"/>
          <w:szCs w:val="24"/>
        </w:rPr>
        <w:t xml:space="preserve">▲2</w:t>
      </w:r>
      <w:r>
        <w:rPr>
          <w:rFonts w:hint="default" w:ascii="Times New Roman" w:hAnsi="Times New Roman" w:eastAsia="宋体" w:cs="Times New Roman"/>
          <w:sz w:val="24"/>
          <w:szCs w:val="24"/>
          <w:lang w:val="en-US" w:eastAsia="zh-CN"/>
        </w:rPr>
        <w:t xml:space="preserve">0</w:t>
      </w:r>
      <w:r>
        <w:rPr>
          <w:rFonts w:hint="default" w:ascii="Times New Roman" w:hAnsi="Times New Roman" w:eastAsia="宋体" w:cs="Times New Roman"/>
          <w:sz w:val="24"/>
          <w:szCs w:val="24"/>
        </w:rPr>
        <w:t xml:space="preserve">.光源功率≥20</w:t>
      </w:r>
      <w:r>
        <w:rPr>
          <w:rFonts w:hint="default" w:ascii="Times New Roman" w:hAnsi="Times New Roman" w:eastAsia="宋体" w:cs="Times New Roman"/>
          <w:sz w:val="24"/>
          <w:szCs w:val="24"/>
          <w:highlight w:val="none"/>
        </w:rPr>
        <w:t xml:space="preserve">W。（</w:t>
      </w:r>
      <w:r>
        <w:rPr>
          <w:rFonts w:hint="default" w:ascii="Times New Roman" w:hAnsi="Times New Roman" w:eastAsia="宋体" w:cs="Times New Roman"/>
          <w:sz w:val="24"/>
          <w:szCs w:val="24"/>
          <w:highlight w:val="none"/>
          <w:lang w:val="en-US" w:eastAsia="zh-CN"/>
        </w:rPr>
        <w:t xml:space="preserve">提供由国家认可的检测机构出具与所投产品型号一致、完整有效的检验（检测）</w:t>
      </w:r>
      <w:r>
        <w:rPr>
          <w:rFonts w:hint="eastAsia" w:ascii="Times New Roman" w:hAnsi="Times New Roman" w:cs="Times New Roman"/>
          <w:sz w:val="24"/>
          <w:szCs w:val="24"/>
          <w:highlight w:val="none"/>
          <w:lang w:val="en-US" w:eastAsia="zh-CN"/>
        </w:rPr>
        <w:t xml:space="preserve">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w:t>
      </w:r>
      <w:r/>
    </w:p>
    <w:p>
      <w:pPr>
        <w:pStyle w:val="72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 xml:space="preserve">分包</w:t>
      </w:r>
      <w:r>
        <w:rPr>
          <w:rFonts w:hint="default" w:ascii="Times New Roman" w:hAnsi="Times New Roman" w:eastAsia="宋体" w:cs="Times New Roman"/>
          <w:b/>
          <w:bCs/>
          <w:sz w:val="24"/>
          <w:szCs w:val="24"/>
          <w:lang w:val="en-US" w:eastAsia="zh-CN"/>
        </w:rPr>
        <w:t xml:space="preserve">4</w:t>
      </w:r>
      <w:r>
        <w:rPr>
          <w:rFonts w:hint="default" w:ascii="Times New Roman" w:hAnsi="Times New Roman" w:eastAsia="宋体" w:cs="Times New Roman"/>
          <w:b/>
          <w:bCs/>
          <w:sz w:val="24"/>
          <w:szCs w:val="24"/>
        </w:rPr>
        <w:t xml:space="preserve">：四足机器人</w:t>
      </w:r>
      <w:r/>
    </w:p>
    <w:p>
      <w:pPr>
        <w:keepLines w:val="0"/>
        <w:keepNext w:val="0"/>
        <w:pageBreakBefore w:val="0"/>
        <w:spacing w:beforeAutospacing="0" w:afterAutospacing="0" w:line="0" w:lineRule="atLeast"/>
        <w:widowControl w:val="off"/>
        <w:rPr>
          <w:rFonts w:hint="default" w:ascii="Times New Roman" w:hAnsi="Times New Roman" w:eastAsia="宋体" w:cs="Times New Roman"/>
          <w:sz w:val="24"/>
          <w:szCs w:val="24"/>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000000"/>
          <w:sz w:val="24"/>
          <w:szCs w:val="24"/>
          <w:u w:val="none"/>
          <w:lang w:val="en-US" w:eastAsia="zh-CN" w:bidi="ar"/>
        </w:rPr>
        <w:t xml:space="preserve">1</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84</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84</w:t>
      </w:r>
      <w:r>
        <w:rPr>
          <w:rFonts w:hint="default" w:ascii="Times New Roman" w:hAnsi="Times New Roman" w:eastAsia="宋体" w:cs="Times New Roman"/>
          <w:b w:val="0"/>
          <w:bCs w:val="0"/>
          <w:i/>
          <w:iCs/>
          <w:color w:val="auto"/>
          <w:sz w:val="24"/>
          <w:szCs w:val="24"/>
          <w:u w:val="single"/>
        </w:rPr>
        <w:t xml:space="preserve">万。</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1、快速响应：从设备开机到遥控器连接成功并可进行操控，时间不超过 60 秒；</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▲2、尺寸及外观：站立尺寸：长≤1200mm，宽≤550mm，高≤750mm；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▲3、重量：≤80kg（带电池）；</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4、续航时间:≥4h（空载）；有效负载:≥30KG；</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lang w:val="en-US" w:eastAsia="zh-CN"/>
        </w:rPr>
        <w:t xml:space="preserve">5</w:t>
      </w:r>
      <w:r>
        <w:rPr>
          <w:rFonts w:hint="default" w:ascii="Times New Roman" w:hAnsi="Times New Roman" w:eastAsia="宋体" w:cs="Times New Roman"/>
          <w:sz w:val="24"/>
          <w:szCs w:val="24"/>
          <w:lang w:val="en-US" w:eastAsia="zh-CN"/>
        </w:rPr>
        <w:t xml:space="preserve">、运动功能：具备走直线，踏步、行走、跑步，360°转向，翻越障碍和抗外力干扰的能力；可攀爬斜坡最大坡度≥40°；可攀爬最大连续台阶高度≥20cm；运动</w:t>
      </w:r>
      <w:r>
        <w:rPr>
          <w:rFonts w:hint="default" w:ascii="Times New Roman" w:hAnsi="Times New Roman" w:eastAsia="宋体" w:cs="Times New Roman"/>
          <w:sz w:val="24"/>
          <w:szCs w:val="24"/>
          <w:highlight w:val="none"/>
          <w:lang w:val="en-US" w:eastAsia="zh-CN"/>
        </w:rPr>
        <w:t xml:space="preserve">功能：最大运动速度≥3m/s；</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w:t>
      </w:r>
      <w:r>
        <w:rPr>
          <w:rFonts w:hint="eastAsia" w:ascii="Times New Roman" w:hAnsi="Times New Roman" w:cs="Times New Roman"/>
          <w:sz w:val="24"/>
          <w:szCs w:val="24"/>
          <w:highlight w:val="none"/>
          <w:lang w:val="en-US" w:eastAsia="zh-CN"/>
        </w:rPr>
        <w:t xml:space="preserve">6</w:t>
      </w:r>
      <w:r>
        <w:rPr>
          <w:rFonts w:hint="default" w:ascii="Times New Roman" w:hAnsi="Times New Roman" w:eastAsia="宋体" w:cs="Times New Roman"/>
          <w:sz w:val="24"/>
          <w:szCs w:val="24"/>
          <w:highlight w:val="none"/>
          <w:lang w:val="en-US" w:eastAsia="zh-CN"/>
        </w:rPr>
        <w:t xml:space="preserve">、制动距离：1m/s的速度下，制动距离≤0.4m；</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7</w:t>
      </w:r>
      <w:r>
        <w:rPr>
          <w:rFonts w:hint="default" w:ascii="Times New Roman" w:hAnsi="Times New Roman" w:eastAsia="宋体" w:cs="Times New Roman"/>
          <w:sz w:val="24"/>
          <w:szCs w:val="24"/>
          <w:highlight w:val="none"/>
          <w:lang w:val="en-US" w:eastAsia="zh-CN"/>
        </w:rPr>
        <w:t xml:space="preserve">、防护等级≥IP67（须提供第三方具备认证资质的机构出具的检测报告扫描件，并加盖投标单位公章）；</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w:t>
      </w:r>
      <w:r>
        <w:rPr>
          <w:rFonts w:hint="eastAsia" w:ascii="Times New Roman" w:hAnsi="Times New Roman" w:cs="Times New Roman"/>
          <w:sz w:val="24"/>
          <w:szCs w:val="24"/>
          <w:lang w:val="en-US" w:eastAsia="zh-CN"/>
        </w:rPr>
        <w:t xml:space="preserve">8</w:t>
      </w:r>
      <w:r>
        <w:rPr>
          <w:rFonts w:hint="default" w:ascii="Times New Roman" w:hAnsi="Times New Roman" w:eastAsia="宋体" w:cs="Times New Roman"/>
          <w:sz w:val="24"/>
          <w:szCs w:val="24"/>
          <w:lang w:val="en-US" w:eastAsia="zh-CN"/>
        </w:rPr>
        <w:t xml:space="preserve">、安全功能：具备360°自动避障和绕障功能；</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9</w:t>
      </w:r>
      <w:r>
        <w:rPr>
          <w:rFonts w:hint="default" w:ascii="Times New Roman" w:hAnsi="Times New Roman" w:eastAsia="宋体" w:cs="Times New Roman"/>
          <w:sz w:val="24"/>
          <w:szCs w:val="24"/>
          <w:lang w:val="en-US" w:eastAsia="zh-CN"/>
        </w:rPr>
        <w:t xml:space="preserve">、安全功能：至少具备软硬急停保护、摔倒保护、过温报警等功能；</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w:t>
      </w:r>
      <w:r>
        <w:rPr>
          <w:rFonts w:hint="eastAsia" w:ascii="Times New Roman" w:hAnsi="Times New Roman" w:cs="Times New Roman"/>
          <w:sz w:val="24"/>
          <w:szCs w:val="24"/>
          <w:lang w:val="en-US" w:eastAsia="zh-CN"/>
        </w:rPr>
        <w:t xml:space="preserve">0</w:t>
      </w:r>
      <w:r>
        <w:rPr>
          <w:rFonts w:hint="default" w:ascii="Times New Roman" w:hAnsi="Times New Roman" w:eastAsia="宋体" w:cs="Times New Roman"/>
          <w:sz w:val="24"/>
          <w:szCs w:val="24"/>
          <w:lang w:val="en-US" w:eastAsia="zh-CN"/>
        </w:rPr>
        <w:t xml:space="preserve">、安全功能：至少具备耐磨、防火等性能（须提供第三方具备认证资质的机构出具的检测报告扫描件，或提供承诺函格式自拟，并加盖投标单位公章）；</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双光云台模块功能及要求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w:t>
      </w:r>
      <w:r>
        <w:rPr>
          <w:rFonts w:hint="eastAsia" w:ascii="Times New Roman" w:hAnsi="Times New Roman" w:cs="Times New Roman"/>
          <w:sz w:val="24"/>
          <w:szCs w:val="24"/>
          <w:lang w:val="en-US" w:eastAsia="zh-CN"/>
        </w:rPr>
        <w:t xml:space="preserve">1</w:t>
      </w:r>
      <w:r>
        <w:rPr>
          <w:rFonts w:hint="default" w:ascii="Times New Roman" w:hAnsi="Times New Roman" w:eastAsia="宋体" w:cs="Times New Roman"/>
          <w:sz w:val="24"/>
          <w:szCs w:val="24"/>
          <w:lang w:val="en-US" w:eastAsia="zh-CN"/>
        </w:rPr>
        <w:t xml:space="preserve">、适配四足机器人，支持红外和高速变焦功能；</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w:t>
      </w: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、分辨率≥1920*1080；红外分辨率≥384*288，测温范围不低于-20℃~150℃、0~500℃；云台角度范围：垂直方向≥-20°（俯视）～ +90°（仰视），水平方向360°；</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激光三维建图模块功能及要求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w:t>
      </w:r>
      <w:r>
        <w:rPr>
          <w:rFonts w:hint="eastAsia" w:ascii="Times New Roman" w:hAnsi="Times New Roman" w:cs="Times New Roman"/>
          <w:sz w:val="24"/>
          <w:szCs w:val="24"/>
          <w:lang w:val="en-US" w:eastAsia="zh-CN"/>
        </w:rPr>
        <w:t xml:space="preserve">3</w:t>
      </w:r>
      <w:r>
        <w:rPr>
          <w:rFonts w:hint="default" w:ascii="Times New Roman" w:hAnsi="Times New Roman" w:eastAsia="宋体" w:cs="Times New Roman"/>
          <w:sz w:val="24"/>
          <w:szCs w:val="24"/>
          <w:lang w:val="en-US" w:eastAsia="zh-CN"/>
        </w:rPr>
        <w:t xml:space="preserve">、能够完全适配四足机器人，支持实时生成厘米级彩色点云模型；</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w:t>
      </w:r>
      <w:r>
        <w:rPr>
          <w:rFonts w:hint="eastAsia" w:ascii="Times New Roman" w:hAnsi="Times New Roman" w:cs="Times New Roman"/>
          <w:sz w:val="24"/>
          <w:szCs w:val="24"/>
          <w:lang w:val="en-US" w:eastAsia="zh-CN"/>
        </w:rPr>
        <w:t xml:space="preserve">4</w:t>
      </w:r>
      <w:r>
        <w:rPr>
          <w:rFonts w:hint="default" w:ascii="Times New Roman" w:hAnsi="Times New Roman" w:eastAsia="宋体" w:cs="Times New Roman"/>
          <w:sz w:val="24"/>
          <w:szCs w:val="24"/>
          <w:lang w:val="en-US" w:eastAsia="zh-CN"/>
        </w:rPr>
        <w:t xml:space="preserve">、扫描范围：≥40m，扫描速率：≥20万点/秒；相对精度≤1.5cm，配套RTK模块；</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拾音、广播、照明模块功能及要求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w:t>
      </w:r>
      <w:r>
        <w:rPr>
          <w:rFonts w:hint="eastAsia" w:ascii="Times New Roman" w:hAnsi="Times New Roman" w:cs="Times New Roman"/>
          <w:sz w:val="24"/>
          <w:szCs w:val="24"/>
          <w:lang w:val="en-US" w:eastAsia="zh-CN"/>
        </w:rPr>
        <w:t xml:space="preserve">5</w:t>
      </w:r>
      <w:r>
        <w:rPr>
          <w:rFonts w:hint="default" w:ascii="Times New Roman" w:hAnsi="Times New Roman" w:eastAsia="宋体" w:cs="Times New Roman"/>
          <w:sz w:val="24"/>
          <w:szCs w:val="24"/>
          <w:lang w:val="en-US" w:eastAsia="zh-CN"/>
        </w:rPr>
        <w:t xml:space="preserve">、具备遥控端和四足机器人端远程语音对接功能，具备360°拾音功能，具有回声抵消、智能动态降噪功能；广播：支持实时喊话、录音上传、音频文件播放、文字转语音等播放方式； 照明：支持照明、红蓝爆闪模式切换；</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灭火水炮模块功能及要求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16</w:t>
      </w:r>
      <w:r>
        <w:rPr>
          <w:rFonts w:hint="default" w:ascii="Times New Roman" w:hAnsi="Times New Roman" w:eastAsia="宋体" w:cs="Times New Roman"/>
          <w:sz w:val="24"/>
          <w:szCs w:val="24"/>
          <w:lang w:val="en-US" w:eastAsia="zh-CN"/>
        </w:rPr>
        <w:t xml:space="preserve">、支持直流喷射，≥3 档流量可选：20L/s、30L/s、40L/s；最大射程：≥60m；最大喷雾角度：≥120°；水平运动角度：≥±20°；</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17</w:t>
      </w:r>
      <w:r>
        <w:rPr>
          <w:rFonts w:hint="default" w:ascii="Times New Roman" w:hAnsi="Times New Roman" w:eastAsia="宋体" w:cs="Times New Roman"/>
          <w:sz w:val="24"/>
          <w:szCs w:val="24"/>
          <w:lang w:val="en-US" w:eastAsia="zh-CN"/>
        </w:rPr>
        <w:t xml:space="preserve">、支持电控直流喷雾炮头，至少实现直流和喷雾两种模式自由切换；支持安装泡沫炮头，可快速替换直流喷雾炮头，实现一机双用；</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气体检测模块功能及要求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18</w:t>
      </w:r>
      <w:r>
        <w:rPr>
          <w:rFonts w:hint="default" w:ascii="Times New Roman" w:hAnsi="Times New Roman" w:eastAsia="宋体" w:cs="Times New Roman"/>
          <w:sz w:val="24"/>
          <w:szCs w:val="24"/>
          <w:lang w:val="en-US" w:eastAsia="zh-CN"/>
        </w:rPr>
        <w:t xml:space="preserve">、适配四足机器人，能自动识别检测气体包括但不限于：一氧化碳CO、硫化氢H</w:t>
      </w:r>
      <w:r>
        <w:rPr>
          <w:rFonts w:hint="default" w:ascii="Times New Roman" w:hAnsi="Times New Roman" w:eastAsia="宋体" w:cs="Times New Roman"/>
          <w:sz w:val="24"/>
          <w:szCs w:val="24"/>
          <w:vertAlign w:val="subscript"/>
          <w:lang w:val="en-US" w:eastAsia="zh-CN"/>
        </w:rPr>
        <w:t xml:space="preserve">2</w:t>
      </w:r>
      <w:r>
        <w:rPr>
          <w:rFonts w:hint="default" w:ascii="Times New Roman" w:hAnsi="Times New Roman" w:eastAsia="宋体" w:cs="Times New Roman"/>
          <w:sz w:val="24"/>
          <w:szCs w:val="24"/>
          <w:lang w:val="en-US" w:eastAsia="zh-CN"/>
        </w:rPr>
        <w:t xml:space="preserve">S、氧气O</w:t>
      </w:r>
      <w:r>
        <w:rPr>
          <w:rFonts w:hint="default" w:ascii="Times New Roman" w:hAnsi="Times New Roman" w:eastAsia="宋体" w:cs="Times New Roman"/>
          <w:sz w:val="24"/>
          <w:szCs w:val="24"/>
          <w:vertAlign w:val="subscript"/>
          <w:lang w:val="en-US" w:eastAsia="zh-CN"/>
        </w:rPr>
        <w:t xml:space="preserve">2</w:t>
      </w:r>
      <w:r>
        <w:rPr>
          <w:rFonts w:hint="default" w:ascii="Times New Roman" w:hAnsi="Times New Roman" w:eastAsia="宋体" w:cs="Times New Roman"/>
          <w:sz w:val="24"/>
          <w:szCs w:val="24"/>
          <w:lang w:val="en-US" w:eastAsia="zh-CN"/>
        </w:rPr>
        <w:t xml:space="preserve">、可燃 EX、二氧化碳CO</w:t>
      </w:r>
      <w:r>
        <w:rPr>
          <w:rFonts w:hint="default" w:ascii="Times New Roman" w:hAnsi="Times New Roman" w:eastAsia="宋体" w:cs="Times New Roman"/>
          <w:sz w:val="24"/>
          <w:szCs w:val="24"/>
          <w:vertAlign w:val="subscript"/>
          <w:lang w:val="en-US" w:eastAsia="zh-CN"/>
        </w:rPr>
        <w:t xml:space="preserve">2</w:t>
      </w:r>
      <w:r>
        <w:rPr>
          <w:rFonts w:hint="default" w:ascii="Times New Roman" w:hAnsi="Times New Roman" w:eastAsia="宋体" w:cs="Times New Roman"/>
          <w:sz w:val="24"/>
          <w:szCs w:val="24"/>
          <w:lang w:val="en-US" w:eastAsia="zh-CN"/>
        </w:rPr>
        <w:t xml:space="preserve">、氮氧化物NO</w:t>
      </w:r>
      <w:r>
        <w:rPr>
          <w:rFonts w:hint="default" w:ascii="Times New Roman" w:hAnsi="Times New Roman" w:eastAsia="宋体" w:cs="Times New Roman"/>
          <w:sz w:val="24"/>
          <w:szCs w:val="24"/>
          <w:vertAlign w:val="subscript"/>
          <w:lang w:val="en-US" w:eastAsia="zh-CN"/>
        </w:rPr>
        <w:t xml:space="preserve">X</w:t>
      </w:r>
      <w:r>
        <w:rPr>
          <w:rFonts w:hint="default" w:ascii="Times New Roman" w:hAnsi="Times New Roman" w:eastAsia="宋体" w:cs="Times New Roman"/>
          <w:sz w:val="24"/>
          <w:szCs w:val="24"/>
          <w:lang w:val="en-US" w:eastAsia="zh-CN"/>
        </w:rPr>
        <w:t xml:space="preserve">(NO</w:t>
      </w:r>
      <w:r>
        <w:rPr>
          <w:rFonts w:hint="default" w:ascii="Times New Roman" w:hAnsi="Times New Roman" w:eastAsia="宋体" w:cs="Times New Roman"/>
          <w:sz w:val="24"/>
          <w:szCs w:val="24"/>
          <w:vertAlign w:val="subscript"/>
          <w:lang w:val="en-US" w:eastAsia="zh-CN"/>
        </w:rPr>
        <w:t xml:space="preserve">2</w:t>
      </w:r>
      <w:r>
        <w:rPr>
          <w:rFonts w:hint="default" w:ascii="Times New Roman" w:hAnsi="Times New Roman" w:eastAsia="宋体" w:cs="Times New Roman"/>
          <w:sz w:val="24"/>
          <w:szCs w:val="24"/>
          <w:lang w:val="en-US" w:eastAsia="zh-CN"/>
        </w:rPr>
        <w:t xml:space="preserve">)等可燃有害气体，并进行实时浓度报警，在遥控终端上显示气体传感器信息，支持历史检测记录查询手持地面站功能及要求；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手持地面站功能及要求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19</w:t>
      </w:r>
      <w:r>
        <w:rPr>
          <w:rFonts w:hint="default" w:ascii="Times New Roman" w:hAnsi="Times New Roman" w:eastAsia="宋体" w:cs="Times New Roman"/>
          <w:sz w:val="24"/>
          <w:szCs w:val="24"/>
          <w:lang w:val="en-US" w:eastAsia="zh-CN"/>
        </w:rPr>
        <w:t xml:space="preserve">、具备无线数字图传，全高清视频实时显示遥控、数据、图像链路；</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w:t>
      </w:r>
      <w:r>
        <w:rPr>
          <w:rFonts w:hint="eastAsia" w:ascii="Times New Roman" w:hAnsi="Times New Roman" w:cs="Times New Roman"/>
          <w:sz w:val="24"/>
          <w:szCs w:val="24"/>
          <w:lang w:val="en-US" w:eastAsia="zh-CN"/>
        </w:rPr>
        <w:t xml:space="preserve">0</w:t>
      </w:r>
      <w:r>
        <w:rPr>
          <w:rFonts w:hint="default" w:ascii="Times New Roman" w:hAnsi="Times New Roman" w:eastAsia="宋体" w:cs="Times New Roman"/>
          <w:sz w:val="24"/>
          <w:szCs w:val="24"/>
          <w:lang w:val="en-US" w:eastAsia="zh-CN"/>
        </w:rPr>
        <w:t xml:space="preserve">、分辨率：≥1080P；屏幕尺寸≥7寸，高清高亮显示屏；防护等级：≥IP55；</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w:t>
      </w:r>
      <w:r>
        <w:rPr>
          <w:rFonts w:hint="eastAsia" w:ascii="Times New Roman" w:hAnsi="Times New Roman" w:cs="Times New Roman"/>
          <w:sz w:val="24"/>
          <w:szCs w:val="24"/>
          <w:lang w:val="en-US" w:eastAsia="zh-CN"/>
        </w:rPr>
        <w:t xml:space="preserve">1</w:t>
      </w:r>
      <w:r>
        <w:rPr>
          <w:rFonts w:hint="default" w:ascii="Times New Roman" w:hAnsi="Times New Roman" w:eastAsia="宋体" w:cs="Times New Roman"/>
          <w:sz w:val="24"/>
          <w:szCs w:val="24"/>
          <w:lang w:val="en-US" w:eastAsia="zh-CN"/>
        </w:rPr>
        <w:t xml:space="preserve">、具备云台控制杆；双光谱云台的转动；可以进行截屏、录屏、紧急停止等功能；能实现对机器人的行走、跑步、上下楼梯、斜坡的遥控、实时显示机器人电量、信号强度，气体传感器等数据；可分屏显示可见光和红外视频实时画面、控制双光云台的转动；可以进行截屏、录屏、紧急停止等功能；</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22</w:t>
      </w:r>
      <w:r>
        <w:rPr>
          <w:rFonts w:hint="default" w:ascii="Times New Roman" w:hAnsi="Times New Roman" w:eastAsia="宋体" w:cs="Times New Roman"/>
          <w:sz w:val="24"/>
          <w:szCs w:val="24"/>
          <w:lang w:val="en-US" w:eastAsia="zh-CN"/>
        </w:rPr>
        <w:t xml:space="preserve">、模块化快拆设计：模块采用快拆结构设计，可根据任务需求灵活拆装使用，满足多场景实战需求；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23</w:t>
      </w:r>
      <w:r>
        <w:rPr>
          <w:rFonts w:hint="default" w:ascii="Times New Roman" w:hAnsi="Times New Roman" w:eastAsia="宋体" w:cs="Times New Roman"/>
          <w:sz w:val="24"/>
          <w:szCs w:val="24"/>
          <w:lang w:val="en-US" w:eastAsia="zh-CN"/>
        </w:rPr>
        <w:t xml:space="preserve">、适配定制服务：提供对用户自有的自组网设备适配服务：根据用户已有自组网设备，定制设备接口与机器人适配快速安装；</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24</w:t>
      </w:r>
      <w:r>
        <w:rPr>
          <w:rFonts w:hint="default" w:ascii="Times New Roman" w:hAnsi="Times New Roman" w:eastAsia="宋体" w:cs="Times New Roman"/>
          <w:sz w:val="24"/>
          <w:szCs w:val="24"/>
          <w:lang w:val="en-US" w:eastAsia="zh-CN"/>
        </w:rPr>
        <w:t xml:space="preserve">、便携式平板电脑：提供配套的便携式平板电脑，展示实时扫描点云实时建模的效果；专用置物筐：支持根据机器人尺寸定制背负式置物箱，能完全收纳机器人及其配件；</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服务及运维</w:t>
      </w:r>
      <w:r>
        <w:rPr>
          <w:rFonts w:hint="default" w:ascii="Times New Roman" w:hAnsi="Times New Roman" w:eastAsia="宋体" w:cs="Times New Roman"/>
          <w:sz w:val="24"/>
          <w:szCs w:val="24"/>
          <w:lang w:val="en-US" w:eastAsia="zh-CN"/>
        </w:rPr>
        <w:tab/>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5、</w:t>
      </w:r>
      <w:r>
        <w:rPr>
          <w:rFonts w:hint="default" w:ascii="Times New Roman" w:hAnsi="Times New Roman" w:eastAsia="宋体" w:cs="Times New Roman"/>
          <w:i/>
          <w:iCs/>
          <w:sz w:val="24"/>
          <w:szCs w:val="24"/>
          <w:u w:val="single"/>
          <w:lang w:val="en-US" w:eastAsia="zh-CN"/>
        </w:rPr>
        <w:t xml:space="preserve">提供免费交付培训和终身免费的软件升级服务；</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6、四足机器人可接入总队无人化装备管理平台</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w:t>
      </w: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6.1支持开放标准化接口：采用RESTful API接口，支持基于HTTP/HTTPS/MQTT等协议完成请求响应交互，支持采用JSON数据格式进行数据封装。同时提供丰富API文档，便于第三方平台快速对接和二次开发；</w:t>
      </w:r>
      <w:r/>
    </w:p>
    <w:p>
      <w:pPr>
        <w:pStyle w:val="720"/>
        <w:ind w:left="0" w:firstLine="0"/>
        <w:keepLines w:val="0"/>
        <w:keepNext w:val="0"/>
        <w:pageBreakBefore w:val="0"/>
        <w:widowControl w:val="off"/>
        <w:rPr>
          <w:rFonts w:hint="default"/>
          <w:lang w:val="en-US" w:eastAsia="zh-CN"/>
        </w:rPr>
      </w:pPr>
      <w:r>
        <w:rPr>
          <w:rFonts w:hint="default" w:ascii="Times New Roman" w:hAnsi="Times New Roman" w:eastAsia="宋体" w:cs="Times New Roman"/>
          <w:sz w:val="24"/>
          <w:szCs w:val="24"/>
          <w:lang w:val="en-US" w:eastAsia="zh-CN"/>
        </w:rPr>
        <w:t xml:space="preserve">▲</w:t>
      </w: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6.2支持接入装备基础信息、运行状态等数据信息：包括但不限于装备名称、品牌型号、生产厂商、设备在线/离线状态、实时位置、行进速率、环境感知采集影像、异常预警、任务执行阶段等实时运行状态数据。</w:t>
      </w:r>
      <w:r/>
    </w:p>
    <w:p>
      <w:pPr>
        <w:pageBreakBefore w:val="0"/>
        <w:spacing w:beforeAutospacing="0" w:afterAutospacing="0" w:line="0" w:lineRule="atLeast"/>
        <w:rPr>
          <w:rFonts w:hint="eastAsia" w:ascii="宋体" w:hAnsi="宋体"/>
          <w:b/>
          <w:bCs/>
          <w:sz w:val="24"/>
          <w:szCs w:val="24"/>
          <w:lang w:eastAsia="zh-CN"/>
        </w:rPr>
      </w:pPr>
      <w:r>
        <w:rPr>
          <w:rFonts w:hint="eastAsia" w:ascii="宋体" w:hAnsi="宋体"/>
          <w:b/>
          <w:bCs/>
          <w:sz w:val="24"/>
          <w:szCs w:val="24"/>
          <w:lang w:eastAsia="zh-CN"/>
        </w:rPr>
      </w:r>
      <w:r/>
    </w:p>
    <w:p>
      <w:pPr>
        <w:pageBreakBefore w:val="0"/>
        <w:spacing w:beforeAutospacing="0" w:afterAutospacing="0" w:line="0" w:lineRule="atLeast"/>
        <w:rPr>
          <w:rFonts w:ascii="宋体" w:hAnsi="宋体"/>
          <w:b/>
          <w:bCs/>
          <w:sz w:val="24"/>
          <w:szCs w:val="24"/>
        </w:rPr>
      </w:pPr>
      <w:r>
        <w:rPr>
          <w:rFonts w:hint="eastAsia" w:ascii="宋体" w:hAnsi="宋体"/>
          <w:b/>
          <w:bCs/>
          <w:sz w:val="24"/>
          <w:szCs w:val="24"/>
          <w:lang w:eastAsia="zh-CN"/>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pageBreakBefore w:val="0"/>
        <w:spacing w:beforeAutospacing="0" w:afterAutospacing="0" w:line="0" w:lineRule="atLeast"/>
        <w:rPr>
          <w:rFonts w:ascii="宋体" w:hAnsi="宋体"/>
          <w:b/>
          <w:bCs/>
          <w:sz w:val="24"/>
          <w:szCs w:val="21"/>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1.</w:t>
      </w:r>
      <w:r>
        <w:rPr>
          <w:rFonts w:hint="eastAsia" w:ascii="宋体" w:hAnsi="宋体"/>
          <w:b w:val="0"/>
          <w:bCs w:val="0"/>
          <w:color w:val="000000"/>
          <w:sz w:val="24"/>
          <w:szCs w:val="21"/>
        </w:rPr>
        <w:t xml:space="preserve">售后服务方案 </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方案内容完整，售后服务范围全面且清晰，售后服务点设置有利于采购人，配备售后服务人员专业对口且经验丰富，配备设施设备先进且全面，响应时间满足采购文件要求，售后服务承诺与保证书有处罚措施。</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2.</w:t>
      </w:r>
      <w:r>
        <w:rPr>
          <w:rFonts w:hint="eastAsia" w:ascii="宋体" w:hAnsi="宋体"/>
          <w:b w:val="0"/>
          <w:bCs w:val="0"/>
          <w:color w:val="000000"/>
          <w:sz w:val="24"/>
          <w:szCs w:val="21"/>
        </w:rPr>
        <w:t xml:space="preserve">保修方案 </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就投标人提供的保修方案进行综合评审，内容包括但不限于：保修范围、所投产品常见故障及保修措施、保修人员配备、拟投入的设施设备及车辆配备、响应时间、保修承诺与保证书等情况。 </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方案内容完整，保修范围全面且清晰，常见故障罗列详细且对应的保修措施可行，配备保修人员专业对口且经验丰富，配备设施设备齐全，响应时间满足采购文件要求； </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3.</w:t>
      </w:r>
      <w:r>
        <w:rPr>
          <w:rFonts w:hint="eastAsia" w:ascii="宋体" w:hAnsi="宋体"/>
          <w:b w:val="0"/>
          <w:bCs w:val="0"/>
          <w:color w:val="000000"/>
          <w:sz w:val="24"/>
          <w:szCs w:val="21"/>
        </w:rPr>
        <w:t xml:space="preserve">保修期外维保 </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就投标人提供的保修期外维保服务范围、内容、响应时间及维保费用情况、易损件、零配件及重要消耗品的价格、保修期外维保承诺与保证书等情况进行综合评审。 </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方案内容完整，维保范围、内容全面，响应时间满足采购文件要求，维保费用优惠合理，服务承诺对采购人有利； </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4.</w:t>
      </w:r>
      <w:r>
        <w:rPr>
          <w:rFonts w:hint="eastAsia" w:ascii="宋体" w:hAnsi="宋体"/>
          <w:b w:val="0"/>
          <w:bCs w:val="0"/>
          <w:color w:val="000000"/>
          <w:sz w:val="24"/>
          <w:szCs w:val="21"/>
        </w:rPr>
        <w:t xml:space="preserve">技术培训方案</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就投标人提供的技术培训内容及方式、培训计划、培训对象及配对团队方案等情况进行综合评审。</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方案内容完整，培训内容全面覆盖采购标的技术要点、操作规范及常见问题处理，方式科学可行、培训计划合理有序、培训对象覆盖全面、配对团队专业适配，能有效保障采购人相关人员熟练掌握对应技术、规范操作；</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5.</w:t>
      </w:r>
      <w:r>
        <w:rPr>
          <w:rFonts w:hint="eastAsia" w:ascii="宋体" w:hAnsi="宋体"/>
          <w:b w:val="0"/>
          <w:bCs w:val="0"/>
          <w:color w:val="000000"/>
          <w:sz w:val="24"/>
          <w:szCs w:val="21"/>
        </w:rPr>
        <w:t xml:space="preserve">供货方案</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就投标人提供的产品供货方案、安装调试方案及配送承诺等方案进行综合评审。</w:t>
      </w:r>
      <w:r/>
    </w:p>
    <w:p>
      <w:pPr>
        <w:pageBreakBefore w:val="0"/>
        <w:spacing w:beforeAutospacing="0" w:afterAutospacing="0" w:line="0" w:lineRule="atLeast"/>
        <w:rPr>
          <w:rFonts w:hint="eastAsia" w:ascii="宋体" w:hAnsi="宋体" w:eastAsia="宋体"/>
          <w:color w:val="000000"/>
          <w:sz w:val="24"/>
          <w:szCs w:val="24"/>
          <w:lang w:eastAsia="zh-CN"/>
        </w:rPr>
      </w:pPr>
      <w:r>
        <w:rPr>
          <w:rFonts w:hint="eastAsia" w:ascii="宋体" w:hAnsi="宋体"/>
          <w:b w:val="0"/>
          <w:bCs w:val="0"/>
          <w:color w:val="000000"/>
          <w:sz w:val="24"/>
          <w:szCs w:val="21"/>
        </w:rPr>
        <w:t xml:space="preserve">供货方案科学合理、周期可控，安装调试步骤清晰、标准规范，配送承诺明确具体、保障到位，能确保产品按时、按质、按量送达并完成安装调试，满足采购人使用需求</w:t>
      </w:r>
      <w:r>
        <w:rPr>
          <w:rFonts w:hint="eastAsia" w:ascii="宋体" w:hAnsi="宋体"/>
          <w:b w:val="0"/>
          <w:bCs w:val="0"/>
          <w:color w:val="000000"/>
          <w:sz w:val="24"/>
          <w:szCs w:val="21"/>
          <w:lang w:eastAsia="zh-CN"/>
        </w:rPr>
        <w:t xml:space="preserve">。</w:t>
      </w:r>
      <w:r/>
    </w:p>
    <w:p>
      <w:pPr>
        <w:pageBreakBefore w:val="0"/>
        <w:spacing w:beforeAutospacing="0" w:afterAutospacing="0" w:line="0" w:lineRule="atLeast"/>
        <w:rPr>
          <w:rFonts w:hint="eastAsia" w:ascii="宋体" w:hAnsi="宋体"/>
          <w:b w:val="0"/>
          <w:bCs w:val="0"/>
          <w:color w:val="000000"/>
          <w:sz w:val="24"/>
          <w:szCs w:val="24"/>
          <w14:ligatures w14:val="none"/>
        </w:rPr>
      </w:pPr>
      <w:r>
        <w:rPr>
          <w:rFonts w:hint="eastAsia" w:ascii="宋体" w:hAnsi="宋体"/>
          <w:b w:val="0"/>
          <w:bCs w:val="0"/>
          <w:color w:val="000000"/>
          <w:sz w:val="24"/>
          <w:szCs w:val="24"/>
        </w:rPr>
        <w:t xml:space="preserve">6.应急预案</w:t>
      </w:r>
      <w:r/>
    </w:p>
    <w:p>
      <w:pPr>
        <w:pageBreakBefore w:val="0"/>
        <w:spacing w:beforeAutospacing="0" w:afterAutospacing="0" w:line="0" w:lineRule="atLeast"/>
        <w:rPr>
          <w:rFonts w:hint="eastAsia" w:ascii="宋体" w:hAnsi="宋体"/>
          <w:b w:val="0"/>
          <w:bCs w:val="0"/>
          <w:color w:val="000000"/>
          <w:sz w:val="24"/>
          <w:szCs w:val="24"/>
          <w14:ligatures w14:val="none"/>
        </w:rPr>
      </w:pPr>
      <w:r>
        <w:rPr>
          <w:rFonts w:hint="eastAsia" w:ascii="宋体" w:hAnsi="宋体"/>
          <w:b w:val="0"/>
          <w:bCs w:val="0"/>
          <w:color w:val="000000"/>
          <w:sz w:val="24"/>
          <w:szCs w:val="24"/>
        </w:rPr>
        <w:t xml:space="preserve">就投标人提供的应急程序和措施、应急响应及处置方案、技术支撑保障等方案进行综合评审。</w:t>
      </w:r>
      <w:r/>
    </w:p>
    <w:p>
      <w:pPr>
        <w:pageBreakBefore w:val="0"/>
        <w:spacing w:beforeAutospacing="0" w:afterAutospacing="0" w:line="0" w:lineRule="atLeast"/>
        <w:rPr>
          <w:rFonts w:hint="eastAsia" w:ascii="宋体" w:hAnsi="宋体"/>
          <w:b w:val="0"/>
          <w:bCs w:val="0"/>
          <w:color w:val="000000"/>
          <w:sz w:val="24"/>
          <w:szCs w:val="24"/>
          <w14:ligatures w14:val="none"/>
        </w:rPr>
      </w:pPr>
      <w:r>
        <w:rPr>
          <w:rFonts w:hint="eastAsia" w:ascii="宋体" w:hAnsi="宋体"/>
          <w:b w:val="0"/>
          <w:bCs w:val="0"/>
          <w:color w:val="000000"/>
          <w:sz w:val="24"/>
          <w:szCs w:val="24"/>
        </w:rPr>
        <w:t xml:space="preserve">应急程序规范完善、处置流程清晰可行，应急响应及时高效、处置措施针对性强，技术支撑保障有力、人员物资储备到位，可全面应对各类突发状况，充分保障采购人应急需求；</w:t>
      </w:r>
      <w:r/>
    </w:p>
    <w:p>
      <w:pPr>
        <w:pageBreakBefore w:val="0"/>
        <w:spacing w:beforeAutospacing="0" w:afterAutospacing="0" w:line="0" w:lineRule="atLeast"/>
        <w:rPr>
          <w:rFonts w:hint="eastAsia" w:ascii="宋体" w:hAnsi="宋体"/>
          <w:b/>
          <w:color w:val="000000"/>
          <w:sz w:val="24"/>
          <w:szCs w:val="24"/>
        </w:rPr>
      </w:pPr>
      <w:r>
        <w:rPr>
          <w:rFonts w:hint="eastAsia" w:ascii="宋体" w:hAnsi="宋体"/>
          <w:b/>
          <w:color w:val="000000"/>
          <w:sz w:val="24"/>
          <w:szCs w:val="24"/>
          <w:lang w:eastAsia="zh-CN"/>
        </w:rPr>
        <w:t xml:space="preserve">五</w:t>
      </w:r>
      <w:r>
        <w:rPr>
          <w:rFonts w:ascii="宋体" w:hAnsi="宋体"/>
          <w:b/>
          <w:color w:val="000000"/>
          <w:sz w:val="24"/>
          <w:szCs w:val="24"/>
        </w:rPr>
        <w:t xml:space="preserve">、其他要求</w:t>
      </w:r>
      <w:r/>
    </w:p>
    <w:p>
      <w:pPr>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p>
    <w:p>
      <w:pPr>
        <w:pageBreakBefore w:val="0"/>
        <w:spacing w:beforeAutospacing="0" w:afterAutospacing="0"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p>
    <w:tbl>
      <w:tblPr>
        <w:tblStyle w:val="719"/>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pageBreakBefore w:val="0"/>
              <w:spacing w:beforeAutospacing="0" w:afterAutospacing="0"/>
              <w:rPr>
                <w:rFonts w:ascii="宋体" w:hAnsi="宋体"/>
                <w:szCs w:val="21"/>
              </w:rPr>
            </w:pPr>
            <w:r>
              <w:rPr>
                <w:rFonts w:hint="eastAsia" w:ascii="宋体" w:hAnsi="宋体"/>
                <w:szCs w:val="21"/>
              </w:rPr>
              <w:t xml:space="preserve">采购</w:t>
            </w:r>
            <w:r/>
          </w:p>
          <w:p>
            <w:pPr>
              <w:jc w:val="center"/>
              <w:pageBreakBefore w:val="0"/>
              <w:spacing w:beforeAutospacing="0" w:afterAutospacing="0"/>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pageBreakBefore w:val="0"/>
              <w:spacing w:beforeAutospacing="0" w:afterAutospacing="0"/>
              <w:rPr>
                <w:rFonts w:hint="eastAsia" w:ascii="宋体" w:hAnsi="宋体"/>
                <w:szCs w:val="21"/>
              </w:rPr>
            </w:pPr>
            <w:r>
              <w:rPr>
                <w:rFonts w:hint="eastAsia" w:ascii="宋体" w:hAnsi="宋体"/>
                <w:szCs w:val="21"/>
              </w:rPr>
              <w:t xml:space="preserve">核心产品</w:t>
            </w:r>
            <w:r/>
          </w:p>
        </w:tc>
      </w:tr>
      <w:tr>
        <w:trPr/>
        <w:tc>
          <w:tcPr>
            <w:tcW w:w="896" w:type="dxa"/>
            <w:vAlign w:val="top"/>
            <w:textDirection w:val="lrTb"/>
            <w:noWrap w:val="false"/>
          </w:tcPr>
          <w:p>
            <w:pPr>
              <w:jc w:val="center"/>
              <w:pageBreakBefore w:val="0"/>
              <w:spacing w:beforeAutospacing="0" w:afterAutospacing="0"/>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pageBreakBefore w:val="0"/>
              <w:spacing w:beforeAutospacing="0" w:afterAutospacing="0"/>
              <w:rPr>
                <w:rStyle w:val="957"/>
                <w:rFonts w:hint="eastAsia" w:ascii="宋体" w:hAnsi="宋体" w:eastAsia="宋体" w:cs="宋体"/>
                <w:sz w:val="24"/>
                <w:szCs w:val="24"/>
                <w:lang w:val="en-US" w:eastAsia="zh-CN" w:bidi="ar"/>
              </w:rPr>
            </w:pPr>
            <w:r>
              <w:rPr>
                <w:rStyle w:val="957"/>
                <w:rFonts w:hint="eastAsia" w:ascii="宋体" w:hAnsi="宋体" w:eastAsia="宋体" w:cs="宋体"/>
                <w:sz w:val="24"/>
                <w:szCs w:val="24"/>
                <w:lang w:val="en-US" w:eastAsia="zh-CN" w:bidi="ar"/>
              </w:rPr>
              <w:t xml:space="preserve">消防员灭火防护头套</w:t>
            </w:r>
            <w:r/>
          </w:p>
        </w:tc>
      </w:tr>
      <w:tr>
        <w:trPr/>
        <w:tc>
          <w:tcPr>
            <w:tcW w:w="896" w:type="dxa"/>
            <w:vAlign w:val="top"/>
            <w:textDirection w:val="lrTb"/>
            <w:noWrap w:val="false"/>
          </w:tcPr>
          <w:p>
            <w:pPr>
              <w:jc w:val="center"/>
              <w:pageBreakBefore w:val="0"/>
              <w:spacing w:beforeAutospacing="0" w:afterAutospacing="0"/>
              <w:rPr>
                <w:rFonts w:ascii="宋体" w:hAnsi="宋体"/>
                <w:szCs w:val="21"/>
              </w:rPr>
            </w:pPr>
            <w:r>
              <w:rPr>
                <w:rFonts w:hint="eastAsia" w:ascii="宋体" w:hAnsi="宋体"/>
                <w:szCs w:val="21"/>
              </w:rPr>
              <w:t xml:space="preserve">2</w:t>
            </w:r>
            <w:r/>
          </w:p>
        </w:tc>
        <w:tc>
          <w:tcPr>
            <w:tcW w:w="3052" w:type="dxa"/>
            <w:vAlign w:val="top"/>
            <w:textDirection w:val="lrTb"/>
            <w:noWrap w:val="false"/>
          </w:tcPr>
          <w:p>
            <w:pPr>
              <w:jc w:val="center"/>
              <w:pageBreakBefore w:val="0"/>
              <w:spacing w:beforeAutospacing="0" w:afterAutospacing="0"/>
              <w:rPr>
                <w:rStyle w:val="957"/>
                <w:rFonts w:hint="eastAsia" w:ascii="宋体" w:hAnsi="宋体" w:eastAsia="宋体" w:cs="宋体"/>
                <w:sz w:val="24"/>
                <w:szCs w:val="24"/>
                <w:lang w:val="en-US" w:eastAsia="zh-CN" w:bidi="ar"/>
              </w:rPr>
            </w:pPr>
            <w:r>
              <w:rPr>
                <w:rStyle w:val="957"/>
                <w:rFonts w:hint="eastAsia" w:ascii="宋体" w:hAnsi="宋体" w:eastAsia="宋体" w:cs="宋体"/>
                <w:sz w:val="24"/>
                <w:szCs w:val="24"/>
                <w:lang w:val="en-US" w:eastAsia="zh-CN" w:bidi="ar"/>
              </w:rPr>
              <w:t xml:space="preserve">消防手套（2）</w:t>
            </w:r>
            <w:r/>
          </w:p>
        </w:tc>
      </w:tr>
      <w:tr>
        <w:trPr/>
        <w:tc>
          <w:tcPr>
            <w:tcW w:w="896" w:type="dxa"/>
            <w:vAlign w:val="top"/>
            <w:textDirection w:val="lrTb"/>
            <w:noWrap w:val="false"/>
          </w:tcPr>
          <w:p>
            <w:pPr>
              <w:jc w:val="center"/>
              <w:pageBreakBefore w:val="0"/>
              <w:spacing w:beforeAutospacing="0" w:afterAutospacing="0"/>
              <w:rPr>
                <w:rFonts w:hint="eastAsia" w:ascii="宋体" w:hAnsi="宋体" w:eastAsia="宋体"/>
                <w:szCs w:val="21"/>
                <w:lang w:eastAsia="zh-CN"/>
              </w:rPr>
            </w:pPr>
            <w:r>
              <w:rPr>
                <w:rFonts w:hint="eastAsia" w:ascii="宋体" w:hAnsi="宋体"/>
                <w:szCs w:val="21"/>
                <w:lang w:val="en-US" w:eastAsia="zh-CN"/>
              </w:rPr>
              <w:t xml:space="preserve">3</w:t>
            </w:r>
            <w:r/>
          </w:p>
        </w:tc>
        <w:tc>
          <w:tcPr>
            <w:tcW w:w="3052" w:type="dxa"/>
            <w:vAlign w:val="top"/>
            <w:textDirection w:val="lrTb"/>
            <w:noWrap w:val="false"/>
          </w:tcPr>
          <w:p>
            <w:pPr>
              <w:jc w:val="center"/>
              <w:pageBreakBefore w:val="0"/>
              <w:spacing w:beforeAutospacing="0" w:afterAutospacing="0"/>
              <w:rPr>
                <w:rStyle w:val="957"/>
                <w:rFonts w:hint="eastAsia" w:ascii="宋体" w:hAnsi="宋体" w:eastAsia="宋体" w:cs="宋体"/>
                <w:sz w:val="24"/>
                <w:szCs w:val="24"/>
                <w:lang w:val="en-US" w:eastAsia="zh-CN" w:bidi="ar"/>
              </w:rPr>
            </w:pPr>
            <w:r>
              <w:rPr>
                <w:rStyle w:val="957"/>
                <w:rFonts w:hint="eastAsia" w:ascii="宋体" w:hAnsi="宋体" w:eastAsia="宋体" w:cs="宋体"/>
                <w:sz w:val="24"/>
                <w:szCs w:val="24"/>
                <w:lang w:val="en-US" w:eastAsia="zh-CN" w:bidi="ar"/>
              </w:rPr>
              <w:t xml:space="preserve">便携式 PDT 集群基站</w:t>
            </w:r>
            <w:r/>
          </w:p>
        </w:tc>
      </w:tr>
      <w:tr>
        <w:trPr/>
        <w:tc>
          <w:tcPr>
            <w:tcW w:w="896" w:type="dxa"/>
            <w:vAlign w:val="top"/>
            <w:textDirection w:val="lrTb"/>
            <w:noWrap w:val="false"/>
          </w:tcPr>
          <w:p>
            <w:pPr>
              <w:jc w:val="center"/>
              <w:pageBreakBefore w:val="0"/>
              <w:spacing w:beforeAutospacing="0" w:afterAutospacing="0"/>
              <w:rPr>
                <w:rFonts w:hint="eastAsia" w:ascii="宋体" w:hAnsi="宋体" w:eastAsia="宋体"/>
                <w:szCs w:val="21"/>
                <w:lang w:val="en-US" w:eastAsia="zh-CN"/>
              </w:rPr>
            </w:pPr>
            <w:r>
              <w:rPr>
                <w:rFonts w:hint="eastAsia" w:ascii="宋体" w:hAnsi="宋体"/>
                <w:szCs w:val="21"/>
                <w:lang w:val="en-US" w:eastAsia="zh-CN"/>
              </w:rPr>
              <w:t xml:space="preserve">4</w:t>
            </w:r>
            <w:r/>
          </w:p>
        </w:tc>
        <w:tc>
          <w:tcPr>
            <w:tcW w:w="3052" w:type="dxa"/>
            <w:vAlign w:val="top"/>
            <w:textDirection w:val="lrTb"/>
            <w:noWrap w:val="false"/>
          </w:tcPr>
          <w:p>
            <w:pPr>
              <w:jc w:val="center"/>
              <w:pageBreakBefore w:val="0"/>
              <w:spacing w:beforeAutospacing="0" w:afterAutospacing="0"/>
              <w:rPr>
                <w:rStyle w:val="957"/>
                <w:rFonts w:hint="eastAsia" w:ascii="宋体" w:hAnsi="宋体" w:eastAsia="宋体" w:cs="宋体"/>
                <w:sz w:val="24"/>
                <w:szCs w:val="24"/>
                <w:lang w:val="en-US" w:eastAsia="zh-CN" w:bidi="ar"/>
              </w:rPr>
            </w:pPr>
            <w:r>
              <w:rPr>
                <w:rStyle w:val="957"/>
                <w:rFonts w:hint="eastAsia" w:ascii="宋体" w:hAnsi="宋体" w:eastAsia="宋体" w:cs="宋体"/>
                <w:sz w:val="24"/>
                <w:szCs w:val="24"/>
                <w:lang w:val="en-US" w:eastAsia="zh-CN" w:bidi="ar"/>
              </w:rPr>
              <w:t xml:space="preserve">四足机器人</w:t>
            </w:r>
            <w:r/>
          </w:p>
        </w:tc>
      </w:tr>
    </w:tbl>
    <w:p>
      <w:pPr>
        <w:pageBreakBefore w:val="0"/>
        <w:spacing w:beforeAutospacing="0" w:afterAutospacing="0" w:line="0" w:lineRule="atLeast"/>
        <w:rPr>
          <w:rFonts w:hint="eastAsia" w:ascii="宋体" w:hAnsi="宋体"/>
          <w:sz w:val="24"/>
          <w:szCs w:val="24"/>
        </w:rPr>
      </w:pPr>
      <w:r>
        <w:rPr>
          <w:rFonts w:hint="eastAsia" w:ascii="宋体" w:hAnsi="宋体"/>
          <w:sz w:val="24"/>
          <w:szCs w:val="24"/>
        </w:rPr>
      </w:r>
      <w:r/>
    </w:p>
    <w:p>
      <w:pPr>
        <w:pageBreakBefore w:val="0"/>
        <w:spacing w:beforeAutospacing="0" w:afterAutospacing="0"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p>
    <w:tbl>
      <w:tblPr>
        <w:tblStyle w:val="719"/>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pageBreakBefore w:val="0"/>
              <w:spacing w:beforeAutospacing="0" w:afterAutospacing="0"/>
              <w:rPr>
                <w:rFonts w:ascii="宋体" w:hAnsi="宋体"/>
                <w:szCs w:val="21"/>
              </w:rPr>
            </w:pPr>
            <w:r>
              <w:rPr>
                <w:rFonts w:hint="eastAsia" w:ascii="宋体" w:hAnsi="宋体"/>
                <w:szCs w:val="21"/>
              </w:rPr>
              <w:t xml:space="preserve">采购</w:t>
            </w:r>
            <w:r/>
          </w:p>
          <w:p>
            <w:pPr>
              <w:jc w:val="center"/>
              <w:pageBreakBefore w:val="0"/>
              <w:spacing w:beforeAutospacing="0" w:afterAutospacing="0"/>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pageBreakBefore w:val="0"/>
              <w:spacing w:beforeAutospacing="0" w:afterAutospacing="0"/>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pageBreakBefore w:val="0"/>
              <w:spacing w:beforeAutospacing="0" w:afterAutospacing="0"/>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jc w:val="center"/>
              <w:pageBreakBefore w:val="0"/>
              <w:spacing w:beforeAutospacing="0" w:afterAutospacing="0"/>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pageBreakBefore w:val="0"/>
              <w:spacing w:beforeAutospacing="0" w:afterAutospacing="0"/>
              <w:rPr>
                <w:rFonts w:hint="eastAsia" w:ascii="宋体" w:hAnsi="宋体" w:eastAsia="宋体"/>
                <w:szCs w:val="21"/>
                <w:lang w:eastAsia="zh-CN"/>
              </w:rPr>
            </w:pPr>
            <w:r>
              <w:rPr>
                <w:rFonts w:hint="eastAsia" w:ascii="宋体" w:hAnsi="宋体"/>
                <w:szCs w:val="21"/>
                <w:lang w:val="en-US" w:eastAsia="zh-CN"/>
              </w:rPr>
              <w:t xml:space="preserve">否</w:t>
            </w:r>
            <w:r/>
          </w:p>
        </w:tc>
      </w:tr>
      <w:tr>
        <w:trPr/>
        <w:tc>
          <w:tcPr>
            <w:tcW w:w="896" w:type="dxa"/>
            <w:vAlign w:val="top"/>
            <w:textDirection w:val="lrTb"/>
            <w:noWrap w:val="false"/>
          </w:tcPr>
          <w:p>
            <w:pPr>
              <w:jc w:val="center"/>
              <w:pageBreakBefore w:val="0"/>
              <w:spacing w:beforeAutospacing="0" w:afterAutospacing="0"/>
              <w:rPr>
                <w:rFonts w:ascii="宋体" w:hAnsi="宋体"/>
                <w:szCs w:val="21"/>
              </w:rPr>
            </w:pPr>
            <w:r>
              <w:rPr>
                <w:rFonts w:hint="eastAsia" w:ascii="宋体" w:hAnsi="宋体"/>
                <w:szCs w:val="21"/>
              </w:rPr>
              <w:t xml:space="preserve">2</w:t>
            </w:r>
            <w:r/>
          </w:p>
        </w:tc>
        <w:tc>
          <w:tcPr>
            <w:tcW w:w="3052" w:type="dxa"/>
            <w:vAlign w:val="top"/>
            <w:textDirection w:val="lrTb"/>
            <w:noWrap w:val="false"/>
          </w:tcPr>
          <w:p>
            <w:pPr>
              <w:jc w:val="center"/>
              <w:pageBreakBefore w:val="0"/>
              <w:spacing w:beforeAutospacing="0" w:afterAutospacing="0"/>
              <w:rPr>
                <w:rFonts w:hint="eastAsia" w:ascii="宋体" w:hAnsi="宋体"/>
                <w:szCs w:val="21"/>
              </w:rPr>
            </w:pPr>
            <w:r>
              <w:rPr>
                <w:rFonts w:hint="eastAsia" w:ascii="宋体" w:hAnsi="宋体"/>
                <w:szCs w:val="21"/>
              </w:rPr>
              <w:t xml:space="preserve">否</w:t>
            </w:r>
            <w:r/>
          </w:p>
        </w:tc>
      </w:tr>
      <w:tr>
        <w:trPr/>
        <w:tc>
          <w:tcPr>
            <w:tcW w:w="896" w:type="dxa"/>
            <w:vAlign w:val="top"/>
            <w:textDirection w:val="lrTb"/>
            <w:noWrap w:val="false"/>
          </w:tcPr>
          <w:p>
            <w:pPr>
              <w:jc w:val="center"/>
              <w:pageBreakBefore w:val="0"/>
              <w:spacing w:beforeAutospacing="0" w:afterAutospacing="0"/>
              <w:rPr>
                <w:rFonts w:hint="eastAsia" w:ascii="宋体" w:hAnsi="宋体" w:eastAsia="宋体"/>
                <w:szCs w:val="21"/>
                <w:lang w:eastAsia="zh-CN"/>
              </w:rPr>
            </w:pPr>
            <w:r>
              <w:rPr>
                <w:rFonts w:hint="eastAsia" w:ascii="宋体" w:hAnsi="宋体"/>
                <w:szCs w:val="21"/>
                <w:lang w:val="en-US" w:eastAsia="zh-CN"/>
              </w:rPr>
              <w:t xml:space="preserve">3</w:t>
            </w:r>
            <w:r/>
          </w:p>
        </w:tc>
        <w:tc>
          <w:tcPr>
            <w:tcW w:w="3052" w:type="dxa"/>
            <w:vAlign w:val="top"/>
            <w:textDirection w:val="lrTb"/>
            <w:noWrap w:val="false"/>
          </w:tcPr>
          <w:p>
            <w:pPr>
              <w:jc w:val="center"/>
              <w:pageBreakBefore w:val="0"/>
              <w:spacing w:beforeAutospacing="0" w:afterAutospacing="0"/>
              <w:rPr>
                <w:rFonts w:hint="eastAsia" w:ascii="宋体" w:hAnsi="宋体" w:eastAsia="宋体"/>
                <w:szCs w:val="21"/>
                <w:lang w:val="en-US" w:eastAsia="zh-CN"/>
              </w:rPr>
            </w:pPr>
            <w:r>
              <w:rPr>
                <w:rFonts w:hint="eastAsia" w:ascii="宋体" w:hAnsi="宋体"/>
                <w:szCs w:val="21"/>
                <w:lang w:val="en-US" w:eastAsia="zh-CN"/>
              </w:rPr>
              <w:t xml:space="preserve">否</w:t>
            </w:r>
            <w:r/>
          </w:p>
        </w:tc>
      </w:tr>
      <w:tr>
        <w:trPr/>
        <w:tc>
          <w:tcPr>
            <w:tcW w:w="896" w:type="dxa"/>
            <w:vAlign w:val="top"/>
            <w:textDirection w:val="lrTb"/>
            <w:noWrap w:val="false"/>
          </w:tcPr>
          <w:p>
            <w:pPr>
              <w:jc w:val="center"/>
              <w:pageBreakBefore w:val="0"/>
              <w:spacing w:beforeAutospacing="0" w:afterAutospacing="0"/>
              <w:rPr>
                <w:rFonts w:hint="eastAsia" w:ascii="宋体" w:hAnsi="宋体" w:eastAsia="宋体"/>
                <w:szCs w:val="21"/>
                <w:lang w:val="en-US" w:eastAsia="zh-CN"/>
              </w:rPr>
            </w:pPr>
            <w:r>
              <w:rPr>
                <w:rFonts w:hint="eastAsia" w:ascii="宋体" w:hAnsi="宋体"/>
                <w:szCs w:val="21"/>
                <w:lang w:val="en-US" w:eastAsia="zh-CN"/>
              </w:rPr>
              <w:t xml:space="preserve">4</w:t>
            </w:r>
            <w:r/>
          </w:p>
        </w:tc>
        <w:tc>
          <w:tcPr>
            <w:tcW w:w="3052" w:type="dxa"/>
            <w:vAlign w:val="top"/>
            <w:textDirection w:val="lrTb"/>
            <w:noWrap w:val="false"/>
          </w:tcPr>
          <w:p>
            <w:pPr>
              <w:jc w:val="center"/>
              <w:pageBreakBefore w:val="0"/>
              <w:spacing w:beforeAutospacing="0" w:afterAutospacing="0"/>
              <w:rPr>
                <w:rFonts w:hint="eastAsia" w:ascii="宋体" w:hAnsi="宋体" w:eastAsia="宋体"/>
                <w:szCs w:val="21"/>
                <w:lang w:val="en-US" w:eastAsia="zh-CN"/>
              </w:rPr>
            </w:pPr>
            <w:r>
              <w:rPr>
                <w:rFonts w:hint="eastAsia" w:ascii="宋体" w:hAnsi="宋体"/>
                <w:szCs w:val="21"/>
                <w:lang w:val="en-US" w:eastAsia="zh-CN"/>
              </w:rPr>
              <w:t xml:space="preserve">否</w:t>
            </w:r>
            <w:r/>
          </w:p>
        </w:tc>
      </w:tr>
    </w:tbl>
    <w:p>
      <w:pPr>
        <w:pageBreakBefore w:val="0"/>
        <w:spacing w:beforeAutospacing="0" w:afterAutospacing="0"/>
      </w:pPr>
      <w:r/>
      <w:bookmarkStart w:id="169" w:name="_Toc120614281"/>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rFonts w:ascii="SimSun" w:hAnsi="SimSun" w:eastAsia="SimSun" w:cs="SimSun"/>
          <w:color w:val="000000"/>
          <w:sz w:val="24"/>
          <w:highlight w:val="none"/>
        </w:rPr>
        <w:t xml:space="preserve">. 演示要求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演示方式 上传视频演示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ascii="SimSun" w:hAnsi="SimSun" w:eastAsia="SimSun" w:cs="SimSun"/>
          <w:color w:val="000000"/>
          <w:sz w:val="24"/>
          <w:u w:val="single"/>
        </w:rPr>
        <w:t xml:space="preserve">5</w:t>
      </w:r>
      <w:r>
        <w:rPr>
          <w:rFonts w:ascii="SimSun" w:hAnsi="SimSun" w:eastAsia="SimSun" w:cs="SimSun"/>
          <w:color w:val="000000"/>
          <w:sz w:val="24"/>
        </w:rPr>
        <w:t xml:space="preserve">分钟</w:t>
      </w:r>
      <w:r>
        <w:rPr>
          <w:rFonts w:ascii="SimSun" w:hAnsi="SimSun" w:eastAsia="SimSun" w:cs="SimSun"/>
          <w:color w:val="000000"/>
          <w:sz w:val="24"/>
          <w:highlight w:val="yellow"/>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2.演示内容如下：</w:t>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产品整体功能介绍</w:t>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    视频</w:t>
      </w:r>
      <w:r>
        <w:rPr>
          <w:rFonts w:hint="eastAsia" w:ascii="宋体" w:hAnsi="宋体" w:eastAsia="宋体" w:cs="宋体"/>
          <w:color w:val="000000"/>
          <w:sz w:val="24"/>
          <w:szCs w:val="24"/>
          <w:highlight w:val="none"/>
        </w:rPr>
        <w:t xml:space="preserve">展示</w:t>
      </w:r>
      <w:r>
        <w:rPr>
          <w:rFonts w:hint="eastAsia" w:ascii="宋体" w:hAnsi="宋体" w:eastAsia="宋体" w:cs="宋体"/>
          <w:color w:val="000000"/>
          <w:sz w:val="24"/>
          <w:szCs w:val="24"/>
          <w:highlight w:val="none"/>
        </w:rPr>
        <w:t xml:space="preserve">产品特征、功能要素、核心特点的讲解完整性、准确性、</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度：</w:t>
      </w:r>
      <w:r>
        <w:rPr>
          <w:rFonts w:hint="eastAsia" w:ascii="宋体" w:hAnsi="宋体" w:eastAsia="宋体" w:cs="宋体"/>
          <w:color w:val="000000"/>
          <w:sz w:val="24"/>
          <w:szCs w:val="24"/>
          <w:highlight w:val="none"/>
        </w:rPr>
        <w:t xml:space="preserve">产品特征、功能要素介绍表述清晰、准确、</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，完整覆盖产品核心功能、核心特点及核心优势，可高效、直观传达产品核心价值，无错误、无遗漏。</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产品操作展示</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重点评审产品实操完整性、流畅性、直观性，核心演示内容包含但不限于：设备启动打开、核心功能实操展示、设备关闭停机、产品创新功能（如有）、基础操作流程等，组合包需完整演示包内所有产品全套操作流程：</w:t>
      </w:r>
      <w:r>
        <w:rPr>
          <w:rFonts w:hint="eastAsia" w:ascii="宋体" w:hAnsi="宋体" w:eastAsia="宋体" w:cs="宋体"/>
          <w:color w:val="000000"/>
          <w:sz w:val="24"/>
          <w:szCs w:val="24"/>
          <w:highlight w:val="none"/>
        </w:rPr>
        <w:t xml:space="preserve">产品全流程功能操作演示流畅、直观、通俗易懂，完整覆盖全部核心操作环节，全面、清晰展示产品完整功能及标准操作流程，无缺项、无失误。</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产品布局设计</w:t>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结合实战应用场景，根据产品整体结构布局、实操适配性、使用便捷性、作业效率提升效果综合评审：</w:t>
      </w:r>
      <w:r>
        <w:rPr>
          <w:rFonts w:hint="eastAsia" w:ascii="宋体" w:hAnsi="宋体" w:eastAsia="宋体" w:cs="宋体"/>
          <w:color w:val="000000"/>
          <w:sz w:val="24"/>
          <w:szCs w:val="24"/>
          <w:highlight w:val="none"/>
        </w:rPr>
        <w:t xml:space="preserve">产品整体布局设计贴合实战应用场景，结构合理、设计人性化，可有效提升实操效率、优化使用体验，无设计缺陷。</w:t>
      </w:r>
      <w:r>
        <w:rPr>
          <w:rFonts w:hint="eastAsia" w:ascii="宋体" w:hAnsi="宋体" w:eastAsia="宋体" w:cs="宋体"/>
          <w:color w:val="000000"/>
          <w:sz w:val="24"/>
          <w:szCs w:val="24"/>
          <w:highlight w:val="none"/>
        </w:rPr>
      </w:r>
      <w:r/>
    </w:p>
    <w:p>
      <w:pPr>
        <w:pageBreakBefore w:val="0"/>
        <w:spacing w:beforeAutospacing="0" w:afterAutospacing="0"/>
      </w:pPr>
      <w:r/>
      <w:r/>
    </w:p>
    <w:p>
      <w:pPr>
        <w:pageBreakBefore w:val="0"/>
        <w:spacing w:beforeAutospacing="0" w:afterAutospacing="0"/>
        <w:rPr>
          <w:rFonts w:hint="eastAsia"/>
        </w:rPr>
      </w:pPr>
      <w:r>
        <w:rPr>
          <w:rFonts w:hint="eastAsia"/>
        </w:rPr>
      </w:r>
      <w:r/>
    </w:p>
    <w:p>
      <w:pPr>
        <w:rPr>
          <w:rFonts w:hint="eastAsia" w:ascii="黑体" w:hAnsi="Times New Roman" w:eastAsia="黑体"/>
          <w:b w:val="0"/>
          <w:bCs/>
          <w:color w:val="000000"/>
          <w:sz w:val="44"/>
          <w:szCs w:val="28"/>
        </w:rPr>
      </w:pPr>
      <w:r>
        <w:rPr>
          <w:rFonts w:hint="eastAsia" w:ascii="黑体" w:hAnsi="Times New Roman" w:eastAsia="黑体"/>
          <w:b w:val="0"/>
          <w:bCs/>
          <w:color w:val="000000"/>
          <w:sz w:val="44"/>
          <w:szCs w:val="28"/>
        </w:rPr>
        <w:br w:type="page" w:clear="all"/>
      </w:r>
      <w:r/>
    </w:p>
    <w:p>
      <w:pPr>
        <w:jc w:val="center"/>
        <w:keepNext/>
        <w:pageBreakBefore w:val="0"/>
        <w:spacing w:beforeAutospacing="0" w:afterAutospacing="0"/>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t xml:space="preserve">第五章  评标方法与评标标准</w:t>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ind w:firstLine="480"/>
        <w:pageBreakBefore w:val="0"/>
        <w:spacing w:beforeAutospacing="0" w:afterAutospacing="0"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719"/>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pageBreakBefore w:val="0"/>
              <w:spacing w:beforeAutospacing="0" w:afterAutospacing="0"/>
              <w:rPr>
                <w:rFonts w:hint="eastAsia" w:ascii="宋体" w:hAnsi="宋体"/>
                <w:szCs w:val="21"/>
                <w:highlight w:val="none"/>
              </w:rPr>
            </w:pPr>
            <w:r>
              <w:rPr>
                <w:rFonts w:hint="eastAsia" w:ascii="宋体" w:hAnsi="宋体"/>
                <w:szCs w:val="21"/>
                <w:highlight w:val="none"/>
              </w:rPr>
              <w:t xml:space="preserve">采购包号</w:t>
            </w:r>
            <w:r/>
          </w:p>
        </w:tc>
        <w:tc>
          <w:tcPr>
            <w:tcW w:w="1610" w:type="dxa"/>
            <w:vAlign w:val="top"/>
            <w:textDirection w:val="lrTb"/>
            <w:noWrap w:val="false"/>
          </w:tcPr>
          <w:p>
            <w:pPr>
              <w:jc w:val="center"/>
              <w:pageBreakBefore w:val="0"/>
              <w:spacing w:beforeAutospacing="0" w:afterAutospacing="0"/>
              <w:rPr>
                <w:rFonts w:hint="eastAsia" w:ascii="宋体" w:hAnsi="宋体"/>
                <w:szCs w:val="21"/>
                <w:highlight w:val="none"/>
              </w:rPr>
            </w:pPr>
            <w:r>
              <w:rPr>
                <w:rFonts w:hint="eastAsia" w:ascii="宋体" w:hAnsi="宋体"/>
                <w:szCs w:val="21"/>
                <w:highlight w:val="none"/>
              </w:rPr>
              <w:t xml:space="preserve">选取</w:t>
            </w:r>
            <w:r>
              <w:rPr>
                <w:rFonts w:ascii="宋体" w:hAnsi="宋体"/>
                <w:szCs w:val="21"/>
                <w:highlight w:val="none"/>
              </w:rPr>
              <w:t xml:space="preserve">中标候选人数量</w:t>
            </w:r>
            <w:r/>
          </w:p>
        </w:tc>
        <w:tc>
          <w:tcPr>
            <w:tcW w:w="4325" w:type="dxa"/>
            <w:vAlign w:val="top"/>
            <w:textDirection w:val="lrTb"/>
            <w:noWrap w:val="false"/>
          </w:tcPr>
          <w:p>
            <w:pPr>
              <w:jc w:val="center"/>
              <w:pageBreakBefore w:val="0"/>
              <w:spacing w:beforeAutospacing="0" w:afterAutospacing="0"/>
              <w:rPr>
                <w:rFonts w:hint="eastAsia" w:ascii="宋体" w:hAnsi="宋体"/>
                <w:szCs w:val="21"/>
                <w:highlight w:val="none"/>
              </w:rPr>
            </w:pPr>
            <w:r>
              <w:rPr>
                <w:rFonts w:hint="eastAsia" w:ascii="宋体" w:hAnsi="宋体"/>
                <w:szCs w:val="21"/>
                <w:highlight w:val="none"/>
              </w:rPr>
              <w:t xml:space="preserve">选取</w:t>
            </w:r>
            <w:r>
              <w:rPr>
                <w:rFonts w:ascii="宋体" w:hAnsi="宋体"/>
                <w:szCs w:val="21"/>
                <w:highlight w:val="none"/>
              </w:rPr>
              <w:t xml:space="preserve">中标候选人的原则</w:t>
            </w:r>
            <w:r/>
          </w:p>
        </w:tc>
      </w:tr>
      <w:tr>
        <w:trPr/>
        <w:tc>
          <w:tcPr>
            <w:tcW w:w="1148" w:type="dxa"/>
            <w:vAlign w:val="top"/>
            <w:textDirection w:val="lrTb"/>
            <w:noWrap w:val="false"/>
          </w:tcPr>
          <w:p>
            <w:pPr>
              <w:jc w:val="center"/>
              <w:pageBreakBefore w:val="0"/>
              <w:spacing w:beforeAutospacing="0" w:afterAutospacing="0"/>
              <w:rPr>
                <w:rFonts w:ascii="宋体" w:hAnsi="宋体"/>
                <w:szCs w:val="21"/>
                <w:highlight w:val="none"/>
              </w:rPr>
            </w:pPr>
            <w:r>
              <w:rPr>
                <w:rFonts w:hint="eastAsia" w:ascii="宋体" w:hAnsi="宋体"/>
                <w:szCs w:val="21"/>
                <w:highlight w:val="none"/>
              </w:rPr>
              <w:t xml:space="preserve">1</w:t>
            </w:r>
            <w:r/>
          </w:p>
        </w:tc>
        <w:tc>
          <w:tcPr>
            <w:tcW w:w="1610" w:type="dxa"/>
            <w:vAlign w:val="top"/>
            <w:textDirection w:val="lrTb"/>
            <w:noWrap w:val="false"/>
          </w:tcPr>
          <w:p>
            <w:pPr>
              <w:jc w:val="center"/>
              <w:pageBreakBefore w:val="0"/>
              <w:spacing w:beforeAutospacing="0" w:afterAutospacing="0"/>
              <w:rPr>
                <w:rFonts w:ascii="宋体" w:hAnsi="宋体"/>
                <w:szCs w:val="21"/>
                <w:highlight w:val="none"/>
              </w:rPr>
            </w:pPr>
            <w:r>
              <w:rPr>
                <w:rFonts w:hint="eastAsia" w:ascii="宋体" w:hAnsi="宋体"/>
                <w:szCs w:val="21"/>
                <w:highlight w:val="none"/>
              </w:rPr>
              <w:t xml:space="preserve">1</w:t>
            </w:r>
            <w:r/>
          </w:p>
        </w:tc>
        <w:tc>
          <w:tcPr>
            <w:tcW w:w="4325" w:type="dxa"/>
            <w:vAlign w:val="top"/>
            <w:textDirection w:val="lrTb"/>
            <w:noWrap w:val="false"/>
          </w:tcPr>
          <w:p>
            <w:pPr>
              <w:jc w:val="left"/>
              <w:pageBreakBefore w:val="0"/>
              <w:spacing w:beforeAutospacing="0" w:afterAutospacing="0"/>
              <w:rPr>
                <w:rFonts w:hint="eastAsia" w:ascii="宋体" w:hAnsi="宋体"/>
                <w:szCs w:val="21"/>
                <w:highlight w:val="none"/>
              </w:rPr>
            </w:pPr>
            <w:r>
              <w:rPr>
                <w:rFonts w:hint="eastAsia" w:ascii="宋体" w:hAnsi="宋体"/>
                <w:szCs w:val="21"/>
                <w:highlight w:val="none"/>
              </w:rPr>
              <w:t xml:space="preserve">满足招标文件全部实质性要求，且按照评审因素的量化指标评审得分最高的投标人为中标候选人。</w:t>
            </w:r>
            <w:r/>
          </w:p>
        </w:tc>
      </w:tr>
    </w:tbl>
    <w:p>
      <w:pPr>
        <w:ind w:firstLine="439"/>
        <w:jc w:val="left"/>
        <w:pageBreakBefore w:val="0"/>
        <w:spacing w:beforeAutospacing="0" w:afterAutospacing="0" w:line="0" w:lineRule="atLeast"/>
        <w:rPr>
          <w:rFonts w:hint="eastAsia" w:ascii="Arial" w:hAnsi="Arial" w:cs="Arial"/>
          <w:sz w:val="24"/>
          <w:szCs w:val="24"/>
        </w:rPr>
      </w:pPr>
      <w:r>
        <w:rPr>
          <w:rFonts w:hint="eastAsia" w:ascii="Arial" w:hAnsi="Arial" w:cs="Arial"/>
          <w:sz w:val="24"/>
          <w:szCs w:val="24"/>
        </w:rPr>
      </w:r>
      <w:r/>
    </w:p>
    <w:p>
      <w:pPr>
        <w:ind w:firstLine="439"/>
        <w:jc w:val="left"/>
        <w:pageBreakBefore w:val="0"/>
        <w:spacing w:beforeAutospacing="0" w:afterAutospacing="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p>
    <w:p>
      <w:pPr>
        <w:ind w:firstLine="48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36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ind w:firstLine="48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119" w:firstLine="36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pageBreakBefore w:val="0"/>
        <w:spacing w:beforeAutospacing="0" w:afterAutospacing="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p>
    <w:p>
      <w:pPr>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w:t>
      </w:r>
      <w:r/>
    </w:p>
    <w:p>
      <w:pPr>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p>
    <w:p>
      <w:pPr>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p>
    <w:p>
      <w:pPr>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p>
    <w:p>
      <w:pPr>
        <w:ind w:firstLine="480"/>
        <w:jc w:val="left"/>
        <w:pageBreakBefore w:val="0"/>
        <w:spacing w:beforeAutospacing="0" w:afterAutospacing="0" w:line="400" w:lineRule="exact"/>
        <w:rPr>
          <w:rFonts w:hint="eastAsia" w:ascii="宋体" w:hAnsi="宋体" w:eastAsia="宋体" w:cs="宋体"/>
          <w:b w:val="0"/>
          <w:bCs w:val="0"/>
          <w:color w:val="000000"/>
          <w:sz w:val="24"/>
          <w:szCs w:val="24"/>
          <w:u w:val="none"/>
        </w:rPr>
      </w:pPr>
      <w:r>
        <w:rPr>
          <w:rFonts w:hint="eastAsia" w:ascii="宋体" w:hAnsi="宋体" w:eastAsia="宋体" w:cs="宋体"/>
          <w:b w:val="0"/>
          <w:bCs w:val="0"/>
          <w:color w:val="000000"/>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p>
    <w:p>
      <w:pPr>
        <w:ind w:firstLine="560"/>
        <w:jc w:val="left"/>
        <w:pageBreakBefore w:val="0"/>
        <w:spacing w:beforeAutospacing="0" w:afterAutospacing="0" w:line="400" w:lineRule="exact"/>
        <w:rPr>
          <w:rFonts w:hint="eastAsia" w:ascii="方正魏碑_GBK" w:hAnsi="方正魏碑_GBK" w:eastAsia="方正魏碑_GBK" w:cs="方正魏碑_GBK"/>
          <w:color w:val="ff0000"/>
          <w:sz w:val="28"/>
          <w:szCs w:val="28"/>
          <w:lang w:val="en-US" w:eastAsia="zh-CN"/>
        </w:rPr>
      </w:pPr>
      <w:r>
        <w:rPr>
          <w:rFonts w:hint="eastAsia" w:ascii="方正魏碑_GBK" w:hAnsi="方正魏碑_GBK" w:eastAsia="方正魏碑_GBK" w:cs="方正魏碑_GBK"/>
          <w:color w:val="ff0000"/>
          <w:sz w:val="28"/>
          <w:szCs w:val="28"/>
          <w:lang w:val="en-US" w:eastAsia="zh-CN"/>
        </w:rPr>
      </w:r>
      <w:r/>
    </w:p>
    <w:p>
      <w:pPr>
        <w:ind w:firstLine="480"/>
        <w:jc w:val="left"/>
        <w:pageBreakBefore w:val="0"/>
        <w:spacing w:beforeAutospacing="0" w:afterAutospacing="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p>
    <w:p>
      <w:pPr>
        <w:pStyle w:val="959"/>
        <w:ind w:left="0" w:right="0" w:firstLine="0"/>
        <w:keepLines w:val="0"/>
        <w:keepNext w:val="0"/>
        <w:pageBreakBefore w:val="0"/>
        <w:spacing w:before="0" w:beforeAutospacing="0" w:after="0" w:afterAutospacing="0" w:line="0" w:lineRule="atLeast"/>
        <w:widowControl/>
        <w:rPr>
          <w:rFonts w:hint="eastAsia"/>
          <w:lang w:val="en-US" w:eastAsia="zh-CN"/>
        </w:rPr>
        <w:suppressLineNumbers w:val="0"/>
      </w:pPr>
      <w:r>
        <w:rPr>
          <w:rFonts w:hint="eastAsia"/>
          <w:lang w:val="en-US" w:eastAsia="zh-CN"/>
        </w:rPr>
        <w:t xml:space="preserve">分包号1：</w:t>
      </w:r>
      <w:r/>
    </w:p>
    <w:tbl>
      <w:tblPr>
        <w:tblStyle w:val="719"/>
        <w:tblpPr w:horzAnchor="text" w:tblpXSpec="center" w:vertAnchor="text" w:tblpY="1" w:leftFromText="180" w:topFromText="0" w:rightFromText="180" w:bottomFromText="0"/>
        <w:tblW w:w="892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637"/>
        <w:gridCol w:w="6113"/>
        <w:gridCol w:w="616"/>
      </w:tblGrid>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评分因素</w:t>
            </w:r>
            <w:r/>
          </w:p>
        </w:tc>
        <w:tc>
          <w:tcPr>
            <w:tcW w:w="6113"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jc w:val="center"/>
          <w:trHeight w:val="1247"/>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价格</w:t>
            </w:r>
            <w:r/>
          </w:p>
        </w:tc>
        <w:tc>
          <w:tcPr>
            <w:tcW w:w="6113" w:type="dxa"/>
            <w:vAlign w:val="center"/>
            <w:textDirection w:val="lrTb"/>
            <w:noWrap w:val="false"/>
          </w:tcPr>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采用低价优先法计算，即满足招标文件要求且投标价格最低的投标报价为评标基准价，其价格分为满分30分。</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其他投标人的价格分统一按照下列公式计算:投标报价得分=(评标基准价/投标报价)×30（小数点保留两位）</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技术响应</w:t>
            </w:r>
            <w:r/>
          </w:p>
        </w:tc>
        <w:tc>
          <w:tcPr>
            <w:tcW w:w="6113" w:type="dxa"/>
            <w:vAlign w:val="center"/>
            <w:textDirection w:val="lrTb"/>
            <w:noWrap w:val="false"/>
          </w:tcPr>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 </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（3）非单一产品包及套装组合包评审时，就包内所有产品的参数响应按照上述评分规则累计评审。</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所投产品所有技术条款完全响应招标文件要求的得28分；本项最低分0分，最高分28分。</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标记“▲”为重要技术条款，重要技术条款</w:t>
            </w:r>
            <w:r>
              <w:rPr>
                <w:rFonts w:hint="eastAsia" w:ascii="宋体" w:hAnsi="宋体" w:eastAsia="宋体" w:cs="宋体"/>
                <w:sz w:val="24"/>
                <w:szCs w:val="24"/>
                <w:lang w:val="en-US" w:eastAsia="zh-CN"/>
              </w:rPr>
              <w:t xml:space="preserve">不响应的，每条扣1分</w:t>
            </w:r>
            <w:r>
              <w:rPr>
                <w:rFonts w:hint="eastAsia" w:ascii="宋体" w:hAnsi="宋体" w:eastAsia="宋体" w:cs="宋体"/>
                <w:sz w:val="24"/>
                <w:szCs w:val="24"/>
              </w:rPr>
              <w:t xml:space="preserve">。</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无标记为一般技术条款，一般技术条款</w:t>
            </w:r>
            <w:r>
              <w:rPr>
                <w:rFonts w:hint="eastAsia" w:ascii="宋体" w:hAnsi="宋体" w:eastAsia="宋体" w:cs="宋体"/>
                <w:sz w:val="24"/>
                <w:szCs w:val="24"/>
                <w:lang w:val="en-US" w:eastAsia="zh-CN"/>
              </w:rPr>
              <w:t xml:space="preserve">不响应的，每条扣0.</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6、注：①凡标有最低一级序号的指标项即为一项技术条款，无论是否隶属于上一级编号；</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除特别说明外，采购文件中标注“▲”的条款需要在投标文件内提供技</w:t>
            </w:r>
            <w:r>
              <w:rPr>
                <w:rFonts w:hint="eastAsia" w:ascii="宋体" w:hAnsi="宋体" w:eastAsia="宋体" w:cs="宋体"/>
                <w:sz w:val="24"/>
                <w:szCs w:val="24"/>
              </w:rPr>
              <w:t xml:space="preserve">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28</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样品</w:t>
            </w:r>
            <w:r>
              <w:rPr>
                <w:rFonts w:hint="eastAsia" w:ascii="宋体" w:hAnsi="宋体" w:cs="宋体"/>
                <w:sz w:val="24"/>
                <w:szCs w:val="24"/>
                <w:lang w:val="en-US" w:eastAsia="zh-CN"/>
              </w:rPr>
              <w:t xml:space="preserve">演示视频</w:t>
            </w:r>
            <w:r/>
          </w:p>
        </w:tc>
        <w:tc>
          <w:tcPr>
            <w:tcW w:w="6113" w:type="dxa"/>
            <w:vAlign w:val="center"/>
            <w:textDirection w:val="lrTb"/>
            <w:noWrap w:val="false"/>
          </w:tcPr>
          <w:p>
            <w:pPr>
              <w:ind w:left="63" w:firstLine="0"/>
              <w:pageBreakBefore w:val="0"/>
              <w:spacing w:beforeAutospacing="0" w:afterAutospacing="0" w:line="36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样品视频演示需包含本包别内所有产品。样品统一采用视频一镜到底演示评审方式（如本包内涉及多个产品，需连续不间断演示），视频演示评审总分10分，无视频、视频无法播放、视频违规、未按要求演示均按规则扣分或计0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一、视频演示通用要求</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为规范评审标准、保障评标公平公正，所有投标人须严格遵守以下视频录制及演示要求，违反任意一条视为演示无效，样品视频演示项得0分：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录制规范：视频为全程连续、一镜到底、无剪辑、无拼接、无后期特效的真实场景实拍，画面清晰、声音可辨、产品实物完整出镜，严禁人工修改、配音替换、画面删减等违规操作。</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时长要求：视频总时长严格控制在5分钟以内，超时视为无效视频，本项不得分。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3.演示形式：仅接受实物录制视频演示，不接受动画、PPT轮播、图片合集、线上实时演示等其他任何演示方式。</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包别专项要求：多产品组合包须按产品类别依次完整演示包内所有投标产品，不得遗漏任一产品；单一产品包仅需演示对应投标单品，未按本要求完整演示的，视为演示缺项，样品视频演示项得0分。</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5.视频格式与责任归属：视频录制格式</w:t>
            </w:r>
            <w:r>
              <w:rPr>
                <w:rFonts w:hint="eastAsia" w:ascii="宋体" w:hAnsi="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采用MP4、AVI、MOV、</w:t>
            </w:r>
            <w:r>
              <w:rPr>
                <w:rFonts w:ascii="宋体" w:hAnsi="宋体" w:eastAsia="宋体" w:cs="宋体"/>
                <w:sz w:val="24"/>
                <w:szCs w:val="24"/>
              </w:rPr>
              <w:t xml:space="preserve">MKV</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WMV或</w:t>
            </w:r>
            <w:r>
              <w:rPr>
                <w:rFonts w:hint="eastAsia" w:ascii="宋体" w:hAnsi="宋体" w:eastAsia="宋体" w:cs="宋体"/>
                <w:color w:val="000000"/>
                <w:sz w:val="24"/>
                <w:szCs w:val="24"/>
                <w:highlight w:val="none"/>
              </w:rPr>
              <w:t xml:space="preserve">AVCHD格式</w:t>
            </w:r>
            <w:r>
              <w:rPr>
                <w:rFonts w:hint="eastAsia" w:ascii="宋体" w:hAnsi="宋体" w:cs="宋体"/>
                <w:color w:val="000000"/>
                <w:sz w:val="24"/>
                <w:szCs w:val="24"/>
                <w:highlight w:val="none"/>
                <w:lang w:val="en-US" w:eastAsia="zh-CN"/>
              </w:rPr>
              <w:t xml:space="preserve">中的任意一种，</w:t>
            </w:r>
            <w:r>
              <w:rPr>
                <w:rFonts w:hint="eastAsia" w:ascii="宋体" w:hAnsi="宋体" w:eastAsia="宋体" w:cs="宋体"/>
                <w:color w:val="000000"/>
                <w:sz w:val="24"/>
                <w:szCs w:val="24"/>
                <w:highlight w:val="none"/>
              </w:rPr>
              <w:t xml:space="preserve">由投标人自行选择，投标人须提前自检视频完整性、兼容性。凡因投标人自身原因（包括但不限于视频格式不兼容、文件损坏、视频加密、缺失播放插件、文件上传错误等）导致视频无法正常播放、无法识别、无法完整查看的，一律视为未提供有效视频，样品视频演示项得0分，相关责任由投标人自行承担。</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二、视频演示评分标准（总分10分）</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评标委员会根据投标人演示视频内容，从产品整体功能介绍、产品操作展示、产品布局设计三个维度进行综合评审。</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（一）产品整体功能介绍（3分）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根据视频中产品特征、功能要素、核心特点的讲解完整性、准确性、</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度综合打分：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1.产品特征、功能要素介绍表述清晰、准确、</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，完整覆盖产品核心功能、核心特点及核心优势，可高效、直观传达产品核心价值，无错误、无遗漏。</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2.产品特征、功能要素表述完整，整体可传达产品核心功能与特点，仅存在少量非核心内容表述不足，不影响评委对产品核心性能的判定。</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.产品功能及特征介绍存在明显缺失，核心要素讲解笼统、不完整，无法有效、全面传达产品核心功能和特点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未进行任何产品功能介绍、介绍内容存在关键错误，或未提供有效演示视频。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（二）产品操作展示（4分）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点评审产品实操完整性、流畅性、直观性，核心演示内容包含但不限于：设备启动打开、核心功能实操展示、设备关闭停机、产品创新功能（如有）、基础操作流程等，组合包需完整演示包内所有产品全套操作流程：</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1.产品全流程功能操作演示流畅、直观、通俗易懂，完整覆盖全部核心操作环节，全面、清晰展示产品完整功能及标准操作流程，无缺项、无失误。</w:t>
            </w:r>
            <w:r>
              <w:rPr>
                <w:rFonts w:hint="eastAsia" w:ascii="宋体" w:hAnsi="宋体" w:eastAsia="宋体" w:cs="宋体"/>
                <w:color w:val="000000"/>
                <w:sz w:val="24"/>
                <w:szCs w:val="24"/>
                <w:highlight w:val="none"/>
              </w:rPr>
              <w:t xml:space="preserve">得4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2.产品整体操作演示流畅规范，仅存在少量非核心操作环节漏项或细节瑕疵，不影响产品整体功能展示与正常使用。</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3.产品操作演示不连贯、不规范，核心操作存在缺项，无法完整、清晰展示产品具体功能及标准操作流程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未开展产品实操演示、核心功能无法正常操作展示，或未提供有效演示视频。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（三）产品布局设计（3分）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结合实战应用场景，根据产品整体结构布局、实操适配性、使用便捷性、作业效率提升效果综合评审：</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1.产品整体布局设计贴合实战应用场景，结构合理、设计人性化，可有效提升实操效率、优化使用体验，无设计缺陷。</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2.产品布局设计基本贴合实战需求，存在少量非关键性设计瑕疵，不影响产品正常操作使用与实战作业效果。</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p>
            <w:pPr>
              <w:ind w:left="63"/>
              <w:pageBreakBefore w:val="0"/>
              <w:spacing w:beforeAutospacing="0" w:afterAutospacing="0" w:line="36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4"/>
                <w:szCs w:val="24"/>
                <w:highlight w:val="none"/>
              </w:rPr>
              <w:t xml:space="preserve">3.产品布局设计存在明显缺陷，对实操便捷性、作业效率造成负面影响，一定程度影响正常操作使用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布局设计存在重大缺陷，无法适配实战场景、无法正常使用，或未提供有效演示视频。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637" w:type="dxa"/>
            <w:vAlign w:val="center"/>
            <w:vMerge w:val="restart"/>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服务方案</w:t>
            </w:r>
            <w:r/>
          </w:p>
        </w:tc>
        <w:tc>
          <w:tcPr>
            <w:tcW w:w="6113" w:type="dxa"/>
            <w:vAlign w:val="center"/>
            <w:textDirection w:val="lrTb"/>
            <w:noWrap w:val="false"/>
          </w:tcPr>
          <w:p>
            <w:pPr>
              <w:spacing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一、</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售后服务方案 </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spacing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（3）经评委认定，投标文件对“售后服务方案”中“售后服务范围”、“售后服务点设置”、“售后服务人员配备”、“拟投入的设施设备及车辆配备”、“售后服务响应时间”、“售后服务承诺”六</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“售后服务范围”、“售后服务点设置”、“售后服务人员配备”、“拟投入的设施设备及车辆配备”、“售后服务响应时间”、“售后服务承诺”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577"/>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4.2</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二、保修方案 </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ind w:left="63"/>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（3）经评委认定，投标文件对“保修方案”中“保修范围”、“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828"/>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4.3</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三、保修期外维保 </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110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4.4</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numPr>
                <w:ilvl w:val="0"/>
                <w:numId w:val="0"/>
              </w:num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四、</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技术培训方案</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”中“培训内容与课程体系”、“培训方式与方法”、“培训计划时间”、“培训对象”、“培训师资配备与团队”五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“培训内容与课程体系”、“培训方式与方法”、“培训计划时间”、“培训对象”、“培训师资配备与团队”</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r>
      <w:tr>
        <w:trPr>
          <w:jc w:val="center"/>
          <w:trHeight w:val="3438"/>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numPr>
                <w:ilvl w:val="0"/>
                <w:numId w:val="0"/>
              </w:numPr>
              <w:ind w:left="0"/>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五、供货方案</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”中“供货计划与生产、备货周期”、“产品配送与物流保障”、“安装调试流程与技术标准”、“进度管控与风险预案”、“验收交付与资料移交”五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“供货计划与生产、备货周期”、“产品配送与物流保障”、“安装调试流程与技术标准”、“进度管控与风险预案”、“验收交付与资料移交”</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r>
      <w:tr>
        <w:trPr>
          <w:jc w:val="center"/>
          <w:trHeight w:val="3601"/>
        </w:trPr>
        <w:tc>
          <w:tcPr>
            <w:tcW w:w="557" w:type="dxa"/>
            <w:vAlign w:val="center"/>
            <w:vMerge w:val="restart"/>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4.6</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vMerge w:val="restart"/>
            <w:textDirection w:val="lrTb"/>
            <w:noWrap w:val="false"/>
          </w:tcPr>
          <w:p>
            <w:pPr>
              <w:ind w:left="0"/>
              <w:pageBreakBefore w:val="0"/>
              <w:spacing w:beforeAutospacing="0" w:afterAutospacing="0" w:line="360" w:lineRule="exact"/>
              <w:rPr>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六、应急措施</w:t>
            </w:r>
            <w:r/>
          </w:p>
          <w:p>
            <w:pPr>
              <w:ind w:left="63"/>
              <w:jc w:val="left"/>
              <w:pageBreakBefore w:val="0"/>
              <w:spacing w:beforeAutospacing="0" w:afterAutospacing="0" w:line="36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评委根据投标文件对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招标文件第四章“</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服务方案</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”中“应急措施</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要求的响应情况进行评审</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投标文件未符合“应急措施”中全部条款要求的，视为不符合招标文件，本项得0分。</w:t>
            </w:r>
            <w:r/>
          </w:p>
          <w:p>
            <w:pPr>
              <w:ind w:left="63"/>
              <w:jc w:val="left"/>
              <w:pageBreakBefore w:val="0"/>
              <w:spacing w:beforeAutospacing="0" w:afterAutospacing="0" w:line="36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2）投标</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文件符合“应急措施”中全部条款要求的，视为符合招标文件，本项得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p>
            <w:pPr>
              <w:pStyle w:val="720"/>
              <w:ind w:left="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（3）经评委认定，投标文件对“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供货方案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”中“应急组织体系与预防预警机制”、“应急</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响应分级与处置流程”、“应急技术支撑与抢修方案”、“应急物资与备件储备”、“</w:t>
            </w:r>
            <w:r>
              <w:rPr>
                <w:rFonts w:hint="eastAsia" w:ascii="宋体" w:hAnsi="宋体" w:eastAsia="宋体" w:cs="宋体"/>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应急保障人员配备与值守制度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项要求的响应内容全部优于招标文件</w:t>
            </w:r>
            <w:r>
              <w:rPr>
                <w:rFonts w:hint="eastAsia" w:ascii="宋体" w:hAnsi="宋体" w:cs="宋体"/>
                <w:color w:val="000000" w:themeColor="text1"/>
                <w:sz w:val="24"/>
                <w:szCs w:val="24"/>
                <w:highlight w:val="none"/>
                <w:lang w:eastAsia="zh-CN"/>
                <w14:textFill>
                  <w14:solidFill>
                    <w14:schemeClr w14:val="tx1"/>
                  </w14:solidFill>
                </w14:textFill>
              </w:rPr>
              <w:t xml:space="preserve">要求的（前提</w:t>
            </w:r>
            <w:r>
              <w:rPr>
                <w:rFonts w:hint="eastAsia" w:ascii="宋体" w:hAnsi="宋体" w:eastAsia="宋体" w:cs="宋体"/>
                <w:color w:val="000000" w:themeColor="text1"/>
                <w:sz w:val="24"/>
                <w:szCs w:val="24"/>
                <w:highlight w:val="none"/>
                <w14:textFill>
                  <w14:solidFill>
                    <w14:schemeClr w14:val="tx1"/>
                  </w14:solidFill>
                </w14:textFill>
              </w:rPr>
              <w:t xml:space="preserve">是投标文件对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“应急组织体系与预防预警机制”、“应急响应分级与处置流程”、“应急技术支撑与抢修方案”、“应急物资与备件储备”、“</w:t>
            </w:r>
            <w:r>
              <w:rPr>
                <w:rFonts w:hint="eastAsia" w:ascii="宋体" w:hAnsi="宋体" w:eastAsia="宋体" w:cs="宋体"/>
                <w:b w:val="0"/>
                <w:bCs w:val="0"/>
                <w:i w:val="0"/>
                <w:iCs w:val="0"/>
                <w:caps w:val="0"/>
                <w:color w:val="000000" w:themeColor="text1"/>
                <w:spacing w:val="0"/>
                <w:sz w:val="24"/>
                <w:szCs w:val="24"/>
                <w:highlight w:val="none"/>
                <w:shd w:val="clear" w:color="auto"/>
                <w14:textFill>
                  <w14:solidFill>
                    <w14:schemeClr w14:val="tx1"/>
                  </w14:solidFill>
                </w14:textFill>
              </w:rPr>
              <w:t xml:space="preserve">应急保障人员配备与值守制度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外其他要求响应内容符合</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招标文件要求），本项</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16" w:type="dxa"/>
            <w:vAlign w:val="center"/>
            <w:vMerge w:val="restart"/>
            <w:textDirection w:val="lrTb"/>
            <w:noWrap w:val="false"/>
          </w:tcPr>
          <w:p>
            <w:pPr>
              <w:jc w:val="center"/>
              <w:pageBreakBefore w:val="0"/>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r>
      <w:tr>
        <w:trPr>
          <w:jc w:val="center"/>
          <w:trHeight w:val="1517"/>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7</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、质保期 </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根据投标人针对本项目供货产品的质保期进行综合比较后评分：</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投标人所投产品质保期响应招标文</w:t>
            </w:r>
            <w:r>
              <w:rPr>
                <w:rFonts w:hint="eastAsia" w:ascii="宋体" w:hAnsi="宋体" w:eastAsia="宋体" w:cs="宋体"/>
                <w:sz w:val="24"/>
                <w:szCs w:val="24"/>
                <w:highlight w:val="none"/>
              </w:rPr>
              <w:t xml:space="preserve">件最低要求基础上（三年），每增加一年加0.5分，最高得1分。未提供者不得分。（投标文件需提供加盖投标人公章的质保期承诺书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前后不一致以承诺书为准</w:t>
            </w:r>
            <w:r>
              <w:rPr>
                <w:rFonts w:hint="eastAsia" w:ascii="宋体" w:hAnsi="宋体" w:eastAsia="宋体" w:cs="宋体"/>
                <w:sz w:val="24"/>
                <w:szCs w:val="24"/>
                <w:highlight w:val="none"/>
              </w:rPr>
              <w:t xml:space="preserve">）。</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6113" w:type="dxa"/>
            <w:vAlign w:val="center"/>
            <w:textDirection w:val="lrTb"/>
            <w:noWrap w:val="false"/>
          </w:tcPr>
          <w:p>
            <w:pPr>
              <w:keepLines w:val="0"/>
              <w:keepNext w:val="0"/>
              <w:pageBreakBefore w:val="0"/>
              <w:spacing w:beforeAutospacing="0" w:afterAutospacing="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所投产品的投标人或产品制造商（必须与投标文件中产品型号一致）</w:t>
            </w:r>
            <w:r>
              <w:rPr>
                <w:rFonts w:hint="eastAsia" w:ascii="宋体" w:hAnsi="宋体" w:eastAsia="宋体" w:cs="宋体"/>
                <w:sz w:val="24"/>
                <w:szCs w:val="24"/>
                <w:lang w:val="en-US" w:eastAsia="zh-CN"/>
              </w:rPr>
              <w:t xml:space="preserve">2021年</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月1日</w:t>
            </w:r>
            <w:r>
              <w:rPr>
                <w:rFonts w:hint="eastAsia" w:ascii="宋体" w:hAnsi="宋体" w:eastAsia="宋体" w:cs="宋体"/>
                <w:sz w:val="24"/>
                <w:szCs w:val="24"/>
              </w:rPr>
              <w:t xml:space="preserve">以来有销售业绩的（非单一产品包为核心产品）。每提供一份有效业绩证明材料得1分，最多得5分。</w:t>
            </w:r>
            <w:r/>
          </w:p>
          <w:p>
            <w:pPr>
              <w:pageBreakBefore w:val="0"/>
              <w:spacing w:beforeAutospacing="0" w:afterAutospacing="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①业绩证明材料需同时提供合同和验收证明复印件加盖</w:t>
            </w:r>
            <w:r>
              <w:rPr>
                <w:rFonts w:hint="eastAsia" w:ascii="宋体" w:hAnsi="宋体" w:eastAsia="宋体" w:cs="宋体"/>
                <w:sz w:val="24"/>
                <w:szCs w:val="24"/>
                <w:lang w:val="en-US" w:eastAsia="zh-CN"/>
              </w:rPr>
              <w:t xml:space="preserve">投标单位</w:t>
            </w:r>
            <w:r>
              <w:rPr>
                <w:rFonts w:hint="eastAsia" w:ascii="宋体" w:hAnsi="宋体" w:eastAsia="宋体" w:cs="宋体"/>
                <w:sz w:val="24"/>
                <w:szCs w:val="24"/>
              </w:rPr>
              <w:t xml:space="preserve">公章，合同须能体现签订单</w:t>
            </w:r>
            <w:r>
              <w:rPr>
                <w:rFonts w:hint="eastAsia" w:ascii="宋体" w:hAnsi="宋体" w:eastAsia="宋体" w:cs="宋体"/>
                <w:sz w:val="24"/>
                <w:szCs w:val="24"/>
                <w:highlight w:val="none"/>
              </w:rPr>
              <w:t xml:space="preserve">位信息、签订时间、产品名称、型号、价格等相关信息，否则视为无效合同</w:t>
            </w:r>
            <w:r>
              <w:rPr>
                <w:rFonts w:hint="eastAsia" w:ascii="宋体" w:hAnsi="宋体" w:eastAsia="宋体" w:cs="宋体"/>
                <w:sz w:val="24"/>
                <w:szCs w:val="24"/>
                <w:highlight w:val="none"/>
                <w:lang w:eastAsia="zh-CN"/>
              </w:rPr>
              <w:t xml:space="preserve">。</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b/>
                <w:bCs/>
                <w:sz w:val="24"/>
                <w:szCs w:val="24"/>
              </w:rPr>
              <w:t xml:space="preserve">②统招分签的合同按一个合同业绩计。</w:t>
            </w:r>
            <w:r>
              <w:rPr>
                <w:rFonts w:hint="eastAsia" w:ascii="宋体" w:hAnsi="宋体" w:eastAsia="宋体" w:cs="宋体"/>
                <w:sz w:val="24"/>
                <w:szCs w:val="24"/>
              </w:rPr>
              <w:t xml:space="preserve">【多个合同项目名称一致的，均按一个合同计】</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③合同中的产品名称及产品型号请加以明显标记，以方便评审和核对。</w:t>
            </w:r>
            <w:r/>
          </w:p>
          <w:p>
            <w:pPr>
              <w:ind w:left="63"/>
              <w:pageBreakBefore w:val="0"/>
              <w:spacing w:beforeAutospacing="0" w:afterAutospacing="0" w:line="360" w:lineRule="exact"/>
              <w:rPr>
                <w:rFonts w:hint="eastAsia" w:ascii="宋体" w:hAnsi="宋体" w:eastAsia="宋体" w:cs="宋体"/>
                <w:sz w:val="24"/>
                <w:szCs w:val="24"/>
                <w:lang w:bidi="ar"/>
              </w:rPr>
            </w:pPr>
            <w:r>
              <w:rPr>
                <w:rFonts w:hint="eastAsia" w:ascii="宋体" w:hAnsi="宋体" w:eastAsia="宋体" w:cs="宋体"/>
                <w:sz w:val="24"/>
                <w:szCs w:val="24"/>
              </w:rPr>
              <w:t xml:space="preserve">④合同评审中的重要信息因存在内容模糊、无法辨认而产生不利于该项评审的情况，投标人自行承担后果。</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r>
      <w:tr>
        <w:trPr>
          <w:jc w:val="center"/>
        </w:trPr>
        <w:tc>
          <w:tcPr>
            <w:gridSpan w:val="2"/>
            <w:tcW w:w="2194"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6113"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分值合计</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r>
    </w:tbl>
    <w:p>
      <w:pPr>
        <w:pStyle w:val="959"/>
        <w:ind w:left="0" w:right="0" w:firstLine="0"/>
        <w:keepLines w:val="0"/>
        <w:keepNext w:val="0"/>
        <w:pageBreakBefore w:val="0"/>
        <w:spacing w:before="0" w:beforeAutospacing="0" w:after="0" w:afterAutospacing="0" w:line="0" w:lineRule="atLeast"/>
        <w:widowControl/>
        <w:rPr>
          <w:lang w:val="en-US" w:eastAsia="zh-CN"/>
        </w:rPr>
        <w:suppressLineNumbers w:val="0"/>
      </w:pPr>
      <w:r>
        <w:rPr>
          <w:lang w:val="en-US" w:eastAsia="zh-CN"/>
        </w:rPr>
      </w:r>
      <w:r/>
    </w:p>
    <w:p>
      <w:pPr>
        <w:pStyle w:val="959"/>
        <w:ind w:left="0" w:right="0" w:firstLine="0"/>
        <w:keepLines w:val="0"/>
        <w:keepNext w:val="0"/>
        <w:pageBreakBefore w:val="0"/>
        <w:spacing w:before="0" w:beforeAutospacing="0" w:after="0" w:afterAutospacing="0" w:line="0" w:lineRule="atLeast"/>
        <w:widowControl/>
        <w:rPr>
          <w:rFonts w:hint="eastAsia"/>
          <w:b/>
          <w:bCs/>
          <w:lang w:val="en-US" w:eastAsia="zh-CN"/>
        </w:rPr>
        <w:suppressLineNumbers w:val="0"/>
      </w:pPr>
      <w:r>
        <w:rPr>
          <w:rFonts w:hint="eastAsia"/>
          <w:b/>
          <w:bCs/>
          <w:lang w:val="en-US" w:eastAsia="zh-CN"/>
        </w:rPr>
        <w:t xml:space="preserve">分包号2：</w:t>
      </w:r>
      <w:r/>
    </w:p>
    <w:tbl>
      <w:tblPr>
        <w:tblStyle w:val="719"/>
        <w:tblpPr w:horzAnchor="text" w:tblpXSpec="center" w:vertAnchor="text" w:tblpY="1" w:leftFromText="180" w:topFromText="0" w:rightFromText="180" w:bottomFromText="0"/>
        <w:tblW w:w="892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637"/>
        <w:gridCol w:w="6113"/>
        <w:gridCol w:w="616"/>
      </w:tblGrid>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评分因素</w:t>
            </w:r>
            <w:r/>
          </w:p>
        </w:tc>
        <w:tc>
          <w:tcPr>
            <w:tcW w:w="6113"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价格</w:t>
            </w:r>
            <w:r/>
          </w:p>
        </w:tc>
        <w:tc>
          <w:tcPr>
            <w:tcW w:w="6113" w:type="dxa"/>
            <w:vAlign w:val="center"/>
            <w:textDirection w:val="lrTb"/>
            <w:noWrap w:val="false"/>
          </w:tcPr>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采用低价优先法计算，即满足招标文件要求且投标价格最低的投标报价为评标基准价，其价格分为满分30分。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其他投标人的价格分统一按照下列公式计算:投标报价得分=(评标基准价/投标报价)×30（小数点保留两位）</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30</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技术响应</w:t>
            </w:r>
            <w:r/>
          </w:p>
        </w:tc>
        <w:tc>
          <w:tcPr>
            <w:tcW w:w="6113" w:type="dxa"/>
            <w:vAlign w:val="center"/>
            <w:textDirection w:val="lrTb"/>
            <w:noWrap w:val="false"/>
          </w:tcPr>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 </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（3）非单一产品包及套装组合包评审时，就包内所有产品的参数响应按照上述评分规则累计评审。</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所投产品所有技术条款完全响应招标文件要求的得28分；本项最低分0分，最高分28分。</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标记“▲”为重要技术条款，重要技术条款</w:t>
            </w:r>
            <w:r>
              <w:rPr>
                <w:rFonts w:hint="eastAsia" w:ascii="宋体" w:hAnsi="宋体" w:eastAsia="宋体" w:cs="宋体"/>
                <w:sz w:val="24"/>
                <w:szCs w:val="24"/>
                <w:lang w:val="en-US" w:eastAsia="zh-CN"/>
              </w:rPr>
              <w:t xml:space="preserve">不响应的，每条扣</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无标记为一般技术条款，一般技术条款</w:t>
            </w:r>
            <w:r>
              <w:rPr>
                <w:rFonts w:hint="eastAsia" w:ascii="宋体" w:hAnsi="宋体" w:eastAsia="宋体" w:cs="宋体"/>
                <w:sz w:val="24"/>
                <w:szCs w:val="24"/>
                <w:lang w:val="en-US" w:eastAsia="zh-CN"/>
              </w:rPr>
              <w:t xml:space="preserve">不响应的，每条扣0.</w:t>
            </w: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6、注：①凡标有最低一级序号的指标项即为一项技术条款，无论是否隶属于上一级编号；</w:t>
            </w:r>
            <w:r/>
          </w:p>
          <w:p>
            <w:pPr>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除特别说明外，采购文件中标注“▲”的条款需要在投标文件内提供技</w:t>
            </w:r>
            <w:r>
              <w:rPr>
                <w:rFonts w:hint="eastAsia" w:ascii="宋体" w:hAnsi="宋体" w:eastAsia="宋体" w:cs="宋体"/>
                <w:sz w:val="24"/>
                <w:szCs w:val="24"/>
              </w:rPr>
              <w:t xml:space="preserve">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28</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cs="宋体"/>
                <w:sz w:val="24"/>
                <w:szCs w:val="24"/>
                <w:lang w:val="en-US" w:eastAsia="zh-CN"/>
              </w:rPr>
              <w:t xml:space="preserve">演示视频</w:t>
            </w:r>
            <w:r/>
          </w:p>
        </w:tc>
        <w:tc>
          <w:tcPr>
            <w:tcW w:w="6113" w:type="dxa"/>
            <w:vAlign w:val="center"/>
            <w:textDirection w:val="lrTb"/>
            <w:noWrap w:val="false"/>
          </w:tcPr>
          <w:p>
            <w:pPr>
              <w:ind w:left="63" w:firstLine="0"/>
              <w:pageBreakBefore w:val="0"/>
              <w:spacing w:beforeAutospacing="0" w:afterAutospacing="0" w:line="36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样品视频演示需包含本包别内所有产品。样品统一采用视频一镜到底演示评审方式（如本包内涉及多个产品，需连续不间断演示），视频演示评审总分10分，无视频、视频无法播放、视频违规、未按要求演示均按规则扣分或计0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一、视频演示通用要求</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为规范评审标准、保障评标公平公正，所有投标人须严格遵守以下视频录制及演示要求，违反任意一条视为演示无效，样品视频演示项得0分：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录制规范：视频为全程连续、一镜到底、无剪辑、无拼接、无后期特效的真实场景实拍，画面清晰、声音可辨、产品实物完整出镜，严禁人工修改、配音替换、画面删减等违规操作。</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时长要求：视频总时长严格控制在5分钟以内，超时视为无效视频，本项不得分。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3.演示形式：仅接受实物录制视频演示，不接受动画、PPT轮播、图片合集、线上实时演示等其他任何演示方式。</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4.包别专项要求：多产品组合包须按产品类别依次完整演示包内所有投标产品，不得遗漏任一产品；单一产品包仅需演示对应投标单品，未按本要求完整演示的，视为演示缺项，样品视频演示项得0分。</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5.视频格式与责任归属：视频录制格式</w:t>
            </w:r>
            <w:r>
              <w:rPr>
                <w:rFonts w:hint="eastAsia" w:ascii="宋体" w:hAnsi="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采用MP4、AVI、MOV、</w:t>
            </w:r>
            <w:r>
              <w:rPr>
                <w:rFonts w:ascii="宋体" w:hAnsi="宋体" w:eastAsia="宋体" w:cs="宋体"/>
                <w:sz w:val="24"/>
                <w:szCs w:val="24"/>
              </w:rPr>
              <w:t xml:space="preserve">MKV</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WMV或</w:t>
            </w:r>
            <w:r>
              <w:rPr>
                <w:rFonts w:hint="eastAsia" w:ascii="宋体" w:hAnsi="宋体" w:eastAsia="宋体" w:cs="宋体"/>
                <w:color w:val="000000"/>
                <w:sz w:val="24"/>
                <w:szCs w:val="24"/>
                <w:highlight w:val="none"/>
              </w:rPr>
              <w:t xml:space="preserve">AVCHD格式</w:t>
            </w:r>
            <w:r>
              <w:rPr>
                <w:rFonts w:hint="eastAsia" w:ascii="宋体" w:hAnsi="宋体" w:cs="宋体"/>
                <w:color w:val="000000"/>
                <w:sz w:val="24"/>
                <w:szCs w:val="24"/>
                <w:highlight w:val="none"/>
                <w:lang w:val="en-US" w:eastAsia="zh-CN"/>
              </w:rPr>
              <w:t xml:space="preserve">中的任意一种，</w:t>
            </w:r>
            <w:r>
              <w:rPr>
                <w:rFonts w:hint="eastAsia" w:ascii="宋体" w:hAnsi="宋体" w:eastAsia="宋体" w:cs="宋体"/>
                <w:color w:val="000000"/>
                <w:sz w:val="24"/>
                <w:szCs w:val="24"/>
                <w:highlight w:val="none"/>
              </w:rPr>
              <w:t xml:space="preserve">由投标人自行选择，投标人须提前自检视频完整性、兼容性。凡因投标人自身原因（包括但不限于视频格式不兼容、文件损坏、视频加密、缺失播放插件、文件上传错误等）导致视频无法正常播放、无法识别、无法完整查看的，一律视为未提供有效视频，样品视频演示项得0分，相关责任由投标人自行承担。</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二、视频演示评分标准（总分10分）</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评标委员会根据投标人演示视频内容，从产品整体功能介绍、产品操作展示、产品布局设计三个维度进行综合评审。</w:t>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（一）产品整体功能介绍（3分）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根据视频中产品特征、功能要素、核心特点的讲解完整性、准确性、</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度综合打分：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1.产品特征、功能要素介绍表述清晰、准确、</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，完整覆盖产品核心功能、核心特点及核心优势，可高效、直观传达产品核心价值，无错误、无遗漏。</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2.产品特征、功能要素表述完整，整体可传达产品核心功能与特点，仅存在少量非核心内容表述不足，不影响评委对产品核心性能的判定。</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.产品功能及特征介绍存在明显缺失，核心要素讲解笼统、不完整，无法有效、全面传达产品核心功能和特点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未进行任何产品功能介绍、介绍内容存在关键错误，或未提供有效演示视频。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（二）产品操作展示（4分）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重点评审产品实操完整性、流畅性、直观性，核心演示内容包含但不限于：设备启动打开、核心功能实操展示、设备关闭停机、产品创新功能（如有）、基础操作流程等，组合包需完整演示包内所有产品全套操作流程：</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1.产品全流程功能操作演示流畅、直观、通俗易懂，完整覆盖全部核心操作环节，全面、清晰展示产品完整功能及标准操作流程，无缺项、无失误。</w:t>
            </w:r>
            <w:r>
              <w:rPr>
                <w:rFonts w:hint="eastAsia" w:ascii="宋体" w:hAnsi="宋体" w:eastAsia="宋体" w:cs="宋体"/>
                <w:color w:val="000000"/>
                <w:sz w:val="24"/>
                <w:szCs w:val="24"/>
                <w:highlight w:val="none"/>
              </w:rPr>
              <w:t xml:space="preserve">得4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2.产品整体操作演示流畅规范，仅存在少量非核心操作环节漏项或细节瑕疵，不影响产品整体功能展示与正常使用。</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3.产品操作演示不连贯、不规范，核心操作存在缺项，无法完整、清晰展示产品具体功能及标准操作流程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未开展产品实操演示、核心功能无法正常操作展示，或未提供有效演示视频。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（三）产品布局设计（3分）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结合实战应用场景，根据产品整体结构布局、实操适配性、使用便捷性、作业效率提升效果综合评审：</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1.产品整体布局设计贴合实战应用场景，结构合理、设计人性化，可有效提升实操效率、优化使用体验，无设计缺陷。</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2.产品布局设计基本贴合实战需求，存在少量非关键性设计瑕疵，不影响产品正常操作使用与实战作业效果。</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3.产品布局设计存在明显缺陷，对实操便捷性、作业效率造成负面影响，一定程度影响正常操作使用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布局设计存在重大缺陷，无法适配实战场景、无法正常使用，或未提供有效演示视频。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637" w:type="dxa"/>
            <w:vAlign w:val="center"/>
            <w:vMerge w:val="restart"/>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服务方案</w:t>
            </w:r>
            <w:r/>
          </w:p>
        </w:tc>
        <w:tc>
          <w:tcPr>
            <w:tcW w:w="6113" w:type="dxa"/>
            <w:vAlign w:val="center"/>
            <w:textDirection w:val="lrTb"/>
            <w:noWrap w:val="false"/>
          </w:tcPr>
          <w:p>
            <w:pPr>
              <w:spacing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一、</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售后服务方案 </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spacing w:line="360" w:lineRule="exact"/>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（3）经评委认定，投标文件对“售后服务方案”中“售后服务范围”、“售后服务点设置”、“售后服务人员配备”、“拟投入的设施设备及车辆配备”、“售后服务响应时间”、“售后服务承诺”六</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“售后服务范围”、“售后服务点设置”、“售后服务人员配备”、“拟投入的设施设备及车辆配备”、“售后服务响应时间”、“售后服务承诺”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577"/>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4.2</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二、保修方案 </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ind w:left="63"/>
              <w:pageBreakBefore w:val="0"/>
              <w:spacing w:beforeAutospacing="0" w:afterAutospacing="0" w:line="360" w:lineRule="exact"/>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（3）经评委认定，投标文件对“保修方案”中“保修范围”、“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3438"/>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4.3</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三、保修期外维保 </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110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4.4</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numPr>
                <w:ilvl w:val="0"/>
                <w:numId w:val="0"/>
              </w:num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四、</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技术培训方案</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”中“培训内容与课程体系”、“培训方式与方法”、“培训计划时间”、“培训对象”、“培训师资配备与团队”五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“培训内容与课程体系”、“培训方式与方法”、“培训计划时间”、“培训对象”、“培训师资配备与团队”</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r>
      <w:tr>
        <w:trPr>
          <w:jc w:val="center"/>
          <w:trHeight w:val="3438"/>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numPr>
                <w:ilvl w:val="0"/>
                <w:numId w:val="0"/>
              </w:numPr>
              <w:ind w:left="0"/>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五、供货方案</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”中“供货计划与生产、备货周期”、“产品配送与物流保障”、“安装调试流程与技术标准”、“进度管控与风险预案”、“验收交付与资料移交”五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“供货计划与生产、备货周期”、“产品配送与物流保障”、“安装调试流程与技术标准”、“进度管控与风险预案”、“验收交付与资料移交”</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r>
      <w:tr>
        <w:trPr>
          <w:jc w:val="center"/>
          <w:trHeight w:val="1517"/>
        </w:trPr>
        <w:tc>
          <w:tcPr>
            <w:tcW w:w="557" w:type="dxa"/>
            <w:vAlign w:val="center"/>
            <w:textDirection w:val="lrTb"/>
            <w:noWrap w:val="false"/>
          </w:tcPr>
          <w:p>
            <w:pPr>
              <w:jc w:val="center"/>
              <w:pageBreakBefore w:val="0"/>
              <w:spacing w:beforeAutospacing="0" w:afterAutospacing="0"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4.6</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0"/>
              <w:pageBreakBefore w:val="0"/>
              <w:spacing w:beforeAutospacing="0" w:afterAutospacing="0"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六、应急措施</w:t>
            </w:r>
            <w:r/>
          </w:p>
          <w:p>
            <w:pPr>
              <w:ind w:left="63"/>
              <w:jc w:val="left"/>
              <w:pageBreakBefore w:val="0"/>
              <w:spacing w:beforeAutospacing="0" w:afterAutospacing="0" w:line="360" w:lineRule="exact"/>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招标文件第四章“</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”中“应急措施</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投标文件未符合“应急措施”中全部条款要求的，视为不符合招标文件，本项得0分。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文件符合“应急措施”中全部条款要求的，视为符合招标文件，本项得</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sz w:val="24"/>
                <w:szCs w:val="24"/>
              </w:rPr>
            </w:pP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”中“应急组织体系与预防预警机制”、“应急</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响应分级与处置流程”、“应急技术支撑与抢修方案”、“应急物资与备件储备”、“</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应急保障人员配备与值守制度</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“应急组织体系与预防预警机制”、“应急响应分级与处置流程”、“应急技术支撑与抢修方案”、“应急物资与备件储备”、“</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应急保障人员配备与值守制度</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3</w:t>
            </w:r>
            <w:r/>
          </w:p>
        </w:tc>
      </w:tr>
      <w:tr>
        <w:trPr>
          <w:jc w:val="center"/>
          <w:trHeight w:val="1517"/>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7</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、质保期 </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根据投标人针对本项目供货产品的质保期进行综合比较后评分：</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投标人所投产品质保期响应招标文</w:t>
            </w:r>
            <w:r>
              <w:rPr>
                <w:rFonts w:hint="eastAsia" w:ascii="宋体" w:hAnsi="宋体" w:eastAsia="宋体" w:cs="宋体"/>
                <w:sz w:val="24"/>
                <w:szCs w:val="24"/>
                <w:highlight w:val="none"/>
              </w:rPr>
              <w:t xml:space="preserve">件最低要求基础上（三年），每增加一年加0.5分，最高得1分。未提供者不得分。（投标文件需提供加盖投标人公章的质保期承诺书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前后不一致以承诺书为准</w:t>
            </w:r>
            <w:r>
              <w:rPr>
                <w:rFonts w:hint="eastAsia" w:ascii="宋体" w:hAnsi="宋体" w:eastAsia="宋体" w:cs="宋体"/>
                <w:sz w:val="24"/>
                <w:szCs w:val="24"/>
                <w:highlight w:val="none"/>
              </w:rPr>
              <w:t xml:space="preserve">）。</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6113" w:type="dxa"/>
            <w:vAlign w:val="center"/>
            <w:textDirection w:val="lrTb"/>
            <w:noWrap w:val="false"/>
          </w:tcPr>
          <w:p>
            <w:pPr>
              <w:keepLines w:val="0"/>
              <w:keepNext w:val="0"/>
              <w:pageBreakBefore w:val="0"/>
              <w:spacing w:beforeAutospacing="0" w:afterAutospacing="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所投产品的投标人或产品制造商（必须与投标文件中产品型号一致）</w:t>
            </w:r>
            <w:r>
              <w:rPr>
                <w:rFonts w:hint="eastAsia" w:ascii="宋体" w:hAnsi="宋体" w:eastAsia="宋体" w:cs="宋体"/>
                <w:sz w:val="24"/>
                <w:szCs w:val="24"/>
                <w:lang w:val="en-US" w:eastAsia="zh-CN"/>
              </w:rPr>
              <w:t xml:space="preserve">2021年</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月1日</w:t>
            </w:r>
            <w:r>
              <w:rPr>
                <w:rFonts w:hint="eastAsia" w:ascii="宋体" w:hAnsi="宋体" w:eastAsia="宋体" w:cs="宋体"/>
                <w:sz w:val="24"/>
                <w:szCs w:val="24"/>
              </w:rPr>
              <w:t xml:space="preserve">以来有销售业绩的（非单一产品包为核心产品）。每提供一份有效业绩证明材料得1分，最多得5分。</w:t>
            </w:r>
            <w:r/>
          </w:p>
          <w:p>
            <w:pPr>
              <w:pageBreakBefore w:val="0"/>
              <w:spacing w:beforeAutospacing="0" w:afterAutospacing="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①业绩证明材料需同时提供合同和验收证明复印件加盖</w:t>
            </w:r>
            <w:r>
              <w:rPr>
                <w:rFonts w:hint="eastAsia" w:ascii="宋体" w:hAnsi="宋体" w:eastAsia="宋体" w:cs="宋体"/>
                <w:sz w:val="24"/>
                <w:szCs w:val="24"/>
                <w:lang w:val="en-US" w:eastAsia="zh-CN"/>
              </w:rPr>
              <w:t xml:space="preserve">投标单位</w:t>
            </w:r>
            <w:r>
              <w:rPr>
                <w:rFonts w:hint="eastAsia" w:ascii="宋体" w:hAnsi="宋体" w:eastAsia="宋体" w:cs="宋体"/>
                <w:sz w:val="24"/>
                <w:szCs w:val="24"/>
              </w:rPr>
              <w:t xml:space="preserve">公章，合同须能体现签订单</w:t>
            </w:r>
            <w:r>
              <w:rPr>
                <w:rFonts w:hint="eastAsia" w:ascii="宋体" w:hAnsi="宋体" w:eastAsia="宋体" w:cs="宋体"/>
                <w:sz w:val="24"/>
                <w:szCs w:val="24"/>
                <w:highlight w:val="none"/>
              </w:rPr>
              <w:t xml:space="preserve">位信息、签订时间、产品名称、型号、价格等相关信息，否则视为无效合同</w:t>
            </w:r>
            <w:r>
              <w:rPr>
                <w:rFonts w:hint="eastAsia" w:ascii="宋体" w:hAnsi="宋体" w:eastAsia="宋体" w:cs="宋体"/>
                <w:sz w:val="24"/>
                <w:szCs w:val="24"/>
                <w:highlight w:val="none"/>
                <w:lang w:eastAsia="zh-CN"/>
              </w:rPr>
              <w:t xml:space="preserve">。</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b/>
                <w:bCs/>
                <w:sz w:val="24"/>
                <w:szCs w:val="24"/>
              </w:rPr>
              <w:t xml:space="preserve">②统招分签的合同按一个合同业绩计。</w:t>
            </w:r>
            <w:r>
              <w:rPr>
                <w:rFonts w:hint="eastAsia" w:ascii="宋体" w:hAnsi="宋体" w:eastAsia="宋体" w:cs="宋体"/>
                <w:sz w:val="24"/>
                <w:szCs w:val="24"/>
              </w:rPr>
              <w:t xml:space="preserve">【多个合同项目名称一致的，均按一个合同计】</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③合同中的产品名称及产品型号请加以明显标记，以方便评审和核对。</w:t>
            </w:r>
            <w:r/>
          </w:p>
          <w:p>
            <w:pPr>
              <w:ind w:left="63"/>
              <w:pageBreakBefore w:val="0"/>
              <w:spacing w:beforeAutospacing="0" w:afterAutospacing="0" w:line="360" w:lineRule="exact"/>
              <w:rPr>
                <w:rFonts w:hint="eastAsia" w:ascii="宋体" w:hAnsi="宋体" w:eastAsia="宋体" w:cs="宋体"/>
                <w:sz w:val="24"/>
                <w:szCs w:val="24"/>
                <w:lang w:bidi="ar"/>
              </w:rPr>
            </w:pPr>
            <w:r>
              <w:rPr>
                <w:rFonts w:hint="eastAsia" w:ascii="宋体" w:hAnsi="宋体" w:eastAsia="宋体" w:cs="宋体"/>
                <w:sz w:val="24"/>
                <w:szCs w:val="24"/>
              </w:rPr>
              <w:t xml:space="preserve">④合同评审中的重要信息因存在内容模糊、无法辨认而产生不利于该项评审的情况，投标人自行承担后果。</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r>
      <w:tr>
        <w:trPr>
          <w:jc w:val="center"/>
        </w:trPr>
        <w:tc>
          <w:tcPr>
            <w:gridSpan w:val="2"/>
            <w:tcW w:w="2194"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6113"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分值合计</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r>
    </w:tbl>
    <w:p>
      <w:pPr>
        <w:pageBreakBefore w:val="0"/>
        <w:spacing w:beforeAutospacing="0" w:afterAutospacing="0"/>
        <w:rPr>
          <w:rFonts w:hint="eastAsia"/>
        </w:rPr>
      </w:pPr>
      <w:r>
        <w:rPr>
          <w:rFonts w:hint="eastAsia"/>
        </w:rPr>
      </w:r>
      <w:r/>
    </w:p>
    <w:p>
      <w:pPr>
        <w:pStyle w:val="959"/>
        <w:ind w:left="0" w:right="0" w:firstLine="0"/>
        <w:keepLines w:val="0"/>
        <w:keepNext w:val="0"/>
        <w:pageBreakBefore w:val="0"/>
        <w:spacing w:before="0" w:beforeAutospacing="0" w:after="0" w:afterAutospacing="0" w:line="0" w:lineRule="atLeast"/>
        <w:widowControl/>
        <w:rPr>
          <w:rFonts w:hint="eastAsia"/>
          <w:lang w:val="en-US" w:eastAsia="zh-CN"/>
        </w:rPr>
        <w:suppressLineNumbers w:val="0"/>
      </w:pPr>
      <w:r>
        <w:rPr>
          <w:rFonts w:hint="eastAsia"/>
          <w:lang w:val="en-US" w:eastAsia="zh-CN"/>
        </w:rPr>
        <w:t xml:space="preserve">分包号3：</w:t>
      </w:r>
      <w:r/>
    </w:p>
    <w:tbl>
      <w:tblPr>
        <w:tblStyle w:val="719"/>
        <w:tblpPr w:horzAnchor="text" w:tblpXSpec="center" w:vertAnchor="text" w:tblpY="1" w:leftFromText="180" w:topFromText="0" w:rightFromText="180" w:bottomFromText="0"/>
        <w:tblW w:w="892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637"/>
        <w:gridCol w:w="6113"/>
        <w:gridCol w:w="616"/>
      </w:tblGrid>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评分因素</w:t>
            </w:r>
            <w:r/>
          </w:p>
        </w:tc>
        <w:tc>
          <w:tcPr>
            <w:tcW w:w="6113"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价格</w:t>
            </w:r>
            <w:r/>
          </w:p>
        </w:tc>
        <w:tc>
          <w:tcPr>
            <w:tcW w:w="6113" w:type="dxa"/>
            <w:vAlign w:val="center"/>
            <w:textDirection w:val="lrTb"/>
            <w:noWrap w:val="false"/>
          </w:tcPr>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采用低价优先法计算，即满足招标文件要求且投标价格最低的投标报价为评标基准价，其价格分为满分30分。</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其他投标人的价格分统一按照下列公式计算:投标报价得分=(评标基准价/投标报价)×30（小数点保留两位）</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r>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技术响应</w:t>
            </w:r>
            <w:r/>
          </w:p>
        </w:tc>
        <w:tc>
          <w:tcPr>
            <w:tcW w:w="6113" w:type="dxa"/>
            <w:vAlign w:val="center"/>
            <w:textDirection w:val="lrTb"/>
            <w:noWrap w:val="false"/>
          </w:tcPr>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 </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（3）非单一产品包及套装组合包评审时，就包内所有产品的参数响应按照上述评分规则累计评审。</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所投产品所有技术条款完全响应招标文件要求的得28分；本项最低分0分，最高分28分。</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标记“▲”为重要技术条款，重要技术条款</w:t>
            </w:r>
            <w:r>
              <w:rPr>
                <w:rFonts w:hint="eastAsia" w:ascii="宋体" w:hAnsi="宋体" w:eastAsia="宋体" w:cs="宋体"/>
                <w:sz w:val="24"/>
                <w:szCs w:val="24"/>
                <w:lang w:val="en-US" w:eastAsia="zh-CN"/>
              </w:rPr>
              <w:t xml:space="preserve">不响应的，每条扣</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无标记为一般技术条款，一般技术条款</w:t>
            </w:r>
            <w:r>
              <w:rPr>
                <w:rFonts w:hint="eastAsia" w:ascii="宋体" w:hAnsi="宋体" w:eastAsia="宋体" w:cs="宋体"/>
                <w:sz w:val="24"/>
                <w:szCs w:val="24"/>
                <w:lang w:val="en-US" w:eastAsia="zh-CN"/>
              </w:rPr>
              <w:t xml:space="preserve">不响应的，每条扣0.</w:t>
            </w:r>
            <w:r>
              <w:rPr>
                <w:rFonts w:hint="eastAsia" w:ascii="宋体" w:hAnsi="宋体" w:cs="宋体"/>
                <w:sz w:val="24"/>
                <w:szCs w:val="24"/>
                <w:lang w:val="en-US" w:eastAsia="zh-CN"/>
              </w:rPr>
              <w:t xml:space="preserve">15</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6、注：①凡标有最低一级序号的指标项即为一项技术条款，无论是否隶属于上一级编号；</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除特别说明外，采购文件中标注“▲”的条款需要在投标文件内提供技</w:t>
            </w:r>
            <w:r>
              <w:rPr>
                <w:rFonts w:hint="eastAsia" w:ascii="宋体" w:hAnsi="宋体" w:eastAsia="宋体" w:cs="宋体"/>
                <w:sz w:val="24"/>
                <w:szCs w:val="24"/>
              </w:rPr>
              <w:t xml:space="preserve">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28</w:t>
            </w:r>
            <w:r/>
          </w:p>
        </w:tc>
      </w:tr>
      <w:tr>
        <w:trPr>
          <w:jc w:val="center"/>
          <w:trHeight w:val="5659"/>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cs="宋体"/>
                <w:sz w:val="24"/>
                <w:szCs w:val="24"/>
                <w:lang w:val="en-US" w:eastAsia="zh-CN"/>
              </w:rPr>
              <w:t xml:space="preserve">演示视频</w:t>
            </w:r>
            <w:r/>
          </w:p>
        </w:tc>
        <w:tc>
          <w:tcPr>
            <w:tcW w:w="6113" w:type="dxa"/>
            <w:vAlign w:val="center"/>
            <w:textDirection w:val="lrTb"/>
            <w:noWrap w:val="false"/>
          </w:tcPr>
          <w:p>
            <w:pPr>
              <w:ind w:left="63" w:firstLine="0"/>
              <w:pageBreakBefore w:val="0"/>
              <w:spacing w:beforeAutospacing="0" w:afterAutospacing="0" w:line="36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样品视频演示需包含本包别内所有产品。样品统一采用视频一镜到底演示评审方式（如本包内涉及多个产品，需连续不间断演示），视频演示评审总分10分，无视频、视频无法播放、视频违规、未按要求演示均按规则扣分或计0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一、视频演示通用要求</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为规范评审标准、保障评标公平公正，所有投标人须严格遵守以下视频录制及演示要求，违反任意一条视为演示无效，样品视频演示项得0分：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录制规范：视频为全程连续、一镜到底、无剪辑、无拼接、无后期特效的真实场景实拍，画面清晰、声音可辨、产品实物完整出镜，严禁人工修改、配音替换、画面删减等违规操作。</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时长要求：视频总时长严格控制在5分钟以内，超时视为无效视频，本项不得分。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3.演示形式：仅接受实物录制视频演示，不接受动画、PPT轮播、图片合集、线上实时演示等其他任何演示方式。</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4.包别专项要求：多产品组合包须按产品类别依次完整演示包内所有投标产品，不得遗漏任一产品；单一产品包仅需演示对应投标单品，未按本要求完整演示的，视为演示缺项，样品视频演示项得0分。</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5.视频格式与责任归属：视频录制格式</w:t>
            </w:r>
            <w:r>
              <w:rPr>
                <w:rFonts w:hint="eastAsia" w:ascii="宋体" w:hAnsi="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采用MP4、AVI、MOV、</w:t>
            </w:r>
            <w:r>
              <w:rPr>
                <w:rFonts w:ascii="宋体" w:hAnsi="宋体" w:eastAsia="宋体" w:cs="宋体"/>
                <w:sz w:val="24"/>
                <w:szCs w:val="24"/>
              </w:rPr>
              <w:t xml:space="preserve">MKV</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WMV或</w:t>
            </w:r>
            <w:r>
              <w:rPr>
                <w:rFonts w:hint="eastAsia" w:ascii="宋体" w:hAnsi="宋体" w:eastAsia="宋体" w:cs="宋体"/>
                <w:color w:val="000000"/>
                <w:sz w:val="24"/>
                <w:szCs w:val="24"/>
                <w:highlight w:val="none"/>
              </w:rPr>
              <w:t xml:space="preserve">AVCHD格式</w:t>
            </w:r>
            <w:r>
              <w:rPr>
                <w:rFonts w:hint="eastAsia" w:ascii="宋体" w:hAnsi="宋体" w:cs="宋体"/>
                <w:color w:val="000000"/>
                <w:sz w:val="24"/>
                <w:szCs w:val="24"/>
                <w:highlight w:val="none"/>
                <w:lang w:val="en-US" w:eastAsia="zh-CN"/>
              </w:rPr>
              <w:t xml:space="preserve">中的任意一种，</w:t>
            </w:r>
            <w:r>
              <w:rPr>
                <w:rFonts w:hint="eastAsia" w:ascii="宋体" w:hAnsi="宋体" w:eastAsia="宋体" w:cs="宋体"/>
                <w:color w:val="000000"/>
                <w:sz w:val="24"/>
                <w:szCs w:val="24"/>
                <w:highlight w:val="none"/>
              </w:rPr>
              <w:t xml:space="preserve">由投标人自行选择，投标人须提前自检视频完整性、兼容性。凡因投标人自身原因（包括但不限于视频格式不兼容、文件损坏、视频加密、缺失播放插件、文件上传错误等）导致视频无法正常播放、无法识别、无法完整查看的，一律视为未提供有效视频，样品视频演示项得0分，相关责任由投标人自行承担。</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二、视频演示评分标准（总分10分）</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评标委员会根据投标人演示视频内容，从产品整体功能介绍、产品操作展示、产品布局设计三个维度进行综合评审。</w:t>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（一）产品整体功能介绍（3分）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根据视频中产品特征、功能要素、核心特点的讲解完整性、准确性、</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度综合打分：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1.产品特征、功能要素介绍表述清晰、准确、</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，完整覆盖产品核心功能、核心特点及核心优势，可高效、直观传达产品核心价值，无错误、无遗漏。</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2.产品特征、功能要素表述完整，整体可传达产品核心功能与特点，仅存在少量非核心内容表述不足，不影响评委对产品核心性能的判定。</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.产品功能及特征介绍存在明显缺失，核心要素讲解笼统、不完整，无法有效、全面传达产品核心功能和特点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未进行任何产品功能介绍、介绍内容存在关键错误，或未提供有效演示视频。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（二）产品操作展示（4分）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重点评审产品实操完整性、流畅性、直观性，核心演示内容包含但不限于：设备启动打开、核心功能实操展示、设备关闭停机、产品创新功能（如有）、基础操作流程等，组合包需完整演示包内所有产品全套操作流程：</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1.产品全流程功能操作演示流畅、直观、通俗易懂，完整覆盖全部核心操作环节，全面、清晰展示产品完整功能及标准操作流程，无缺项、无失误。</w:t>
            </w:r>
            <w:r>
              <w:rPr>
                <w:rFonts w:hint="eastAsia" w:ascii="宋体" w:hAnsi="宋体" w:eastAsia="宋体" w:cs="宋体"/>
                <w:color w:val="000000"/>
                <w:sz w:val="24"/>
                <w:szCs w:val="24"/>
                <w:highlight w:val="none"/>
              </w:rPr>
              <w:t xml:space="preserve">得4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2.产品整体操作演示流畅规范，仅存在少量非核心操作环节漏项或细节瑕疵，不影响产品整体功能展示与正常使用。</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3.产品操作演示不连贯、不规范，核心操作存在缺项，无法完整、清晰展示产品具体功能及标准操作流程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未开展产品实操演示、核心功能无法正常操作展示，或未提供有效演示视频。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（三）产品布局设计（3分）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结合实战应用场景，根据产品整体结构布局、实操适配性、使用便捷性、作业效率提升效果综合评审：</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1.产品整体布局设计贴合实战应用场景，结构合理、设计人性化，可有效提升实操效率、优化使用体验，无设计缺陷。</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2.产品布局设计基本贴合实战需求，存在少量非关键性设计瑕疵，不影响产品正常操作使用与实战作业效果。</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3.产品布局设计存在明显缺陷，对实操便捷性、作业效率造成负面影响，一定程度影响正常操作使用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布局设计存在重大缺陷，无法适配实战场景、无法正常使用，或未提供有效演示视频。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637" w:type="dxa"/>
            <w:vAlign w:val="center"/>
            <w:vMerge w:val="restart"/>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服务方案</w:t>
            </w:r>
            <w:r/>
          </w:p>
        </w:tc>
        <w:tc>
          <w:tcPr>
            <w:tcW w:w="6113" w:type="dxa"/>
            <w:vAlign w:val="center"/>
            <w:textDirection w:val="lrTb"/>
            <w:noWrap w:val="false"/>
          </w:tcPr>
          <w:p>
            <w:pPr>
              <w:spacing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一、</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售后服务方案 </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spacing w:line="360" w:lineRule="exact"/>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（3）经评委认定，投标文件对“售后服务方案”中“售后服务范围”、“售后服务点设置”、“售后服务人员配备”、“拟投入的设施设备及车辆配备”、“售后服务响应时间”、“售后服务承诺”六</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“售后服务范围”、“售后服务点设置”、“售后服务人员配备”、“拟投入的设施设备及车辆配备”、“售后服务响应时间”、“售后服务承诺”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577"/>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4.2</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二、保修方案 </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ind w:left="63"/>
              <w:pageBreakBefore w:val="0"/>
              <w:spacing w:beforeAutospacing="0" w:afterAutospacing="0" w:line="360" w:lineRule="exact"/>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（3）经评委认定，投标文件对“保修方案”中“保修范围”、“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996"/>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4.3</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三、保修期外维保 </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110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4.4</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numPr>
                <w:ilvl w:val="0"/>
                <w:numId w:val="0"/>
              </w:num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四、</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技术培训方案</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”中“培训内容与课程体系”、“培训方式与方法”、“培训计划时间”、“培训对象”、“培训师资配备与团队”五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“培训内容与课程体系”、“培训方式与方法”、“培训计划时间”、“培训对象”、“培训师资配备与团队”</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r>
      <w:tr>
        <w:trPr>
          <w:jc w:val="center"/>
          <w:trHeight w:val="3438"/>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numPr>
                <w:ilvl w:val="0"/>
                <w:numId w:val="0"/>
              </w:numPr>
              <w:ind w:left="0"/>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五、供货方案</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”中“供货计划与生产、备货周期”、“产品配送与物流保障”、“安装调试流程与技术标准”、“进度管控与风险预案”、“验收交付与资料移交”五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“供货计划与生产、备货周期”、“产品配送与物流保障”、“安装调试流程与技术标准”、“进度管控与风险预案”、“验收交付与资料移交”</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r>
      <w:tr>
        <w:trPr>
          <w:jc w:val="center"/>
          <w:trHeight w:val="1517"/>
        </w:trPr>
        <w:tc>
          <w:tcPr>
            <w:tcW w:w="557" w:type="dxa"/>
            <w:vAlign w:val="center"/>
            <w:textDirection w:val="lrTb"/>
            <w:noWrap w:val="false"/>
          </w:tcPr>
          <w:p>
            <w:pPr>
              <w:jc w:val="center"/>
              <w:pageBreakBefore w:val="0"/>
              <w:spacing w:beforeAutospacing="0" w:afterAutospacing="0"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4.6</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0"/>
              <w:pageBreakBefore w:val="0"/>
              <w:spacing w:beforeAutospacing="0" w:afterAutospacing="0"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六、应急措施</w:t>
            </w:r>
            <w:r/>
          </w:p>
          <w:p>
            <w:pPr>
              <w:ind w:left="63"/>
              <w:jc w:val="left"/>
              <w:pageBreakBefore w:val="0"/>
              <w:spacing w:beforeAutospacing="0" w:afterAutospacing="0" w:line="360" w:lineRule="exact"/>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招标文件第四章“</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”中“应急措施</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投标文件未符合“应急措施”中全部条款要求的，视为不符合招标文件，本项得0分。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文件符合“应急措施”中全部条款要求的，视为符合招标文件，本项得</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sz w:val="24"/>
                <w:szCs w:val="24"/>
              </w:rPr>
            </w:pP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”中“应急组织体系与预防预警机制”、“应急</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响应分级与处置流程”、“应急技术支撑与抢修方案”、“应急物资与备件储备”、“</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应急保障人员配备与值守制度</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“应急组织体系与预防预警机制”、“应急响应分级与处置流程”、“应急技术支撑与抢修方案”、“应急物资与备件储备”、“</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应急保障人员配备与值守制度</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3</w:t>
            </w:r>
            <w:r/>
          </w:p>
        </w:tc>
      </w:tr>
      <w:tr>
        <w:trPr>
          <w:jc w:val="center"/>
          <w:trHeight w:val="1517"/>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7</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 xml:space="preserve">七</w:t>
            </w:r>
            <w:r>
              <w:rPr>
                <w:rFonts w:hint="default" w:ascii="Times New Roman" w:hAnsi="Times New Roman" w:eastAsia="宋体" w:cs="Times New Roman"/>
                <w:b/>
                <w:bCs/>
                <w:sz w:val="24"/>
                <w:szCs w:val="24"/>
              </w:rPr>
              <w:t xml:space="preserve">、质保期 </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根据投标人针对本项目供货产品的质保期进行综合比较后评分：</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投标人所投产品质保期响应招标文</w:t>
            </w:r>
            <w:r>
              <w:rPr>
                <w:rFonts w:hint="default" w:ascii="Times New Roman" w:hAnsi="Times New Roman" w:eastAsia="宋体" w:cs="Times New Roman"/>
                <w:sz w:val="24"/>
                <w:szCs w:val="24"/>
                <w:highlight w:val="none"/>
              </w:rPr>
              <w:t xml:space="preserve">件最低要求基础上（三年），每增加一年加0.5分，最高得1分。未提供者不得分。（投标文件需提供加盖投标人公章的质保期承诺书</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前后不一致以承诺书为准</w:t>
            </w:r>
            <w:r>
              <w:rPr>
                <w:rFonts w:hint="default" w:ascii="Times New Roman" w:hAnsi="Times New Roman" w:eastAsia="宋体" w:cs="Times New Roman"/>
                <w:sz w:val="24"/>
                <w:szCs w:val="24"/>
                <w:highlight w:val="none"/>
              </w:rPr>
              <w:t xml:space="preserve">）。</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6113" w:type="dxa"/>
            <w:vAlign w:val="center"/>
            <w:textDirection w:val="lrTb"/>
            <w:noWrap w:val="false"/>
          </w:tcPr>
          <w:p>
            <w:pPr>
              <w:keepLines w:val="0"/>
              <w:keepNext w:val="0"/>
              <w:pageBreakBefore w:val="0"/>
              <w:spacing w:beforeAutospacing="0" w:afterAutospacing="0"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所投产品的投标人或产品制造商（必须与投标文件中产品型号一致）</w:t>
            </w:r>
            <w:r>
              <w:rPr>
                <w:rFonts w:hint="default" w:ascii="Times New Roman" w:hAnsi="Times New Roman" w:eastAsia="宋体" w:cs="Times New Roman"/>
                <w:sz w:val="24"/>
                <w:szCs w:val="24"/>
                <w:lang w:val="en-US" w:eastAsia="zh-CN"/>
              </w:rPr>
              <w:t xml:space="preserve">2021年</w:t>
            </w:r>
            <w:r>
              <w:rPr>
                <w:rFonts w:hint="default" w:ascii="Times New Roman" w:hAnsi="Times New Roman" w:cs="Times New Roman"/>
                <w:sz w:val="24"/>
                <w:szCs w:val="24"/>
                <w:lang w:val="en-US" w:eastAsia="zh-CN"/>
              </w:rPr>
              <w:t xml:space="preserve">6</w:t>
            </w:r>
            <w:r>
              <w:rPr>
                <w:rFonts w:hint="default" w:ascii="Times New Roman" w:hAnsi="Times New Roman" w:eastAsia="宋体" w:cs="Times New Roman"/>
                <w:sz w:val="24"/>
                <w:szCs w:val="24"/>
                <w:lang w:val="en-US" w:eastAsia="zh-CN"/>
              </w:rPr>
              <w:t xml:space="preserve">月1日</w:t>
            </w:r>
            <w:r>
              <w:rPr>
                <w:rFonts w:hint="default" w:ascii="Times New Roman" w:hAnsi="Times New Roman" w:eastAsia="宋体" w:cs="Times New Roman"/>
                <w:sz w:val="24"/>
                <w:szCs w:val="24"/>
              </w:rPr>
              <w:t xml:space="preserve">以来有销售业绩的（非单一产品包为核心产品）。每提供一份有效业绩证明材料得1分，最多得5分。</w:t>
            </w:r>
            <w:r/>
          </w:p>
          <w:p>
            <w:pPr>
              <w:pageBreakBefore w:val="0"/>
              <w:spacing w:beforeAutospacing="0" w:afterAutospacing="0"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注：</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①业绩证明材料需同时提供合同和验收证明复印件加盖</w:t>
            </w:r>
            <w:r>
              <w:rPr>
                <w:rFonts w:hint="default" w:ascii="Times New Roman" w:hAnsi="Times New Roman" w:eastAsia="宋体" w:cs="Times New Roman"/>
                <w:sz w:val="24"/>
                <w:szCs w:val="24"/>
                <w:lang w:val="en-US" w:eastAsia="zh-CN"/>
              </w:rPr>
              <w:t xml:space="preserve">投标单位</w:t>
            </w:r>
            <w:r>
              <w:rPr>
                <w:rFonts w:hint="default" w:ascii="Times New Roman" w:hAnsi="Times New Roman" w:eastAsia="宋体" w:cs="Times New Roman"/>
                <w:sz w:val="24"/>
                <w:szCs w:val="24"/>
              </w:rPr>
              <w:t xml:space="preserve">公章，合同须能体现签订单</w:t>
            </w:r>
            <w:r>
              <w:rPr>
                <w:rFonts w:hint="default" w:ascii="Times New Roman" w:hAnsi="Times New Roman" w:eastAsia="宋体" w:cs="Times New Roman"/>
                <w:sz w:val="24"/>
                <w:szCs w:val="24"/>
                <w:highlight w:val="none"/>
              </w:rPr>
              <w:t xml:space="preserve">位信息、签订时间、产品名称、型号、价格等相关信息，否则视为无效合同</w:t>
            </w:r>
            <w:r>
              <w:rPr>
                <w:rFonts w:hint="default" w:ascii="Times New Roman" w:hAnsi="Times New Roman" w:eastAsia="宋体" w:cs="Times New Roman"/>
                <w:sz w:val="24"/>
                <w:szCs w:val="24"/>
                <w:highlight w:val="none"/>
                <w:lang w:eastAsia="zh-CN"/>
              </w:rPr>
              <w:t xml:space="preserve">。</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②统招分签的合同按一个合同业绩计。</w:t>
            </w:r>
            <w:r>
              <w:rPr>
                <w:rFonts w:hint="default" w:ascii="Times New Roman" w:hAnsi="Times New Roman" w:eastAsia="宋体" w:cs="Times New Roman"/>
                <w:sz w:val="24"/>
                <w:szCs w:val="24"/>
              </w:rPr>
              <w:t xml:space="preserve">【多个合同项目名称一致的，均按一个合同计】</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③合同中的产品名称及产品型号请加以明显标记，以方便评审和核对。</w:t>
            </w:r>
            <w:r/>
          </w:p>
          <w:p>
            <w:pPr>
              <w:ind w:left="63"/>
              <w:pageBreakBefore w:val="0"/>
              <w:spacing w:beforeAutospacing="0" w:afterAutospacing="0" w:line="360" w:lineRule="exact"/>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rPr>
              <w:t xml:space="preserve">④合同评审中的重要信息因存在内容模糊、无法辨认而产生不利于该项评审的情况，投标人自行承担后果。</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r>
      <w:tr>
        <w:trPr>
          <w:jc w:val="center"/>
        </w:trPr>
        <w:tc>
          <w:tcPr>
            <w:gridSpan w:val="2"/>
            <w:tcW w:w="2194"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6113"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分值合计</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r>
    </w:tbl>
    <w:p>
      <w:pPr>
        <w:pageBreakBefore w:val="0"/>
        <w:spacing w:beforeAutospacing="0" w:afterAutospacing="0"/>
        <w:rPr>
          <w:rFonts w:hint="eastAsia"/>
        </w:rPr>
      </w:pPr>
      <w:r>
        <w:rPr>
          <w:rFonts w:hint="eastAsia"/>
        </w:rPr>
      </w:r>
      <w:r/>
    </w:p>
    <w:p>
      <w:pPr>
        <w:pStyle w:val="959"/>
        <w:ind w:left="0" w:right="0" w:firstLine="0"/>
        <w:keepLines w:val="0"/>
        <w:keepNext w:val="0"/>
        <w:pageBreakBefore w:val="0"/>
        <w:spacing w:before="0" w:beforeAutospacing="0" w:after="0" w:afterAutospacing="0" w:line="0" w:lineRule="atLeast"/>
        <w:widowControl/>
        <w:rPr>
          <w:rFonts w:hint="eastAsia"/>
          <w:lang w:val="en-US" w:eastAsia="zh-CN"/>
        </w:rPr>
        <w:suppressLineNumbers w:val="0"/>
      </w:pPr>
      <w:r>
        <w:rPr>
          <w:rFonts w:hint="eastAsia"/>
          <w:lang w:val="en-US" w:eastAsia="zh-CN"/>
        </w:rPr>
        <w:t xml:space="preserve">分包号4：</w:t>
      </w:r>
      <w:r/>
    </w:p>
    <w:tbl>
      <w:tblPr>
        <w:tblStyle w:val="719"/>
        <w:tblpPr w:horzAnchor="text" w:tblpXSpec="center" w:vertAnchor="text" w:tblpY="1" w:leftFromText="180" w:topFromText="0" w:rightFromText="180" w:bottomFromText="0"/>
        <w:tblW w:w="892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637"/>
        <w:gridCol w:w="6113"/>
        <w:gridCol w:w="616"/>
      </w:tblGrid>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序号</w:t>
            </w:r>
            <w:r/>
          </w:p>
        </w:tc>
        <w:tc>
          <w:tcPr>
            <w:tcW w:w="163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评分因素</w:t>
            </w:r>
            <w:r/>
          </w:p>
        </w:tc>
        <w:tc>
          <w:tcPr>
            <w:tcW w:w="6113"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评审标准</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分值</w:t>
            </w:r>
            <w:r/>
          </w:p>
        </w:tc>
      </w:tr>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tcW w:w="163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价格</w:t>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采用低价优先法计算，即满足招标文件要求且投标价格最低的投标报价为评标基准价，其价格分为满分30分。</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其他投标人的价格分统一按照下列公式计算:投标报价得分=(评标基准价/投标报价)×30（小数点保留两位）</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w:t>
            </w:r>
            <w:r/>
          </w:p>
        </w:tc>
      </w:tr>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tcW w:w="163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技术响应</w:t>
            </w:r>
            <w:r/>
          </w:p>
        </w:tc>
        <w:tc>
          <w:tcPr>
            <w:tcW w:w="6113" w:type="dxa"/>
            <w:vAlign w:val="center"/>
            <w:textDirection w:val="lrTb"/>
            <w:noWrap w:val="false"/>
          </w:tcPr>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 </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（3）非单一产品包及套装组合包评审时，就包内所有产品的参数响应按照上述评分规则累计评审。</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所投产品所有技术条款完全响应招标文件要求的得28分；本项最低分0分，最高分28分。</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标记“▲”为重要技术条款，重要技术条款</w:t>
            </w:r>
            <w:r>
              <w:rPr>
                <w:rFonts w:hint="default" w:ascii="Times New Roman" w:hAnsi="Times New Roman" w:eastAsia="宋体" w:cs="Times New Roman"/>
                <w:sz w:val="24"/>
                <w:szCs w:val="24"/>
                <w:lang w:val="en-US" w:eastAsia="zh-CN"/>
              </w:rPr>
              <w:t xml:space="preserve">不响应的，每条扣</w:t>
            </w:r>
            <w:r>
              <w:rPr>
                <w:rFonts w:hint="default"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分</w:t>
            </w:r>
            <w:r>
              <w:rPr>
                <w:rFonts w:hint="default" w:ascii="Times New Roman" w:hAnsi="Times New Roman" w:eastAsia="宋体" w:cs="Times New Roman"/>
                <w:sz w:val="24"/>
                <w:szCs w:val="24"/>
              </w:rPr>
              <w:t xml:space="preserve">。</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无标记为一般技术条款，一般技术条款</w:t>
            </w:r>
            <w:r>
              <w:rPr>
                <w:rFonts w:hint="default" w:ascii="Times New Roman" w:hAnsi="Times New Roman" w:eastAsia="宋体" w:cs="Times New Roman"/>
                <w:sz w:val="24"/>
                <w:szCs w:val="24"/>
                <w:lang w:val="en-US" w:eastAsia="zh-CN"/>
              </w:rPr>
              <w:t xml:space="preserve">不响应的，每条扣</w:t>
            </w:r>
            <w:r>
              <w:rPr>
                <w:rFonts w:hint="default" w:ascii="Times New Roman" w:hAnsi="Times New Roman" w:cs="Times New Roman"/>
                <w:sz w:val="24"/>
                <w:szCs w:val="24"/>
                <w:lang w:val="en-US" w:eastAsia="zh-CN"/>
              </w:rPr>
              <w:t xml:space="preserve">0.8</w:t>
            </w:r>
            <w:r>
              <w:rPr>
                <w:rFonts w:hint="default" w:ascii="Times New Roman" w:hAnsi="Times New Roman" w:eastAsia="宋体" w:cs="Times New Roman"/>
                <w:sz w:val="24"/>
                <w:szCs w:val="24"/>
                <w:lang w:val="en-US" w:eastAsia="zh-CN"/>
              </w:rPr>
              <w:t xml:space="preserve">分</w:t>
            </w:r>
            <w:r>
              <w:rPr>
                <w:rFonts w:hint="default" w:ascii="Times New Roman" w:hAnsi="Times New Roman" w:eastAsia="宋体" w:cs="Times New Roman"/>
                <w:sz w:val="24"/>
                <w:szCs w:val="24"/>
              </w:rPr>
              <w:t xml:space="preserve">。</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6、注：①凡标有最低一级序号的指标项即为一项技术条款，无论是否隶属于上一级编号；</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除特别说明外，采购文件中标注“▲”的条款需要在投标文件内提供技</w:t>
            </w:r>
            <w:r>
              <w:rPr>
                <w:rFonts w:hint="default" w:ascii="Times New Roman" w:hAnsi="Times New Roman" w:eastAsia="宋体" w:cs="Times New Roman"/>
                <w:sz w:val="24"/>
                <w:szCs w:val="24"/>
              </w:rPr>
              <w:t xml:space="preserve">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28</w:t>
            </w:r>
            <w:r/>
          </w:p>
        </w:tc>
      </w:tr>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3</w:t>
            </w:r>
            <w:r/>
          </w:p>
        </w:tc>
        <w:tc>
          <w:tcPr>
            <w:tcW w:w="163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样品</w:t>
            </w:r>
            <w:r>
              <w:rPr>
                <w:rFonts w:hint="default" w:ascii="Times New Roman" w:hAnsi="Times New Roman" w:cs="Times New Roman"/>
                <w:sz w:val="24"/>
                <w:szCs w:val="24"/>
                <w:lang w:val="en-US" w:eastAsia="zh-CN"/>
              </w:rPr>
              <w:t xml:space="preserve">演示视频</w:t>
            </w:r>
            <w:r/>
          </w:p>
        </w:tc>
        <w:tc>
          <w:tcPr>
            <w:tcW w:w="6113" w:type="dxa"/>
            <w:vAlign w:val="center"/>
            <w:textDirection w:val="lrTb"/>
            <w:noWrap w:val="false"/>
          </w:tcPr>
          <w:p>
            <w:pPr>
              <w:ind w:left="63" w:firstLine="0"/>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样品视频演示需包含本包别内所有产品。样品统一采用视频一镜到底演示评审方式（如本包内涉及多个产品，需连续不间断演示），视频演示评审总分10分，无视频、视频无法播放、视频违规、未按要求演示均按规则扣分或计0分。</w:t>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一、视频演示通用要求</w:t>
            </w:r>
            <w:r/>
          </w:p>
          <w:p>
            <w:pPr>
              <w:ind w:left="63" w:firstLine="0"/>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为规范评审标准、保障评标公平公正，所有投标人须严格遵守以下视频录制及演示要求，违反任意一条视为演示无效，样品视频演示项得0分：</w:t>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 录制规范：视频为全程连续、一镜到底、无剪辑、无拼接、无后期特效的真实场景实拍，画面清晰、声音可辨、产品实物完整出镜，严禁人工修改、配音替换、画面删减等违规操作。</w:t>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 时长要求：视频总时长严格控制在5分钟以内，超时视为无效视频，本项不得分。</w:t>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 演示形式：仅接受实物录制视频演示，不接受动画、PPT轮播、图片合集、线上实时演示等其他任何演示方式。</w:t>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4. 包别专项要求：多产品组合包须按产品类别依次完整演示包内所有投标产品，不得遗漏任一产品；单一产品包仅需演示对应投标单品，未按本要求完整演示的，视为演示缺项，样品视频演示项得0分。</w:t>
            </w:r>
            <w:r/>
          </w:p>
          <w:p>
            <w:pPr>
              <w:ind w:left="63" w:firstLine="0"/>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5. 视频格式与责任归属：视频录制格式</w:t>
            </w:r>
            <w:r>
              <w:rPr>
                <w:rFonts w:hint="default" w:ascii="Times New Roman" w:hAnsi="Times New Roman" w:cs="Times New Roman"/>
                <w:color w:val="000000"/>
                <w:sz w:val="24"/>
                <w:szCs w:val="24"/>
                <w:highlight w:val="none"/>
                <w:lang w:val="en-US" w:eastAsia="zh-CN"/>
              </w:rPr>
              <w:t xml:space="preserve">可</w:t>
            </w:r>
            <w:r>
              <w:rPr>
                <w:rFonts w:hint="default" w:ascii="Times New Roman" w:hAnsi="Times New Roman" w:eastAsia="宋体" w:cs="Times New Roman"/>
                <w:color w:val="000000"/>
                <w:sz w:val="24"/>
                <w:szCs w:val="24"/>
                <w:highlight w:val="none"/>
              </w:rPr>
              <w:t xml:space="preserve">采用MP4、AVI、MOV、</w:t>
            </w:r>
            <w:r>
              <w:rPr>
                <w:rFonts w:hint="default" w:ascii="Times New Roman" w:hAnsi="Times New Roman" w:eastAsia="宋体" w:cs="Times New Roman"/>
                <w:sz w:val="24"/>
                <w:szCs w:val="24"/>
              </w:rPr>
              <w:t xml:space="preserve">MKV</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WMV或</w:t>
            </w:r>
            <w:r>
              <w:rPr>
                <w:rFonts w:hint="default" w:ascii="Times New Roman" w:hAnsi="Times New Roman" w:eastAsia="宋体" w:cs="Times New Roman"/>
                <w:color w:val="000000"/>
                <w:sz w:val="24"/>
                <w:szCs w:val="24"/>
                <w:highlight w:val="none"/>
              </w:rPr>
              <w:t xml:space="preserve">AVCHD格式</w:t>
            </w:r>
            <w:r>
              <w:rPr>
                <w:rFonts w:hint="default" w:ascii="Times New Roman" w:hAnsi="Times New Roman" w:cs="Times New Roman"/>
                <w:color w:val="000000"/>
                <w:sz w:val="24"/>
                <w:szCs w:val="24"/>
                <w:highlight w:val="none"/>
                <w:lang w:val="en-US" w:eastAsia="zh-CN"/>
              </w:rPr>
              <w:t xml:space="preserve">中的任意一种，</w:t>
            </w:r>
            <w:r>
              <w:rPr>
                <w:rFonts w:hint="default" w:ascii="Times New Roman" w:hAnsi="Times New Roman" w:eastAsia="宋体" w:cs="Times New Roman"/>
                <w:color w:val="000000"/>
                <w:sz w:val="24"/>
                <w:szCs w:val="24"/>
                <w:highlight w:val="none"/>
              </w:rPr>
              <w:t xml:space="preserve">由投标人自行选择，投标人须提前自检视频完整性、兼容性。凡因投标人自身原因（包括但不限于视频格式不兼容、文件损坏、视频加密、缺失播放插件、文件上传错误等）导致视频无法正常播放、无法识别、无法完整查看的，一律视为未提供有效视频，样品视频演示项得0分，相关责任由投标人自行承担。</w:t>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二、视频演示评分标准（总分10分）</w:t>
            </w:r>
            <w:r/>
          </w:p>
          <w:p>
            <w:pPr>
              <w:ind w:left="63" w:firstLine="0"/>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评标委员会根据投标人演示视频内容，从产品整体功能介绍、产品操作展示、产品布局设计三个维度进行综合评审。</w:t>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（一）产品整体功能介绍（3分）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根据视频中产品特征、功能要素、核心特点的讲解完整性、准确性、</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度综合打分：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1.产品特征、功能要素介绍表述清晰、准确、</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，完整覆盖产品核心功能、核心特点及核心优势，可高效、直观传达产品核心价值，无错误、无遗漏。</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2.产品特征、功能要素表述完整，整体可传达产品核心功能与特点，仅存在少量非核心内容表述不足，不影响评委对产品核心性能的判定。</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.产品功能及特征介绍存在明显缺失，核心要素讲解笼统、不完整，无法有效、全面传达产品核心功能和特点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未进行任何产品功能介绍、介绍内容存在关键错误，或未提供有效演示视频。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（二）产品操作展示（4分）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重点评审产品实操完整性、流畅性、直观性，核心演示内容包含但不限于：设备启动打开、核心功能实操展示、设备关闭停机、产品创新功能（如有）、基础操作流程等，组合包需完整演示包内所有产品全套操作流程：</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1.产品全流程功能操作演示流畅、直观、通俗易懂，完整覆盖全部核心操作环节，全面、清晰展示产品完整功能及标准操作流程，无缺项、无失误。</w:t>
            </w:r>
            <w:r>
              <w:rPr>
                <w:rFonts w:hint="eastAsia" w:ascii="宋体" w:hAnsi="宋体" w:eastAsia="宋体" w:cs="宋体"/>
                <w:color w:val="000000"/>
                <w:sz w:val="24"/>
                <w:szCs w:val="24"/>
                <w:highlight w:val="none"/>
              </w:rPr>
              <w:t xml:space="preserve">得4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2.产品整体操作演示流畅规范，仅存在少量非核心操作环节漏项或细节瑕疵，不影响产品整体功能展示与正常使用。</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3.产品操作演示不连贯、不规范，核心操作存在缺项，无法完整、清晰展示产品具体功能及标准操作流程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未开展产品实操演示、核心功能无法正常操作展示，或未提供有效演示视频。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（三）产品布局设计（3分）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结合实战应用场景，根据产品整体结构布局、实操适配性、使用便捷性、作业效率提升效果综合评审：</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1.产品整体布局设计贴合实战应用场景，结构合理、设计人性化，可有效提升实操效率、优化使用体验，无设计缺陷。</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2.产品布局设计基本贴合实战需求，存在少量非关键性设计瑕疵，不影响产品正常操作使用与实战作业效果。</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sz w:val="24"/>
                <w:szCs w:val="24"/>
              </w:rPr>
            </w:pPr>
            <w:r>
              <w:rPr>
                <w:rFonts w:hint="eastAsia" w:ascii="宋体" w:hAnsi="宋体" w:eastAsia="宋体" w:cs="宋体"/>
                <w:color w:val="000000"/>
                <w:sz w:val="24"/>
                <w:szCs w:val="24"/>
                <w:highlight w:val="none"/>
              </w:rPr>
              <w:t xml:space="preserve">3.产品布局设计存在明显缺陷，对实操便捷性、作业效率造成负面影响，一定程度影响正常操作使用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布局设计存在重大缺陷，无法适配实战场景、无法正常使用，或未提供有效演示视频。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default" w:ascii="Times New Roman" w:hAnsi="Times New Roman" w:eastAsia="宋体" w:cs="Times New Roman"/>
                <w:color w:val="000000"/>
                <w:sz w:val="24"/>
                <w:szCs w:val="24"/>
                <w:highlight w:val="none"/>
              </w:rPr>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0</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4.1</w:t>
            </w:r>
            <w:r/>
          </w:p>
        </w:tc>
        <w:tc>
          <w:tcPr>
            <w:tcW w:w="1637" w:type="dxa"/>
            <w:vAlign w:val="center"/>
            <w:vMerge w:val="restart"/>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服务方案</w:t>
            </w:r>
            <w:r/>
          </w:p>
        </w:tc>
        <w:tc>
          <w:tcPr>
            <w:tcW w:w="611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一、</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售后服务方案 </w:t>
            </w:r>
            <w:r/>
          </w:p>
          <w:p>
            <w:pPr>
              <w:jc w:val="both"/>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jc w:val="both"/>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jc w:val="both"/>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keepLines w:val="0"/>
              <w:keepNext w:val="0"/>
              <w:pageBreakBefore w:val="0"/>
              <w:spacing w:line="360" w:lineRule="exact"/>
              <w:widowControl w:val="off"/>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（3）经评委认定，投标文件对“售后服务方案”中“售后服务范围”、“售后服务点设置”、“售后服务人员配备”、“拟投入的设施设备及车辆配备”、“售后服务响应时间”、“售后服务承诺”六</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“售后服务范围”、“售后服务点设置”、“售后服务人员配备”、“拟投入的设施设备及车辆配备”、“售后服务响应时间”、“售后服务承诺”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5</w:t>
            </w:r>
            <w:r/>
          </w:p>
        </w:tc>
      </w:tr>
      <w:tr>
        <w:trPr>
          <w:jc w:val="center"/>
          <w:trHeight w:val="577"/>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4.2</w:t>
            </w:r>
            <w:r/>
          </w:p>
        </w:tc>
        <w:tc>
          <w:tcPr>
            <w:tcW w:w="1637" w:type="dxa"/>
            <w:vAlign w:val="center"/>
            <w:vMerge w:val="continue"/>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6113" w:type="dxa"/>
            <w:vAlign w:val="center"/>
            <w:textDirection w:val="lrTb"/>
            <w:noWrap w:val="false"/>
          </w:tcPr>
          <w:p>
            <w:pPr>
              <w:ind w:left="63"/>
              <w:keepLines w:val="0"/>
              <w:keepNext w:val="0"/>
              <w:pageBreakBefore w:val="0"/>
              <w:spacing w:beforeAutospacing="0" w:afterAutospacing="0" w:line="360" w:lineRule="exact"/>
              <w:widowControl w:val="off"/>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二、保修方案 </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（3）经评委认定，投标文件对“保修方案”中“保修范围”、“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5</w:t>
            </w:r>
            <w:r/>
          </w:p>
        </w:tc>
      </w:tr>
      <w:tr>
        <w:trPr>
          <w:jc w:val="center"/>
          <w:trHeight w:val="3438"/>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4.3</w:t>
            </w:r>
            <w:r/>
          </w:p>
        </w:tc>
        <w:tc>
          <w:tcPr>
            <w:tcW w:w="1637" w:type="dxa"/>
            <w:vAlign w:val="center"/>
            <w:vMerge w:val="continue"/>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6113" w:type="dxa"/>
            <w:vAlign w:val="center"/>
            <w:textDirection w:val="lrTb"/>
            <w:noWrap w:val="false"/>
          </w:tcPr>
          <w:p>
            <w:pPr>
              <w:ind w:left="63"/>
              <w:keepLines w:val="0"/>
              <w:keepNext w:val="0"/>
              <w:pageBreakBefore w:val="0"/>
              <w:spacing w:beforeAutospacing="0" w:afterAutospacing="0" w:line="360" w:lineRule="exact"/>
              <w:widowControl w:val="off"/>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三、保修期外维保 </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keepLines w:val="0"/>
              <w:keepNext w:val="0"/>
              <w:pageBreakBefore w:val="0"/>
              <w:spacing w:line="360" w:lineRule="exact"/>
              <w:widowControl w:val="off"/>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5</w:t>
            </w:r>
            <w:r/>
          </w:p>
        </w:tc>
      </w:tr>
      <w:tr>
        <w:trPr>
          <w:jc w:val="center"/>
          <w:trHeight w:val="1104"/>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4.4</w:t>
            </w:r>
            <w:r/>
          </w:p>
        </w:tc>
        <w:tc>
          <w:tcPr>
            <w:tcW w:w="1637" w:type="dxa"/>
            <w:vAlign w:val="center"/>
            <w:vMerge w:val="continue"/>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6113" w:type="dxa"/>
            <w:vAlign w:val="center"/>
            <w:textDirection w:val="lrTb"/>
            <w:noWrap w:val="false"/>
          </w:tcPr>
          <w:p>
            <w:pPr>
              <w:numPr>
                <w:ilvl w:val="0"/>
                <w:numId w:val="0"/>
              </w:numPr>
              <w:ind w:left="63"/>
              <w:keepLines w:val="0"/>
              <w:keepNext w:val="0"/>
              <w:pageBreakBefore w:val="0"/>
              <w:spacing w:beforeAutospacing="0" w:afterAutospacing="0" w:line="360" w:lineRule="exact"/>
              <w:widowControl w:val="off"/>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四、</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技术培训方案</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keepLines w:val="0"/>
              <w:keepNext w:val="0"/>
              <w:pageBreakBefore w:val="0"/>
              <w:spacing w:line="36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”中“培训内容与课程体系”、“培训方式与方法”、“培训计划时间”、“培训对象”、“培训师资配备与团队”五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“培训内容与课程体系”、“培训方式与方法”、“培训计划时间”、“培训对象”、“培训师资配备与团队”</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3</w:t>
            </w:r>
            <w:r/>
          </w:p>
        </w:tc>
      </w:tr>
      <w:tr>
        <w:trPr>
          <w:jc w:val="center"/>
          <w:trHeight w:val="3438"/>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4.5</w:t>
            </w:r>
            <w:r/>
          </w:p>
        </w:tc>
        <w:tc>
          <w:tcPr>
            <w:tcW w:w="1637" w:type="dxa"/>
            <w:vAlign w:val="center"/>
            <w:vMerge w:val="continue"/>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6113" w:type="dxa"/>
            <w:vAlign w:val="center"/>
            <w:textDirection w:val="lrTb"/>
            <w:noWrap w:val="false"/>
          </w:tcPr>
          <w:p>
            <w:pPr>
              <w:numPr>
                <w:ilvl w:val="0"/>
                <w:numId w:val="0"/>
              </w:numPr>
              <w:ind w:left="0"/>
              <w:keepLines w:val="0"/>
              <w:keepNext w:val="0"/>
              <w:pageBreakBefore w:val="0"/>
              <w:spacing w:beforeAutospacing="0" w:afterAutospacing="0" w:line="360" w:lineRule="exact"/>
              <w:widowControl w:val="off"/>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五、供货方案</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keepLines w:val="0"/>
              <w:keepNext w:val="0"/>
              <w:pageBreakBefore w:val="0"/>
              <w:spacing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”中“供货计划与生产、备货周期”、“产品配送与物流保障”、“安装调试流程与技术标准”、“进度管控与风险预案”、“验收交付与资料移交”五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“供货计划与生产、备货周期”、“产品配送与物流保障”、“安装调试流程与技术标准”、“进度管控与风险预案”、“验收交付与资料移交”</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外其他要求响应内容符合招标文件要求</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，本项得5分。</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5</w:t>
            </w:r>
            <w:r/>
          </w:p>
        </w:tc>
      </w:tr>
      <w:tr>
        <w:trPr>
          <w:jc w:val="center"/>
          <w:trHeight w:val="398"/>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4.6</w:t>
            </w:r>
            <w:r/>
          </w:p>
        </w:tc>
        <w:tc>
          <w:tcPr>
            <w:tcW w:w="1637" w:type="dxa"/>
            <w:vAlign w:val="center"/>
            <w:vMerge w:val="continue"/>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6113" w:type="dxa"/>
            <w:vAlign w:val="center"/>
            <w:textDirection w:val="lrTb"/>
            <w:noWrap w:val="false"/>
          </w:tcPr>
          <w:p>
            <w:pPr>
              <w:ind w:left="0"/>
              <w:keepLines w:val="0"/>
              <w:keepNext w:val="0"/>
              <w:pageBreakBefore w:val="0"/>
              <w:spacing w:beforeAutospacing="0" w:afterAutospacing="0" w:line="36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六、应急措施</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招标文件第四章“</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”中“应急措施</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投标文件未符合“应急措施”中全部条款要求的，视为不符合招标文件，本项得0分。</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文件符合“应急措施”中全部条款要求的，视为符合招标文件，本项得</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分。</w:t>
            </w:r>
            <w:r/>
          </w:p>
          <w:p>
            <w:pPr>
              <w:pStyle w:val="720"/>
              <w:ind w:left="0"/>
              <w:keepLines w:val="0"/>
              <w:keepNext w:val="0"/>
              <w:pageBreakBefore w:val="0"/>
              <w:spacing w:line="360" w:lineRule="exact"/>
              <w:widowControl w:val="off"/>
              <w:rPr>
                <w:rFonts w:hint="default" w:ascii="Times New Roman" w:hAnsi="Times New Roman" w:eastAsia="宋体" w:cs="Times New Roman"/>
                <w:sz w:val="24"/>
                <w:szCs w:val="24"/>
              </w:rPr>
            </w:pP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”中“应急组织体系与预防预警机制”、“应急</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响应分级与处置流程”、“应急技术支撑与抢修方案”、“应急物资与备件储备”、“</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应急保障人员配备与值守制度</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项要求的响应内容全部优于招标文件要求的</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前提是投标文件对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“应急组织体系与预防预警机制”、“应急响应分级与处置流程”、“应急技术支撑与抢修方案”、“应急物资与备件储备”、“</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应急保障人员配备与值守制度</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外其他要求响应内容符合招标文件要求</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lang w:val="en-US" w:eastAsia="zh-CN"/>
              </w:rPr>
              <w:t xml:space="preserve">3</w:t>
            </w:r>
            <w:r/>
          </w:p>
        </w:tc>
      </w:tr>
      <w:tr>
        <w:trPr>
          <w:jc w:val="center"/>
          <w:trHeight w:val="376"/>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4.</w:t>
            </w:r>
            <w:r>
              <w:rPr>
                <w:rFonts w:hint="default" w:ascii="Times New Roman" w:hAnsi="Times New Roman" w:cs="Times New Roman"/>
                <w:sz w:val="24"/>
                <w:szCs w:val="24"/>
                <w:lang w:val="en-US" w:eastAsia="zh-CN"/>
              </w:rPr>
              <w:t xml:space="preserve">7</w:t>
            </w:r>
            <w:r/>
          </w:p>
        </w:tc>
        <w:tc>
          <w:tcPr>
            <w:tcW w:w="1637" w:type="dxa"/>
            <w:vAlign w:val="center"/>
            <w:vMerge w:val="continue"/>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 xml:space="preserve">七</w:t>
            </w:r>
            <w:r>
              <w:rPr>
                <w:rFonts w:hint="default" w:ascii="Times New Roman" w:hAnsi="Times New Roman" w:eastAsia="宋体" w:cs="Times New Roman"/>
                <w:b/>
                <w:bCs/>
                <w:sz w:val="24"/>
                <w:szCs w:val="24"/>
              </w:rPr>
              <w:t xml:space="preserve">、质保期 </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根据投标人针对本项目供货产品的质保期进行综合比较后评分：</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投标人所投产品质保期响应招标文</w:t>
            </w:r>
            <w:r>
              <w:rPr>
                <w:rFonts w:hint="default" w:ascii="Times New Roman" w:hAnsi="Times New Roman" w:eastAsia="宋体" w:cs="Times New Roman"/>
                <w:sz w:val="24"/>
                <w:szCs w:val="24"/>
                <w:highlight w:val="none"/>
              </w:rPr>
              <w:t xml:space="preserve">件最低要求基础上（三年），每增加一年加0.5分，最高得1分。未提供者不得分。（投标文件需提供加盖投标人公章的质保期承诺书</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前后不一致以承诺书为准</w:t>
            </w:r>
            <w:r>
              <w:rPr>
                <w:rFonts w:hint="default" w:ascii="Times New Roman" w:hAnsi="Times New Roman" w:eastAsia="宋体" w:cs="Times New Roman"/>
                <w:sz w:val="24"/>
                <w:szCs w:val="24"/>
                <w:highlight w:val="none"/>
              </w:rPr>
              <w:t xml:space="preserve">）。</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W w:w="163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业绩</w:t>
            </w:r>
            <w:r/>
          </w:p>
        </w:tc>
        <w:tc>
          <w:tcPr>
            <w:tcW w:w="6113" w:type="dxa"/>
            <w:vAlign w:val="center"/>
            <w:textDirection w:val="lrTb"/>
            <w:noWrap w:val="false"/>
          </w:tcPr>
          <w:p>
            <w:pPr>
              <w:keepLines w:val="0"/>
              <w:keepNext w:val="0"/>
              <w:pageBreakBefore w:val="0"/>
              <w:spacing w:beforeAutospacing="0" w:afterAutospacing="0"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所投产品的投标人或产品制造商（必须与投标文件中产品型号一致）</w:t>
            </w:r>
            <w:r>
              <w:rPr>
                <w:rFonts w:hint="default" w:ascii="Times New Roman" w:hAnsi="Times New Roman" w:eastAsia="宋体" w:cs="Times New Roman"/>
                <w:sz w:val="24"/>
                <w:szCs w:val="24"/>
                <w:lang w:val="en-US" w:eastAsia="zh-CN"/>
              </w:rPr>
              <w:t xml:space="preserve">2021年</w:t>
            </w:r>
            <w:r>
              <w:rPr>
                <w:rFonts w:hint="default" w:ascii="Times New Roman" w:hAnsi="Times New Roman" w:cs="Times New Roman"/>
                <w:sz w:val="24"/>
                <w:szCs w:val="24"/>
                <w:lang w:val="en-US" w:eastAsia="zh-CN"/>
              </w:rPr>
              <w:t xml:space="preserve">6</w:t>
            </w:r>
            <w:r>
              <w:rPr>
                <w:rFonts w:hint="default" w:ascii="Times New Roman" w:hAnsi="Times New Roman" w:eastAsia="宋体" w:cs="Times New Roman"/>
                <w:sz w:val="24"/>
                <w:szCs w:val="24"/>
                <w:lang w:val="en-US" w:eastAsia="zh-CN"/>
              </w:rPr>
              <w:t xml:space="preserve">月1日</w:t>
            </w:r>
            <w:r>
              <w:rPr>
                <w:rFonts w:hint="default" w:ascii="Times New Roman" w:hAnsi="Times New Roman" w:eastAsia="宋体" w:cs="Times New Roman"/>
                <w:sz w:val="24"/>
                <w:szCs w:val="24"/>
              </w:rPr>
              <w:t xml:space="preserve">以来有销售业绩的（非单一产品包为核心产品）。每提供一份有效业绩证明材料得1分，最多得5分。</w:t>
            </w:r>
            <w:r/>
          </w:p>
          <w:p>
            <w:pPr>
              <w:pageBreakBefore w:val="0"/>
              <w:spacing w:beforeAutospacing="0" w:afterAutospacing="0"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注：</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①业绩证明材料需同时提供合同和验收证明复印件加盖</w:t>
            </w:r>
            <w:r>
              <w:rPr>
                <w:rFonts w:hint="default" w:ascii="Times New Roman" w:hAnsi="Times New Roman" w:eastAsia="宋体" w:cs="Times New Roman"/>
                <w:sz w:val="24"/>
                <w:szCs w:val="24"/>
                <w:lang w:val="en-US" w:eastAsia="zh-CN"/>
              </w:rPr>
              <w:t xml:space="preserve">投标单位</w:t>
            </w:r>
            <w:r>
              <w:rPr>
                <w:rFonts w:hint="default" w:ascii="Times New Roman" w:hAnsi="Times New Roman" w:eastAsia="宋体" w:cs="Times New Roman"/>
                <w:sz w:val="24"/>
                <w:szCs w:val="24"/>
              </w:rPr>
              <w:t xml:space="preserve">公章，合同须能体现签订单</w:t>
            </w:r>
            <w:r>
              <w:rPr>
                <w:rFonts w:hint="default" w:ascii="Times New Roman" w:hAnsi="Times New Roman" w:eastAsia="宋体" w:cs="Times New Roman"/>
                <w:sz w:val="24"/>
                <w:szCs w:val="24"/>
                <w:highlight w:val="none"/>
              </w:rPr>
              <w:t xml:space="preserve">位信息、签订时间、产品名称、型号、价格等相关信息，否则视为无效合同</w:t>
            </w:r>
            <w:r>
              <w:rPr>
                <w:rFonts w:hint="default" w:ascii="Times New Roman" w:hAnsi="Times New Roman" w:eastAsia="宋体" w:cs="Times New Roman"/>
                <w:sz w:val="24"/>
                <w:szCs w:val="24"/>
                <w:highlight w:val="none"/>
                <w:lang w:eastAsia="zh-CN"/>
              </w:rPr>
              <w:t xml:space="preserve">。</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②统招分签的合同按一个合同业绩计。</w:t>
            </w:r>
            <w:r>
              <w:rPr>
                <w:rFonts w:hint="default" w:ascii="Times New Roman" w:hAnsi="Times New Roman" w:eastAsia="宋体" w:cs="Times New Roman"/>
                <w:sz w:val="24"/>
                <w:szCs w:val="24"/>
              </w:rPr>
              <w:t xml:space="preserve">【多个合同项目名称一致的，均按一个合同计】</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③合同中的产品名称及产品型号请加以明显标记，以方便评审和核对。</w:t>
            </w:r>
            <w:r/>
          </w:p>
          <w:p>
            <w:pPr>
              <w:ind w:left="63"/>
              <w:pageBreakBefore w:val="0"/>
              <w:spacing w:beforeAutospacing="0" w:afterAutospacing="0" w:line="360" w:lineRule="exact"/>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rPr>
              <w:t xml:space="preserve">④合同评审中的重要信息因存在内容模糊、无法辨认而产生不利于该项评审的情况，投标人自行承担后果。</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r>
      <w:tr>
        <w:trPr>
          <w:jc w:val="center"/>
        </w:trPr>
        <w:tc>
          <w:tcPr>
            <w:gridSpan w:val="2"/>
            <w:tcW w:w="2194"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合计</w:t>
            </w:r>
            <w:r/>
          </w:p>
        </w:tc>
        <w:tc>
          <w:tcPr>
            <w:tcW w:w="6113"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分值合计</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100</w:t>
            </w:r>
            <w:r/>
          </w:p>
        </w:tc>
      </w:tr>
    </w:tbl>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jc w:val="center"/>
        <w:keepNext/>
        <w:pageBreakBefore w:val="0"/>
        <w:spacing w:beforeAutospacing="0" w:afterAutospacing="0"/>
        <w:rPr>
          <w:rFonts w:hint="eastAsia" w:ascii="黑体" w:hAnsi="Times New Roman" w:eastAsia="黑体"/>
          <w:color w:val="000000"/>
          <w:sz w:val="44"/>
          <w:szCs w:val="44"/>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jc w:val="center"/>
        <w:keepNext/>
        <w:pageBreakBefore w:val="0"/>
        <w:spacing w:beforeAutospacing="0" w:afterAutospacing="0"/>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rPr>
        <w:t xml:space="preserve">第六章  投标</w:t>
      </w:r>
      <w:bookmarkEnd w:id="167"/>
      <w:r/>
      <w:bookmarkEnd w:id="168"/>
      <w:r/>
      <w:bookmarkEnd w:id="169"/>
      <w:r>
        <w:rPr>
          <w:rFonts w:hint="eastAsia" w:ascii="黑体" w:hAnsi="Times New Roman" w:eastAsia="黑体"/>
          <w:bCs/>
          <w:color w:val="000000"/>
          <w:sz w:val="44"/>
          <w:szCs w:val="28"/>
        </w:rPr>
        <w:t xml:space="preserve">文件格式</w:t>
      </w:r>
      <w:r/>
    </w:p>
    <w:p>
      <w:pPr>
        <w:jc w:val="center"/>
        <w:pageBreakBefore w:val="0"/>
        <w:spacing w:beforeAutospacing="0" w:afterAutospacing="0"/>
        <w:rPr>
          <w:rFonts w:hint="eastAsia" w:ascii="宋体" w:hAnsi="宋体"/>
          <w:b/>
          <w:color w:val="000000"/>
          <w:sz w:val="72"/>
          <w:szCs w:val="21"/>
        </w:rPr>
      </w:pPr>
      <w:r/>
      <w:bookmarkStart w:id="170" w:name="_Hlt26671244"/>
      <w:r/>
      <w:bookmarkEnd w:id="170"/>
      <w:r/>
      <w:bookmarkStart w:id="171" w:name="_Hlt26955039"/>
      <w:r/>
      <w:bookmarkEnd w:id="171"/>
      <w:r/>
      <w:bookmarkStart w:id="172" w:name="_Toc26554094"/>
      <w:r/>
      <w:bookmarkStart w:id="173" w:name="_Toc120614282"/>
      <w:r/>
      <w:bookmarkStart w:id="174" w:name="_Toc49090576"/>
      <w:r/>
      <w:r/>
    </w:p>
    <w:p>
      <w:pPr>
        <w:jc w:val="center"/>
        <w:pageBreakBefore w:val="0"/>
        <w:spacing w:beforeAutospacing="0" w:afterAutospacing="0"/>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pageBreakBefore w:val="0"/>
        <w:spacing w:beforeAutospacing="0" w:afterAutospacing="0"/>
        <w:rPr>
          <w:rFonts w:hint="eastAsia" w:ascii="宋体" w:hAnsi="宋体"/>
          <w:b/>
          <w:color w:val="000000"/>
          <w:sz w:val="36"/>
          <w:szCs w:val="21"/>
        </w:rPr>
      </w:pPr>
      <w:r>
        <w:rPr>
          <w:rFonts w:hint="eastAsia" w:ascii="宋体" w:hAnsi="宋体"/>
          <w:b/>
          <w:color w:val="000000"/>
          <w:sz w:val="36"/>
          <w:szCs w:val="21"/>
        </w:rPr>
      </w:r>
      <w:r/>
    </w:p>
    <w:p>
      <w:pPr>
        <w:jc w:val="center"/>
        <w:pageBreakBefore w:val="0"/>
        <w:spacing w:beforeAutospacing="0" w:afterAutospacing="0"/>
        <w:rPr>
          <w:rFonts w:hint="eastAsia" w:ascii="宋体" w:hAnsi="宋体"/>
          <w:b/>
          <w:color w:val="000000"/>
          <w:sz w:val="36"/>
          <w:szCs w:val="21"/>
        </w:rPr>
      </w:pPr>
      <w:r>
        <w:rPr>
          <w:rFonts w:hint="eastAsia" w:ascii="宋体" w:hAnsi="宋体"/>
          <w:b/>
          <w:color w:val="000000"/>
          <w:sz w:val="36"/>
          <w:szCs w:val="21"/>
        </w:rPr>
      </w:r>
      <w:r/>
    </w:p>
    <w:p>
      <w:pPr>
        <w:jc w:val="center"/>
        <w:pageBreakBefore w:val="0"/>
        <w:spacing w:beforeAutospacing="0" w:afterAutospacing="0"/>
        <w:rPr>
          <w:rFonts w:hint="eastAsia" w:ascii="宋体" w:hAnsi="宋体"/>
          <w:b/>
          <w:color w:val="000000"/>
          <w:sz w:val="36"/>
          <w:szCs w:val="21"/>
        </w:rPr>
      </w:pPr>
      <w:r>
        <w:rPr>
          <w:rFonts w:hint="eastAsia" w:ascii="宋体" w:hAnsi="宋体"/>
          <w:b/>
          <w:color w:val="000000"/>
          <w:sz w:val="36"/>
          <w:szCs w:val="21"/>
        </w:rPr>
      </w:r>
      <w:r/>
    </w:p>
    <w:p>
      <w:pPr>
        <w:ind w:firstLine="1080"/>
        <w:pageBreakBefore w:val="0"/>
        <w:spacing w:beforeAutospacing="0" w:afterAutospacing="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pageBreakBefore w:val="0"/>
        <w:spacing w:beforeAutospacing="0" w:afterAutospacing="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p>
    <w:p>
      <w:pPr>
        <w:pageBreakBefore w:val="0"/>
        <w:spacing w:beforeAutospacing="0" w:afterAutospacing="0"/>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ageBreakBefore w:val="0"/>
        <w:spacing w:beforeAutospacing="0" w:afterAutospacing="0"/>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both"/>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pageBreakBefore w:val="0"/>
        <w:spacing w:beforeAutospacing="0" w:afterAutospacing="0" w:line="440" w:lineRule="exact"/>
        <w:rPr>
          <w:rFonts w:hint="eastAsia" w:ascii="宋体" w:hAnsi="宋体"/>
          <w:b/>
          <w:bCs/>
          <w:sz w:val="32"/>
          <w:szCs w:val="32"/>
        </w:rPr>
      </w:pPr>
      <w:r>
        <w:rPr>
          <w:rFonts w:hint="eastAsia" w:ascii="宋体" w:hAnsi="宋体"/>
          <w:b/>
          <w:bCs/>
          <w:sz w:val="32"/>
          <w:szCs w:val="32"/>
        </w:rPr>
      </w:r>
      <w:r/>
    </w:p>
    <w:p>
      <w:pPr>
        <w:ind w:left="480"/>
        <w:pageBreakBefore w:val="0"/>
        <w:spacing w:beforeAutospacing="0" w:afterAutospacing="0" w:line="400" w:lineRule="exact"/>
        <w:rPr>
          <w:rFonts w:ascii="宋体" w:hAnsi="宋体"/>
          <w:b/>
          <w:sz w:val="24"/>
          <w:szCs w:val="21"/>
        </w:rPr>
      </w:pPr>
      <w:r>
        <w:rPr>
          <w:rFonts w:hint="eastAsia" w:ascii="宋体" w:hAnsi="宋体"/>
          <w:b/>
          <w:sz w:val="24"/>
          <w:szCs w:val="21"/>
        </w:rPr>
        <w:t xml:space="preserve">一、基本目录</w:t>
      </w:r>
      <w:r/>
    </w:p>
    <w:p>
      <w:pPr>
        <w:ind w:left="480"/>
        <w:pageBreakBefore w:val="0"/>
        <w:spacing w:beforeAutospacing="0" w:afterAutospacing="0"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pageBreakBefore w:val="0"/>
        <w:spacing w:beforeAutospacing="0" w:afterAutospacing="0"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pageBreakBefore w:val="0"/>
        <w:spacing w:beforeAutospacing="0" w:afterAutospacing="0"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pageBreakBefore w:val="0"/>
        <w:spacing w:beforeAutospacing="0" w:afterAutospacing="0" w:line="400" w:lineRule="exact"/>
        <w:rPr>
          <w:rFonts w:hint="eastAsia" w:ascii="宋体" w:hAnsi="宋体"/>
          <w:sz w:val="24"/>
          <w:szCs w:val="21"/>
          <w:highlight w:val="yellow"/>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pageBreakBefore w:val="0"/>
        <w:spacing w:beforeAutospacing="0" w:afterAutospacing="0"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pageBreakBefore w:val="0"/>
        <w:spacing w:beforeAutospacing="0" w:afterAutospacing="0"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pageBreakBefore w:val="0"/>
        <w:spacing w:beforeAutospacing="0" w:afterAutospacing="0"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pageBreakBefore w:val="0"/>
        <w:spacing w:beforeAutospacing="0" w:afterAutospacing="0"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lang w:eastAsia="zh-CN"/>
        </w:rPr>
        <w:t xml:space="preserve">、</w:t>
      </w:r>
      <w:r>
        <w:rPr>
          <w:rFonts w:hint="eastAsia" w:ascii="宋体" w:hAnsi="宋体"/>
          <w:sz w:val="24"/>
          <w:szCs w:val="21"/>
          <w:lang w:val="en-US" w:eastAsia="zh-CN"/>
        </w:rPr>
        <w:t xml:space="preserve">附件14</w:t>
      </w:r>
      <w:r>
        <w:rPr>
          <w:rFonts w:hint="eastAsia" w:ascii="宋体" w:hAnsi="宋体"/>
          <w:sz w:val="24"/>
          <w:szCs w:val="21"/>
        </w:rPr>
        <w:t xml:space="preserve">）</w:t>
      </w:r>
      <w:r/>
    </w:p>
    <w:p>
      <w:pPr>
        <w:ind w:firstLine="480"/>
        <w:pageBreakBefore w:val="0"/>
        <w:spacing w:beforeAutospacing="0" w:afterAutospacing="0"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beforeAutospacing="0" w:afterAutospacing="0"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pageBreakBefore w:val="0"/>
        <w:spacing w:beforeAutospacing="0" w:afterAutospacing="0"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pageBreakBefore w:val="0"/>
        <w:spacing w:beforeAutospacing="0" w:afterAutospacing="0"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pageBreakBefore w:val="0"/>
        <w:spacing w:beforeAutospacing="0" w:afterAutospacing="0"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pageBreakBefore w:val="0"/>
        <w:spacing w:beforeAutospacing="0" w:afterAutospacing="0"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pageBreakBefore w:val="0"/>
        <w:spacing w:beforeAutospacing="0" w:afterAutospacing="0" w:line="400" w:lineRule="exact"/>
        <w:rPr>
          <w:rFonts w:ascii="宋体" w:hAnsi="宋体"/>
          <w:sz w:val="24"/>
          <w:szCs w:val="24"/>
        </w:rPr>
      </w:pPr>
      <w:r>
        <w:rPr>
          <w:rFonts w:hint="eastAsia" w:ascii="宋体" w:hAnsi="宋体"/>
          <w:sz w:val="24"/>
          <w:szCs w:val="24"/>
        </w:rPr>
        <w:t xml:space="preserve">中提供相关材料，否则作无效投标处理；6、10、11条如招标文件要求必须提供相关材料而未提供的，作无效投标处理。</w:t>
      </w:r>
      <w:r/>
    </w:p>
    <w:p>
      <w:pPr>
        <w:ind w:left="480"/>
        <w:pageBreakBefore w:val="0"/>
        <w:spacing w:beforeAutospacing="0" w:afterAutospacing="0"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pageBreakBefore w:val="0"/>
        <w:spacing w:beforeAutospacing="0" w:afterAutospacing="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pageBreakBefore w:val="0"/>
        <w:spacing w:beforeAutospacing="0" w:afterAutospacing="0"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pageBreakBefore w:val="0"/>
        <w:spacing w:beforeAutospacing="0" w:afterAutospacing="0"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pageBreakBefore w:val="0"/>
        <w:spacing w:beforeAutospacing="0" w:afterAutospacing="0"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p>
    <w:p>
      <w:pPr>
        <w:ind w:firstLine="480"/>
        <w:pageBreakBefore w:val="0"/>
        <w:spacing w:beforeAutospacing="0" w:afterAutospacing="0" w:line="400" w:lineRule="exact"/>
        <w:rPr>
          <w:rFonts w:hint="eastAsia" w:ascii="宋体" w:hAnsi="宋体"/>
          <w:sz w:val="24"/>
          <w:szCs w:val="21"/>
        </w:rPr>
      </w:pPr>
      <w:r>
        <w:rPr>
          <w:rFonts w:hint="eastAsia" w:ascii="宋体" w:hAnsi="宋体"/>
          <w:sz w:val="24"/>
          <w:szCs w:val="21"/>
        </w:rPr>
      </w:r>
      <w:r/>
    </w:p>
    <w:p>
      <w:pPr>
        <w:ind w:left="480"/>
        <w:pageBreakBefore w:val="0"/>
        <w:spacing w:beforeAutospacing="0" w:afterAutospacing="0"/>
        <w:rPr>
          <w:rFonts w:ascii="宋体" w:hAnsi="宋体"/>
          <w:b/>
          <w:sz w:val="24"/>
          <w:szCs w:val="21"/>
        </w:rPr>
      </w:pPr>
      <w:r>
        <w:rPr>
          <w:rFonts w:ascii="宋体" w:hAnsi="宋体"/>
          <w:b/>
          <w:sz w:val="24"/>
          <w:szCs w:val="21"/>
        </w:rPr>
      </w:r>
      <w:r/>
    </w:p>
    <w:p>
      <w:pPr>
        <w:pageBreakBefore w:val="0"/>
        <w:spacing w:beforeAutospacing="0" w:afterAutospacing="0"/>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pageBreakBefore w:val="0"/>
        <w:spacing w:beforeAutospacing="0" w:afterAutospacing="0" w:line="400" w:lineRule="exact"/>
        <w:rPr>
          <w:rFonts w:ascii="Times New Roman" w:hAnsi="Times New Roman"/>
          <w:sz w:val="24"/>
          <w:szCs w:val="24"/>
        </w:rPr>
      </w:pPr>
      <w:r>
        <w:rPr>
          <w:rFonts w:hint="eastAsia" w:ascii="宋体" w:hAnsi="宋体"/>
          <w:sz w:val="24"/>
          <w:szCs w:val="24"/>
        </w:rPr>
        <w:t xml:space="preserve">项目名称：</w:t>
      </w:r>
      <w:r/>
    </w:p>
    <w:p>
      <w:pPr>
        <w:ind w:firstLine="482"/>
        <w:pageBreakBefore w:val="0"/>
        <w:spacing w:beforeAutospacing="0" w:afterAutospacing="0"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p>
    <w:p>
      <w:pPr>
        <w:ind w:firstLine="482"/>
        <w:pageBreakBefore w:val="0"/>
        <w:spacing w:beforeAutospacing="0" w:afterAutospacing="0" w:line="400" w:lineRule="exact"/>
        <w:rPr>
          <w:rFonts w:ascii="宋体" w:hAnsi="宋体"/>
          <w:sz w:val="24"/>
          <w:szCs w:val="24"/>
        </w:rPr>
      </w:pPr>
      <w:r>
        <w:rPr>
          <w:rFonts w:hint="eastAsia" w:ascii="宋体" w:hAnsi="宋体"/>
          <w:sz w:val="24"/>
          <w:szCs w:val="24"/>
        </w:rPr>
        <w:t xml:space="preserve">采购包号：</w:t>
      </w:r>
      <w:r/>
    </w:p>
    <w:tbl>
      <w:tblPr>
        <w:tblStyle w:val="719"/>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ageBreakBefore w:val="0"/>
              <w:spacing w:beforeAutospacing="0" w:afterAutospacing="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pageBreakBefore w:val="0"/>
              <w:spacing w:beforeAutospacing="0" w:afterAutospacing="0"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pageBreakBefore w:val="0"/>
              <w:spacing w:beforeAutospacing="0" w:afterAutospacing="0"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pageBreakBefore w:val="0"/>
              <w:spacing w:beforeAutospacing="0" w:afterAutospacing="0" w:line="500" w:lineRule="exact"/>
              <w:rPr>
                <w:rFonts w:hint="eastAsia" w:ascii="宋体" w:hAnsi="宋体" w:cs="宋体"/>
                <w:sz w:val="24"/>
                <w:szCs w:val="24"/>
              </w:rPr>
            </w:pPr>
            <w:r>
              <w:rPr>
                <w:rFonts w:hint="eastAsia" w:ascii="宋体" w:hAnsi="宋体" w:cs="宋体"/>
                <w:sz w:val="24"/>
                <w:szCs w:val="24"/>
              </w:rPr>
            </w:r>
            <w:r/>
          </w:p>
        </w:tc>
      </w:tr>
    </w:tbl>
    <w:p>
      <w:pPr>
        <w:pageBreakBefore w:val="0"/>
        <w:spacing w:beforeAutospacing="0" w:afterAutospacing="0"/>
        <w:rPr>
          <w:rFonts w:ascii="宋体" w:hAnsi="宋体"/>
          <w:sz w:val="24"/>
          <w:szCs w:val="24"/>
        </w:rPr>
      </w:pPr>
      <w:r>
        <w:rPr>
          <w:rFonts w:ascii="宋体" w:hAnsi="宋体"/>
          <w:sz w:val="24"/>
          <w:szCs w:val="24"/>
        </w:rPr>
      </w:r>
      <w:r/>
    </w:p>
    <w:p>
      <w:pPr>
        <w:pageBreakBefore w:val="0"/>
        <w:spacing w:beforeAutospacing="0" w:afterAutospacing="0"/>
        <w:rPr>
          <w:rFonts w:ascii="宋体" w:hAnsi="宋体"/>
          <w:sz w:val="24"/>
          <w:szCs w:val="24"/>
        </w:rPr>
      </w:pPr>
      <w:r>
        <w:rPr>
          <w:rFonts w:ascii="宋体" w:hAnsi="宋体"/>
          <w:sz w:val="24"/>
          <w:szCs w:val="24"/>
        </w:rPr>
      </w:r>
      <w:r/>
    </w:p>
    <w:p>
      <w:pPr>
        <w:jc w:val="both"/>
        <w:pageBreakBefore w:val="0"/>
        <w:spacing w:beforeAutospacing="0" w:afterAutospacing="0"/>
        <w:rPr>
          <w:rFonts w:hint="eastAsia" w:ascii="宋体" w:hAnsi="宋体"/>
          <w:b/>
          <w:sz w:val="24"/>
          <w:szCs w:val="24"/>
          <w:lang w:val="en-US" w:eastAsia="zh-CN"/>
        </w:rPr>
      </w:pPr>
      <w:r>
        <w:rPr>
          <w:rFonts w:hint="eastAsia" w:ascii="宋体" w:hAnsi="宋体"/>
          <w:b/>
          <w:sz w:val="24"/>
          <w:szCs w:val="24"/>
          <w:lang w:val="en-US" w:eastAsia="zh-CN"/>
        </w:rPr>
      </w:r>
      <w:r/>
    </w:p>
    <w:p>
      <w:pPr>
        <w:jc w:val="both"/>
        <w:pageBreakBefore w:val="0"/>
        <w:spacing w:beforeAutospacing="0" w:afterAutospacing="0"/>
        <w:rPr>
          <w:rFonts w:hint="eastAsia" w:ascii="宋体" w:hAnsi="宋体"/>
          <w:b/>
          <w:sz w:val="24"/>
          <w:szCs w:val="24"/>
          <w:lang w:val="en-US" w:eastAsia="zh-CN"/>
        </w:rPr>
      </w:pPr>
      <w:r>
        <w:rPr>
          <w:rFonts w:hint="eastAsia" w:ascii="宋体" w:hAnsi="宋体"/>
          <w:b/>
          <w:sz w:val="24"/>
          <w:szCs w:val="24"/>
          <w:lang w:val="en-US" w:eastAsia="zh-CN"/>
        </w:rPr>
      </w:r>
      <w:r/>
    </w:p>
    <w:p>
      <w:pPr>
        <w:jc w:val="center"/>
        <w:pageBreakBefore w:val="0"/>
        <w:spacing w:beforeAutospacing="0" w:afterAutospacing="0"/>
        <w:rPr>
          <w:rFonts w:ascii="宋体" w:hAnsi="宋体"/>
          <w:b/>
          <w:sz w:val="24"/>
          <w:szCs w:val="24"/>
        </w:rPr>
      </w:pPr>
      <w:r>
        <w:rPr>
          <w:rFonts w:ascii="宋体" w:hAnsi="宋体"/>
          <w:b/>
          <w:sz w:val="24"/>
          <w:szCs w:val="24"/>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71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产品</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规格</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pageBreakBefore w:val="0"/>
              <w:spacing w:beforeAutospacing="0" w:afterAutospacing="0" w:line="0" w:lineRule="atLeast"/>
              <w:rPr>
                <w:rFonts w:ascii="宋体" w:hAnsi="宋体"/>
                <w:sz w:val="24"/>
                <w:szCs w:val="24"/>
              </w:rPr>
            </w:pPr>
            <w:r>
              <w:rPr>
                <w:rFonts w:hint="eastAsia" w:ascii="宋体" w:hAnsi="宋体"/>
                <w:sz w:val="24"/>
                <w:szCs w:val="24"/>
              </w:rPr>
              <w:t xml:space="preserve">分项</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pageBreakBefore w:val="0"/>
              <w:spacing w:beforeAutospacing="0" w:afterAutospacing="0" w:line="0" w:lineRule="atLeast"/>
              <w:rPr>
                <w:rFonts w:ascii="宋体" w:hAnsi="宋体"/>
                <w:sz w:val="24"/>
                <w:szCs w:val="24"/>
              </w:rPr>
            </w:pPr>
            <w:r>
              <w:rPr>
                <w:rFonts w:hint="eastAsia" w:ascii="宋体" w:hAnsi="宋体"/>
                <w:sz w:val="24"/>
                <w:szCs w:val="24"/>
              </w:rPr>
              <w:t xml:space="preserve">分项</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pageBreakBefore w:val="0"/>
              <w:spacing w:beforeAutospacing="0" w:afterAutospacing="0"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pageBreakBefore w:val="0"/>
              <w:spacing w:beforeAutospacing="0" w:afterAutospacing="0"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pageBreakBefore w:val="0"/>
              <w:spacing w:beforeAutospacing="0" w:afterAutospacing="0"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ageBreakBefore w:val="0"/>
              <w:spacing w:beforeAutospacing="0" w:afterAutospacing="0"/>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p>
        </w:tc>
      </w:tr>
      <w:tr>
        <w:trPr>
          <w:cantSplit/>
          <w:trHeight w:val="767"/>
        </w:trPr>
        <w:tc>
          <w:tcPr>
            <w:gridSpan w:val="10"/>
            <w:tcW w:w="9263" w:type="dxa"/>
            <w:vAlign w:val="top"/>
            <w:textDirection w:val="lrTb"/>
            <w:noWrap w:val="false"/>
          </w:tcPr>
          <w:p>
            <w:pPr>
              <w:pStyle w:val="959"/>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p>
        </w:tc>
      </w:tr>
    </w:tbl>
    <w:p>
      <w:pPr>
        <w:pageBreakBefore w:val="0"/>
        <w:spacing w:beforeAutospacing="0" w:afterAutospacing="0" w:line="400" w:lineRule="exact"/>
        <w:rPr>
          <w:rFonts w:ascii="宋体" w:hAnsi="宋体"/>
          <w:sz w:val="24"/>
          <w:szCs w:val="24"/>
        </w:rPr>
      </w:pPr>
      <w:r>
        <w:rPr>
          <w:rFonts w:hint="eastAsia" w:ascii="宋体" w:hAnsi="宋体"/>
          <w:sz w:val="24"/>
          <w:szCs w:val="24"/>
        </w:rPr>
        <w:t xml:space="preserve">备注：</w:t>
      </w:r>
      <w:r/>
    </w:p>
    <w:p>
      <w:pPr>
        <w:pageBreakBefore w:val="0"/>
        <w:spacing w:beforeAutospacing="0" w:afterAutospacing="0"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p>
    <w:p>
      <w:pPr>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p>
    <w:p>
      <w:pPr>
        <w:pageBreakBefore w:val="0"/>
        <w:spacing w:beforeAutospacing="0" w:afterAutospacing="0"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p>
    <w:p>
      <w:pPr>
        <w:pageBreakBefore w:val="0"/>
        <w:spacing w:beforeAutospacing="0" w:afterAutospacing="0"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p>
    <w:p>
      <w:pPr>
        <w:pageBreakBefore w:val="0"/>
        <w:spacing w:beforeAutospacing="0" w:afterAutospacing="0"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19"/>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r>
    </w:tbl>
    <w:p>
      <w:pP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ageBreakBefore w:val="0"/>
        <w:spacing w:beforeAutospacing="0" w:afterAutospacing="0" w:line="400" w:lineRule="exact"/>
        <w:rPr>
          <w:rFonts w:ascii="宋体" w:hAnsi="宋体"/>
          <w:sz w:val="24"/>
          <w:szCs w:val="24"/>
        </w:rPr>
      </w:pPr>
      <w:r>
        <w:rPr>
          <w:rFonts w:ascii="宋体" w:hAnsi="宋体"/>
          <w:sz w:val="24"/>
          <w:szCs w:val="24"/>
        </w:rPr>
      </w:r>
      <w:r/>
    </w:p>
    <w:p>
      <w:pPr>
        <w:pageBreakBefore w:val="0"/>
        <w:spacing w:beforeAutospacing="0" w:afterAutospacing="0"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ageBreakBefore w:val="0"/>
        <w:spacing w:beforeAutospacing="0" w:afterAutospacing="0"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pageBreakBefore w:val="0"/>
        <w:spacing w:beforeAutospacing="0" w:afterAutospacing="0"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19"/>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r>
    </w:tbl>
    <w:p>
      <w:pP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ageBreakBefore w:val="0"/>
        <w:spacing w:beforeAutospacing="0" w:afterAutospacing="0" w:line="400" w:lineRule="exact"/>
        <w:rPr>
          <w:rFonts w:ascii="宋体" w:hAnsi="宋体"/>
          <w:sz w:val="24"/>
          <w:szCs w:val="24"/>
        </w:rPr>
      </w:pPr>
      <w:r>
        <w:rPr>
          <w:rFonts w:ascii="宋体" w:hAnsi="宋体"/>
          <w:sz w:val="24"/>
          <w:szCs w:val="24"/>
        </w:rPr>
      </w:r>
      <w:r/>
    </w:p>
    <w:p>
      <w:pPr>
        <w:pageBreakBefore w:val="0"/>
        <w:spacing w:beforeAutospacing="0" w:afterAutospacing="0"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ageBreakBefore w:val="0"/>
        <w:spacing w:beforeAutospacing="0" w:afterAutospacing="0"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ageBreakBefore w:val="0"/>
        <w:spacing w:beforeAutospacing="0" w:afterAutospacing="0"/>
        <w:rPr>
          <w:rFonts w:hint="eastAsia" w:ascii="宋体" w:hAnsi="宋体"/>
          <w:b/>
          <w:sz w:val="24"/>
          <w:szCs w:val="21"/>
        </w:rPr>
      </w:pPr>
      <w:r>
        <w:rPr>
          <w:rFonts w:hint="eastAsia" w:ascii="宋体" w:hAnsi="宋体"/>
          <w:b/>
          <w:sz w:val="24"/>
          <w:szCs w:val="21"/>
        </w:rPr>
      </w:r>
      <w:r/>
    </w:p>
    <w:p>
      <w:pPr>
        <w:ind w:left="480"/>
        <w:pageBreakBefore w:val="0"/>
        <w:spacing w:beforeAutospacing="0" w:afterAutospacing="0"/>
        <w:rPr>
          <w:rFonts w:ascii="宋体" w:hAnsi="宋体"/>
          <w:b/>
          <w:color w:val="000000"/>
          <w:sz w:val="24"/>
          <w:szCs w:val="21"/>
        </w:rPr>
      </w:pPr>
      <w:r>
        <w:rPr>
          <w:rFonts w:ascii="宋体" w:hAnsi="宋体"/>
          <w:b/>
          <w:color w:val="000000"/>
          <w:sz w:val="24"/>
          <w:szCs w:val="21"/>
        </w:rPr>
      </w:r>
      <w:r/>
    </w:p>
    <w:p>
      <w:pPr>
        <w:ind w:left="480"/>
        <w:pageBreakBefore w:val="0"/>
        <w:spacing w:beforeAutospacing="0" w:afterAutospacing="0"/>
        <w:rPr>
          <w:rFonts w:hint="eastAsia" w:ascii="宋体" w:hAnsi="宋体"/>
          <w:b/>
          <w:color w:val="000000"/>
          <w:sz w:val="24"/>
          <w:szCs w:val="21"/>
        </w:rPr>
      </w:pPr>
      <w:r>
        <w:rPr>
          <w:rFonts w:hint="eastAsia" w:ascii="宋体" w:hAnsi="宋体"/>
          <w:b/>
          <w:color w:val="000000"/>
          <w:sz w:val="24"/>
          <w:szCs w:val="21"/>
        </w:rPr>
      </w:r>
      <w:r/>
    </w:p>
    <w:p>
      <w:pPr>
        <w:ind w:left="480"/>
        <w:pageBreakBefore w:val="0"/>
        <w:spacing w:beforeAutospacing="0" w:afterAutospacing="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pageBreakBefore w:val="0"/>
        <w:spacing w:beforeAutospacing="0" w:afterAutospacing="0"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beforeAutospacing="0" w:afterAutospacing="0"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pageBreakBefore w:val="0"/>
        <w:spacing w:beforeAutospacing="0" w:afterAutospacing="0"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ageBreakBefore w:val="0"/>
        <w:spacing w:beforeAutospacing="0" w:afterAutospacing="0"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pageBreakBefore w:val="0"/>
        <w:spacing w:beforeAutospacing="0" w:afterAutospacing="0"/>
        <w:rPr>
          <w:rFonts w:ascii="宋体" w:hAnsi="宋体"/>
          <w:b/>
          <w:color w:val="000000"/>
          <w:sz w:val="24"/>
          <w:szCs w:val="21"/>
        </w:rPr>
      </w:pPr>
      <w:r>
        <w:rPr>
          <w:rFonts w:ascii="宋体" w:hAnsi="宋体"/>
          <w:b/>
          <w:color w:val="000000"/>
          <w:sz w:val="24"/>
          <w:szCs w:val="21"/>
        </w:rPr>
      </w:r>
      <w:r/>
    </w:p>
    <w:p>
      <w:pPr>
        <w:ind w:left="480"/>
        <w:pageBreakBefore w:val="0"/>
        <w:spacing w:beforeAutospacing="0" w:afterAutospacing="0"/>
        <w:rPr>
          <w:rFonts w:ascii="宋体" w:hAnsi="宋体"/>
          <w:b/>
          <w:color w:val="000000"/>
          <w:sz w:val="24"/>
          <w:szCs w:val="21"/>
        </w:rPr>
      </w:pPr>
      <w:r>
        <w:rPr>
          <w:rFonts w:ascii="宋体" w:hAnsi="宋体"/>
          <w:b/>
          <w:color w:val="000000"/>
          <w:sz w:val="24"/>
          <w:szCs w:val="21"/>
        </w:rPr>
      </w:r>
      <w:r/>
    </w:p>
    <w:p>
      <w:pPr>
        <w:ind w:left="480"/>
        <w:pageBreakBefore w:val="0"/>
        <w:spacing w:beforeAutospacing="0" w:afterAutospacing="0"/>
        <w:rPr>
          <w:rFonts w:ascii="宋体" w:hAnsi="宋体"/>
          <w:b/>
          <w:color w:val="000000"/>
          <w:sz w:val="24"/>
          <w:szCs w:val="21"/>
        </w:rPr>
      </w:pPr>
      <w:r>
        <w:rPr>
          <w:rFonts w:ascii="宋体" w:hAnsi="宋体"/>
          <w:b/>
          <w:color w:val="000000"/>
          <w:sz w:val="24"/>
          <w:szCs w:val="21"/>
        </w:rPr>
      </w:r>
      <w:r/>
    </w:p>
    <w:p>
      <w:pPr>
        <w:ind w:left="480"/>
        <w:pageBreakBefore w:val="0"/>
        <w:spacing w:beforeAutospacing="0" w:afterAutospacing="0"/>
        <w:rPr>
          <w:rFonts w:hint="eastAsia" w:ascii="宋体" w:hAnsi="宋体"/>
          <w:b/>
          <w:color w:val="000000"/>
          <w:sz w:val="24"/>
          <w:szCs w:val="21"/>
        </w:rPr>
      </w:pPr>
      <w:r>
        <w:rPr>
          <w:rFonts w:hint="eastAsia" w:ascii="宋体" w:hAnsi="宋体"/>
          <w:b/>
          <w:color w:val="000000"/>
          <w:sz w:val="24"/>
          <w:szCs w:val="21"/>
        </w:rPr>
      </w:r>
      <w:r/>
    </w:p>
    <w:p>
      <w:pPr>
        <w:ind w:left="480"/>
        <w:pageBreakBefore w:val="0"/>
        <w:spacing w:beforeAutospacing="0" w:afterAutospacing="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pageBreakBefore w:val="0"/>
        <w:spacing w:beforeAutospacing="0" w:afterAutospacing="0"/>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pageBreakBefore w:val="0"/>
        <w:spacing w:beforeAutospacing="0" w:afterAutospacing="0"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72"/>
      <w:r/>
      <w:bookmarkEnd w:id="173"/>
      <w:r/>
      <w:bookmarkEnd w:id="174"/>
      <w:r/>
      <w:bookmarkStart w:id="175" w:name="_Toc120614284"/>
      <w:r/>
      <w:r/>
    </w:p>
    <w:p>
      <w:pPr>
        <w:pageBreakBefore w:val="0"/>
        <w:spacing w:beforeAutospacing="0" w:afterAutospacing="0" w:line="460" w:lineRule="exact"/>
        <w:rPr>
          <w:rFonts w:hint="eastAsia" w:ascii="宋体" w:hAnsi="宋体"/>
          <w:b/>
          <w:color w:val="000000"/>
          <w:sz w:val="24"/>
          <w:szCs w:val="21"/>
        </w:rPr>
      </w:pPr>
      <w:r>
        <w:rPr>
          <w:rFonts w:hint="eastAsia" w:ascii="宋体" w:hAnsi="宋体"/>
          <w:b/>
          <w:color w:val="000000"/>
          <w:sz w:val="24"/>
          <w:szCs w:val="21"/>
        </w:rPr>
      </w:r>
      <w:r/>
    </w:p>
    <w:p>
      <w:pPr>
        <w:ind w:firstLine="480"/>
        <w:pageBreakBefore w:val="0"/>
        <w:spacing w:beforeAutospacing="0" w:afterAutospacing="0" w:line="460" w:lineRule="exact"/>
        <w:rPr>
          <w:rFonts w:ascii="宋体" w:hAnsi="宋体"/>
          <w:b/>
          <w:color w:val="000000"/>
          <w:sz w:val="24"/>
          <w:szCs w:val="21"/>
        </w:rPr>
      </w:pPr>
      <w:r>
        <w:rPr>
          <w:rFonts w:ascii="宋体" w:hAnsi="宋体"/>
          <w:b/>
          <w:color w:val="000000"/>
          <w:sz w:val="24"/>
          <w:szCs w:val="21"/>
        </w:rPr>
      </w:r>
      <w:r/>
    </w:p>
    <w:p>
      <w:pPr>
        <w:ind w:firstLine="480"/>
        <w:pageBreakBefore w:val="0"/>
        <w:spacing w:beforeAutospacing="0" w:afterAutospacing="0" w:line="460" w:lineRule="exact"/>
        <w:rPr>
          <w:rFonts w:ascii="宋体" w:hAnsi="宋体"/>
          <w:b/>
          <w:color w:val="000000"/>
          <w:sz w:val="24"/>
          <w:szCs w:val="21"/>
        </w:rPr>
      </w:pPr>
      <w:r>
        <w:rPr>
          <w:rFonts w:ascii="宋体" w:hAnsi="宋体"/>
          <w:b/>
          <w:color w:val="000000"/>
          <w:sz w:val="24"/>
          <w:szCs w:val="21"/>
        </w:rPr>
      </w:r>
      <w:r/>
    </w:p>
    <w:p>
      <w:pPr>
        <w:ind w:firstLine="480"/>
        <w:pageBreakBefore w:val="0"/>
        <w:spacing w:beforeAutospacing="0" w:afterAutospacing="0" w:line="460" w:lineRule="exact"/>
        <w:rPr>
          <w:rFonts w:ascii="宋体" w:hAnsi="宋体"/>
          <w:b/>
          <w:color w:val="000000"/>
          <w:sz w:val="24"/>
          <w:szCs w:val="21"/>
        </w:rPr>
      </w:pPr>
      <w:r>
        <w:rPr>
          <w:rFonts w:ascii="宋体" w:hAnsi="宋体"/>
          <w:b/>
          <w:color w:val="000000"/>
          <w:sz w:val="24"/>
          <w:szCs w:val="21"/>
        </w:rPr>
      </w:r>
      <w:r/>
    </w:p>
    <w:p>
      <w:pPr>
        <w:ind w:firstLine="480"/>
        <w:pageBreakBefore w:val="0"/>
        <w:spacing w:beforeAutospacing="0" w:afterAutospacing="0" w:line="460" w:lineRule="exact"/>
        <w:rPr>
          <w:rFonts w:ascii="宋体" w:hAnsi="宋体"/>
          <w:b/>
          <w:color w:val="000000"/>
          <w:sz w:val="24"/>
          <w:szCs w:val="21"/>
        </w:rPr>
      </w:pPr>
      <w:r>
        <w:rPr>
          <w:rFonts w:ascii="宋体" w:hAnsi="宋体"/>
          <w:b/>
          <w:color w:val="000000"/>
          <w:sz w:val="24"/>
          <w:szCs w:val="21"/>
        </w:rPr>
      </w:r>
      <w:r/>
    </w:p>
    <w:p>
      <w:pPr>
        <w:ind w:firstLine="480"/>
        <w:pageBreakBefore w:val="0"/>
        <w:spacing w:beforeAutospacing="0" w:afterAutospacing="0"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pageBreakBefore w:val="0"/>
        <w:spacing w:beforeAutospacing="0" w:afterAutospacing="0"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p>
    <w:p>
      <w:pPr>
        <w:ind w:firstLine="480"/>
        <w:pageBreakBefore w:val="0"/>
        <w:spacing w:beforeAutospacing="0" w:afterAutospacing="0"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pageBreakBefore w:val="0"/>
        <w:spacing w:beforeAutospacing="0" w:afterAutospacing="0"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pageBreakBefore w:val="0"/>
        <w:spacing w:beforeAutospacing="0" w:afterAutospacing="0"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pageBreakBefore w:val="0"/>
        <w:spacing w:beforeAutospacing="0" w:afterAutospacing="0"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1200"/>
        <w:pageBreakBefore w:val="0"/>
        <w:spacing w:beforeAutospacing="0" w:afterAutospacing="0"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pageBreakBefore w:val="0"/>
        <w:spacing w:beforeAutospacing="0" w:afterAutospacing="0"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pageBreakBefore w:val="0"/>
        <w:spacing w:beforeAutospacing="0" w:afterAutospacing="0"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76" w:name="_Hlt26671380"/>
      <w:r/>
      <w:bookmarkEnd w:id="176"/>
      <w:r/>
      <w:bookmarkStart w:id="177" w:name="_格式3__银行出具的资信证明"/>
      <w:r/>
      <w:bookmarkEnd w:id="177"/>
      <w:r/>
      <w:bookmarkStart w:id="178" w:name="_Hlt26955070"/>
      <w:r/>
      <w:bookmarkEnd w:id="178"/>
      <w:r>
        <w:rPr>
          <w:rFonts w:hint="eastAsia" w:ascii="Times New Roman" w:hAnsi="Times New Roman"/>
          <w:color w:val="000000"/>
          <w:sz w:val="24"/>
          <w:szCs w:val="24"/>
          <w:u w:val="single"/>
        </w:rPr>
        <w:t xml:space="preserve">                                         </w:t>
      </w:r>
      <w:r/>
    </w:p>
    <w:p>
      <w:pPr>
        <w:ind w:firstLine="360"/>
        <w:pageBreakBefore w:val="0"/>
        <w:spacing w:beforeAutospacing="0" w:afterAutospacing="0"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pageBreakBefore w:val="0"/>
        <w:spacing w:beforeAutospacing="0" w:afterAutospacing="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pageBreakBefore w:val="0"/>
        <w:spacing w:beforeAutospacing="0" w:afterAutospacing="0"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p>
    <w:p>
      <w:pPr>
        <w:ind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pageBreakBefore w:val="0"/>
        <w:spacing w:beforeAutospacing="0" w:afterAutospacing="0"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pageBreakBefore w:val="0"/>
        <w:spacing w:beforeAutospacing="0" w:afterAutospacing="0"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pageBreakBefore w:val="0"/>
        <w:spacing w:beforeAutospacing="0" w:afterAutospacing="0"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p>
    <w:p>
      <w:pPr>
        <w:ind w:firstLine="240"/>
        <w:jc w:val="center"/>
        <w:pageBreakBefore w:val="0"/>
        <w:spacing w:beforeAutospacing="0" w:afterAutospacing="0"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pageBreakBefore w:val="0"/>
        <w:spacing w:beforeAutospacing="0" w:afterAutospacing="0"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pageBreakBefore w:val="0"/>
        <w:spacing w:beforeAutospacing="0" w:afterAutospacing="0"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pageBreakBefore w:val="0"/>
        <w:spacing w:beforeAutospacing="0" w:afterAutospacing="0" w:line="560" w:lineRule="exact"/>
        <w:rPr>
          <w:rFonts w:ascii="宋体" w:hAnsi="宋体"/>
          <w:bCs/>
          <w:color w:val="000000"/>
          <w:sz w:val="24"/>
          <w:szCs w:val="21"/>
        </w:rPr>
      </w:pPr>
      <w:r>
        <w:rPr>
          <w:rFonts w:ascii="宋体" w:hAnsi="宋体"/>
          <w:bCs/>
          <w:color w:val="000000"/>
          <w:sz w:val="24"/>
          <w:szCs w:val="21"/>
        </w:rPr>
      </w:r>
      <w:r/>
    </w:p>
    <w:p>
      <w:pPr>
        <w:pageBreakBefore w:val="0"/>
        <w:spacing w:beforeAutospacing="0" w:afterAutospacing="0" w:line="560" w:lineRule="exact"/>
        <w:rPr>
          <w:rFonts w:ascii="宋体" w:hAnsi="宋体"/>
          <w:b/>
          <w:color w:val="ff0000"/>
          <w:sz w:val="24"/>
          <w:szCs w:val="21"/>
        </w:rPr>
      </w:pPr>
      <w:r>
        <w:rPr>
          <w:rFonts w:ascii="宋体" w:hAnsi="宋体"/>
          <w:b/>
          <w:color w:val="ff0000"/>
          <w:sz w:val="24"/>
          <w:szCs w:val="21"/>
        </w:rPr>
      </w:r>
      <w:r/>
    </w:p>
    <w:p>
      <w:pPr>
        <w:ind w:firstLine="240"/>
        <w:jc w:val="center"/>
        <w:pageBreakBefore w:val="0"/>
        <w:spacing w:beforeAutospacing="0" w:afterAutospacing="0"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pageBreakBefore w:val="0"/>
        <w:spacing w:beforeAutospacing="0" w:afterAutospacing="0"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p>
    <w:p>
      <w:pPr>
        <w:ind w:firstLine="360"/>
        <w:pageBreakBefore w:val="0"/>
        <w:spacing w:beforeAutospacing="0" w:afterAutospacing="0"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w:t>
      </w:r>
      <w:r/>
    </w:p>
    <w:p>
      <w:pPr>
        <w:ind w:firstLine="36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ind w:right="180" w:firstLine="360"/>
        <w:jc w:val="right"/>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56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ind w:firstLine="480"/>
        <w:pageBreakBefore w:val="0"/>
        <w:spacing w:beforeAutospacing="0" w:afterAutospacing="0" w:line="400" w:lineRule="exact"/>
        <w:rPr>
          <w:rFonts w:ascii="宋体" w:hAnsi="宋体"/>
          <w:sz w:val="24"/>
          <w:szCs w:val="24"/>
        </w:rPr>
      </w:pPr>
      <w:r>
        <w:rPr>
          <w:rFonts w:hint="eastAsia" w:ascii="宋体" w:hAnsi="宋体"/>
          <w:sz w:val="24"/>
          <w:szCs w:val="24"/>
        </w:rPr>
        <w:t xml:space="preserve">备注：</w:t>
      </w:r>
      <w:r/>
    </w:p>
    <w:p>
      <w:pPr>
        <w:ind w:firstLine="48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pageBreakBefore w:val="0"/>
        <w:spacing w:beforeAutospacing="0" w:afterAutospacing="0"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pageBreakBefore w:val="0"/>
        <w:spacing w:beforeAutospacing="0" w:afterAutospacing="0"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pageBreakBefore w:val="0"/>
        <w:spacing w:beforeAutospacing="0" w:afterAutospacing="0"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ind w:firstLine="480"/>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pageBreakBefore w:val="0"/>
        <w:spacing w:beforeAutospacing="0" w:afterAutospacing="0" w:line="400" w:lineRule="exact"/>
        <w:rPr>
          <w:rFonts w:ascii="宋体" w:hAnsi="宋体"/>
          <w:sz w:val="24"/>
          <w:szCs w:val="21"/>
        </w:rPr>
      </w:pPr>
      <w:r>
        <w:rPr>
          <w:rFonts w:ascii="宋体" w:hAnsi="宋体"/>
          <w:sz w:val="24"/>
          <w:szCs w:val="21"/>
        </w:rPr>
      </w:r>
      <w:r/>
    </w:p>
    <w:p>
      <w:pPr>
        <w:ind w:firstLine="480"/>
        <w:pageBreakBefore w:val="0"/>
        <w:spacing w:beforeAutospacing="0" w:afterAutospacing="0" w:line="400" w:lineRule="exact"/>
        <w:rPr>
          <w:rFonts w:ascii="宋体" w:hAnsi="宋体"/>
          <w:sz w:val="24"/>
          <w:szCs w:val="21"/>
        </w:rPr>
      </w:pPr>
      <w:r>
        <w:rPr>
          <w:rFonts w:hint="eastAsia" w:ascii="宋体" w:hAnsi="宋体"/>
          <w:sz w:val="24"/>
          <w:szCs w:val="21"/>
        </w:rPr>
        <w:t xml:space="preserve">备注：</w:t>
      </w:r>
      <w:r/>
    </w:p>
    <w:p>
      <w:pPr>
        <w:ind w:firstLine="480"/>
        <w:pageBreakBefore w:val="0"/>
        <w:spacing w:beforeAutospacing="0" w:afterAutospacing="0"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pageBreakBefore w:val="0"/>
        <w:spacing w:beforeAutospacing="0" w:afterAutospacing="0"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pageBreakBefore w:val="0"/>
        <w:spacing w:beforeAutospacing="0" w:afterAutospacing="0"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pageBreakBefore w:val="0"/>
        <w:spacing w:beforeAutospacing="0" w:afterAutospacing="0"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pageBreakBefore w:val="0"/>
        <w:spacing w:beforeAutospacing="0" w:afterAutospacing="0"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pageBreakBefore w:val="0"/>
        <w:spacing w:beforeAutospacing="0" w:afterAutospacing="0"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pageBreakBefore w:val="0"/>
        <w:spacing w:beforeAutospacing="0" w:afterAutospacing="0"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pageBreakBefore w:val="0"/>
        <w:spacing w:beforeAutospacing="0" w:afterAutospacing="0"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pageBreakBefore w:val="0"/>
        <w:spacing w:beforeAutospacing="0" w:afterAutospacing="0"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pageBreakBefore w:val="0"/>
        <w:spacing w:beforeAutospacing="0" w:afterAutospacing="0"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pageBreakBefore w:val="0"/>
        <w:spacing w:beforeAutospacing="0" w:afterAutospacing="0" w:line="400" w:lineRule="exact"/>
        <w:rPr>
          <w:rFonts w:hint="eastAsia" w:ascii="宋体" w:hAnsi="宋体"/>
          <w:sz w:val="24"/>
          <w:szCs w:val="21"/>
        </w:rPr>
      </w:pPr>
      <w:r>
        <w:rPr>
          <w:rFonts w:hint="eastAsia" w:ascii="宋体" w:hAnsi="宋体"/>
          <w:sz w:val="24"/>
          <w:szCs w:val="21"/>
        </w:rPr>
      </w:r>
      <w:r/>
    </w:p>
    <w:p>
      <w:pPr>
        <w:ind w:firstLine="645"/>
        <w:pageBreakBefore w:val="0"/>
        <w:spacing w:beforeAutospacing="0" w:afterAutospacing="0"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pageBreakBefore w:val="0"/>
        <w:spacing w:beforeAutospacing="0" w:afterAutospacing="0"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pageBreakBefore w:val="0"/>
        <w:spacing w:beforeAutospacing="0" w:afterAutospacing="0"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ind w:firstLine="645"/>
        <w:pageBreakBefore w:val="0"/>
        <w:spacing w:beforeAutospacing="0" w:afterAutospacing="0" w:line="400" w:lineRule="exact"/>
        <w:rPr>
          <w:rFonts w:ascii="宋体" w:hAnsi="宋体"/>
          <w:sz w:val="24"/>
          <w:szCs w:val="21"/>
        </w:rPr>
      </w:pPr>
      <w:r>
        <w:rPr>
          <w:rFonts w:ascii="宋体" w:hAnsi="宋体"/>
          <w:sz w:val="24"/>
          <w:szCs w:val="21"/>
        </w:rPr>
      </w:r>
      <w:r/>
    </w:p>
    <w:p>
      <w:pPr>
        <w:ind w:firstLine="645"/>
        <w:pageBreakBefore w:val="0"/>
        <w:spacing w:beforeAutospacing="0" w:afterAutospacing="0" w:line="400" w:lineRule="exact"/>
        <w:rPr>
          <w:rFonts w:ascii="宋体" w:hAnsi="宋体"/>
          <w:sz w:val="24"/>
          <w:szCs w:val="21"/>
        </w:rPr>
      </w:pPr>
      <w:r>
        <w:rPr>
          <w:rFonts w:ascii="宋体" w:hAnsi="宋体"/>
          <w:sz w:val="24"/>
          <w:szCs w:val="21"/>
        </w:rPr>
      </w:r>
      <w:r/>
    </w:p>
    <w:p>
      <w:pPr>
        <w:ind w:firstLine="645"/>
        <w:pageBreakBefore w:val="0"/>
        <w:spacing w:beforeAutospacing="0" w:afterAutospacing="0"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pageBreakBefore w:val="0"/>
        <w:spacing w:beforeAutospacing="0" w:afterAutospacing="0" w:line="560" w:lineRule="exact"/>
        <w:rPr>
          <w:rFonts w:hint="eastAsia" w:ascii="宋体" w:hAnsi="宋体"/>
          <w:color w:val="000000"/>
          <w:sz w:val="24"/>
          <w:szCs w:val="21"/>
        </w:rPr>
      </w:pPr>
      <w:r>
        <w:rPr>
          <w:rFonts w:hint="eastAsia" w:ascii="宋体" w:hAnsi="宋体"/>
          <w:color w:val="000000"/>
          <w:sz w:val="24"/>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719"/>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p>
        </w:tc>
        <w:tc>
          <w:tcPr>
            <w:tcW w:w="3317" w:type="dxa"/>
            <w:vAlign w:val="center"/>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r>
    </w:tbl>
    <w:p>
      <w:pPr>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pageBreakBefore w:val="0"/>
        <w:spacing w:beforeAutospacing="0" w:afterAutospacing="0" w:line="400" w:lineRule="exact"/>
        <w:rPr>
          <w:rFonts w:ascii="宋体" w:hAnsi="宋体"/>
          <w:color w:val="000000"/>
          <w:sz w:val="24"/>
          <w:szCs w:val="24"/>
        </w:rPr>
      </w:pPr>
      <w:r>
        <w:rPr>
          <w:rFonts w:ascii="宋体" w:hAnsi="宋体"/>
          <w:color w:val="000000"/>
          <w:sz w:val="24"/>
          <w:szCs w:val="24"/>
        </w:rPr>
      </w:r>
      <w:r/>
    </w:p>
    <w:p>
      <w:pPr>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ageBreakBefore w:val="0"/>
        <w:spacing w:beforeAutospacing="0" w:afterAutospacing="0"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pageBreakBefore w:val="0"/>
        <w:spacing w:beforeAutospacing="0" w:afterAutospacing="0"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jc w:val="center"/>
        <w:pageBreakBefore w:val="0"/>
        <w:spacing w:beforeAutospacing="0" w:afterAutospacing="0"/>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p>
    <w:p>
      <w:pPr>
        <w:pStyle w:val="959"/>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9"/>
        <w:ind w:left="0" w:right="0" w:firstLine="42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10"/>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10"/>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10"/>
          <w:rFonts w:hint="eastAsia" w:ascii="宋体" w:hAnsi="宋体" w:eastAsia="宋体" w:cs="宋体"/>
          <w:i w:val="0"/>
          <w:iCs w:val="0"/>
          <w:caps w:val="0"/>
          <w:color w:val="000000"/>
          <w:spacing w:val="0"/>
          <w:sz w:val="24"/>
          <w:szCs w:val="24"/>
          <w:u w:val="single"/>
          <w:shd w:val="clear" w:color="auto" w:fill="ffffff"/>
        </w:rPr>
        <w:t xml:space="preserve">（厂名）</w:t>
      </w:r>
      <w:r>
        <w:rPr>
          <w:rStyle w:val="910"/>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10"/>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59"/>
        <w:ind w:left="0" w:right="0" w:firstLine="42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10"/>
          <w:rFonts w:hint="eastAsia" w:ascii="宋体" w:hAnsi="宋体" w:eastAsia="宋体" w:cs="宋体"/>
          <w:i w:val="0"/>
          <w:iCs w:val="0"/>
          <w:caps w:val="0"/>
          <w:color w:val="000000"/>
          <w:spacing w:val="0"/>
          <w:sz w:val="24"/>
          <w:szCs w:val="24"/>
          <w:u w:val="single"/>
          <w:shd w:val="clear" w:color="auto" w:fill="ffffff"/>
        </w:rPr>
        <w:t xml:space="preserve">（产品名称</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10"/>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10"/>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10"/>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59"/>
        <w:ind w:left="0" w:right="0" w:firstLine="42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p>
    <w:p>
      <w:pPr>
        <w:pStyle w:val="959"/>
        <w:ind w:left="0" w:right="0" w:firstLine="42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p>
    <w:p>
      <w:pPr>
        <w:pStyle w:val="959"/>
        <w:ind w:left="0" w:right="0" w:firstLine="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59"/>
        <w:ind w:left="0" w:right="0" w:firstLine="0"/>
        <w:jc w:val="right"/>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p>
    <w:p>
      <w:pPr>
        <w:pStyle w:val="959"/>
        <w:ind w:left="0" w:right="0" w:firstLine="0"/>
        <w:jc w:val="center"/>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pStyle w:val="959"/>
        <w:ind w:left="0" w:right="0" w:firstLine="0"/>
        <w:jc w:val="left"/>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p>
    <w:p>
      <w:pPr>
        <w:pStyle w:val="959"/>
        <w:ind w:right="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p>
    <w:p>
      <w:pPr>
        <w:pStyle w:val="959"/>
        <w:ind w:right="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p>
    <w:p>
      <w:pPr>
        <w:pStyle w:val="959"/>
        <w:ind w:right="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p>
    <w:p>
      <w:pPr>
        <w:pStyle w:val="959"/>
        <w:ind w:right="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p>
    <w:p>
      <w:pPr>
        <w:pStyle w:val="959"/>
        <w:ind w:right="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p>
    <w:p>
      <w:pPr>
        <w:pStyle w:val="959"/>
        <w:ind w:right="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p>
    <w:p>
      <w:pPr>
        <w:pageBreakBefore w:val="0"/>
        <w:spacing w:beforeAutospacing="0" w:afterAutospacing="0"/>
        <w:rPr>
          <w:rFonts w:hint="eastAsia" w:ascii="Times New Roman" w:hAnsi="Times New Roman" w:eastAsia="宋体" w:cs="Times New Roman"/>
          <w:highlight w:val="cyan"/>
          <w:lang w:val="en-US" w:eastAsia="zh-CN"/>
        </w:rPr>
        <w:outlineLvl w:val="1"/>
      </w:pPr>
      <w:r>
        <w:rPr>
          <w:rFonts w:hint="eastAsia" w:ascii="宋体" w:hAnsi="宋体" w:eastAsia="宋体" w:cs="宋体"/>
          <w:i w:val="0"/>
          <w:iCs w:val="0"/>
          <w:caps w:val="0"/>
          <w:color w:val="000000"/>
          <w:spacing w:val="0"/>
          <w:sz w:val="24"/>
          <w:szCs w:val="24"/>
          <w:shd w:val="clear" w:color="auto" w:fill="ffffff"/>
          <w:lang w:val="en-US" w:eastAsia="zh-CN"/>
        </w:rPr>
        <w:br w:type="page" w:clear="all"/>
      </w:r>
      <w:r>
        <w:rPr>
          <w:rFonts w:ascii="Times New Roman" w:hAnsi="Times New Roman" w:cs="Times New Roman"/>
          <w:b/>
          <w:bCs/>
          <w:highlight w:val="cyan"/>
        </w:rPr>
        <w:t xml:space="preserve">附件十</w:t>
      </w:r>
      <w:r>
        <w:rPr>
          <w:rFonts w:ascii="Times New Roman" w:hAnsi="Times New Roman" w:cs="Times New Roman"/>
          <w:b/>
          <w:bCs/>
          <w:highlight w:val="cyan"/>
          <w:lang w:val="en-US" w:eastAsia="zh-CN"/>
        </w:rPr>
        <w:t xml:space="preserve">四</w:t>
      </w:r>
      <w:r>
        <w:rPr>
          <w:rFonts w:ascii="Times New Roman" w:hAnsi="Times New Roman" w:cs="Times New Roman"/>
          <w:b/>
          <w:bCs/>
          <w:highlight w:val="cyan"/>
        </w:rPr>
        <w:t xml:space="preserve">、投标人参加本次政府采购活动前3年内无涉及行贿等重大违法案件</w:t>
      </w:r>
      <w:r>
        <w:rPr>
          <w:rFonts w:hint="eastAsia" w:ascii="Times New Roman" w:hAnsi="Times New Roman" w:cs="Times New Roman"/>
          <w:b/>
          <w:bCs/>
          <w:highlight w:val="cyan"/>
          <w:lang w:val="en-US" w:eastAsia="zh-CN"/>
        </w:rPr>
        <w:t xml:space="preserve">声明</w:t>
      </w:r>
      <w:r/>
    </w:p>
    <w:p>
      <w:pPr>
        <w:pageBreakBefore w:val="0"/>
        <w:spacing w:beforeAutospacing="0" w:afterAutospacing="0"/>
        <w:rPr>
          <w:rFonts w:ascii="Times New Roman" w:hAnsi="Times New Roman" w:cs="Times New Roman"/>
          <w:b/>
          <w:bCs/>
          <w:highlight w:val="cyan"/>
        </w:rPr>
      </w:pPr>
      <w:r>
        <w:rPr>
          <w:rFonts w:ascii="Times New Roman" w:hAnsi="Times New Roman" w:cs="Times New Roman"/>
          <w:b/>
          <w:bCs/>
          <w:highlight w:val="cyan"/>
        </w:rPr>
      </w:r>
      <w:r/>
    </w:p>
    <w:p>
      <w:pPr>
        <w:jc w:val="center"/>
        <w:pageBreakBefore w:val="0"/>
        <w:spacing w:beforeAutospacing="0" w:afterAutospacing="0"/>
        <w:rPr>
          <w:rFonts w:ascii="Times New Roman" w:hAnsi="Times New Roman" w:cs="Times New Roman"/>
          <w:sz w:val="36"/>
          <w:szCs w:val="36"/>
          <w:highlight w:val="cyan"/>
        </w:rPr>
      </w:pPr>
      <w:r>
        <w:rPr>
          <w:rFonts w:ascii="Times New Roman" w:hAnsi="Times New Roman" w:cs="Times New Roman"/>
          <w:sz w:val="36"/>
          <w:szCs w:val="36"/>
          <w:highlight w:val="cyan"/>
        </w:rPr>
        <w:t xml:space="preserve">无涉及行贿等重大违法案件声明格式</w:t>
      </w:r>
      <w:r/>
    </w:p>
    <w:p>
      <w:pPr>
        <w:pStyle w:val="959"/>
        <w:pageBreakBefore w:val="0"/>
        <w:spacing w:before="0" w:beforeAutospacing="0" w:after="0" w:afterAutospacing="0" w:line="0" w:lineRule="atLeast"/>
        <w:shd w:val="clear" w:color="auto" w:fill="auto"/>
        <w:widowControl/>
        <w:rPr>
          <w:rFonts w:hint="eastAsia" w:ascii="宋体" w:hAnsi="宋体" w:eastAsia="宋体" w:cs="宋体"/>
          <w:color w:val="000000"/>
          <w:highlight w:val="none"/>
          <w:shd w:val="clear" w:color="auto" w:fill="ffffff"/>
        </w:rPr>
        <w:pBdr>
          <w:top w:val="none" w:color="000000" w:sz="0" w:space="0"/>
          <w:left w:val="none" w:color="000000" w:sz="0" w:space="0"/>
          <w:bottom w:val="none" w:color="000000" w:sz="0" w:space="0"/>
          <w:right w:val="none" w:color="000000" w:sz="0" w:space="0"/>
        </w:pBdr>
      </w:pPr>
      <w:r>
        <w:rPr>
          <w:rFonts w:ascii="Times New Roman" w:hAnsi="Times New Roman" w:cs="Times New Roman"/>
          <w:highlight w:val="cyan"/>
        </w:rPr>
        <w:t xml:space="preserve">   </w:t>
      </w:r>
      <w:r>
        <w:rPr>
          <w:rFonts w:hint="eastAsia" w:ascii="宋体" w:hAnsi="宋体" w:eastAsia="宋体" w:cs="宋体"/>
          <w:color w:val="000000"/>
          <w:highlight w:val="none"/>
          <w:shd w:val="clear" w:color="auto" w:fill="ffffff"/>
        </w:rPr>
        <w:t xml:space="preserve">：</w:t>
      </w:r>
      <w:r/>
    </w:p>
    <w:p>
      <w:pPr>
        <w:pStyle w:val="959"/>
        <w:pageBreakBefore w:val="0"/>
        <w:spacing w:before="0" w:beforeAutospacing="0" w:after="0" w:afterAutospacing="0" w:line="0" w:lineRule="atLeast"/>
        <w:shd w:val="clear" w:color="auto" w:fill="auto"/>
        <w:widowControl/>
        <w:rPr>
          <w:rFonts w:hint="eastAsia" w:ascii="宋体" w:hAnsi="宋体" w:eastAsia="宋体" w:cs="宋体"/>
          <w:color w:val="000000"/>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shd w:val="clear" w:color="auto" w:fill="ffffff"/>
        </w:rPr>
        <w:t xml:space="preserve">我单位（供应商名称）郑重声明：</w:t>
      </w:r>
      <w:r/>
    </w:p>
    <w:p>
      <w:pPr>
        <w:pStyle w:val="959"/>
        <w:pageBreakBefore w:val="0"/>
        <w:spacing w:before="0" w:beforeAutospacing="0" w:after="0" w:afterAutospacing="0" w:line="0" w:lineRule="atLeast"/>
        <w:shd w:val="clear" w:color="auto" w:fill="auto"/>
        <w:widowControl/>
        <w:rPr>
          <w:rFonts w:hint="eastAsia" w:ascii="宋体" w:hAnsi="宋体" w:eastAsia="宋体" w:cs="宋体"/>
          <w:color w:val="000000"/>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shd w:val="clear" w:color="auto" w:fill="ffffff"/>
        </w:rPr>
        <w:t xml:space="preserve">参加本次政府采购活动前3年内</w:t>
      </w:r>
      <w:r>
        <w:rPr>
          <w:rFonts w:hint="eastAsia" w:ascii="宋体" w:hAnsi="宋体" w:eastAsia="宋体" w:cs="宋体"/>
          <w:color w:val="000000"/>
          <w:highlight w:val="none"/>
          <w:u w:val="none"/>
          <w:shd w:val="clear" w:color="auto" w:fill="ffffff"/>
          <w:lang w:val="en-US" w:eastAsia="zh-CN"/>
        </w:rPr>
        <w:t xml:space="preserve">           </w:t>
      </w:r>
      <w:r>
        <w:rPr>
          <w:rFonts w:hint="eastAsia" w:ascii="宋体" w:hAnsi="宋体" w:eastAsia="宋体" w:cs="宋体"/>
          <w:color w:val="000000"/>
          <w:highlight w:val="none"/>
          <w:shd w:val="clear" w:color="auto" w:fill="ffffff"/>
        </w:rPr>
        <w:t xml:space="preserve">（在下划线上如实填写：有或没有）涉及行贿等重大违法案件。</w:t>
      </w:r>
      <w:r/>
    </w:p>
    <w:p>
      <w:pPr>
        <w:pageBreakBefore w:val="0"/>
        <w:spacing w:beforeAutospacing="0" w:afterAutospacing="0"/>
        <w:rPr>
          <w:rFonts w:ascii="Times New Roman" w:hAnsi="Times New Roman" w:cs="Times New Roman"/>
          <w:highlight w:val="cyan"/>
        </w:rPr>
      </w:pPr>
      <w:r>
        <w:rPr>
          <w:rFonts w:ascii="Times New Roman" w:hAnsi="Times New Roman" w:cs="Times New Roman"/>
          <w:highlight w:val="cyan"/>
        </w:rPr>
      </w:r>
      <w:r/>
    </w:p>
    <w:p>
      <w:pPr>
        <w:pageBreakBefore w:val="0"/>
        <w:spacing w:beforeAutospacing="0" w:afterAutospacing="0"/>
        <w:rPr>
          <w:rFonts w:ascii="Times New Roman" w:hAnsi="Times New Roman" w:cs="Times New Roman"/>
          <w:highlight w:val="cyan"/>
        </w:rPr>
      </w:pPr>
      <w:r>
        <w:rPr>
          <w:rFonts w:ascii="Times New Roman" w:hAnsi="Times New Roman" w:cs="Times New Roman"/>
          <w:highlight w:val="cyan"/>
        </w:rPr>
      </w:r>
      <w:r/>
    </w:p>
    <w:p>
      <w:pPr>
        <w:pStyle w:val="959"/>
        <w:ind w:left="0" w:right="0" w:firstLine="0"/>
        <w:jc w:val="right"/>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p>
    <w:p>
      <w:pPr>
        <w:pStyle w:val="959"/>
        <w:ind w:left="0" w:right="0" w:firstLine="0"/>
        <w:jc w:val="center"/>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pStyle w:val="959"/>
        <w:ind w:right="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r>
      <w:r/>
    </w:p>
    <w:p>
      <w:pPr>
        <w:jc w:val="center"/>
        <w:pageBreakBefore w:val="0"/>
        <w:spacing w:beforeAutospacing="0" w:afterAutospacing="0"/>
        <w:rPr>
          <w:rFonts w:ascii="黑体" w:hAnsi="黑体" w:eastAsia="黑体"/>
          <w:b/>
          <w:color w:val="000000"/>
          <w:sz w:val="32"/>
          <w:szCs w:val="32"/>
        </w:rPr>
      </w:pPr>
      <w:r>
        <w:rPr>
          <w:rFonts w:ascii="黑体" w:hAnsi="黑体" w:eastAsia="黑体"/>
          <w:b/>
          <w:color w:val="000000"/>
          <w:sz w:val="32"/>
          <w:szCs w:val="32"/>
        </w:rPr>
      </w:r>
      <w:r/>
    </w:p>
    <w:p>
      <w:pPr>
        <w:jc w:val="center"/>
        <w:pageBreakBefore w:val="0"/>
        <w:spacing w:beforeAutospacing="0" w:afterAutospacing="0"/>
        <w:rPr>
          <w:rFonts w:ascii="黑体" w:hAnsi="黑体" w:eastAsia="黑体"/>
          <w:b/>
          <w:color w:val="000000"/>
          <w:sz w:val="32"/>
          <w:szCs w:val="32"/>
        </w:rPr>
      </w:pPr>
      <w:r>
        <w:rPr>
          <w:rFonts w:ascii="黑体" w:hAnsi="黑体" w:eastAsia="黑体"/>
          <w:b/>
          <w:color w:val="000000"/>
          <w:sz w:val="32"/>
          <w:szCs w:val="32"/>
        </w:rPr>
      </w:r>
      <w:r/>
    </w:p>
    <w:p>
      <w:pPr>
        <w:jc w:val="center"/>
        <w:pageBreakBefore w:val="0"/>
        <w:spacing w:beforeAutospacing="0" w:afterAutospacing="0"/>
        <w:rPr>
          <w:rFonts w:ascii="黑体" w:hAnsi="黑体" w:eastAsia="黑体"/>
          <w:b/>
          <w:color w:val="000000"/>
          <w:sz w:val="32"/>
          <w:szCs w:val="32"/>
        </w:rPr>
      </w:pPr>
      <w:r>
        <w:rPr>
          <w:rFonts w:ascii="黑体" w:hAnsi="黑体" w:eastAsia="黑体"/>
          <w:b/>
          <w:color w:val="000000"/>
          <w:sz w:val="32"/>
          <w:szCs w:val="32"/>
        </w:rPr>
      </w:r>
      <w:r/>
    </w:p>
    <w:p>
      <w:pPr>
        <w:jc w:val="center"/>
        <w:pageBreakBefore w:val="0"/>
        <w:spacing w:beforeAutospacing="0" w:afterAutospacing="0"/>
        <w:rPr>
          <w:rFonts w:ascii="黑体" w:hAnsi="黑体" w:eastAsia="黑体"/>
          <w:b/>
          <w:color w:val="000000"/>
          <w:sz w:val="32"/>
          <w:szCs w:val="32"/>
        </w:rPr>
      </w:pPr>
      <w:r>
        <w:rPr>
          <w:rFonts w:ascii="黑体" w:hAnsi="黑体" w:eastAsia="黑体"/>
          <w:b/>
          <w:color w:val="000000"/>
          <w:sz w:val="32"/>
          <w:szCs w:val="32"/>
        </w:rPr>
      </w:r>
      <w:bookmarkEnd w:id="175"/>
      <w:r/>
      <w:r/>
    </w:p>
    <w:p>
      <w:pPr>
        <w:jc w:val="center"/>
        <w:pageBreakBefore w:val="0"/>
        <w:spacing w:beforeAutospacing="0" w:afterAutospacing="0"/>
        <w:rPr>
          <w:rFonts w:hint="eastAsia" w:ascii="黑体" w:hAnsi="黑体" w:eastAsia="黑体"/>
          <w:b/>
          <w:color w:val="000000"/>
          <w:sz w:val="32"/>
          <w:szCs w:val="32"/>
        </w:rPr>
      </w:pPr>
      <w:r>
        <w:rPr>
          <w:rFonts w:hint="eastAsia" w:ascii="黑体" w:hAnsi="黑体" w:eastAsia="黑体"/>
          <w:b/>
          <w:color w:val="000000"/>
          <w:sz w:val="32"/>
          <w:szCs w:val="32"/>
        </w:rPr>
      </w:r>
      <w:r/>
    </w:p>
    <w:p>
      <w:pPr>
        <w:pageBreakBefore w:val="0"/>
        <w:spacing w:beforeAutospacing="0" w:afterAutospacing="0"/>
        <w:rPr>
          <w:rFonts w:hint="eastAsia" w:ascii="宋体" w:hAnsi="宋体" w:cs="仿宋"/>
          <w:b/>
          <w:bCs/>
          <w:color w:val="000000"/>
          <w:sz w:val="32"/>
          <w:szCs w:val="32"/>
        </w:rPr>
      </w:pPr>
      <w:r>
        <w:rPr>
          <w:rFonts w:hint="eastAsia" w:ascii="宋体" w:hAnsi="宋体" w:cs="仿宋"/>
          <w:b/>
          <w:bCs/>
          <w:color w:val="000000"/>
          <w:sz w:val="32"/>
          <w:szCs w:val="32"/>
        </w:rPr>
      </w:r>
      <w:r/>
    </w:p>
    <w:p>
      <w:pPr>
        <w:pageBreakBefore w:val="0"/>
        <w:spacing w:beforeAutospacing="0" w:afterAutospacing="0"/>
        <w:rPr>
          <w:rFonts w:hint="eastAsia" w:ascii="宋体" w:hAnsi="宋体" w:cs="仿宋"/>
          <w:b/>
          <w:bCs/>
          <w:color w:val="000000"/>
          <w:sz w:val="32"/>
          <w:szCs w:val="32"/>
        </w:rPr>
      </w:pPr>
      <w:r>
        <w:rPr>
          <w:rFonts w:hint="eastAsia" w:ascii="宋体" w:hAnsi="宋体" w:cs="仿宋"/>
          <w:b/>
          <w:bCs/>
          <w:color w:val="000000"/>
          <w:sz w:val="32"/>
          <w:szCs w:val="32"/>
        </w:rPr>
      </w:r>
      <w:r/>
    </w:p>
    <w:p>
      <w:pPr>
        <w:pageBreakBefore w:val="0"/>
        <w:spacing w:beforeAutospacing="0" w:afterAutospacing="0"/>
        <w:rPr>
          <w:rFonts w:hint="eastAsia" w:ascii="宋体" w:hAnsi="宋体" w:cs="仿宋"/>
          <w:b/>
          <w:bCs/>
          <w:color w:val="000000"/>
          <w:sz w:val="32"/>
          <w:szCs w:val="32"/>
        </w:rPr>
      </w:pPr>
      <w:r>
        <w:rPr>
          <w:rFonts w:hint="eastAsia" w:ascii="宋体" w:hAnsi="宋体" w:cs="仿宋"/>
          <w:b/>
          <w:bCs/>
          <w:color w:val="000000"/>
          <w:sz w:val="32"/>
          <w:szCs w:val="32"/>
        </w:rPr>
      </w:r>
      <w:r/>
    </w:p>
    <w:p>
      <w:pPr>
        <w:pageBreakBefore w:val="0"/>
        <w:spacing w:beforeAutospacing="0" w:afterAutospacing="0"/>
        <w:rPr>
          <w:rFonts w:hint="eastAsia" w:ascii="宋体" w:hAnsi="宋体" w:cs="仿宋"/>
          <w:b/>
          <w:bCs/>
          <w:color w:val="000000"/>
          <w:sz w:val="32"/>
          <w:szCs w:val="32"/>
        </w:rPr>
      </w:pPr>
      <w:r>
        <w:rPr>
          <w:rFonts w:hint="eastAsia" w:ascii="宋体" w:hAnsi="宋体" w:cs="仿宋"/>
          <w:b/>
          <w:bCs/>
          <w:color w:val="000000"/>
          <w:sz w:val="32"/>
          <w:szCs w:val="32"/>
        </w:rPr>
      </w:r>
      <w:r/>
    </w:p>
    <w:p>
      <w:pPr>
        <w:jc w:val="center"/>
        <w:pageBreakBefore w:val="0"/>
        <w:spacing w:beforeAutospacing="0" w:afterAutospacing="0"/>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pageBreakBefore w:val="0"/>
        <w:spacing w:beforeAutospacing="0" w:afterAutospacing="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w:t>
      </w:r>
      <w:r/>
    </w:p>
    <w:p>
      <w:pPr>
        <w:pageBreakBefore w:val="0"/>
        <w:spacing w:beforeAutospacing="0" w:afterAutospacing="0"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pageBreakBefore w:val="0"/>
        <w:spacing w:beforeAutospacing="0" w:afterAutospacing="0"/>
        <w:rPr>
          <w:rFonts w:ascii="宋体" w:hAnsi="宋体"/>
          <w:color w:val="000000"/>
          <w:sz w:val="24"/>
          <w:szCs w:val="24"/>
        </w:rPr>
      </w:pPr>
      <w:r>
        <w:rPr>
          <w:rFonts w:hint="eastAsia" w:ascii="宋体" w:hAnsi="宋体"/>
          <w:color w:val="000000"/>
          <w:sz w:val="24"/>
          <w:szCs w:val="24"/>
        </w:rPr>
        <w:t xml:space="preserve">签字(签章)：                   公章：                      </w:t>
      </w:r>
      <w:r/>
    </w:p>
    <w:p>
      <w:pPr>
        <w:pageBreakBefore w:val="0"/>
        <w:spacing w:beforeAutospacing="0" w:afterAutospacing="0"/>
        <w:rPr>
          <w:rFonts w:ascii="宋体" w:hAnsi="宋体"/>
          <w:color w:val="000000"/>
          <w:sz w:val="24"/>
          <w:szCs w:val="24"/>
        </w:rPr>
      </w:pPr>
      <w:r>
        <w:rPr>
          <w:rFonts w:hint="eastAsia" w:ascii="宋体" w:hAnsi="宋体"/>
          <w:color w:val="000000"/>
          <w:sz w:val="24"/>
          <w:szCs w:val="24"/>
        </w:rPr>
        <w:t xml:space="preserve">日期：    </w:t>
      </w:r>
      <w:r/>
    </w:p>
    <w:p>
      <w:pPr>
        <w:pageBreakBefore w:val="0"/>
        <w:spacing w:beforeAutospacing="0" w:afterAutospacing="0"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pageBreakBefore w:val="0"/>
        <w:spacing w:beforeAutospacing="0" w:afterAutospacing="0"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pageBreakBefore w:val="0"/>
        <w:spacing w:beforeAutospacing="0" w:afterAutospacing="0"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pageBreakBefore w:val="0"/>
        <w:spacing w:beforeAutospacing="0" w:afterAutospacing="0"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pageBreakBefore w:val="0"/>
        <w:spacing w:beforeAutospacing="0" w:afterAutospacing="0"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pageBreakBefore w:val="0"/>
        <w:spacing w:beforeAutospacing="0" w:afterAutospacing="0"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pageBreakBefore w:val="0"/>
        <w:spacing w:beforeAutospacing="0" w:afterAutospacing="0"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pStyle w:val="926"/>
        <w:jc w:val="center"/>
        <w:pageBreakBefore w:val="0"/>
        <w:spacing w:beforeAutospacing="0" w:afterAutospacing="0"/>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05"/>
        <w:rFonts w:ascii="宋体" w:hAnsi="宋体"/>
      </w:rPr>
      <w:framePr w:wrap="around" w:vAnchor="text" w:hAnchor="margin" w:xAlign="center" w:y="1"/>
    </w:pPr>
    <w:r>
      <w:rPr>
        <w:rFonts w:ascii="宋体" w:hAnsi="宋体"/>
      </w:rPr>
      <w:fldChar w:fldCharType="begin"/>
    </w:r>
    <w:r>
      <w:rPr>
        <w:rStyle w:val="905"/>
        <w:rFonts w:ascii="宋体" w:hAnsi="宋体"/>
      </w:rPr>
      <w:instrText xml:space="preserve">PAGE  </w:instrText>
    </w:r>
    <w:r>
      <w:rPr>
        <w:rFonts w:ascii="宋体" w:hAnsi="宋体"/>
      </w:rPr>
      <w:fldChar w:fldCharType="separate"/>
    </w:r>
    <w:r>
      <w:rPr>
        <w:rStyle w:val="905"/>
        <w:rFonts w:ascii="宋体" w:hAnsi="宋体"/>
      </w:rPr>
      <w:t xml:space="preserve">22</w:t>
    </w:r>
    <w:r>
      <w:rPr>
        <w:rFonts w:ascii="宋体" w:hAnsi="宋体"/>
      </w:rPr>
      <w:fldChar w:fldCharType="end"/>
    </w:r>
    <w:r/>
  </w:p>
  <w:p>
    <w:pPr>
      <w:pStyle w:val="91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05"/>
      </w:rPr>
      <w:framePr w:wrap="around" w:vAnchor="text" w:hAnchor="margin" w:xAlign="center" w:y="1"/>
    </w:pPr>
    <w:r>
      <w:fldChar w:fldCharType="begin"/>
    </w:r>
    <w:r>
      <w:rPr>
        <w:rStyle w:val="905"/>
      </w:rPr>
      <w:instrText xml:space="preserve">PAGE  </w:instrText>
    </w:r>
    <w:r>
      <w:fldChar w:fldCharType="separate"/>
    </w:r>
    <w:r>
      <w:rPr>
        <w:rStyle w:val="905"/>
      </w:rPr>
      <w:t xml:space="preserve">1</w:t>
    </w:r>
    <w:r>
      <w:fldChar w:fldCharType="end"/>
    </w:r>
    <w:r/>
  </w:p>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67"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7"/>
      <w:isLgl w:val="false"/>
      <w:suff w:val="nothing"/>
      <w:lvlText w:val=""/>
      <w:lvlJc w:val="left"/>
      <w:pPr>
        <w:ind w:left="0" w:firstLine="0"/>
      </w:pPr>
      <w:rPr>
        <w:rFonts w:hint="eastAsia"/>
      </w:rPr>
    </w:lvl>
    <w:lvl w:ilvl="6">
      <w:start w:val="1"/>
      <w:numFmt w:val="decimal"/>
      <w:pStyle w:val="898"/>
      <w:isLgl w:val="false"/>
      <w:suff w:val="nothing"/>
      <w:lvlText w:val=""/>
      <w:lvlJc w:val="left"/>
      <w:pPr>
        <w:ind w:left="0" w:firstLine="0"/>
      </w:pPr>
      <w:rPr>
        <w:rFonts w:hint="eastAsia"/>
      </w:rPr>
    </w:lvl>
    <w:lvl w:ilvl="7">
      <w:start w:val="1"/>
      <w:numFmt w:val="decimal"/>
      <w:pStyle w:val="899"/>
      <w:isLgl w:val="false"/>
      <w:suff w:val="nothing"/>
      <w:lvlText w:val=""/>
      <w:lvlJc w:val="left"/>
      <w:pPr>
        <w:ind w:left="0" w:firstLine="0"/>
      </w:pPr>
      <w:rPr>
        <w:rFonts w:hint="eastAsia"/>
      </w:rPr>
    </w:lvl>
    <w:lvl w:ilvl="8">
      <w:start w:val="1"/>
      <w:numFmt w:val="decimal"/>
      <w:pStyle w:val="900"/>
      <w:isLgl w:val="false"/>
      <w:suff w:val="nothing"/>
      <w:lvlText w:val=""/>
      <w:lvlJc w:val="left"/>
      <w:pPr>
        <w:ind w:left="0" w:firstLine="0"/>
      </w:pPr>
      <w:rPr>
        <w:rFonts w:hint="eastAsia"/>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link w:val="957"/>
    <w:uiPriority w:val="0"/>
    <w:qFormat/>
    <w:pPr>
      <w:jc w:val="both"/>
      <w:widowControl w:val="off"/>
    </w:pPr>
    <w:rPr>
      <w:rFonts w:hint="default" w:ascii="Calibri" w:hAnsi="Calibri" w:eastAsia="宋体" w:cs="Times New Roman"/>
      <w:sz w:val="21"/>
      <w:szCs w:val="22"/>
      <w:lang w:val="en-US" w:eastAsia="zh-CN" w:bidi="ar-SA"/>
    </w:rPr>
  </w:style>
  <w:style w:type="paragraph" w:styleId="709">
    <w:name w:val="Heading 1"/>
    <w:basedOn w:val="708"/>
    <w:next w:val="708"/>
    <w:link w:val="743"/>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44"/>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45"/>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46"/>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47"/>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48"/>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0"/>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1"/>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Layout w:type="fixed"/>
      <w:tblCellMar>
        <w:left w:w="108" w:type="dxa"/>
        <w:top w:w="0" w:type="dxa"/>
        <w:right w:w="108" w:type="dxa"/>
        <w:bottom w:w="0" w:type="dxa"/>
      </w:tblCellMar>
    </w:tblPr>
  </w:style>
  <w:style w:type="paragraph" w:styleId="720" w:customStyle="1">
    <w:name w:val="索引 41"/>
    <w:basedOn w:val="708"/>
    <w:next w:val="708"/>
    <w:uiPriority w:val="0"/>
    <w:qFormat/>
    <w:pPr>
      <w:ind w:left="600"/>
      <w:jc w:val="both"/>
    </w:pPr>
    <w:rPr>
      <w:rFonts w:ascii="Calibri" w:hAnsi="Calibri" w:cs="Times New Roman"/>
      <w:sz w:val="21"/>
    </w:rPr>
  </w:style>
  <w:style w:type="paragraph" w:styleId="721">
    <w:name w:val="toc 7"/>
    <w:basedOn w:val="708"/>
    <w:next w:val="708"/>
    <w:uiPriority w:val="39"/>
    <w:unhideWhenUsed/>
    <w:qFormat/>
    <w:pPr>
      <w:ind w:left="1701" w:right="0" w:firstLine="0"/>
      <w:spacing w:after="57"/>
    </w:pPr>
  </w:style>
  <w:style w:type="paragraph" w:styleId="722">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8"/>
    <w:uiPriority w:val="99"/>
    <w:semiHidden/>
    <w:unhideWhenUsed/>
    <w:qFormat/>
    <w:pPr>
      <w:jc w:val="left"/>
    </w:pPr>
  </w:style>
  <w:style w:type="paragraph" w:styleId="724">
    <w:name w:val="toc 5"/>
    <w:basedOn w:val="708"/>
    <w:next w:val="708"/>
    <w:uiPriority w:val="39"/>
    <w:unhideWhenUsed/>
    <w:qFormat/>
    <w:pPr>
      <w:ind w:left="1134" w:right="0" w:firstLine="0"/>
      <w:spacing w:after="57"/>
    </w:pPr>
  </w:style>
  <w:style w:type="paragraph" w:styleId="725">
    <w:name w:val="toc 3"/>
    <w:basedOn w:val="708"/>
    <w:next w:val="708"/>
    <w:uiPriority w:val="39"/>
    <w:unhideWhenUsed/>
    <w:qFormat/>
    <w:pPr>
      <w:ind w:left="567" w:right="0" w:firstLine="0"/>
      <w:spacing w:after="57"/>
    </w:pPr>
  </w:style>
  <w:style w:type="paragraph" w:styleId="726">
    <w:name w:val="toc 8"/>
    <w:basedOn w:val="708"/>
    <w:next w:val="708"/>
    <w:uiPriority w:val="39"/>
    <w:unhideWhenUsed/>
    <w:qFormat/>
    <w:pPr>
      <w:ind w:left="1984" w:right="0" w:firstLine="0"/>
      <w:spacing w:after="57"/>
    </w:pPr>
  </w:style>
  <w:style w:type="paragraph" w:styleId="727">
    <w:name w:val="endnote text"/>
    <w:basedOn w:val="708"/>
    <w:link w:val="889"/>
    <w:uiPriority w:val="99"/>
    <w:semiHidden/>
    <w:unhideWhenUsed/>
    <w:qFormat/>
    <w:pPr>
      <w:spacing w:after="0" w:line="240" w:lineRule="auto"/>
    </w:pPr>
    <w:rPr>
      <w:sz w:val="20"/>
    </w:rPr>
  </w:style>
  <w:style w:type="paragraph" w:styleId="728">
    <w:name w:val="Footer"/>
    <w:basedOn w:val="708"/>
    <w:link w:val="762"/>
    <w:uiPriority w:val="99"/>
    <w:unhideWhenUsed/>
    <w:qFormat/>
    <w:pPr>
      <w:spacing w:after="0" w:line="240" w:lineRule="auto"/>
      <w:tabs>
        <w:tab w:val="center" w:pos="7143" w:leader="none"/>
        <w:tab w:val="right" w:pos="14287" w:leader="none"/>
      </w:tabs>
    </w:pPr>
  </w:style>
  <w:style w:type="paragraph" w:styleId="729">
    <w:name w:val="Header"/>
    <w:basedOn w:val="708"/>
    <w:link w:val="760"/>
    <w:uiPriority w:val="99"/>
    <w:unhideWhenUsed/>
    <w:qFormat/>
    <w:pPr>
      <w:spacing w:after="0" w:line="240" w:lineRule="auto"/>
      <w:tabs>
        <w:tab w:val="center" w:pos="7143" w:leader="none"/>
        <w:tab w:val="right" w:pos="14287" w:leader="none"/>
      </w:tabs>
    </w:pPr>
  </w:style>
  <w:style w:type="paragraph" w:styleId="730">
    <w:name w:val="toc 1"/>
    <w:basedOn w:val="708"/>
    <w:next w:val="708"/>
    <w:uiPriority w:val="39"/>
    <w:unhideWhenUsed/>
    <w:qFormat/>
    <w:pPr>
      <w:ind w:left="0" w:right="0" w:firstLine="0"/>
      <w:spacing w:after="57"/>
    </w:pPr>
  </w:style>
  <w:style w:type="paragraph" w:styleId="731">
    <w:name w:val="toc 4"/>
    <w:basedOn w:val="708"/>
    <w:next w:val="708"/>
    <w:uiPriority w:val="39"/>
    <w:unhideWhenUsed/>
    <w:qFormat/>
    <w:pPr>
      <w:ind w:left="850" w:right="0" w:firstLine="0"/>
      <w:spacing w:after="57"/>
    </w:pPr>
  </w:style>
  <w:style w:type="paragraph" w:styleId="732">
    <w:name w:val="Subtitle"/>
    <w:basedOn w:val="708"/>
    <w:next w:val="708"/>
    <w:link w:val="755"/>
    <w:uiPriority w:val="11"/>
    <w:qFormat/>
    <w:pPr>
      <w:spacing w:before="200" w:after="200"/>
    </w:pPr>
    <w:rPr>
      <w:sz w:val="24"/>
      <w:szCs w:val="24"/>
    </w:rPr>
  </w:style>
  <w:style w:type="paragraph" w:styleId="733">
    <w:name w:val="footnote text"/>
    <w:basedOn w:val="708"/>
    <w:link w:val="888"/>
    <w:uiPriority w:val="99"/>
    <w:semiHidden/>
    <w:unhideWhenUsed/>
    <w:qFormat/>
    <w:pPr>
      <w:spacing w:after="40" w:line="240" w:lineRule="auto"/>
    </w:pPr>
    <w:rPr>
      <w:sz w:val="18"/>
    </w:rPr>
  </w:style>
  <w:style w:type="paragraph" w:styleId="734">
    <w:name w:val="toc 6"/>
    <w:basedOn w:val="708"/>
    <w:next w:val="708"/>
    <w:uiPriority w:val="39"/>
    <w:unhideWhenUsed/>
    <w:qFormat/>
    <w:pPr>
      <w:ind w:left="1417" w:right="0" w:firstLine="0"/>
      <w:spacing w:after="57"/>
    </w:pPr>
  </w:style>
  <w:style w:type="paragraph" w:styleId="735">
    <w:name w:val="table of figures"/>
    <w:basedOn w:val="708"/>
    <w:next w:val="708"/>
    <w:uiPriority w:val="99"/>
    <w:unhideWhenUsed/>
    <w:qFormat/>
    <w:pPr>
      <w:spacing w:after="0" w:afterAutospacing="0"/>
    </w:pPr>
  </w:style>
  <w:style w:type="paragraph" w:styleId="736">
    <w:name w:val="toc 2"/>
    <w:basedOn w:val="708"/>
    <w:next w:val="708"/>
    <w:uiPriority w:val="39"/>
    <w:unhideWhenUsed/>
    <w:qFormat/>
    <w:pPr>
      <w:ind w:left="283" w:right="0" w:firstLine="0"/>
      <w:spacing w:after="57"/>
    </w:pPr>
  </w:style>
  <w:style w:type="paragraph" w:styleId="737">
    <w:name w:val="toc 9"/>
    <w:basedOn w:val="708"/>
    <w:next w:val="708"/>
    <w:uiPriority w:val="39"/>
    <w:unhideWhenUsed/>
    <w:qFormat/>
    <w:pPr>
      <w:ind w:left="2268" w:right="0" w:firstLine="0"/>
      <w:spacing w:after="57"/>
    </w:pPr>
  </w:style>
  <w:style w:type="paragraph" w:styleId="738">
    <w:name w:val="Title"/>
    <w:basedOn w:val="708"/>
    <w:next w:val="708"/>
    <w:link w:val="754"/>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character" w:styleId="743" w:customStyle="1">
    <w:name w:val="Heading 1 Char"/>
    <w:link w:val="709"/>
    <w:uiPriority w:val="9"/>
    <w:qFormat/>
    <w:rPr>
      <w:rFonts w:ascii="Arial" w:hAnsi="Arial" w:eastAsia="Arial" w:cs="Arial"/>
      <w:sz w:val="40"/>
      <w:szCs w:val="40"/>
    </w:rPr>
  </w:style>
  <w:style w:type="character" w:styleId="744" w:customStyle="1">
    <w:name w:val="Heading 2 Char"/>
    <w:link w:val="710"/>
    <w:uiPriority w:val="9"/>
    <w:qFormat/>
    <w:rPr>
      <w:rFonts w:ascii="Arial" w:hAnsi="Arial" w:eastAsia="Arial" w:cs="Arial"/>
      <w:sz w:val="34"/>
    </w:rPr>
  </w:style>
  <w:style w:type="character" w:styleId="745" w:customStyle="1">
    <w:name w:val="Heading 3 Char"/>
    <w:link w:val="711"/>
    <w:uiPriority w:val="9"/>
    <w:qFormat/>
    <w:rPr>
      <w:rFonts w:ascii="Arial" w:hAnsi="Arial" w:eastAsia="Arial" w:cs="Arial"/>
      <w:sz w:val="30"/>
      <w:szCs w:val="30"/>
    </w:rPr>
  </w:style>
  <w:style w:type="character" w:styleId="746" w:customStyle="1">
    <w:name w:val="Heading 4 Char"/>
    <w:link w:val="712"/>
    <w:uiPriority w:val="9"/>
    <w:qFormat/>
    <w:rPr>
      <w:rFonts w:ascii="Arial" w:hAnsi="Arial" w:eastAsia="Arial" w:cs="Arial"/>
      <w:b/>
      <w:bCs/>
      <w:sz w:val="26"/>
      <w:szCs w:val="26"/>
    </w:rPr>
  </w:style>
  <w:style w:type="character" w:styleId="747" w:customStyle="1">
    <w:name w:val="Heading 5 Char"/>
    <w:link w:val="713"/>
    <w:uiPriority w:val="9"/>
    <w:qFormat/>
    <w:rPr>
      <w:rFonts w:ascii="Arial" w:hAnsi="Arial" w:eastAsia="Arial" w:cs="Arial"/>
      <w:b/>
      <w:bCs/>
      <w:sz w:val="24"/>
      <w:szCs w:val="24"/>
    </w:rPr>
  </w:style>
  <w:style w:type="character" w:styleId="748" w:customStyle="1">
    <w:name w:val="Heading 6 Char"/>
    <w:link w:val="714"/>
    <w:uiPriority w:val="9"/>
    <w:qFormat/>
    <w:rPr>
      <w:rFonts w:ascii="Arial" w:hAnsi="Arial" w:eastAsia="Arial" w:cs="Arial"/>
      <w:b/>
      <w:bCs/>
      <w:sz w:val="22"/>
      <w:szCs w:val="22"/>
    </w:rPr>
  </w:style>
  <w:style w:type="character" w:styleId="749" w:customStyle="1">
    <w:name w:val="Heading 7 Char"/>
    <w:link w:val="715"/>
    <w:uiPriority w:val="9"/>
    <w:qFormat/>
    <w:rPr>
      <w:rFonts w:ascii="Arial" w:hAnsi="Arial" w:eastAsia="Arial" w:cs="Arial"/>
      <w:b/>
      <w:bCs/>
      <w:i/>
      <w:iCs/>
      <w:sz w:val="22"/>
      <w:szCs w:val="22"/>
    </w:rPr>
  </w:style>
  <w:style w:type="character" w:styleId="750" w:customStyle="1">
    <w:name w:val="Heading 8 Char"/>
    <w:link w:val="716"/>
    <w:uiPriority w:val="9"/>
    <w:qFormat/>
    <w:rPr>
      <w:rFonts w:ascii="Arial" w:hAnsi="Arial" w:eastAsia="Arial" w:cs="Arial"/>
      <w:i/>
      <w:iCs/>
      <w:sz w:val="22"/>
      <w:szCs w:val="22"/>
    </w:rPr>
  </w:style>
  <w:style w:type="character" w:styleId="751" w:customStyle="1">
    <w:name w:val="Heading 9 Char"/>
    <w:link w:val="717"/>
    <w:uiPriority w:val="9"/>
    <w:qFormat/>
    <w:rPr>
      <w:rFonts w:ascii="Arial" w:hAnsi="Arial" w:eastAsia="Arial" w:cs="Arial"/>
      <w:i/>
      <w:iCs/>
      <w:sz w:val="21"/>
      <w:szCs w:val="21"/>
    </w:rPr>
  </w:style>
  <w:style w:type="paragraph" w:styleId="752">
    <w:name w:val="List Paragraph"/>
    <w:basedOn w:val="708"/>
    <w:uiPriority w:val="34"/>
    <w:qFormat/>
    <w:pPr>
      <w:contextualSpacing/>
      <w:ind w:left="720"/>
    </w:pPr>
  </w:style>
  <w:style w:type="paragraph" w:styleId="753">
    <w:name w:val="No Spacing"/>
    <w:uiPriority w:val="1"/>
    <w:qFormat/>
    <w:pPr>
      <w:spacing w:before="0" w:after="0" w:line="240" w:lineRule="auto"/>
    </w:pPr>
    <w:rPr>
      <w:rFonts w:hint="default" w:ascii="Calibri" w:hAnsi="Calibri" w:eastAsia="宋体" w:cs="Times New Roman"/>
    </w:rPr>
  </w:style>
  <w:style w:type="character" w:styleId="754" w:customStyle="1">
    <w:name w:val="Title Char"/>
    <w:link w:val="738"/>
    <w:uiPriority w:val="10"/>
    <w:qFormat/>
    <w:rPr>
      <w:sz w:val="48"/>
      <w:szCs w:val="48"/>
    </w:rPr>
  </w:style>
  <w:style w:type="character" w:styleId="755" w:customStyle="1">
    <w:name w:val="Subtitle Char"/>
    <w:link w:val="732"/>
    <w:uiPriority w:val="11"/>
    <w:qFormat/>
    <w:rPr>
      <w:sz w:val="24"/>
      <w:szCs w:val="24"/>
    </w:rPr>
  </w:style>
  <w:style w:type="paragraph" w:styleId="756">
    <w:name w:val="Quote"/>
    <w:basedOn w:val="708"/>
    <w:next w:val="708"/>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708"/>
    <w:next w:val="708"/>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link w:val="729"/>
    <w:uiPriority w:val="99"/>
    <w:qFormat/>
  </w:style>
  <w:style w:type="character" w:styleId="761" w:customStyle="1">
    <w:name w:val="Footer Char"/>
    <w:link w:val="728"/>
    <w:uiPriority w:val="99"/>
    <w:qFormat/>
  </w:style>
  <w:style w:type="character" w:styleId="762" w:customStyle="1">
    <w:name w:val="Caption Char"/>
    <w:link w:val="728"/>
    <w:uiPriority w:val="99"/>
    <w:qFormat/>
  </w:style>
  <w:style w:type="table" w:styleId="7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link w:val="733"/>
    <w:uiPriority w:val="99"/>
    <w:qFormat/>
    <w:rPr>
      <w:sz w:val="18"/>
    </w:rPr>
  </w:style>
  <w:style w:type="character" w:styleId="889" w:customStyle="1">
    <w:name w:val="Endnote Text Char"/>
    <w:link w:val="727"/>
    <w:uiPriority w:val="99"/>
    <w:qFormat/>
    <w:rPr>
      <w:sz w:val="20"/>
    </w:rPr>
  </w:style>
  <w:style w:type="paragraph" w:styleId="890" w:customStyle="1">
    <w:name w:val="TOC Heading"/>
    <w:uiPriority w:val="39"/>
    <w:unhideWhenUsed/>
    <w:qFormat/>
    <w:rPr>
      <w:rFonts w:hint="default" w:ascii="Calibri" w:hAnsi="Calibri" w:eastAsia="宋体" w:cs="Times New Roman"/>
    </w:rPr>
  </w:style>
  <w:style w:type="paragraph" w:styleId="891" w:customStyle="1">
    <w:name w:val="标题 11"/>
    <w:basedOn w:val="708"/>
    <w:next w:val="708"/>
    <w:link w:val="916"/>
    <w:uiPriority w:val="0"/>
    <w:qFormat/>
    <w:pPr>
      <w:jc w:val="center"/>
      <w:keepNext/>
      <w:outlineLvl w:val="0"/>
    </w:pPr>
    <w:rPr>
      <w:rFonts w:ascii="楷体_GB2312" w:hAnsi="Times New Roman" w:eastAsia="楷体_GB2312" w:cs="Times New Roman"/>
      <w:sz w:val="28"/>
      <w:szCs w:val="28"/>
    </w:rPr>
  </w:style>
  <w:style w:type="paragraph" w:styleId="892" w:customStyle="1">
    <w:name w:val="标题 21"/>
    <w:basedOn w:val="708"/>
    <w:next w:val="893"/>
    <w:link w:val="9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3" w:customStyle="1">
    <w:name w:val="正文缩进1"/>
    <w:basedOn w:val="708"/>
    <w:link w:val="906"/>
    <w:uiPriority w:val="0"/>
    <w:qFormat/>
    <w:pPr>
      <w:ind w:firstLine="420"/>
    </w:pPr>
    <w:rPr>
      <w:szCs w:val="21"/>
    </w:rPr>
  </w:style>
  <w:style w:type="paragraph" w:styleId="894" w:customStyle="1">
    <w:name w:val="标题 31"/>
    <w:basedOn w:val="708"/>
    <w:next w:val="893"/>
    <w:link w:val="93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5" w:customStyle="1">
    <w:name w:val="标题 41"/>
    <w:basedOn w:val="708"/>
    <w:next w:val="893"/>
    <w:link w:val="932"/>
    <w:uiPriority w:val="0"/>
    <w:qFormat/>
    <w:pPr>
      <w:keepLines/>
      <w:keepNext/>
      <w:spacing w:before="280" w:after="290" w:line="376" w:lineRule="auto"/>
      <w:outlineLvl w:val="3"/>
    </w:pPr>
    <w:rPr>
      <w:rFonts w:ascii="Arial" w:hAnsi="Arial" w:eastAsia="黑体" w:cs="Arial"/>
      <w:b/>
      <w:bCs/>
      <w:sz w:val="28"/>
      <w:szCs w:val="28"/>
    </w:rPr>
  </w:style>
  <w:style w:type="paragraph" w:styleId="896" w:customStyle="1">
    <w:name w:val="标题 51"/>
    <w:basedOn w:val="708"/>
    <w:next w:val="893"/>
    <w:link w:val="933"/>
    <w:uiPriority w:val="0"/>
    <w:qFormat/>
    <w:pPr>
      <w:keepNext/>
      <w:outlineLvl w:val="4"/>
    </w:pPr>
    <w:rPr>
      <w:rFonts w:ascii="宋体" w:hAnsi="Times New Roman" w:eastAsia="宋体" w:cs="Times New Roman"/>
      <w:color w:val="000000"/>
      <w:sz w:val="28"/>
      <w:szCs w:val="28"/>
    </w:rPr>
  </w:style>
  <w:style w:type="paragraph" w:styleId="897" w:customStyle="1">
    <w:name w:val="标题 61"/>
    <w:basedOn w:val="708"/>
    <w:next w:val="708"/>
    <w:link w:val="91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8" w:customStyle="1">
    <w:name w:val="标题 71"/>
    <w:basedOn w:val="708"/>
    <w:next w:val="708"/>
    <w:link w:val="93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9" w:customStyle="1">
    <w:name w:val="标题 81"/>
    <w:basedOn w:val="708"/>
    <w:next w:val="708"/>
    <w:link w:val="90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0" w:customStyle="1">
    <w:name w:val="标题 91"/>
    <w:basedOn w:val="708"/>
    <w:next w:val="708"/>
    <w:link w:val="93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1" w:customStyle="1">
    <w:name w:val="默认段落字体1"/>
    <w:link w:val="708"/>
    <w:uiPriority w:val="1"/>
    <w:unhideWhenUsed/>
    <w:qFormat/>
  </w:style>
  <w:style w:type="table" w:styleId="902" w:customStyle="1">
    <w:name w:val="普通表格1"/>
    <w:uiPriority w:val="99"/>
    <w:unhideWhenUsed/>
    <w:qFormat/>
    <w:tblPr/>
  </w:style>
  <w:style w:type="character" w:styleId="903" w:customStyle="1">
    <w:name w:val="要点1"/>
    <w:basedOn w:val="901"/>
    <w:link w:val="708"/>
    <w:uiPriority w:val="0"/>
    <w:qFormat/>
    <w:rPr>
      <w:b/>
      <w:bCs/>
    </w:rPr>
  </w:style>
  <w:style w:type="character" w:styleId="904" w:customStyle="1">
    <w:name w:val="标题 2 Char"/>
    <w:link w:val="892"/>
    <w:uiPriority w:val="0"/>
    <w:qFormat/>
    <w:rPr>
      <w:rFonts w:ascii="Arial" w:hAnsi="Arial" w:eastAsia="幼圆" w:cs="Arial"/>
      <w:b/>
      <w:bCs/>
      <w:sz w:val="44"/>
      <w:szCs w:val="44"/>
    </w:rPr>
  </w:style>
  <w:style w:type="character" w:styleId="905" w:customStyle="1">
    <w:name w:val="页码1"/>
    <w:link w:val="708"/>
    <w:uiPriority w:val="0"/>
    <w:qFormat/>
  </w:style>
  <w:style w:type="character" w:styleId="906" w:customStyle="1">
    <w:name w:val="正文缩进 Char"/>
    <w:link w:val="893"/>
    <w:uiPriority w:val="0"/>
    <w:qFormat/>
    <w:rPr>
      <w:szCs w:val="21"/>
    </w:rPr>
  </w:style>
  <w:style w:type="character" w:styleId="907" w:customStyle="1">
    <w:name w:val="已访问的超链接1"/>
    <w:link w:val="708"/>
    <w:uiPriority w:val="0"/>
    <w:qFormat/>
    <w:rPr>
      <w:color w:val="800080"/>
      <w:u w:val="single"/>
    </w:rPr>
  </w:style>
  <w:style w:type="character" w:styleId="908" w:customStyle="1">
    <w:name w:val="标题 8 Char"/>
    <w:link w:val="899"/>
    <w:uiPriority w:val="0"/>
    <w:qFormat/>
    <w:rPr>
      <w:rFonts w:ascii="Arial" w:hAnsi="Arial" w:eastAsia="黑体" w:cs="Times New Roman"/>
      <w:sz w:val="24"/>
      <w:szCs w:val="24"/>
    </w:rPr>
  </w:style>
  <w:style w:type="character" w:styleId="909" w:customStyle="1">
    <w:name w:val="超链接1"/>
    <w:link w:val="708"/>
    <w:uiPriority w:val="0"/>
    <w:qFormat/>
    <w:rPr>
      <w:color w:val="0000ff"/>
      <w:u w:val="single"/>
    </w:rPr>
  </w:style>
  <w:style w:type="character" w:styleId="910" w:customStyle="1">
    <w:name w:val="强调1"/>
    <w:basedOn w:val="901"/>
    <w:link w:val="708"/>
    <w:uiPriority w:val="0"/>
    <w:qFormat/>
    <w:rPr>
      <w:i/>
    </w:rPr>
  </w:style>
  <w:style w:type="character" w:styleId="911" w:customStyle="1">
    <w:name w:val="正文文本缩进 3 Char"/>
    <w:link w:val="912"/>
    <w:uiPriority w:val="0"/>
    <w:qFormat/>
    <w:rPr>
      <w:rFonts w:ascii="Arial" w:hAnsi="Arial" w:eastAsia="仿宋_GB2312" w:cs="Arial"/>
      <w:color w:val="ffff00"/>
      <w:sz w:val="32"/>
      <w:szCs w:val="32"/>
    </w:rPr>
  </w:style>
  <w:style w:type="paragraph" w:styleId="912" w:customStyle="1">
    <w:name w:val="正文文本缩进 31"/>
    <w:basedOn w:val="708"/>
    <w:link w:val="911"/>
    <w:uiPriority w:val="0"/>
    <w:qFormat/>
    <w:pPr>
      <w:ind w:left="645" w:firstLine="645"/>
    </w:pPr>
    <w:rPr>
      <w:rFonts w:ascii="Arial" w:hAnsi="Arial" w:eastAsia="仿宋_GB2312" w:cs="Arial"/>
      <w:color w:val="ffff00"/>
      <w:sz w:val="32"/>
      <w:szCs w:val="32"/>
    </w:rPr>
  </w:style>
  <w:style w:type="character" w:styleId="913" w:customStyle="1">
    <w:name w:val="批注引用1"/>
    <w:link w:val="708"/>
    <w:uiPriority w:val="0"/>
    <w:semiHidden/>
    <w:qFormat/>
    <w:rPr>
      <w:sz w:val="21"/>
      <w:szCs w:val="21"/>
    </w:rPr>
  </w:style>
  <w:style w:type="character" w:styleId="914" w:customStyle="1">
    <w:name w:val="正文首行缩进 Char"/>
    <w:link w:val="915"/>
    <w:uiPriority w:val="0"/>
    <w:qFormat/>
    <w:rPr>
      <w:rFonts w:ascii="仿宋_GB2312" w:hAnsi="Times New Roman" w:eastAsia="仿宋_GB2312" w:cs="Times New Roman"/>
      <w:sz w:val="30"/>
      <w:szCs w:val="30"/>
    </w:rPr>
  </w:style>
  <w:style w:type="paragraph" w:styleId="915" w:customStyle="1">
    <w:name w:val="正文首行缩进1"/>
    <w:basedOn w:val="708"/>
    <w:link w:val="914"/>
    <w:uiPriority w:val="0"/>
    <w:qFormat/>
    <w:pPr>
      <w:ind w:firstLine="200"/>
      <w:spacing w:line="360" w:lineRule="auto"/>
    </w:pPr>
    <w:rPr>
      <w:rFonts w:ascii="仿宋_GB2312" w:hAnsi="Times New Roman" w:eastAsia="仿宋_GB2312" w:cs="Times New Roman"/>
      <w:sz w:val="30"/>
      <w:szCs w:val="30"/>
    </w:rPr>
  </w:style>
  <w:style w:type="character" w:styleId="916" w:customStyle="1">
    <w:name w:val="标题 1 Char"/>
    <w:link w:val="891"/>
    <w:uiPriority w:val="0"/>
    <w:qFormat/>
    <w:rPr>
      <w:rFonts w:ascii="楷体_GB2312" w:hAnsi="Times New Roman" w:eastAsia="楷体_GB2312" w:cs="Times New Roman"/>
      <w:sz w:val="28"/>
      <w:szCs w:val="28"/>
    </w:rPr>
  </w:style>
  <w:style w:type="character" w:styleId="917" w:customStyle="1">
    <w:name w:val="页脚 Char"/>
    <w:link w:val="918"/>
    <w:uiPriority w:val="99"/>
    <w:qFormat/>
    <w:rPr>
      <w:rFonts w:ascii="Times New Roman" w:hAnsi="Times New Roman" w:eastAsia="宋体" w:cs="Times New Roman"/>
      <w:sz w:val="18"/>
      <w:szCs w:val="18"/>
    </w:rPr>
  </w:style>
  <w:style w:type="paragraph" w:styleId="918" w:customStyle="1">
    <w:name w:val="页脚1"/>
    <w:basedOn w:val="708"/>
    <w:link w:val="917"/>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19" w:customStyle="1">
    <w:name w:val="标题 6 Char"/>
    <w:link w:val="897"/>
    <w:uiPriority w:val="0"/>
    <w:qFormat/>
    <w:rPr>
      <w:rFonts w:ascii="Arial" w:hAnsi="Arial" w:eastAsia="黑体" w:cs="Times New Roman"/>
      <w:b/>
      <w:bCs/>
      <w:sz w:val="24"/>
      <w:szCs w:val="24"/>
    </w:rPr>
  </w:style>
  <w:style w:type="character" w:styleId="920" w:customStyle="1">
    <w:name w:val="批注文字 Char"/>
    <w:link w:val="921"/>
    <w:uiPriority w:val="99"/>
    <w:semiHidden/>
    <w:qFormat/>
  </w:style>
  <w:style w:type="paragraph" w:styleId="921" w:customStyle="1">
    <w:name w:val="批注文字1"/>
    <w:basedOn w:val="708"/>
    <w:link w:val="920"/>
    <w:uiPriority w:val="0"/>
    <w:unhideWhenUsed/>
    <w:qFormat/>
    <w:pPr>
      <w:jc w:val="left"/>
    </w:pPr>
  </w:style>
  <w:style w:type="character" w:styleId="922" w:customStyle="1">
    <w:name w:val="批注框文本 Char"/>
    <w:link w:val="923"/>
    <w:uiPriority w:val="0"/>
    <w:semiHidden/>
    <w:qFormat/>
    <w:rPr>
      <w:rFonts w:ascii="Times New Roman" w:hAnsi="Times New Roman" w:eastAsia="宋体" w:cs="Times New Roman"/>
      <w:sz w:val="18"/>
      <w:szCs w:val="18"/>
    </w:rPr>
  </w:style>
  <w:style w:type="paragraph" w:styleId="923" w:customStyle="1">
    <w:name w:val="批注框文本1"/>
    <w:basedOn w:val="708"/>
    <w:link w:val="922"/>
    <w:uiPriority w:val="0"/>
    <w:semiHidden/>
    <w:qFormat/>
    <w:rPr>
      <w:rFonts w:ascii="Times New Roman" w:hAnsi="Times New Roman" w:eastAsia="宋体" w:cs="Times New Roman"/>
      <w:sz w:val="18"/>
      <w:szCs w:val="18"/>
    </w:rPr>
  </w:style>
  <w:style w:type="character" w:styleId="924" w:customStyle="1">
    <w:name w:val="font71"/>
    <w:basedOn w:val="901"/>
    <w:link w:val="708"/>
    <w:uiPriority w:val="0"/>
    <w:qFormat/>
    <w:rPr>
      <w:rFonts w:hint="eastAsia" w:ascii="宋体" w:hAnsi="宋体" w:eastAsia="宋体" w:cs="宋体"/>
      <w:color w:val="ff0000"/>
      <w:sz w:val="22"/>
      <w:szCs w:val="22"/>
      <w:u w:val="none"/>
    </w:rPr>
  </w:style>
  <w:style w:type="character" w:styleId="925" w:customStyle="1">
    <w:name w:val="正文文本 Char"/>
    <w:link w:val="926"/>
    <w:uiPriority w:val="0"/>
    <w:qFormat/>
    <w:rPr>
      <w:rFonts w:ascii="楷体_GB2312" w:hAnsi="Arial" w:eastAsia="楷体_GB2312" w:cs="Times New Roman"/>
      <w:sz w:val="28"/>
      <w:szCs w:val="28"/>
    </w:rPr>
  </w:style>
  <w:style w:type="paragraph" w:styleId="926" w:customStyle="1">
    <w:name w:val="正文文本1"/>
    <w:basedOn w:val="708"/>
    <w:link w:val="925"/>
    <w:uiPriority w:val="0"/>
    <w:qFormat/>
    <w:rPr>
      <w:rFonts w:ascii="楷体_GB2312" w:hAnsi="Arial" w:eastAsia="楷体_GB2312" w:cs="Times New Roman"/>
      <w:sz w:val="28"/>
      <w:szCs w:val="28"/>
    </w:rPr>
  </w:style>
  <w:style w:type="character" w:styleId="927" w:customStyle="1">
    <w:name w:val="列出段落 Char"/>
    <w:link w:val="928"/>
    <w:uiPriority w:val="0"/>
    <w:qFormat/>
    <w:rPr>
      <w:rFonts w:ascii="Calibri" w:hAnsi="Calibri"/>
      <w:sz w:val="24"/>
      <w:szCs w:val="24"/>
      <w:lang w:eastAsia="en-US" w:bidi="en-US"/>
    </w:rPr>
  </w:style>
  <w:style w:type="paragraph" w:styleId="928" w:customStyle="1">
    <w:name w:val="列出段落1"/>
    <w:basedOn w:val="708"/>
    <w:link w:val="927"/>
    <w:uiPriority w:val="0"/>
    <w:qFormat/>
    <w:pPr>
      <w:contextualSpacing/>
      <w:ind w:left="720"/>
      <w:jc w:val="left"/>
      <w:widowControl/>
    </w:pPr>
    <w:rPr>
      <w:rFonts w:ascii="Calibri" w:hAnsi="Calibri"/>
      <w:sz w:val="24"/>
      <w:szCs w:val="24"/>
      <w:lang w:eastAsia="en-US" w:bidi="en-US"/>
    </w:rPr>
  </w:style>
  <w:style w:type="character" w:styleId="929" w:customStyle="1">
    <w:name w:val="纯文本 Char"/>
    <w:link w:val="930"/>
    <w:uiPriority w:val="0"/>
    <w:qFormat/>
    <w:rPr>
      <w:rFonts w:ascii="宋体" w:hAnsi="Courier New" w:eastAsia="宋体" w:cs="Courier New"/>
      <w:szCs w:val="21"/>
    </w:rPr>
  </w:style>
  <w:style w:type="paragraph" w:styleId="930" w:customStyle="1">
    <w:name w:val="纯文本1"/>
    <w:basedOn w:val="708"/>
    <w:link w:val="929"/>
    <w:uiPriority w:val="0"/>
    <w:qFormat/>
    <w:rPr>
      <w:rFonts w:ascii="宋体" w:hAnsi="Courier New" w:eastAsia="宋体" w:cs="Courier New"/>
      <w:szCs w:val="21"/>
    </w:rPr>
  </w:style>
  <w:style w:type="character" w:styleId="931" w:customStyle="1">
    <w:name w:val="标题 3 Char"/>
    <w:link w:val="894"/>
    <w:uiPriority w:val="0"/>
    <w:qFormat/>
    <w:rPr>
      <w:rFonts w:ascii="Times New Roman" w:hAnsi="Times New Roman" w:eastAsia="宋体" w:cs="Times New Roman"/>
      <w:b/>
      <w:bCs/>
      <w:sz w:val="32"/>
      <w:szCs w:val="32"/>
    </w:rPr>
  </w:style>
  <w:style w:type="character" w:styleId="932" w:customStyle="1">
    <w:name w:val="标题 4 Char"/>
    <w:link w:val="895"/>
    <w:uiPriority w:val="0"/>
    <w:qFormat/>
    <w:rPr>
      <w:rFonts w:ascii="Arial" w:hAnsi="Arial" w:eastAsia="黑体" w:cs="Arial"/>
      <w:b/>
      <w:bCs/>
      <w:sz w:val="28"/>
      <w:szCs w:val="28"/>
    </w:rPr>
  </w:style>
  <w:style w:type="character" w:styleId="933" w:customStyle="1">
    <w:name w:val="标题 5 Char"/>
    <w:link w:val="896"/>
    <w:uiPriority w:val="0"/>
    <w:qFormat/>
    <w:rPr>
      <w:rFonts w:ascii="宋体" w:hAnsi="Times New Roman" w:eastAsia="宋体" w:cs="Times New Roman"/>
      <w:color w:val="000000"/>
      <w:sz w:val="28"/>
      <w:szCs w:val="28"/>
    </w:rPr>
  </w:style>
  <w:style w:type="character" w:styleId="934" w:customStyle="1">
    <w:name w:val="标题 7 Char"/>
    <w:link w:val="898"/>
    <w:uiPriority w:val="0"/>
    <w:qFormat/>
    <w:rPr>
      <w:rFonts w:ascii="Times New Roman" w:hAnsi="Times New Roman" w:eastAsia="宋体" w:cs="Times New Roman"/>
      <w:b/>
      <w:bCs/>
      <w:sz w:val="24"/>
      <w:szCs w:val="24"/>
    </w:rPr>
  </w:style>
  <w:style w:type="character" w:styleId="935" w:customStyle="1">
    <w:name w:val="标题 9 Char"/>
    <w:link w:val="900"/>
    <w:uiPriority w:val="0"/>
    <w:qFormat/>
    <w:rPr>
      <w:rFonts w:ascii="Arial" w:hAnsi="Arial" w:eastAsia="黑体" w:cs="Times New Roman"/>
      <w:szCs w:val="21"/>
    </w:rPr>
  </w:style>
  <w:style w:type="character" w:styleId="936" w:customStyle="1">
    <w:name w:val="文档结构图 Char"/>
    <w:link w:val="937"/>
    <w:uiPriority w:val="0"/>
    <w:semiHidden/>
    <w:qFormat/>
    <w:rPr>
      <w:rFonts w:ascii="Times New Roman" w:hAnsi="Times New Roman" w:eastAsia="宋体" w:cs="Times New Roman"/>
      <w:szCs w:val="21"/>
      <w:shd w:val="clear" w:color="auto" w:fill="000080"/>
    </w:rPr>
  </w:style>
  <w:style w:type="paragraph" w:styleId="937" w:customStyle="1">
    <w:name w:val="文档结构图1"/>
    <w:basedOn w:val="708"/>
    <w:link w:val="936"/>
    <w:uiPriority w:val="0"/>
    <w:semiHidden/>
    <w:qFormat/>
    <w:pPr>
      <w:shd w:val="clear" w:color="auto" w:fill="000080"/>
    </w:pPr>
    <w:rPr>
      <w:rFonts w:ascii="Times New Roman" w:hAnsi="Times New Roman" w:eastAsia="宋体" w:cs="Times New Roman"/>
      <w:szCs w:val="21"/>
    </w:rPr>
  </w:style>
  <w:style w:type="character" w:styleId="938" w:customStyle="1">
    <w:name w:val="正文文本 3 Char"/>
    <w:link w:val="939"/>
    <w:uiPriority w:val="0"/>
    <w:qFormat/>
    <w:rPr>
      <w:rFonts w:ascii="仿宋_GB2312" w:hAnsi="Arial" w:eastAsia="仿宋_GB2312" w:cs="Times New Roman"/>
      <w:sz w:val="32"/>
      <w:szCs w:val="32"/>
    </w:rPr>
  </w:style>
  <w:style w:type="paragraph" w:styleId="939" w:customStyle="1">
    <w:name w:val="正文文本 31"/>
    <w:basedOn w:val="708"/>
    <w:link w:val="938"/>
    <w:uiPriority w:val="0"/>
    <w:qFormat/>
    <w:rPr>
      <w:rFonts w:ascii="仿宋_GB2312" w:hAnsi="Arial" w:eastAsia="仿宋_GB2312" w:cs="Times New Roman"/>
      <w:sz w:val="32"/>
      <w:szCs w:val="32"/>
    </w:rPr>
  </w:style>
  <w:style w:type="character" w:styleId="940" w:customStyle="1">
    <w:name w:val="正文文本缩进 Char"/>
    <w:link w:val="941"/>
    <w:uiPriority w:val="99"/>
    <w:semiHidden/>
    <w:qFormat/>
  </w:style>
  <w:style w:type="paragraph" w:styleId="941" w:customStyle="1">
    <w:name w:val="正文文本缩进1"/>
    <w:basedOn w:val="708"/>
    <w:link w:val="940"/>
    <w:uiPriority w:val="0"/>
    <w:unhideWhenUsed/>
    <w:qFormat/>
    <w:pPr>
      <w:ind w:left="420"/>
      <w:spacing w:after="120"/>
    </w:pPr>
  </w:style>
  <w:style w:type="character" w:styleId="942" w:customStyle="1">
    <w:name w:val="日期 Char"/>
    <w:link w:val="943"/>
    <w:uiPriority w:val="0"/>
    <w:qFormat/>
    <w:rPr>
      <w:rFonts w:ascii="Times New Roman" w:hAnsi="Times New Roman" w:eastAsia="宋体" w:cs="Times New Roman"/>
      <w:sz w:val="24"/>
      <w:szCs w:val="24"/>
    </w:rPr>
  </w:style>
  <w:style w:type="paragraph" w:styleId="943" w:customStyle="1">
    <w:name w:val="日期1"/>
    <w:basedOn w:val="708"/>
    <w:next w:val="708"/>
    <w:link w:val="942"/>
    <w:uiPriority w:val="0"/>
    <w:qFormat/>
    <w:rPr>
      <w:rFonts w:ascii="Times New Roman" w:hAnsi="Times New Roman" w:eastAsia="宋体" w:cs="Times New Roman"/>
      <w:sz w:val="24"/>
      <w:szCs w:val="24"/>
    </w:rPr>
  </w:style>
  <w:style w:type="character" w:styleId="944" w:customStyle="1">
    <w:name w:val="正文文本缩进 2 Char"/>
    <w:link w:val="945"/>
    <w:uiPriority w:val="0"/>
    <w:qFormat/>
    <w:rPr>
      <w:rFonts w:ascii="Arial" w:hAnsi="Arial" w:eastAsia="仿宋_GB2312" w:cs="Arial"/>
      <w:sz w:val="32"/>
      <w:szCs w:val="32"/>
    </w:rPr>
  </w:style>
  <w:style w:type="paragraph" w:styleId="945" w:customStyle="1">
    <w:name w:val="正文文本缩进 21"/>
    <w:basedOn w:val="708"/>
    <w:link w:val="944"/>
    <w:uiPriority w:val="0"/>
    <w:qFormat/>
    <w:pPr>
      <w:ind w:left="630" w:firstLine="645"/>
    </w:pPr>
    <w:rPr>
      <w:rFonts w:ascii="Arial" w:hAnsi="Arial" w:eastAsia="仿宋_GB2312" w:cs="Arial"/>
      <w:sz w:val="32"/>
      <w:szCs w:val="32"/>
    </w:rPr>
  </w:style>
  <w:style w:type="character" w:styleId="946" w:customStyle="1">
    <w:name w:val="页眉 Char"/>
    <w:link w:val="947"/>
    <w:uiPriority w:val="0"/>
    <w:qFormat/>
    <w:rPr>
      <w:rFonts w:ascii="Times New Roman" w:hAnsi="Times New Roman" w:eastAsia="宋体" w:cs="Times New Roman"/>
      <w:sz w:val="18"/>
      <w:szCs w:val="18"/>
    </w:rPr>
  </w:style>
  <w:style w:type="paragraph" w:styleId="947" w:customStyle="1">
    <w:name w:val="页眉1"/>
    <w:basedOn w:val="708"/>
    <w:link w:val="94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8" w:customStyle="1">
    <w:name w:val="正文文本 2 Char"/>
    <w:link w:val="949"/>
    <w:uiPriority w:val="0"/>
    <w:qFormat/>
    <w:rPr>
      <w:rFonts w:ascii="楷体_GB2312" w:hAnsi="Times New Roman" w:eastAsia="楷体_GB2312" w:cs="Times New Roman"/>
      <w:sz w:val="28"/>
      <w:szCs w:val="28"/>
    </w:rPr>
  </w:style>
  <w:style w:type="paragraph" w:styleId="949" w:customStyle="1">
    <w:name w:val="正文文本 21"/>
    <w:basedOn w:val="708"/>
    <w:link w:val="948"/>
    <w:uiPriority w:val="0"/>
    <w:qFormat/>
    <w:pPr>
      <w:jc w:val="center"/>
      <w:widowControl/>
    </w:pPr>
    <w:rPr>
      <w:rFonts w:ascii="楷体_GB2312" w:hAnsi="Times New Roman" w:eastAsia="楷体_GB2312" w:cs="Times New Roman"/>
      <w:sz w:val="28"/>
      <w:szCs w:val="28"/>
    </w:rPr>
  </w:style>
  <w:style w:type="character" w:styleId="950" w:customStyle="1">
    <w:name w:val="批注主题 Char"/>
    <w:link w:val="951"/>
    <w:uiPriority w:val="0"/>
    <w:semiHidden/>
    <w:qFormat/>
    <w:rPr>
      <w:rFonts w:ascii="Times New Roman" w:hAnsi="Times New Roman" w:eastAsia="宋体" w:cs="Times New Roman"/>
      <w:b/>
      <w:bCs/>
      <w:szCs w:val="21"/>
    </w:rPr>
  </w:style>
  <w:style w:type="paragraph" w:styleId="951" w:customStyle="1">
    <w:name w:val="批注主题1"/>
    <w:basedOn w:val="921"/>
    <w:next w:val="921"/>
    <w:link w:val="950"/>
    <w:uiPriority w:val="0"/>
    <w:semiHidden/>
    <w:qFormat/>
    <w:rPr>
      <w:rFonts w:ascii="Times New Roman" w:hAnsi="Times New Roman" w:eastAsia="宋体" w:cs="Times New Roman"/>
      <w:b/>
      <w:bCs/>
      <w:szCs w:val="21"/>
    </w:rPr>
  </w:style>
  <w:style w:type="character" w:styleId="952" w:customStyle="1">
    <w:name w:val="正文首行缩进 2 Char"/>
    <w:link w:val="953"/>
    <w:uiPriority w:val="0"/>
    <w:qFormat/>
    <w:rPr>
      <w:rFonts w:ascii="宋体" w:hAnsi="宋体" w:eastAsia="宋体" w:cs="Times New Roman"/>
      <w:szCs w:val="20"/>
    </w:rPr>
  </w:style>
  <w:style w:type="paragraph" w:styleId="953" w:customStyle="1">
    <w:name w:val="正文首行缩进 21"/>
    <w:basedOn w:val="941"/>
    <w:link w:val="952"/>
    <w:uiPriority w:val="0"/>
    <w:qFormat/>
    <w:pPr>
      <w:ind w:left="0" w:firstLine="420"/>
      <w:spacing w:after="0" w:line="360" w:lineRule="auto"/>
    </w:pPr>
    <w:rPr>
      <w:rFonts w:ascii="宋体" w:hAnsi="宋体" w:eastAsia="宋体" w:cs="Times New Roman"/>
      <w:szCs w:val="20"/>
    </w:rPr>
  </w:style>
  <w:style w:type="character" w:styleId="954" w:customStyle="1">
    <w:name w:val="font5 Char"/>
    <w:link w:val="708"/>
    <w:uiPriority w:val="0"/>
    <w:qFormat/>
    <w:rPr>
      <w:rFonts w:ascii="宋体" w:hAnsi="宋体" w:eastAsia="宋体"/>
      <w:sz w:val="28"/>
      <w:szCs w:val="28"/>
      <w:lang w:val="en-US" w:eastAsia="zh-CN" w:bidi="ar-SA"/>
    </w:rPr>
  </w:style>
  <w:style w:type="character" w:styleId="955" w:customStyle="1">
    <w:name w:val="二级目录 Char"/>
    <w:link w:val="956"/>
    <w:uiPriority w:val="0"/>
    <w:qFormat/>
    <w:rPr>
      <w:b/>
      <w:sz w:val="30"/>
      <w:szCs w:val="28"/>
    </w:rPr>
  </w:style>
  <w:style w:type="paragraph" w:styleId="956" w:customStyle="1">
    <w:name w:val="二级目录"/>
    <w:next w:val="708"/>
    <w:link w:val="95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57" w:customStyle="1">
    <w:name w:val="font11"/>
    <w:basedOn w:val="901"/>
    <w:link w:val="708"/>
    <w:uiPriority w:val="0"/>
    <w:qFormat/>
    <w:rPr>
      <w:rFonts w:hint="eastAsia" w:ascii="宋体" w:hAnsi="宋体" w:eastAsia="宋体" w:cs="宋体"/>
      <w:color w:val="000000"/>
      <w:sz w:val="22"/>
      <w:szCs w:val="22"/>
      <w:u w:val="none"/>
    </w:rPr>
  </w:style>
  <w:style w:type="paragraph" w:styleId="958" w:customStyle="1">
    <w:name w:val="列表 21"/>
    <w:basedOn w:val="708"/>
    <w:uiPriority w:val="0"/>
    <w:qFormat/>
    <w:pPr>
      <w:ind w:left="100" w:hanging="200"/>
    </w:pPr>
    <w:rPr>
      <w:rFonts w:ascii="Times New Roman" w:hAnsi="Times New Roman" w:eastAsia="宋体" w:cs="Times New Roman"/>
      <w:szCs w:val="21"/>
    </w:rPr>
  </w:style>
  <w:style w:type="paragraph" w:styleId="959" w:customStyle="1">
    <w:name w:val="普通(网站)1"/>
    <w:basedOn w:val="708"/>
    <w:uiPriority w:val="99"/>
    <w:qFormat/>
    <w:pPr>
      <w:jc w:val="left"/>
      <w:spacing w:before="100" w:beforeAutospacing="1" w:after="100" w:afterAutospacing="1"/>
      <w:widowControl/>
    </w:pPr>
    <w:rPr>
      <w:rFonts w:ascii="宋体" w:hAnsi="宋体" w:eastAsia="宋体" w:cs="宋体"/>
      <w:sz w:val="24"/>
      <w:szCs w:val="24"/>
    </w:rPr>
  </w:style>
  <w:style w:type="paragraph" w:styleId="960" w:customStyle="1">
    <w:name w:val="目录 51"/>
    <w:basedOn w:val="708"/>
    <w:next w:val="708"/>
    <w:uiPriority w:val="0"/>
    <w:semiHidden/>
    <w:qFormat/>
    <w:pPr>
      <w:ind w:left="840"/>
      <w:jc w:val="left"/>
    </w:pPr>
    <w:rPr>
      <w:rFonts w:ascii="Times New Roman" w:hAnsi="Times New Roman" w:eastAsia="宋体" w:cs="Times New Roman"/>
      <w:szCs w:val="21"/>
    </w:rPr>
  </w:style>
  <w:style w:type="paragraph" w:styleId="961" w:customStyle="1">
    <w:name w:val="索引 11"/>
    <w:basedOn w:val="708"/>
    <w:next w:val="708"/>
    <w:uiPriority w:val="0"/>
    <w:semiHidden/>
    <w:qFormat/>
    <w:pPr>
      <w:spacing w:line="240" w:lineRule="atLeast"/>
    </w:pPr>
    <w:rPr>
      <w:rFonts w:ascii="Times New Roman" w:hAnsi="Times New Roman" w:eastAsia="宋体" w:cs="Times New Roman"/>
      <w:b/>
      <w:bCs/>
      <w:szCs w:val="21"/>
    </w:rPr>
  </w:style>
  <w:style w:type="paragraph" w:styleId="962" w:customStyle="1">
    <w:name w:val="目录 81"/>
    <w:basedOn w:val="708"/>
    <w:next w:val="708"/>
    <w:uiPriority w:val="0"/>
    <w:semiHidden/>
    <w:qFormat/>
    <w:pPr>
      <w:ind w:left="1470"/>
      <w:jc w:val="left"/>
    </w:pPr>
    <w:rPr>
      <w:rFonts w:ascii="Times New Roman" w:hAnsi="Times New Roman" w:eastAsia="宋体" w:cs="Times New Roman"/>
      <w:szCs w:val="21"/>
    </w:rPr>
  </w:style>
  <w:style w:type="paragraph" w:styleId="963" w:customStyle="1">
    <w:name w:val="图表目录1"/>
    <w:basedOn w:val="708"/>
    <w:next w:val="708"/>
    <w:uiPriority w:val="0"/>
    <w:semiHidden/>
    <w:qFormat/>
    <w:pPr>
      <w:ind w:left="840" w:hanging="420"/>
    </w:pPr>
    <w:rPr>
      <w:rFonts w:ascii="Times New Roman" w:hAnsi="Times New Roman" w:eastAsia="宋体" w:cs="Times New Roman"/>
      <w:szCs w:val="21"/>
    </w:rPr>
  </w:style>
  <w:style w:type="paragraph" w:styleId="964" w:customStyle="1">
    <w:name w:val="目录 71"/>
    <w:basedOn w:val="708"/>
    <w:next w:val="708"/>
    <w:uiPriority w:val="0"/>
    <w:semiHidden/>
    <w:qFormat/>
    <w:pPr>
      <w:ind w:left="1260"/>
      <w:jc w:val="left"/>
    </w:pPr>
    <w:rPr>
      <w:rFonts w:ascii="Times New Roman" w:hAnsi="Times New Roman" w:eastAsia="宋体" w:cs="Times New Roman"/>
      <w:szCs w:val="21"/>
    </w:rPr>
  </w:style>
  <w:style w:type="paragraph" w:styleId="965" w:customStyle="1">
    <w:name w:val="目录 91"/>
    <w:basedOn w:val="708"/>
    <w:next w:val="708"/>
    <w:uiPriority w:val="0"/>
    <w:semiHidden/>
    <w:qFormat/>
    <w:pPr>
      <w:ind w:left="1680"/>
      <w:jc w:val="left"/>
    </w:pPr>
    <w:rPr>
      <w:rFonts w:ascii="Times New Roman" w:hAnsi="Times New Roman" w:eastAsia="宋体" w:cs="Times New Roman"/>
      <w:szCs w:val="21"/>
    </w:rPr>
  </w:style>
  <w:style w:type="paragraph" w:styleId="966" w:customStyle="1">
    <w:name w:val="目录 61"/>
    <w:basedOn w:val="708"/>
    <w:next w:val="708"/>
    <w:uiPriority w:val="0"/>
    <w:semiHidden/>
    <w:qFormat/>
    <w:pPr>
      <w:ind w:left="1050"/>
      <w:jc w:val="left"/>
    </w:pPr>
    <w:rPr>
      <w:rFonts w:ascii="Times New Roman" w:hAnsi="Times New Roman" w:eastAsia="宋体" w:cs="Times New Roman"/>
      <w:szCs w:val="21"/>
    </w:rPr>
  </w:style>
  <w:style w:type="paragraph" w:styleId="967" w:customStyle="1">
    <w:name w:val="列表1"/>
    <w:basedOn w:val="708"/>
    <w:uiPriority w:val="0"/>
    <w:qFormat/>
    <w:pPr>
      <w:ind w:left="200" w:hanging="200"/>
    </w:pPr>
    <w:rPr>
      <w:rFonts w:ascii="Times New Roman" w:hAnsi="Times New Roman" w:eastAsia="宋体" w:cs="Times New Roman"/>
      <w:szCs w:val="21"/>
    </w:rPr>
  </w:style>
  <w:style w:type="paragraph" w:styleId="968" w:customStyle="1">
    <w:name w:val="目录 21"/>
    <w:basedOn w:val="708"/>
    <w:next w:val="708"/>
    <w:uiPriority w:val="0"/>
    <w:semiHidden/>
    <w:qFormat/>
    <w:pPr>
      <w:ind w:left="210"/>
      <w:jc w:val="left"/>
    </w:pPr>
    <w:rPr>
      <w:rFonts w:ascii="Times New Roman" w:hAnsi="Times New Roman" w:eastAsia="宋体" w:cs="Times New Roman"/>
      <w:smallCaps/>
      <w:szCs w:val="24"/>
    </w:rPr>
  </w:style>
  <w:style w:type="paragraph" w:styleId="969" w:customStyle="1">
    <w:name w:val="目录 41"/>
    <w:basedOn w:val="708"/>
    <w:next w:val="708"/>
    <w:uiPriority w:val="0"/>
    <w:semiHidden/>
    <w:qFormat/>
    <w:pPr>
      <w:ind w:left="630"/>
      <w:jc w:val="left"/>
    </w:pPr>
    <w:rPr>
      <w:rFonts w:ascii="Times New Roman" w:hAnsi="Times New Roman" w:eastAsia="宋体" w:cs="Times New Roman"/>
      <w:szCs w:val="21"/>
    </w:rPr>
  </w:style>
  <w:style w:type="paragraph" w:styleId="970" w:customStyle="1">
    <w:name w:val="目录 11"/>
    <w:basedOn w:val="708"/>
    <w:next w:val="70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71" w:customStyle="1">
    <w:name w:val="列表 31"/>
    <w:basedOn w:val="708"/>
    <w:uiPriority w:val="0"/>
    <w:qFormat/>
    <w:pPr>
      <w:ind w:left="100" w:hanging="200"/>
    </w:pPr>
    <w:rPr>
      <w:rFonts w:ascii="Times New Roman" w:hAnsi="Times New Roman" w:eastAsia="宋体" w:cs="Times New Roman"/>
      <w:szCs w:val="21"/>
    </w:rPr>
  </w:style>
  <w:style w:type="paragraph" w:styleId="972" w:customStyle="1">
    <w:name w:val="目录 31"/>
    <w:basedOn w:val="708"/>
    <w:next w:val="708"/>
    <w:uiPriority w:val="0"/>
    <w:semiHidden/>
    <w:qFormat/>
    <w:pPr>
      <w:ind w:left="420"/>
      <w:jc w:val="left"/>
    </w:pPr>
    <w:rPr>
      <w:rFonts w:ascii="Times New Roman" w:hAnsi="Times New Roman" w:eastAsia="宋体" w:cs="Times New Roman"/>
      <w:i/>
      <w:iCs/>
      <w:szCs w:val="24"/>
    </w:rPr>
  </w:style>
  <w:style w:type="paragraph" w:styleId="973" w:customStyle="1">
    <w:name w:val="4"/>
    <w:basedOn w:val="708"/>
    <w:next w:val="912"/>
    <w:uiPriority w:val="0"/>
    <w:qFormat/>
    <w:pPr>
      <w:ind w:firstLine="420"/>
      <w:spacing w:line="360" w:lineRule="auto"/>
    </w:pPr>
    <w:rPr>
      <w:rFonts w:ascii="Times New Roman" w:hAnsi="Times New Roman" w:eastAsia="宋体" w:cs="Times New Roman"/>
      <w:color w:val="ff0000"/>
      <w:sz w:val="24"/>
      <w:szCs w:val="24"/>
    </w:rPr>
  </w:style>
  <w:style w:type="paragraph" w:styleId="97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5" w:customStyle="1">
    <w:name w:val=" Char Char Char Char Char Char Char Char"/>
    <w:basedOn w:val="708"/>
    <w:uiPriority w:val="0"/>
    <w:qFormat/>
    <w:pPr>
      <w:jc w:val="left"/>
      <w:spacing w:after="160" w:line="240" w:lineRule="exact"/>
      <w:widowControl/>
    </w:pPr>
    <w:rPr>
      <w:rFonts w:ascii="Verdana" w:hAnsi="Verdana" w:eastAsia="宋体" w:cs="Times New Roman"/>
      <w:sz w:val="20"/>
      <w:szCs w:val="20"/>
      <w:lang w:eastAsia="en-US"/>
    </w:rPr>
  </w:style>
  <w:style w:type="paragraph" w:styleId="976" w:customStyle="1">
    <w:name w:val=" Char"/>
    <w:basedOn w:val="937"/>
    <w:uiPriority w:val="0"/>
    <w:qFormat/>
    <w:rPr>
      <w:rFonts w:ascii="Tahoma" w:hAnsi="Tahoma"/>
      <w:sz w:val="24"/>
      <w:szCs w:val="24"/>
    </w:rPr>
  </w:style>
  <w:style w:type="paragraph" w:styleId="977"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customStyle="1">
    <w:name w:val="普通 (Web)"/>
    <w:basedOn w:val="708"/>
    <w:uiPriority w:val="0"/>
    <w:qFormat/>
    <w:pPr>
      <w:jc w:val="left"/>
      <w:spacing w:before="100" w:beforeAutospacing="1" w:after="100" w:afterAutospacing="1"/>
      <w:widowControl/>
    </w:pPr>
    <w:rPr>
      <w:rFonts w:ascii="宋体" w:hAnsi="宋体" w:eastAsia="宋体" w:cs="Times New Roman"/>
      <w:sz w:val="24"/>
      <w:szCs w:val="24"/>
    </w:rPr>
  </w:style>
  <w:style w:type="paragraph" w:styleId="981" w:customStyle="1">
    <w:name w:val="font5"/>
    <w:basedOn w:val="70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2"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customStyle="1">
    <w:name w:val="标题1"/>
    <w:basedOn w:val="708"/>
    <w:next w:val="70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customStyle="1">
    <w:name w:val="列出段落"/>
    <w:basedOn w:val="708"/>
    <w:uiPriority w:val="0"/>
    <w:qFormat/>
    <w:pPr>
      <w:contextualSpacing/>
      <w:ind w:left="720"/>
      <w:jc w:val="left"/>
      <w:widowControl/>
    </w:pPr>
    <w:rPr>
      <w:rFonts w:ascii="Calibri" w:hAnsi="Calibri" w:eastAsia="宋体" w:cs="Times New Roman"/>
      <w:sz w:val="24"/>
      <w:szCs w:val="24"/>
      <w:lang w:eastAsia="en-US" w:bidi="en-US"/>
    </w:rPr>
  </w:style>
  <w:style w:type="paragraph" w:styleId="985" w:customStyle="1">
    <w:name w:val="Char Char Char Char Char Char Char Char"/>
    <w:basedOn w:val="708"/>
    <w:uiPriority w:val="0"/>
    <w:qFormat/>
    <w:pPr>
      <w:jc w:val="left"/>
      <w:spacing w:after="160" w:line="240" w:lineRule="exact"/>
      <w:widowControl/>
    </w:pPr>
    <w:rPr>
      <w:rFonts w:ascii="Verdana" w:hAnsi="Verdana" w:eastAsia="宋体" w:cs="Times New Roman"/>
      <w:sz w:val="20"/>
      <w:szCs w:val="20"/>
      <w:lang w:eastAsia="en-US"/>
    </w:rPr>
  </w:style>
  <w:style w:type="paragraph" w:styleId="986" w:customStyle="1">
    <w:name w:val=" Char Char Char Char"/>
    <w:basedOn w:val="937"/>
    <w:uiPriority w:val="0"/>
    <w:qFormat/>
    <w:pPr>
      <w:spacing w:line="360" w:lineRule="auto"/>
    </w:pPr>
    <w:rPr>
      <w:rFonts w:ascii="Tahoma" w:hAnsi="Tahoma"/>
      <w:sz w:val="24"/>
      <w:szCs w:val="24"/>
    </w:rPr>
  </w:style>
  <w:style w:type="paragraph" w:styleId="9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8" w:customStyle="1">
    <w:name w:val="Char Char Char Char"/>
    <w:basedOn w:val="937"/>
    <w:uiPriority w:val="0"/>
    <w:qFormat/>
    <w:pPr>
      <w:spacing w:line="360" w:lineRule="auto"/>
    </w:pPr>
    <w:rPr>
      <w:rFonts w:ascii="Tahoma" w:hAnsi="Tahoma"/>
      <w:sz w:val="24"/>
      <w:szCs w:val="24"/>
    </w:rPr>
  </w:style>
  <w:style w:type="paragraph" w:styleId="989" w:customStyle="1">
    <w:name w:val="table_lines"/>
    <w:basedOn w:val="708"/>
    <w:uiPriority w:val="0"/>
    <w:qFormat/>
    <w:pPr>
      <w:jc w:val="left"/>
      <w:widowControl/>
    </w:pPr>
    <w:rPr>
      <w:rFonts w:ascii="Times New Roman" w:hAnsi="Times New Roman" w:eastAsia="宋体" w:cs="Times New Roman"/>
      <w:sz w:val="20"/>
      <w:szCs w:val="20"/>
      <w:lang w:val="de-DE" w:eastAsia="de-DE"/>
    </w:rPr>
  </w:style>
  <w:style w:type="paragraph" w:styleId="990" w:customStyle="1">
    <w:name w:val="font7"/>
    <w:basedOn w:val="70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2"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customStyle="1">
    <w:name w:val="标题3"/>
    <w:basedOn w:val="708"/>
    <w:next w:val="708"/>
    <w:uiPriority w:val="0"/>
    <w:qFormat/>
    <w:pPr>
      <w:ind w:firstLine="624"/>
      <w:spacing w:line="590" w:lineRule="atLeast"/>
    </w:pPr>
    <w:rPr>
      <w:rFonts w:ascii="方正黑体_GBK" w:hAnsi="Times New Roman" w:eastAsia="方正黑体_GBK" w:cs="Times New Roman"/>
      <w:sz w:val="32"/>
      <w:szCs w:val="32"/>
    </w:rPr>
  </w:style>
  <w:style w:type="paragraph" w:styleId="99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5" w:customStyle="1">
    <w:name w:val="普通正文"/>
    <w:basedOn w:val="708"/>
    <w:uiPriority w:val="0"/>
    <w:qFormat/>
    <w:pPr>
      <w:ind w:firstLine="480"/>
      <w:jc w:val="left"/>
      <w:spacing w:before="120" w:after="120" w:line="360" w:lineRule="auto"/>
    </w:pPr>
    <w:rPr>
      <w:rFonts w:ascii="Arial" w:hAnsi="Arial" w:eastAsia="宋体" w:cs="Times New Roman"/>
      <w:sz w:val="24"/>
      <w:szCs w:val="24"/>
    </w:rPr>
  </w:style>
  <w:style w:type="paragraph" w:styleId="996" w:customStyle="1">
    <w:name w:val="table_1stline"/>
    <w:basedOn w:val="708"/>
    <w:uiPriority w:val="0"/>
    <w:qFormat/>
    <w:pPr>
      <w:jc w:val="left"/>
      <w:spacing w:before="120"/>
      <w:widowControl/>
    </w:pPr>
    <w:rPr>
      <w:rFonts w:ascii="Times New Roman" w:hAnsi="Times New Roman" w:eastAsia="宋体" w:cs="Times New Roman"/>
      <w:bCs/>
      <w:sz w:val="20"/>
      <w:szCs w:val="20"/>
      <w:lang w:val="de-DE" w:eastAsia="de-DE"/>
    </w:rPr>
  </w:style>
  <w:style w:type="paragraph" w:styleId="997" w:customStyle="1">
    <w:name w:val="Body Text(ch)"/>
    <w:basedOn w:val="708"/>
    <w:next w:val="926"/>
    <w:uiPriority w:val="0"/>
    <w:qFormat/>
    <w:pPr>
      <w:spacing w:after="120"/>
    </w:pPr>
    <w:rPr>
      <w:rFonts w:ascii="宋体" w:hAnsi="Arial" w:eastAsia="宋体" w:cs="Times New Roman"/>
      <w:bCs/>
      <w:iCs/>
      <w:szCs w:val="24"/>
    </w:rPr>
  </w:style>
  <w:style w:type="paragraph" w:styleId="998"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9" w:customStyle="1">
    <w:name w:val="Char"/>
    <w:basedOn w:val="708"/>
    <w:uiPriority w:val="0"/>
    <w:qFormat/>
    <w:pPr>
      <w:ind w:firstLine="200"/>
      <w:tabs>
        <w:tab w:val="left" w:pos="360" w:leader="none"/>
      </w:tabs>
    </w:pPr>
    <w:rPr>
      <w:rFonts w:ascii="Times New Roman" w:hAnsi="Times New Roman" w:eastAsia="宋体" w:cs="Times New Roman"/>
      <w:sz w:val="28"/>
      <w:szCs w:val="30"/>
    </w:rPr>
  </w:style>
  <w:style w:type="paragraph" w:styleId="1000" w:customStyle="1">
    <w:name w:val=" Char Char Char Char Char Char Char Char Char Char"/>
    <w:basedOn w:val="708"/>
    <w:uiPriority w:val="0"/>
    <w:qFormat/>
    <w:pPr>
      <w:spacing w:line="360" w:lineRule="auto"/>
    </w:pPr>
    <w:rPr>
      <w:rFonts w:ascii="Times New Roman" w:hAnsi="Times New Roman" w:eastAsia="宋体" w:cs="Times New Roman"/>
      <w:sz w:val="24"/>
      <w:szCs w:val="20"/>
    </w:rPr>
  </w:style>
  <w:style w:type="paragraph" w:styleId="1001" w:customStyle="1">
    <w:name w:val="样式1"/>
    <w:basedOn w:val="708"/>
    <w:uiPriority w:val="0"/>
    <w:qFormat/>
    <w:pPr>
      <w:numPr>
        <w:ilvl w:val="0"/>
        <w:numId w:val="3"/>
      </w:numPr>
    </w:pPr>
    <w:rPr>
      <w:rFonts w:ascii="宋体" w:hAnsi="宋体" w:eastAsia="宋体" w:cs="Times New Roman"/>
      <w:szCs w:val="21"/>
    </w:rPr>
  </w:style>
  <w:style w:type="paragraph" w:styleId="1002" w:customStyle="1">
    <w:name w:val="font6"/>
    <w:basedOn w:val="70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3"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xl30"/>
    <w:basedOn w:val="708"/>
    <w:uiPriority w:val="0"/>
    <w:qFormat/>
    <w:pPr>
      <w:jc w:val="center"/>
      <w:spacing w:before="100" w:beforeAutospacing="1" w:after="100" w:afterAutospacing="1"/>
      <w:widowControl/>
    </w:pPr>
    <w:rPr>
      <w:rFonts w:ascii="宋体" w:hAnsi="宋体" w:eastAsia="宋体" w:cs="Times New Roman"/>
      <w:b/>
      <w:bCs/>
      <w:sz w:val="36"/>
      <w:szCs w:val="36"/>
    </w:rPr>
  </w:style>
  <w:style w:type="table" w:styleId="1005" w:customStyle="1">
    <w:name w:val="网格型1"/>
    <w:basedOn w:val="902"/>
    <w:uiPriority w:val="0"/>
    <w:qFormat/>
    <w:pPr>
      <w:jc w:val="both"/>
      <w:widowControl w:val="off"/>
    </w:pPr>
    <w:rPr>
      <w:rFonts w:ascii="Times New Roman" w:hAnsi="Times New Roman" w:eastAsia="宋体" w:cs="Times New Roman"/>
      <w:sz w:val="20"/>
      <w:szCs w:val="20"/>
    </w:rPr>
    <w:tbl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14</cp:revision>
  <dcterms:created xsi:type="dcterms:W3CDTF">2023-03-16T02:13:00Z</dcterms:created>
  <dcterms:modified xsi:type="dcterms:W3CDTF">2026-06-29T06:14:13Z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vt:lpwstr>
  </property>
  <property fmtid="{D5CDD505-2E9C-101B-9397-08002B2CF9AE}" pid="3" name="KSOTemplateDocerSaveRecord">
    <vt:lpwstr>eyJoZGlkIjoiNjhiMDhiYjU2YmMwYjViZDEwZTA5ZmY3NDgwYmEyMWIiLCJ1c2VySWQiOiI2MTU4MTc1NzMifQ==</vt:lpwstr>
  </property>
  <property fmtid="{D5CDD505-2E9C-101B-9397-08002B2CF9AE}" pid="4" name="ICV">
    <vt:lpwstr>A2574F5333DE4BFDB06A61F1E3E1EA64_13</vt:lpwstr>
  </property>
</Properties>
</file>