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8"/>
        <w:jc w:val="center"/>
        <w:spacing w:before="120" w:after="120" w:line="300" w:lineRule="auto"/>
        <w:rPr>
          <w:bCs/>
          <w:color w:val="000000"/>
          <w:sz w:val="84"/>
          <w:szCs w:val="21"/>
          <w:highlight w:val="none"/>
        </w:rPr>
      </w:pPr>
      <w:r>
        <w:rPr>
          <w:bCs/>
          <w:color w:val="000000"/>
          <w:sz w:val="84"/>
          <w:szCs w:val="21"/>
          <w:highlight w:val="none"/>
        </w:rPr>
      </w:r>
      <w:r/>
    </w:p>
    <w:p>
      <w:pPr>
        <w:pStyle w:val="638"/>
        <w:jc w:val="center"/>
        <w:spacing w:before="120" w:after="120" w:line="300" w:lineRule="auto"/>
        <w:rPr>
          <w:bCs/>
          <w:color w:val="000000"/>
          <w:sz w:val="84"/>
          <w:szCs w:val="21"/>
          <w:highlight w:val="none"/>
        </w:rPr>
      </w:pPr>
      <w:r>
        <w:rPr>
          <w:rFonts w:hint="eastAsia"/>
          <w:bCs/>
          <w:color w:val="000000"/>
          <w:sz w:val="84"/>
          <w:szCs w:val="21"/>
          <w:highlight w:val="none"/>
        </w:rPr>
        <w:t xml:space="preserve">招 标 文 件</w:t>
      </w:r>
      <w:r>
        <w:rPr>
          <w:bCs/>
          <w:color w:val="000000"/>
          <w:sz w:val="84"/>
          <w:szCs w:val="21"/>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tabs>
          <w:tab w:val="left" w:pos="6425" w:leader="none"/>
        </w:tabs>
        <w:rPr>
          <w:bCs/>
          <w:color w:val="000000"/>
          <w:sz w:val="28"/>
          <w:highlight w:val="none"/>
        </w:rPr>
      </w:pPr>
      <w:r>
        <w:rPr>
          <w:bCs/>
          <w:color w:val="000000"/>
          <w:sz w:val="28"/>
          <w:highlight w:val="none"/>
        </w:rPr>
        <w:tab/>
      </w: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spacing w:line="300" w:lineRule="auto"/>
        <w:rPr>
          <w:bCs/>
          <w:color w:val="000000"/>
          <w:sz w:val="28"/>
          <w:highlight w:val="none"/>
        </w:rPr>
      </w:pPr>
      <w:r>
        <w:rPr>
          <w:bCs/>
          <w:color w:val="000000"/>
          <w:sz w:val="28"/>
          <w:highlight w:val="none"/>
        </w:rPr>
      </w:r>
      <w:r/>
    </w:p>
    <w:p>
      <w:pPr>
        <w:pStyle w:val="638"/>
        <w:ind w:firstLine="360"/>
        <w:spacing w:line="480" w:lineRule="auto"/>
        <w:rPr>
          <w:rFonts w:ascii="宋体"/>
          <w:bCs/>
          <w:color w:val="000000"/>
          <w:sz w:val="30"/>
          <w:szCs w:val="30"/>
          <w:highlight w:val="none"/>
        </w:rPr>
      </w:pPr>
      <w:r>
        <w:rPr>
          <w:rFonts w:hint="eastAsia" w:ascii="宋体"/>
          <w:bCs/>
          <w:color w:val="000000"/>
          <w:sz w:val="36"/>
          <w:szCs w:val="36"/>
          <w:highlight w:val="none"/>
        </w:rPr>
        <w:t xml:space="preserve">项</w:t>
      </w:r>
      <w:r>
        <w:rPr>
          <w:rFonts w:hint="eastAsia" w:ascii="宋体" w:hAnsi="宋体" w:cs="宋体"/>
          <w:bCs/>
          <w:color w:val="000000"/>
          <w:sz w:val="36"/>
          <w:szCs w:val="36"/>
          <w:highlight w:val="none"/>
        </w:rPr>
        <w:t xml:space="preserve">目编号：JSZC-320000-YCMR-G2026-0006</w:t>
      </w:r>
      <w:r>
        <w:rPr>
          <w:rFonts w:ascii="宋体"/>
          <w:bCs/>
          <w:color w:val="000000"/>
          <w:sz w:val="30"/>
          <w:szCs w:val="30"/>
          <w:highlight w:val="none"/>
        </w:rPr>
      </w:r>
      <w:r/>
    </w:p>
    <w:p>
      <w:pPr>
        <w:pStyle w:val="638"/>
        <w:jc w:val="center"/>
        <w:spacing w:line="480" w:lineRule="auto"/>
        <w:rPr>
          <w:rFonts w:hint="eastAsia" w:ascii="宋体" w:hAnsi="宋体" w:cs="宋体"/>
          <w:bCs/>
          <w:color w:val="000000"/>
          <w:sz w:val="36"/>
          <w:highlight w:val="none"/>
        </w:rPr>
      </w:pPr>
      <w:r>
        <w:rPr>
          <w:rFonts w:hint="eastAsia" w:ascii="宋体"/>
          <w:bCs/>
          <w:color w:val="000000"/>
          <w:sz w:val="36"/>
          <w:highlight w:val="none"/>
        </w:rPr>
        <w:t xml:space="preserve"> 项目名称：</w:t>
      </w:r>
      <w:r>
        <w:rPr>
          <w:rFonts w:hint="eastAsia" w:ascii="宋体" w:hAnsi="宋体" w:cs="宋体"/>
          <w:bCs/>
          <w:color w:val="000000"/>
          <w:sz w:val="36"/>
          <w:highlight w:val="none"/>
        </w:rPr>
        <w:t xml:space="preserve">2026年大丰麋鹿保护区全株玉米青贮饲料采购项目</w:t>
      </w:r>
      <w:r>
        <w:rPr>
          <w:rFonts w:hint="eastAsia" w:ascii="宋体" w:hAnsi="宋体" w:cs="宋体"/>
          <w:bCs/>
          <w:color w:val="000000"/>
          <w:sz w:val="36"/>
          <w:highlight w:val="none"/>
        </w:rPr>
      </w:r>
      <w:r/>
    </w:p>
    <w:p>
      <w:pPr>
        <w:pStyle w:val="638"/>
        <w:jc w:val="center"/>
        <w:spacing w:line="480" w:lineRule="auto"/>
        <w:rPr>
          <w:rFonts w:eastAsia="黑体"/>
          <w:bCs/>
          <w:color w:val="000000"/>
          <w:sz w:val="32"/>
          <w:highlight w:val="none"/>
        </w:rPr>
      </w:pPr>
      <w:r>
        <w:rPr>
          <w:rFonts w:eastAsia="黑体"/>
          <w:bCs/>
          <w:color w:val="000000"/>
          <w:sz w:val="32"/>
          <w:highlight w:val="none"/>
        </w:rPr>
      </w:r>
      <w:r/>
    </w:p>
    <w:p>
      <w:pPr>
        <w:pStyle w:val="638"/>
        <w:jc w:val="center"/>
        <w:spacing w:line="480" w:lineRule="auto"/>
        <w:rPr>
          <w:rFonts w:eastAsia="黑体"/>
          <w:b/>
          <w:color w:val="000000"/>
          <w:sz w:val="32"/>
          <w:highlight w:val="none"/>
        </w:rPr>
      </w:pPr>
      <w:r>
        <w:rPr>
          <w:rFonts w:eastAsia="黑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rPr>
          <w:rFonts w:ascii="宋体"/>
          <w:b/>
          <w:color w:val="000000"/>
          <w:sz w:val="32"/>
          <w:highlight w:val="none"/>
        </w:rPr>
      </w:pPr>
      <w:r>
        <w:rPr>
          <w:rFonts w:ascii="宋体"/>
          <w:b/>
          <w:color w:val="000000"/>
          <w:sz w:val="32"/>
          <w:highlight w:val="none"/>
        </w:rPr>
      </w:r>
      <w:r/>
    </w:p>
    <w:p>
      <w:pPr>
        <w:pStyle w:val="638"/>
        <w:jc w:val="center"/>
        <w:spacing w:line="480" w:lineRule="auto"/>
        <w:rPr>
          <w:rFonts w:hint="eastAsia" w:ascii="宋体" w:hAnsi="宋体" w:cs="宋体"/>
          <w:color w:val="000000"/>
          <w:sz w:val="36"/>
          <w:highlight w:val="none"/>
        </w:rPr>
      </w:pPr>
      <w:r>
        <w:rPr>
          <w:rFonts w:hint="eastAsia" w:ascii="宋体" w:hAnsi="宋体" w:cs="宋体"/>
          <w:color w:val="000000"/>
          <w:sz w:val="36"/>
          <w:highlight w:val="none"/>
        </w:rPr>
        <w:t xml:space="preserve">招  标  人：江苏省</w:t>
      </w:r>
      <w:bookmarkStart w:id="0" w:name="OLE_LINK4"/>
      <w:r>
        <w:rPr>
          <w:rFonts w:hint="eastAsia" w:ascii="宋体" w:hAnsi="宋体" w:cs="宋体"/>
          <w:color w:val="000000"/>
          <w:sz w:val="36"/>
          <w:highlight w:val="none"/>
        </w:rPr>
        <w:t xml:space="preserve">大丰麋鹿国家级自然保护区</w:t>
      </w:r>
      <w:bookmarkEnd w:id="0"/>
      <w:r>
        <w:rPr>
          <w:rFonts w:hint="eastAsia" w:ascii="宋体" w:hAnsi="宋体" w:cs="宋体"/>
          <w:color w:val="000000"/>
          <w:sz w:val="36"/>
          <w:highlight w:val="none"/>
        </w:rPr>
        <w:t xml:space="preserve">管理处</w:t>
      </w:r>
      <w:r>
        <w:rPr>
          <w:rFonts w:hint="eastAsia" w:ascii="宋体" w:hAnsi="宋体" w:cs="宋体"/>
          <w:color w:val="000000"/>
          <w:sz w:val="36"/>
          <w:highlight w:val="none"/>
        </w:rPr>
      </w:r>
      <w:r/>
    </w:p>
    <w:p>
      <w:pPr>
        <w:pStyle w:val="638"/>
        <w:jc w:val="center"/>
        <w:spacing w:line="480" w:lineRule="auto"/>
        <w:rPr>
          <w:rFonts w:hint="eastAsia" w:ascii="宋体" w:hAnsi="宋体" w:cs="宋体"/>
          <w:color w:val="000000"/>
          <w:sz w:val="36"/>
          <w:highlight w:val="none"/>
        </w:rPr>
      </w:pPr>
      <w:r>
        <w:rPr>
          <w:rFonts w:hint="eastAsia" w:ascii="宋体" w:hAnsi="宋体" w:cs="宋体"/>
          <w:color w:val="000000"/>
          <w:sz w:val="36"/>
          <w:highlight w:val="none"/>
        </w:rPr>
        <w:t xml:space="preserve">招标代理机构：</w:t>
      </w:r>
      <w:r>
        <w:rPr>
          <w:rFonts w:hint="eastAsia" w:ascii="宋体" w:hAnsi="宋体" w:cs="宋体"/>
          <w:color w:val="000000"/>
          <w:spacing w:val="-28"/>
          <w:sz w:val="36"/>
          <w:highlight w:val="none"/>
        </w:rPr>
        <w:t xml:space="preserve">江苏明润资产房地产评估造价咨询有限公司</w:t>
      </w:r>
      <w:r>
        <w:rPr>
          <w:rFonts w:hint="eastAsia" w:ascii="宋体" w:hAnsi="宋体" w:cs="宋体"/>
          <w:color w:val="000000"/>
          <w:sz w:val="36"/>
          <w:highlight w:val="none"/>
        </w:rPr>
      </w:r>
      <w:r/>
    </w:p>
    <w:p>
      <w:pPr>
        <w:pStyle w:val="638"/>
        <w:jc w:val="center"/>
        <w:spacing w:after="120"/>
        <w:rPr>
          <w:rFonts w:hint="eastAsia"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黑体" w:cs="宋体"/>
          <w:color w:val="000000"/>
          <w:sz w:val="36"/>
          <w:highlight w:val="none"/>
        </w:rPr>
        <w:t xml:space="preserve">2026年6月 </w:t>
      </w:r>
      <w:r>
        <w:rPr>
          <w:rFonts w:hint="eastAsia" w:eastAsia="黑体"/>
          <w:color w:val="000000"/>
          <w:sz w:val="36"/>
          <w:szCs w:val="36"/>
          <w:highlight w:val="none"/>
        </w:rPr>
      </w:r>
      <w:r/>
    </w:p>
    <w:p>
      <w:pPr>
        <w:pStyle w:val="897"/>
        <w:jc w:val="center"/>
        <w:spacing w:before="0" w:beforeAutospacing="0" w:after="0" w:afterAutospacing="0" w:line="480" w:lineRule="auto"/>
        <w:widowControl w:val="off"/>
        <w:rPr>
          <w:rFonts w:hint="eastAsia"/>
          <w:highlight w:val="none"/>
        </w:rPr>
      </w:pPr>
      <w:r>
        <w:rPr>
          <w:highlight w:val="none"/>
        </w:rPr>
        <w:br w:type="page" w:clear="all"/>
      </w:r>
      <w:bookmarkStart w:id="1" w:name="_Toc16938516"/>
      <w:r/>
      <w:bookmarkStart w:id="2" w:name="_Toc20823272"/>
      <w:r/>
      <w:bookmarkStart w:id="3" w:name="_Toc523127445"/>
      <w:r/>
      <w:bookmarkStart w:id="4" w:name="_Toc479757206"/>
      <w:r/>
      <w:bookmarkStart w:id="5" w:name="_Toc120614210"/>
      <w:r/>
      <w:bookmarkStart w:id="6" w:name="_Toc513029200"/>
      <w:r>
        <w:rPr>
          <w:rFonts w:ascii="黑体" w:eastAsia="黑体" w:cs="黑体"/>
          <w:b/>
          <w:color w:val="000000"/>
          <w:sz w:val="44"/>
          <w:szCs w:val="44"/>
          <w:highlight w:val="none"/>
        </w:rPr>
        <w:t xml:space="preserve">总  目  录</w:t>
      </w:r>
      <w:bookmarkEnd w:id="1"/>
      <w:r/>
      <w:bookmarkEnd w:id="2"/>
      <w:r/>
      <w:bookmarkEnd w:id="3"/>
      <w:r/>
      <w:bookmarkEnd w:id="4"/>
      <w:r/>
      <w:bookmarkEnd w:id="5"/>
      <w:r/>
      <w:bookmarkEnd w:id="6"/>
      <w:r>
        <w:rPr>
          <w:rFonts w:hint="eastAsia"/>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第一章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招标公告…………………………………</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第二章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投标人须知………………………………6</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第三章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合同文本…………………………………</w:t>
      </w:r>
      <w:r>
        <w:rPr>
          <w:rFonts w:ascii="宋体" w:hAnsi="宋体" w:cs="宋体"/>
          <w:color w:val="000000"/>
          <w:sz w:val="32"/>
          <w:szCs w:val="32"/>
          <w:highlight w:val="none"/>
        </w:rPr>
        <w:t xml:space="preserve">1</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第四章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采购需求…………………………………</w:t>
      </w:r>
      <w:r>
        <w:rPr>
          <w:rFonts w:ascii="宋体" w:hAnsi="宋体" w:cs="宋体"/>
          <w:color w:val="000000"/>
          <w:sz w:val="32"/>
          <w:szCs w:val="32"/>
          <w:highlight w:val="none"/>
        </w:rPr>
        <w:t xml:space="preserve">3</w:t>
      </w:r>
      <w:r>
        <w:rPr>
          <w:rFonts w:hint="eastAsia" w:ascii="宋体" w:hAnsi="宋体" w:cs="宋体"/>
          <w:color w:val="000000"/>
          <w:sz w:val="32"/>
          <w:szCs w:val="32"/>
          <w:highlight w:val="none"/>
        </w:rPr>
        <w:t xml:space="preserve">8</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第五章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评标方法与评标标准……………………43</w:t>
      </w:r>
      <w:r>
        <w:rPr>
          <w:rFonts w:hint="eastAsia" w:ascii="宋体" w:hAnsi="宋体" w:cs="宋体"/>
          <w:color w:val="000000"/>
          <w:sz w:val="32"/>
          <w:szCs w:val="32"/>
          <w:highlight w:val="none"/>
        </w:rPr>
      </w:r>
      <w:r/>
    </w:p>
    <w:p>
      <w:pPr>
        <w:pStyle w:val="638"/>
        <w:ind w:firstLine="640"/>
        <w:spacing w:after="160" w:line="600" w:lineRule="exact"/>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t xml:space="preserve">第六章 </w:t>
      </w:r>
      <w:r>
        <w:rPr>
          <w:rFonts w:ascii="宋体" w:hAnsi="宋体" w:cs="宋体"/>
          <w:color w:val="000000"/>
          <w:sz w:val="32"/>
          <w:szCs w:val="32"/>
          <w:highlight w:val="none"/>
        </w:rPr>
        <w:t xml:space="preserve"> </w:t>
      </w:r>
      <w:r>
        <w:rPr>
          <w:rFonts w:hint="eastAsia" w:ascii="宋体" w:hAnsi="宋体" w:cs="宋体"/>
          <w:color w:val="000000"/>
          <w:sz w:val="32"/>
          <w:szCs w:val="32"/>
          <w:highlight w:val="none"/>
        </w:rPr>
        <w:t xml:space="preserve">投标文件格式……………………………45</w:t>
      </w:r>
      <w:r>
        <w:rPr>
          <w:rFonts w:hint="eastAsia" w:ascii="宋体" w:hAnsi="宋体" w:cs="宋体"/>
          <w:color w:val="000000"/>
          <w:sz w:val="32"/>
          <w:szCs w:val="32"/>
          <w:highlight w:val="none"/>
        </w:rPr>
      </w:r>
      <w:r/>
    </w:p>
    <w:p>
      <w:pPr>
        <w:pStyle w:val="638"/>
        <w:jc w:val="center"/>
        <w:spacing w:after="120"/>
        <w:rPr>
          <w:rFonts w:hint="eastAsia" w:ascii="仿宋" w:hAnsi="仿宋" w:eastAsia="黑体" w:cs="仿宋"/>
          <w:sz w:val="28"/>
          <w:szCs w:val="28"/>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br w:type="page" w:clear="all"/>
      </w:r>
      <w:bookmarkStart w:id="7" w:name="_Toc120614211"/>
      <w:r>
        <w:rPr>
          <w:rFonts w:hint="eastAsia" w:eastAsia="黑体"/>
          <w:color w:val="000000"/>
          <w:sz w:val="36"/>
          <w:szCs w:val="36"/>
          <w:highlight w:val="none"/>
        </w:rPr>
        <w:t xml:space="preserve">第一章   招 标 公 告</w:t>
      </w:r>
      <w:r>
        <w:rPr>
          <w:rFonts w:hint="eastAsia" w:ascii="仿宋" w:hAnsi="仿宋" w:eastAsia="黑体" w:cs="仿宋"/>
          <w:sz w:val="28"/>
          <w:szCs w:val="28"/>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color w:val="000000"/>
          <w:sz w:val="21"/>
          <w:szCs w:val="21"/>
          <w:highlight w:val="none"/>
        </w:rPr>
        <w:t xml:space="preserve">项目概况</w:t>
      </w:r>
      <w:r>
        <w:rPr>
          <w:rFonts w:hint="eastAsia" w:cs="仿宋"/>
          <w:sz w:val="21"/>
          <w:szCs w:val="21"/>
          <w:highlight w:val="none"/>
        </w:rPr>
      </w:r>
      <w:r/>
    </w:p>
    <w:p>
      <w:pPr>
        <w:pStyle w:val="897"/>
        <w:ind w:firstLine="480"/>
        <w:jc w:val="both"/>
        <w:spacing w:before="0" w:beforeAutospacing="0" w:after="0" w:afterAutospacing="0" w:line="440" w:lineRule="exact"/>
        <w:rPr>
          <w:rFonts w:hint="eastAsia" w:cs="仿宋"/>
          <w:sz w:val="21"/>
          <w:szCs w:val="21"/>
          <w:highlight w:val="none"/>
        </w:rPr>
        <w:pBdr>
          <w:top w:val="single" w:color="000000" w:sz="4" w:space="0"/>
          <w:left w:val="single" w:color="000000" w:sz="4" w:space="0"/>
          <w:bottom w:val="single" w:color="000000" w:sz="4" w:space="5"/>
          <w:right w:val="single" w:color="000000" w:sz="4" w:space="0"/>
        </w:pBdr>
      </w:pPr>
      <w:r>
        <w:rPr>
          <w:rFonts w:hint="eastAsia" w:cs="仿宋"/>
          <w:sz w:val="21"/>
          <w:szCs w:val="21"/>
          <w:highlight w:val="none"/>
        </w:rPr>
        <w:t xml:space="preserve">2026年大丰麋鹿保护区全株玉米青贮饲料采购项目（项目编号：JSZC-320000-YCMR-G2026-0006 ）招标项目的潜在投标人可在“苏采云”系统内免费下载（投标人必须在苏采云系统中获取采购文件，方能参与政府采购项目）获取招标文件，并于2026年</w:t>
      </w:r>
      <w:r>
        <w:rPr>
          <w:rFonts w:hint="eastAsia" w:cs="仿宋"/>
          <w:sz w:val="21"/>
          <w:szCs w:val="21"/>
          <w:highlight w:val="none"/>
          <w:lang w:val="en-US" w:eastAsia="zh-CN"/>
        </w:rPr>
        <w:t xml:space="preserve">7</w:t>
      </w:r>
      <w:r>
        <w:rPr>
          <w:rFonts w:hint="eastAsia" w:cs="仿宋"/>
          <w:sz w:val="21"/>
          <w:szCs w:val="21"/>
          <w:highlight w:val="none"/>
        </w:rPr>
        <w:t xml:space="preserve">月</w:t>
      </w:r>
      <w:r>
        <w:rPr>
          <w:rFonts w:hint="eastAsia" w:cs="仿宋"/>
          <w:sz w:val="21"/>
          <w:szCs w:val="21"/>
          <w:highlight w:val="none"/>
          <w:lang w:val="en-US" w:eastAsia="zh-CN"/>
        </w:rPr>
        <w:t xml:space="preserve">13</w:t>
      </w:r>
      <w:r>
        <w:rPr>
          <w:rFonts w:hint="eastAsia" w:cs="仿宋"/>
          <w:sz w:val="21"/>
          <w:szCs w:val="21"/>
          <w:highlight w:val="none"/>
        </w:rPr>
        <w:t xml:space="preserve"> 日</w:t>
      </w:r>
      <w:r>
        <w:rPr>
          <w:rFonts w:hint="eastAsia" w:cs="仿宋"/>
          <w:sz w:val="21"/>
          <w:szCs w:val="21"/>
          <w:highlight w:val="none"/>
          <w:lang w:val="en-US" w:eastAsia="zh-CN"/>
        </w:rPr>
        <w:t xml:space="preserve">10</w:t>
      </w:r>
      <w:r>
        <w:rPr>
          <w:rFonts w:hint="eastAsia" w:cs="仿宋"/>
          <w:sz w:val="21"/>
          <w:szCs w:val="21"/>
          <w:highlight w:val="none"/>
        </w:rPr>
        <w:t xml:space="preserve">点00分（北京时间）前递交投标文件。</w:t>
      </w:r>
      <w:r>
        <w:rPr>
          <w:rFonts w:hint="eastAsia" w:cs="仿宋"/>
          <w:sz w:val="21"/>
          <w:szCs w:val="21"/>
          <w:highlight w:val="none"/>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Start w:id="8" w:name="_Toc38985263"/>
      <w:r/>
      <w:bookmarkStart w:id="9" w:name="_Hlk24379207"/>
      <w:r/>
      <w:bookmarkStart w:id="10" w:name="_Toc28359079"/>
      <w:r/>
      <w:bookmarkStart w:id="11" w:name="_Toc28359002"/>
      <w:r/>
      <w:bookmarkStart w:id="12" w:name="_Toc35393621"/>
      <w:r/>
      <w:bookmarkStart w:id="13" w:name="_Toc35393790"/>
      <w:r>
        <w:rPr>
          <w:rFonts w:hint="eastAsia" w:cs="仿宋"/>
          <w:b/>
          <w:color w:val="333333"/>
          <w:sz w:val="21"/>
          <w:szCs w:val="21"/>
          <w:highlight w:val="none"/>
          <w:shd w:val="clear" w:color="auto" w:fill="ffffff"/>
        </w:rPr>
        <w:t xml:space="preserve">一、项目基本情况</w:t>
      </w:r>
      <w:bookmarkEnd w:id="8"/>
      <w:r/>
      <w:bookmarkEnd w:id="9"/>
      <w:r/>
      <w:bookmarkEnd w:id="10"/>
      <w:r/>
      <w:bookmarkEnd w:id="11"/>
      <w:r/>
      <w:bookmarkEnd w:id="12"/>
      <w:r/>
      <w:bookmarkEnd w:id="13"/>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Start w:id="14" w:name="OLE_LINK30"/>
      <w:r>
        <w:rPr>
          <w:rFonts w:hint="eastAsia" w:cs="仿宋"/>
          <w:color w:val="333333"/>
          <w:sz w:val="21"/>
          <w:szCs w:val="21"/>
          <w:highlight w:val="none"/>
          <w:shd w:val="clear" w:color="auto" w:fill="ffffff"/>
        </w:rPr>
        <w:t xml:space="preserve">项目编号：JSZC-320000-YCMR-G2026-0006</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项目名称：</w:t>
      </w:r>
      <w:bookmarkEnd w:id="14"/>
      <w:r>
        <w:rPr>
          <w:rFonts w:hint="eastAsia" w:cs="仿宋"/>
          <w:color w:val="000000"/>
          <w:sz w:val="21"/>
          <w:szCs w:val="21"/>
          <w:highlight w:val="none"/>
        </w:rPr>
        <w:t xml:space="preserve">2026年大丰麋鹿保护区全株玉米青贮饲料采购项目</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tabs>
          <w:tab w:val="right" w:pos="8731"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采购方式：公开招标</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预算金额：3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最高限价：3</w:t>
      </w:r>
      <w:r>
        <w:rPr>
          <w:rFonts w:hint="eastAsia" w:cs="仿宋"/>
          <w:color w:val="333333"/>
          <w:sz w:val="21"/>
          <w:szCs w:val="21"/>
          <w:highlight w:val="none"/>
          <w:shd w:val="clear" w:color="auto" w:fill="ffffff"/>
          <w:lang w:val="en-US" w:eastAsia="zh-CN"/>
        </w:rPr>
        <w:t xml:space="preserve">60</w:t>
      </w:r>
      <w:r>
        <w:rPr>
          <w:rFonts w:hint="eastAsia" w:cs="仿宋"/>
          <w:color w:val="333333"/>
          <w:sz w:val="21"/>
          <w:szCs w:val="21"/>
          <w:highlight w:val="none"/>
          <w:shd w:val="clear" w:color="auto" w:fill="ffffff"/>
        </w:rPr>
        <w:t xml:space="preserve">万元，单价580.72元/吨，投标人的报价单价及总价均不得超过相应限价，否则按无效标处理。</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采购需求：</w:t>
      </w:r>
      <w:r>
        <w:rPr>
          <w:rFonts w:hint="eastAsia" w:cs="仿宋"/>
          <w:sz w:val="21"/>
          <w:szCs w:val="21"/>
          <w:highlight w:val="none"/>
          <w:shd w:val="clear" w:color="auto" w:fill="ffffff"/>
        </w:rPr>
        <w:t xml:space="preserve">全株玉米青贮饲料，包括釆购、收割粉碎、运输、堆压、封仓、密封期管理、抽检检测等服务。</w:t>
      </w:r>
      <w:r>
        <w:rPr>
          <w:rFonts w:hint="eastAsia" w:cs="仿宋"/>
          <w:color w:val="333333"/>
          <w:sz w:val="21"/>
          <w:szCs w:val="21"/>
          <w:highlight w:val="none"/>
          <w:shd w:val="clear" w:color="auto" w:fill="ffffff"/>
        </w:rPr>
        <w:t xml:space="preserve">具体详见招标文件第四章采购需求。</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合同履行期限（工期）：</w:t>
      </w:r>
      <w:bookmarkStart w:id="15" w:name="OLE_LINK46"/>
      <w:r>
        <w:rPr>
          <w:rFonts w:hint="eastAsia" w:cs="仿宋"/>
          <w:color w:val="333333"/>
          <w:sz w:val="21"/>
          <w:szCs w:val="21"/>
          <w:highlight w:val="none"/>
          <w:shd w:val="clear" w:color="auto" w:fill="ffffff"/>
        </w:rPr>
        <w:t xml:space="preserve">经采购人确认收割起讫日期开始30日历天</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End w:id="15"/>
      <w:r/>
      <w:bookmarkStart w:id="16" w:name="OLE_LINK5"/>
      <w:r>
        <w:rPr>
          <w:rFonts w:hint="eastAsia" w:cs="仿宋"/>
          <w:color w:val="333333"/>
          <w:sz w:val="21"/>
          <w:szCs w:val="21"/>
          <w:highlight w:val="none"/>
          <w:shd w:val="clear" w:color="auto" w:fill="ffffff"/>
        </w:rPr>
        <w:t xml:space="preserve">本项目(是/否)接受联合体：否</w:t>
      </w:r>
      <w:r>
        <w:rPr>
          <w:rFonts w:hint="eastAsia" w:cs="仿宋"/>
          <w:color w:val="333333"/>
          <w:sz w:val="21"/>
          <w:szCs w:val="21"/>
          <w:highlight w:val="none"/>
          <w:shd w:val="clear" w:color="auto" w:fill="ffffff"/>
        </w:rPr>
      </w:r>
      <w:r/>
    </w:p>
    <w:p>
      <w:pPr>
        <w:pStyle w:val="897"/>
        <w:ind w:firstLine="482"/>
        <w:jc w:val="both"/>
        <w:spacing w:before="0" w:beforeAutospacing="0" w:after="0" w:afterAutospacing="0" w:line="440" w:lineRule="exact"/>
        <w:rPr>
          <w:rFonts w:hint="eastAsia" w:cs="仿宋"/>
          <w:b/>
          <w:color w:val="333333"/>
          <w:sz w:val="21"/>
          <w:szCs w:val="21"/>
          <w:highlight w:val="none"/>
          <w:shd w:val="clear" w:color="auto" w:fill="ffffff"/>
        </w:rPr>
      </w:pPr>
      <w:r/>
      <w:bookmarkEnd w:id="16"/>
      <w:r/>
      <w:bookmarkStart w:id="17" w:name="_Toc28359080"/>
      <w:r/>
      <w:bookmarkStart w:id="18" w:name="_Toc38985264"/>
      <w:r/>
      <w:bookmarkStart w:id="19" w:name="_Toc28359003"/>
      <w:r/>
      <w:bookmarkStart w:id="20" w:name="_Toc35393622"/>
      <w:r/>
      <w:bookmarkStart w:id="21" w:name="_Toc35393791"/>
      <w:r>
        <w:rPr>
          <w:rFonts w:hint="eastAsia" w:cs="仿宋"/>
          <w:b/>
          <w:color w:val="333333"/>
          <w:sz w:val="21"/>
          <w:szCs w:val="21"/>
          <w:highlight w:val="none"/>
          <w:shd w:val="clear" w:color="auto" w:fill="ffffff"/>
        </w:rPr>
        <w:t xml:space="preserve">二、申请人的资格要求</w:t>
      </w:r>
      <w:bookmarkEnd w:id="17"/>
      <w:r/>
      <w:bookmarkEnd w:id="18"/>
      <w:r/>
      <w:bookmarkEnd w:id="19"/>
      <w:r/>
      <w:bookmarkEnd w:id="20"/>
      <w:r/>
      <w:bookmarkEnd w:id="21"/>
      <w:r>
        <w:rPr>
          <w:rFonts w:hint="eastAsia" w:cs="仿宋"/>
          <w:b/>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bookmarkStart w:id="22" w:name="_Hlk198387029"/>
      <w:r>
        <w:rPr>
          <w:rFonts w:hint="eastAsia" w:cs="仿宋"/>
          <w:color w:val="333333"/>
          <w:sz w:val="21"/>
          <w:szCs w:val="21"/>
          <w:highlight w:val="none"/>
          <w:shd w:val="clear" w:color="auto" w:fill="ffffff"/>
        </w:rPr>
        <w:t xml:space="preserve">(一)满足《中华人民共和国政府采购法》第二十二条规定，并提供下列材料：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rPr>
          <w:rFonts w:hint="eastAsia" w:cs="仿宋"/>
          <w:sz w:val="21"/>
          <w:szCs w:val="21"/>
          <w:highlight w:val="none"/>
          <w:shd w:val="clear" w:color="auto" w:fill="ffffff"/>
        </w:rPr>
        <w:t xml:space="preserve">1.法人或者其他组织的营业执照等证明文件；</w:t>
      </w:r>
      <w:r>
        <w:rPr>
          <w:rFonts w:hint="eastAsia" w:cs="仿宋"/>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w:t>
      </w:r>
      <w:r>
        <w:rPr>
          <w:rFonts w:hint="eastAsia" w:cs="仿宋"/>
          <w:sz w:val="21"/>
          <w:szCs w:val="21"/>
          <w:highlight w:val="none"/>
          <w:shd w:val="clear" w:color="auto" w:fill="ffffff"/>
        </w:rPr>
        <w:t xml:space="preserve">上一年度的财务状况报告(成立不满一年无需提供)；</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3.具备履行合同所必需的设备和专业技术能力的书面声明；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5.参加政府采购活动前3年内在经营活动中没有重大违法记录的书面声明。</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6.法律、行政法规规定的其他条件。</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8.单位负责人为同一人或者存在直接控股、管理关系的不同供应商，不得参加同一合同项下的政府采购活动。</w:t>
      </w:r>
      <w:r>
        <w:rPr>
          <w:rFonts w:hint="eastAsia" w:cs="仿宋"/>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sz w:val="21"/>
          <w:szCs w:val="21"/>
          <w:highlight w:val="none"/>
          <w:shd w:val="clear" w:color="auto" w:fill="ffffff"/>
        </w:rPr>
      </w:pPr>
      <w:r/>
      <w:bookmarkStart w:id="23" w:name="_Hlk198387119"/>
      <w:r>
        <w:rPr>
          <w:rFonts w:hint="eastAsia" w:cs="仿宋"/>
          <w:sz w:val="21"/>
          <w:szCs w:val="21"/>
          <w:highlight w:val="none"/>
          <w:shd w:val="clear" w:color="auto" w:fill="ffffff"/>
        </w:rPr>
        <w:t xml:space="preserve">(二)落实政府采购政策需满足的资格要求:</w:t>
      </w:r>
      <w:bookmarkEnd w:id="23"/>
      <w:r>
        <w:rPr>
          <w:rFonts w:hint="eastAsia" w:cs="仿宋"/>
          <w:sz w:val="21"/>
          <w:szCs w:val="21"/>
          <w:highlight w:val="none"/>
          <w:shd w:val="clear" w:color="auto" w:fill="ffffff"/>
        </w:rPr>
        <w:t xml:space="preserve">无</w:t>
      </w:r>
      <w:r>
        <w:rPr>
          <w:rFonts w:hint="eastAsia" w:cs="仿宋"/>
          <w:sz w:val="21"/>
          <w:szCs w:val="21"/>
          <w:highlight w:val="none"/>
          <w:shd w:val="clear" w:color="auto" w:fill="ffffff"/>
        </w:rPr>
      </w:r>
      <w:r/>
    </w:p>
    <w:p>
      <w:pPr>
        <w:pStyle w:val="638"/>
        <w:ind w:firstLine="420"/>
        <w:spacing w:line="400" w:lineRule="exact"/>
        <w:rPr>
          <w:rFonts w:hint="eastAsia" w:ascii="宋体" w:hAnsi="宋体" w:cs="仿宋"/>
          <w:color w:val="333333"/>
          <w:szCs w:val="21"/>
          <w:highlight w:val="none"/>
          <w:shd w:val="clear" w:color="auto" w:fill="ffffff"/>
        </w:rPr>
      </w:pPr>
      <w:r/>
      <w:bookmarkStart w:id="24" w:name="_Hlk198387136"/>
      <w:r>
        <w:rPr>
          <w:rFonts w:hint="eastAsia" w:ascii="宋体" w:hAnsi="宋体" w:cs="仿宋"/>
          <w:color w:val="333333"/>
          <w:szCs w:val="21"/>
          <w:highlight w:val="none"/>
          <w:shd w:val="clear" w:color="auto" w:fill="ffffff"/>
        </w:rPr>
        <w:t xml:space="preserve">(三)本项目的特定资格要求</w:t>
      </w:r>
      <w:bookmarkEnd w:id="24"/>
      <w:r>
        <w:rPr>
          <w:rFonts w:hint="eastAsia" w:ascii="宋体" w:hAnsi="宋体" w:cs="仿宋"/>
          <w:color w:val="333333"/>
          <w:szCs w:val="21"/>
          <w:highlight w:val="none"/>
          <w:shd w:val="clear" w:color="auto" w:fill="ffffff"/>
        </w:rPr>
        <w:t xml:space="preserve">:</w:t>
      </w:r>
      <w:bookmarkEnd w:id="22"/>
      <w:r>
        <w:rPr>
          <w:rFonts w:hint="eastAsia" w:ascii="宋体" w:hAnsi="宋体" w:cs="仿宋"/>
          <w:color w:val="333333"/>
          <w:szCs w:val="21"/>
          <w:highlight w:val="none"/>
          <w:shd w:val="clear" w:color="auto" w:fill="ffffff"/>
        </w:rPr>
        <w:t xml:space="preserve">中华人民共和国境内注册的独立法人企业或个体工商户，具有青贮饲料或农产品（除非包装种子）销售、收购或加工的能力。</w:t>
      </w:r>
      <w:r>
        <w:rPr>
          <w:rFonts w:hint="eastAsia" w:ascii="宋体" w:hAnsi="宋体" w:cs="仿宋"/>
          <w:color w:val="333333"/>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三、获取</w:t>
      </w:r>
      <w:r>
        <w:rPr>
          <w:rFonts w:hint="eastAsia" w:cs="仿宋"/>
          <w:b/>
          <w:color w:val="000000"/>
          <w:sz w:val="21"/>
          <w:szCs w:val="21"/>
          <w:highlight w:val="none"/>
        </w:rPr>
        <w:t xml:space="preserve">招标</w:t>
      </w:r>
      <w:r>
        <w:rPr>
          <w:rFonts w:hint="eastAsia" w:cs="仿宋"/>
          <w:b/>
          <w:bCs/>
          <w:color w:val="333333"/>
          <w:sz w:val="21"/>
          <w:szCs w:val="21"/>
          <w:highlight w:val="none"/>
          <w:shd w:val="clear" w:color="auto" w:fill="ffffff"/>
        </w:rPr>
        <w:t xml:space="preserve">文件</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bookmarkStart w:id="25" w:name="_Toc38985266"/>
      <w:r/>
      <w:bookmarkStart w:id="26" w:name="_Toc28359005"/>
      <w:r/>
      <w:bookmarkStart w:id="27" w:name="_Toc28359082"/>
      <w:r/>
      <w:bookmarkStart w:id="28" w:name="_Toc35393793"/>
      <w:r/>
      <w:bookmarkStart w:id="29" w:name="_Toc35393624"/>
      <w:r>
        <w:rPr>
          <w:rFonts w:hint="eastAsia" w:cs="仿宋"/>
          <w:color w:val="333333"/>
          <w:sz w:val="21"/>
          <w:szCs w:val="21"/>
          <w:highlight w:val="none"/>
          <w:shd w:val="clear" w:color="auto" w:fill="ffffff"/>
        </w:rPr>
        <w:t xml:space="preserve">1.时间：</w:t>
      </w:r>
      <w:bookmarkEnd w:id="25"/>
      <w:r/>
      <w:bookmarkEnd w:id="26"/>
      <w:r/>
      <w:bookmarkEnd w:id="27"/>
      <w:r/>
      <w:bookmarkEnd w:id="28"/>
      <w:r/>
      <w:bookmarkEnd w:id="29"/>
      <w:r>
        <w:rPr>
          <w:rFonts w:hint="eastAsia" w:cs="仿宋"/>
          <w:color w:val="333333"/>
          <w:sz w:val="21"/>
          <w:szCs w:val="21"/>
          <w:highlight w:val="none"/>
          <w:shd w:val="clear" w:color="auto" w:fill="ffffff"/>
        </w:rPr>
        <w:t xml:space="preserve">自招标文件公告发布之日起5个工作日。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2.地点：“苏采云”系统内免费下载（投标人必须在苏采云系统中获取采购文件，方能参与政府采购项目）；</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3.方式：本项目采用网上注册登记方式。</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4.售价：0.00元</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四、提交投标文件截止时间、开标时间和地点</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1.时间：2026年</w:t>
      </w:r>
      <w:r>
        <w:rPr>
          <w:rFonts w:hint="eastAsia" w:cs="仿宋"/>
          <w:color w:val="333333"/>
          <w:sz w:val="21"/>
          <w:szCs w:val="21"/>
          <w:highlight w:val="none"/>
          <w:shd w:val="clear" w:color="auto" w:fill="ffffff"/>
          <w:lang w:val="en-US" w:eastAsia="zh-CN"/>
        </w:rPr>
        <w:t xml:space="preserve">7</w:t>
      </w:r>
      <w:r>
        <w:rPr>
          <w:rFonts w:hint="eastAsia" w:cs="仿宋"/>
          <w:color w:val="333333"/>
          <w:sz w:val="21"/>
          <w:szCs w:val="21"/>
          <w:highlight w:val="none"/>
          <w:shd w:val="clear" w:color="auto" w:fill="ffffff"/>
        </w:rPr>
        <w:t xml:space="preserve">月</w:t>
      </w:r>
      <w:r>
        <w:rPr>
          <w:rFonts w:hint="eastAsia" w:cs="仿宋"/>
          <w:color w:val="333333"/>
          <w:sz w:val="21"/>
          <w:szCs w:val="21"/>
          <w:highlight w:val="none"/>
          <w:shd w:val="clear" w:color="auto" w:fill="ffffff"/>
          <w:lang w:val="en-US" w:eastAsia="zh-CN"/>
        </w:rPr>
        <w:t xml:space="preserve">13</w:t>
      </w:r>
      <w:r>
        <w:rPr>
          <w:rFonts w:hint="eastAsia" w:cs="仿宋"/>
          <w:color w:val="333333"/>
          <w:sz w:val="21"/>
          <w:szCs w:val="21"/>
          <w:highlight w:val="none"/>
          <w:shd w:val="clear" w:color="auto" w:fill="ffffff"/>
        </w:rPr>
        <w:t xml:space="preserve">日</w:t>
      </w:r>
      <w:r>
        <w:rPr>
          <w:rFonts w:hint="eastAsia" w:cs="仿宋"/>
          <w:color w:val="333333"/>
          <w:sz w:val="21"/>
          <w:szCs w:val="21"/>
          <w:highlight w:val="none"/>
          <w:shd w:val="clear" w:color="auto" w:fill="ffffff"/>
          <w:lang w:val="en-US" w:eastAsia="zh-CN"/>
        </w:rPr>
        <w:t xml:space="preserve">10</w:t>
      </w:r>
      <w:r>
        <w:rPr>
          <w:rFonts w:hint="eastAsia" w:cs="仿宋"/>
          <w:color w:val="333333"/>
          <w:sz w:val="21"/>
          <w:szCs w:val="21"/>
          <w:highlight w:val="none"/>
          <w:shd w:val="clear" w:color="auto" w:fill="ffffff"/>
        </w:rPr>
        <w:t xml:space="preserve">点00分（北京时间）</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tabs>
          <w:tab w:val="left" w:pos="7560" w:leader="none"/>
        </w:tabs>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2.地点：“苏采云”系统（网址：http://jszfcg.jsczt.cn/）开标大厅。</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五、公告期限</w:t>
      </w:r>
      <w:r>
        <w:rPr>
          <w:rFonts w:hint="eastAsia" w:cs="仿宋"/>
          <w:b/>
          <w:bCs/>
          <w:color w:val="333333"/>
          <w:sz w:val="21"/>
          <w:szCs w:val="21"/>
          <w:highlight w:val="none"/>
          <w:shd w:val="clear" w:color="auto" w:fill="ffffff"/>
        </w:rPr>
      </w:r>
      <w:r/>
    </w:p>
    <w:p>
      <w:pPr>
        <w:pStyle w:val="897"/>
        <w:ind w:firstLine="480"/>
        <w:jc w:val="both"/>
        <w:spacing w:before="0" w:beforeAutospacing="0" w:after="0" w:afterAutospacing="0" w:line="440" w:lineRule="exact"/>
        <w:rPr>
          <w:rFonts w:hint="eastAsia" w:cs="仿宋"/>
          <w:color w:val="333333"/>
          <w:sz w:val="21"/>
          <w:szCs w:val="21"/>
          <w:highlight w:val="none"/>
          <w:shd w:val="clear" w:color="auto" w:fill="ffffff"/>
        </w:rPr>
      </w:pPr>
      <w:r>
        <w:rPr>
          <w:rFonts w:hint="eastAsia" w:cs="仿宋"/>
          <w:color w:val="333333"/>
          <w:sz w:val="21"/>
          <w:szCs w:val="21"/>
          <w:highlight w:val="none"/>
          <w:shd w:val="clear" w:color="auto" w:fill="ffffff"/>
        </w:rPr>
        <w:t xml:space="preserve">自本公告发布之日起 5 个工作日</w:t>
      </w:r>
      <w:r>
        <w:rPr>
          <w:rFonts w:hint="eastAsia" w:cs="仿宋"/>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
          <w:bCs/>
          <w:color w:val="333333"/>
          <w:sz w:val="21"/>
          <w:szCs w:val="21"/>
          <w:highlight w:val="none"/>
          <w:shd w:val="clear" w:color="auto" w:fill="ffffff"/>
        </w:rPr>
      </w:pPr>
      <w:r>
        <w:rPr>
          <w:rFonts w:hint="eastAsia" w:cs="仿宋"/>
          <w:b/>
          <w:bCs/>
          <w:color w:val="333333"/>
          <w:sz w:val="21"/>
          <w:szCs w:val="21"/>
          <w:highlight w:val="none"/>
          <w:shd w:val="clear" w:color="auto" w:fill="ffffff"/>
        </w:rPr>
        <w:t xml:space="preserve">六、其他补充事宜</w:t>
      </w:r>
      <w:r>
        <w:rPr>
          <w:rFonts w:hint="eastAsia" w:cs="仿宋"/>
          <w:b/>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2.潜在供应商访问电子招标响应交易平台的网络地址和方法：</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2.2潜在投标人访问“苏采云”系统方法：江苏省政府采购网首页-“苏采云”链接。</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2.3采购文件（后缀名为“.kedt”）、供应商操作手册及政府采购客户端工具可通过“苏采云”系统相应链接进行下载。</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2.4采购代理机构将数据电文形式的采购文件加载至“苏采云”系统，供潜在供应商下载或者查阅。</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2.5请潜在投标单位提前安装相应的控件（详见《“苏采云”系统供应商操作手册》）并使用谷歌浏览器登录“苏采云”系统参与不见面开评标。</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如潜在投标人未按上述要求操作，将自行承担所产生的风险。</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3.有关本次招标的事项若存在变动或修改，敬请及时关注盐城市政府采购中心在“中国政府采购网”“江苏政府采购网”“盐城市政府采购网”发布的更正公告。</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4.本次招标不收取投标保证金，不收取质量保证金。</w:t>
      </w:r>
      <w:r>
        <w:rPr>
          <w:rFonts w:hint="eastAsia" w:cs="仿宋"/>
          <w:bCs/>
          <w:color w:val="333333"/>
          <w:sz w:val="21"/>
          <w:szCs w:val="21"/>
          <w:highlight w:val="none"/>
          <w:shd w:val="clear" w:color="auto" w:fill="ffffff"/>
        </w:rPr>
      </w:r>
      <w:r/>
    </w:p>
    <w:p>
      <w:pPr>
        <w:pStyle w:val="897"/>
        <w:ind w:firstLine="482"/>
        <w:spacing w:before="0" w:beforeAutospacing="0" w:after="0" w:afterAutospacing="0" w:line="440" w:lineRule="exact"/>
        <w:rPr>
          <w:rFonts w:hint="eastAsia" w:cs="仿宋"/>
          <w:bCs/>
          <w:color w:val="333333"/>
          <w:sz w:val="21"/>
          <w:szCs w:val="21"/>
          <w:highlight w:val="none"/>
          <w:shd w:val="clear" w:color="auto" w:fill="ffffff"/>
        </w:rPr>
      </w:pPr>
      <w:r>
        <w:rPr>
          <w:rFonts w:hint="eastAsia" w:cs="仿宋"/>
          <w:bCs/>
          <w:color w:val="333333"/>
          <w:sz w:val="21"/>
          <w:szCs w:val="21"/>
          <w:highlight w:val="none"/>
          <w:shd w:val="clear" w:color="auto" w:fill="ffffff"/>
        </w:rPr>
        <w:t xml:space="preserve">七、凡对本次采购提出询问，请按以下方式联系。</w:t>
      </w:r>
      <w:r>
        <w:rPr>
          <w:rFonts w:hint="eastAsia" w:cs="仿宋"/>
          <w:bCs/>
          <w:color w:val="333333"/>
          <w:sz w:val="21"/>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1.采购人信息</w:t>
      </w:r>
      <w:bookmarkEnd w:id="7"/>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w:t>
      </w:r>
      <w:bookmarkStart w:id="30" w:name="OLE_LINK43"/>
      <w:r>
        <w:rPr>
          <w:rFonts w:hint="eastAsia" w:ascii="宋体" w:hAnsi="宋体" w:cs="仿宋"/>
          <w:color w:val="333333"/>
          <w:szCs w:val="21"/>
          <w:highlight w:val="none"/>
          <w:shd w:val="clear" w:color="auto" w:fill="ffffff"/>
        </w:rPr>
        <w:t xml:space="preserve">江苏省大丰麋鹿国家级自然保护区管理处</w:t>
      </w:r>
      <w:bookmarkEnd w:id="30"/>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bookmarkStart w:id="31" w:name="_Hlk201089140"/>
      <w:r>
        <w:rPr>
          <w:rFonts w:hint="eastAsia" w:ascii="宋体" w:hAnsi="宋体" w:cs="仿宋"/>
          <w:szCs w:val="21"/>
          <w:highlight w:val="none"/>
          <w:shd w:val="clear" w:color="auto" w:fill="ffffff"/>
        </w:rPr>
        <w:t xml:space="preserve">大丰林场南首</w:t>
      </w:r>
      <w:bookmarkEnd w:id="31"/>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人：解先生</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w:t>
      </w:r>
      <w:bookmarkStart w:id="32" w:name="OLE_LINK19"/>
      <w:r>
        <w:rPr>
          <w:rFonts w:hint="eastAsia" w:ascii="宋体" w:hAnsi="宋体" w:cs="仿宋"/>
          <w:color w:val="333333"/>
          <w:szCs w:val="21"/>
          <w:highlight w:val="none"/>
          <w:shd w:val="clear" w:color="auto" w:fill="ffffff"/>
        </w:rPr>
        <w:t xml:space="preserve">0515-83893002</w:t>
      </w:r>
      <w:bookmarkEnd w:id="32"/>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2.采购代理机构信息</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名</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称：江苏明润资产房地产评估造价咨询有限公司</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地 </w:t>
      </w:r>
      <w:r>
        <w:rPr>
          <w:rFonts w:ascii="宋体" w:hAnsi="宋体" w:cs="仿宋"/>
          <w:color w:val="333333"/>
          <w:szCs w:val="21"/>
          <w:highlight w:val="none"/>
          <w:shd w:val="clear" w:color="auto" w:fill="ffffff"/>
        </w:rPr>
        <w:t xml:space="preserve">   </w:t>
      </w:r>
      <w:r>
        <w:rPr>
          <w:rFonts w:hint="eastAsia" w:ascii="宋体" w:hAnsi="宋体" w:cs="仿宋"/>
          <w:color w:val="333333"/>
          <w:szCs w:val="21"/>
          <w:highlight w:val="none"/>
          <w:shd w:val="clear" w:color="auto" w:fill="ffffff"/>
        </w:rPr>
        <w:t xml:space="preserve">址：</w:t>
      </w:r>
      <w:r>
        <w:rPr>
          <w:rFonts w:hint="eastAsia" w:cs="仿宋"/>
          <w:color w:val="333333"/>
          <w:szCs w:val="21"/>
          <w:highlight w:val="none"/>
          <w:shd w:val="clear" w:color="auto" w:fill="ffffff"/>
        </w:rPr>
        <w:t xml:space="preserve">大丰区健康东路48号（原财政局东楼四楼）</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 系 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3</w:t>
      </w:r>
      <w:r>
        <w:rPr>
          <w:rFonts w:ascii="宋体" w:hAnsi="宋体" w:cs="仿宋"/>
          <w:color w:val="333333"/>
          <w:szCs w:val="21"/>
          <w:highlight w:val="none"/>
          <w:shd w:val="clear" w:color="auto" w:fill="ffffff"/>
        </w:rPr>
        <w:t xml:space="preserve">.</w:t>
      </w:r>
      <w:r>
        <w:rPr>
          <w:rFonts w:hint="eastAsia" w:ascii="宋体" w:hAnsi="宋体" w:cs="仿宋"/>
          <w:color w:val="333333"/>
          <w:szCs w:val="21"/>
          <w:highlight w:val="none"/>
          <w:shd w:val="clear" w:color="auto" w:fill="ffffff"/>
        </w:rPr>
        <w:t xml:space="preserve">项目联系人：陈旭东</w:t>
      </w:r>
      <w:r>
        <w:rPr>
          <w:rFonts w:hint="eastAsia" w:ascii="宋体" w:hAnsi="宋体" w:cs="仿宋"/>
          <w:color w:val="333333"/>
          <w:szCs w:val="21"/>
          <w:highlight w:val="none"/>
          <w:shd w:val="clear" w:color="auto" w:fill="ffffff"/>
        </w:rPr>
      </w:r>
      <w:r/>
    </w:p>
    <w:p>
      <w:pPr>
        <w:pStyle w:val="638"/>
        <w:ind w:firstLine="480"/>
        <w:jc w:val="left"/>
        <w:spacing w:line="440" w:lineRule="exact"/>
        <w:shd w:val="clear" w:color="auto" w:fill="ffffff"/>
        <w:widowControl/>
        <w:tabs>
          <w:tab w:val="right" w:pos="8312" w:leader="none"/>
        </w:tabs>
        <w:rPr>
          <w:rFonts w:hint="eastAsia" w:ascii="宋体" w:hAnsi="宋体" w:cs="仿宋"/>
          <w:color w:val="333333"/>
          <w:szCs w:val="21"/>
          <w:highlight w:val="none"/>
          <w:shd w:val="clear" w:color="auto" w:fill="ffffff"/>
        </w:rPr>
      </w:pPr>
      <w:r>
        <w:rPr>
          <w:rFonts w:hint="eastAsia" w:ascii="宋体" w:hAnsi="宋体" w:cs="仿宋"/>
          <w:color w:val="333333"/>
          <w:szCs w:val="21"/>
          <w:highlight w:val="none"/>
          <w:shd w:val="clear" w:color="auto" w:fill="ffffff"/>
        </w:rPr>
        <w:t xml:space="preserve">联系方式：18452500901</w:t>
      </w:r>
      <w:r>
        <w:rPr>
          <w:rFonts w:hint="eastAsia" w:ascii="宋体" w:hAnsi="宋体" w:cs="仿宋"/>
          <w:color w:val="333333"/>
          <w:szCs w:val="21"/>
          <w:highlight w:val="none"/>
          <w:shd w:val="clear" w:color="auto" w:fill="ffffff"/>
        </w:rPr>
      </w:r>
      <w:r/>
    </w:p>
    <w:p>
      <w:pPr>
        <w:pStyle w:val="638"/>
        <w:jc w:val="left"/>
        <w:widowControl/>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第二章  投标人须知</w:t>
      </w:r>
      <w:r>
        <w:rPr>
          <w:rFonts w:eastAsia="黑体"/>
          <w:color w:val="000000"/>
          <w:sz w:val="36"/>
          <w:szCs w:val="36"/>
          <w:highlight w:val="none"/>
        </w:rPr>
      </w:r>
      <w:r/>
    </w:p>
    <w:p>
      <w:pPr>
        <w:pStyle w:val="638"/>
        <w:ind w:firstLine="422"/>
        <w:spacing w:line="400" w:lineRule="exact"/>
        <w:rPr>
          <w:rFonts w:hint="eastAsia" w:ascii="宋体" w:hAnsi="宋体"/>
          <w:b/>
          <w:bCs/>
          <w:szCs w:val="21"/>
          <w:highlight w:val="none"/>
        </w:rPr>
      </w:pPr>
      <w:r/>
      <w:bookmarkStart w:id="33" w:name="_Hlk201600194"/>
      <w:r>
        <w:rPr>
          <w:rFonts w:ascii="宋体" w:hAnsi="宋体"/>
          <w:b/>
          <w:bCs/>
          <w:szCs w:val="21"/>
          <w:highlight w:val="none"/>
        </w:rPr>
        <w:t xml:space="preserve">一、总则</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1、招标方式</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1.1本次招标采取公开招标方式，本招标文件仅适用于招标公告中所述项目。</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2、合格的投标人</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2.1满足招标公告中供应商的资格要求的规定。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2.2满足本文件实质性要求和条件的规定。</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3、适用法律</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3.1本次招标及由此产生的合同受中华人民共和国有关的法律法规制约和保护。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3.2在本项目政府采购活动过程中，如果所执行的标准有更新的，按照最新标准执行。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4、投标费用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4.1投标人应自行承担所有与参加投标有关的费用，无论投标过程中的做法和结果如何，采购人在任何情况下均无义务和责任承担这些费用。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34" w:name="_Hlk198387698"/>
      <w:r>
        <w:rPr>
          <w:rFonts w:hint="eastAsia" w:ascii="宋体" w:hAnsi="宋体"/>
          <w:szCs w:val="21"/>
          <w:highlight w:val="none"/>
        </w:rPr>
        <w:t xml:space="preserve">4.2本项目招标代理费按苏招协〔2022〕002号文</w:t>
      </w:r>
      <w:r>
        <w:rPr>
          <w:rFonts w:hint="eastAsia" w:ascii="宋体" w:hAnsi="宋体"/>
          <w:bCs/>
          <w:szCs w:val="21"/>
          <w:highlight w:val="none"/>
        </w:rPr>
        <w:t xml:space="preserve">货物类标准</w:t>
      </w:r>
      <w:r>
        <w:rPr>
          <w:rFonts w:hint="eastAsia" w:ascii="宋体" w:hAnsi="宋体"/>
          <w:szCs w:val="21"/>
          <w:highlight w:val="none"/>
        </w:rPr>
        <w:t xml:space="preserve">的4</w:t>
      </w:r>
      <w:r>
        <w:rPr>
          <w:rFonts w:ascii="宋体" w:hAnsi="宋体"/>
          <w:szCs w:val="21"/>
          <w:highlight w:val="none"/>
        </w:rPr>
        <w:t xml:space="preserve">0%</w:t>
      </w:r>
      <w:r>
        <w:rPr>
          <w:rFonts w:hint="eastAsia" w:ascii="宋体" w:hAnsi="宋体"/>
          <w:szCs w:val="21"/>
          <w:highlight w:val="none"/>
        </w:rPr>
        <w:t xml:space="preserve">计取，由中标人在领取中标通知书前一次性向代理机构支付。以上费用不单独列项，包含在投标报价中</w:t>
      </w:r>
      <w:bookmarkEnd w:id="34"/>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4.3本次招标不收取标书工本费。</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5、招标文件的约束力</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5.1投标人一旦参加本项目采购活动，即被认为接受了本招标文件的规定和约束。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二、招标文件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6、招标文件构成</w:t>
      </w:r>
      <w:r>
        <w:rPr>
          <w:rFonts w:hint="eastAsia" w:ascii="宋体" w:hAnsi="宋体"/>
          <w:b/>
          <w:bCs/>
          <w:szCs w:val="21"/>
          <w:highlight w:val="none"/>
        </w:rPr>
      </w:r>
      <w:r/>
    </w:p>
    <w:p>
      <w:pPr>
        <w:pStyle w:val="638"/>
        <w:ind w:firstLine="420"/>
        <w:spacing w:line="400" w:lineRule="exact"/>
        <w:tabs>
          <w:tab w:val="left" w:pos="7997" w:leader="none"/>
        </w:tabs>
        <w:rPr>
          <w:rFonts w:hint="eastAsia" w:ascii="宋体" w:hAnsi="宋体"/>
          <w:szCs w:val="21"/>
          <w:highlight w:val="none"/>
        </w:rPr>
      </w:pPr>
      <w:r>
        <w:rPr>
          <w:rFonts w:hint="eastAsia" w:ascii="宋体" w:hAnsi="宋体"/>
          <w:szCs w:val="21"/>
          <w:highlight w:val="none"/>
        </w:rPr>
        <w:t xml:space="preserve">6.1招标文件由以下部分组成：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（3）合同文本</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评标方法与评标标准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（6）投标文件格式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请仔细检查招标文件是否齐全，如有缺漏请立即与采购代理机构联系解决。</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7、招标文件的澄清</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7.1任何要求对招标文件进行澄清的投标人，应在投标截止期</w:t>
      </w:r>
      <w:r>
        <w:rPr>
          <w:rFonts w:ascii="宋体" w:hAnsi="宋体"/>
          <w:szCs w:val="21"/>
          <w:highlight w:val="none"/>
        </w:rPr>
        <w:t xml:space="preserve">十日前</w:t>
      </w:r>
      <w:r>
        <w:rPr>
          <w:rFonts w:hint="eastAsia" w:ascii="宋体" w:hAnsi="宋体"/>
          <w:szCs w:val="21"/>
          <w:highlight w:val="none"/>
        </w:rPr>
        <w:t xml:space="preserve">按招标公告中的通讯地址，以书面形式通知采购代理机构。</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8、招标文件的修改</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8.1在投标截止时间</w:t>
      </w:r>
      <w:r>
        <w:rPr>
          <w:rFonts w:ascii="宋体" w:hAnsi="宋体"/>
          <w:szCs w:val="21"/>
          <w:highlight w:val="none"/>
        </w:rPr>
        <w:t xml:space="preserve">前</w:t>
      </w:r>
      <w:r>
        <w:rPr>
          <w:rFonts w:hint="eastAsia" w:ascii="宋体" w:hAnsi="宋体"/>
          <w:szCs w:val="21"/>
          <w:highlight w:val="none"/>
        </w:rPr>
        <w:t xml:space="preserve">，采购代理机构可以对招标文件进行修改。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8.2采购代理机构有权按照法定的要求推迟投标截止日期和开标日期。</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8.3招标文件的修改将在中国政府采购网、江苏政府采购网公布，补充文件将作为招标文件的组成部分，并对投标人具有约束力。</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三、投标文件的编制</w:t>
      </w:r>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9、投标文件的语言及度量衡单位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9.1投标人提交的投标文件以及投标人与采购代理机构就有关投标的所有来往通知、函件和文件均应使用简体中文。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9.2除技术性能另有规定外，投标文件所使用的度量衡单位，均须采用国家法定计量单位。</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10、投标文件构成</w:t>
      </w:r>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vertAlign w:val="superscript"/>
        </w:rPr>
      </w:pPr>
      <w:r>
        <w:rPr>
          <w:rFonts w:ascii="宋体" w:hAnsi="宋体"/>
          <w:b/>
          <w:bCs/>
          <w:szCs w:val="21"/>
          <w:highlight w:val="none"/>
        </w:rPr>
        <w:t xml:space="preserve">11、证明投标人及投标标的符合招标文件规定的文件</w:t>
      </w:r>
      <w:r>
        <w:rPr>
          <w:rFonts w:hint="eastAsia" w:ascii="宋体" w:hAnsi="宋体"/>
          <w:b/>
          <w:bCs/>
          <w:szCs w:val="21"/>
          <w:highlight w:val="none"/>
          <w:vertAlign w:val="superscript"/>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11.1投标人应按照法律、法规、规章和规范性文件以及招标文件要求提交证明文件，证明其及投标标的符合招标文件规定。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11.2招标文件对证明文件无明确形式要求的，证明文件可以以文字资料、图纸和数据等形式提交。</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12、</w:t>
      </w:r>
      <w:r>
        <w:rPr>
          <w:rFonts w:hint="eastAsia" w:ascii="宋体" w:hAnsi="宋体"/>
          <w:b/>
          <w:bCs/>
          <w:szCs w:val="21"/>
          <w:highlight w:val="none"/>
        </w:rPr>
        <w:t xml:space="preserve">分项报价表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12.1投标人应按照招标文件规定格式填报</w:t>
      </w:r>
      <w:r>
        <w:rPr>
          <w:rFonts w:hint="eastAsia" w:ascii="宋体" w:hAnsi="宋体"/>
          <w:bCs/>
          <w:szCs w:val="21"/>
          <w:highlight w:val="none"/>
        </w:rPr>
        <w:t xml:space="preserve">分项报价表</w:t>
      </w:r>
      <w:r>
        <w:rPr>
          <w:rFonts w:hint="eastAsia" w:ascii="宋体" w:hAnsi="宋体"/>
          <w:szCs w:val="21"/>
          <w:highlight w:val="none"/>
        </w:rPr>
        <w:t xml:space="preserve">。</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12.2投标货币。投标文件中的单价和总价无特殊规定的采用人民币报价，以元为单位标注。招标文件中另有规定的按规定执行。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12.3投标分项报价表中的单价、合价均包含完成本项目招标文件规定的全部工作内容所需的全部费用，中标综合单价即为合同结算单价。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投标报价说明：</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本项目采用固定单价报价方式，投标人填报的综合单价及投标总价应为完成本项目招标文件所要求的全部服务内容的最终完全价格。</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13、技术要求响应及偏离表、商务要求响应及偏离表</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13.1投标人需对招标文件中的技术要求与商务要求逐项作出响应或偏离，并说明原因。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13.2投标人可在投标文件中提供认为需要的其他技术文件或说明。</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14、服务承诺、培训计划、人员安排及其他</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14.1投标人需根据招标文件要求提供有关售后服务的管理制度，售后服务机构的分布情况，售后服务人员的数量、素质、技术水平及售后服务的反应能力等。</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14.2投标人需根据招标文件要求提供培训计划。</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14.3投标人需根据招标文件要求提供所投标的的主要组成部分、功能设计、实现思路及关键技术等。</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5" w:name="_Toc49090510"/>
      <w:r/>
      <w:bookmarkStart w:id="36" w:name="_Toc14577359"/>
      <w:r>
        <w:rPr>
          <w:rFonts w:ascii="宋体" w:hAnsi="宋体"/>
          <w:b/>
          <w:bCs/>
          <w:szCs w:val="21"/>
          <w:highlight w:val="none"/>
        </w:rPr>
        <w:t xml:space="preserve">15、投标函和开标一览表</w:t>
      </w:r>
      <w:bookmarkEnd w:id="35"/>
      <w:r/>
      <w:bookmarkEnd w:id="36"/>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15.1投标人应按照招标文件中提供的格式完整、正确填写投标函、开标一览表。</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7" w:name="_Toc49090511"/>
      <w:r/>
      <w:bookmarkStart w:id="38" w:name="_Toc14577360"/>
      <w:r>
        <w:rPr>
          <w:rFonts w:ascii="宋体" w:hAnsi="宋体"/>
          <w:b/>
          <w:bCs/>
          <w:szCs w:val="21"/>
          <w:highlight w:val="none"/>
        </w:rPr>
        <w:t xml:space="preserve">16、投标有效期</w:t>
      </w:r>
      <w:bookmarkEnd w:id="37"/>
      <w:r/>
      <w:bookmarkEnd w:id="38"/>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16.1投标有效期为采购人规定的开标之日后</w:t>
      </w:r>
      <w:r>
        <w:rPr>
          <w:rFonts w:hint="eastAsia" w:ascii="宋体" w:hAnsi="宋体" w:cs="宋体"/>
          <w:b/>
          <w:highlight w:val="none"/>
          <w:u w:val="single"/>
        </w:rPr>
        <w:t xml:space="preserve">九十（90）天</w:t>
      </w:r>
      <w:r>
        <w:rPr>
          <w:rFonts w:hint="eastAsia" w:ascii="宋体" w:hAnsi="宋体"/>
          <w:szCs w:val="21"/>
          <w:highlight w:val="none"/>
        </w:rPr>
        <w:t xml:space="preserve">。投标有效期比规定短的将被视为未实质性响应招标文件而予以拒绝。</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17、投标有效期的延长</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39" w:name="_Toc16938540"/>
      <w:r/>
      <w:bookmarkStart w:id="40" w:name="_Toc120614217"/>
      <w:r/>
      <w:bookmarkStart w:id="41" w:name="_Toc20823296"/>
      <w:r/>
      <w:bookmarkStart w:id="42" w:name="_Toc513029224"/>
      <w:r>
        <w:rPr>
          <w:rFonts w:ascii="宋体" w:hAnsi="宋体"/>
          <w:b/>
          <w:bCs/>
          <w:szCs w:val="21"/>
          <w:highlight w:val="none"/>
        </w:rPr>
        <w:t xml:space="preserve">四、投标文件的递交</w:t>
      </w:r>
      <w:bookmarkEnd w:id="39"/>
      <w:r/>
      <w:bookmarkEnd w:id="40"/>
      <w:r/>
      <w:bookmarkEnd w:id="41"/>
      <w:r/>
      <w:bookmarkEnd w:id="42"/>
      <w:r>
        <w:rPr>
          <w:rFonts w:hint="eastAsia" w:ascii="宋体" w:hAnsi="宋体"/>
          <w:b/>
          <w:bCs/>
          <w:szCs w:val="21"/>
          <w:highlight w:val="none"/>
        </w:rPr>
      </w:r>
      <w:r/>
    </w:p>
    <w:p>
      <w:pPr>
        <w:pStyle w:val="638"/>
        <w:ind w:firstLine="420"/>
        <w:spacing w:line="400" w:lineRule="exact"/>
        <w:rPr>
          <w:rFonts w:hint="eastAsia" w:ascii="宋体" w:hAnsi="宋体"/>
          <w:b/>
          <w:color w:val="000000"/>
          <w:szCs w:val="21"/>
          <w:highlight w:val="none"/>
        </w:rPr>
      </w:pPr>
      <w:r/>
      <w:bookmarkStart w:id="43" w:name="_Toc16938541"/>
      <w:r/>
      <w:bookmarkStart w:id="44" w:name="_Toc513029225"/>
      <w:r/>
      <w:bookmarkStart w:id="45" w:name="_Toc462564084"/>
      <w:r/>
      <w:bookmarkStart w:id="46" w:name="_Toc20823297"/>
      <w:r>
        <w:rPr>
          <w:rFonts w:hint="eastAsia" w:ascii="宋体" w:hAnsi="宋体"/>
          <w:b/>
          <w:color w:val="000000"/>
          <w:szCs w:val="21"/>
          <w:highlight w:val="none"/>
        </w:rPr>
        <w:t xml:space="preserve">18、投标文件</w:t>
      </w:r>
      <w:bookmarkEnd w:id="43"/>
      <w:r/>
      <w:bookmarkEnd w:id="44"/>
      <w:r/>
      <w:bookmarkEnd w:id="45"/>
      <w:r/>
      <w:bookmarkEnd w:id="46"/>
      <w:r>
        <w:rPr>
          <w:rFonts w:hint="eastAsia" w:ascii="宋体" w:hAnsi="宋体"/>
          <w:b/>
          <w:color w:val="000000"/>
          <w:szCs w:val="21"/>
          <w:highlight w:val="none"/>
        </w:rPr>
        <w:t xml:space="preserve">的递交</w:t>
      </w:r>
      <w:r>
        <w:rPr>
          <w:rFonts w:hint="eastAsia" w:ascii="宋体" w:hAnsi="宋体"/>
          <w:b/>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18.1电子投标文件的递交</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投标人应当按照《操作手册》规定，在投标截止时间前制作并上传电子投标文件。</w:t>
      </w:r>
      <w:bookmarkStart w:id="47" w:name="_Toc20823298"/>
      <w:r/>
      <w:bookmarkEnd w:id="47"/>
      <w:r/>
      <w:bookmarkStart w:id="48" w:name="_Toc16938542"/>
      <w:r/>
      <w:bookmarkEnd w:id="48"/>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19.1投标人上传电子投标文件的时间不得迟于招标公告中规定的投标截止时间。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投标人应充分考虑到网络环境、网络带宽等风险因素，如因投标人自身原因造成的电子投标文件上传不成功的按照本招标文件第二章第29.1.2条规定做无效投标处理。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19.2采购人可以按照规定，通过修改招标文件酌情延长投标截止时间，在此情况下，投标人的所有权利和义务以及投标人受制的截止时间均应以延长后新的截止时间为准。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49" w:name="_Toc20823299"/>
      <w:r/>
      <w:bookmarkStart w:id="50" w:name="_Toc16938543"/>
      <w:r/>
      <w:bookmarkStart w:id="51" w:name="_Toc513029227"/>
      <w:r>
        <w:rPr>
          <w:rFonts w:hint="eastAsia" w:ascii="宋体" w:hAnsi="宋体"/>
          <w:bCs/>
          <w:color w:val="000000"/>
          <w:szCs w:val="21"/>
          <w:highlight w:val="none"/>
        </w:rPr>
        <w:t xml:space="preserve">20、投标文件</w:t>
      </w:r>
      <w:bookmarkEnd w:id="49"/>
      <w:r/>
      <w:bookmarkEnd w:id="50"/>
      <w:r/>
      <w:bookmarkEnd w:id="51"/>
      <w:r>
        <w:rPr>
          <w:rFonts w:hint="eastAsia" w:ascii="宋体" w:hAnsi="宋体"/>
          <w:bCs/>
          <w:color w:val="000000"/>
          <w:szCs w:val="21"/>
          <w:highlight w:val="none"/>
        </w:rPr>
        <w:t xml:space="preserve">的拒收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20.1采购人拒绝接收在其规定的投标截止时间后上传的任何投标文件。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bookmarkStart w:id="52" w:name="_Toc513029228"/>
      <w:r/>
      <w:bookmarkStart w:id="53" w:name="_Toc16938544"/>
      <w:r/>
      <w:bookmarkStart w:id="54" w:name="_Toc20823300"/>
      <w:r>
        <w:rPr>
          <w:rFonts w:hint="eastAsia" w:ascii="宋体" w:hAnsi="宋体"/>
          <w:bCs/>
          <w:color w:val="000000"/>
          <w:szCs w:val="21"/>
          <w:highlight w:val="none"/>
        </w:rPr>
        <w:t xml:space="preserve">21、投标文件的撤回和修改</w:t>
      </w:r>
      <w:bookmarkEnd w:id="52"/>
      <w:r/>
      <w:bookmarkEnd w:id="53"/>
      <w:r/>
      <w:bookmarkEnd w:id="54"/>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21.1.1电子投标文件的撤回</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21.1.2投标人撤回电子投标文件，则认为其不再参与本项目投标活动。</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21.2投标文件的修改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21.2.1投标人可在投标截止时间前，对其电子投标文件进行修改，具体操作方法见《操作手册》。</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21.2.2在投标截止时间之后，投标人不得对其电子投标文件作任何修改。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21.3在投标截止时间至招标文件中规定的投标有效期满之间的这段时间内，投标人不得撤回其投标。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22、投标截止日期</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采购代理机构收到投标文件的时间不得迟于招标公告中规定的截止时间。</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22</w:t>
      </w:r>
      <w:r>
        <w:rPr>
          <w:rFonts w:ascii="宋体" w:hAnsi="宋体"/>
          <w:color w:val="000000"/>
          <w:szCs w:val="21"/>
          <w:highlight w:val="none"/>
        </w:rPr>
        <w:t xml:space="preserve">.2</w:t>
      </w:r>
      <w:r>
        <w:rPr>
          <w:rFonts w:hint="eastAsia" w:ascii="宋体" w:hAnsi="宋体"/>
          <w:bCs/>
          <w:color w:val="000000"/>
          <w:szCs w:val="21"/>
          <w:highlight w:val="none"/>
        </w:rPr>
        <w:t xml:space="preserve">采购人有权通过修改招标文件酌情延长投标截止日期，在此情况下，投标人的所有权利和义务以及投标人受制的截止日期均应以延长后新的截止日期为准。</w:t>
      </w:r>
      <w:r>
        <w:rPr>
          <w:rFonts w:hint="eastAsia" w:ascii="宋体" w:hAnsi="宋体"/>
          <w:bCs/>
          <w:color w:val="000000"/>
          <w:szCs w:val="21"/>
          <w:highlight w:val="none"/>
        </w:rPr>
      </w:r>
      <w:r/>
    </w:p>
    <w:p>
      <w:pPr>
        <w:pStyle w:val="638"/>
        <w:ind w:firstLine="422"/>
        <w:spacing w:line="400" w:lineRule="exact"/>
        <w:rPr>
          <w:rFonts w:hint="eastAsia" w:ascii="宋体" w:hAnsi="宋体"/>
          <w:b/>
          <w:bCs/>
          <w:color w:val="000000"/>
          <w:szCs w:val="21"/>
          <w:highlight w:val="none"/>
        </w:rPr>
      </w:pPr>
      <w:r>
        <w:rPr>
          <w:rFonts w:hint="eastAsia" w:ascii="宋体" w:hAnsi="宋体"/>
          <w:b/>
          <w:bCs/>
          <w:color w:val="000000"/>
          <w:szCs w:val="21"/>
          <w:highlight w:val="none"/>
        </w:rPr>
        <w:t xml:space="preserve">23、迟交的投标文件、</w:t>
      </w:r>
      <w:r>
        <w:rPr>
          <w:rFonts w:hint="eastAsia" w:ascii="宋体" w:hAnsi="宋体"/>
          <w:b/>
          <w:color w:val="000000"/>
          <w:szCs w:val="21"/>
          <w:highlight w:val="none"/>
        </w:rPr>
        <w:t xml:space="preserve">投标文件的修改和撤回</w:t>
      </w:r>
      <w:r>
        <w:rPr>
          <w:rFonts w:hint="eastAsia" w:ascii="宋体" w:hAnsi="宋体"/>
          <w:b/>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w:t>
      </w:r>
      <w:r>
        <w:rPr>
          <w:rFonts w:ascii="宋体" w:hAnsi="宋体"/>
          <w:color w:val="000000"/>
          <w:szCs w:val="21"/>
          <w:highlight w:val="none"/>
        </w:rPr>
        <w:t xml:space="preserve">.1</w:t>
      </w:r>
      <w:r>
        <w:rPr>
          <w:rFonts w:hint="eastAsia" w:ascii="宋体" w:hAnsi="宋体"/>
          <w:bCs/>
          <w:color w:val="000000"/>
          <w:szCs w:val="21"/>
          <w:highlight w:val="none"/>
        </w:rPr>
        <w:t xml:space="preserve">采购代理机</w:t>
      </w:r>
      <w:r>
        <w:rPr>
          <w:rFonts w:hint="eastAsia" w:ascii="宋体" w:hAnsi="宋体"/>
          <w:bCs/>
          <w:szCs w:val="21"/>
          <w:highlight w:val="none"/>
        </w:rPr>
        <w:t xml:space="preserve">构拒绝接收在</w:t>
      </w:r>
      <w:r>
        <w:rPr>
          <w:rFonts w:hint="eastAsia" w:ascii="宋体" w:hAnsi="宋体"/>
          <w:bCs/>
          <w:color w:val="000000"/>
          <w:szCs w:val="21"/>
          <w:highlight w:val="none"/>
        </w:rPr>
        <w:t xml:space="preserve">其规定的投标截止时间后递交的任何投标文件。</w:t>
      </w:r>
      <w:r>
        <w:rPr>
          <w:rFonts w:hint="eastAsia" w:ascii="宋体" w:hAnsi="宋体"/>
          <w:bCs/>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23.2</w:t>
      </w:r>
      <w:r>
        <w:rPr>
          <w:rFonts w:hint="eastAsia" w:ascii="宋体" w:hAnsi="宋体"/>
          <w:bCs/>
          <w:color w:val="000000"/>
          <w:szCs w:val="21"/>
          <w:highlight w:val="none"/>
        </w:rPr>
        <w:t xml:space="preserve">投标人在递交投标文件后，可以修改或撤回其投标文件，但这种修改和撤回，必须在规定的投标截止时间前，以书面形式</w:t>
      </w:r>
      <w:r>
        <w:rPr>
          <w:rFonts w:hint="eastAsia" w:ascii="宋体" w:hAnsi="宋体"/>
          <w:color w:val="000000"/>
          <w:szCs w:val="21"/>
          <w:highlight w:val="none"/>
        </w:rPr>
        <w:t xml:space="preserve">通知</w:t>
      </w:r>
      <w:r>
        <w:rPr>
          <w:rFonts w:hint="eastAsia" w:ascii="宋体" w:hAnsi="宋体"/>
          <w:bCs/>
          <w:color w:val="000000"/>
          <w:szCs w:val="21"/>
          <w:highlight w:val="none"/>
        </w:rPr>
        <w:t xml:space="preserve">采购人或者采购代理机构</w:t>
      </w:r>
      <w:r>
        <w:rPr>
          <w:rFonts w:hint="eastAsia" w:ascii="宋体" w:hAnsi="宋体"/>
          <w:color w:val="000000"/>
          <w:szCs w:val="21"/>
          <w:highlight w:val="none"/>
        </w:rPr>
        <w:t xml:space="preserve">，修改或撤回其投标文件。</w:t>
      </w:r>
      <w:r>
        <w:rPr>
          <w:rFonts w:hint="eastAsia" w:ascii="宋体" w:hAnsi="宋体"/>
          <w:color w:val="000000"/>
          <w:szCs w:val="21"/>
          <w:highlight w:val="none"/>
        </w:rPr>
      </w:r>
      <w:r/>
    </w:p>
    <w:p>
      <w:pPr>
        <w:pStyle w:val="638"/>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23.3</w:t>
      </w:r>
      <w:r>
        <w:rPr>
          <w:rFonts w:hint="eastAsia" w:ascii="宋体" w:hAnsi="宋体"/>
          <w:bCs/>
          <w:color w:val="000000"/>
          <w:szCs w:val="21"/>
          <w:highlight w:val="none"/>
        </w:rPr>
        <w:t xml:space="preserve">投标人的修改或撤回文件应按规定进行编制、密封、标记和发送，并应在封套上加注“修改</w:t>
      </w:r>
      <w:r>
        <w:rPr>
          <w:rFonts w:ascii="宋体" w:hAnsi="宋体"/>
          <w:bCs/>
          <w:color w:val="000000"/>
          <w:szCs w:val="21"/>
          <w:highlight w:val="none"/>
        </w:rPr>
        <w:t xml:space="preserve">”</w:t>
      </w:r>
      <w:r>
        <w:rPr>
          <w:rFonts w:hint="eastAsia" w:ascii="宋体" w:hAnsi="宋体"/>
          <w:bCs/>
          <w:color w:val="000000"/>
          <w:szCs w:val="21"/>
          <w:highlight w:val="none"/>
        </w:rPr>
        <w:t xml:space="preserve">或“撤回</w:t>
      </w:r>
      <w:r>
        <w:rPr>
          <w:rFonts w:ascii="宋体" w:hAnsi="宋体"/>
          <w:bCs/>
          <w:color w:val="000000"/>
          <w:szCs w:val="21"/>
          <w:highlight w:val="none"/>
        </w:rPr>
        <w:t xml:space="preserve">”</w:t>
      </w:r>
      <w:r>
        <w:rPr>
          <w:rFonts w:hint="eastAsia" w:ascii="宋体" w:hAnsi="宋体"/>
          <w:bCs/>
          <w:color w:val="000000"/>
          <w:szCs w:val="21"/>
          <w:highlight w:val="none"/>
        </w:rPr>
        <w:t xml:space="preserve">字样。</w:t>
      </w:r>
      <w:r>
        <w:rPr>
          <w:rFonts w:hint="eastAsia" w:ascii="宋体" w:hAnsi="宋体"/>
          <w:color w:val="000000"/>
          <w:szCs w:val="21"/>
          <w:highlight w:val="none"/>
        </w:rPr>
        <w:t xml:space="preserve">上述补充或修改若涉及投标报价，必须注明“最后唯一报价”字样，否则将视为有选择的报价。补充、修改的文件必须在投标截止时间前送达开标地点。</w:t>
      </w:r>
      <w:r>
        <w:rPr>
          <w:rFonts w:hint="eastAsia" w:ascii="宋体" w:hAnsi="宋体"/>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23.4</w:t>
      </w:r>
      <w:r>
        <w:rPr>
          <w:rFonts w:hint="eastAsia" w:ascii="宋体" w:hAnsi="宋体"/>
          <w:bCs/>
          <w:color w:val="000000"/>
          <w:szCs w:val="21"/>
          <w:highlight w:val="none"/>
        </w:rPr>
        <w:t xml:space="preserve">在投标截止时间之后，投标人不得对其投标文件作任何补充、修改。</w:t>
      </w:r>
      <w:r>
        <w:rPr>
          <w:rFonts w:hint="eastAsia" w:ascii="宋体" w:hAnsi="宋体"/>
          <w:bCs/>
          <w:color w:val="000000"/>
          <w:szCs w:val="21"/>
          <w:highlight w:val="none"/>
        </w:rPr>
      </w:r>
      <w:r/>
    </w:p>
    <w:p>
      <w:pPr>
        <w:pStyle w:val="638"/>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23.5</w:t>
      </w:r>
      <w:r>
        <w:rPr>
          <w:rFonts w:hint="eastAsia" w:ascii="宋体" w:hAnsi="宋体"/>
          <w:bCs/>
          <w:color w:val="000000"/>
          <w:szCs w:val="21"/>
          <w:highlight w:val="none"/>
        </w:rPr>
        <w:t xml:space="preserve">在投标截止时间至招标文件中规定的投标有效期满之间的这段时间内，投标人不得撤回其投标。</w:t>
      </w:r>
      <w:r>
        <w:rPr>
          <w:rFonts w:hint="eastAsia" w:ascii="宋体" w:hAnsi="宋体"/>
          <w:bCs/>
          <w:color w:val="000000"/>
          <w:szCs w:val="21"/>
          <w:highlight w:val="none"/>
        </w:rPr>
      </w:r>
      <w:r/>
    </w:p>
    <w:p>
      <w:pPr>
        <w:pStyle w:val="638"/>
        <w:ind w:firstLine="422"/>
        <w:spacing w:line="400" w:lineRule="exact"/>
        <w:rPr>
          <w:rFonts w:hint="eastAsia" w:ascii="宋体" w:hAnsi="宋体"/>
          <w:b/>
          <w:bCs/>
          <w:szCs w:val="21"/>
          <w:highlight w:val="none"/>
        </w:rPr>
      </w:pPr>
      <w:r/>
      <w:bookmarkStart w:id="55" w:name="_Toc513029229"/>
      <w:r/>
      <w:bookmarkStart w:id="56" w:name="_Toc120614218"/>
      <w:r/>
      <w:bookmarkStart w:id="57" w:name="_Toc16938545"/>
      <w:r/>
      <w:bookmarkStart w:id="58" w:name="_Toc20823301"/>
      <w:r>
        <w:rPr>
          <w:rFonts w:ascii="宋体" w:hAnsi="宋体"/>
          <w:b/>
          <w:bCs/>
          <w:szCs w:val="21"/>
          <w:highlight w:val="none"/>
        </w:rPr>
        <w:t xml:space="preserve">五、开标与评标</w:t>
      </w:r>
      <w:bookmarkEnd w:id="55"/>
      <w:r/>
      <w:bookmarkEnd w:id="56"/>
      <w:r/>
      <w:bookmarkEnd w:id="57"/>
      <w:r/>
      <w:bookmarkEnd w:id="58"/>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59" w:name="_Toc20823302"/>
      <w:r/>
      <w:bookmarkStart w:id="60" w:name="_Toc16938546"/>
      <w:r/>
      <w:bookmarkStart w:id="61" w:name="_Toc513029230"/>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、开标</w:t>
      </w:r>
      <w:bookmarkEnd w:id="59"/>
      <w:r/>
      <w:bookmarkEnd w:id="60"/>
      <w:r/>
      <w:bookmarkEnd w:id="61"/>
      <w:r/>
      <w:bookmarkStart w:id="62" w:name="_Toc20823303"/>
      <w:r/>
      <w:bookmarkStart w:id="63" w:name="_Toc513029231"/>
      <w:r/>
      <w:bookmarkStart w:id="64" w:name="_Toc16938547"/>
      <w:r>
        <w:rPr>
          <w:rFonts w:hint="eastAsia" w:ascii="宋体" w:hAnsi="宋体"/>
          <w:b/>
          <w:bCs/>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24.1采购人将在招标公告中规定的时间和地点组织公开开标。投标人应当按照《操作手册》规定，参加开标活动和在苏采云系统规定的时间内对投标文件进行解密。</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24.2开标仪式由采购人组织。苏采云系统将自动对项目进行开标，并宣布各投标人名称和投标价格。</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24.3投标人在开标过程中涉及到的投标文件解密、开标结果确认等工作，应按照《操作手册》规定执行。</w:t>
      </w:r>
      <w:r>
        <w:rPr>
          <w:rFonts w:hint="eastAsia" w:ascii="宋体" w:hAnsi="宋体"/>
          <w:szCs w:val="21"/>
          <w:highlight w:val="none"/>
        </w:rPr>
      </w:r>
      <w:r/>
    </w:p>
    <w:p>
      <w:pPr>
        <w:pStyle w:val="638"/>
        <w:ind w:firstLine="422"/>
        <w:spacing w:line="400" w:lineRule="exact"/>
        <w:rPr>
          <w:rFonts w:hint="eastAsia" w:ascii="宋体" w:hAnsi="宋体"/>
          <w:szCs w:val="21"/>
          <w:highlight w:val="none"/>
        </w:rPr>
      </w:pPr>
      <w:r>
        <w:rPr>
          <w:rFonts w:hint="eastAsia" w:ascii="宋体" w:hAnsi="宋体"/>
          <w:szCs w:val="21"/>
          <w:highlight w:val="none"/>
        </w:rPr>
        <w:t xml:space="preserve">24.4投标人如果对开标过程和开标记录有疑义，应当根据《操作手册》规定提出，如苏采云系统中《开标记录表》宣布后5分钟内未提出的，视同认可开标结果。</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、评标委员会</w:t>
      </w:r>
      <w:bookmarkEnd w:id="62"/>
      <w:r/>
      <w:bookmarkEnd w:id="63"/>
      <w:r/>
      <w:bookmarkEnd w:id="64"/>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25.1开标后，采购代理机构将立即组织评标委员会（以下简称评委会）进行评标。</w:t>
      </w:r>
      <w:r>
        <w:rPr>
          <w:rFonts w:hint="eastAsia" w:ascii="宋体" w:hAnsi="宋体"/>
          <w:szCs w:val="21"/>
          <w:highlight w:val="none"/>
        </w:rPr>
      </w:r>
      <w:r/>
    </w:p>
    <w:p>
      <w:pPr>
        <w:pStyle w:val="638"/>
        <w:spacing w:line="560" w:lineRule="exact"/>
        <w:rPr>
          <w:rFonts w:hint="eastAsia" w:ascii="宋体" w:hAnsi="宋体"/>
          <w:szCs w:val="21"/>
          <w:highlight w:val="none"/>
        </w:rPr>
      </w:pPr>
      <w:r>
        <w:rPr>
          <w:rFonts w:hint="eastAsia" w:ascii="宋体" w:hAnsi="宋体"/>
          <w:szCs w:val="21"/>
          <w:highlight w:val="none"/>
        </w:rPr>
        <w:t xml:space="preserve">25.2评委会由采购人代表和有关技术、经济等方面的专家组成，</w:t>
      </w:r>
      <w:r>
        <w:rPr>
          <w:rFonts w:hint="eastAsia" w:ascii="宋体" w:hAnsi="宋体"/>
          <w:szCs w:val="21"/>
          <w:highlight w:val="none"/>
          <w:lang w:val="en-US" w:eastAsia="zh-CN"/>
        </w:rPr>
        <w:t xml:space="preserve">评委会人员由采购人代表1人和</w:t>
      </w:r>
      <w:r>
        <w:rPr>
          <w:rFonts w:hint="eastAsia" w:ascii="宋体" w:hAnsi="宋体"/>
          <w:szCs w:val="21"/>
          <w:highlight w:val="none"/>
        </w:rPr>
        <w:t xml:space="preserve">按规定从专家库中随机抽取的4人或4人以上（总数为单数）共同组成。</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25.3评委会独立工作，负责评审所有投标文件并确定中标候选人。</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26、评标过程的保密与公正</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26.1凡是与审查、澄清、评价和比较投标的有关资料以及授标建议等，采购人、评委、采购代理机构均不得向投标人或与评标无关的其他人员透露。</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26.2在评标过程中，投标人不得以任何行为影响评标过程，否则其投标文件将被作为无效投标文件。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26.3采购人和评标委员会不向未中标的投标人解释未中标原因，也不公布评标过程中的相关细节。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26.4采用综合评分法的项目，未中标的投标人可于中标结果公告期限届满之日起通过苏采云系统查看自己的评审得分及排序情况。</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65" w:name="_Toc16938548"/>
      <w:r/>
      <w:bookmarkStart w:id="66" w:name="_Toc513029232"/>
      <w:r/>
      <w:bookmarkStart w:id="67" w:name="_Toc20823304"/>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投标文件的澄清</w:t>
      </w:r>
      <w:bookmarkEnd w:id="65"/>
      <w:r/>
      <w:bookmarkEnd w:id="66"/>
      <w:r/>
      <w:bookmarkEnd w:id="67"/>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68" w:name="_Toc20823305"/>
      <w:r/>
      <w:bookmarkStart w:id="69" w:name="_Toc16938549"/>
      <w:r/>
      <w:bookmarkStart w:id="70" w:name="_Toc513029233"/>
      <w:r>
        <w:rPr>
          <w:rFonts w:hint="eastAsia" w:ascii="宋体" w:hAnsi="宋体"/>
          <w:szCs w:val="21"/>
          <w:highlight w:val="none"/>
        </w:rPr>
        <w:t xml:space="preserve">27.1评标期间，评委会对投标文件中含义不明确、同类问题表述不一致或者有明显文字和计算错误的内容，有权要求投标人作出必要的澄清、说明或者补正。</w:t>
      </w:r>
      <w:bookmarkEnd w:id="68"/>
      <w:r/>
      <w:bookmarkEnd w:id="69"/>
      <w:r/>
      <w:bookmarkEnd w:id="70"/>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投标人的澄清、说明或者补正不得超出投标文件的范围或者改变投标文件的实质性内容。</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评标委员会并非对每个投标人都做澄清要求。</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27.2需要供应商进行澄清、说明和补正的，评委会向供应商发出“澄清要求函”，接到“澄清要求函”的投标人应当按照要求提交“澄清响应函”。</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27.3接到评委会澄清、说明和补正要求的投标人如未按规定做出澄清、说明和补正，其风险由投标人自行承担。</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8</w:t>
      </w:r>
      <w:r>
        <w:rPr>
          <w:rFonts w:ascii="宋体" w:hAnsi="宋体"/>
          <w:b/>
          <w:bCs/>
          <w:szCs w:val="21"/>
          <w:highlight w:val="none"/>
        </w:rPr>
        <w:t xml:space="preserve">、对投标文件的初审</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28.1投标文件初审分为资格审查和符合性审查。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28.1.1资格审查：依据法律法规和招标文件的规定，由采购人对投标文件中的资格证明文件进行审查。资格审查的结论，采购人以书面形式向评委会进行反馈。</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28.1.2符合性审查：依据招标文件的规定，由评委会从投标文件的有效性、完整性和对招标文件的响应程度进行审查，以确定是否对招标文件的实质性要求作出响应。</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26.1.3未通过资格审查或符合性审查的投标人，采购代理机构告知未通过资格审查或符合性审查的原因，评审结束后，采购代理机构将不再告知未通过资格审查或符合性审查的原因。</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28.3如果投标文件实质上没有响应招标文件的要求，评委会将予以拒绝，投标人不得通过修改或撤销不合要求的偏离或保留而使其投标成为实质性响应的投标。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28.4评委会将对确定为实质性响应的投标进行进一步审核，看其是否有计算上或累加上的算术错误，修正错误的原则如下：</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（1）投标文件中开标一览表内容与投标文件中相应内容不一致的，以开标一览表为准。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（2）大写金额和小写金额不一致的，以大写金额为准。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（3）单价金额小数点或者百分比有明显错位的，以开标一览表的总价为准，并修改单价。</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（4）总价金额与按单价汇总金额不一致的，以单价金额计算结果为准。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同时出现两种以上错误的，按照前款规定的顺序修正。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28.5评委会将按上述修正错误的方法调整投标文件中的投标报价，调整后的价格应对投标人具有约束力。如果投标人不接受修正后的价格，则其投标将被拒绝。</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71" w:name="_Toc513029234"/>
      <w:r/>
      <w:bookmarkStart w:id="72" w:name="_Toc16938550"/>
      <w:r/>
      <w:bookmarkStart w:id="73" w:name="_Toc20823306"/>
      <w:r>
        <w:rPr>
          <w:rFonts w:hint="eastAsia" w:ascii="宋体" w:hAnsi="宋体"/>
          <w:szCs w:val="21"/>
          <w:highlight w:val="none"/>
        </w:rPr>
        <w:t xml:space="preserve">28.6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71"/>
      <w:r/>
      <w:bookmarkEnd w:id="72"/>
      <w:r/>
      <w:bookmarkEnd w:id="73"/>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非单一产品采购项目，招标文件中将载明其中的核心产品。多家投标人提供的核心产品品牌相同的，按前两款规定处理。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28.7投标人在开、评标全过程中应保持通讯畅通，及时答复相关信息，并安排专人与采购代理机构及评标委员会联系。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9</w:t>
      </w:r>
      <w:r>
        <w:rPr>
          <w:rFonts w:ascii="宋体" w:hAnsi="宋体"/>
          <w:b/>
          <w:bCs/>
          <w:szCs w:val="21"/>
          <w:highlight w:val="none"/>
        </w:rPr>
        <w:t xml:space="preserve">、无效投标条款和废标条款</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bookmarkStart w:id="74" w:name="_Toc513029235"/>
      <w:r/>
      <w:bookmarkStart w:id="75" w:name="_Toc20823307"/>
      <w:r/>
      <w:bookmarkStart w:id="76" w:name="_Toc16938551"/>
      <w:r>
        <w:rPr>
          <w:rFonts w:hint="eastAsia" w:ascii="宋体" w:hAnsi="宋体"/>
          <w:szCs w:val="21"/>
          <w:highlight w:val="none"/>
        </w:rPr>
        <w:t xml:space="preserve">29.1无效投标条款</w:t>
      </w:r>
      <w:bookmarkEnd w:id="74"/>
      <w:r/>
      <w:bookmarkEnd w:id="75"/>
      <w:r/>
      <w:bookmarkEnd w:id="76"/>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w:t>
      </w:r>
      <w:r>
        <w:rPr>
          <w:rFonts w:hint="eastAsia" w:ascii="宋体" w:hAnsi="宋体"/>
          <w:bCs/>
          <w:color w:val="000000"/>
          <w:szCs w:val="21"/>
          <w:highlight w:val="none"/>
        </w:rPr>
        <w:t xml:space="preserve">未按照招标文件规定要求密封、签署、盖章的。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29.1.2</w:t>
      </w:r>
      <w:r>
        <w:rPr>
          <w:rFonts w:hint="eastAsia" w:ascii="宋体" w:hAnsi="宋体" w:cs="宋体"/>
          <w:color w:val="000000"/>
          <w:szCs w:val="21"/>
          <w:highlight w:val="none"/>
        </w:rPr>
        <w:t xml:space="preserve">投标人未按照招标文件要求上传电子投标文件的。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29.1.3投标人不具备招标文件中规定资格要求的。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29.1.4同一投标人提交两个（含两个）以上不同的投标报价的。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29.1.5投标人的报价超过了采购预算或最高限价的。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29.1.6未通过符合性审查的。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29.1.7 不符合招标文件中规定的实质性要求和条件的</w:t>
      </w:r>
      <w:r>
        <w:rPr>
          <w:rFonts w:hint="eastAsia" w:ascii="宋体" w:hAnsi="宋体"/>
          <w:i/>
          <w:iCs/>
          <w:szCs w:val="21"/>
          <w:highlight w:val="none"/>
        </w:rPr>
        <w:t xml:space="preserve">（本招标文件中斜体且有下划线部分为实质性要求和条件）。</w:t>
      </w:r>
      <w:r>
        <w:rPr>
          <w:rFonts w:hint="eastAsia" w:ascii="宋体" w:hAnsi="宋体"/>
          <w:szCs w:val="21"/>
          <w:highlight w:val="none"/>
        </w:rPr>
      </w:r>
      <w:r/>
    </w:p>
    <w:p>
      <w:pPr>
        <w:pStyle w:val="638"/>
        <w:ind w:firstLine="420"/>
        <w:spacing w:line="400" w:lineRule="exact"/>
        <w:rPr>
          <w:rFonts w:hint="eastAsia" w:ascii="宋体" w:hAnsi="宋体"/>
          <w:i/>
          <w:iCs/>
          <w:szCs w:val="21"/>
          <w:highlight w:val="none"/>
        </w:rPr>
      </w:pPr>
      <w:r>
        <w:rPr>
          <w:rFonts w:hint="eastAsia" w:ascii="宋体" w:hAnsi="宋体"/>
          <w:szCs w:val="21"/>
          <w:highlight w:val="none"/>
        </w:rPr>
        <w:t xml:space="preserve">29.1.8</w:t>
      </w:r>
      <w:r>
        <w:rPr>
          <w:rFonts w:hint="eastAsia" w:ascii="宋体" w:hAnsi="宋体"/>
          <w:i/>
          <w:iCs/>
          <w:szCs w:val="21"/>
          <w:highlight w:val="none"/>
        </w:rPr>
        <w:t xml:space="preserve"> </w:t>
      </w:r>
      <w:r>
        <w:rPr>
          <w:rFonts w:hint="eastAsia" w:ascii="宋体" w:hAnsi="宋体"/>
          <w:szCs w:val="21"/>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i/>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29.1.9 投标文件含有采购人不能接受的附加条件的。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29.1.10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29.1.11投标人不能证明其报价合理性的，评标委员会应当将其作为无效投标处理。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（一）评审过程中出现下列情形之一的，评标委员会应当启动异常低价投标审查程序：</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3.投标（响应）报价低于采购项目最高限价45%的，即投标（响应）报价&lt;采购项目最高限价×45%；</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4.评审委员会基于专业判断，认为供应商报价过低，有可能影响产品质量或者不能诚信履约的其他情形。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相关法律法规对供应商报价有规定的，从其规定。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29.1.13 投标文件未按照招标文件要求加盖CA电子公章的。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29.1.14 其他法律、法规及本招标文件规定的属无效投标的情形。</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29.2废标条款</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29.2.1符合专业条件的供应商或者对招标文件作实质响应的供应商不足三家的。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29.2.2出现影响采购公正的违法、违规行为的。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29.2.3因重大变故，采购任务取消的。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29.2.4评标委员会认定招标文件存在歧义、重大缺陷导致评审工作无法进行。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29.2.5因苏采云系统系统故障原因造成开标不成功的。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29.3投标截止时间结束后参加投标的供应商不足三家的处理：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29.3.1如出现投标截止时间结束后参加投标的供应商或者在评标期间对招标文件做出实质响应的供应商不足三家情况，按政府采购相关规定执行。</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77" w:name="_Toc120614219"/>
      <w:r>
        <w:rPr>
          <w:rFonts w:ascii="宋体" w:hAnsi="宋体"/>
          <w:b/>
          <w:bCs/>
          <w:szCs w:val="21"/>
          <w:highlight w:val="none"/>
        </w:rPr>
        <w:t xml:space="preserve">六、定标</w:t>
      </w:r>
      <w:bookmarkEnd w:id="77"/>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78" w:name="_Toc20823310"/>
      <w:r/>
      <w:bookmarkStart w:id="79" w:name="_Toc16938554"/>
      <w:r/>
      <w:bookmarkStart w:id="80" w:name="_Toc513029238"/>
      <w:r>
        <w:rPr>
          <w:rFonts w:hint="eastAsia" w:ascii="宋体" w:hAnsi="宋体"/>
          <w:b/>
          <w:bCs/>
          <w:szCs w:val="21"/>
          <w:highlight w:val="none"/>
        </w:rPr>
        <w:t xml:space="preserve">30、</w:t>
      </w:r>
      <w:bookmarkEnd w:id="78"/>
      <w:r>
        <w:rPr>
          <w:rFonts w:hint="eastAsia" w:ascii="宋体" w:hAnsi="宋体"/>
          <w:b/>
          <w:bCs/>
          <w:szCs w:val="21"/>
          <w:highlight w:val="none"/>
        </w:rPr>
        <w:t xml:space="preserve">确定</w:t>
      </w:r>
      <w:bookmarkEnd w:id="79"/>
      <w:r/>
      <w:bookmarkEnd w:id="80"/>
      <w:r>
        <w:rPr>
          <w:rFonts w:hint="eastAsia" w:ascii="宋体" w:hAnsi="宋体"/>
          <w:b/>
          <w:bCs/>
          <w:szCs w:val="21"/>
          <w:highlight w:val="none"/>
        </w:rPr>
        <w:t xml:space="preserve">中标单位</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30.1中标候选人的选取原则和数量见招标文件第五章规定。</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30.2采购人应根据评委会推荐的中标候选人确定中标人。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30.3采购代理机构将在“中国政府采购网”、“江苏政府采购网”发布中标公告，公告期限为1个工作日。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30.4若有充分证据证明，中标人出现下列情况之一的，一经查实，将被取消中标资格：</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30.4.1提供虚假材料谋取中标的。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30.4.2向采购人、采购代理机构行贿或者提供其他不正当利益的。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30.4.3属于本文件规定的无效条件，但在评标过程中又未被评委会发现的。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30.4.4与采购人或者其他供应商恶意串通的。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30.4.5采取不正当手段诋毁、排挤其他供应商的。</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bookmarkStart w:id="81" w:name="_Toc200451960"/>
      <w:r>
        <w:rPr>
          <w:rFonts w:hint="eastAsia" w:ascii="宋体" w:hAnsi="宋体"/>
          <w:szCs w:val="21"/>
          <w:highlight w:val="none"/>
        </w:rPr>
        <w:t xml:space="preserve">30.5</w:t>
      </w:r>
      <w:r>
        <w:rPr>
          <w:rFonts w:ascii="宋体" w:hAnsi="宋体"/>
          <w:szCs w:val="21"/>
          <w:highlight w:val="none"/>
        </w:rPr>
        <w:t xml:space="preserve">有下列情形之一的，视为投标人串通投标，投标无效：</w:t>
      </w:r>
      <w:bookmarkEnd w:id="81"/>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30.5.1不同投标人的投标文件由同一单位或者个人编制；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30.5.2不同投标人委托同一单位或者个人办理投标事宜；</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30.5.3不同投标人的投标文件载明的项目管理成员或者联系人员为同一人；</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30.5.4不同投标人的投标文件异常一致或者投标报价呈规律性差异。</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2" w:name="_Hlk179794695"/>
      <w:r>
        <w:rPr>
          <w:rFonts w:hint="eastAsia" w:ascii="宋体" w:hAnsi="宋体"/>
          <w:b/>
          <w:bCs/>
          <w:szCs w:val="21"/>
          <w:highlight w:val="none"/>
        </w:rPr>
        <w:t xml:space="preserve">31、质疑处理</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31.1提出质疑的供应商应当是参与所质疑项目采购活动的供应商。潜在供应商依法获取其可质疑的采购文件的，可以对采购文件提出质疑。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供应商认为采购文件、采购过程和采购结果使自己的权益受到损害的，可以在知道或应知其权益受到损害之日起七个工作日内，以书面形式根据下述31.4条款的规定向采购代理机构或采购人提出质疑。上述应知其权益受到损害之日，是指：</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31.2.1</w:t>
      </w:r>
      <w:r>
        <w:rPr>
          <w:rFonts w:ascii="宋体" w:hAnsi="宋体"/>
          <w:szCs w:val="21"/>
          <w:highlight w:val="none"/>
        </w:rPr>
        <w:t xml:space="preserve">对可以质疑的采购文件提出质疑的，为收到采购文件之日或者采购文件公告期限届满之日；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31.2.2</w:t>
      </w:r>
      <w:r>
        <w:rPr>
          <w:rFonts w:ascii="宋体" w:hAnsi="宋体"/>
          <w:szCs w:val="21"/>
          <w:highlight w:val="none"/>
        </w:rPr>
        <w:t xml:space="preserve">对采购过程提出质疑的，为各采购程序环节结束之日；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31.2.3</w:t>
      </w:r>
      <w:r>
        <w:rPr>
          <w:rFonts w:ascii="宋体" w:hAnsi="宋体"/>
          <w:szCs w:val="21"/>
          <w:highlight w:val="none"/>
        </w:rPr>
        <w:t xml:space="preserve">对中标或者成交结果提出质疑的，为中标或者成交结果公告期限届满之日。</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ascii="宋体" w:hAnsi="宋体"/>
          <w:szCs w:val="21"/>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szCs w:val="21"/>
          <w:highlight w:val="none"/>
        </w:rPr>
        <w:t xml:space="preserve">代理机构</w:t>
      </w:r>
      <w:r>
        <w:rPr>
          <w:rFonts w:ascii="宋体" w:hAnsi="宋体"/>
          <w:szCs w:val="21"/>
          <w:highlight w:val="none"/>
        </w:rPr>
        <w:t xml:space="preserve">、采购人将只对供应商第一次质疑作出答复。</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Cs w:val="21"/>
          <w:highlight w:val="none"/>
        </w:rPr>
      </w:r>
      <w:r/>
    </w:p>
    <w:p>
      <w:pPr>
        <w:pStyle w:val="638"/>
        <w:ind w:firstLine="420"/>
        <w:spacing w:line="400" w:lineRule="exact"/>
        <w:rPr>
          <w:rFonts w:hint="eastAsia" w:ascii="宋体" w:hAnsi="宋体" w:cs="Arial"/>
          <w:color w:val="000000"/>
          <w:szCs w:val="21"/>
          <w:highlight w:val="none"/>
        </w:rPr>
      </w:pPr>
      <w:r>
        <w:rPr>
          <w:rFonts w:hint="eastAsia" w:ascii="宋体" w:hAnsi="宋体"/>
          <w:szCs w:val="21"/>
          <w:highlight w:val="none"/>
        </w:rPr>
        <w:t xml:space="preserve">31.4</w:t>
      </w:r>
      <w:r>
        <w:rPr>
          <w:rFonts w:hint="eastAsia" w:ascii="宋体" w:hAnsi="宋体" w:cs="Arial"/>
          <w:color w:val="000000"/>
          <w:szCs w:val="21"/>
          <w:highlight w:val="none"/>
        </w:rPr>
        <w:t xml:space="preserve">采购人及采购代理机构只接收以纸质原件形式送达的质疑,采购人和采购代理机构不接受未填写快递运单的快件。</w:t>
      </w:r>
      <w:r>
        <w:rPr>
          <w:rFonts w:hint="eastAsia" w:ascii="宋体" w:hAnsi="宋体" w:cs="Arial"/>
          <w:color w:val="000000"/>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31.5以下情形的质疑不予受理</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31.5.1内容不符合《政府采购质疑和投诉办法》第十二条规定的质疑。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31.5.2超出政府采购法定期限的质疑。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31.5.3以传真、电子邮件等方式递交的非原件形式的质疑。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31.5.4未参加投标活动的供应商或在投标活动中自身权益未受到损害的供应商所提出的质疑。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31.5.5供应商组成联合体参加投标，联合体中任何一方或多方未按要求签字、盖章、加盖公章的质疑。</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31.6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bookmarkEnd w:id="82"/>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32、中标通知书</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32.2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83" w:name="_Toc120614220"/>
      <w:r/>
      <w:bookmarkStart w:id="84" w:name="_Toc16938552"/>
      <w:r/>
      <w:bookmarkStart w:id="85" w:name="_Toc513029236"/>
      <w:r/>
      <w:bookmarkStart w:id="86" w:name="_Toc20823308"/>
      <w:r>
        <w:rPr>
          <w:rFonts w:ascii="宋体" w:hAnsi="宋体"/>
          <w:b/>
          <w:bCs/>
          <w:szCs w:val="21"/>
          <w:highlight w:val="none"/>
        </w:rPr>
        <w:t xml:space="preserve">七、授予合同</w:t>
      </w:r>
      <w:bookmarkEnd w:id="83"/>
      <w:r/>
      <w:bookmarkEnd w:id="84"/>
      <w:r/>
      <w:bookmarkEnd w:id="85"/>
      <w:r/>
      <w:bookmarkEnd w:id="86"/>
      <w:r>
        <w:rPr>
          <w:rFonts w:hint="eastAsia" w:ascii="宋体" w:hAnsi="宋体"/>
          <w:b/>
          <w:bCs/>
          <w:szCs w:val="21"/>
          <w:highlight w:val="none"/>
        </w:rPr>
      </w:r>
      <w:r/>
    </w:p>
    <w:p>
      <w:pPr>
        <w:pStyle w:val="638"/>
        <w:ind w:firstLine="422"/>
        <w:spacing w:line="400" w:lineRule="exact"/>
        <w:rPr>
          <w:rFonts w:hint="eastAsia" w:ascii="宋体" w:hAnsi="宋体"/>
          <w:b/>
          <w:bCs/>
          <w:szCs w:val="21"/>
          <w:highlight w:val="none"/>
        </w:rPr>
      </w:pPr>
      <w:r/>
      <w:bookmarkStart w:id="87" w:name="_Toc20823309"/>
      <w:r/>
      <w:bookmarkStart w:id="88" w:name="_Toc16938553"/>
      <w:r/>
      <w:bookmarkStart w:id="89" w:name="_Toc513029237"/>
      <w:r>
        <w:rPr>
          <w:rFonts w:hint="eastAsia" w:ascii="宋体" w:hAnsi="宋体"/>
          <w:b/>
          <w:bCs/>
          <w:szCs w:val="21"/>
          <w:highlight w:val="none"/>
        </w:rPr>
        <w:t xml:space="preserve">33、签订合同</w:t>
      </w:r>
      <w:bookmarkEnd w:id="87"/>
      <w:r/>
      <w:bookmarkEnd w:id="88"/>
      <w:r/>
      <w:bookmarkEnd w:id="89"/>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33.l中标人应当在中标通知书发出之日起三十日内，按照招标文件确定的事项与采购人签订政府采购合同。</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33.2招标文件、中标人的投标文件及招标过程中有关澄清、承诺文件均应作为合同附件。</w:t>
      </w:r>
      <w:r>
        <w:rPr>
          <w:rFonts w:hint="eastAsia" w:ascii="宋体" w:hAnsi="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33.3签订合同后，中标人不得将合同标的进行转包。未经采购人同意，中标人也不得采用分包的形式履行合同，否则采购人有权终止合同。转包或分包造成采购人损失的，中标人应承担相应赔偿责任。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rPr>
          <w:rFonts w:hint="eastAsia" w:ascii="宋体" w:hAnsi="宋体"/>
          <w:b/>
          <w:bCs/>
          <w:szCs w:val="21"/>
          <w:highlight w:val="none"/>
        </w:rPr>
        <w:t xml:space="preserve">34、货物（包含与货物相关的服务）的追加</w:t>
      </w:r>
      <w:r>
        <w:rPr>
          <w:rFonts w:hint="eastAsia" w:ascii="宋体" w:hAnsi="宋体"/>
          <w:b/>
          <w:bCs/>
          <w:szCs w:val="21"/>
          <w:highlight w:val="none"/>
        </w:rPr>
      </w:r>
      <w:r/>
    </w:p>
    <w:p>
      <w:pPr>
        <w:pStyle w:val="638"/>
        <w:ind w:firstLine="420"/>
        <w:spacing w:line="400" w:lineRule="exact"/>
        <w:rPr>
          <w:rFonts w:hint="eastAsia" w:ascii="宋体" w:hAnsi="宋体"/>
          <w:szCs w:val="21"/>
          <w:highlight w:val="none"/>
        </w:rPr>
      </w:pPr>
      <w:r>
        <w:rPr>
          <w:rFonts w:hint="eastAsia" w:ascii="宋体" w:hAnsi="宋体"/>
          <w:szCs w:val="21"/>
          <w:highlight w:val="none"/>
        </w:rPr>
        <w:t xml:space="preserve">34.1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Cs w:val="21"/>
          <w:highlight w:val="none"/>
        </w:rPr>
      </w:r>
      <w:r/>
    </w:p>
    <w:p>
      <w:pPr>
        <w:pStyle w:val="638"/>
        <w:ind w:firstLine="422"/>
        <w:spacing w:line="400" w:lineRule="exact"/>
        <w:rPr>
          <w:rFonts w:hint="eastAsia" w:ascii="宋体" w:hAnsi="宋体"/>
          <w:b/>
          <w:bCs/>
          <w:szCs w:val="21"/>
          <w:highlight w:val="none"/>
        </w:rPr>
      </w:pPr>
      <w:r/>
      <w:bookmarkStart w:id="90" w:name="_Toc513029242"/>
      <w:r/>
      <w:bookmarkStart w:id="91" w:name="_Toc16938558"/>
      <w:r/>
      <w:bookmarkStart w:id="92" w:name="_Toc120614221"/>
      <w:r/>
      <w:bookmarkStart w:id="93" w:name="_Toc479757207"/>
      <w:r/>
      <w:bookmarkStart w:id="94" w:name="_Toc20823314"/>
      <w:r>
        <w:rPr>
          <w:rFonts w:hint="eastAsia" w:ascii="宋体" w:hAnsi="宋体"/>
          <w:b/>
          <w:bCs/>
          <w:szCs w:val="21"/>
          <w:highlight w:val="none"/>
        </w:rPr>
        <w:t xml:space="preserve">35、政府采购政策功能落实</w:t>
      </w:r>
      <w:r>
        <w:rPr>
          <w:rFonts w:hint="eastAsia" w:ascii="宋体" w:hAnsi="宋体"/>
          <w:b/>
          <w:bCs/>
          <w:szCs w:val="21"/>
          <w:highlight w:val="none"/>
        </w:rPr>
      </w:r>
      <w:r/>
    </w:p>
    <w:p>
      <w:pPr>
        <w:pStyle w:val="638"/>
        <w:ind w:firstLine="420"/>
        <w:spacing w:line="400" w:lineRule="exact"/>
        <w:rPr>
          <w:rFonts w:hint="eastAsia" w:ascii="宋体" w:hAnsi="宋体"/>
          <w:b/>
          <w:bCs/>
          <w:szCs w:val="21"/>
          <w:highlight w:val="none"/>
        </w:rPr>
      </w:pPr>
      <w:r>
        <w:rPr>
          <w:rFonts w:hint="eastAsia" w:ascii="宋体" w:hAnsi="宋体" w:cs="宋体"/>
          <w:color w:val="000000"/>
          <w:szCs w:val="21"/>
          <w:highlight w:val="none"/>
        </w:rPr>
        <w:t xml:space="preserve">35.1</w:t>
      </w:r>
      <w:r>
        <w:rPr>
          <w:rFonts w:hint="eastAsia" w:ascii="宋体" w:hAnsi="宋体"/>
          <w:szCs w:val="21"/>
          <w:highlight w:val="none"/>
        </w:rPr>
        <w:t xml:space="preserve">政府采购线上合同信用融资政策</w:t>
      </w:r>
      <w:r>
        <w:rPr>
          <w:rFonts w:hint="eastAsia" w:ascii="宋体" w:hAnsi="宋体"/>
          <w:b/>
          <w:bCs/>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35.2进口产品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35.3中小企业、监狱企业及残疾人福利性单位</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35.3.1中小企业定义：</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35.3.2供应商提供的货物、工程或者服务符合下列情形的，享受中小企业扶持政策：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35.3.2.2在工程采购项目中，工程由中小企业承建，即工程施工单位为中小企业；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35.3.2.3在服务采购项目中，服务由中小企业承接，即提供服务的人员为中小企业依照《中华人民共和国劳动合同法》订立劳动合同的从业人员。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35.3.6残疾人福利单位定义：享受政府采购支持政策的残疾人福利性单位应当同时满足以下条件：</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35.3.6.1安置的残疾人占本单位在职职工人数的比例不低于25%（含25%），并且安置的残疾人人数不少于10人（含10人）；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35.3.6.2依法与安置的每位残疾人签订了一年以上（含一年）的劳动合同或服务协议；</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35.3.7本项目是否专门面向中小企业预留采购份额见第一章《招标公告》。</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35.3.8采购标的对应的中小企业划分标准所属行业见第四章《采购需求》。</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35.3.9小微企业价格评审优惠的政策：见第五章《评标方法和评标标准》。</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35.4政府采购节能产品、环境标志产品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000000"/>
          <w:szCs w:val="21"/>
          <w:highlight w:val="none"/>
        </w:rPr>
        <w:t xml:space="preserve">如属政府强制采购产品未提供认证证书的或认证证书提供不全的将视为未实质性响应采购要求。</w:t>
      </w:r>
      <w:r>
        <w:rPr>
          <w:rFonts w:hint="eastAsia" w:ascii="宋体" w:hAnsi="宋体" w:cs="宋体"/>
          <w:color w:val="000000"/>
          <w:szCs w:val="21"/>
          <w:highlight w:val="none"/>
        </w:rPr>
        <w:t xml:space="preserve">其他条件相同情况下，应当优先采购节能产品、环境标志产品。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35.5绿色包装</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35.6政府采购创新产品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采购人优先采购各级政府部门公开发布的有效期内的创新产品、创新服务、首台套、首购首用等《目录》的创新产品。</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35.7绿色数据中心政策</w:t>
      </w:r>
      <w:r>
        <w:rPr>
          <w:rFonts w:hint="eastAsia" w:ascii="宋体" w:hAnsi="宋体" w:cs="宋体"/>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Cs w:val="21"/>
          <w:highlight w:val="none"/>
        </w:rPr>
      </w:r>
      <w:r/>
    </w:p>
    <w:p>
      <w:pPr>
        <w:pStyle w:val="638"/>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36、履约保证金</w:t>
      </w:r>
      <w:r>
        <w:rPr>
          <w:rFonts w:hint="eastAsia" w:ascii="宋体" w:hAnsi="宋体" w:cs="宋体"/>
          <w:b/>
          <w:bCs/>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36.1确需收取履约保证金的，履约保证金的缴纳形式：</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供应商应当以支票、汇票、本票或者金融机构、担保机构出具的保函等非现金形式提交履约保证金。</w:t>
      </w:r>
      <w:r>
        <w:rPr>
          <w:rFonts w:hint="eastAsia" w:ascii="宋体" w:hAnsi="宋体" w:cs="宋体"/>
          <w:color w:val="000000"/>
          <w:szCs w:val="21"/>
          <w:highlight w:val="yellow"/>
        </w:rPr>
        <w:t xml:space="preserve">保函需为见索即付形式的保函。</w:t>
      </w:r>
      <w:r>
        <w:rPr>
          <w:rFonts w:hint="eastAsia" w:ascii="宋体" w:hAnsi="宋体" w:cs="宋体"/>
          <w:color w:val="000000"/>
          <w:szCs w:val="21"/>
          <w:highlight w:val="none"/>
        </w:rPr>
        <w:t xml:space="preserve">依据《关于在全省政府采购领域推行电子履约保函（保险）的通知》，鼓励供应商自愿使用电子履约保函（保险）代替缴纳履约保证金。</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如以履约保函（保险）形式缴纳履约保证金，供应商可通过政府采购电子履约保函（保险）平台（www.jsdzbh.com）在线申请履约保函（保险）。</w:t>
      </w:r>
      <w:r>
        <w:rPr>
          <w:rFonts w:hint="eastAsia" w:ascii="宋体" w:hAnsi="宋体" w:cs="宋体"/>
          <w:color w:val="000000"/>
          <w:szCs w:val="21"/>
          <w:highlight w:val="none"/>
        </w:rPr>
      </w:r>
      <w:r/>
    </w:p>
    <w:p>
      <w:pPr>
        <w:pStyle w:val="638"/>
        <w:ind w:firstLine="420"/>
        <w:spacing w:line="400" w:lineRule="exact"/>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bCs/>
          <w:szCs w:val="21"/>
          <w:highlight w:val="none"/>
        </w:rPr>
        <w:t xml:space="preserve">降低比例</w:t>
      </w:r>
      <w:r>
        <w:rPr>
          <w:rFonts w:hint="eastAsia" w:ascii="宋体" w:hAnsi="宋体" w:cs="宋体"/>
          <w:color w:val="000000"/>
          <w:szCs w:val="21"/>
          <w:highlight w:val="none"/>
        </w:rPr>
        <w:t xml:space="preserve">，收取5%的履约保证金。</w:t>
      </w:r>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37、预付款制度</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 30 %</w:t>
      </w:r>
      <w:r>
        <w:rPr>
          <w:rFonts w:hint="eastAsia" w:ascii="宋体" w:hAnsi="宋体" w:cs="宋体"/>
          <w:color w:val="000000"/>
          <w:szCs w:val="21"/>
          <w:highlight w:val="none"/>
        </w:rPr>
        <w:t xml:space="preserve">。在签订合同时，中标、成交供应商明确书面表示无需预付款或者主动要求降低预付款比例的，采购人可就预付款比例作相应调整。</w:t>
      </w:r>
      <w:bookmarkEnd w:id="33"/>
      <w:r/>
      <w:bookmarkEnd w:id="90"/>
      <w:r/>
      <w:bookmarkEnd w:id="91"/>
      <w:r/>
      <w:bookmarkEnd w:id="92"/>
      <w:r/>
      <w:bookmarkEnd w:id="93"/>
      <w:r/>
      <w:bookmarkEnd w:id="94"/>
      <w:r>
        <w:rPr>
          <w:rFonts w:hint="eastAsia" w:ascii="宋体" w:hAnsi="宋体" w:cs="宋体"/>
          <w:color w:val="000000"/>
          <w:szCs w:val="21"/>
          <w:highlight w:val="none"/>
        </w:rPr>
      </w:r>
      <w:r/>
    </w:p>
    <w:p>
      <w:pPr>
        <w:pStyle w:val="638"/>
        <w:ind w:firstLine="422"/>
        <w:spacing w:line="400" w:lineRule="exact"/>
        <w:tabs>
          <w:tab w:val="left" w:pos="90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38.招标代理服务费</w:t>
      </w:r>
      <w:r>
        <w:rPr>
          <w:rFonts w:hint="eastAsia" w:ascii="宋体" w:hAnsi="宋体" w:cs="宋体"/>
          <w:b/>
          <w:bCs/>
          <w:color w:val="000000"/>
          <w:szCs w:val="21"/>
          <w:highlight w:val="none"/>
        </w:rPr>
      </w:r>
      <w:r/>
    </w:p>
    <w:p>
      <w:pPr>
        <w:pStyle w:val="638"/>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本项目招标代理服务费参照苏招协【2022】002号规定服务招标的收费标准40%计取。招标完成后，由中标供应商在领取中标通知书前一次性向代理机构支付，请各投标人投标报价时综合考虑到报价中，不得单列。</w:t>
      </w:r>
      <w:r>
        <w:rPr>
          <w:rFonts w:hint="eastAsia" w:ascii="宋体" w:hAnsi="宋体" w:cs="宋体"/>
          <w:color w:val="000000"/>
          <w:szCs w:val="21"/>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ind w:firstLine="522"/>
        <w:jc w:val="center"/>
        <w:spacing w:before="240" w:line="440" w:lineRule="exact"/>
        <w:widowControl/>
        <w:rPr>
          <w:rFonts w:asci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eastAsia="黑体" w:cs="黑体"/>
          <w:color w:val="000000"/>
          <w:sz w:val="44"/>
          <w:szCs w:val="44"/>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第三章  合同条款</w:t>
      </w:r>
      <w:r>
        <w:rPr>
          <w:rFonts w:eastAsia="黑体"/>
          <w:color w:val="000000"/>
          <w:sz w:val="36"/>
          <w:szCs w:val="36"/>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bookmarkStart w:id="95" w:name="_Toc20823315"/>
      <w:r/>
      <w:bookmarkStart w:id="96" w:name="_Toc513029243"/>
      <w:r/>
      <w:bookmarkStart w:id="97" w:name="_Toc16938559"/>
      <w:r>
        <w:rPr>
          <w:rFonts w:hint="eastAsia"/>
          <w:color w:val="000000"/>
          <w:highlight w:val="none"/>
        </w:rPr>
      </w:r>
      <w:r/>
    </w:p>
    <w:p>
      <w:pPr>
        <w:pStyle w:val="897"/>
        <w:ind w:firstLine="482"/>
        <w:jc w:val="both"/>
        <w:spacing w:before="0" w:beforeAutospacing="0" w:after="0" w:afterAutospacing="0" w:line="480" w:lineRule="exact"/>
        <w:widowControl w:val="off"/>
        <w:rPr>
          <w:rFonts w:hint="eastAsia"/>
          <w:color w:val="000000"/>
          <w:highlight w:val="none"/>
        </w:rPr>
      </w:pPr>
      <w:r>
        <w:rPr>
          <w:rFonts w:hint="eastAsia"/>
          <w:color w:val="000000"/>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t xml:space="preserve">政府采购货物买卖合同</w:t>
      </w:r>
      <w:r>
        <w:rPr>
          <w:rFonts w:hint="eastAsia" w:ascii="宋体" w:hAnsi="宋体" w:cs="宋体"/>
          <w:sz w:val="30"/>
          <w:highlight w:val="none"/>
        </w:rPr>
      </w:r>
      <w:r/>
    </w:p>
    <w:p>
      <w:pPr>
        <w:pStyle w:val="638"/>
        <w:jc w:val="center"/>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rPr>
          <w:rFonts w:hint="eastAsia" w:ascii="宋体" w:hAnsi="宋体" w:cs="宋体"/>
          <w:sz w:val="30"/>
          <w:highlight w:val="none"/>
        </w:rPr>
      </w:pP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项目名称：</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合同编号：</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甲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乙    方：</w:t>
      </w:r>
      <w:r>
        <w:rPr>
          <w:rFonts w:hint="eastAsia" w:ascii="宋体" w:hAnsi="宋体" w:cs="宋体"/>
          <w:sz w:val="30"/>
          <w:highlight w:val="none"/>
        </w:rPr>
      </w:r>
      <w:r/>
    </w:p>
    <w:p>
      <w:pPr>
        <w:pStyle w:val="638"/>
        <w:ind w:left="420"/>
        <w:spacing w:line="360" w:lineRule="auto"/>
        <w:rPr>
          <w:rFonts w:hint="eastAsia" w:ascii="宋体" w:hAnsi="宋体" w:cs="宋体"/>
          <w:sz w:val="30"/>
          <w:highlight w:val="none"/>
        </w:rPr>
      </w:pPr>
      <w:r>
        <w:rPr>
          <w:rFonts w:hint="eastAsia" w:ascii="宋体" w:hAnsi="宋体" w:cs="宋体"/>
          <w:sz w:val="30"/>
          <w:highlight w:val="none"/>
        </w:rPr>
        <w:t xml:space="preserve">签订时间：</w:t>
      </w:r>
      <w:r>
        <w:rPr>
          <w:rFonts w:hint="eastAsia" w:ascii="宋体" w:hAnsi="宋体" w:cs="宋体"/>
          <w:sz w:val="30"/>
          <w:highlight w:val="none"/>
        </w:rPr>
      </w:r>
      <w:r/>
    </w:p>
    <w:p>
      <w:pPr>
        <w:pStyle w:val="638"/>
        <w:rPr>
          <w:highlight w:val="none"/>
        </w:rPr>
      </w:pPr>
      <w:r>
        <w:rPr>
          <w:highlight w:val="none"/>
        </w:rPr>
      </w:r>
      <w:r/>
    </w:p>
    <w:p>
      <w:pPr>
        <w:pStyle w:val="638"/>
        <w:rPr>
          <w:highlight w:val="none"/>
        </w:rPr>
      </w:pPr>
      <w:r>
        <w:rPr>
          <w:rFonts w:eastAsia="黑体"/>
          <w:sz w:val="44"/>
          <w:szCs w:val="44"/>
          <w:highlight w:val="none"/>
        </w:rPr>
        <w:br w:type="page" w:clear="all"/>
      </w:r>
      <w:r>
        <w:rPr>
          <w:highlight w:val="none"/>
        </w:rPr>
      </w:r>
      <w:r/>
    </w:p>
    <w:p>
      <w:pPr>
        <w:pStyle w:val="638"/>
        <w:jc w:val="center"/>
        <w:rPr>
          <w:rFonts w:hint="eastAsia" w:ascii="黑体" w:hAnsi="黑体" w:eastAsia="黑体"/>
          <w:sz w:val="28"/>
          <w:szCs w:val="28"/>
          <w:highlight w:val="none"/>
        </w:rPr>
      </w:pPr>
      <w:r>
        <w:rPr>
          <w:rFonts w:hint="eastAsia" w:ascii="黑体" w:hAnsi="黑体" w:eastAsia="黑体"/>
          <w:sz w:val="28"/>
          <w:szCs w:val="28"/>
          <w:highlight w:val="none"/>
        </w:rPr>
        <w:t xml:space="preserve">第一节 政府采购合同协议书</w:t>
      </w:r>
      <w:r>
        <w:rPr>
          <w:rFonts w:hint="eastAsia" w:ascii="黑体" w:hAnsi="黑体" w:eastAsia="黑体"/>
          <w:sz w:val="28"/>
          <w:szCs w:val="28"/>
          <w:highlight w:val="none"/>
        </w:rPr>
      </w:r>
      <w:r/>
    </w:p>
    <w:p>
      <w:pPr>
        <w:pStyle w:val="638"/>
        <w:spacing w:line="400" w:lineRule="exact"/>
        <w:rPr>
          <w:rFonts w:hint="eastAsia" w:ascii="宋体" w:hAnsi="宋体"/>
          <w:sz w:val="24"/>
          <w:highlight w:val="none"/>
        </w:rPr>
      </w:pPr>
      <w:r>
        <w:rPr>
          <w:rFonts w:hint="eastAsia" w:ascii="宋体" w:hAnsi="宋体"/>
          <w:sz w:val="24"/>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甲方（全称）：</w:t>
      </w:r>
      <w:r>
        <w:rPr>
          <w:rFonts w:hint="eastAsia" w:ascii="宋体" w:hAnsi="宋体" w:eastAsia="宋体"/>
          <w:szCs w:val="21"/>
          <w:highlight w:val="none"/>
        </w:rPr>
      </w:r>
      <w:r/>
    </w:p>
    <w:p>
      <w:pPr>
        <w:pStyle w:val="638"/>
        <w:spacing w:line="400" w:lineRule="exact"/>
        <w:rPr>
          <w:rFonts w:hint="eastAsia" w:ascii="宋体" w:hAnsi="宋体" w:eastAsia="宋体"/>
          <w:szCs w:val="21"/>
          <w:highlight w:val="none"/>
        </w:rPr>
      </w:pPr>
      <w:r>
        <w:rPr>
          <w:rFonts w:hint="eastAsia" w:ascii="宋体" w:hAnsi="宋体" w:eastAsia="宋体"/>
          <w:szCs w:val="21"/>
          <w:highlight w:val="none"/>
        </w:rPr>
        <w:t xml:space="preserve">乙方（全称）：</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依据《中华人民共和国民法典》、《中华人民共和国政府采购法》等有关的法律法规，以及本采购项目的采购文件、乙方的《投标（响应）文件》及《中标通知书》，甲乙双方同意签订本合同。具体情况及要求如下：</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1.项目信息</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（1）采购项目名称：2026年大丰麋鹿保护区全株玉米青贮饲料采购项目</w:t>
      </w:r>
      <w:r>
        <w:rPr>
          <w:rFonts w:hint="eastAsia" w:ascii="宋体" w:hAnsi="宋体" w:eastAsia="宋体"/>
          <w:szCs w:val="21"/>
          <w:highlight w:val="none"/>
        </w:rPr>
      </w:r>
      <w:r/>
    </w:p>
    <w:p>
      <w:pPr>
        <w:pStyle w:val="638"/>
        <w:ind w:firstLine="945"/>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采购项目编号：JSZC-320000-YCMR-G2026-0006</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（2）采购计划编号：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（3）项目内容：</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采购标的及数量：全株玉米青贮饲料6</w:t>
      </w:r>
      <w:r>
        <w:rPr>
          <w:rFonts w:hint="eastAsia" w:ascii="宋体" w:hAnsi="宋体"/>
          <w:szCs w:val="21"/>
          <w:highlight w:val="none"/>
          <w:lang w:val="en-US" w:eastAsia="zh-CN"/>
        </w:rPr>
        <w:t xml:space="preserve">2</w:t>
      </w:r>
      <w:r>
        <w:rPr>
          <w:rFonts w:hint="eastAsia" w:ascii="宋体" w:hAnsi="宋体" w:eastAsia="宋体"/>
          <w:szCs w:val="21"/>
          <w:highlight w:val="none"/>
        </w:rPr>
        <w:t xml:space="preserve">00吨(最终以采购人实际过磅为准，要求收满现有青贮池)</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品牌：</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规格型号：</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采购标的的技术要求、商务要求具体见附件。</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4</w:t>
      </w:r>
      <w:r>
        <w:rPr>
          <w:rFonts w:hint="eastAsia" w:ascii="宋体" w:hAnsi="宋体" w:eastAsia="宋体" w:cs="宋体"/>
          <w:szCs w:val="21"/>
          <w:highlight w:val="none"/>
        </w:rPr>
        <w:t xml:space="preserve">）政府采购组织形式：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分散采购</w:t>
      </w:r>
      <w:r>
        <w:rPr>
          <w:rFonts w:hint="eastAsia" w:ascii="宋体" w:hAnsi="宋体" w:eastAsia="宋体" w:cs="宋体"/>
          <w:szCs w:val="21"/>
          <w:highlight w:val="none"/>
        </w:rPr>
      </w:r>
      <w:r/>
    </w:p>
    <w:p>
      <w:pPr>
        <w:pStyle w:val="638"/>
        <w:ind w:firstLine="42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5</w:t>
      </w:r>
      <w:r>
        <w:rPr>
          <w:rFonts w:hint="eastAsia" w:ascii="宋体" w:hAnsi="宋体" w:eastAsia="宋体" w:cs="宋体"/>
          <w:szCs w:val="21"/>
          <w:highlight w:val="none"/>
        </w:rPr>
        <w:t xml:space="preserve">）政府采购方式：</w:t>
      </w:r>
      <w:r>
        <w:rPr>
          <w:rFonts w:ascii="Segoe UI Symbol" w:hAnsi="Segoe UI Symbol" w:eastAsia="宋体" w:cs="Segoe UI Symbol"/>
          <w:bCs/>
          <w:szCs w:val="21"/>
          <w:highlight w:val="none"/>
        </w:rPr>
        <w:t xml:space="preserve">☑</w:t>
      </w:r>
      <w:r>
        <w:rPr>
          <w:rFonts w:hint="eastAsia" w:ascii="宋体" w:hAnsi="宋体" w:cs="宋体"/>
          <w:szCs w:val="21"/>
          <w:highlight w:val="none"/>
        </w:rPr>
        <w:t xml:space="preserve">公开招标</w:t>
      </w:r>
      <w:r>
        <w:rPr>
          <w:rFonts w:hint="eastAsia" w:ascii="宋体" w:hAnsi="宋体" w:eastAsia="宋体" w:cs="宋体"/>
          <w:szCs w:val="21"/>
          <w:highlight w:val="none"/>
        </w:rPr>
      </w:r>
      <w:r/>
    </w:p>
    <w:p>
      <w:pPr>
        <w:pStyle w:val="638"/>
        <w:numPr>
          <w:ilvl w:val="0"/>
          <w:numId w:val="0"/>
        </w:numPr>
        <w:ind w:firstLine="200"/>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ascii="宋体" w:hAnsi="宋体" w:eastAsia="宋体" w:cs="宋体"/>
          <w:szCs w:val="21"/>
          <w:highlight w:val="none"/>
        </w:rPr>
        <w:t xml:space="preserve">6</w:t>
      </w:r>
      <w:r>
        <w:rPr>
          <w:rFonts w:hint="eastAsia" w:ascii="宋体" w:hAnsi="宋体" w:eastAsia="宋体" w:cs="宋体"/>
          <w:szCs w:val="21"/>
          <w:highlight w:val="none"/>
        </w:rPr>
        <w:t xml:space="preserve">）</w:t>
      </w:r>
      <w:r>
        <w:rPr>
          <w:rFonts w:hint="eastAsia" w:ascii="宋体" w:hAnsi="宋体" w:eastAsia="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cs="宋体"/>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本合同是否为专门面向中小企业的采购合同（中小企业预留合同）：</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若本项目不专门面向中小企业采购，是否给予小微企业评审优惠：</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eastAsia="宋体"/>
          <w:iCs/>
          <w:szCs w:val="21"/>
          <w:highlight w:val="none"/>
        </w:rPr>
      </w:pPr>
      <w:r>
        <w:rPr>
          <w:rFonts w:hint="eastAsia" w:ascii="宋体" w:hAnsi="宋体" w:eastAsia="宋体"/>
          <w:szCs w:val="21"/>
          <w:highlight w:val="none"/>
        </w:rPr>
        <w:t xml:space="preserve">中标（成交）采购标的制造商是否为残疾人福利性单位：</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eastAsia="宋体"/>
          <w:iCs/>
          <w:szCs w:val="21"/>
          <w:highlight w:val="none"/>
        </w:rPr>
      </w:r>
      <w:r/>
    </w:p>
    <w:p>
      <w:pPr>
        <w:pStyle w:val="638"/>
        <w:ind w:firstLine="420"/>
        <w:spacing w:line="400" w:lineRule="exact"/>
        <w:rPr>
          <w:rFonts w:hint="eastAsia" w:ascii="宋体" w:hAnsi="宋体"/>
          <w:szCs w:val="21"/>
          <w:highlight w:val="none"/>
        </w:rPr>
      </w:pPr>
      <w:r>
        <w:rPr>
          <w:rFonts w:hint="eastAsia" w:ascii="宋体" w:hAnsi="宋体" w:eastAsia="宋体"/>
          <w:szCs w:val="21"/>
          <w:highlight w:val="none"/>
        </w:rPr>
        <w:t xml:space="preserve">中标（成交）采购标的制造商是否为监狱企业：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w:t>
      </w:r>
      <w:r>
        <w:rPr>
          <w:rFonts w:ascii="宋体" w:hAnsi="宋体" w:eastAsia="宋体"/>
          <w:szCs w:val="21"/>
          <w:highlight w:val="none"/>
        </w:rPr>
        <w:t xml:space="preserve">7</w:t>
      </w:r>
      <w:r>
        <w:rPr>
          <w:rFonts w:hint="eastAsia" w:ascii="宋体" w:hAnsi="宋体" w:eastAsia="宋体"/>
          <w:szCs w:val="21"/>
          <w:highlight w:val="none"/>
        </w:rPr>
        <w:t xml:space="preserve">）合同是否分包：</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szCs w:val="21"/>
          <w:highlight w:val="none"/>
        </w:rPr>
        <w:t xml:space="preserve">否</w:t>
      </w:r>
      <w:r>
        <w:rPr>
          <w:rFonts w:hint="eastAsia" w:ascii="宋体" w:hAnsi="宋体" w:eastAsia="宋体"/>
          <w:szCs w:val="21"/>
          <w:highlight w:val="none"/>
        </w:rPr>
      </w:r>
      <w:r/>
    </w:p>
    <w:p>
      <w:pPr>
        <w:pStyle w:val="638"/>
        <w:ind w:firstLine="420"/>
        <w:spacing w:line="400" w:lineRule="exact"/>
        <w:rPr>
          <w:rFonts w:hint="eastAsia"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是 </w:t>
      </w:r>
      <w:r>
        <w:rPr>
          <w:rFonts w:ascii="宋体" w:hAnsi="宋体" w:eastAsia="宋体" w:cs="Wingdings"/>
          <w:iCs/>
          <w:szCs w:val="21"/>
          <w:highlight w:val="none"/>
        </w:rPr>
        <w:t xml:space="preserve"></w:t>
      </w:r>
      <w:r>
        <w:rPr>
          <w:rFonts w:hint="eastAsia" w:ascii="宋体" w:hAnsi="宋体" w:eastAsia="宋体" w:cs="宋体"/>
          <w:iCs/>
          <w:szCs w:val="21"/>
          <w:highlight w:val="none"/>
        </w:rPr>
        <w:t xml:space="preserve">否</w:t>
      </w:r>
      <w:r>
        <w:rPr>
          <w:rFonts w:hint="eastAsia" w:ascii="宋体" w:hAnsi="宋体" w:eastAsia="宋体" w:cs="宋体"/>
          <w:iCs/>
          <w:szCs w:val="21"/>
          <w:highlight w:val="none"/>
        </w:rPr>
      </w:r>
      <w:r/>
    </w:p>
    <w:p>
      <w:pPr>
        <w:pStyle w:val="638"/>
        <w:ind w:firstLine="420"/>
        <w:jc w:val="left"/>
        <w:spacing w:line="400" w:lineRule="exact"/>
        <w:widowControl/>
        <w:tabs>
          <w:tab w:val="left" w:pos="134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宋体" w:hAnsi="宋体" w:eastAsia="宋体" w:cs="Wingdings"/>
          <w:iCs/>
          <w:szCs w:val="21"/>
          <w:highlight w:val="none"/>
        </w:rPr>
        <w:t xml:space="preserve"></w:t>
      </w:r>
      <w:r>
        <w:rPr>
          <w:rFonts w:hint="eastAsia" w:ascii="宋体" w:hAnsi="宋体" w:eastAsia="宋体" w:cs="宋体"/>
          <w:szCs w:val="21"/>
          <w:highlight w:val="none"/>
        </w:rPr>
        <w:t xml:space="preserve">全部由外国投资者投资  </w:t>
      </w:r>
      <w:r>
        <w:rPr>
          <w:rFonts w:hint="eastAsia" w:ascii="宋体" w:hAnsi="宋体" w:eastAsia="宋体" w:cs="宋体"/>
          <w:iCs/>
          <w:szCs w:val="21"/>
          <w:highlight w:val="none"/>
        </w:rPr>
        <w:t xml:space="preserve">部分由外国投资者投资</w:t>
      </w:r>
      <w:r>
        <w:rPr>
          <w:rFonts w:hint="eastAsia" w:ascii="宋体" w:hAnsi="宋体" w:eastAsia="宋体" w:cs="宋体"/>
          <w:szCs w:val="21"/>
          <w:highlight w:val="none"/>
          <w:u w:val="single"/>
        </w:rPr>
      </w:r>
      <w:r/>
    </w:p>
    <w:p>
      <w:pPr>
        <w:pStyle w:val="638"/>
        <w:ind w:firstLine="420"/>
        <w:jc w:val="left"/>
        <w:spacing w:line="400" w:lineRule="exact"/>
        <w:widowControl/>
        <w:tabs>
          <w:tab w:val="left" w:pos="1340" w:leader="none"/>
        </w:tabs>
        <w:rPr>
          <w:rFonts w:hint="eastAsia" w:ascii="宋体" w:hAnsi="宋体" w:eastAsia="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Segoe UI Symbol" w:hAnsi="Segoe UI Symbol" w:eastAsia="宋体" w:cs="Segoe UI Symbol"/>
          <w:bCs/>
          <w:szCs w:val="21"/>
          <w:highlight w:val="none"/>
        </w:rPr>
        <w:t xml:space="preserve">☑</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0</w:t>
      </w:r>
      <w:r>
        <w:rPr>
          <w:rFonts w:hint="eastAsia" w:ascii="宋体" w:hAnsi="宋体" w:eastAsia="宋体"/>
          <w:szCs w:val="21"/>
          <w:highlight w:val="none"/>
        </w:rPr>
        <w:t xml:space="preserve">）是否涉及节能产品：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iCs/>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是，《节能产品政府采购品目清单》的底级品目名称：</w:t>
      </w:r>
      <w:r>
        <w:rPr>
          <w:rFonts w:hint="eastAsia" w:ascii="宋体" w:hAnsi="宋体" w:eastAsia="宋体"/>
          <w:iCs/>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hint="eastAsia" w:ascii="宋体" w:hAnsi="宋体" w:eastAsia="宋体"/>
          <w:szCs w:val="21"/>
          <w:highlight w:val="none"/>
        </w:rPr>
        <w:t xml:space="preserve">是否涉及环境标志产品：</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是，《环境标志产品政府采购品目清单》的底级品目名称：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 </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Wingdings" w:hAnsi="Wingdings" w:eastAsia="Wingdings" w:cs="Wingdings"/>
          <w:iCs/>
          <w:sz w:val="24"/>
          <w:highlight w:val="none"/>
        </w:rPr>
        <w:t xml:space="preserve">þ</w:t>
      </w:r>
      <w:r>
        <w:rPr>
          <w:rFonts w:hint="eastAsia" w:ascii="宋体" w:hAnsi="宋体" w:eastAsia="宋体"/>
          <w:szCs w:val="21"/>
          <w:highlight w:val="none"/>
        </w:rPr>
        <w:t xml:space="preserve">否</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hint="eastAsia" w:ascii="宋体" w:hAnsi="宋体" w:eastAsia="宋体"/>
          <w:szCs w:val="21"/>
          <w:highlight w:val="none"/>
        </w:rPr>
        <w:t xml:space="preserve">是否涉及绿色产品：</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是，绿色产品政府采购相关政策确定的底级品目名称：</w:t>
      </w:r>
      <w:r>
        <w:rPr>
          <w:rFonts w:hint="eastAsia" w:ascii="宋体" w:hAnsi="宋体" w:eastAsia="宋体"/>
          <w:szCs w:val="21"/>
          <w:highlight w:val="none"/>
        </w:rPr>
      </w:r>
      <w:r/>
    </w:p>
    <w:p>
      <w:pPr>
        <w:pStyle w:val="638"/>
        <w:ind w:firstLine="420"/>
        <w:spacing w:line="400" w:lineRule="exact"/>
        <w:tabs>
          <w:tab w:val="left" w:pos="740" w:leader="none"/>
        </w:tabs>
        <w:rPr>
          <w:rFonts w:hint="eastAsia" w:ascii="宋体" w:hAnsi="宋体" w:eastAsia="宋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强制采购</w:t>
      </w:r>
      <w:r>
        <w:rPr>
          <w:rFonts w:ascii="宋体" w:hAnsi="宋体" w:eastAsia="宋体" w:cs="Wingdings"/>
          <w:szCs w:val="21"/>
          <w:highlight w:val="none"/>
        </w:rPr>
        <w:t xml:space="preserve"></w:t>
      </w:r>
      <w:r>
        <w:rPr>
          <w:rFonts w:hint="eastAsia" w:ascii="宋体" w:hAnsi="宋体" w:eastAsia="宋体"/>
          <w:szCs w:val="21"/>
          <w:highlight w:val="none"/>
        </w:rPr>
        <w:t xml:space="preserve">优先采购</w:t>
      </w:r>
      <w:r>
        <w:rPr>
          <w:rFonts w:hint="eastAsia" w:ascii="宋体" w:hAnsi="宋体" w:eastAsia="宋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ascii="宋体" w:hAnsi="宋体" w:eastAsia="宋体" w:cs="Wingdings"/>
          <w:szCs w:val="21"/>
          <w:highlight w:val="none"/>
        </w:rPr>
        <w:t xml:space="preserve"></w:t>
      </w:r>
      <w:r>
        <w:rPr>
          <w:rFonts w:hint="eastAsia" w:ascii="宋体" w:hAnsi="宋体" w:eastAsia="宋体"/>
          <w:szCs w:val="21"/>
          <w:highlight w:val="none"/>
        </w:rPr>
        <w:t xml:space="preserve">否</w:t>
      </w:r>
      <w:r>
        <w:rPr>
          <w:rFonts w:hint="eastAsia" w:ascii="宋体" w:hAnsi="宋体" w:eastAsia="宋体" w:cs="华文楷体"/>
          <w:szCs w:val="21"/>
          <w:highlight w:val="none"/>
        </w:rPr>
      </w:r>
      <w:r/>
    </w:p>
    <w:p>
      <w:pPr>
        <w:pStyle w:val="638"/>
        <w:ind w:firstLine="420"/>
        <w:jc w:val="left"/>
        <w:spacing w:line="400" w:lineRule="exact"/>
        <w:widowControl/>
        <w:rPr>
          <w:rFonts w:hint="eastAsia" w:ascii="宋体" w:hAnsi="宋体" w:eastAsia="宋体" w:cs="华文楷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1</w:t>
      </w:r>
      <w:r>
        <w:rPr>
          <w:rFonts w:hint="eastAsia" w:ascii="宋体" w:hAnsi="宋体" w:eastAsia="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华文楷体"/>
          <w:szCs w:val="21"/>
          <w:highlight w:val="none"/>
        </w:rPr>
      </w:r>
      <w:r/>
    </w:p>
    <w:p>
      <w:pPr>
        <w:pStyle w:val="638"/>
        <w:ind w:firstLine="420"/>
        <w:spacing w:line="400" w:lineRule="exact"/>
        <w:rPr>
          <w:rFonts w:hint="eastAsia" w:ascii="宋体" w:hAnsi="宋体" w:eastAsia="宋体"/>
          <w:szCs w:val="21"/>
          <w:highlight w:val="none"/>
        </w:rPr>
      </w:pPr>
      <w:r/>
      <w:bookmarkStart w:id="98" w:name="OLE_LINK11"/>
      <w:r>
        <w:rPr>
          <w:rFonts w:ascii="Segoe UI Symbol" w:hAnsi="Segoe UI Symbol" w:eastAsia="宋体" w:cs="Segoe UI Symbol"/>
          <w:bCs/>
          <w:szCs w:val="21"/>
          <w:highlight w:val="none"/>
        </w:rPr>
        <w:t xml:space="preserve">☑</w:t>
      </w:r>
      <w:bookmarkEnd w:id="98"/>
      <w:r>
        <w:rPr>
          <w:rFonts w:hint="eastAsia" w:ascii="宋体" w:hAnsi="宋体" w:eastAsia="宋体"/>
          <w:szCs w:val="21"/>
          <w:highlight w:val="none"/>
        </w:rPr>
        <w:t xml:space="preserve">是       </w:t>
      </w:r>
      <w:r>
        <w:rPr>
          <w:rFonts w:ascii="宋体" w:hAnsi="宋体" w:eastAsia="宋体" w:cs="Wingdings"/>
          <w:szCs w:val="21"/>
          <w:highlight w:val="none"/>
        </w:rPr>
        <w:t xml:space="preserve"></w:t>
      </w:r>
      <w:r>
        <w:rPr>
          <w:rFonts w:hint="eastAsia" w:ascii="宋体" w:hAnsi="宋体" w:eastAsia="宋体"/>
          <w:szCs w:val="21"/>
          <w:highlight w:val="none"/>
        </w:rPr>
        <w:t xml:space="preserve">否 </w:t>
      </w:r>
      <w:r>
        <w:rPr>
          <w:rFonts w:ascii="宋体" w:hAnsi="宋体" w:eastAsia="宋体"/>
          <w:szCs w:val="21"/>
          <w:highlight w:val="none"/>
        </w:rPr>
        <w:t xml:space="preserve">      </w:t>
      </w:r>
      <w:r>
        <w:rPr>
          <w:rFonts w:ascii="宋体" w:hAnsi="宋体" w:eastAsia="宋体" w:cs="Wingdings"/>
          <w:szCs w:val="21"/>
          <w:highlight w:val="none"/>
        </w:rPr>
        <w:t xml:space="preserve"></w:t>
      </w:r>
      <w:r>
        <w:rPr>
          <w:rFonts w:hint="eastAsia" w:ascii="宋体" w:hAnsi="宋体" w:eastAsia="宋体"/>
          <w:szCs w:val="21"/>
          <w:highlight w:val="none"/>
        </w:rPr>
        <w:t xml:space="preserve">不涉及</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2.合同金额</w:t>
      </w:r>
      <w:r>
        <w:rPr>
          <w:rFonts w:hint="eastAsia" w:ascii="宋体" w:hAnsi="宋体" w:eastAsia="宋体"/>
          <w:b/>
          <w:szCs w:val="21"/>
          <w:highlight w:val="none"/>
        </w:rPr>
      </w:r>
      <w:r/>
    </w:p>
    <w:p>
      <w:pPr>
        <w:pStyle w:val="638"/>
        <w:ind w:firstLine="420"/>
        <w:spacing w:line="400" w:lineRule="exact"/>
        <w:rPr>
          <w:rFonts w:hint="eastAsia" w:ascii="宋体" w:hAnsi="宋体" w:eastAsia="宋体"/>
          <w:szCs w:val="21"/>
          <w:highlight w:val="none"/>
          <w:u w:val="single"/>
        </w:rPr>
      </w:pPr>
      <w:r>
        <w:rPr>
          <w:rFonts w:hint="eastAsia" w:ascii="宋体" w:hAnsi="宋体" w:eastAsia="宋体"/>
          <w:szCs w:val="21"/>
          <w:highlight w:val="none"/>
        </w:rPr>
        <w:t xml:space="preserve">（1）合同金额小写：          大写：</w:t>
      </w:r>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（2）付款方式（具体详见专用条款第二节第12.2款）：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u w:val="single"/>
        </w:rPr>
      </w:pPr>
      <w:r>
        <w:rPr>
          <w:rFonts w:ascii="宋体" w:hAnsi="宋体" w:eastAsia="宋体" w:cs="Wingdings"/>
          <w:szCs w:val="21"/>
          <w:highlight w:val="none"/>
        </w:rPr>
        <w:t xml:space="preserve"></w:t>
      </w:r>
      <w:r>
        <w:rPr>
          <w:rFonts w:hint="eastAsia" w:ascii="宋体" w:hAnsi="宋体" w:eastAsia="宋体"/>
          <w:szCs w:val="21"/>
          <w:highlight w:val="none"/>
        </w:rPr>
        <w:t xml:space="preserve">全额付款：</w:t>
      </w:r>
      <w:bookmarkStart w:id="99" w:name="OLE_LINK1"/>
      <w:r>
        <w:rPr>
          <w:rFonts w:hint="eastAsia" w:ascii="宋体" w:hAnsi="宋体" w:eastAsia="宋体"/>
          <w:szCs w:val="21"/>
          <w:highlight w:val="none"/>
          <w:u w:val="single"/>
        </w:rPr>
        <w:t xml:space="preserve">      /      </w:t>
      </w:r>
      <w:bookmarkEnd w:id="99"/>
      <w:r>
        <w:rPr>
          <w:rFonts w:hint="eastAsia" w:ascii="宋体" w:hAnsi="宋体" w:eastAsia="宋体"/>
          <w:szCs w:val="21"/>
          <w:highlight w:val="none"/>
          <w:u w:val="single"/>
        </w:rPr>
      </w:r>
      <w:r/>
    </w:p>
    <w:p>
      <w:pPr>
        <w:pStyle w:val="638"/>
        <w:ind w:firstLine="420"/>
        <w:spacing w:line="400" w:lineRule="exact"/>
        <w:rPr>
          <w:rFonts w:hint="eastAsia" w:ascii="宋体" w:hAnsi="宋体" w:eastAsia="宋体" w:cs="宋体"/>
          <w:b/>
          <w:bCs/>
          <w:szCs w:val="21"/>
          <w:highlight w:val="none"/>
        </w:rPr>
      </w:pPr>
      <w:r>
        <w:rPr>
          <w:rFonts w:ascii="宋体" w:hAnsi="宋体" w:eastAsia="宋体" w:cs="Wingdings"/>
          <w:szCs w:val="21"/>
          <w:highlight w:val="none"/>
        </w:rPr>
        <w:t xml:space="preserve"></w:t>
      </w:r>
      <w:bookmarkStart w:id="100" w:name="OLE_LINK14"/>
      <w:r>
        <w:rPr>
          <w:rFonts w:ascii="Segoe UI Symbol" w:hAnsi="Segoe UI Symbol" w:eastAsia="宋体" w:cs="Segoe UI Symbol"/>
          <w:bCs/>
          <w:szCs w:val="21"/>
          <w:highlight w:val="none"/>
        </w:rPr>
        <w:t xml:space="preserve">☑</w:t>
      </w:r>
      <w:bookmarkEnd w:id="100"/>
      <w:r>
        <w:rPr>
          <w:rFonts w:hint="eastAsia" w:ascii="宋体" w:hAnsi="宋体" w:eastAsia="宋体"/>
          <w:szCs w:val="21"/>
          <w:highlight w:val="none"/>
        </w:rPr>
        <w:t xml:space="preserve">分期付款：</w:t>
      </w:r>
      <w:r>
        <w:rPr>
          <w:rFonts w:hint="eastAsia" w:ascii="宋体" w:hAnsi="宋体" w:eastAsia="宋体" w:cs="宋体"/>
          <w:szCs w:val="21"/>
          <w:highlight w:val="none"/>
          <w:u w:val="single"/>
        </w:rPr>
        <w:t xml:space="preserve">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cs="宋体"/>
          <w:b/>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cs="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3.合同履行</w:t>
      </w:r>
      <w:r>
        <w:rPr>
          <w:rFonts w:hint="eastAsia" w:ascii="宋体" w:hAnsi="宋体" w:eastAsia="宋体"/>
          <w:b/>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t xml:space="preserve">  </w:t>
      </w:r>
      <w:bookmarkStart w:id="101" w:name="OLE_LINK6"/>
      <w:r>
        <w:rPr>
          <w:rFonts w:hint="eastAsia" w:ascii="宋体" w:hAnsi="宋体" w:eastAsia="宋体" w:cs="宋体"/>
          <w:szCs w:val="21"/>
          <w:highlight w:val="none"/>
          <w:u w:val="single"/>
        </w:rPr>
        <w:t xml:space="preserve">大丰麋鹿保护区</w:t>
      </w:r>
      <w:bookmarkEnd w:id="101"/>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u w:val="singl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（3）</w:t>
      </w:r>
      <w:r>
        <w:rPr>
          <w:rFonts w:hint="eastAsia" w:ascii="宋体" w:hAnsi="宋体" w:eastAsia="宋体" w:cs="宋体"/>
          <w:szCs w:val="21"/>
          <w:highlight w:val="none"/>
        </w:rPr>
        <w:t xml:space="preserve">履约担保：是否收取履约保证金：</w:t>
      </w:r>
      <w:r>
        <w:rPr>
          <w:rFonts w:ascii="Segoe UI Symbol" w:hAnsi="Segoe UI Symbol" w:eastAsia="宋体" w:cs="Segoe UI Symbol"/>
          <w:bC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iCs/>
          <w:sz w:val="24"/>
          <w:highlight w:val="none"/>
        </w:rPr>
        <w:t xml:space="preserve"></w:t>
      </w:r>
      <w:r>
        <w:rPr>
          <w:rFonts w:hint="eastAsia" w:ascii="宋体" w:hAnsi="宋体" w:eastAsia="宋体" w:cs="宋体"/>
          <w:szCs w:val="21"/>
          <w:highlight w:val="none"/>
        </w:rPr>
        <w:t xml:space="preserve">否</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收取履约保证金形式：</w:t>
      </w:r>
      <w:r>
        <w:rPr>
          <w:rFonts w:hint="eastAsia" w:ascii="宋体" w:hAnsi="宋体" w:eastAsia="宋体" w:cs="宋体"/>
          <w:bCs/>
          <w:szCs w:val="21"/>
          <w:highlight w:val="none"/>
          <w:u w:val="single"/>
        </w:rPr>
        <w:t xml:space="preserve">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     收取履约保证金金额：</w:t>
      </w:r>
      <w:r>
        <w:rPr>
          <w:rFonts w:hint="eastAsia" w:ascii="宋体" w:hAnsi="宋体" w:eastAsia="宋体" w:cs="宋体"/>
          <w:bCs/>
          <w:szCs w:val="21"/>
          <w:highlight w:val="none"/>
          <w:u w:val="single"/>
        </w:rPr>
        <w:t xml:space="preserve">             10%              </w:t>
      </w:r>
      <w:r>
        <w:rPr>
          <w:rFonts w:hint="eastAsia" w:ascii="宋体" w:hAnsi="宋体" w:eastAsia="宋体" w:cs="宋体"/>
          <w:szCs w:val="21"/>
          <w:highlight w:val="none"/>
        </w:rPr>
      </w:r>
      <w:r/>
    </w:p>
    <w:p>
      <w:pPr>
        <w:pStyle w:val="638"/>
        <w:ind w:firstLine="480"/>
        <w:spacing w:line="400" w:lineRule="exact"/>
        <w:rPr>
          <w:rFonts w:hint="eastAsia" w:ascii="宋体" w:hAnsi="宋体" w:eastAsia="宋体" w:cs="宋体"/>
          <w:bCs/>
          <w:szCs w:val="21"/>
          <w:highlight w:val="none"/>
          <w:u w:val="single"/>
        </w:rPr>
      </w:pPr>
      <w:r>
        <w:rPr>
          <w:rFonts w:hint="eastAsia" w:ascii="宋体" w:hAnsi="宋体" w:eastAsia="宋体" w:cs="宋体"/>
          <w:szCs w:val="21"/>
          <w:highlight w:val="none"/>
        </w:rPr>
        <w:t xml:space="preserve">     履约担保期限：</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rPr>
      </w:r>
      <w:r/>
    </w:p>
    <w:p>
      <w:pPr>
        <w:pStyle w:val="638"/>
        <w:numPr>
          <w:ilvl w:val="0"/>
          <w:numId w:val="1"/>
        </w:numPr>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确需收取履约保证金的，履约保证金的缴纳形式：</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供应商应当以支票、汇票、本票或者金融机构、担保机构出具的保函等非现金形式提交履约保证金。保函需为见</w:t>
      </w:r>
      <w:r>
        <w:rPr>
          <w:rFonts w:hint="eastAsia" w:ascii="宋体" w:hAnsi="宋体" w:cs="宋体"/>
          <w:bCs/>
          <w:szCs w:val="21"/>
          <w:highlight w:val="none"/>
          <w:lang w:val="en-US" w:eastAsia="zh-CN"/>
        </w:rPr>
        <w:t xml:space="preserve">索</w:t>
      </w:r>
      <w:r>
        <w:rPr>
          <w:rFonts w:hint="eastAsia" w:ascii="宋体" w:hAnsi="宋体" w:eastAsia="宋体" w:cs="宋体"/>
          <w:bCs/>
          <w:szCs w:val="21"/>
          <w:highlight w:val="none"/>
        </w:rPr>
        <w:t xml:space="preserve">即付形式的保函。依据《关于在全省政府采购领域推行电子履约保函（保险）的通知》，鼓励供应商自愿使用电子履约保函（保险）代替缴纳履约保证金。乙方在收到中标通知书后，须在7日内向采购人足额提交履约担保，否则甲方有权取消其中标资格。</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如以履约保函（保险）形式缴纳履约保证金，供应商可通过政府采购电子履约保函（保险）平台（www.jsdzbh.com）在线申请履约保函（保险）。</w:t>
      </w:r>
      <w:r>
        <w:rPr>
          <w:rFonts w:hint="eastAsia" w:ascii="宋体" w:hAnsi="宋体" w:eastAsia="宋体" w:cs="宋体"/>
          <w:bCs/>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cs="宋体"/>
          <w:bCs/>
          <w:szCs w:val="21"/>
          <w:highlight w:val="none"/>
        </w:rPr>
        <w:t xml:space="preserve">（备注：履约保证金金额不得超过合同金额的10%，采购人应当对AA评级及以上政府采购供应商（需提供信用管理部门备案的第三方信用报告）降低履约保证金缴纳比例为5%。）</w:t>
      </w:r>
      <w:r>
        <w:rPr>
          <w:rFonts w:hint="eastAsia" w:ascii="宋体" w:hAnsi="宋体" w:eastAsia="宋体"/>
          <w:szCs w:val="21"/>
          <w:highlight w:val="none"/>
        </w:rPr>
      </w:r>
      <w:r/>
    </w:p>
    <w:p>
      <w:pPr>
        <w:pStyle w:val="638"/>
        <w:ind w:firstLine="480"/>
        <w:spacing w:line="400" w:lineRule="exact"/>
        <w:rPr>
          <w:rFonts w:hint="eastAsia" w:ascii="宋体" w:hAnsi="宋体" w:eastAsia="宋体" w:cs="宋体"/>
          <w:bCs/>
          <w:szCs w:val="21"/>
          <w:highlight w:val="none"/>
        </w:rPr>
      </w:pPr>
      <w:r/>
      <w:bookmarkStart w:id="102" w:name="OLE_LINK13"/>
      <w:r>
        <w:rPr>
          <w:rFonts w:hint="eastAsia" w:ascii="宋体" w:hAnsi="宋体" w:eastAsia="宋体" w:cs="宋体"/>
          <w:bCs/>
          <w:szCs w:val="21"/>
          <w:highlight w:val="none"/>
        </w:rPr>
        <w:t xml:space="preserve">（5）</w:t>
      </w:r>
      <w:bookmarkEnd w:id="102"/>
      <w:r>
        <w:rPr>
          <w:rFonts w:hint="eastAsia" w:ascii="宋体" w:hAnsi="宋体" w:eastAsia="宋体" w:cs="宋体"/>
          <w:bCs/>
          <w:szCs w:val="21"/>
          <w:highlight w:val="none"/>
        </w:rPr>
        <w:t xml:space="preserve">分期履行要求：</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638"/>
        <w:ind w:firstLine="480"/>
        <w:spacing w:line="40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（6）风险处置措施和替代方案：</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4.合同验收</w:t>
      </w:r>
      <w:r>
        <w:rPr>
          <w:rFonts w:hint="eastAsia" w:ascii="宋体" w:hAnsi="宋体" w:eastAsia="宋体"/>
          <w:b/>
          <w:szCs w:val="21"/>
          <w:highlight w:val="none"/>
        </w:rPr>
      </w:r>
      <w:r/>
    </w:p>
    <w:p>
      <w:pPr>
        <w:pStyle w:val="638"/>
        <w:numPr>
          <w:ilvl w:val="0"/>
          <w:numId w:val="2"/>
        </w:numPr>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验收组织方式：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自行组织 </w:t>
      </w:r>
      <w:r>
        <w:rPr>
          <w:rFonts w:ascii="宋体" w:hAnsi="宋体" w:eastAsia="宋体" w:cs="Wingdings"/>
          <w:szCs w:val="21"/>
          <w:highlight w:val="none"/>
        </w:rPr>
        <w:t xml:space="preserve"></w:t>
      </w:r>
      <w:r>
        <w:rPr>
          <w:rFonts w:hint="eastAsia" w:ascii="宋体" w:hAnsi="宋体" w:eastAsia="宋体"/>
          <w:bCs/>
          <w:szCs w:val="21"/>
          <w:highlight w:val="none"/>
        </w:rPr>
        <w:t xml:space="preserve">委托第三方组织</w:t>
      </w:r>
      <w:r>
        <w:rPr>
          <w:rFonts w:hint="eastAsia" w:ascii="宋体" w:hAnsi="宋体" w:eastAsia="宋体"/>
          <w:bCs/>
          <w:szCs w:val="21"/>
          <w:highlight w:val="none"/>
        </w:rPr>
      </w:r>
      <w:r/>
    </w:p>
    <w:p>
      <w:pPr>
        <w:pStyle w:val="638"/>
        <w:ind w:firstLine="420"/>
        <w:spacing w:line="400" w:lineRule="exact"/>
        <w:rPr>
          <w:rFonts w:hint="eastAsia" w:ascii="宋体" w:hAnsi="宋体" w:eastAsia="宋体" w:cs="宋体"/>
          <w:szCs w:val="21"/>
          <w:highlight w:val="none"/>
        </w:rPr>
      </w:pPr>
      <w:r>
        <w:rPr>
          <w:rFonts w:hint="eastAsia" w:ascii="宋体" w:hAnsi="宋体" w:eastAsia="宋体"/>
          <w:bCs/>
          <w:szCs w:val="21"/>
          <w:highlight w:val="none"/>
        </w:rPr>
        <w:t xml:space="preserve">验收主体：</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u w:val="single"/>
        </w:rPr>
        <w:t xml:space="preserve">           采购人               </w:t>
      </w:r>
      <w:r>
        <w:rPr>
          <w:rFonts w:hint="eastAsia" w:ascii="宋体" w:hAnsi="宋体" w:eastAsia="宋体" w:cs="宋体"/>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是否邀请本项目的其他供应商参加验收：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是否邀请专家参加验收：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是否邀请服务对象参加验收：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是否邀请第三方检测机构参加验收：</w:t>
      </w:r>
      <w:r>
        <w:rPr>
          <w:rFonts w:ascii="宋体" w:hAnsi="宋体" w:eastAsia="宋体" w:cs="Wingding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是否进行抽查检测：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是  </w:t>
      </w:r>
      <w:r>
        <w:rPr>
          <w:rFonts w:ascii="宋体" w:hAnsi="宋体" w:eastAsia="宋体" w:cs="Wingdings"/>
          <w:szCs w:val="21"/>
          <w:highlight w:val="none"/>
        </w:rPr>
        <w:t xml:space="preserve"></w:t>
      </w:r>
      <w:r>
        <w:rPr>
          <w:rFonts w:hint="eastAsia" w:ascii="宋体" w:hAnsi="宋体" w:eastAsia="宋体"/>
          <w:bCs/>
          <w:szCs w:val="21"/>
          <w:highlight w:val="none"/>
        </w:rPr>
        <w:t xml:space="preserve">否  抽查比例：</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是否存在破坏性检测：</w:t>
      </w:r>
      <w:r>
        <w:rPr>
          <w:rFonts w:ascii="宋体" w:hAnsi="宋体" w:eastAsia="宋体" w:cs="Wingdings"/>
          <w:szCs w:val="21"/>
          <w:highlight w:val="none"/>
        </w:rPr>
        <w:t xml:space="preserve"></w:t>
      </w:r>
      <w:r>
        <w:rPr>
          <w:rFonts w:hint="eastAsia" w:ascii="宋体" w:hAnsi="宋体" w:eastAsia="宋体"/>
          <w:bCs/>
          <w:szCs w:val="21"/>
          <w:highlight w:val="none"/>
        </w:rPr>
        <w:t xml:space="preserve">是，</w:t>
      </w:r>
      <w:bookmarkStart w:id="103" w:name="OLE_LINK17"/>
      <w:r>
        <w:rPr>
          <w:rFonts w:ascii="Segoe UI Symbol" w:hAnsi="Segoe UI Symbol" w:eastAsia="宋体" w:cs="Segoe UI Symbol"/>
          <w:bCs/>
          <w:szCs w:val="21"/>
          <w:highlight w:val="none"/>
        </w:rPr>
        <w:t xml:space="preserve">☑</w:t>
      </w:r>
      <w:bookmarkEnd w:id="103"/>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验收组织的其他事项：</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u w:val="single"/>
        </w:rPr>
      </w:pPr>
      <w:r>
        <w:rPr>
          <w:rFonts w:hint="eastAsia" w:ascii="宋体" w:hAnsi="宋体" w:eastAsia="宋体"/>
          <w:bCs/>
          <w:szCs w:val="21"/>
          <w:highlight w:val="none"/>
        </w:rPr>
        <w:t xml:space="preserve">（2）履约验收时间：</w:t>
      </w:r>
      <w:r>
        <w:rPr>
          <w:rFonts w:hint="eastAsia" w:ascii="宋体" w:hAnsi="宋体" w:eastAsia="宋体"/>
          <w:bCs/>
          <w:szCs w:val="21"/>
          <w:highlight w:val="none"/>
          <w:u w:val="single"/>
        </w:rPr>
        <w:t xml:space="preserve">乙方完成合同的全部内容后，按照合同要求密封发酵，满45天后，向甲方提交验收申请报告，由甲方项目负责人组织内部验收。</w:t>
      </w:r>
      <w:r>
        <w:rPr>
          <w:rFonts w:hint="eastAsia" w:ascii="宋体" w:hAnsi="宋体" w:eastAsia="宋体"/>
          <w:bCs/>
          <w:szCs w:val="21"/>
          <w:highlight w:val="none"/>
          <w:u w:val="singl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（3）履约验收方式：</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一次性验收</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ascii="宋体" w:hAnsi="宋体" w:eastAsia="宋体" w:cs="Wingdings"/>
          <w:szCs w:val="21"/>
          <w:highlight w:val="none"/>
        </w:rPr>
        <w:t xml:space="preserve"></w:t>
      </w:r>
      <w:r>
        <w:rPr>
          <w:rFonts w:hint="eastAsia" w:ascii="宋体" w:hAnsi="宋体" w:eastAsia="宋体"/>
          <w:bCs/>
          <w:szCs w:val="21"/>
          <w:highlight w:val="none"/>
        </w:rPr>
        <w:t xml:space="preserve">分期/分项验收：</w:t>
      </w:r>
      <w:r>
        <w:rPr>
          <w:rFonts w:hint="eastAsia" w:ascii="宋体" w:hAnsi="宋体" w:eastAsia="宋体"/>
          <w:bCs/>
          <w:szCs w:val="21"/>
          <w:highlight w:val="none"/>
          <w:u w:val="single"/>
        </w:rPr>
        <w:t xml:space="preserve">（应明确分期</w:t>
      </w:r>
      <w:r>
        <w:rPr>
          <w:rFonts w:ascii="宋体" w:hAnsi="宋体" w:eastAsia="宋体"/>
          <w:bCs/>
          <w:szCs w:val="21"/>
          <w:highlight w:val="none"/>
          <w:u w:val="single"/>
        </w:rPr>
        <w:t xml:space="preserve">/</w:t>
      </w:r>
      <w:r>
        <w:rPr>
          <w:rFonts w:hint="eastAsia" w:ascii="宋体" w:hAnsi="宋体" w:eastAsia="宋体"/>
          <w:bCs/>
          <w:szCs w:val="21"/>
          <w:highlight w:val="none"/>
          <w:u w:val="single"/>
        </w:rPr>
        <w:t xml:space="preserve">分项验收的工作安排）</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4）履约验收程序：启动收购前1-3天，甲方与乙方共同对称重磅称进行校验并书面确认。青贮颗粒散料到达保护区过磅点，由甲方、送货单位和送货驾驶员共同对过磅数量进行签字确认，并采样送检。拒收货物也要实行供货方、采购方、驾驶员三方签字，留存影像资料。招标人现场督查青贮颗粒散料堆积质量是否与合同要求一致。青贮饲料采购领导小组每天对青贮收购数量及质量进行核查。乙方完成了合同</w:t>
      </w:r>
      <w:r>
        <w:rPr>
          <w:rFonts w:hint="eastAsia" w:ascii="宋体" w:hAnsi="宋体" w:eastAsia="宋体"/>
          <w:bCs/>
          <w:szCs w:val="21"/>
          <w:highlight w:val="none"/>
        </w:rPr>
        <w:t xml:space="preserve">的全部内容后，按照合同要求密封发酵，满45天后，向甲方提交验收申请报告，由甲方项目负责人组织内部验收。验收的顺序是“先资料、后现场。”依据是国家相关法律、法规和本项目合同等。现场开窖时，现场取样送检，并验收密封发酵情况、有无霉变。之后，麋鹿试食一周后观察无异常反应。甲方在组织履约验收前，将根据项目特点制定验收方案，明确履约验收的时间、方式、程序等内容，并可根据项目特点对服务期内的实施情况进行分期考核，综合考核情况和服务效果进行验收。乙方应根据验收方案内容做好相应配合工作。（具体验收流程双方可视实际情况调整）</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（5）履约</w:t>
      </w:r>
      <w:r>
        <w:rPr>
          <w:rFonts w:hint="eastAsia" w:ascii="宋体" w:hAnsi="宋体" w:eastAsia="宋体"/>
          <w:bCs/>
          <w:szCs w:val="21"/>
          <w:highlight w:val="none"/>
        </w:rPr>
        <w:t xml:space="preserve">验收的内容：甲方成立验收小组（5人以上，包括项目负责人、青贮饲料采购领导小组成员、监督审查室人员、乙方项目负责人等），按照采购合同的约定对乙方的履约情况进行验收。验收时,甲方按照采购合同的约定对每一项技术、服务、安全标准的履约情况进行确认。项目验收统一执行《江苏省大丰麋鹿国家级自然保护区管理处项目验收单》，验收内容要写清楚，一目了然。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（6）履约验收标准：合格</w:t>
      </w:r>
      <w:r>
        <w:rPr>
          <w:rFonts w:hint="eastAsia" w:ascii="宋体" w:hAnsi="宋体" w:eastAsia="宋体"/>
          <w:bCs/>
          <w:szCs w:val="21"/>
          <w:highlight w:val="none"/>
        </w:rPr>
      </w:r>
      <w:r/>
    </w:p>
    <w:p>
      <w:pPr>
        <w:pStyle w:val="638"/>
        <w:ind w:firstLine="420"/>
        <w:jc w:val="left"/>
        <w:spacing w:line="400" w:lineRule="exact"/>
        <w:widowControl/>
        <w:rPr>
          <w:rFonts w:hint="eastAsia" w:ascii="宋体" w:hAnsi="宋体" w:eastAsia="宋体"/>
          <w:bCs/>
          <w:szCs w:val="21"/>
          <w:highlight w:val="none"/>
        </w:rPr>
      </w:pPr>
      <w:r>
        <w:rPr>
          <w:rFonts w:hint="eastAsia" w:ascii="宋体" w:hAnsi="宋体" w:eastAsia="宋体"/>
          <w:bCs/>
          <w:szCs w:val="21"/>
          <w:highlight w:val="none"/>
        </w:rPr>
        <w:t xml:space="preserve">（7）是否以采购活动中供应商提供的样品作为参考：</w:t>
      </w:r>
      <w:r>
        <w:rPr>
          <w:rFonts w:ascii="宋体" w:hAnsi="宋体" w:eastAsia="宋体"/>
          <w:bCs/>
          <w:szCs w:val="21"/>
          <w:highlight w:val="none"/>
        </w:rPr>
        <w:t xml:space="preserve"></w:t>
      </w:r>
      <w:r>
        <w:rPr>
          <w:rFonts w:hint="eastAsia" w:ascii="宋体" w:hAnsi="宋体" w:eastAsia="宋体"/>
          <w:bCs/>
          <w:szCs w:val="21"/>
          <w:highlight w:val="none"/>
        </w:rPr>
        <w:t xml:space="preserve">是  </w:t>
      </w:r>
      <w:r>
        <w:rPr>
          <w:rFonts w:ascii="Segoe UI Symbol" w:hAnsi="Segoe UI Symbol" w:eastAsia="宋体" w:cs="Segoe UI Symbol"/>
          <w:bCs/>
          <w:szCs w:val="21"/>
          <w:highlight w:val="none"/>
        </w:rPr>
        <w:t xml:space="preserve">☑</w:t>
      </w:r>
      <w:r>
        <w:rPr>
          <w:rFonts w:hint="eastAsia" w:ascii="宋体" w:hAnsi="宋体" w:eastAsia="宋体"/>
          <w:bCs/>
          <w:szCs w:val="21"/>
          <w:highlight w:val="none"/>
        </w:rPr>
        <w:t xml:space="preserve">否</w:t>
      </w:r>
      <w:r>
        <w:rPr>
          <w:rFonts w:hint="eastAsia" w:ascii="宋体" w:hAnsi="宋体" w:eastAsia="宋体"/>
          <w:bCs/>
          <w:szCs w:val="21"/>
          <w:highlight w:val="none"/>
        </w:rPr>
      </w:r>
      <w:r/>
    </w:p>
    <w:p>
      <w:pPr>
        <w:pStyle w:val="638"/>
        <w:ind w:firstLine="420"/>
        <w:spacing w:line="400" w:lineRule="exact"/>
        <w:rPr>
          <w:rFonts w:hint="eastAsia" w:ascii="宋体" w:hAnsi="宋体" w:eastAsia="宋体"/>
          <w:bCs/>
          <w:szCs w:val="21"/>
          <w:highlight w:val="none"/>
        </w:rPr>
      </w:pPr>
      <w:r>
        <w:rPr>
          <w:rFonts w:hint="eastAsia" w:ascii="宋体" w:hAnsi="宋体" w:eastAsia="宋体"/>
          <w:bCs/>
          <w:szCs w:val="21"/>
          <w:highlight w:val="none"/>
        </w:rPr>
        <w:t xml:space="preserve">（8）履约验收其他事项：</w:t>
      </w:r>
      <w:r>
        <w:rPr>
          <w:rFonts w:hint="eastAsia" w:ascii="宋体" w:hAnsi="宋体" w:eastAsia="宋体" w:cs="宋体"/>
          <w:bCs/>
          <w:szCs w:val="21"/>
          <w:highlight w:val="none"/>
          <w:u w:val="single"/>
        </w:rPr>
        <w:t xml:space="preserve">     /     </w:t>
      </w:r>
      <w:r>
        <w:rPr>
          <w:rFonts w:hint="eastAsia" w:ascii="宋体" w:hAnsi="宋体" w:eastAsia="宋体"/>
          <w:bCs/>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5.组成合同的文件</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本协议书与下列文件一起构成合同文件，如下述文件之间有任何抵触、矛盾或歧义，应按以下顺序解释：</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（1）政府采购合同协议书及其变更、补充协议</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（2）政府采购合同专用条款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（3）政府采购合同通用条款</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（4）中标（成交）通知书</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（5）投标（响应）文件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（6）采购文件</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（7）有关技术文件，图纸</w:t>
      </w:r>
      <w:r>
        <w:rPr>
          <w:rFonts w:hint="eastAsia" w:ascii="宋体" w:hAnsi="宋体" w:eastAsia="宋体"/>
          <w:szCs w:val="21"/>
          <w:highlight w:val="none"/>
        </w:rPr>
      </w:r>
      <w:r/>
    </w:p>
    <w:p>
      <w:pPr>
        <w:pStyle w:val="638"/>
        <w:ind w:firstLine="420"/>
        <w:spacing w:line="400" w:lineRule="exact"/>
        <w:rPr>
          <w:rFonts w:hint="eastAsia" w:ascii="宋体" w:hAnsi="宋体" w:eastAsia="宋体"/>
          <w:szCs w:val="21"/>
          <w:highlight w:val="none"/>
        </w:rPr>
      </w:pPr>
      <w:r>
        <w:rPr>
          <w:rFonts w:hint="eastAsia" w:ascii="宋体" w:hAnsi="宋体" w:eastAsia="宋体"/>
          <w:szCs w:val="21"/>
          <w:highlight w:val="none"/>
        </w:rPr>
        <w:t xml:space="preserve">（8）国家法律、行政法规和规章制度规定或合同约定的作为合同组成部分的其他文件</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6.合同生效</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本合同自</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日生效。</w:t>
      </w:r>
      <w:r>
        <w:rPr>
          <w:rFonts w:hint="eastAsia" w:ascii="宋体" w:hAnsi="宋体" w:eastAsia="宋体"/>
          <w:szCs w:val="21"/>
          <w:highlight w:val="none"/>
        </w:rPr>
      </w:r>
      <w:r/>
    </w:p>
    <w:p>
      <w:pPr>
        <w:pStyle w:val="638"/>
        <w:ind w:firstLine="422"/>
        <w:spacing w:line="400" w:lineRule="exact"/>
        <w:rPr>
          <w:rFonts w:hint="eastAsia" w:ascii="宋体" w:hAnsi="宋体" w:eastAsia="宋体"/>
          <w:b/>
          <w:szCs w:val="21"/>
          <w:highlight w:val="none"/>
        </w:rPr>
      </w:pPr>
      <w:r>
        <w:rPr>
          <w:rFonts w:hint="eastAsia" w:ascii="宋体" w:hAnsi="宋体" w:eastAsia="宋体"/>
          <w:b/>
          <w:szCs w:val="21"/>
          <w:highlight w:val="none"/>
        </w:rPr>
        <w:t xml:space="preserve">7.合同份数</w:t>
      </w:r>
      <w:r>
        <w:rPr>
          <w:rFonts w:hint="eastAsia" w:ascii="宋体" w:hAnsi="宋体" w:eastAsia="宋体"/>
          <w:b/>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本合同一式</w:t>
      </w:r>
      <w:r>
        <w:rPr>
          <w:rFonts w:hint="eastAsia" w:ascii="宋体" w:hAnsi="宋体" w:eastAsia="宋体"/>
          <w:szCs w:val="21"/>
          <w:highlight w:val="none"/>
          <w:u w:val="single"/>
        </w:rPr>
        <w:t xml:space="preserve"> 陆 </w:t>
      </w:r>
      <w:r>
        <w:rPr>
          <w:rFonts w:hint="eastAsia" w:ascii="宋体" w:hAnsi="宋体" w:eastAsia="宋体"/>
          <w:szCs w:val="21"/>
          <w:highlight w:val="none"/>
        </w:rPr>
        <w:t xml:space="preserve">份，甲方执</w:t>
      </w:r>
      <w:r>
        <w:rPr>
          <w:rFonts w:hint="eastAsia" w:ascii="宋体" w:hAnsi="宋体" w:eastAsia="宋体"/>
          <w:szCs w:val="21"/>
          <w:highlight w:val="none"/>
          <w:u w:val="single"/>
        </w:rPr>
        <w:t xml:space="preserve"> 肆 </w:t>
      </w:r>
      <w:r>
        <w:rPr>
          <w:rFonts w:hint="eastAsia" w:ascii="宋体" w:hAnsi="宋体" w:eastAsia="宋体"/>
          <w:szCs w:val="21"/>
          <w:highlight w:val="none"/>
        </w:rPr>
        <w:t xml:space="preserve">份，乙方执</w:t>
      </w:r>
      <w:r>
        <w:rPr>
          <w:rFonts w:hint="eastAsia" w:ascii="宋体" w:hAnsi="宋体" w:eastAsia="宋体"/>
          <w:szCs w:val="21"/>
          <w:highlight w:val="none"/>
          <w:u w:val="single"/>
        </w:rPr>
        <w:t xml:space="preserve"> 贰 </w:t>
      </w:r>
      <w:r>
        <w:rPr>
          <w:rFonts w:hint="eastAsia" w:ascii="宋体" w:hAnsi="宋体" w:eastAsia="宋体"/>
          <w:szCs w:val="21"/>
          <w:highlight w:val="none"/>
        </w:rPr>
        <w:t xml:space="preserve">份，均具有同等法律效力。</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合同订立时间：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年</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月</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日</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合同订立地点：</w:t>
      </w:r>
      <w:r>
        <w:rPr>
          <w:rFonts w:hint="eastAsia" w:ascii="宋体" w:hAnsi="宋体" w:eastAsia="宋体"/>
          <w:szCs w:val="21"/>
          <w:highlight w:val="none"/>
          <w:u w:val="single"/>
        </w:rPr>
        <w:t xml:space="preserve">                           </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t xml:space="preserve">附件：具体标的及其技术要求和商务要求、联合协议、分包意向协议等。</w:t>
      </w: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p>
      <w:pPr>
        <w:pStyle w:val="638"/>
        <w:ind w:firstLine="480"/>
        <w:spacing w:line="400" w:lineRule="exact"/>
        <w:rPr>
          <w:rFonts w:hint="eastAsia" w:ascii="宋体" w:hAnsi="宋体" w:eastAsia="宋体"/>
          <w:szCs w:val="21"/>
          <w:highlight w:val="none"/>
        </w:rPr>
      </w:pPr>
      <w:r>
        <w:rPr>
          <w:rFonts w:hint="eastAsia" w:ascii="宋体" w:hAnsi="宋体" w:eastAsia="宋体"/>
          <w:szCs w:val="21"/>
          <w:highlight w:val="none"/>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2375"/>
        <w:gridCol w:w="2056"/>
        <w:gridCol w:w="2551"/>
      </w:tblGrid>
      <w:tr>
        <w:trPr>
          <w:trHeight w:val="1125"/>
        </w:trPr>
        <w:tc>
          <w:tcPr>
            <w:gridSpan w:val="2"/>
            <w:tcW w:w="4340"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甲方</w:t>
            </w:r>
            <w:r>
              <w:rPr>
                <w:rFonts w:hint="eastAsia" w:ascii="宋体" w:hAnsi="宋体" w:eastAsia="宋体"/>
                <w:szCs w:val="21"/>
                <w:highlight w:val="none"/>
              </w:rPr>
              <w:t xml:space="preserve">（采购人、受采购人委托签订合同的单位或采购文件约定的合同甲方）</w:t>
            </w:r>
            <w:r>
              <w:rPr>
                <w:rFonts w:hint="eastAsia" w:ascii="宋体" w:hAnsi="宋体" w:eastAsia="宋体"/>
                <w:szCs w:val="21"/>
                <w:highlight w:val="none"/>
              </w:rPr>
            </w:r>
            <w:r/>
          </w:p>
        </w:tc>
        <w:tc>
          <w:tcPr>
            <w:gridSpan w:val="2"/>
            <w:tcW w:w="4607"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乙方</w:t>
            </w:r>
            <w:r>
              <w:rPr>
                <w:rFonts w:hint="eastAsia" w:ascii="宋体" w:hAnsi="宋体" w:eastAsia="宋体"/>
                <w:szCs w:val="21"/>
                <w:highlight w:val="none"/>
              </w:rPr>
              <w:t xml:space="preserve">（供应商）</w:t>
            </w:r>
            <w:r>
              <w:rPr>
                <w:rFonts w:hint="eastAsia" w:ascii="宋体" w:hAnsi="宋体" w:eastAsia="宋体"/>
                <w:szCs w:val="21"/>
                <w:highlight w:val="none"/>
              </w:rPr>
            </w:r>
            <w:r/>
          </w:p>
        </w:tc>
      </w:tr>
      <w:tr>
        <w:trPr>
          <w:trHeight w:val="1132"/>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单位名称</w:t>
            </w:r>
            <w:r>
              <w:rPr>
                <w:rFonts w:hint="eastAsia" w:ascii="宋体" w:hAnsi="宋体" w:eastAsia="宋体"/>
                <w:szCs w:val="21"/>
                <w:highlight w:val="none"/>
              </w:rPr>
              <w:t xml:space="preserve">（公章或合同章）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cantSplit/>
          <w:trHeight w:val="1416"/>
        </w:trPr>
        <w:tc>
          <w:tcPr>
            <w:tcW w:w="19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ind w:firstLine="115"/>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316" w:type="dxa"/>
            <w:vAlign w:val="center"/>
            <w:vMerge w:val="restart"/>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法定代表人</w:t>
            </w:r>
            <w:r>
              <w:rPr>
                <w:rFonts w:hint="eastAsia" w:ascii="宋体" w:hAnsi="宋体" w:eastAsia="宋体"/>
                <w:szCs w:val="21"/>
                <w:highlight w:val="none"/>
              </w:rPr>
            </w:r>
            <w:r/>
          </w:p>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或其</w:t>
            </w:r>
            <w:r>
              <w:rPr>
                <w:rFonts w:ascii="宋体" w:hAnsi="宋体" w:eastAsia="宋体"/>
                <w:szCs w:val="21"/>
                <w:highlight w:val="none"/>
              </w:rPr>
              <w:t xml:space="preserve">委托代理人</w:t>
            </w:r>
            <w:r>
              <w:rPr>
                <w:rFonts w:hint="eastAsia" w:ascii="宋体" w:hAnsi="宋体" w:eastAsia="宋体"/>
                <w:szCs w:val="21"/>
                <w:highlight w:val="none"/>
              </w:rPr>
              <w:t xml:space="preserve">（签章）</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r>
      <w:tr>
        <w:trPr>
          <w:cantSplit/>
          <w:trHeight w:val="483"/>
        </w:trPr>
        <w:tc>
          <w:tcPr>
            <w:tcW w:w="19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vMerge w:val="continue"/>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拥有者性别</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住所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 系 人</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联系电话</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通信地址</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邮政编码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电子邮箱</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t xml:space="preserve">统一社会信用代码</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开户名称</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开户银行</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483"/>
        </w:trPr>
        <w:tc>
          <w:tcPr>
            <w:tcW w:w="19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316" w:type="dxa"/>
            <w:vAlign w:val="center"/>
            <w:textDirection w:val="lrTb"/>
            <w:noWrap w:val="false"/>
          </w:tcPr>
          <w:p>
            <w:pPr>
              <w:pStyle w:val="638"/>
              <w:jc w:val="center"/>
              <w:spacing w:line="360" w:lineRule="auto"/>
              <w:rPr>
                <w:rFonts w:hint="eastAsia" w:ascii="宋体" w:hAnsi="宋体" w:eastAsia="宋体"/>
                <w:szCs w:val="21"/>
                <w:highlight w:val="none"/>
              </w:rPr>
            </w:pPr>
            <w:r>
              <w:rPr>
                <w:rFonts w:hint="eastAsia" w:ascii="宋体" w:hAnsi="宋体" w:eastAsia="宋体"/>
                <w:szCs w:val="21"/>
                <w:highlight w:val="none"/>
              </w:rPr>
            </w:r>
            <w:r/>
          </w:p>
        </w:tc>
        <w:tc>
          <w:tcPr>
            <w:tcW w:w="2005" w:type="dxa"/>
            <w:vAlign w:val="center"/>
            <w:textDirection w:val="lrTb"/>
            <w:noWrap w:val="false"/>
          </w:tcPr>
          <w:p>
            <w:pPr>
              <w:pStyle w:val="638"/>
              <w:jc w:val="center"/>
              <w:spacing w:line="360" w:lineRule="auto"/>
              <w:rPr>
                <w:rFonts w:hint="eastAsia" w:ascii="宋体" w:hAnsi="宋体" w:eastAsia="宋体"/>
                <w:szCs w:val="21"/>
                <w:highlight w:val="none"/>
              </w:rPr>
            </w:pPr>
            <w:r>
              <w:rPr>
                <w:rFonts w:ascii="宋体" w:hAnsi="宋体" w:eastAsia="宋体"/>
                <w:szCs w:val="21"/>
                <w:highlight w:val="none"/>
              </w:rPr>
              <w:t xml:space="preserve">银行账号</w:t>
            </w:r>
            <w:r>
              <w:rPr>
                <w:rFonts w:hint="eastAsia" w:ascii="宋体" w:hAnsi="宋体" w:eastAsia="宋体"/>
                <w:szCs w:val="21"/>
                <w:highlight w:val="none"/>
              </w:rPr>
            </w:r>
            <w:r/>
          </w:p>
        </w:tc>
        <w:tc>
          <w:tcPr>
            <w:tcW w:w="2486" w:type="dxa"/>
            <w:vAlign w:val="center"/>
            <w:textDirection w:val="lrTb"/>
            <w:noWrap w:val="false"/>
          </w:tcPr>
          <w:p>
            <w:pPr>
              <w:pStyle w:val="638"/>
              <w:jc w:val="center"/>
              <w:spacing w:line="360" w:lineRule="auto"/>
              <w:rPr>
                <w:rFonts w:hint="eastAsia" w:ascii="宋体" w:hAnsi="宋体" w:eastAsia="宋体"/>
                <w:spacing w:val="20"/>
                <w:szCs w:val="21"/>
                <w:highlight w:val="none"/>
              </w:rPr>
            </w:pPr>
            <w:r>
              <w:rPr>
                <w:rFonts w:hint="eastAsia" w:ascii="宋体" w:hAnsi="宋体" w:eastAsia="宋体"/>
                <w:spacing w:val="20"/>
                <w:szCs w:val="21"/>
                <w:highlight w:val="none"/>
              </w:rPr>
            </w:r>
            <w:r/>
          </w:p>
        </w:tc>
      </w:tr>
      <w:tr>
        <w:trPr>
          <w:trHeight w:val="586"/>
        </w:trPr>
        <w:tc>
          <w:tcPr>
            <w:gridSpan w:val="4"/>
            <w:tcW w:w="8947" w:type="dxa"/>
            <w:vAlign w:val="center"/>
            <w:textDirection w:val="lrTb"/>
            <w:noWrap w:val="false"/>
          </w:tcPr>
          <w:p>
            <w:pPr>
              <w:pStyle w:val="638"/>
              <w:jc w:val="left"/>
              <w:spacing w:line="360" w:lineRule="auto"/>
              <w:rPr>
                <w:rFonts w:hint="eastAsia" w:ascii="宋体" w:hAnsi="宋体" w:eastAsia="宋体"/>
                <w:spacing w:val="20"/>
                <w:szCs w:val="21"/>
                <w:highlight w:val="none"/>
              </w:rPr>
            </w:pPr>
            <w:r>
              <w:rPr>
                <w:rFonts w:hint="eastAsia" w:ascii="宋体" w:hAnsi="宋体" w:eastAsia="宋体"/>
                <w:szCs w:val="21"/>
                <w:highlight w:val="none"/>
              </w:rPr>
              <w:t xml:space="preserve">注：涉及联合体或其他合同主体的信息应按上表格式加列。</w:t>
            </w:r>
            <w:r>
              <w:rPr>
                <w:rFonts w:hint="eastAsia" w:ascii="宋体" w:hAnsi="宋体" w:eastAsia="宋体"/>
                <w:spacing w:val="20"/>
                <w:szCs w:val="21"/>
                <w:highlight w:val="none"/>
              </w:rPr>
            </w:r>
            <w:r/>
          </w:p>
        </w:tc>
      </w:tr>
    </w:tbl>
    <w:p>
      <w:pPr>
        <w:pStyle w:val="638"/>
        <w:jc w:val="center"/>
        <w:spacing w:line="400" w:lineRule="exact"/>
        <w:rPr>
          <w:rFonts w:hint="eastAsia" w:ascii="黑体" w:hAnsi="黑体" w:eastAsia="黑体"/>
          <w:sz w:val="28"/>
          <w:szCs w:val="28"/>
          <w:highlight w:val="none"/>
        </w:rPr>
      </w:pPr>
      <w:r>
        <w:rPr>
          <w:rFonts w:ascii="宋体" w:hAnsi="宋体"/>
          <w:highlight w:val="none"/>
          <w:u w:val="single"/>
        </w:rPr>
        <w:br w:type="page" w:clear="all"/>
      </w:r>
      <w:bookmarkStart w:id="104" w:name="_Toc27624"/>
      <w:r/>
      <w:bookmarkStart w:id="105" w:name="_Toc20313"/>
      <w:r>
        <w:rPr>
          <w:rFonts w:hint="eastAsia" w:ascii="黑体" w:hAnsi="黑体" w:eastAsia="黑体"/>
          <w:sz w:val="28"/>
          <w:szCs w:val="28"/>
          <w:highlight w:val="none"/>
        </w:rPr>
        <w:t xml:space="preserve">第二节 政府采购合同通用条款</w:t>
      </w:r>
      <w:bookmarkEnd w:id="104"/>
      <w:r>
        <w:rPr>
          <w:rFonts w:hint="eastAsia" w:ascii="黑体" w:hAnsi="黑体" w:eastAsia="黑体"/>
          <w:sz w:val="28"/>
          <w:szCs w:val="28"/>
          <w:highlight w:val="none"/>
        </w:rPr>
      </w:r>
      <w:r/>
    </w:p>
    <w:p>
      <w:pPr>
        <w:pStyle w:val="638"/>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1.1合同当事人</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hint="eastAsia" w:ascii="宋体" w:hAnsi="宋体"/>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包括软件）及相关的其备品备件、工具、手册及其他技术资料和材料等。</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tabs>
          <w:tab w:val="left" w:pos="570" w:leader="none"/>
          <w:tab w:val="left" w:pos="9240" w:leader="none"/>
          <w:tab w:val="left" w:pos="9555"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2. </w:t>
      </w:r>
      <w:r>
        <w:rPr>
          <w:rFonts w:hint="eastAsia" w:ascii="宋体" w:hAnsi="宋体"/>
          <w:b/>
          <w:bCs/>
          <w:color w:val="000000"/>
          <w:sz w:val="24"/>
          <w:highlight w:val="none"/>
        </w:rPr>
        <w:t xml:space="preserve">合同标的及金额</w:t>
      </w:r>
      <w:r>
        <w:rPr>
          <w:rFonts w:hint="eastAsia" w:ascii="宋体" w:hAnsi="宋体"/>
          <w:b/>
          <w:bCs/>
          <w:color w:val="000000"/>
          <w:szCs w:val="21"/>
          <w:highlight w:val="none"/>
        </w:rPr>
      </w:r>
      <w:r/>
    </w:p>
    <w:p>
      <w:pPr>
        <w:pStyle w:val="638"/>
        <w:ind w:firstLine="420"/>
        <w:jc w:val="left"/>
        <w:spacing w:line="400" w:lineRule="exact"/>
        <w:rPr>
          <w:rFonts w:hint="eastAsia"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2.1合同标的及金额应与中标（成交）结果一致。乙方为履行本合同而发生的所有费用均应包含在合同价款中，甲方不再另行支付其他任何费用。</w:t>
      </w:r>
      <w:r>
        <w:rPr>
          <w:rFonts w:hint="eastAsia" w:ascii="宋体" w:hAnsi="宋体"/>
          <w:b/>
          <w:bCs/>
          <w:i/>
          <w:iCs/>
          <w:color w:val="000000"/>
          <w:szCs w:val="21"/>
          <w:highlight w:val="none"/>
        </w:rPr>
      </w:r>
      <w:r/>
    </w:p>
    <w:p>
      <w:pPr>
        <w:pStyle w:val="638"/>
        <w:jc w:val="left"/>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hint="eastAsia" w:ascii="宋体" w:hAnsi="宋体"/>
          <w:b/>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4.3 甲方有权要求乙方对缺陷部分予以修复，并按合同约定享有货物保修及其他合同约定的权利。</w:t>
      </w:r>
      <w:r>
        <w:rPr>
          <w:rFonts w:hint="eastAsia" w:ascii="宋体" w:hAnsi="宋体"/>
          <w:color w:val="000000"/>
          <w:szCs w:val="21"/>
          <w:highlight w:val="none"/>
        </w:rPr>
      </w:r>
      <w:r/>
    </w:p>
    <w:p>
      <w:pPr>
        <w:pStyle w:val="638"/>
        <w:ind w:firstLine="420"/>
        <w:spacing w:line="400" w:lineRule="exact"/>
        <w:rPr>
          <w:rFonts w:eastAsia="华文楷体"/>
          <w:highlight w:val="none"/>
        </w:rPr>
      </w:pPr>
      <w:r>
        <w:rPr>
          <w:rFonts w:hint="eastAsia" w:ascii="宋体" w:hAnsi="宋体"/>
          <w:color w:val="000000"/>
          <w:szCs w:val="21"/>
          <w:highlight w:val="none"/>
        </w:rPr>
        <w:t xml:space="preserve">4.4甲方应当按照合同约定及时对交付的货物进行验收，</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5.1 签署合同后，乙方应确定项目负责人（或项目联系人），负责与本合同有关的事务。</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5.3乙方有权</w:t>
      </w:r>
      <w:r>
        <w:rPr>
          <w:rFonts w:hint="eastAsia" w:ascii="宋体" w:hAnsi="宋体" w:cs="宋体"/>
          <w:color w:val="000000"/>
          <w:szCs w:val="21"/>
          <w:highlight w:val="none"/>
        </w:rPr>
        <w:t xml:space="preserve">根据合同约定向甲方收取合同价款。</w:t>
      </w:r>
      <w:r>
        <w:rPr>
          <w:rFonts w:hint="eastAsia" w:ascii="宋体" w:hAnsi="宋体" w:cs="宋体"/>
          <w:color w:val="000000"/>
          <w:szCs w:val="21"/>
          <w:highlight w:val="none"/>
        </w:rPr>
      </w:r>
      <w:r/>
    </w:p>
    <w:p>
      <w:pPr>
        <w:pStyle w:val="661"/>
        <w:ind w:firstLine="370"/>
        <w:spacing w:after="0"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hint="eastAsia" w:ascii="宋体" w:hAnsi="宋体" w:cs="宋体"/>
          <w:color w:val="000000"/>
          <w:szCs w:val="21"/>
          <w:highlight w:val="none"/>
        </w:rPr>
      </w:r>
      <w:r/>
    </w:p>
    <w:p>
      <w:pPr>
        <w:pStyle w:val="638"/>
        <w:numPr>
          <w:ilvl w:val="0"/>
          <w:numId w:val="3"/>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 合同履行</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hint="eastAsia" w:ascii="宋体" w:hAnsi="宋体"/>
          <w:color w:val="000000"/>
          <w:szCs w:val="21"/>
          <w:highlight w:val="none"/>
        </w:rPr>
      </w:r>
      <w:r/>
    </w:p>
    <w:p>
      <w:pPr>
        <w:pStyle w:val="638"/>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hint="eastAsia" w:ascii="宋体" w:hAnsi="宋体"/>
          <w:color w:val="000000"/>
          <w:szCs w:val="21"/>
          <w:highlight w:val="none"/>
        </w:rPr>
      </w:r>
      <w:r/>
    </w:p>
    <w:p>
      <w:pPr>
        <w:pStyle w:val="907"/>
        <w:ind w:firstLine="420"/>
        <w:rPr>
          <w:rFonts w:hint="eastAsia"/>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sz w:val="21"/>
          <w:highlight w:val="none"/>
        </w:rPr>
      </w:r>
      <w:r/>
    </w:p>
    <w:p>
      <w:pPr>
        <w:pStyle w:val="638"/>
        <w:jc w:val="left"/>
        <w:spacing w:line="400" w:lineRule="exact"/>
        <w:rPr>
          <w:rFonts w:hint="eastAsia"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hint="eastAsia" w:ascii="宋体" w:hAnsi="宋体"/>
          <w:b/>
          <w:sz w:val="24"/>
          <w:highlight w:val="none"/>
        </w:rPr>
      </w:r>
      <w:r/>
    </w:p>
    <w:p>
      <w:pPr>
        <w:pStyle w:val="667"/>
        <w:ind w:firstLine="420"/>
        <w:jc w:val="left"/>
        <w:spacing w:line="400" w:lineRule="exact"/>
        <w:rPr>
          <w:rFonts w:hint="eastAsia" w:hAnsi="宋体"/>
          <w:b/>
          <w:highlight w:val="none"/>
        </w:rPr>
      </w:pPr>
      <w:r>
        <w:rPr>
          <w:rFonts w:hint="eastAsia" w:hAnsi="宋体"/>
          <w:highlight w:val="none"/>
        </w:rPr>
        <w:t xml:space="preserve">8.1 质量标准</w:t>
      </w:r>
      <w:r>
        <w:rPr>
          <w:rFonts w:hint="eastAsia" w:hAnsi="宋体"/>
          <w:b/>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66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rPr>
          <w:rFonts w:hint="eastAsia" w:hAnsi="宋体"/>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hint="eastAsia" w:ascii="宋体" w:hAnsi="宋体"/>
          <w:szCs w:val="21"/>
          <w:highlight w:val="none"/>
        </w:rPr>
      </w:r>
      <w:r/>
    </w:p>
    <w:p>
      <w:pPr>
        <w:pStyle w:val="638"/>
        <w:ind w:firstLine="420"/>
        <w:jc w:val="left"/>
        <w:spacing w:line="400" w:lineRule="exact"/>
        <w:rPr>
          <w:rFonts w:hint="eastAsia" w:ascii="宋体" w:hAnsi="宋体"/>
          <w:color w:val="000000"/>
          <w:szCs w:val="21"/>
          <w:highlight w:val="none"/>
        </w:rPr>
      </w:pPr>
      <w:r/>
      <w:bookmarkStart w:id="106" w:name="OLE_LINK8"/>
      <w:r/>
      <w:bookmarkStart w:id="107" w:name="OLE_LINK9"/>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bookmarkEnd w:id="106"/>
      <w:r/>
      <w:bookmarkEnd w:id="107"/>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hint="eastAsia" w:ascii="宋体" w:hAnsi="宋体"/>
          <w:szCs w:val="21"/>
          <w:highlight w:val="none"/>
        </w:rPr>
      </w:r>
      <w:r/>
    </w:p>
    <w:p>
      <w:pPr>
        <w:pStyle w:val="638"/>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638"/>
        <w:jc w:val="left"/>
        <w:spacing w:line="400" w:lineRule="exact"/>
        <w:rPr>
          <w:rFonts w:hint="eastAsia"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hint="eastAsia" w:ascii="宋体" w:hAnsi="宋体"/>
          <w:b/>
          <w:bCs/>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hint="eastAsia" w:ascii="宋体" w:hAnsi="宋体"/>
          <w:color w:val="000000"/>
          <w:szCs w:val="21"/>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9.3 如甲方使用上述货物</w:t>
      </w:r>
      <w:r>
        <w:rPr>
          <w:rFonts w:hint="eastAsia"/>
          <w:color w:val="000000"/>
          <w:highlight w:val="none"/>
        </w:rPr>
        <w:t xml:space="preserve">（包含与货物相关的工程和服务）</w:t>
      </w:r>
      <w:r>
        <w:rPr>
          <w:rFonts w:hint="eastAsia" w:ascii="宋体" w:hAnsi="宋体"/>
          <w:color w:val="000000"/>
          <w:szCs w:val="21"/>
          <w:highlight w:val="none"/>
        </w:rPr>
        <w:t xml:space="preserve">构成对第三人侵权的，则由乙方承担全部责任。</w:t>
      </w:r>
      <w:r>
        <w:rPr>
          <w:rFonts w:hint="eastAsia" w:ascii="宋体" w:hAnsi="宋体"/>
          <w:color w:val="000000"/>
          <w:szCs w:val="21"/>
          <w:highlight w:val="none"/>
        </w:rPr>
      </w:r>
      <w:r/>
    </w:p>
    <w:p>
      <w:pPr>
        <w:pStyle w:val="638"/>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10. 知识产权保护</w:t>
      </w:r>
      <w:r>
        <w:rPr>
          <w:rFonts w:hint="eastAsia" w:ascii="宋体" w:hAnsi="宋体"/>
          <w:b/>
          <w:bCs/>
          <w:color w:val="000000"/>
          <w:sz w:val="24"/>
          <w:highlight w:val="none"/>
        </w:rPr>
      </w:r>
      <w:r/>
    </w:p>
    <w:p>
      <w:pPr>
        <w:pStyle w:val="638"/>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108" w:name="_Hlk163047038"/>
      <w:r>
        <w:rPr>
          <w:rFonts w:hint="eastAsia" w:ascii="宋体" w:hAnsi="宋体"/>
          <w:color w:val="000000"/>
          <w:szCs w:val="21"/>
          <w:highlight w:val="none"/>
        </w:rPr>
        <w:t xml:space="preserve">因违反前述约定对第三人构成侵权的，应当由乙方向第三人承担法律责任；甲方依法向第三人赔偿后，有权向乙方追偿。甲方有其他损失的，乙方应当赔偿</w:t>
      </w:r>
      <w:bookmarkEnd w:id="108"/>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rPr>
          <w:rFonts w:hint="eastAsia" w:ascii="宋体" w:hAnsi="宋体"/>
          <w:b/>
          <w:bCs/>
          <w:sz w:val="24"/>
          <w:highlight w:val="none"/>
        </w:rPr>
      </w:r>
      <w:r/>
    </w:p>
    <w:p>
      <w:pPr>
        <w:pStyle w:val="638"/>
        <w:ind w:firstLine="420"/>
        <w:jc w:val="left"/>
        <w:spacing w:line="400" w:lineRule="exact"/>
        <w:rPr>
          <w:szCs w:val="15"/>
          <w:highlight w:val="none"/>
        </w:rPr>
      </w:pPr>
      <w:r>
        <w:rPr>
          <w:rFonts w:hint="eastAsia"/>
          <w:color w:val="000000"/>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b/>
          <w:bCs/>
          <w:szCs w:val="15"/>
          <w:highlight w:val="none"/>
        </w:rPr>
        <w:t xml:space="preserve">【</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w:t>
      </w:r>
      <w:r>
        <w:rPr>
          <w:rFonts w:hint="eastAsia"/>
          <w:color w:val="000000"/>
          <w:szCs w:val="21"/>
          <w:highlight w:val="none"/>
        </w:rPr>
        <w:t xml:space="preserve">约定。</w:t>
      </w:r>
      <w:r>
        <w:rPr>
          <w:szCs w:val="15"/>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w:t>
      </w:r>
      <w:r>
        <w:rPr>
          <w:rFonts w:hint="eastAsia" w:ascii="宋体" w:hAnsi="宋体"/>
          <w:szCs w:val="21"/>
          <w:highlight w:val="none"/>
        </w:rPr>
        <w:t xml:space="preserve">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rPr>
          <w:rFonts w:hint="eastAsia" w:ascii="宋体" w:hAnsi="宋体"/>
          <w:szCs w:val="21"/>
          <w:highlight w:val="none"/>
        </w:rPr>
      </w:r>
      <w:r/>
    </w:p>
    <w:p>
      <w:pPr>
        <w:pStyle w:val="661"/>
        <w:spacing w:after="0" w:line="400" w:lineRule="exact"/>
        <w:rPr>
          <w:rFonts w:hint="eastAsia" w:ascii="宋体" w:hAnsi="宋体"/>
          <w:b/>
          <w:bCs/>
          <w:sz w:val="24"/>
          <w:szCs w:val="24"/>
          <w:highlight w:val="none"/>
        </w:rPr>
      </w:pPr>
      <w:r>
        <w:rPr>
          <w:rFonts w:hint="eastAsia" w:ascii="宋体" w:hAnsi="宋体"/>
          <w:b/>
          <w:bCs/>
          <w:sz w:val="24"/>
          <w:szCs w:val="24"/>
          <w:highlight w:val="none"/>
        </w:rPr>
        <w:t xml:space="preserve">13. 履约保证金</w:t>
      </w:r>
      <w:r>
        <w:rPr>
          <w:rFonts w:hint="eastAsia" w:ascii="宋体" w:hAnsi="宋体"/>
          <w:b/>
          <w:bCs/>
          <w:sz w:val="24"/>
          <w:szCs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cs="宋体"/>
          <w:szCs w:val="15"/>
          <w:highlight w:val="yellow"/>
        </w:rPr>
        <w:t xml:space="preserve">保函需为见索即付形式的保函。</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638"/>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638"/>
        <w:jc w:val="left"/>
        <w:spacing w:line="400" w:lineRule="exact"/>
        <w:rPr>
          <w:rFonts w:hint="eastAsia"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90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rPr>
          <w:rFonts w:hint="eastAsia" w:ascii="宋体" w:hAnsi="宋体"/>
          <w:bCs/>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hint="eastAsia" w:ascii="宋体" w:hAnsi="宋体"/>
          <w:szCs w:val="21"/>
          <w:highlight w:val="none"/>
        </w:rPr>
      </w:r>
      <w:r/>
    </w:p>
    <w:p>
      <w:pPr>
        <w:pStyle w:val="638"/>
        <w:numPr>
          <w:ilvl w:val="0"/>
          <w:numId w:val="4"/>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rPr>
          <w:rFonts w:hint="eastAsia" w:ascii="宋体" w:hAnsi="宋体"/>
          <w:b/>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16.1 合同的变更</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16.2 合同的中止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highlight w:val="none"/>
        </w:rPr>
      </w:r>
      <w:r/>
    </w:p>
    <w:p>
      <w:pPr>
        <w:pStyle w:val="638"/>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16.3 合同的终止</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rPr>
          <w:rFonts w:hint="eastAsia" w:ascii="宋体" w:hAnsi="宋体"/>
          <w:szCs w:val="21"/>
          <w:highlight w:val="none"/>
        </w:rPr>
      </w:r>
      <w:r/>
    </w:p>
    <w:p>
      <w:pPr>
        <w:pStyle w:val="638"/>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90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907"/>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rPr>
          <w:rFonts w:hint="eastAsia" w:ascii="宋体" w:hAnsi="宋体"/>
          <w:b/>
          <w:bCs/>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highlight w:val="none"/>
        </w:rPr>
      </w:r>
      <w:r/>
    </w:p>
    <w:p>
      <w:pPr>
        <w:pStyle w:val="638"/>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638"/>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rPr>
          <w:rFonts w:hint="eastAsia" w:ascii="宋体" w:hAnsi="宋体"/>
          <w:sz w:val="24"/>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hint="eastAsia" w:ascii="宋体" w:hAnsi="宋体"/>
          <w:szCs w:val="21"/>
          <w:highlight w:val="none"/>
        </w:rPr>
      </w:r>
      <w:r/>
    </w:p>
    <w:p>
      <w:pPr>
        <w:pStyle w:val="661"/>
        <w:ind w:firstLine="420"/>
        <w:spacing w:after="0" w:line="400" w:lineRule="exact"/>
        <w:rPr>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638"/>
        <w:jc w:val="left"/>
        <w:spacing w:line="400" w:lineRule="exact"/>
        <w:rPr>
          <w:rFonts w:hint="eastAsia" w:ascii="宋体" w:hAnsi="宋体"/>
          <w:b/>
          <w:sz w:val="24"/>
          <w:highlight w:val="none"/>
        </w:rPr>
      </w:pPr>
      <w:r>
        <w:rPr>
          <w:rFonts w:hint="eastAsia" w:ascii="宋体" w:hAnsi="宋体"/>
          <w:b/>
          <w:sz w:val="24"/>
          <w:highlight w:val="none"/>
        </w:rPr>
        <w:t xml:space="preserve">22. 通知</w:t>
      </w:r>
      <w:r>
        <w:rPr>
          <w:rFonts w:hint="eastAsia" w:ascii="宋体" w:hAnsi="宋体"/>
          <w:b/>
          <w:sz w:val="24"/>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90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rPr>
          <w:rFonts w:hint="eastAsia" w:ascii="宋体" w:hAnsi="宋体"/>
          <w:szCs w:val="21"/>
          <w:highlight w:val="none"/>
        </w:rPr>
      </w:r>
      <w:r/>
    </w:p>
    <w:p>
      <w:pPr>
        <w:pStyle w:val="638"/>
        <w:ind w:firstLine="420"/>
        <w:jc w:val="left"/>
        <w:spacing w:line="400" w:lineRule="exact"/>
        <w:rPr>
          <w:rFonts w:hint="eastAsia"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rPr>
          <w:rFonts w:hint="eastAsia" w:ascii="宋体" w:hAnsi="宋体"/>
          <w:szCs w:val="21"/>
          <w:highlight w:val="none"/>
        </w:rPr>
      </w:r>
      <w:r/>
    </w:p>
    <w:p>
      <w:pPr>
        <w:pStyle w:val="638"/>
        <w:numPr>
          <w:ilvl w:val="0"/>
          <w:numId w:val="5"/>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rPr>
          <w:rFonts w:hint="eastAsia" w:ascii="宋体" w:hAnsi="宋体"/>
          <w:b/>
          <w:bCs/>
          <w:sz w:val="24"/>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23.2 合同附件与合同正文具有同等的法律效力。</w:t>
      </w: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ind w:firstLine="420"/>
        <w:jc w:val="left"/>
        <w:spacing w:line="400" w:lineRule="exact"/>
        <w:rPr>
          <w:rFonts w:hint="eastAsia" w:ascii="宋体" w:hAnsi="宋体"/>
          <w:bCs/>
          <w:szCs w:val="21"/>
          <w:highlight w:val="none"/>
        </w:rPr>
      </w:pPr>
      <w:r>
        <w:rPr>
          <w:rFonts w:hint="eastAsia" w:ascii="宋体" w:hAnsi="宋体"/>
          <w:bCs/>
          <w:szCs w:val="21"/>
          <w:highlight w:val="none"/>
        </w:rPr>
      </w:r>
      <w:r/>
    </w:p>
    <w:p>
      <w:pPr>
        <w:pStyle w:val="638"/>
        <w:rPr>
          <w:highlight w:val="none"/>
        </w:rPr>
      </w:pPr>
      <w:r>
        <w:rPr>
          <w:highlight w:val="none"/>
        </w:rPr>
      </w:r>
      <w:r/>
    </w:p>
    <w:p>
      <w:pPr>
        <w:pStyle w:val="638"/>
        <w:rPr>
          <w:highlight w:val="none"/>
        </w:rPr>
      </w:pPr>
      <w:r>
        <w:rPr>
          <w:highlight w:val="none"/>
        </w:rPr>
      </w:r>
      <w:r/>
    </w:p>
    <w:p>
      <w:pPr>
        <w:pStyle w:val="638"/>
        <w:rPr>
          <w:highlight w:val="none"/>
        </w:rPr>
      </w:pPr>
      <w:r>
        <w:rPr>
          <w:highlight w:val="none"/>
        </w:rPr>
      </w:r>
      <w:r/>
    </w:p>
    <w:p>
      <w:pPr>
        <w:pStyle w:val="638"/>
        <w:jc w:val="center"/>
        <w:keepLines/>
        <w:keepNext/>
        <w:spacing w:line="360" w:lineRule="auto"/>
        <w:rPr>
          <w:highlight w:val="none"/>
        </w:rPr>
        <w:outlineLvl w:val="1"/>
      </w:pPr>
      <w:r>
        <w:rPr>
          <w:rFonts w:hint="eastAsia" w:ascii="黑体" w:hAnsi="华文中宋" w:eastAsia="黑体"/>
          <w:sz w:val="24"/>
          <w:highlight w:val="none"/>
        </w:rPr>
        <w:t xml:space="preserve">第三节 政府采购合同专用条款</w:t>
      </w:r>
      <w:bookmarkEnd w:id="105"/>
      <w:r>
        <w:rPr>
          <w:highlight w:val="none"/>
        </w:rPr>
      </w:r>
      <w:r/>
    </w:p>
    <w:tbl>
      <w:tblPr>
        <w:tblW w:w="9073" w:type="dxa"/>
        <w:tblInd w:w="-25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5812"/>
      </w:tblGrid>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联合体具体要求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0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第1.2（7）项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其他术语解释</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履约验收中甲方提出异议或作出说明的期限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十五个工作日内</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第4.6款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约定甲方承担的其他义务和责任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约定乙方承担的其他义务和责任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同合同通用条款</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第6.1款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履行合同义务的顺序</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同协议书</w:t>
            </w:r>
            <w:r>
              <w:rPr>
                <w:rFonts w:hint="eastAsia" w:ascii="宋体" w:hAnsi="宋体" w:eastAsia="宋体"/>
                <w:szCs w:val="21"/>
                <w:highlight w:val="none"/>
              </w:rPr>
            </w:r>
            <w:r/>
          </w:p>
        </w:tc>
      </w:tr>
      <w:tr>
        <w:trPr>
          <w:cantSplit/>
          <w:trHeight w:val="667"/>
        </w:trPr>
        <w:tc>
          <w:tcPr>
            <w:tcW w:w="1560" w:type="dxa"/>
            <w:vAlign w:val="center"/>
            <w:vMerge w:val="restart"/>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包装特殊要求</w:t>
            </w:r>
            <w:r>
              <w:rPr>
                <w:rFonts w:hint="eastAsia" w:ascii="宋体" w:hAnsi="宋体" w:eastAsia="宋体"/>
                <w:szCs w:val="21"/>
                <w:highlight w:val="none"/>
              </w:rPr>
            </w:r>
            <w:r/>
          </w:p>
        </w:tc>
        <w:tc>
          <w:tcPr>
            <w:tcW w:w="5812" w:type="dxa"/>
            <w:vAlign w:val="center"/>
            <w:textDirection w:val="lrTb"/>
            <w:noWrap w:val="false"/>
          </w:tcPr>
          <w:p>
            <w:pPr>
              <w:pStyle w:val="638"/>
              <w:rPr>
                <w:rFonts w:ascii="宋体" w:hAnsi="宋体" w:eastAsia="宋体"/>
                <w:szCs w:val="21"/>
                <w:highlight w:val="none"/>
                <w:lang w:val="en-US" w:eastAsia="zh-CN"/>
              </w:rPr>
            </w:pPr>
            <w:r>
              <w:rPr>
                <w:rFonts w:hint="eastAsia" w:ascii="宋体" w:hAnsi="宋体"/>
                <w:szCs w:val="21"/>
                <w:highlight w:val="none"/>
                <w:lang w:val="en-US" w:eastAsia="zh-CN"/>
              </w:rPr>
              <w:t xml:space="preserve">见采购需求</w:t>
            </w:r>
            <w:r>
              <w:rPr>
                <w:rFonts w:ascii="宋体" w:hAnsi="宋体" w:eastAsia="宋体"/>
                <w:szCs w:val="21"/>
                <w:highlight w:val="none"/>
                <w:lang w:val="en-US" w:eastAsia="zh-CN"/>
              </w:rPr>
            </w:r>
            <w:r/>
          </w:p>
        </w:tc>
      </w:tr>
      <w:tr>
        <w:trPr>
          <w:cantSplit/>
          <w:trHeight w:val="667"/>
        </w:trPr>
        <w:tc>
          <w:tcPr>
            <w:tcW w:w="1560" w:type="dxa"/>
            <w:vAlign w:val="center"/>
            <w:vMerge w:val="continue"/>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指定现场</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7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运输特殊要求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1.乙方负责将玉米散料运送至保护区指定位置，运输车必须带有自卸功能。运输车使用前须进行彻底清洗、消毒。玉米散料运输过程中不得超载、停留，车厢用篷布遮盖，保持整洁。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rPr>
                <w:rFonts w:hint="eastAsia"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货物验收合格、交付使用并提供所需单据的日期视为交付日期。</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3</w:t>
            </w:r>
            <w:r>
              <w:rPr>
                <w:rFonts w:hint="eastAsia" w:ascii="宋体" w:hAnsi="宋体" w:eastAsia="宋体"/>
                <w:szCs w:val="21"/>
                <w:highlight w:val="none"/>
              </w:rPr>
              <w:t xml:space="preserve">.乙方在货物发运手续办理完毕后24小时内或货到48小时前通知甲方，以准备接货。（具体时间根据双方实际需求调整）</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4</w:t>
            </w:r>
            <w:r>
              <w:rPr>
                <w:rFonts w:hint="eastAsia" w:ascii="宋体" w:hAnsi="宋体" w:eastAsia="宋体"/>
                <w:szCs w:val="21"/>
                <w:highlight w:val="none"/>
              </w:rPr>
              <w:t xml:space="preserve">.乙方装运的货物不应超过合同规定的数量或重量。乙方应对超交数量或超重而产生的一切后果负责。</w:t>
            </w:r>
            <w:r>
              <w:rPr>
                <w:rFonts w:hint="eastAsia" w:ascii="宋体" w:hAnsi="宋体" w:eastAsia="宋体"/>
                <w:szCs w:val="21"/>
                <w:highlight w:val="none"/>
              </w:rPr>
            </w:r>
            <w:r/>
          </w:p>
          <w:p>
            <w:pPr>
              <w:pStyle w:val="638"/>
              <w:rPr>
                <w:rFonts w:hint="eastAsia" w:ascii="宋体" w:hAnsi="宋体" w:eastAsia="宋体"/>
                <w:szCs w:val="21"/>
                <w:highlight w:val="none"/>
              </w:rPr>
            </w:pPr>
            <w:r>
              <w:rPr>
                <w:rFonts w:ascii="宋体" w:hAnsi="宋体" w:eastAsia="宋体"/>
                <w:szCs w:val="21"/>
                <w:highlight w:val="none"/>
              </w:rPr>
              <w:t xml:space="preserve">5</w:t>
            </w:r>
            <w:r>
              <w:rPr>
                <w:rFonts w:hint="eastAsia" w:ascii="宋体" w:hAnsi="宋体" w:eastAsia="宋体"/>
                <w:szCs w:val="21"/>
                <w:highlight w:val="none"/>
              </w:rPr>
              <w:t xml:space="preserve">.货物在交付甲方前发生的风险均由乙方负责。</w:t>
            </w:r>
            <w:r>
              <w:rPr>
                <w:rFonts w:hint="eastAsia" w:ascii="宋体" w:hAnsi="宋体" w:eastAsia="宋体"/>
                <w:szCs w:val="21"/>
                <w:highlight w:val="none"/>
              </w:rPr>
            </w:r>
            <w:r/>
          </w:p>
        </w:tc>
      </w:tr>
      <w:tr>
        <w:trPr>
          <w:trHeight w:val="66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第7.3款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保险要求</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ascii="宋体" w:hAnsi="宋体" w:eastAsia="宋体"/>
                <w:szCs w:val="21"/>
                <w:highlight w:val="none"/>
              </w:rPr>
              <w:t xml:space="preserve">货物交</w:t>
            </w:r>
            <w:r>
              <w:rPr>
                <w:rFonts w:hint="eastAsia" w:ascii="宋体" w:hAnsi="宋体" w:eastAsia="宋体"/>
                <w:szCs w:val="21"/>
                <w:highlight w:val="none"/>
              </w:rPr>
              <w:t xml:space="preserve">付</w:t>
            </w:r>
            <w:r>
              <w:rPr>
                <w:rFonts w:ascii="宋体" w:hAnsi="宋体" w:eastAsia="宋体"/>
                <w:szCs w:val="21"/>
                <w:highlight w:val="none"/>
              </w:rPr>
              <w:t xml:space="preserve">前由乙方承担保险义务</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第8.2（1）项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质量保证期</w:t>
            </w:r>
            <w:r>
              <w:rPr>
                <w:rFonts w:hint="eastAsia" w:ascii="宋体" w:hAnsi="宋体" w:eastAsia="宋体"/>
                <w:szCs w:val="21"/>
                <w:highlight w:val="none"/>
              </w:rPr>
            </w:r>
            <w:r/>
          </w:p>
        </w:tc>
        <w:tc>
          <w:tcPr>
            <w:tcW w:w="5812"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青贮饲料开仓使用6个月。</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第8.2（3）项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货物质量缺陷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响应时间</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如在使用过程中发生质量问题，</w:t>
            </w:r>
            <w:r>
              <w:rPr>
                <w:rFonts w:ascii="宋体" w:hAnsi="宋体" w:eastAsia="宋体"/>
                <w:szCs w:val="21"/>
                <w:highlight w:val="none"/>
              </w:rPr>
              <w:t xml:space="preserve">乙方在接到甲方通知后</w:t>
            </w:r>
            <w:r>
              <w:rPr>
                <w:rFonts w:hint="eastAsia" w:ascii="宋体" w:hAnsi="宋体" w:eastAsia="宋体"/>
                <w:szCs w:val="21"/>
                <w:highlight w:val="none"/>
              </w:rPr>
              <w:t xml:space="preserve">2小时响应，</w:t>
            </w:r>
            <w:r>
              <w:rPr>
                <w:rFonts w:ascii="宋体" w:hAnsi="宋体" w:eastAsia="宋体"/>
                <w:szCs w:val="21"/>
                <w:highlight w:val="none"/>
              </w:rPr>
              <w:t xml:space="preserve">24小时内</w:t>
            </w:r>
            <w:r>
              <w:rPr>
                <w:rFonts w:hint="eastAsia" w:ascii="宋体" w:hAnsi="宋体" w:eastAsia="宋体"/>
                <w:szCs w:val="21"/>
                <w:highlight w:val="none"/>
              </w:rPr>
              <w:t xml:space="preserve">解决问题</w:t>
            </w:r>
            <w:r>
              <w:rPr>
                <w:rFonts w:ascii="宋体" w:hAnsi="宋体" w:eastAsia="宋体"/>
                <w:szCs w:val="21"/>
                <w:highlight w:val="none"/>
              </w:rPr>
              <w:t xml:space="preserve">。</w:t>
            </w:r>
            <w:r>
              <w:rPr>
                <w:rFonts w:hint="eastAsia" w:ascii="宋体" w:hAnsi="宋体" w:eastAsia="宋体"/>
                <w:szCs w:val="21"/>
                <w:highlight w:val="none"/>
              </w:rPr>
            </w:r>
            <w:r/>
          </w:p>
        </w:tc>
      </w:tr>
      <w:tr>
        <w:trPr>
          <w:trHeight w:val="411"/>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第8款补充</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质量保证要求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w:t>
            </w:r>
            <w:r>
              <w:rPr>
                <w:rFonts w:hint="eastAsia" w:ascii="宋体" w:hAnsi="宋体" w:eastAsia="宋体"/>
                <w:szCs w:val="21"/>
                <w:highlight w:val="none"/>
              </w:rPr>
              <w:t xml:space="preserve">领导小组每车随机取样一把（约20克），当日所有样品混合后，随机取样2个送检。送检指标包括干物质、淀粉、粗蛋白等。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2</w:t>
            </w:r>
            <w:r>
              <w:rPr>
                <w:rFonts w:ascii="宋体" w:hAnsi="宋体" w:eastAsia="宋体"/>
                <w:szCs w:val="21"/>
                <w:highlight w:val="none"/>
              </w:rPr>
              <w:t xml:space="preserve">.</w:t>
            </w:r>
            <w:r>
              <w:rPr>
                <w:rFonts w:hint="eastAsia" w:ascii="宋体" w:hAnsi="宋体" w:eastAsia="宋体"/>
                <w:szCs w:val="21"/>
                <w:highlight w:val="none"/>
              </w:rPr>
              <w:t xml:space="preserve">45天后开池验收密封发酵情况，无霉变，麋鹿试食一周后无异常反应。送检指标为黄曲霉毒素、呕吐毒素、玉米赤霉烯酮、PH值等。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3</w:t>
            </w:r>
            <w:r>
              <w:rPr>
                <w:rFonts w:ascii="宋体" w:hAnsi="宋体" w:eastAsia="宋体"/>
                <w:szCs w:val="21"/>
                <w:highlight w:val="none"/>
              </w:rPr>
              <w:t xml:space="preserve">.</w:t>
            </w:r>
            <w:r>
              <w:rPr>
                <w:rFonts w:hint="eastAsia" w:ascii="宋体" w:hAnsi="宋体" w:eastAsia="宋体"/>
                <w:szCs w:val="21"/>
                <w:highlight w:val="none"/>
              </w:rPr>
              <w:t xml:space="preserve">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4</w:t>
            </w:r>
            <w:r>
              <w:rPr>
                <w:rFonts w:ascii="宋体" w:hAnsi="宋体" w:eastAsia="宋体"/>
                <w:szCs w:val="21"/>
                <w:highlight w:val="none"/>
              </w:rPr>
              <w:t xml:space="preserve">.</w:t>
            </w:r>
            <w:r>
              <w:rPr>
                <w:rFonts w:hint="eastAsia" w:ascii="宋体" w:hAnsi="宋体" w:eastAsia="宋体"/>
                <w:szCs w:val="21"/>
                <w:highlight w:val="none"/>
              </w:rPr>
              <w:t xml:space="preserve">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5</w:t>
            </w:r>
            <w:r>
              <w:rPr>
                <w:rFonts w:ascii="宋体" w:hAnsi="宋体" w:eastAsia="宋体"/>
                <w:szCs w:val="21"/>
                <w:highlight w:val="none"/>
              </w:rPr>
              <w:t xml:space="preserve">.</w:t>
            </w:r>
            <w:r>
              <w:rPr>
                <w:rFonts w:hint="eastAsia" w:ascii="宋体" w:hAnsi="宋体" w:eastAsia="宋体"/>
                <w:szCs w:val="21"/>
                <w:highlight w:val="none"/>
              </w:rPr>
              <w:t xml:space="preserve">计重要求：所有运输车辆到保护区分别按满车、退皮过磅计重，实施三方签字确认（保护区、供货方、驾驶员）。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6</w:t>
            </w:r>
            <w:r>
              <w:rPr>
                <w:rFonts w:ascii="宋体" w:hAnsi="宋体" w:eastAsia="宋体"/>
                <w:szCs w:val="21"/>
                <w:highlight w:val="none"/>
              </w:rPr>
              <w:t xml:space="preserve">.</w:t>
            </w:r>
            <w:r>
              <w:rPr>
                <w:rFonts w:hint="eastAsia" w:ascii="宋体" w:hAnsi="宋体" w:eastAsia="宋体"/>
                <w:szCs w:val="21"/>
                <w:highlight w:val="none"/>
              </w:rPr>
              <w:t xml:space="preserve">堆积及封窖要求：中标方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保护区提供。</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szCs w:val="21"/>
                <w:highlight w:val="none"/>
                <w:lang w:val="en-US" w:eastAsia="zh-CN"/>
              </w:rPr>
              <w:t xml:space="preserve">7</w:t>
            </w:r>
            <w:r>
              <w:rPr>
                <w:rFonts w:ascii="宋体" w:hAnsi="宋体" w:eastAsia="宋体"/>
                <w:szCs w:val="21"/>
                <w:highlight w:val="none"/>
              </w:rPr>
              <w:t xml:space="preserve">.</w:t>
            </w:r>
            <w:r>
              <w:rPr>
                <w:rFonts w:hint="eastAsia" w:ascii="宋体" w:hAnsi="宋体" w:eastAsia="宋体"/>
                <w:szCs w:val="21"/>
                <w:highlight w:val="none"/>
              </w:rPr>
              <w:t xml:space="preserve">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Cs w:val="21"/>
                <w:highlight w:val="yellow"/>
              </w:rPr>
              <w:t xml:space="preserve">含泥沙、石块、土块、树枝等杂物的，拒收。</w:t>
            </w:r>
            <w:r>
              <w:rPr>
                <w:rFonts w:hint="eastAsia" w:ascii="宋体" w:hAnsi="宋体" w:eastAsia="宋体"/>
                <w:szCs w:val="21"/>
                <w:highlight w:val="none"/>
              </w:rPr>
              <w:t xml:space="preserve">拒收货物要实行供货方、采购方、驾驶员三方签字,留存影像资料。</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cs="宋体"/>
                <w:szCs w:val="21"/>
                <w:highlight w:val="none"/>
              </w:rPr>
            </w:pPr>
            <w:r>
              <w:rPr>
                <w:rFonts w:hint="eastAsia" w:ascii="宋体" w:hAnsi="宋体" w:eastAsia="宋体" w:cs="宋体"/>
                <w:szCs w:val="21"/>
                <w:highlight w:val="none"/>
              </w:rPr>
              <w:t xml:space="preserve">第二节</w:t>
            </w:r>
            <w:r>
              <w:rPr>
                <w:rFonts w:hint="eastAsia" w:ascii="宋体" w:hAnsi="宋体" w:eastAsia="宋体" w:cs="宋体"/>
                <w:szCs w:val="21"/>
                <w:highlight w:val="none"/>
              </w:rPr>
            </w:r>
            <w:r/>
          </w:p>
          <w:p>
            <w:pPr>
              <w:pStyle w:val="638"/>
              <w:jc w:val="center"/>
              <w:spacing w:line="400" w:lineRule="exact"/>
              <w:widowControl/>
              <w:rPr>
                <w:rFonts w:hint="eastAsia" w:ascii="宋体" w:hAnsi="宋体" w:eastAsia="宋体" w:cs="华文楷体"/>
                <w:szCs w:val="21"/>
                <w:highlight w:val="none"/>
              </w:rPr>
            </w:pPr>
            <w:r>
              <w:rPr>
                <w:rFonts w:hint="eastAsia" w:ascii="宋体" w:hAnsi="宋体" w:eastAsia="宋体" w:cs="宋体"/>
                <w:szCs w:val="21"/>
                <w:highlight w:val="none"/>
              </w:rPr>
              <w:t xml:space="preserve">第11.1款</w:t>
            </w:r>
            <w:r>
              <w:rPr>
                <w:rFonts w:hint="eastAsia" w:ascii="宋体" w:hAnsi="宋体" w:eastAsia="宋体" w:cs="华文楷体"/>
                <w:szCs w:val="21"/>
                <w:highlight w:val="none"/>
              </w:rPr>
            </w:r>
            <w:r/>
          </w:p>
        </w:tc>
        <w:tc>
          <w:tcPr>
            <w:tcW w:w="1701" w:type="dxa"/>
            <w:vAlign w:val="center"/>
            <w:textDirection w:val="lrTb"/>
            <w:noWrap w:val="false"/>
          </w:tcPr>
          <w:p>
            <w:pPr>
              <w:pStyle w:val="638"/>
              <w:rPr>
                <w:rFonts w:hint="eastAsia" w:ascii="宋体" w:hAnsi="宋体" w:eastAsia="宋体"/>
                <w:szCs w:val="21"/>
                <w:highlight w:val="none"/>
              </w:rPr>
            </w:pPr>
            <w:r>
              <w:rPr>
                <w:rFonts w:hint="eastAsia" w:ascii="宋体" w:hAnsi="宋体" w:eastAsia="宋体"/>
                <w:szCs w:val="21"/>
                <w:highlight w:val="none"/>
              </w:rPr>
              <w:t xml:space="preserve">其他应当保密的信息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46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第12.2款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合同价款支付时间及要求</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bookmarkStart w:id="109" w:name="_Hlk197971953"/>
            <w:r>
              <w:rPr>
                <w:rFonts w:hint="eastAsia" w:ascii="宋体" w:hAnsi="宋体" w:eastAsia="宋体"/>
                <w:szCs w:val="21"/>
                <w:highlight w:val="none"/>
              </w:rPr>
              <w:t xml:space="preserve">付款方式：</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1.合同款项的支付方式及进度安排：</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（1）自合同签订生效之日起，具备机械、田块等收割条件，开始收割前，甲方向乙方支付合同总价的_</w:t>
            </w:r>
            <w:r>
              <w:rPr>
                <w:rFonts w:hint="eastAsia" w:ascii="宋体" w:hAnsi="宋体" w:eastAsia="宋体"/>
                <w:szCs w:val="21"/>
                <w:highlight w:val="none"/>
                <w:u w:val="single"/>
              </w:rPr>
              <w:t xml:space="preserve">30%</w:t>
            </w:r>
            <w:r>
              <w:rPr>
                <w:rFonts w:hint="eastAsia" w:ascii="宋体" w:hAnsi="宋体" w:eastAsia="宋体"/>
                <w:szCs w:val="21"/>
                <w:highlight w:val="none"/>
              </w:rPr>
              <w:t xml:space="preserve">_款项作为预付款；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w:t>
            </w:r>
            <w:bookmarkStart w:id="110" w:name="OLE_LINK28"/>
            <w:r/>
            <w:bookmarkStart w:id="111" w:name="OLE_LINK27"/>
            <w:r>
              <w:rPr>
                <w:rFonts w:hint="eastAsia" w:ascii="宋体" w:hAnsi="宋体" w:eastAsia="宋体"/>
                <w:szCs w:val="21"/>
                <w:highlight w:val="none"/>
              </w:rPr>
              <w:t xml:space="preserve">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w:t>
            </w:r>
            <w:r>
              <w:rPr>
                <w:rFonts w:hint="eastAsia" w:ascii="宋体" w:hAnsi="宋体" w:eastAsia="宋体"/>
                <w:szCs w:val="21"/>
                <w:highlight w:val="none"/>
              </w:rPr>
            </w:r>
            <w:r/>
          </w:p>
          <w:p>
            <w:pPr>
              <w:pStyle w:val="638"/>
              <w:jc w:val="left"/>
              <w:rPr>
                <w:rFonts w:hint="eastAsia" w:ascii="宋体" w:hAnsi="宋体" w:eastAsia="宋体"/>
                <w:szCs w:val="21"/>
                <w:highlight w:val="none"/>
              </w:rPr>
            </w:pPr>
            <w:r/>
            <w:bookmarkStart w:id="112" w:name="OLE_LINK36"/>
            <w:r>
              <w:rPr>
                <w:rFonts w:hint="eastAsia" w:ascii="宋体" w:hAnsi="宋体" w:eastAsia="宋体"/>
                <w:szCs w:val="21"/>
                <w:highlight w:val="none"/>
              </w:rPr>
              <w:t xml:space="preserve">（3）</w:t>
            </w:r>
            <w:bookmarkEnd w:id="110"/>
            <w:r/>
            <w:bookmarkEnd w:id="111"/>
            <w:r/>
            <w:bookmarkEnd w:id="112"/>
            <w:r>
              <w:rPr>
                <w:rFonts w:hint="eastAsia" w:ascii="宋体" w:hAnsi="宋体" w:eastAsia="宋体"/>
                <w:szCs w:val="21"/>
                <w:highlight w:val="none"/>
              </w:rPr>
              <w:t xml:space="preserve">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（注：具体验收流程双方可视实际情况调整，具体付款时间，以财政审核为准。）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2.当合同采购数量与实际使用数量不一致时，乙方应根据实际使用量供货，合同的最终结算金额按实际使用量乘以成交单价进行计算。</w:t>
            </w:r>
            <w:bookmarkEnd w:id="109"/>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Cs w:val="21"/>
                <w:highlight w:val="none"/>
              </w:rPr>
            </w:r>
            <w:r/>
          </w:p>
        </w:tc>
      </w:tr>
      <w:tr>
        <w:trPr>
          <w:trHeight w:val="697"/>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履约保证金不予退还的情形</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除不可抗力情况外，投标人出现下列情形之一的，其履约保证金，招标人将视情节决定不予退还或部分不予退还。</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1.中标人无正当理由拒绝签订合同的，或者在签订合同时向采购人提出附加条件或者更改合同实质性内容要求的；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2.中标人不履行与采购人订立的合同的；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3.中标人所供货物或服务不符合招标文件规定要求的；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4.中标人采取欺骗、弄虚作假方式投标的或与其它投标人串通投标的；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5.中标人将合同内容转包、违法分包的；</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6.中标人故意捏造事实或伪造证明材料，进行虚假恶意投诉或反映的。</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第13.3款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cs="宋体"/>
                <w:szCs w:val="21"/>
                <w:highlight w:val="none"/>
              </w:rPr>
            </w:pPr>
            <w:r>
              <w:rPr>
                <w:rFonts w:hint="eastAsia" w:ascii="宋体" w:hAnsi="宋体" w:eastAsia="宋体" w:cs="宋体"/>
                <w:szCs w:val="21"/>
                <w:highlight w:val="none"/>
              </w:rPr>
              <w:t xml:space="preserve">履约保证金退还时间及逾期退还的违约金</w:t>
            </w:r>
            <w:r>
              <w:rPr>
                <w:rFonts w:hint="eastAsia" w:ascii="宋体" w:hAnsi="宋体" w:eastAsia="宋体" w:cs="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1.合同履行结束后，甲方应及时退还交纳的履约保证金。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2.退还方式：无息退还至投标人缴纳履约保证金的账户。如为保函，在到期时自行失效。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3.退还时间：验收合格且甲方收到发票后30日内。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4.退还条件：收贮结束45天后，领导小组及供货方有关人员现场随机抽样验收青贮饲料，质量合格且饲喂麋鹿一个星期后无不良反映的，且甲方收到乙方出具的发票，无息返还履约保证金。</w:t>
            </w:r>
            <w:r>
              <w:rPr>
                <w:rFonts w:hint="eastAsia" w:ascii="宋体" w:hAnsi="宋体" w:eastAsia="宋体"/>
                <w:szCs w:val="21"/>
                <w:highlight w:val="none"/>
              </w:rPr>
            </w:r>
            <w:r/>
          </w:p>
          <w:p>
            <w:pPr>
              <w:pStyle w:val="638"/>
              <w:jc w:val="left"/>
              <w:rPr>
                <w:rFonts w:hint="eastAsia" w:ascii="宋体" w:hAnsi="宋体" w:eastAsia="宋体" w:cs="宋体"/>
                <w:szCs w:val="21"/>
                <w:highlight w:val="none"/>
              </w:rPr>
            </w:pPr>
            <w:r>
              <w:rPr>
                <w:rFonts w:hint="eastAsia" w:ascii="宋体" w:hAnsi="宋体" w:eastAsia="宋体"/>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Cs w:val="21"/>
                <w:highlight w:val="none"/>
              </w:rPr>
            </w:r>
            <w:r/>
          </w:p>
        </w:tc>
      </w:tr>
      <w:tr>
        <w:trPr>
          <w:trHeight w:val="648"/>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第14.1（3）项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运行监督、维修期限</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8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第14.1（5）项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货物回收的约定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694"/>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第14.1（6）项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乙方提供的其他服务</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修理、重作、更换相关具体规定</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1.详见合同通用条款8.2条款、合同专用条款第二节第8款补充条款及合同专用条款中索赔条款。</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szCs w:val="21"/>
                <w:highlight w:val="non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第15.2（2）项</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迟延交货赔偿费</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1.乙方应按照“开标（报价）一览表”中规定的交货期或承诺交货和提供服务，并交付甲方验收使用。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2.如果乙方无正当理由拖延交货，将受到以下制裁：加收误期赔偿或终止合同。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3.乙方逾期交付货物的，乙方应按逾期交货总额每日</w:t>
            </w:r>
            <w:r>
              <w:rPr>
                <w:rFonts w:hint="eastAsia" w:ascii="宋体" w:hAnsi="宋体" w:eastAsia="宋体"/>
                <w:szCs w:val="21"/>
                <w:highlight w:val="none"/>
                <w:u w:val="single"/>
              </w:rPr>
              <w:t xml:space="preserve">6‰</w:t>
            </w:r>
            <w:r>
              <w:rPr>
                <w:rFonts w:hint="eastAsia" w:ascii="宋体" w:hAnsi="宋体" w:eastAsia="宋体"/>
                <w:szCs w:val="21"/>
                <w:highlight w:val="none"/>
              </w:rPr>
              <w:t xml:space="preserve"> 向甲方支付违约金，由甲方从待付货款中扣除。逾期超过约定日期</w:t>
            </w:r>
            <w:r>
              <w:rPr>
                <w:rFonts w:hint="eastAsia" w:ascii="宋体" w:hAnsi="宋体" w:eastAsia="宋体"/>
                <w:szCs w:val="21"/>
                <w:highlight w:val="none"/>
                <w:u w:val="single"/>
              </w:rPr>
              <w:t xml:space="preserve">  10  </w:t>
            </w:r>
            <w:r>
              <w:rPr>
                <w:rFonts w:hint="eastAsia" w:ascii="宋体" w:hAnsi="宋体" w:eastAsia="宋体"/>
                <w:szCs w:val="21"/>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szCs w:val="21"/>
                <w:highlight w:val="none"/>
                <w:u w:val="single"/>
              </w:rPr>
              <w:t xml:space="preserve"> </w:t>
            </w:r>
            <w:r>
              <w:rPr>
                <w:rFonts w:ascii="宋体" w:hAnsi="宋体" w:cs="宋体"/>
                <w:sz w:val="24"/>
                <w:szCs w:val="20"/>
                <w:highlight w:val="none"/>
                <w:u w:val="single"/>
                <w:lang w:val="zh-CN"/>
              </w:rPr>
              <w:t xml:space="preserve">10</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的违约金，如造成甲方损失超过违约金的，超出部分由乙方继续承担赔偿责任。</w:t>
            </w:r>
            <w:r>
              <w:rPr>
                <w:rFonts w:hint="eastAsia" w:ascii="宋体" w:hAnsi="宋体" w:eastAsia="宋体"/>
                <w:szCs w:val="21"/>
                <w:highlight w:val="none"/>
              </w:rPr>
            </w:r>
            <w:r/>
          </w:p>
          <w:p>
            <w:pPr>
              <w:pStyle w:val="638"/>
              <w:jc w:val="left"/>
              <w:rPr>
                <w:rFonts w:hint="eastAsia" w:ascii="宋体" w:hAnsi="宋体" w:eastAsia="宋体"/>
                <w:szCs w:val="21"/>
                <w:highlight w:val="none"/>
                <w:u w:val="single"/>
              </w:rPr>
            </w:pPr>
            <w:r>
              <w:rPr>
                <w:rFonts w:hint="eastAsia" w:ascii="宋体" w:hAnsi="宋体" w:eastAsia="宋体"/>
                <w:szCs w:val="21"/>
                <w:highlight w:val="none"/>
              </w:rPr>
              <w:t xml:space="preserve">4.如乙方不能交付货物，或者有违法转包他人情形，乙方应向甲方支付合同总价</w:t>
            </w:r>
            <w:r>
              <w:rPr>
                <w:rFonts w:hint="eastAsia" w:ascii="宋体" w:hAnsi="宋体" w:eastAsia="宋体"/>
                <w:szCs w:val="21"/>
                <w:highlight w:val="none"/>
                <w:u w:val="single"/>
              </w:rPr>
              <w:t xml:space="preserve"> </w:t>
            </w:r>
            <w:r>
              <w:rPr>
                <w:rFonts w:hint="eastAsia" w:ascii="宋体" w:hAnsi="宋体" w:cs="宋体"/>
                <w:sz w:val="24"/>
                <w:szCs w:val="20"/>
                <w:highlight w:val="none"/>
                <w:u w:val="single"/>
                <w:lang w:val="zh-CN"/>
              </w:rPr>
              <w:t xml:space="preserve">5%</w:t>
            </w:r>
            <w:r>
              <w:rPr>
                <w:rFonts w:hint="eastAsia" w:ascii="宋体" w:hAnsi="宋体" w:eastAsia="宋体"/>
                <w:szCs w:val="21"/>
                <w:highlight w:val="none"/>
              </w:rPr>
              <w:t xml:space="preserve">的滞纳金。</w:t>
            </w:r>
            <w:r>
              <w:rPr>
                <w:rFonts w:hint="eastAsia" w:ascii="宋体" w:hAnsi="宋体" w:eastAsia="宋体"/>
                <w:szCs w:val="21"/>
                <w:highlight w:val="none"/>
                <w:u w:val="single"/>
              </w:rPr>
            </w:r>
            <w:r/>
          </w:p>
        </w:tc>
      </w:tr>
      <w:tr>
        <w:trPr>
          <w:trHeight w:val="736"/>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第15.3款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逾期付款利息</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1.甲方无正当理由拒收合同标的的，甲方向乙方偿付拒收合同款总值</w:t>
            </w:r>
            <w:r>
              <w:rPr>
                <w:rFonts w:hint="eastAsia" w:ascii="宋体" w:hAnsi="宋体" w:eastAsia="宋体"/>
                <w:szCs w:val="21"/>
                <w:highlight w:val="none"/>
                <w:u w:val="single"/>
              </w:rPr>
              <w:t xml:space="preserve"> </w:t>
            </w:r>
            <w:bookmarkStart w:id="113" w:name="OLE_LINK3"/>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bookmarkEnd w:id="113"/>
            <w:r>
              <w:rPr>
                <w:rFonts w:hint="eastAsia" w:ascii="宋体" w:hAnsi="宋体" w:cs="宋体"/>
                <w:sz w:val="24"/>
                <w:highlight w:val="none"/>
                <w:u w:val="single"/>
              </w:rPr>
              <w:t xml:space="preserve"> </w:t>
            </w:r>
            <w:r>
              <w:rPr>
                <w:rFonts w:hint="eastAsia" w:ascii="宋体" w:hAnsi="宋体" w:eastAsia="宋体"/>
                <w:szCs w:val="21"/>
                <w:highlight w:val="none"/>
              </w:rPr>
              <w:t xml:space="preserve">的违约金。</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2.甲方无故逾期验收和办理合同款项支付手续的,甲方应按逾期付款总额万分之二每日向乙方支付违约金，该逾期违约金最高不超过合同总额的</w:t>
            </w:r>
            <w:r>
              <w:rPr>
                <w:rFonts w:hint="eastAsia" w:ascii="宋体" w:hAnsi="宋体" w:cs="宋体"/>
                <w:sz w:val="24"/>
                <w:highlight w:val="none"/>
                <w:u w:val="single"/>
                <w:lang w:val="zh-CN"/>
              </w:rPr>
              <w:t xml:space="preserve">5</w:t>
            </w:r>
            <w:r>
              <w:rPr>
                <w:rFonts w:hint="eastAsia" w:ascii="宋体" w:hAnsi="宋体" w:cs="宋体"/>
                <w:sz w:val="24"/>
                <w:szCs w:val="20"/>
                <w:highlight w:val="none"/>
                <w:u w:val="single"/>
                <w:lang w:val="zh-CN"/>
              </w:rPr>
              <w:t xml:space="preserve">%</w:t>
            </w:r>
            <w:r>
              <w:rPr>
                <w:rFonts w:hint="eastAsia" w:ascii="宋体" w:hAnsi="宋体" w:eastAsia="宋体"/>
                <w:szCs w:val="21"/>
                <w:highlight w:val="none"/>
              </w:rPr>
              <w:t xml:space="preserve">。</w:t>
            </w:r>
            <w:r>
              <w:rPr>
                <w:rFonts w:hint="eastAsia" w:ascii="宋体" w:hAnsi="宋体" w:eastAsia="宋体"/>
                <w:szCs w:val="21"/>
                <w:highlight w:val="none"/>
              </w:rPr>
            </w:r>
            <w:r/>
          </w:p>
        </w:tc>
      </w:tr>
      <w:tr>
        <w:trPr>
          <w:trHeight w:val="639"/>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第15.4款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其他违约责任</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乙方交付合同标的的标准不符合合同规定及招标文件规定标准的，甲方有权拒绝接受合同标的，并可单方面解除合同。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乙方如违反以下任一条款约定的，视为乙方严重违约，乙方应当按合同总额的10%向甲方支付违约金，如该违约金尚不足以弥补给甲方造成实际损失的，乙方还应足额赔偿甲方损失。乙方严重违约的，甲方有权单方面解除本合同。</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(一)乙方擅自单方面中止服务，应向甲方全额返还已支付款项，并向甲方承担违约责任。</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(二)乙方违反本合同及招标文件的约定，或所提供的服务未达到合同及招标文件的要求，甲方书面提出整改通知，乙方未按要求及时整改的，累计达两次。</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rPr>
                <w:rFonts w:hint="eastAsia" w:ascii="宋体" w:hAnsi="宋体" w:eastAsia="宋体"/>
                <w:szCs w:val="21"/>
                <w:highlight w:val="none"/>
              </w:rPr>
              <w:t xml:space="preserve">(三)乙方未经同意，将本合同项下乙方的义务部分或全部委托给第三方实施。</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4" w:name="OLE_LINK38"/>
            <w:r>
              <w:rPr>
                <w:rFonts w:hint="eastAsia" w:ascii="宋体" w:hAnsi="宋体" w:eastAsia="宋体"/>
                <w:szCs w:val="21"/>
                <w:highlight w:val="none"/>
              </w:rPr>
              <w:t xml:space="preserve">(四)</w:t>
            </w:r>
            <w:bookmarkEnd w:id="114"/>
            <w:r>
              <w:rPr>
                <w:rFonts w:hint="eastAsia" w:ascii="宋体" w:hAnsi="宋体" w:eastAsia="宋体"/>
                <w:szCs w:val="21"/>
                <w:highlight w:val="none"/>
              </w:rPr>
              <w:t xml:space="preserve">未经甲方书面同意，乙方擅自更换项目负责人、全职工作人员等。</w:t>
            </w:r>
            <w:r>
              <w:rPr>
                <w:rFonts w:hint="eastAsia" w:ascii="宋体" w:hAnsi="宋体" w:eastAsia="宋体"/>
                <w:szCs w:val="21"/>
                <w:highlight w:val="none"/>
              </w:rPr>
            </w:r>
            <w:r/>
          </w:p>
          <w:p>
            <w:pPr>
              <w:pStyle w:val="638"/>
              <w:jc w:val="left"/>
              <w:spacing w:line="280" w:lineRule="exact"/>
              <w:rPr>
                <w:rFonts w:hint="eastAsia" w:ascii="宋体" w:hAnsi="宋体" w:eastAsia="宋体"/>
                <w:szCs w:val="21"/>
                <w:highlight w:val="none"/>
              </w:rPr>
            </w:pPr>
            <w:r/>
            <w:bookmarkStart w:id="115" w:name="OLE_LINK32"/>
            <w:r>
              <w:rPr>
                <w:rFonts w:hint="eastAsia" w:ascii="宋体" w:hAnsi="宋体" w:eastAsia="宋体"/>
                <w:szCs w:val="21"/>
                <w:highlight w:val="none"/>
              </w:rPr>
              <w:t xml:space="preserve">(五)</w:t>
            </w:r>
            <w:bookmarkEnd w:id="115"/>
            <w:r>
              <w:rPr>
                <w:rFonts w:hint="eastAsia" w:ascii="宋体" w:hAnsi="宋体" w:eastAsia="宋体"/>
                <w:szCs w:val="21"/>
                <w:highlight w:val="none"/>
              </w:rPr>
              <w:t xml:space="preserve"> 项目负责人在项目实施期间，必须常驻现场实施管理。项目负责人不因任何情形而更换，且出勤率不少于80%，如发生更换或出勤率少于80%，除接受招标文件约定的处罚外，另行接受合同价 2%的扣款。如未经甲方同意，乙方擅自更换项目负责人的，甲方可中止合同，因此给甲方造成损失的，甲方将依法追偿。</w:t>
            </w:r>
            <w:r>
              <w:rPr>
                <w:rFonts w:hint="eastAsia" w:ascii="宋体" w:hAnsi="宋体" w:eastAsia="宋体"/>
                <w:szCs w:val="21"/>
                <w:highlight w:val="none"/>
              </w:rPr>
            </w:r>
            <w:r/>
          </w:p>
        </w:tc>
      </w:tr>
      <w:tr>
        <w:trPr>
          <w:trHeight w:val="9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第19.2款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解决争议的方法</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1.因本合同及合同有关事项发生的争议，由双方协商解决，协商不成时，按下列第</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种方式解决：</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（1）向仲裁委员会申请仲裁，仲裁地点为</w:t>
            </w:r>
            <w:r>
              <w:rPr>
                <w:rFonts w:hint="eastAsia" w:ascii="宋体" w:hAnsi="宋体" w:eastAsia="宋体"/>
                <w:szCs w:val="21"/>
                <w:highlight w:val="none"/>
                <w:u w:val="single"/>
              </w:rPr>
              <w:t xml:space="preserve"> 大丰区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（2）向甲方所在地人民法院起诉。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2.纠纷解决办法</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第二节</w:t>
            </w:r>
            <w:r>
              <w:rPr>
                <w:rFonts w:hint="eastAsia" w:ascii="宋体" w:hAnsi="宋体" w:eastAsia="宋体"/>
                <w:szCs w:val="21"/>
                <w:highlight w:val="none"/>
              </w:rPr>
            </w:r>
            <w:r/>
          </w:p>
          <w:p>
            <w:pPr>
              <w:pStyle w:val="638"/>
              <w:jc w:val="center"/>
              <w:rPr>
                <w:rFonts w:hint="eastAsia" w:ascii="宋体" w:hAnsi="宋体" w:eastAsia="宋体"/>
                <w:szCs w:val="21"/>
                <w:highlight w:val="none"/>
              </w:rPr>
            </w:pPr>
            <w:r>
              <w:rPr>
                <w:rFonts w:hint="eastAsia" w:ascii="宋体" w:hAnsi="宋体" w:eastAsia="宋体"/>
                <w:szCs w:val="21"/>
                <w:highlight w:val="none"/>
              </w:rPr>
              <w:t xml:space="preserve">第23.1款</w:t>
            </w: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bCs/>
                <w:szCs w:val="21"/>
                <w:highlight w:val="none"/>
              </w:rPr>
              <w:t xml:space="preserve">其他专用条款</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3.验收不合格的货物，乙方应在</w:t>
            </w:r>
            <w:r>
              <w:rPr>
                <w:rFonts w:hint="eastAsia" w:ascii="宋体" w:hAnsi="宋体" w:eastAsia="宋体"/>
                <w:szCs w:val="21"/>
                <w:highlight w:val="none"/>
                <w:u w:val="single"/>
              </w:rPr>
              <w:t xml:space="preserve">  2  </w:t>
            </w:r>
            <w:r>
              <w:rPr>
                <w:rFonts w:hint="eastAsia" w:ascii="宋体" w:hAnsi="宋体" w:eastAsia="宋体"/>
                <w:szCs w:val="21"/>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szCs w:val="21"/>
                <w:highlight w:val="none"/>
                <w:u w:val="single"/>
              </w:rPr>
              <w:t xml:space="preserve">  5  </w:t>
            </w:r>
            <w:r>
              <w:rPr>
                <w:rFonts w:hint="eastAsia" w:ascii="宋体" w:hAnsi="宋体" w:eastAsia="宋体"/>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4.货物验收要求</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（1）依照招标文件要求对全部货物、型号、规格、数量、外型、外观、包装及资料、文件（如装箱单、保修单、随箱介质等）进行验收。</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Cs w:val="21"/>
                <w:highlight w:val="yellow"/>
              </w:rPr>
              <w:t xml:space="preserve">含泥沙、石块、土块、树枝等杂物的，</w:t>
            </w:r>
            <w:r>
              <w:rPr>
                <w:rFonts w:hint="eastAsia" w:ascii="宋体" w:hAnsi="宋体" w:eastAsia="宋体"/>
                <w:szCs w:val="21"/>
                <w:highlight w:val="none"/>
              </w:rPr>
              <w:t xml:space="preserve">拒收。拒收货物要实行供货方、采购方、驾驶员三方签字，留存影像资料。</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（4）乙方应按照本合同规定的时间、地点和方式向乙方交付货物。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交货时间：经采购人确认收割起讫日期开始30日历天。</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交货地点：</w:t>
            </w:r>
            <w:r>
              <w:rPr>
                <w:rFonts w:hint="eastAsia" w:ascii="宋体" w:hAnsi="宋体" w:eastAsia="宋体"/>
                <w:szCs w:val="21"/>
                <w:highlight w:val="none"/>
                <w:u w:val="single"/>
              </w:rPr>
              <w:t xml:space="preserve">      </w:t>
            </w:r>
            <w:r>
              <w:rPr>
                <w:rFonts w:hint="eastAsia" w:ascii="宋体" w:hAnsi="宋体" w:eastAsia="宋体" w:cs="宋体"/>
                <w:szCs w:val="21"/>
                <w:highlight w:val="none"/>
                <w:u w:val="single"/>
              </w:rPr>
              <w:t xml:space="preserve">大丰麋鹿保护区</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（5）符合验收条件后，甲方应在收到乙方提交的验收申请后</w:t>
            </w:r>
            <w:r>
              <w:rPr>
                <w:rFonts w:hint="eastAsia" w:ascii="宋体" w:hAnsi="宋体" w:eastAsia="宋体"/>
                <w:szCs w:val="21"/>
                <w:highlight w:val="none"/>
                <w:u w:val="single"/>
              </w:rPr>
              <w:t xml:space="preserve"> 30 </w:t>
            </w:r>
            <w:r>
              <w:rPr>
                <w:rFonts w:hint="eastAsia" w:ascii="宋体" w:hAnsi="宋体" w:eastAsia="宋体"/>
                <w:szCs w:val="21"/>
                <w:highlight w:val="none"/>
              </w:rPr>
              <w:t xml:space="preserve">日内组织验收，验收包括：型号、规格、数量、外观是否完好，安装调试是否合格、系统运行是否稳定等。</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税费</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1.中国政府根据现行税法规定对甲方征收的与本合同有关的一切税费均由甲方负担（免税部分除外），招标文件另有规定的除外。</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2.中国政府根据现行税法规定对乙方征收的与本合同有关的一切税费均由乙方负担（免税部分除外）。</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bCs/>
                <w:szCs w:val="21"/>
                <w:highlight w:val="none"/>
              </w:rPr>
              <w:t xml:space="preserve">伴随服务</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1.乙方应按照国家</w:t>
            </w:r>
            <w:r>
              <w:rPr>
                <w:rFonts w:hint="eastAsia" w:ascii="宋体" w:hAnsi="宋体" w:eastAsia="宋体"/>
                <w:b/>
                <w:szCs w:val="21"/>
                <w:highlight w:val="none"/>
              </w:rPr>
              <w:t xml:space="preserve">“新三包”</w:t>
            </w:r>
            <w:r>
              <w:rPr>
                <w:rFonts w:hint="eastAsia" w:ascii="宋体" w:hAnsi="宋体" w:eastAsia="宋体"/>
                <w:szCs w:val="21"/>
                <w:highlight w:val="none"/>
              </w:rPr>
              <w:t xml:space="preserve">规定和合同中所附的服务承诺提供服务。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2.除第1条规定外，乙方还应提供下列服务：</w:t>
            </w:r>
            <w:r>
              <w:rPr>
                <w:rFonts w:hint="eastAsia" w:ascii="宋体" w:hAnsi="宋体" w:eastAsia="宋体"/>
                <w:szCs w:val="21"/>
                <w:highlight w:val="none"/>
              </w:rPr>
            </w:r>
            <w:r/>
          </w:p>
          <w:p>
            <w:pPr>
              <w:pStyle w:val="638"/>
              <w:jc w:val="left"/>
              <w:rPr>
                <w:rFonts w:hint="eastAsia" w:ascii="宋体" w:hAnsi="宋体" w:eastAsia="宋体"/>
                <w:b/>
                <w:szCs w:val="21"/>
                <w:highlight w:val="none"/>
              </w:rPr>
            </w:pPr>
            <w:r>
              <w:rPr>
                <w:rFonts w:hint="eastAsia" w:ascii="宋体" w:hAnsi="宋体" w:eastAsia="宋体"/>
                <w:b/>
                <w:szCs w:val="21"/>
                <w:highlight w:val="none"/>
              </w:rPr>
              <w:t xml:space="preserve">(1) 招标文件中的“服务要求”所规定的服务内容以及投标文件承诺提供的其他服务内容；</w:t>
            </w:r>
            <w:r>
              <w:rPr>
                <w:rFonts w:hint="eastAsia" w:ascii="宋体" w:hAnsi="宋体" w:eastAsia="宋体"/>
                <w:b/>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 负责货物的开孔，货物的现场安装；</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 提供货物组装和维修所需的工具；</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 在合同中乙方承诺的质保期限内对所提供货物正常使用实施监督、维修，但前提条件是该服务并不能免除乙方在质量保证期内应承担的义务；</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(5) 在货物交货现场就货物的安装、启用、维护等对甲方人员进行培训。</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3.伴随服务的费用应含在合同价中，不单独进行支付。</w:t>
            </w:r>
            <w:r>
              <w:rPr>
                <w:rFonts w:hint="eastAsia" w:ascii="宋体" w:hAnsi="宋体" w:eastAsia="宋体"/>
                <w:szCs w:val="21"/>
                <w:highlight w:val="none"/>
              </w:rPr>
            </w:r>
            <w:r/>
          </w:p>
        </w:tc>
      </w:tr>
      <w:tr>
        <w:trPr>
          <w:trHeight w:val="770"/>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索赔</w:t>
            </w:r>
            <w:r>
              <w:rPr>
                <w:rFonts w:hint="eastAsia" w:ascii="宋体" w:hAnsi="宋体" w:eastAsia="宋体"/>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1.甲方有权根据当地质检部门出具的检验报告，向乙方提出索赔。</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(2)根据货物的低劣程度、损坏程度以及甲方所遭受损失的数额，乙方必须降低货物的价格。</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szCs w:val="21"/>
                <w:highlight w:val="none"/>
              </w:rPr>
            </w:r>
            <w:r/>
          </w:p>
        </w:tc>
      </w:tr>
      <w:tr>
        <w:trPr>
          <w:trHeight w:val="552"/>
        </w:trPr>
        <w:tc>
          <w:tcPr>
            <w:tcW w:w="1560" w:type="dxa"/>
            <w:vAlign w:val="center"/>
            <w:textDirection w:val="lrTb"/>
            <w:noWrap w:val="false"/>
          </w:tcPr>
          <w:p>
            <w:pPr>
              <w:pStyle w:val="638"/>
              <w:jc w:val="center"/>
              <w:rPr>
                <w:rFonts w:hint="eastAsia" w:ascii="宋体" w:hAnsi="宋体" w:eastAsia="宋体"/>
                <w:szCs w:val="21"/>
                <w:highlight w:val="none"/>
              </w:rPr>
            </w:pPr>
            <w:r>
              <w:rPr>
                <w:rFonts w:hint="eastAsia" w:ascii="宋体" w:hAnsi="宋体" w:eastAsia="宋体"/>
                <w:szCs w:val="21"/>
                <w:highlight w:val="none"/>
              </w:rPr>
            </w:r>
            <w:r/>
          </w:p>
        </w:tc>
        <w:tc>
          <w:tcPr>
            <w:tcW w:w="1701" w:type="dxa"/>
            <w:vAlign w:val="center"/>
            <w:textDirection w:val="lrTb"/>
            <w:noWrap w:val="false"/>
          </w:tcPr>
          <w:p>
            <w:pPr>
              <w:pStyle w:val="638"/>
              <w:jc w:val="left"/>
              <w:rPr>
                <w:rFonts w:hint="eastAsia" w:ascii="宋体" w:hAnsi="宋体" w:eastAsia="宋体"/>
                <w:bCs/>
                <w:szCs w:val="21"/>
                <w:highlight w:val="none"/>
              </w:rPr>
            </w:pPr>
            <w:r>
              <w:rPr>
                <w:rFonts w:hint="eastAsia" w:ascii="宋体" w:hAnsi="宋体" w:eastAsia="宋体"/>
                <w:szCs w:val="21"/>
                <w:highlight w:val="none"/>
              </w:rPr>
              <w:t xml:space="preserve">合同生效及其他</w:t>
            </w:r>
            <w:r>
              <w:rPr>
                <w:rFonts w:hint="eastAsia" w:ascii="宋体" w:hAnsi="宋体" w:eastAsia="宋体"/>
                <w:bCs/>
                <w:szCs w:val="21"/>
                <w:highlight w:val="none"/>
              </w:rPr>
            </w:r>
            <w:r/>
          </w:p>
        </w:tc>
        <w:tc>
          <w:tcPr>
            <w:tcW w:w="5812" w:type="dxa"/>
            <w:vAlign w:val="center"/>
            <w:textDirection w:val="lrTb"/>
            <w:noWrap w:val="false"/>
          </w:tcPr>
          <w:p>
            <w:pPr>
              <w:pStyle w:val="638"/>
              <w:jc w:val="left"/>
              <w:rPr>
                <w:rFonts w:hint="eastAsia" w:ascii="宋体" w:hAnsi="宋体" w:eastAsia="宋体"/>
                <w:szCs w:val="21"/>
                <w:highlight w:val="none"/>
              </w:rPr>
            </w:pPr>
            <w:r>
              <w:rPr>
                <w:rFonts w:hint="eastAsia" w:ascii="宋体" w:hAnsi="宋体" w:eastAsia="宋体"/>
                <w:szCs w:val="21"/>
                <w:highlight w:val="none"/>
              </w:rPr>
              <w:t xml:space="preserve">1.合同经甲方、乙方盖章后生效。</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2.货物交付使用后所发生的合同纠纷，由甲方与乙方协商处理。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szCs w:val="21"/>
                <w:highlight w:val="none"/>
              </w:rPr>
            </w:r>
            <w:r/>
          </w:p>
          <w:p>
            <w:pPr>
              <w:pStyle w:val="638"/>
              <w:jc w:val="left"/>
              <w:rPr>
                <w:rFonts w:hint="eastAsia" w:ascii="宋体" w:hAnsi="宋体" w:eastAsia="宋体"/>
                <w:szCs w:val="21"/>
                <w:highlight w:val="none"/>
              </w:rPr>
            </w:pPr>
            <w:r>
              <w:rPr>
                <w:rFonts w:hint="eastAsia" w:ascii="宋体" w:hAnsi="宋体" w:eastAsia="宋体"/>
                <w:szCs w:val="21"/>
                <w:highlight w:val="none"/>
              </w:rPr>
              <w:t xml:space="preserve">4.本合同应按照中华人民共和国的现行法律进行解释。本合同未尽事宜，遵照《中华人民共和国民法典》、《中华人民共和国政府采购法》等有关条文执行。</w:t>
            </w:r>
            <w:r>
              <w:rPr>
                <w:rFonts w:hint="eastAsia" w:ascii="宋体" w:hAnsi="宋体" w:eastAsia="宋体"/>
                <w:szCs w:val="21"/>
                <w:highlight w:val="none"/>
              </w:rPr>
            </w:r>
            <w:r/>
          </w:p>
        </w:tc>
      </w:tr>
    </w:tbl>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bookmarkEnd w:id="95"/>
      <w:r/>
      <w:bookmarkEnd w:id="96"/>
      <w:r/>
      <w:bookmarkEnd w:id="97"/>
      <w:r/>
      <w:bookmarkStart w:id="116" w:name="_Toc479757211"/>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eastAsia="黑体"/>
          <w:color w:val="000000"/>
          <w:sz w:val="36"/>
          <w:szCs w:val="36"/>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w:t>
      </w:r>
      <w:bookmarkEnd w:id="116"/>
      <w:r>
        <w:rPr>
          <w:rFonts w:hint="eastAsia" w:eastAsia="黑体"/>
          <w:color w:val="000000"/>
          <w:sz w:val="36"/>
          <w:szCs w:val="36"/>
          <w:highlight w:val="none"/>
        </w:rPr>
        <w:t xml:space="preserve">四章 采购需求</w:t>
      </w:r>
      <w:bookmarkStart w:id="117" w:name="_Toc49090575"/>
      <w:r/>
      <w:bookmarkEnd w:id="117"/>
      <w:r/>
      <w:bookmarkStart w:id="118" w:name="_Toc26554093"/>
      <w:r/>
      <w:bookmarkEnd w:id="118"/>
      <w:r>
        <w:rPr>
          <w:rFonts w:eastAsia="黑体"/>
          <w:color w:val="000000"/>
          <w:sz w:val="36"/>
          <w:szCs w:val="36"/>
          <w:highlight w:val="none"/>
        </w:rPr>
      </w:r>
      <w:r/>
    </w:p>
    <w:p>
      <w:pPr>
        <w:pStyle w:val="638"/>
        <w:ind w:firstLine="482"/>
        <w:spacing w:line="440" w:lineRule="exact"/>
        <w:rPr>
          <w:rFonts w:hint="eastAsia" w:ascii="宋体" w:hAnsi="宋体"/>
          <w:b/>
          <w:sz w:val="24"/>
          <w:highlight w:val="none"/>
        </w:rPr>
      </w:pPr>
      <w:r>
        <w:rPr>
          <w:rFonts w:hint="eastAsia" w:ascii="宋体" w:hAnsi="宋体"/>
          <w:b/>
          <w:sz w:val="24"/>
          <w:highlight w:val="none"/>
        </w:rPr>
        <w:t xml:space="preserve">项目属性：货物类项目</w:t>
      </w:r>
      <w:r>
        <w:rPr>
          <w:rFonts w:hint="eastAsia" w:ascii="宋体" w:hAnsi="宋体"/>
          <w:b/>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一、项目概况</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1、项目名称：2026年大丰麋鹿保护区全株玉米青贮饲料采购项目。</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2、采购人：江苏省大丰麋鹿国家级自然保护区管理处。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3、江苏省财政部门预算资金——综合管理费（大丰麋鹿人工补饲与繁育）。</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4、项目规模：3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5、采购方式：公开招标。</w:t>
      </w:r>
      <w:r>
        <w:rPr>
          <w:rFonts w:hint="eastAsia" w:ascii="宋体" w:hAnsi="宋体" w:eastAsia="宋体"/>
          <w:sz w:val="24"/>
          <w:highlight w:val="none"/>
        </w:rPr>
      </w:r>
      <w:r/>
    </w:p>
    <w:p>
      <w:pPr>
        <w:pStyle w:val="763"/>
        <w:ind w:left="480"/>
        <w:spacing w:line="400" w:lineRule="exact"/>
        <w:rPr>
          <w:rFonts w:hint="eastAsia" w:ascii="宋体" w:hAnsi="宋体" w:eastAsia="宋体"/>
          <w:sz w:val="24"/>
          <w:highlight w:val="none"/>
        </w:rPr>
      </w:pPr>
      <w:r>
        <w:rPr>
          <w:rFonts w:hint="eastAsia" w:ascii="宋体" w:hAnsi="宋体" w:eastAsia="宋体"/>
          <w:sz w:val="24"/>
          <w:highlight w:val="none"/>
        </w:rPr>
        <w:t xml:space="preserve">二、项目标的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1、采购内容：采购</w:t>
      </w:r>
      <w:bookmarkStart w:id="119" w:name="OLE_LINK34"/>
      <w:r/>
      <w:bookmarkStart w:id="120" w:name="OLE_LINK33"/>
      <w:r>
        <w:rPr>
          <w:rFonts w:hint="eastAsia" w:ascii="宋体" w:hAnsi="宋体" w:eastAsia="宋体"/>
          <w:sz w:val="24"/>
          <w:highlight w:val="none"/>
        </w:rPr>
        <w:t xml:space="preserve">全株玉米</w:t>
      </w:r>
      <w:bookmarkEnd w:id="119"/>
      <w:r/>
      <w:bookmarkEnd w:id="120"/>
      <w:r>
        <w:rPr>
          <w:rFonts w:hint="eastAsia" w:ascii="宋体" w:hAnsi="宋体" w:eastAsia="宋体"/>
          <w:sz w:val="24"/>
          <w:highlight w:val="none"/>
        </w:rPr>
        <w:t xml:space="preserve">青贮饲料，包括全株玉米青贮饲料，包括釆购、收割粉碎、运输、堆压、封仓、密封期管理、抽检检测等服务。</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2、采购数量：</w:t>
      </w:r>
      <w:bookmarkStart w:id="121" w:name="_Hlk199930754"/>
      <w:r>
        <w:rPr>
          <w:rFonts w:hint="eastAsia" w:ascii="宋体" w:hAnsi="宋体" w:eastAsia="宋体"/>
          <w:sz w:val="24"/>
          <w:highlight w:val="none"/>
        </w:rPr>
        <w:t xml:space="preserve">6</w:t>
      </w:r>
      <w:r>
        <w:rPr>
          <w:rFonts w:hint="eastAsia" w:ascii="宋体" w:hAnsi="宋体"/>
          <w:sz w:val="24"/>
          <w:highlight w:val="none"/>
          <w:lang w:val="en-US" w:eastAsia="zh-CN"/>
        </w:rPr>
        <w:t xml:space="preserve">2</w:t>
      </w:r>
      <w:r>
        <w:rPr>
          <w:rFonts w:hint="eastAsia" w:ascii="宋体" w:hAnsi="宋体" w:eastAsia="宋体"/>
          <w:sz w:val="24"/>
          <w:highlight w:val="none"/>
        </w:rPr>
        <w:t xml:space="preserve">00吨（最终以采购人实际过磅为准，要求是收满现有青贮池）。</w:t>
      </w:r>
      <w:bookmarkEnd w:id="121"/>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3、招标采购控制单价：580.72元/吨。；总预算：3</w:t>
      </w:r>
      <w:r>
        <w:rPr>
          <w:rFonts w:hint="eastAsia" w:ascii="宋体" w:hAnsi="宋体"/>
          <w:sz w:val="24"/>
          <w:highlight w:val="none"/>
          <w:lang w:val="en-US" w:eastAsia="zh-CN"/>
        </w:rPr>
        <w:t xml:space="preserve">60</w:t>
      </w:r>
      <w:r>
        <w:rPr>
          <w:rFonts w:hint="eastAsia" w:ascii="宋体" w:hAnsi="宋体" w:eastAsia="宋体"/>
          <w:sz w:val="24"/>
          <w:highlight w:val="none"/>
        </w:rPr>
        <w:t xml:space="preserve">万元。</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4、质量标准：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（1）粮食玉米或粮饲兼用型玉米品种。</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（2）玉米散料</w:t>
      </w:r>
      <w:bookmarkStart w:id="122" w:name="OLE_LINK7"/>
      <w:r>
        <w:rPr>
          <w:rFonts w:hint="eastAsia" w:ascii="宋体" w:hAnsi="宋体" w:eastAsia="宋体"/>
          <w:sz w:val="24"/>
          <w:highlight w:val="none"/>
        </w:rPr>
        <w:t xml:space="preserve">干</w:t>
      </w:r>
      <w:bookmarkEnd w:id="122"/>
      <w:r>
        <w:rPr>
          <w:rFonts w:hint="eastAsia" w:ascii="宋体" w:hAnsi="宋体" w:eastAsia="宋体"/>
          <w:sz w:val="24"/>
          <w:highlight w:val="none"/>
        </w:rPr>
        <w:t xml:space="preserve">物质和淀粉的含量为 28%≤干物质≤38%、淀粉≥27%。</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（3）收割期：乳熟期至蜡熟期，籽粒乳线在1/2至2/3之间，最佳为1/2处。</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（4）每株玉米不低于一个成熟玉米棒，带棒率≥95%。</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（5）切割长度：10-20mm 之间。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（6）籽粒破碎：每公斤玉米散料中未破碎数量少于7粒。</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（7）无杂质（泥土、石块、杂草等）、无霉变和腐烂、无农药残留、无病虫害。</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（8）禁止掺水。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5、抽检要求：</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（1）领导小组每车随机取样一把（约20克），当日所有样品混合后，随机取样2个送检。送检指标包括干物质、淀粉、粗蛋白等。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（2）45天后开池验收密封发酵情况，无霉变，麋鹿试食一周后无异常反应。送检指标为黄曲霉毒素、呕吐毒素、玉米赤霉烯酮、PH值等。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6、收割要求：要求收割设备全部为进口设备，例如：克拉斯、纽荷兰、约翰迪尔、克罗尼等品牌。收割设备必须带有籽粒破碎功能，收割设备的揉搓功能不能替代切割长度及籽粒破碎功能。</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7、运输要求：中标方负责将玉米散料运送至保护区指定位置，运输车必须带有自卸功能。运输车使用前须进行彻底清洗、消毒。玉米散料运输过程中不得超载、停留，车厢用篷布遮盖，保持整洁。</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8、计重要求：所有运输车辆到保护区分别按满车、退皮过磅计重，实施三方签字确认（采购人、中标人、驾驶员）。</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9、堆积及封窖要求：中标人负责堆积和封窖工作，收割前中标单位负责青贮池的清理、消毒，采用推土机和挖机相结合的方式，对全株玉米散料进行堆积、压实及封窖，所有机械使用前必须严格进行清洗和消毒。堆积过程中每层推料厚度是15-20cm，压实过程走直线，反复来回碾压，确保压实覆盖整个散料堆，边角处用人工层层压实。堆积高度在青贮窖池墙体向上1.5m—1.8m。封窖采用黑白膜密封，四周用灌土编织袋密封，黑白膜上覆盖废旧轮胎，要做到“横平竖直”。黑白膜、编织袋、废旧轮胎由采购人提供。</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10、工期要求：经采购人确认收割起讫日期开始30日历天。</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11、计价标准：</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（1）实际平均检测干物质＜26%，按中标价扣减100元/吨结算；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26%≤实际平均检测干物质＜28%，按中标价扣减50元/吨结算；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28%≤实际平均检测干物质≤38%，按中标价结算；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38%＜实际平均检测干物质≤40%，按中标价扣减50元/吨结算；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40%＜实际平均检测干物质≤41%，按中标价扣减100元/吨结算。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（2）实际平均检测淀粉＜25%，按中标价扣减100元/吨结算；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25%≤实际平均检测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＜27%，按中标价扣减50元/吨结算；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27%≤实际平均检测</w:t>
      </w:r>
      <w:r>
        <w:rPr>
          <w:rFonts w:hint="eastAsia" w:ascii="宋体" w:hAnsi="宋体"/>
          <w:sz w:val="24"/>
          <w:highlight w:val="none"/>
          <w:lang w:val="en-US" w:eastAsia="zh-CN"/>
        </w:rPr>
        <w:t xml:space="preserve">淀粉</w:t>
      </w:r>
      <w:r>
        <w:rPr>
          <w:rFonts w:hint="eastAsia" w:ascii="宋体" w:hAnsi="宋体" w:eastAsia="宋体"/>
          <w:sz w:val="24"/>
          <w:highlight w:val="none"/>
        </w:rPr>
        <w:t xml:space="preserve">，按中标价结算。</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实际平均值为当日样本平均检测值。</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肉眼明显过嫩，出现渗水的；过老接近黄贮的散料，拒收。未见破碎的玉米籽粒，或者未破碎籽粒明显偏多（每公斤散料玉米中超过7粒）的，拒收。未使用进口设备收割，切割不整齐、长短不一，拉丝明显的，拒收。</w:t>
      </w:r>
      <w:r>
        <w:rPr>
          <w:rFonts w:hint="eastAsia" w:ascii="宋体" w:hAnsi="宋体" w:eastAsia="宋体"/>
          <w:sz w:val="24"/>
          <w:highlight w:val="yellow"/>
        </w:rPr>
        <w:t xml:space="preserve">含泥沙、石块、土块、树枝等杂物的，拒收。</w:t>
      </w:r>
      <w:r>
        <w:rPr>
          <w:rFonts w:hint="eastAsia" w:ascii="宋体" w:hAnsi="宋体" w:eastAsia="宋体"/>
          <w:sz w:val="24"/>
          <w:highlight w:val="none"/>
        </w:rPr>
        <w:t xml:space="preserve">拒收货物要实行供货方、采购方、驾驶员三方签字，留存影像资料。</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12、付款方式：具备机械、田块等收割条件，开始收割前，预付合同价款的30%，收贮结束45天后，领导小组及供货方有关人员现场随机抽样验收青贮饲料，质量合格且饲喂麋鹿一个星期后无不良反映的，结清至实际结算价的90%并无息返还履约保证金。若验收不合格，不具备饲喂麋鹿条件的，甲方有权拒付任何款项，且扣留履约保证金作为对甲方损失的赔偿。6个月后在招标人使用过程中无异常情况（包括由于压实、密封、后期管理等不到位，造成大量霉坏变质，修补鸟类啄开的破洞或者其它质量问题等），则支付剩余10%余款，否则甲方有权扣留余款。</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3</w:t>
      </w:r>
      <w:r>
        <w:rPr>
          <w:rFonts w:hint="eastAsia" w:ascii="宋体" w:hAnsi="宋体" w:eastAsia="宋体"/>
          <w:sz w:val="24"/>
          <w:highlight w:val="none"/>
        </w:rPr>
        <w:t xml:space="preserve">、</w:t>
      </w:r>
      <w:bookmarkStart w:id="123" w:name="OLE_LINK39"/>
      <w:r/>
      <w:bookmarkStart w:id="124" w:name="OLE_LINK29"/>
      <w:r>
        <w:rPr>
          <w:rFonts w:hint="eastAsia" w:ascii="宋体" w:hAnsi="宋体" w:eastAsia="宋体"/>
          <w:sz w:val="24"/>
          <w:highlight w:val="none"/>
        </w:rPr>
        <w:t xml:space="preserve">质量缺陷期</w:t>
      </w:r>
      <w:bookmarkEnd w:id="123"/>
      <w:r>
        <w:rPr>
          <w:rFonts w:hint="eastAsia" w:ascii="宋体" w:hAnsi="宋体" w:eastAsia="宋体"/>
          <w:sz w:val="24"/>
          <w:highlight w:val="none"/>
        </w:rPr>
        <w:t xml:space="preserve">：青贮饲料开仓使用6个月。</w:t>
      </w:r>
      <w:bookmarkEnd w:id="124"/>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4</w:t>
      </w:r>
      <w:r>
        <w:rPr>
          <w:rFonts w:hint="eastAsia" w:ascii="宋体" w:hAnsi="宋体" w:eastAsia="宋体"/>
          <w:sz w:val="24"/>
          <w:highlight w:val="none"/>
        </w:rPr>
        <w:t xml:space="preserve">、验收约定：</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（1）启动收购前1-3天，招标人与中标人共同对称重磅称进行校验并书面确认。</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（2）青贮颗粒散料到达保护区过磅点，由招标人、送货单位和送货驾驶员共同对过磅数量进行签字确认，并采样送检。</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（3）招标人现场督查青贮颗粒散料堆积质量是否与合同要求一致。</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（4）青贮饲料采购领导小组每天对青贮收购数量及质量进行核查。</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（5）中标单位完成了施工合同的全部内容后，按照合同要求密封发酵，满45天后，向招标人提交验收申请报告，由招标人项目负责人组织内部验收。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（6）验收的顺序是“先资料、后现场。”依据是国家相关法律、法规、施工合同等。现场开窖时，现场取样送检，并验收密封发酵情况、有无霉变。之后，麋鹿试食一周后观察无异常反应。</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（7）项目验收统一执行《江苏省大丰麋鹿国家级自然保护区管理处项目验收单》，验收内容要写清楚，一目了然。</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（8）验收必须要有5人以上人员参加，包括项目负责人、青贮饲料采购领导小组成员、监督审查室人员、施工方项目负责人等。</w:t>
      </w:r>
      <w:r>
        <w:rPr>
          <w:rFonts w:hint="eastAsia" w:ascii="宋体" w:hAnsi="宋体" w:eastAsia="宋体"/>
          <w:sz w:val="24"/>
          <w:highlight w:val="none"/>
        </w:rPr>
      </w:r>
      <w:r/>
    </w:p>
    <w:p>
      <w:pPr>
        <w:pStyle w:val="638"/>
        <w:ind w:firstLine="480"/>
        <w:spacing w:line="400" w:lineRule="exact"/>
        <w:rPr>
          <w:rFonts w:hint="eastAsia" w:ascii="宋体" w:hAnsi="宋体" w:eastAsia="宋体"/>
          <w:sz w:val="24"/>
          <w:highlight w:val="none"/>
        </w:rPr>
      </w:pPr>
      <w:r>
        <w:rPr>
          <w:rFonts w:hint="eastAsia" w:ascii="宋体" w:hAnsi="宋体" w:eastAsia="宋体"/>
          <w:sz w:val="24"/>
          <w:highlight w:val="none"/>
        </w:rPr>
        <w:t xml:space="preserve">1</w:t>
      </w:r>
      <w:r>
        <w:rPr>
          <w:rFonts w:ascii="宋体" w:hAnsi="宋体" w:eastAsia="宋体"/>
          <w:sz w:val="24"/>
          <w:highlight w:val="none"/>
        </w:rPr>
        <w:t xml:space="preserve">5</w:t>
      </w:r>
      <w:r>
        <w:rPr>
          <w:rFonts w:hint="eastAsia" w:ascii="宋体" w:hAnsi="宋体" w:eastAsia="宋体"/>
          <w:sz w:val="24"/>
          <w:highlight w:val="none"/>
        </w:rPr>
        <w:t xml:space="preserve">、安全约定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收贮期间，中标单位自行负责其所有与收贮有关的车辆、人员等安全。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包括给第三方造成的损失由供应商自行承担，与采购人无关。</w:t>
      </w:r>
      <w:r>
        <w:rPr>
          <w:rFonts w:hint="eastAsia" w:ascii="宋体" w:hAnsi="宋体" w:eastAsia="宋体"/>
          <w:sz w:val="24"/>
          <w:highlight w:val="none"/>
        </w:rPr>
      </w:r>
      <w:r/>
    </w:p>
    <w:p>
      <w:pPr>
        <w:pStyle w:val="638"/>
        <w:ind w:firstLine="482"/>
        <w:spacing w:line="440" w:lineRule="exact"/>
        <w:rPr>
          <w:rFonts w:hint="eastAsia" w:ascii="宋体" w:hAnsi="宋体"/>
          <w:b/>
          <w:bCs/>
          <w:sz w:val="24"/>
          <w:highlight w:val="none"/>
        </w:rPr>
      </w:pPr>
      <w:r>
        <w:rPr>
          <w:rFonts w:hint="eastAsia" w:ascii="宋体" w:hAnsi="宋体"/>
          <w:b/>
          <w:bCs/>
          <w:sz w:val="24"/>
          <w:highlight w:val="none"/>
        </w:rPr>
        <w:t xml:space="preserve">三、商务要求</w:t>
      </w:r>
      <w:r>
        <w:rPr>
          <w:rFonts w:hint="eastAsia" w:ascii="宋体" w:hAnsi="宋体"/>
          <w:b/>
          <w:bCs/>
          <w:sz w:val="24"/>
          <w:highlight w:val="none"/>
        </w:rPr>
      </w:r>
      <w:r/>
    </w:p>
    <w:p>
      <w:pPr>
        <w:pStyle w:val="638"/>
        <w:ind w:firstLine="480"/>
        <w:spacing w:line="440" w:lineRule="exact"/>
        <w:rPr>
          <w:rFonts w:hint="eastAsia" w:ascii="宋体" w:hAnsi="宋体" w:eastAsia="宋体"/>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、交付时间：</w:t>
      </w:r>
      <w:r>
        <w:rPr>
          <w:rFonts w:hint="eastAsia" w:ascii="宋体" w:hAnsi="宋体" w:eastAsia="宋体"/>
          <w:sz w:val="24"/>
          <w:highlight w:val="none"/>
        </w:rPr>
        <w:t xml:space="preserve">经采购人确认收割起讫日期开始30日历天。</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交付</w:t>
      </w:r>
      <w:r>
        <w:rPr>
          <w:rFonts w:hint="eastAsia" w:ascii="宋体" w:hAnsi="宋体"/>
          <w:color w:val="000000"/>
          <w:sz w:val="24"/>
          <w:highlight w:val="none"/>
        </w:rPr>
        <w:t xml:space="preserve">地点：</w:t>
      </w:r>
      <w:r>
        <w:rPr>
          <w:rFonts w:hint="eastAsia" w:ascii="宋体" w:hAnsi="宋体" w:eastAsia="宋体"/>
          <w:sz w:val="24"/>
          <w:highlight w:val="none"/>
        </w:rPr>
        <w:t xml:space="preserve">大丰麋鹿保护区</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3.当合同采购数量与实际使用数量不一致时，乙方应根据实际使用量供货，合同的最终结算金额按实际使用量乘以成交单价进行计算。</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eastAsia="宋体"/>
          <w:sz w:val="24"/>
          <w:highlight w:val="none"/>
        </w:rPr>
        <w:t xml:space="preserve">4.根据《关于进一步优化政府采购营商环境的通知》（盐财购〔2023〕17号），严格落实采购项目预付款制度，预付款比例原则上不低于合同金额的30%。在签订合同时，供应商明确表示无需预付款或者主动要求降低预付款比例的，采购人可不适用前述规定。</w:t>
      </w:r>
      <w:r>
        <w:rPr>
          <w:rFonts w:hint="eastAsia" w:ascii="宋体" w:hAnsi="宋体" w:eastAsia="宋体"/>
          <w:sz w:val="24"/>
          <w:highlight w:val="none"/>
        </w:rPr>
      </w:r>
      <w:r/>
    </w:p>
    <w:p>
      <w:pPr>
        <w:pStyle w:val="638"/>
        <w:ind w:firstLine="480"/>
        <w:spacing w:line="440" w:lineRule="exact"/>
        <w:rPr>
          <w:rFonts w:hint="eastAsia" w:ascii="宋体" w:hAnsi="宋体" w:eastAsia="宋体"/>
          <w:sz w:val="24"/>
          <w:highlight w:val="none"/>
        </w:rPr>
      </w:pPr>
      <w:r>
        <w:rPr>
          <w:rFonts w:hint="eastAsia" w:ascii="宋体" w:hAnsi="宋体"/>
          <w:color w:val="000000"/>
          <w:sz w:val="24"/>
          <w:highlight w:val="none"/>
        </w:rPr>
        <w:t xml:space="preserve">5、售后服务要求：按照合同条款执行，</w:t>
      </w:r>
      <w:r>
        <w:rPr>
          <w:rFonts w:ascii="宋体" w:hAnsi="宋体"/>
          <w:color w:val="000000"/>
          <w:sz w:val="24"/>
          <w:highlight w:val="none"/>
        </w:rPr>
        <w:t xml:space="preserve">如在使用过程中发生质量问题，</w:t>
      </w:r>
      <w:r>
        <w:rPr>
          <w:rFonts w:hint="eastAsia" w:ascii="宋体" w:hAnsi="宋体"/>
          <w:color w:val="000000"/>
          <w:sz w:val="24"/>
          <w:highlight w:val="none"/>
        </w:rPr>
        <w:t xml:space="preserve">中标人</w:t>
      </w:r>
      <w:r>
        <w:rPr>
          <w:rFonts w:ascii="宋体" w:hAnsi="宋体"/>
          <w:color w:val="000000"/>
          <w:sz w:val="24"/>
          <w:highlight w:val="none"/>
        </w:rPr>
        <w:t xml:space="preserve">在接到</w:t>
      </w:r>
      <w:r>
        <w:rPr>
          <w:rFonts w:hint="eastAsia" w:ascii="宋体" w:hAnsi="宋体"/>
          <w:color w:val="000000"/>
          <w:sz w:val="24"/>
          <w:highlight w:val="none"/>
        </w:rPr>
        <w:t xml:space="preserve">采购人</w:t>
      </w:r>
      <w:r>
        <w:rPr>
          <w:rFonts w:ascii="宋体" w:hAnsi="宋体"/>
          <w:color w:val="000000"/>
          <w:sz w:val="24"/>
          <w:highlight w:val="none"/>
        </w:rPr>
        <w:t xml:space="preserve">通知后</w:t>
      </w:r>
      <w:r>
        <w:rPr>
          <w:rFonts w:hint="eastAsia" w:ascii="宋体" w:hAnsi="宋体"/>
          <w:color w:val="000000"/>
          <w:sz w:val="24"/>
          <w:highlight w:val="none"/>
        </w:rPr>
        <w:t xml:space="preserve">2小时响应，</w:t>
      </w:r>
      <w:r>
        <w:rPr>
          <w:rFonts w:ascii="宋体" w:hAnsi="宋体"/>
          <w:color w:val="000000"/>
          <w:sz w:val="24"/>
          <w:highlight w:val="none"/>
        </w:rPr>
        <w:t xml:space="preserve">24小时内</w:t>
      </w:r>
      <w:r>
        <w:rPr>
          <w:rFonts w:hint="eastAsia" w:ascii="宋体" w:hAnsi="宋体"/>
          <w:color w:val="000000"/>
          <w:sz w:val="24"/>
          <w:highlight w:val="none"/>
        </w:rPr>
        <w:t xml:space="preserve">解决问题</w:t>
      </w:r>
      <w:r>
        <w:rPr>
          <w:rFonts w:ascii="宋体" w:hAnsi="宋体"/>
          <w:color w:val="000000"/>
          <w:sz w:val="24"/>
          <w:highlight w:val="none"/>
        </w:rPr>
        <w:t xml:space="preserve">。</w:t>
      </w:r>
      <w:r>
        <w:rPr>
          <w:rFonts w:hint="eastAsia" w:ascii="宋体" w:hAnsi="宋体" w:eastAsia="宋体"/>
          <w:sz w:val="24"/>
          <w:highlight w:val="none"/>
        </w:rPr>
      </w:r>
      <w:r/>
    </w:p>
    <w:p>
      <w:pPr>
        <w:pStyle w:val="638"/>
        <w:ind w:firstLine="480"/>
        <w:spacing w:line="440" w:lineRule="exact"/>
        <w:rPr>
          <w:rFonts w:hint="eastAsia" w:ascii="宋体" w:hAnsi="宋体"/>
          <w:color w:val="000000"/>
          <w:sz w:val="24"/>
          <w:highlight w:val="none"/>
        </w:rPr>
      </w:pPr>
      <w:r>
        <w:rPr>
          <w:rFonts w:hint="eastAsia" w:ascii="宋体" w:hAnsi="宋体"/>
          <w:sz w:val="24"/>
          <w:highlight w:val="none"/>
        </w:rPr>
        <w:t xml:space="preserve">6</w:t>
      </w:r>
      <w:r>
        <w:rPr>
          <w:rFonts w:hint="eastAsia" w:ascii="宋体" w:hAnsi="宋体"/>
          <w:color w:val="000000"/>
          <w:sz w:val="24"/>
          <w:highlight w:val="none"/>
        </w:rPr>
        <w:t xml:space="preserve">、质量标准：质量等级为“合格”，并符合招标文件中技术要求、国家现行的相关规范标准及有关部门最新颁布的相应的最新标准。</w:t>
      </w:r>
      <w:r>
        <w:rPr>
          <w:rFonts w:hint="eastAsia" w:ascii="宋体" w:hAnsi="宋体"/>
          <w:color w:val="000000"/>
          <w:sz w:val="24"/>
          <w:highlight w:val="none"/>
        </w:rPr>
      </w:r>
      <w:r/>
    </w:p>
    <w:p>
      <w:pPr>
        <w:pStyle w:val="638"/>
        <w:ind w:firstLine="482"/>
        <w:spacing w:line="440" w:lineRule="exact"/>
        <w:rPr>
          <w:rFonts w:hint="eastAsia" w:ascii="宋体" w:hAnsi="宋体"/>
          <w:color w:val="000000"/>
          <w:sz w:val="24"/>
          <w:highlight w:val="none"/>
        </w:rPr>
      </w:pPr>
      <w:r>
        <w:rPr>
          <w:rFonts w:hint="eastAsia" w:ascii="宋体" w:hAnsi="宋体"/>
          <w:b/>
          <w:sz w:val="24"/>
          <w:highlight w:val="none"/>
        </w:rPr>
        <w:t xml:space="preserve">四、投标报价等</w:t>
      </w:r>
      <w:r>
        <w:rPr>
          <w:rFonts w:hint="eastAsia" w:ascii="宋体" w:hAnsi="宋体"/>
          <w:color w:val="000000"/>
          <w:sz w:val="24"/>
          <w:highlight w:val="none"/>
        </w:rPr>
      </w:r>
      <w:r/>
    </w:p>
    <w:p>
      <w:pPr>
        <w:pStyle w:val="638"/>
        <w:ind w:firstLine="480"/>
        <w:spacing w:line="440" w:lineRule="exact"/>
        <w:rPr>
          <w:rFonts w:hint="eastAsia" w:ascii="宋体" w:hAnsi="宋体" w:eastAsia="宋体"/>
          <w:sz w:val="24"/>
          <w:highlight w:val="none"/>
        </w:rPr>
      </w:pPr>
      <w:r/>
      <w:bookmarkStart w:id="125" w:name="OLE_LINK44"/>
      <w:r>
        <w:rPr>
          <w:rFonts w:hint="eastAsia" w:ascii="宋体" w:hAnsi="宋体" w:eastAsia="宋体"/>
          <w:sz w:val="24"/>
          <w:highlight w:val="none"/>
        </w:rPr>
        <w:t xml:space="preserve">1、招标人拒绝高于最高限价的投标报价。</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bookmarkEnd w:id="125"/>
      <w:r/>
      <w:bookmarkStart w:id="126" w:name="_Toc23775"/>
      <w:r>
        <w:rPr>
          <w:color w:val="000000"/>
          <w:sz w:val="24"/>
          <w:szCs w:val="24"/>
          <w:highlight w:val="none"/>
        </w:rPr>
        <w:t xml:space="preserve">2</w:t>
      </w:r>
      <w:r>
        <w:rPr>
          <w:rFonts w:hint="eastAsia" w:ascii="宋体" w:hAnsi="宋体" w:eastAsia="宋体"/>
          <w:sz w:val="24"/>
          <w:highlight w:val="none"/>
        </w:rPr>
        <w:t xml:space="preserve">、</w:t>
      </w:r>
      <w:r>
        <w:rPr>
          <w:rFonts w:hint="eastAsia"/>
          <w:sz w:val="24"/>
          <w:highlight w:val="none"/>
        </w:rPr>
        <w:t xml:space="preserve">投标报价方式为全费用综合单价。投标报价应是在投标文件所承诺的服务期限内，并达到投标人所承诺的质量标准，为完成招标文件所确定的招</w:t>
      </w:r>
      <w:r>
        <w:rPr>
          <w:rFonts w:hint="eastAsia"/>
          <w:sz w:val="24"/>
          <w:highlight w:val="none"/>
        </w:rPr>
        <w:t xml:space="preserve">标范围的全部内容所需费用的全部价格体现。投标所报单价为全费用综合单价,含完成本次青贮玉米采购（即货物本体）、供应、运输、堆压及密封期管理等所需的一切费用。即主要包括（但不限于）：货物价格、收割费、包装费、运输费、卸力费、堆压费、密封期管理费、保险费、税金、利润、不可预见费、招标代理服务费及其他相关所有费用，以及合同履行过程中包含的所有风险、责任、政策性文件规定以及不可竞争费等所需的全部费用，投标报价中若有漏项、缺项、少算部分，视同分摊至其余综合单价中，结算时不予增加。在中标后结算时中标时的综合单价不予调整。</w:t>
      </w:r>
      <w:r>
        <w:rPr>
          <w:rFonts w:hint="eastAsia" w:ascii="宋体" w:hAnsi="宋体" w:eastAsia="宋体"/>
          <w:sz w:val="24"/>
          <w:highlight w:val="none"/>
        </w:rPr>
      </w:r>
      <w:r/>
    </w:p>
    <w:p>
      <w:pPr>
        <w:pStyle w:val="911"/>
        <w:ind w:firstLine="480"/>
        <w:spacing w:after="0" w:line="440" w:lineRule="exact"/>
        <w:rPr>
          <w:rFonts w:hint="eastAsia" w:ascii="宋体" w:hAnsi="宋体" w:eastAsia="宋体"/>
          <w:sz w:val="24"/>
          <w:highlight w:val="none"/>
        </w:rPr>
      </w:pPr>
      <w:r>
        <w:rPr>
          <w:rFonts w:hint="eastAsia" w:ascii="宋体" w:hAnsi="宋体" w:eastAsia="宋体"/>
          <w:sz w:val="24"/>
          <w:highlight w:val="none"/>
        </w:rPr>
        <w:t xml:space="preserve">3、包装和运输：乙方应在货物发运前对其进行满足运输距离、防潮、装卸等要求包装，以保证货物安全运达甲方指定地点。乙方对货物的包装应符合《商品包装政府采购需求标准（试行）》、《快递包装政府采购需求标准（试行）》的规定。</w:t>
      </w:r>
      <w:bookmarkEnd w:id="126"/>
      <w:r>
        <w:rPr>
          <w:rFonts w:hint="eastAsia" w:ascii="宋体" w:hAnsi="宋体" w:eastAsia="宋体"/>
          <w:sz w:val="24"/>
          <w:highlight w:val="none"/>
        </w:rPr>
      </w:r>
      <w:r/>
    </w:p>
    <w:p>
      <w:pPr>
        <w:pStyle w:val="638"/>
        <w:ind w:firstLine="522"/>
        <w:spacing w:line="440" w:lineRule="exact"/>
        <w:rPr>
          <w:rFonts w:hint="eastAsia" w:ascii="宋体" w:hAnsi="宋体" w:eastAsia="宋体"/>
          <w:sz w:val="24"/>
          <w:highlight w:val="none"/>
        </w:rPr>
      </w:pPr>
      <w:r>
        <w:rPr>
          <w:rFonts w:hint="eastAsia" w:ascii="宋体" w:hAnsi="宋体"/>
          <w:b/>
          <w:bCs/>
          <w:i/>
          <w:spacing w:val="10"/>
          <w:position w:val="2"/>
          <w:sz w:val="24"/>
          <w:highlight w:val="none"/>
        </w:rPr>
        <w:t xml:space="preserve">五、</w:t>
      </w:r>
      <w:r>
        <w:rPr>
          <w:rFonts w:ascii="宋体" w:hAnsi="宋体"/>
          <w:b/>
          <w:bCs/>
          <w:i/>
          <w:spacing w:val="10"/>
          <w:position w:val="2"/>
          <w:sz w:val="24"/>
          <w:highlight w:val="none"/>
        </w:rPr>
        <w:t xml:space="preserve">采购需求中必须满足的实质性要求</w:t>
      </w:r>
      <w:r>
        <w:rPr>
          <w:rFonts w:hint="eastAsia" w:ascii="宋体" w:hAnsi="宋体" w:eastAsia="宋体"/>
          <w:sz w:val="24"/>
          <w:highlight w:val="none"/>
        </w:rPr>
      </w:r>
      <w:r/>
    </w:p>
    <w:p>
      <w:pPr>
        <w:pStyle w:val="638"/>
        <w:ind w:firstLine="480"/>
        <w:spacing w:line="440" w:lineRule="exact"/>
        <w:rPr>
          <w:rFonts w:hint="eastAsia" w:ascii="宋体" w:hAnsi="宋体"/>
          <w:sz w:val="24"/>
          <w:highlight w:val="none"/>
        </w:rPr>
      </w:pPr>
      <w:r>
        <w:rPr>
          <w:rFonts w:hint="eastAsia" w:ascii="宋体" w:hAnsi="宋体"/>
          <w:sz w:val="24"/>
          <w:highlight w:val="none"/>
        </w:rPr>
        <w:t xml:space="preserve">工期、质量、</w:t>
      </w:r>
      <w:bookmarkStart w:id="127" w:name="OLE_LINK23"/>
      <w:r>
        <w:rPr>
          <w:rFonts w:hint="eastAsia" w:ascii="宋体" w:hAnsi="宋体" w:eastAsia="宋体"/>
          <w:sz w:val="24"/>
          <w:highlight w:val="none"/>
        </w:rPr>
        <w:t xml:space="preserve">质量缺陷期</w:t>
      </w:r>
      <w:bookmarkEnd w:id="127"/>
      <w:r>
        <w:rPr>
          <w:rFonts w:hint="eastAsia" w:ascii="宋体" w:hAnsi="宋体"/>
          <w:sz w:val="24"/>
          <w:highlight w:val="none"/>
        </w:rPr>
        <w:t xml:space="preserve">。依据招标文件的规定，由评委会从投标文件的有效性、完整性和对招标文件的响应程度进行审查，以确定是否对招标文件的实质性要求作出响应。</w:t>
      </w:r>
      <w:r>
        <w:rPr>
          <w:rFonts w:hint="eastAsia" w:ascii="宋体" w:hAnsi="宋体"/>
          <w:sz w:val="24"/>
          <w:highlight w:val="none"/>
        </w:rPr>
      </w:r>
      <w:r/>
    </w:p>
    <w:p>
      <w:pPr>
        <w:pStyle w:val="638"/>
        <w:ind w:firstLine="522"/>
        <w:spacing w:line="440" w:lineRule="exact"/>
        <w:rPr>
          <w:rFonts w:hint="eastAsia" w:ascii="宋体" w:hAnsi="宋体"/>
          <w:b/>
          <w:bCs/>
          <w:i/>
          <w:spacing w:val="10"/>
          <w:position w:val="2"/>
          <w:sz w:val="24"/>
          <w:highlight w:val="none"/>
        </w:rPr>
      </w:pPr>
      <w:r>
        <w:rPr>
          <w:rFonts w:hint="eastAsia" w:ascii="宋体" w:hAnsi="宋体"/>
          <w:b/>
          <w:bCs/>
          <w:i/>
          <w:spacing w:val="10"/>
          <w:position w:val="2"/>
          <w:sz w:val="24"/>
          <w:highlight w:val="none"/>
        </w:rPr>
        <w:t xml:space="preserve">六、</w:t>
      </w:r>
      <w:r>
        <w:rPr>
          <w:rFonts w:ascii="宋体" w:hAnsi="宋体"/>
          <w:b/>
          <w:bCs/>
          <w:i/>
          <w:spacing w:val="10"/>
          <w:position w:val="2"/>
          <w:sz w:val="24"/>
          <w:highlight w:val="none"/>
        </w:rPr>
        <w:t xml:space="preserve">本项目</w:t>
      </w:r>
      <w:r>
        <w:rPr>
          <w:rFonts w:ascii="宋体" w:hAnsi="宋体"/>
          <w:b/>
          <w:bCs/>
          <w:i/>
          <w:spacing w:val="10"/>
          <w:position w:val="2"/>
          <w:sz w:val="24"/>
          <w:highlight w:val="none"/>
          <w:u w:val="single"/>
        </w:rPr>
        <w:t xml:space="preserve"> 不接受 </w:t>
      </w:r>
      <w:r>
        <w:rPr>
          <w:rFonts w:ascii="宋体" w:hAnsi="宋体"/>
          <w:b/>
          <w:bCs/>
          <w:i/>
          <w:spacing w:val="10"/>
          <w:position w:val="2"/>
          <w:sz w:val="24"/>
          <w:highlight w:val="none"/>
        </w:rPr>
        <w:t xml:space="preserve">进口产品参加</w:t>
      </w:r>
      <w:r>
        <w:rPr>
          <w:rFonts w:hint="eastAsia" w:ascii="宋体" w:hAnsi="宋体"/>
          <w:b/>
          <w:bCs/>
          <w:i/>
          <w:spacing w:val="10"/>
          <w:position w:val="2"/>
          <w:sz w:val="24"/>
          <w:highlight w:val="none"/>
        </w:rPr>
        <w:t xml:space="preserve">投标</w:t>
      </w:r>
      <w:r>
        <w:rPr>
          <w:rFonts w:hint="eastAsia" w:ascii="宋体" w:hAnsi="宋体"/>
          <w:b/>
          <w:bCs/>
          <w:i/>
          <w:spacing w:val="10"/>
          <w:position w:val="2"/>
          <w:sz w:val="24"/>
          <w:highlight w:val="none"/>
        </w:rPr>
      </w:r>
      <w:r/>
    </w:p>
    <w:p>
      <w:pPr>
        <w:pStyle w:val="638"/>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七、采购标的对应的中小企业划分标准所属行业一览表</w:t>
      </w:r>
      <w:r>
        <w:rPr>
          <w:rFonts w:hint="eastAsia" w:ascii="宋体" w:hAnsi="宋体"/>
          <w:b/>
          <w:bCs/>
          <w:color w:val="000000"/>
          <w:sz w:val="24"/>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tbl>
      <w:tblPr>
        <w:tblStyle w:val="695"/>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98"/>
        <w:gridCol w:w="4681"/>
      </w:tblGrid>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序号</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采购标的</w:t>
            </w:r>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对应中小企业划分标准所属行业</w:t>
            </w:r>
            <w:r>
              <w:rPr>
                <w:rFonts w:hint="eastAsia" w:ascii="宋体" w:hAnsi="宋体" w:eastAsia="宋体"/>
                <w:sz w:val="24"/>
                <w:highlight w:val="none"/>
              </w:rPr>
            </w:r>
            <w:r/>
          </w:p>
        </w:tc>
      </w:tr>
      <w:tr>
        <w:trPr>
          <w:trHeight w:val="567"/>
        </w:trPr>
        <w:tc>
          <w:tcPr>
            <w:tcMar>
              <w:left w:w="108" w:type="dxa"/>
              <w:top w:w="0" w:type="dxa"/>
              <w:right w:w="108" w:type="dxa"/>
              <w:bottom w:w="0" w:type="dxa"/>
            </w:tcMar>
            <w:tcW w:w="892"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t xml:space="preserve">1</w:t>
            </w:r>
            <w:r>
              <w:rPr>
                <w:rFonts w:hint="eastAsia" w:ascii="宋体" w:hAnsi="宋体" w:eastAsia="宋体"/>
                <w:sz w:val="24"/>
                <w:highlight w:val="none"/>
              </w:rPr>
            </w:r>
            <w:r/>
          </w:p>
        </w:tc>
        <w:tc>
          <w:tcPr>
            <w:tcMar>
              <w:left w:w="108" w:type="dxa"/>
              <w:top w:w="0" w:type="dxa"/>
              <w:right w:w="108" w:type="dxa"/>
              <w:bottom w:w="0" w:type="dxa"/>
            </w:tcMar>
            <w:tcW w:w="3498"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bookmarkStart w:id="128" w:name="OLE_LINK42"/>
            <w:r>
              <w:rPr>
                <w:rFonts w:hint="eastAsia" w:ascii="宋体" w:hAnsi="宋体" w:eastAsia="宋体"/>
                <w:sz w:val="24"/>
                <w:highlight w:val="none"/>
              </w:rPr>
              <w:t xml:space="preserve">全株玉米青贮饲料</w:t>
            </w:r>
            <w:bookmarkEnd w:id="128"/>
            <w:r>
              <w:rPr>
                <w:rFonts w:hint="eastAsia" w:ascii="宋体" w:hAnsi="宋体" w:eastAsia="宋体"/>
                <w:sz w:val="24"/>
                <w:highlight w:val="none"/>
              </w:rPr>
            </w:r>
            <w:r/>
          </w:p>
        </w:tc>
        <w:tc>
          <w:tcPr>
            <w:tcMar>
              <w:left w:w="108" w:type="dxa"/>
              <w:top w:w="0" w:type="dxa"/>
              <w:right w:w="108" w:type="dxa"/>
              <w:bottom w:w="0" w:type="dxa"/>
            </w:tcMar>
            <w:tcW w:w="4681" w:type="dxa"/>
            <w:vAlign w:val="center"/>
            <w:textDirection w:val="lrTb"/>
            <w:noWrap w:val="false"/>
          </w:tcPr>
          <w:p>
            <w:pPr>
              <w:pStyle w:val="638"/>
              <w:jc w:val="center"/>
              <w:spacing w:line="480" w:lineRule="exact"/>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制造业</w:t>
            </w:r>
            <w:r>
              <w:rPr>
                <w:rFonts w:hint="eastAsia" w:ascii="宋体" w:hAnsi="宋体" w:eastAsia="宋体"/>
                <w:sz w:val="24"/>
                <w:highlight w:val="none"/>
              </w:rPr>
            </w:r>
            <w:r/>
          </w:p>
        </w:tc>
      </w:tr>
    </w:tbl>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t xml:space="preserve">所属行业按《工业和信息化部、国家统计局、国家发展和改革委员会、财政部关于印发中小企业划型标准规定的通知》(工信部联企业〔2011〕300号)规定填写。</w:t>
      </w: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highlight w:val="none"/>
        </w:rPr>
      </w:pPr>
      <w:r>
        <w:rPr>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897"/>
        <w:jc w:val="both"/>
        <w:spacing w:before="0" w:beforeAutospacing="0" w:after="0" w:afterAutospacing="0"/>
        <w:widowControl w:val="off"/>
        <w:rPr>
          <w:rFonts w:hint="eastAsia"/>
          <w:highlight w:val="none"/>
        </w:rPr>
      </w:pPr>
      <w:r>
        <w:rPr>
          <w:rFonts w:hint="eastAsia"/>
          <w:highlight w:val="none"/>
        </w:rPr>
      </w:r>
      <w:r/>
    </w:p>
    <w:p>
      <w:pPr>
        <w:pStyle w:val="638"/>
        <w:jc w:val="center"/>
        <w:spacing w:after="120"/>
        <w:rPr>
          <w:rFonts w:eastAsia="黑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eastAsia="黑体"/>
          <w:color w:val="000000"/>
          <w:sz w:val="36"/>
          <w:szCs w:val="36"/>
          <w:highlight w:val="none"/>
        </w:rPr>
        <w:t xml:space="preserve">第五章  评标方法与评标标准</w:t>
      </w:r>
      <w:r>
        <w:rPr>
          <w:rFonts w:eastAsia="黑体"/>
          <w:color w:val="000000"/>
          <w:sz w:val="36"/>
          <w:szCs w:val="36"/>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本项目</w:t>
      </w:r>
      <w:r>
        <w:rPr>
          <w:rFonts w:ascii="宋体" w:hAnsi="宋体" w:eastAsia="宋体"/>
          <w:color w:val="000000"/>
          <w:highlight w:val="none"/>
        </w:rPr>
        <w:t xml:space="preserve">采用</w:t>
      </w:r>
      <w:r>
        <w:rPr>
          <w:rFonts w:hint="eastAsia" w:ascii="宋体" w:hAnsi="宋体" w:eastAsia="宋体"/>
          <w:color w:val="000000"/>
          <w:highlight w:val="none"/>
        </w:rPr>
        <w:t xml:space="preserve">最低评标价</w:t>
      </w:r>
      <w:r>
        <w:rPr>
          <w:rFonts w:ascii="宋体" w:hAnsi="宋体" w:eastAsia="宋体"/>
          <w:color w:val="000000"/>
          <w:highlight w:val="none"/>
        </w:rPr>
        <w:t xml:space="preserve">法的</w:t>
      </w:r>
      <w:r>
        <w:rPr>
          <w:rFonts w:hint="eastAsia" w:ascii="宋体" w:hAnsi="宋体" w:eastAsia="宋体"/>
          <w:color w:val="000000"/>
          <w:highlight w:val="none"/>
        </w:rPr>
        <w:t xml:space="preserve">，评标委员会对满足招标文件实质性要求的投标文件，按照本招标文件规定的评分标准进行评审，并按有效报价由低到高顺序推荐1名中标候选人。</w:t>
      </w:r>
      <w:r>
        <w:rPr>
          <w:rFonts w:hint="eastAsia" w:ascii="宋体" w:hAnsi="宋体" w:eastAsia="宋体"/>
          <w:color w:val="000000"/>
          <w:highlight w:val="none"/>
        </w:rPr>
      </w:r>
      <w:r/>
    </w:p>
    <w:p>
      <w:pPr>
        <w:pStyle w:val="688"/>
        <w:ind w:firstLine="482"/>
        <w:spacing w:before="0" w:beforeAutospacing="0" w:after="0" w:afterAutospacing="0" w:line="440" w:lineRule="exact"/>
        <w:rPr>
          <w:rFonts w:hint="eastAsia" w:ascii="宋体" w:hAnsi="宋体" w:eastAsia="宋体"/>
          <w:highlight w:val="none"/>
        </w:rPr>
      </w:pPr>
      <w:r>
        <w:rPr>
          <w:rFonts w:hint="eastAsia" w:ascii="宋体" w:hAnsi="宋体" w:eastAsia="宋体"/>
          <w:b/>
          <w:color w:val="000000"/>
          <w:highlight w:val="none"/>
        </w:rPr>
        <w:t xml:space="preserve">一、政府采购政策功能落实</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1、小微型企业价格扣除</w:t>
      </w:r>
      <w:r>
        <w:rPr>
          <w:rFonts w:hint="eastAsia" w:ascii="宋体" w:hAnsi="宋体" w:eastAsia="宋体"/>
          <w:highlight w:val="none"/>
        </w:rPr>
      </w:r>
      <w:r/>
    </w:p>
    <w:p>
      <w:pPr>
        <w:pStyle w:val="903"/>
        <w:spacing w:before="0" w:after="0" w:line="440" w:lineRule="exact"/>
        <w:rPr>
          <w:rFonts w:hint="eastAsia" w:ascii="宋体" w:hAnsi="宋体" w:eastAsia="宋体"/>
          <w:highlight w:val="none"/>
        </w:rPr>
      </w:pPr>
      <w:r>
        <w:rPr>
          <w:rFonts w:hint="eastAsia" w:ascii="宋体" w:hAnsi="宋体" w:eastAsia="宋体"/>
          <w:highlight w:val="none"/>
        </w:rPr>
        <w:t xml:space="preserve">（1）本项目不专门面向中小企业采购，对符合规定的小型和微型企业报价给予20%的扣除价格，用扣除后的价格参与评审。</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（2）供应商需按照采购文件的要求提供相应的《小微企业声明函》。</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（3）企业标准请参照《关于印发中小企业划型标准规定的通知》（工信部联企业[2011]300号）文件规定自行填写。</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2、残疾人福利单位价格扣除</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（1）本项目对残疾人福利性单位视同小型、微型企业，给予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（2）残疾人福利单位需按照采购文件的要求提供《残疾人福利性单位声明函》。</w:t>
      </w:r>
      <w:r>
        <w:rPr>
          <w:rFonts w:hint="eastAsia" w:ascii="宋体" w:hAnsi="宋体" w:eastAsia="宋体"/>
          <w:highlight w:val="none"/>
        </w:rPr>
      </w:r>
      <w:r/>
    </w:p>
    <w:p>
      <w:pPr>
        <w:pStyle w:val="688"/>
        <w:ind w:left="120"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（3）残疾人福利单位标准请参照《关于促进残疾人就业政府采购政策的通知》（财库〔2017〕141号）。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3、监狱和戒毒企业价格扣除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u w:val="single"/>
        </w:rPr>
      </w:pPr>
      <w:r>
        <w:rPr>
          <w:rFonts w:hint="eastAsia" w:ascii="宋体" w:hAnsi="宋体" w:eastAsia="宋体"/>
          <w:color w:val="000000"/>
          <w:highlight w:val="none"/>
        </w:rPr>
        <w:t xml:space="preserve">（1）本项目对监狱和戒毒企业（简称监狱企业）视同小型、微型企业，给予</w:t>
      </w:r>
      <w:r>
        <w:rPr>
          <w:rFonts w:hint="eastAsia" w:ascii="宋体" w:hAnsi="宋体" w:eastAsia="宋体"/>
          <w:color w:val="000000"/>
          <w:highlight w:val="none"/>
          <w:u w:val="single"/>
        </w:rPr>
        <w:t xml:space="preserve">20%</w:t>
      </w:r>
      <w:r>
        <w:rPr>
          <w:rFonts w:hint="eastAsia" w:ascii="宋体" w:hAnsi="宋体" w:eastAsia="宋体"/>
          <w:color w:val="000000"/>
          <w:highlight w:val="none"/>
        </w:rPr>
        <w:t xml:space="preserve">的价格扣除。</w:t>
      </w:r>
      <w:r>
        <w:rPr>
          <w:rFonts w:hint="eastAsia" w:ascii="宋体" w:hAnsi="宋体" w:eastAsia="宋体"/>
          <w:color w:val="000000"/>
          <w:highlight w:val="none"/>
          <w:u w:val="singl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highlight w:val="none"/>
        </w:rPr>
      </w:pPr>
      <w:r>
        <w:rPr>
          <w:rFonts w:hint="eastAsia" w:ascii="宋体" w:hAnsi="宋体" w:eastAsia="宋体"/>
          <w:color w:val="000000"/>
          <w:highlight w:val="none"/>
        </w:rPr>
        <w:t xml:space="preserve">（3）监狱企业标准请参照《关于政府采购支持监狱企业发展有关问题的通知》（财库[2014]68号）。</w:t>
      </w:r>
      <w:r>
        <w:rPr>
          <w:rFonts w:hint="eastAsia" w:ascii="宋体" w:hAnsi="宋体" w:eastAsia="宋体"/>
          <w:highlight w:val="none"/>
        </w:rPr>
      </w:r>
      <w:r/>
    </w:p>
    <w:p>
      <w:pPr>
        <w:pStyle w:val="688"/>
        <w:ind w:firstLine="480"/>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t xml:space="preserve">4、残疾人福利单位、监狱企业属于小型、微型企业的，不重复享受政策。</w:t>
      </w:r>
      <w:r>
        <w:rPr>
          <w:rFonts w:hint="eastAsia" w:ascii="宋体" w:hAnsi="宋体" w:eastAsia="宋体"/>
          <w:color w:val="000000"/>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二、中标候选人的推荐</w:t>
      </w:r>
      <w:r>
        <w:rPr>
          <w:rFonts w:hint="eastAsia" w:ascii="宋体" w:hAnsi="宋体" w:cs="Courier New"/>
          <w:b/>
          <w:bCs/>
          <w:color w:val="000000"/>
          <w:sz w:val="24"/>
          <w:highlight w:val="none"/>
        </w:rPr>
      </w:r>
      <w:r/>
    </w:p>
    <w:p>
      <w:pPr>
        <w:pStyle w:val="69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评标委员会对通过资格审查和符合性审查的投标人的投标报价进行比较，投标报价最低的推荐为中标候选人。如最低的投标报价相同时，由评标委员会通过抽签的方式确定中标候选人。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color w:val="000000"/>
          <w:sz w:val="24"/>
          <w:highlight w:val="none"/>
        </w:rPr>
      </w:pPr>
      <w:r>
        <w:rPr>
          <w:rFonts w:hint="eastAsia" w:ascii="宋体" w:hAnsi="宋体" w:cs="Courier New"/>
          <w:b/>
          <w:bCs/>
          <w:color w:val="000000"/>
          <w:sz w:val="24"/>
          <w:highlight w:val="none"/>
        </w:rPr>
        <w:t xml:space="preserve">三、定标办法</w:t>
      </w:r>
      <w:r>
        <w:rPr>
          <w:rFonts w:hint="eastAsia" w:ascii="宋体" w:hAnsi="宋体" w:cs="Courier New"/>
          <w:b/>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招标人根据评标委员会推荐的中标候选人，确定排名第一的中标候选人为最终中标人。</w:t>
      </w:r>
      <w:r>
        <w:rPr>
          <w:rFonts w:hint="eastAsia" w:ascii="宋体" w:hAnsi="宋体"/>
          <w:bCs/>
          <w:color w:val="000000"/>
          <w:sz w:val="24"/>
          <w:highlight w:val="none"/>
        </w:rPr>
      </w:r>
      <w:r/>
    </w:p>
    <w:p>
      <w:pPr>
        <w:pStyle w:val="638"/>
        <w:ind w:left="1" w:right="-4" w:firstLine="482"/>
        <w:spacing w:line="44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bCs/>
          <w:color w:val="000000"/>
          <w:sz w:val="24"/>
          <w:highlight w:val="none"/>
        </w:rPr>
      </w:pPr>
      <w:r>
        <w:rPr>
          <w:rFonts w:hint="eastAsia" w:ascii="宋体" w:hAnsi="宋体"/>
          <w:bCs/>
          <w:color w:val="000000"/>
          <w:sz w:val="24"/>
          <w:highlight w:val="none"/>
        </w:rPr>
        <w:t xml:space="preserve">对不中标的投标人，招标人有权不作任何解释。</w:t>
      </w:r>
      <w:r>
        <w:rPr>
          <w:rFonts w:hint="eastAsia" w:ascii="宋体" w:hAnsi="宋体"/>
          <w:bCs/>
          <w:color w:val="000000"/>
          <w:sz w:val="24"/>
          <w:highlight w:val="none"/>
        </w:rPr>
      </w:r>
      <w:r/>
    </w:p>
    <w:p>
      <w:pPr>
        <w:pStyle w:val="638"/>
        <w:jc w:val="left"/>
        <w:widowControl/>
        <w:rPr>
          <w:highlight w:val="none"/>
        </w:rPr>
      </w:pPr>
      <w:r>
        <w:rPr>
          <w:highlight w:val="none"/>
        </w:rPr>
      </w:r>
      <w:r/>
    </w:p>
    <w:p>
      <w:pPr>
        <w:pStyle w:val="688"/>
        <w:spacing w:before="0" w:beforeAutospacing="0" w:after="0" w:afterAutospacing="0" w:line="440" w:lineRule="exact"/>
        <w:rPr>
          <w:rFonts w:hint="eastAsia" w:ascii="宋体" w:hAnsi="宋体" w:eastAsia="宋体"/>
          <w:color w:val="000000"/>
          <w:highlight w:val="none"/>
        </w:rPr>
      </w:pPr>
      <w:r>
        <w:rPr>
          <w:rFonts w:hint="eastAsia" w:ascii="宋体" w:hAnsi="宋体" w:eastAsia="宋体"/>
          <w:color w:val="000000"/>
          <w:highlight w:val="none"/>
        </w:rPr>
      </w:r>
      <w:r/>
    </w:p>
    <w:p>
      <w:pPr>
        <w:pStyle w:val="638"/>
        <w:jc w:val="left"/>
        <w:widowControl/>
        <w:rPr>
          <w:rFonts w:hint="eastAsia" w:ascii="宋体" w:hAnsi="宋体"/>
          <w:color w:val="000000"/>
          <w:sz w:val="36"/>
          <w:szCs w:val="36"/>
          <w:highlight w:val="none"/>
        </w:rPr>
      </w:pPr>
      <w:r>
        <w:rPr>
          <w:rFonts w:ascii="宋体" w:hAnsi="宋体"/>
          <w:color w:val="000000"/>
          <w:sz w:val="36"/>
          <w:szCs w:val="36"/>
          <w:highlight w:val="none"/>
        </w:rPr>
        <w:br w:type="page" w:clear="all"/>
      </w:r>
      <w:r>
        <w:rPr>
          <w:rFonts w:hint="eastAsia" w:ascii="宋体" w:hAnsi="宋体"/>
          <w:color w:val="000000"/>
          <w:sz w:val="36"/>
          <w:szCs w:val="36"/>
          <w:highlight w:val="none"/>
        </w:rPr>
      </w:r>
      <w:r/>
    </w:p>
    <w:p>
      <w:pPr>
        <w:pStyle w:val="638"/>
        <w:jc w:val="center"/>
        <w:spacing w:after="120"/>
        <w:rPr>
          <w:rFonts w:hint="eastAsia" w:ascii="宋体" w:hAnsi="宋体"/>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36"/>
          <w:szCs w:val="36"/>
          <w:highlight w:val="none"/>
        </w:rPr>
        <w:t xml:space="preserve">第六章</w:t>
      </w:r>
      <w:r>
        <w:rPr>
          <w:rFonts w:ascii="宋体" w:hAnsi="宋体" w:cs="Calibri"/>
          <w:color w:val="000000"/>
          <w:sz w:val="36"/>
          <w:szCs w:val="36"/>
          <w:highlight w:val="none"/>
        </w:rPr>
        <w:t xml:space="preserve"> </w:t>
      </w:r>
      <w:r>
        <w:rPr>
          <w:rFonts w:hint="eastAsia" w:ascii="宋体" w:hAnsi="宋体"/>
          <w:color w:val="000000"/>
          <w:sz w:val="36"/>
          <w:szCs w:val="36"/>
          <w:highlight w:val="none"/>
        </w:rPr>
        <w:t xml:space="preserve"> 投标文件格式</w:t>
      </w:r>
      <w:r>
        <w:rPr>
          <w:rFonts w:hint="eastAsia" w:ascii="宋体" w:hAnsi="宋体" w:cs="黑体"/>
          <w:color w:val="000000"/>
          <w:sz w:val="44"/>
          <w:szCs w:val="44"/>
          <w:highlight w:val="none"/>
        </w:rPr>
        <w:t xml:space="preserve"> </w:t>
      </w:r>
      <w:r>
        <w:rPr>
          <w:rFonts w:hint="eastAsia" w:ascii="宋体" w:hAnsi="宋体"/>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b/>
          <w:color w:val="000000"/>
          <w:sz w:val="72"/>
          <w:szCs w:val="72"/>
          <w:highlight w:val="none"/>
        </w:rPr>
      </w:pPr>
      <w:r>
        <w:rPr>
          <w:rFonts w:hint="eastAsia"/>
          <w:b/>
          <w:color w:val="000000"/>
          <w:sz w:val="72"/>
          <w:szCs w:val="72"/>
          <w:highlight w:val="none"/>
        </w:rPr>
      </w:r>
      <w:r/>
    </w:p>
    <w:p>
      <w:pPr>
        <w:pStyle w:val="688"/>
        <w:jc w:val="center"/>
        <w:spacing w:beforeAutospacing="0" w:afterAutospacing="0"/>
        <w:rPr>
          <w:rFonts w:hint="eastAsia"/>
          <w:highlight w:val="none"/>
        </w:rPr>
      </w:pPr>
      <w:r>
        <w:rPr>
          <w:rFonts w:hint="eastAsia"/>
          <w:b/>
          <w:color w:val="000000"/>
          <w:sz w:val="72"/>
          <w:szCs w:val="72"/>
          <w:highlight w:val="none"/>
        </w:rPr>
        <w:t xml:space="preserve">投  标  文  件</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项目名称：</w:t>
      </w:r>
      <w:r>
        <w:rPr>
          <w:rFonts w:hint="eastAsia"/>
          <w:b/>
          <w:color w:val="000000"/>
          <w:sz w:val="36"/>
          <w:szCs w:val="36"/>
          <w:highlight w:val="none"/>
          <w:u w:val="single"/>
        </w:rPr>
        <w:t xml:space="preserve">      </w:t>
      </w:r>
      <w:r>
        <w:rPr>
          <w:rFonts w:hint="eastAsia"/>
          <w:highlight w:val="none"/>
        </w:rPr>
      </w:r>
      <w:r/>
    </w:p>
    <w:p>
      <w:pPr>
        <w:pStyle w:val="688"/>
        <w:ind w:firstLine="1084"/>
        <w:spacing w:beforeAutospacing="0" w:afterAutospacing="0"/>
        <w:rPr>
          <w:rFonts w:hint="eastAsia"/>
          <w:highlight w:val="none"/>
        </w:rPr>
      </w:pPr>
      <w:r>
        <w:rPr>
          <w:rFonts w:hint="eastAsia"/>
          <w:b/>
          <w:color w:val="000000"/>
          <w:sz w:val="36"/>
          <w:szCs w:val="36"/>
          <w:highlight w:val="none"/>
        </w:rPr>
        <w:t xml:space="preserve">项目编号：</w:t>
      </w:r>
      <w:r>
        <w:rPr>
          <w:rFonts w:hint="eastAsia"/>
          <w:b/>
          <w:color w:val="000000"/>
          <w:sz w:val="36"/>
          <w:szCs w:val="36"/>
          <w:highlight w:val="none"/>
          <w:u w:val="single"/>
        </w:rPr>
        <w:t xml:space="preserve">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  </w:t>
      </w:r>
      <w:r>
        <w:rPr>
          <w:b/>
          <w:color w:val="000000"/>
          <w:sz w:val="36"/>
          <w:szCs w:val="36"/>
          <w:highlight w:val="none"/>
          <w:u w:val="single"/>
        </w:rPr>
        <w:t xml:space="preserve"> </w:t>
      </w:r>
      <w:r>
        <w:rPr>
          <w:rFonts w:hint="eastAsia"/>
          <w:b/>
          <w:color w:val="000000"/>
          <w:sz w:val="36"/>
          <w:szCs w:val="36"/>
          <w:highlight w:val="none"/>
          <w:u w:val="single"/>
        </w:rPr>
        <w:t xml:space="preserve">（加盖公章）      </w:t>
      </w:r>
      <w:r>
        <w:rPr>
          <w:rFonts w:hint="eastAsia"/>
          <w:highlight w:val="none"/>
        </w:rPr>
      </w:r>
      <w:r/>
    </w:p>
    <w:p>
      <w:pPr>
        <w:pStyle w:val="688"/>
        <w:jc w:val="both"/>
        <w:spacing w:beforeAutospacing="0" w:afterAutospacing="0"/>
        <w:rPr>
          <w:rFonts w:hint="eastAsia"/>
          <w:highlight w:val="none"/>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b/>
          <w:color w:val="000000"/>
          <w:sz w:val="32"/>
          <w:szCs w:val="32"/>
          <w:highlight w:val="none"/>
        </w:rPr>
        <w:t xml:space="preserve">投标文件目录</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一、法人或者其他组织的营业执照等证明文件</w:t>
      </w:r>
      <w:r>
        <w:rPr>
          <w:rFonts w:hint="eastAsia"/>
          <w:iCs/>
          <w:color w:val="000000"/>
          <w:highlight w:val="none"/>
        </w:rPr>
      </w:r>
      <w:r/>
    </w:p>
    <w:p>
      <w:pPr>
        <w:pStyle w:val="688"/>
        <w:ind w:firstLine="480"/>
        <w:jc w:val="both"/>
        <w:spacing w:before="0" w:beforeAutospacing="0" w:after="0" w:afterAutospacing="0" w:line="400" w:lineRule="exact"/>
        <w:rPr>
          <w:rFonts w:hint="eastAsia"/>
          <w:iCs/>
          <w:highlight w:val="none"/>
        </w:rPr>
      </w:pPr>
      <w:r>
        <w:rPr>
          <w:rFonts w:hint="eastAsia"/>
          <w:iCs/>
          <w:color w:val="000000"/>
          <w:highlight w:val="none"/>
        </w:rPr>
        <w:t xml:space="preserve">二、</w:t>
      </w:r>
      <w:bookmarkStart w:id="129" w:name="OLE_LINK41"/>
      <w:r>
        <w:rPr>
          <w:rFonts w:hint="eastAsia"/>
          <w:iCs/>
          <w:color w:val="000000"/>
          <w:highlight w:val="none"/>
        </w:rPr>
        <w:t xml:space="preserve">上一年度的财务状况报告（至少提供资产负债表、利润表、现金流量表，投标人成立不满一年无需提供）</w:t>
      </w:r>
      <w:bookmarkEnd w:id="129"/>
      <w:r>
        <w:rPr>
          <w:rFonts w:hint="eastAsia"/>
          <w:iCs/>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三、具备履行合同所必需的设备和专业技术能力的书面声明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五、参加政府采购活动前 3 年内在经营活动中没有重大违法记录的书面声明</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六、特定资格要求的证明文件（如果本项目设置特定资格要求，则需要提供）</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七、法人授权书</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八、投标函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九、小微企业声明函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十、残疾人福利性单位声明函</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十一、技术要求响应及偏离表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十二、商务要求响应及偏离表</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十三、开标一览表</w:t>
      </w:r>
      <w:r>
        <w:rPr>
          <w:rFonts w:hint="eastAsia"/>
          <w:iCs/>
          <w:color w:val="000000"/>
          <w:highlight w:val="none"/>
        </w:rPr>
      </w:r>
      <w:r/>
    </w:p>
    <w:p>
      <w:pPr>
        <w:pStyle w:val="688"/>
        <w:ind w:firstLine="480"/>
        <w:spacing w:before="0" w:beforeAutospacing="0" w:after="0" w:afterAutospacing="0" w:line="400" w:lineRule="exact"/>
        <w:rPr>
          <w:rFonts w:hint="eastAsia"/>
          <w:highlight w:val="none"/>
        </w:rPr>
      </w:pPr>
      <w:r>
        <w:rPr>
          <w:rFonts w:hint="eastAsia"/>
          <w:iCs/>
          <w:color w:val="000000"/>
          <w:highlight w:val="none"/>
        </w:rPr>
        <w:t xml:space="preserve">十四、分项报价表</w:t>
      </w:r>
      <w:r>
        <w:rPr>
          <w:rFonts w:hint="eastAsia"/>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十五、技术方案、服务承诺、培训承诺等</w:t>
      </w:r>
      <w:r>
        <w:rPr>
          <w:rFonts w:hint="eastAsia"/>
          <w:iCs/>
          <w:color w:val="000000"/>
          <w:highlight w:val="none"/>
        </w:rPr>
      </w:r>
      <w:r/>
    </w:p>
    <w:p>
      <w:pPr>
        <w:pStyle w:val="688"/>
        <w:ind w:firstLine="480"/>
        <w:jc w:val="both"/>
        <w:spacing w:before="0" w:beforeAutospacing="0" w:after="0" w:afterAutospacing="0" w:line="400" w:lineRule="exact"/>
        <w:rPr>
          <w:rFonts w:hint="eastAsia"/>
          <w:iCs/>
          <w:color w:val="000000"/>
          <w:highlight w:val="none"/>
        </w:rPr>
      </w:pPr>
      <w:r>
        <w:rPr>
          <w:rFonts w:hint="eastAsia"/>
          <w:iCs/>
          <w:color w:val="000000"/>
          <w:highlight w:val="none"/>
        </w:rPr>
        <w:t xml:space="preserve">十六、政府采购事前信用承诺书</w:t>
      </w:r>
      <w:r>
        <w:rPr>
          <w:rFonts w:hint="eastAsia"/>
          <w:iCs/>
          <w:color w:val="000000"/>
          <w:highlight w:val="none"/>
        </w:rPr>
      </w:r>
      <w:r/>
    </w:p>
    <w:p>
      <w:pPr>
        <w:pStyle w:val="688"/>
        <w:jc w:val="both"/>
        <w:spacing w:beforeAutospacing="0" w:afterAutospacing="0" w:line="360" w:lineRule="auto"/>
        <w:rPr>
          <w:rFonts w:hint="eastAsia"/>
          <w:color w:val="000000"/>
          <w:highlight w:val="none"/>
        </w:rPr>
      </w:pPr>
      <w:r>
        <w:rPr>
          <w:rFonts w:hint="eastAsia"/>
          <w:color w:val="000000"/>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一、法人或者其他组织的营业执照等证明文件</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eastAsia="黑体"/>
          <w:highlight w:val="none"/>
        </w:rPr>
      </w:pPr>
      <w:r/>
      <w:bookmarkStart w:id="130" w:name="_Hlk203659066"/>
      <w:r>
        <w:rPr>
          <w:rFonts w:hint="eastAsia" w:ascii="黑体" w:eastAsia="黑体" w:cs="黑体"/>
          <w:i/>
          <w:color w:val="000000"/>
          <w:sz w:val="32"/>
          <w:szCs w:val="32"/>
          <w:highlight w:val="none"/>
          <w:u w:val="single"/>
        </w:rPr>
        <w:t xml:space="preserve">二、上一年度的财务状况报告</w:t>
      </w:r>
      <w:r>
        <w:rPr>
          <w:rFonts w:hint="eastAsia" w:eastAsia="黑体"/>
          <w:highlight w:val="none"/>
        </w:rPr>
      </w:r>
      <w:r/>
    </w:p>
    <w:p>
      <w:pPr>
        <w:pStyle w:val="638"/>
        <w:ind w:firstLine="480"/>
        <w:jc w:val="left"/>
        <w:tabs>
          <w:tab w:val="left" w:pos="1331" w:leader="none"/>
        </w:tabs>
        <w:rPr>
          <w:iCs/>
          <w:highlight w:val="none"/>
        </w:rPr>
      </w:pPr>
      <w:r>
        <w:rPr>
          <w:rFonts w:hint="eastAsia" w:ascii="宋体" w:hAnsi="宋体" w:cs="宋体"/>
          <w:iCs/>
          <w:color w:val="000000"/>
          <w:sz w:val="24"/>
          <w:highlight w:val="none"/>
        </w:rPr>
        <w:t xml:space="preserve">（至少提供资产负债表、利润表、现金流量表，投标人成立不满一年无需提供</w:t>
      </w:r>
      <w:r>
        <w:rPr>
          <w:rFonts w:hint="eastAsia" w:ascii="宋体" w:hAnsi="宋体" w:cs="宋体"/>
          <w:iCs/>
          <w:color w:val="000000"/>
          <w:highlight w:val="none"/>
        </w:rPr>
        <w:t xml:space="preserve">）</w:t>
      </w:r>
      <w:bookmarkEnd w:id="130"/>
      <w:r>
        <w:rPr>
          <w:iCs/>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三、具备履行合同所必需的设备和专业技术能力的书面声明</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highlight w:val="none"/>
        </w:rPr>
      </w:r>
      <w:r/>
    </w:p>
    <w:p>
      <w:pPr>
        <w:pStyle w:val="688"/>
        <w:ind w:firstLine="492"/>
        <w:jc w:val="both"/>
        <w:spacing w:beforeAutospacing="0" w:afterAutospacing="0" w:line="0" w:lineRule="atLeast"/>
        <w:rPr>
          <w:rFonts w:hint="eastAsia"/>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四、依法缴纳税收和社会保障资金的相关材料</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五、参加政府采购活动前 3 年内在经营活动中没有重大违法记录的书面声明</w:t>
      </w:r>
      <w:r>
        <w:rPr>
          <w:rFonts w:hint="eastAsia"/>
          <w:highlight w:val="none"/>
        </w:rPr>
      </w:r>
      <w:r/>
    </w:p>
    <w:p>
      <w:pPr>
        <w:pStyle w:val="688"/>
        <w:ind w:firstLine="3092"/>
        <w:jc w:val="both"/>
        <w:spacing w:beforeAutospacing="0" w:afterAutospacing="0" w:line="0" w:lineRule="atLeast"/>
        <w:rPr>
          <w:rFonts w:hint="eastAsia"/>
          <w:highlight w:val="none"/>
        </w:rPr>
      </w:pPr>
      <w:r>
        <w:rPr>
          <w:rFonts w:hint="eastAsia"/>
          <w:b/>
          <w:color w:val="000000"/>
          <w:sz w:val="44"/>
          <w:szCs w:val="44"/>
          <w:highlight w:val="none"/>
        </w:rPr>
        <w:t xml:space="preserve"> 声  明</w:t>
      </w:r>
      <w:r>
        <w:rPr>
          <w:rFonts w:hint="eastAsia"/>
          <w:highlight w:val="none"/>
        </w:rPr>
      </w:r>
      <w:r/>
    </w:p>
    <w:p>
      <w:pPr>
        <w:pStyle w:val="688"/>
        <w:jc w:val="both"/>
        <w:spacing w:beforeAutospacing="0" w:afterAutospacing="0" w:line="0" w:lineRule="atLeast"/>
        <w:rPr>
          <w:rFonts w:hint="eastAsia"/>
          <w:highlight w:val="none"/>
        </w:rPr>
      </w:pPr>
      <w:r>
        <w:rPr>
          <w:rFonts w:hint="eastAsia"/>
          <w:b/>
          <w:color w:val="000000"/>
          <w:highlight w:val="none"/>
        </w:rPr>
        <w:t xml:space="preserve">  </w:t>
      </w:r>
      <w:r>
        <w:rPr>
          <w:rFonts w:hint="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688"/>
        <w:jc w:val="both"/>
        <w:spacing w:beforeAutospacing="0" w:afterAutospacing="0"/>
        <w:rPr>
          <w:rFonts w:hint="eastAsia"/>
          <w:highlight w:val="none"/>
        </w:rPr>
      </w:pPr>
      <w:r>
        <w:rPr>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ascii="黑体" w:eastAsia="黑体" w:cs="黑体"/>
          <w:i/>
          <w:color w:val="000000"/>
          <w:sz w:val="32"/>
          <w:szCs w:val="32"/>
          <w:highlight w:val="none"/>
          <w:u w:val="single"/>
        </w:rPr>
        <w:t xml:space="preserve">六、特定资格要求的证明文件</w:t>
      </w:r>
      <w:r>
        <w:rPr>
          <w:rFonts w:hint="eastAsia"/>
          <w:highlight w:val="none"/>
        </w:rPr>
      </w:r>
      <w:r/>
    </w:p>
    <w:p>
      <w:pPr>
        <w:pStyle w:val="638"/>
        <w:ind w:firstLine="420"/>
        <w:spacing w:line="400" w:lineRule="exact"/>
        <w:rPr>
          <w:highlight w:val="none"/>
        </w:rPr>
      </w:pPr>
      <w:r>
        <w:rPr>
          <w:rFonts w:hint="eastAsia"/>
          <w:color w:val="000000"/>
          <w:highlight w:val="none"/>
        </w:rPr>
        <w:t xml:space="preserve">   如果本项目申请人的特定资格要求中要求提供的，必须提供。</w:t>
      </w:r>
      <w:r>
        <w:rPr>
          <w:highlight w:val="non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r>
      <w:r/>
    </w:p>
    <w:p>
      <w:pPr>
        <w:pStyle w:val="688"/>
        <w:jc w:val="center"/>
        <w:spacing w:beforeAutospacing="0" w:afterAutospacing="0"/>
        <w:rPr>
          <w:rFonts w:hint="eastAsia"/>
          <w:highlight w:val="none"/>
        </w:rPr>
      </w:pPr>
      <w:r>
        <w:rPr>
          <w:rFonts w:hint="eastAsia" w:ascii="黑体" w:eastAsia="黑体" w:cs="黑体"/>
          <w:i/>
          <w:color w:val="000000"/>
          <w:sz w:val="32"/>
          <w:szCs w:val="32"/>
          <w:highlight w:val="none"/>
          <w:u w:val="single"/>
        </w:rPr>
        <w:t xml:space="preserve">七、法人授权书</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本授权书于______年____月____日起生效，特此声明。</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（加盖公章）</w:t>
      </w:r>
      <w:r>
        <w:rPr>
          <w:rFonts w:hint="eastAsia"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88"/>
        <w:ind w:firstLine="480"/>
        <w:jc w:val="both"/>
        <w:spacing w:before="0" w:beforeAutospacing="0" w:after="0" w:afterAutospacing="0" w:line="440" w:lineRule="exact"/>
        <w:tabs>
          <w:tab w:val="left" w:pos="360" w:leader="none"/>
        </w:tabs>
        <w:rPr>
          <w:rFonts w:hint="eastAsia"/>
          <w:highlight w:val="none"/>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rPr>
          <w:rFonts w:hint="eastAsia" w:ascii="Times New Roman" w:hAnsi="Times New Roman"/>
          <w:color w:val="000000"/>
          <w:highlight w:val="none"/>
          <w:u w:val="single"/>
        </w:rPr>
        <w:t xml:space="preserve">              </w:t>
      </w:r>
      <w:r>
        <w:rPr>
          <w:rFonts w:ascii="Times New Roman" w:hAnsi="Times New Roman"/>
          <w:color w:val="000000"/>
          <w:highlight w:val="none"/>
          <w:u w:val="single"/>
        </w:rPr>
        <w:t xml:space="preserve">    </w:t>
      </w:r>
      <w:r>
        <w:rPr>
          <w:rFonts w:hint="eastAsia"/>
          <w:highlight w:val="none"/>
        </w:rPr>
      </w:r>
      <w:r/>
    </w:p>
    <w:p>
      <w:pPr>
        <w:pStyle w:val="638"/>
        <w:rPr>
          <w:highlight w:val="none"/>
        </w:rPr>
      </w:pPr>
      <w:r>
        <w:rPr>
          <w:highlight w:val="none"/>
        </w:rPr>
      </w:r>
      <w:r/>
    </w:p>
    <w:p>
      <w:pPr>
        <w:pStyle w:val="688"/>
        <w:jc w:val="both"/>
        <w:spacing w:beforeAutospacing="0" w:afterAutospacing="0" w:line="0" w:lineRule="atLeast"/>
        <w:rPr>
          <w:rFonts w:hint="eastAsia"/>
          <w:highlight w:val="none"/>
        </w:rPr>
      </w:pPr>
      <w:r>
        <w:rPr>
          <w:rFonts w:hint="eastAsia"/>
          <w:highlight w:val="none"/>
        </w:rPr>
      </w:r>
      <w:r/>
    </w:p>
    <w:p>
      <w:pPr>
        <w:pStyle w:val="638"/>
        <w:rPr>
          <w:highlight w:val="none"/>
        </w:rPr>
      </w:pPr>
      <w:r>
        <w:rPr>
          <w:highlight w:val="none"/>
        </w:rPr>
      </w:r>
      <w:r/>
    </w:p>
    <w:p>
      <w:pPr>
        <w:pStyle w:val="638"/>
        <w:rPr>
          <w:highlight w:val="none"/>
        </w:rPr>
      </w:pPr>
      <w:r>
        <w:rPr>
          <w:highlight w:val="none"/>
        </w:rPr>
      </w:r>
      <w:r/>
    </w:p>
    <w:p>
      <w:pPr>
        <w:pStyle w:val="638"/>
        <w:jc w:val="center"/>
        <w:rPr>
          <w:highlight w:val="none"/>
        </w:rPr>
      </w:pPr>
      <w:r>
        <w:rPr>
          <w:rFonts w:hint="eastAsia"/>
          <w:highlight w:val="none"/>
        </w:rPr>
        <w:br w:type="page" w:clear="all"/>
      </w:r>
      <w:r>
        <w:rPr>
          <w:rFonts w:hint="eastAsia" w:ascii="黑体" w:eastAsia="黑体" w:cs="黑体"/>
          <w:b/>
          <w:i/>
          <w:color w:val="000000"/>
          <w:sz w:val="32"/>
          <w:szCs w:val="32"/>
          <w:highlight w:val="none"/>
          <w:u w:val="single"/>
        </w:rPr>
        <w:t xml:space="preserve">八、投标函</w:t>
      </w:r>
      <w:r>
        <w:rPr>
          <w:highlight w:val="none"/>
        </w:rPr>
      </w:r>
      <w:r/>
    </w:p>
    <w:p>
      <w:pPr>
        <w:pStyle w:val="688"/>
        <w:spacing w:beforeAutospacing="0" w:afterAutospacing="0" w:line="0" w:lineRule="atLeast"/>
        <w:rPr>
          <w:rFonts w:hint="eastAsia"/>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根据贵方的JSZC-***</w:t>
      </w:r>
      <w:r>
        <w:rPr>
          <w:rFonts w:hint="eastAsia"/>
          <w:b/>
          <w:color w:val="000000"/>
          <w:sz w:val="36"/>
          <w:szCs w:val="36"/>
          <w:highlight w:val="none"/>
          <w:u w:val="single"/>
        </w:rPr>
        <w:t xml:space="preserve">            </w:t>
      </w:r>
      <w:r>
        <w:rPr>
          <w:rFonts w:hint="eastAsia"/>
          <w:color w:val="000000"/>
          <w:highlight w:val="none"/>
        </w:rPr>
        <w:t xml:space="preserve">号招标文件，正式授权下述签字人_________________(姓名)代表我方______________（投标人的名称），全权处理本次项目投标的有关事宜。</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据此函，__________签字人兹宣布同意如下：</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1.按招标文件规定的各项要求，向买方提供所需货物（包含与货物相关的服务）。</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2.我们完全理解贵方不一定将合同授予最低报价的投标人。</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3.我们已详细审核全部招标文件及其有效补充文件，我们知道必须放弃提出含糊不清或误解问题的权利。</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4.我们同意从规定的开标日期起遵循本投标文件，并在规定的投标有效期期满之前均具有约束力。</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6.一旦我方中标,我方将根据招标文件的规定，严格履行合同的责任和义务,并保证在招标文件规定的时间完成项目，交付买方验收、使用。</w:t>
      </w:r>
      <w:r>
        <w:rPr>
          <w:rFonts w:hint="eastAsia"/>
          <w:highlight w:val="none"/>
        </w:rPr>
      </w:r>
      <w:r/>
    </w:p>
    <w:p>
      <w:pPr>
        <w:pStyle w:val="688"/>
        <w:ind w:firstLine="480"/>
        <w:spacing w:before="0" w:beforeAutospacing="0" w:after="0" w:afterAutospacing="0" w:line="440" w:lineRule="exact"/>
        <w:rPr>
          <w:rFonts w:hint="eastAsia"/>
          <w:highlight w:val="none"/>
        </w:rPr>
      </w:pPr>
      <w:r>
        <w:rPr>
          <w:rFonts w:hint="eastAsia"/>
          <w:color w:val="000000"/>
          <w:highlight w:val="none"/>
        </w:rPr>
        <w:t xml:space="preserve">7.与本投标有关的正式通讯地址为：</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地     址：</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邮     编：</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电     话：</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传     真：</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投标人开户行：</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账    号：</w:t>
      </w:r>
      <w:r>
        <w:rPr>
          <w:rFonts w:hint="eastAsia"/>
          <w:highlight w:val="none"/>
        </w:rPr>
      </w:r>
      <w:r/>
    </w:p>
    <w:p>
      <w:pPr>
        <w:pStyle w:val="688"/>
        <w:ind w:left="420" w:firstLine="480"/>
        <w:spacing w:beforeAutospacing="0" w:afterAutospacing="0" w:line="0" w:lineRule="atLeast"/>
        <w:rPr>
          <w:rFonts w:hint="eastAsia"/>
          <w:highlight w:val="none"/>
        </w:rPr>
      </w:pPr>
      <w:r>
        <w:rPr>
          <w:rFonts w:hint="eastAsia"/>
          <w:color w:val="000000"/>
          <w:highlight w:val="none"/>
        </w:rPr>
        <w:t xml:space="preserve">日    期：________年____月____日</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240"/>
        <w:jc w:val="center"/>
        <w:spacing w:beforeAutospacing="0" w:afterAutospacing="0" w:line="0" w:lineRule="atLeast"/>
        <w:rPr>
          <w:rFonts w:hint="eastAsia"/>
          <w:highlight w:val="none"/>
        </w:rPr>
      </w:pPr>
      <w:r>
        <w:rPr>
          <w:rFonts w:hint="eastAsia"/>
          <w:highlight w:val="none"/>
        </w:rPr>
      </w:r>
      <w:r/>
    </w:p>
    <w:p>
      <w:pPr>
        <w:pStyle w:val="688"/>
        <w:ind w:firstLine="321"/>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t xml:space="preserve">九、小微企业声明函（货物）</w:t>
      </w:r>
      <w:r>
        <w:rPr>
          <w:rFonts w:hint="eastAsia"/>
          <w:highlight w:val="none"/>
        </w:rPr>
      </w:r>
      <w:r/>
    </w:p>
    <w:p>
      <w:pPr>
        <w:pStyle w:val="688"/>
        <w:ind w:firstLine="360"/>
        <w:jc w:val="both"/>
        <w:spacing w:beforeAutospacing="0" w:afterAutospacing="0" w:line="0" w:lineRule="atLeast"/>
        <w:rPr>
          <w:rFonts w:hint="eastAsia"/>
          <w:color w:val="000000"/>
          <w:highlight w:val="none"/>
        </w:rPr>
      </w:pPr>
      <w:r>
        <w:rPr>
          <w:rFonts w:hint="eastAsia"/>
          <w:color w:val="000000"/>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color w:val="000000"/>
          <w:highlight w:val="none"/>
          <w:u w:val="single"/>
        </w:rPr>
        <w:t xml:space="preserve">（采购单位名称）</w:t>
      </w:r>
      <w:r>
        <w:rPr>
          <w:rFonts w:hint="eastAsia"/>
          <w:color w:val="000000"/>
          <w:highlight w:val="none"/>
        </w:rPr>
        <w:t xml:space="preserve">组织的采购编号为</w:t>
      </w:r>
      <w:r>
        <w:rPr>
          <w:rFonts w:hint="eastAsia"/>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w:t>
      </w:r>
      <w:r>
        <w:rPr>
          <w:rFonts w:hint="eastAsia"/>
          <w:color w:val="000000"/>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1.</w:t>
      </w:r>
      <w:r>
        <w:rPr>
          <w:rFonts w:hint="eastAsia"/>
          <w:color w:val="000000"/>
          <w:highlight w:val="none"/>
          <w:u w:val="single"/>
        </w:rPr>
        <w:t xml:space="preserve">（</w:t>
      </w:r>
      <w:r>
        <w:rPr>
          <w:rFonts w:hint="eastAsia" w:ascii="宋体" w:hAnsi="宋体" w:eastAsia="宋体"/>
          <w:highlight w:val="none"/>
          <w:u w:val="single"/>
        </w:rPr>
        <w:t xml:space="preserve">全株玉米青贮饲料</w:t>
      </w:r>
      <w:r>
        <w:rPr>
          <w:rFonts w:hint="eastAsia"/>
          <w:color w:val="000000"/>
          <w:highlight w:val="none"/>
          <w:u w:val="single"/>
        </w:rPr>
        <w:t xml:space="preserve">）</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制造业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highlight w:val="none"/>
        </w:rPr>
      </w:r>
      <w:r/>
    </w:p>
    <w:p>
      <w:pPr>
        <w:pStyle w:val="688"/>
        <w:ind w:firstLine="360"/>
        <w:jc w:val="both"/>
        <w:spacing w:beforeAutospacing="0" w:afterAutospacing="0" w:line="0" w:lineRule="atLeast"/>
        <w:rPr>
          <w:rFonts w:hint="eastAsia"/>
          <w:highlight w:val="none"/>
        </w:rPr>
      </w:pPr>
      <w:r>
        <w:rPr>
          <w:rFonts w:hint="eastAsia"/>
          <w:color w:val="000000"/>
          <w:highlight w:val="none"/>
        </w:rPr>
        <w:t xml:space="preserve">本企业对上述声明内容的真实性负责。如有虚假，将依法承担相应责任。</w:t>
      </w:r>
      <w:r>
        <w:rPr>
          <w:rFonts w:hint="eastAsia"/>
          <w:highlight w:val="none"/>
        </w:rPr>
      </w:r>
      <w:r/>
    </w:p>
    <w:p>
      <w:pPr>
        <w:pStyle w:val="688"/>
        <w:ind w:right="72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right="1140" w:firstLine="2160"/>
        <w:spacing w:beforeAutospacing="0" w:afterAutospacing="0" w:line="0" w:lineRule="atLeast"/>
        <w:rPr>
          <w:rFonts w:hint="eastAsia"/>
          <w:highlight w:val="none"/>
        </w:rPr>
      </w:pPr>
      <w:r>
        <w:rPr>
          <w:rFonts w:hint="eastAsia"/>
          <w:color w:val="000000"/>
          <w:highlight w:val="none"/>
        </w:rPr>
        <w:t xml:space="preserve">企业名称（加盖公章）：</w:t>
      </w:r>
      <w:r>
        <w:rPr>
          <w:rFonts w:hint="eastAsia"/>
          <w:highlight w:val="none"/>
        </w:rPr>
      </w:r>
      <w:r/>
    </w:p>
    <w:p>
      <w:pPr>
        <w:pStyle w:val="688"/>
        <w:ind w:right="480" w:firstLine="2880"/>
        <w:jc w:val="both"/>
        <w:spacing w:beforeAutospacing="0" w:afterAutospacing="0" w:line="0" w:lineRule="atLeast"/>
        <w:rPr>
          <w:rFonts w:hint="eastAsia"/>
          <w:highlight w:val="none"/>
        </w:rPr>
      </w:pPr>
      <w:r>
        <w:rPr>
          <w:rFonts w:hint="eastAsia"/>
          <w:color w:val="000000"/>
          <w:highlight w:val="none"/>
        </w:rPr>
        <w:t xml:space="preserve">日  期：</w:t>
      </w:r>
      <w:r>
        <w:rPr>
          <w:rFonts w:hint="eastAsia"/>
          <w:highlight w:val="none"/>
        </w:rPr>
      </w:r>
      <w:r/>
    </w:p>
    <w:p>
      <w:pPr>
        <w:pStyle w:val="688"/>
        <w:ind w:firstLine="36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备注1：从业人员、营业收入、资产总额填报上一年度数据，无上一年度数据的新成立企业可不填报。</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备注2：供应商如不提供此声明函，价格将不做相应扣除（如项目全面面向中小企业，则资格审查不通过）。</w:t>
      </w:r>
      <w:r>
        <w:rPr>
          <w:rFonts w:hint="eastAsia"/>
          <w:highlight w:val="none"/>
        </w:rPr>
      </w:r>
      <w:r/>
    </w:p>
    <w:p>
      <w:pPr>
        <w:pStyle w:val="688"/>
        <w:jc w:val="center"/>
        <w:spacing w:beforeAutospacing="0" w:afterAutospacing="0" w:line="0" w:lineRule="atLeast"/>
        <w:rPr>
          <w:rFonts w:hint="eastAsia"/>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highlight w:val="none"/>
          <w:u w:val="single"/>
        </w:rPr>
        <w:t xml:space="preserve">（采购单位名称）</w:t>
      </w:r>
      <w:r>
        <w:rPr>
          <w:rFonts w:hint="eastAsia"/>
          <w:color w:val="000000"/>
          <w:highlight w:val="none"/>
        </w:rPr>
        <w:t xml:space="preserve">的采购文件编号为______的</w:t>
      </w:r>
      <w:r>
        <w:rPr>
          <w:rFonts w:hint="eastAsia"/>
          <w:color w:val="000000"/>
          <w:highlight w:val="none"/>
          <w:u w:val="single"/>
        </w:rPr>
        <w:t xml:space="preserve">       </w:t>
      </w:r>
      <w:r>
        <w:rPr>
          <w:rFonts w:hint="eastAsia"/>
          <w:color w:val="000000"/>
          <w:highlight w:val="none"/>
        </w:rPr>
        <w:t xml:space="preserve">项目采购活动提供本单位制造的货物，或者提供其他残疾人福利性单位制造的货物（不包括使用非残疾人福利性单位注册商标的货物）。</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本单位对上述声明的真实性负责。如有虚假，将依法承担相应责任。</w:t>
      </w:r>
      <w:r>
        <w:rPr>
          <w:rFonts w:hint="eastAsia"/>
          <w:highlight w:val="none"/>
        </w:rPr>
      </w:r>
      <w:r/>
    </w:p>
    <w:p>
      <w:pPr>
        <w:pStyle w:val="688"/>
        <w:ind w:firstLine="480"/>
        <w:jc w:val="both"/>
        <w:spacing w:beforeAutospacing="0" w:afterAutospacing="0" w:line="0" w:lineRule="atLeast"/>
        <w:rPr>
          <w:rFonts w:hint="eastAsia"/>
          <w:highlight w:val="none"/>
        </w:rPr>
      </w:pPr>
      <w:r>
        <w:rPr>
          <w:highlight w:val="none"/>
        </w:rPr>
        <w:t xml:space="preserve"> </w:t>
      </w:r>
      <w:r>
        <w:rPr>
          <w:rFonts w:hint="eastAsia"/>
          <w:highlight w:val="none"/>
        </w:rPr>
      </w:r>
      <w:r/>
    </w:p>
    <w:p>
      <w:pPr>
        <w:pStyle w:val="688"/>
        <w:ind w:firstLine="480"/>
        <w:jc w:val="both"/>
        <w:spacing w:beforeAutospacing="0" w:afterAutospacing="0" w:line="0" w:lineRule="atLeast"/>
        <w:rPr>
          <w:rFonts w:hint="eastAsia"/>
          <w:color w:val="000000"/>
          <w:highlight w:val="none"/>
        </w:rPr>
      </w:pPr>
      <w:r>
        <w:rPr>
          <w:rFonts w:hint="eastAsia"/>
          <w:color w:val="000000"/>
          <w:highlight w:val="none"/>
        </w:rPr>
        <w:t xml:space="preserve">备注：1、供应商如不提供此声明函，价格将不做相应扣除（如项目全面面向中小企业，则资格审查不通过）。</w:t>
      </w:r>
      <w:r>
        <w:rPr>
          <w:rFonts w:hint="eastAsia"/>
          <w:color w:val="000000"/>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2、中标供应商为残疾人福利单位的，此声明函将随中标结果同时公告，接受社会监督。</w:t>
      </w:r>
      <w:r>
        <w:rPr>
          <w:rFonts w:hint="eastAsia"/>
          <w:highlight w:val="none"/>
        </w:rPr>
      </w:r>
      <w:r/>
    </w:p>
    <w:p>
      <w:pPr>
        <w:pStyle w:val="688"/>
        <w:ind w:firstLine="480"/>
        <w:jc w:val="both"/>
        <w:spacing w:beforeAutospacing="0" w:afterAutospacing="0" w:line="0" w:lineRule="atLeast"/>
        <w:rPr>
          <w:rFonts w:hint="eastAsia"/>
          <w:highlight w:val="none"/>
        </w:rPr>
      </w:pPr>
      <w:r>
        <w:rPr>
          <w:rFonts w:hint="eastAsia"/>
          <w:color w:val="000000"/>
          <w:highlight w:val="none"/>
        </w:rPr>
        <w:t xml:space="preserve">3、如供应商不是残疾人福利性单位，不需要提供此表。</w:t>
      </w:r>
      <w:r>
        <w:rPr>
          <w:rFonts w:hint="eastAsia"/>
          <w:highlight w:val="none"/>
        </w:rPr>
      </w:r>
      <w:r/>
    </w:p>
    <w:p>
      <w:pPr>
        <w:pStyle w:val="688"/>
        <w:ind w:firstLine="624"/>
        <w:jc w:val="both"/>
        <w:spacing w:beforeAutospacing="0" w:afterAutospacing="0" w:line="0" w:lineRule="atLeast"/>
        <w:rPr>
          <w:rFonts w:hint="eastAsia"/>
          <w:highlight w:val="none"/>
        </w:rPr>
      </w:pPr>
      <w:r>
        <w:rPr>
          <w:rFonts w:hint="eastAsia"/>
          <w:highlight w:val="none"/>
        </w:rPr>
      </w:r>
      <w:r/>
    </w:p>
    <w:p>
      <w:pPr>
        <w:pStyle w:val="688"/>
        <w:ind w:right="1560" w:firstLine="624"/>
        <w:jc w:val="center"/>
        <w:spacing w:beforeAutospacing="0" w:afterAutospacing="0" w:line="0" w:lineRule="atLeast"/>
        <w:tabs>
          <w:tab w:val="left" w:pos="4864" w:leader="none"/>
        </w:tabs>
        <w:rPr>
          <w:rFonts w:hint="eastAsia"/>
          <w:highlight w:val="none"/>
        </w:rPr>
      </w:pPr>
      <w:r>
        <w:rPr>
          <w:rFonts w:ascii="仿宋_GB2312" w:eastAsia="仿宋_GB2312" w:cs="仿宋_GB2312"/>
          <w:color w:val="000000"/>
          <w:sz w:val="30"/>
          <w:szCs w:val="30"/>
          <w:highlight w:val="none"/>
        </w:rPr>
        <w:t xml:space="preserve"> </w:t>
      </w:r>
      <w:r>
        <w:rPr>
          <w:rFonts w:hint="eastAsia"/>
          <w:color w:val="000000"/>
          <w:highlight w:val="none"/>
        </w:rPr>
        <w:t xml:space="preserve"> 供应商全称（加盖公章）：</w:t>
      </w:r>
      <w:r>
        <w:rPr>
          <w:rFonts w:hint="eastAsia"/>
          <w:highlight w:val="none"/>
        </w:rPr>
      </w:r>
      <w:r/>
    </w:p>
    <w:p>
      <w:pPr>
        <w:pStyle w:val="688"/>
        <w:ind w:right="1560" w:firstLine="480"/>
        <w:jc w:val="center"/>
        <w:spacing w:beforeAutospacing="0" w:afterAutospacing="0" w:line="0" w:lineRule="atLeast"/>
        <w:tabs>
          <w:tab w:val="left" w:pos="4864" w:leader="none"/>
        </w:tabs>
        <w:rPr>
          <w:rFonts w:hint="eastAsia"/>
          <w:highlight w:val="none"/>
        </w:rPr>
      </w:pPr>
      <w:r>
        <w:rPr>
          <w:rFonts w:hint="eastAsia"/>
          <w:color w:val="000000"/>
          <w:highlight w:val="none"/>
        </w:rPr>
        <w:t xml:space="preserve">        日  期：</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line="0" w:lineRule="atLeast"/>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十一、技术要求响应及偏离表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序号</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ascii="黑体" w:eastAsia="黑体" w:cs="黑体"/>
          <w:b/>
          <w:color w:val="000000"/>
          <w:sz w:val="32"/>
          <w:szCs w:val="32"/>
          <w:highlight w:val="none"/>
        </w:rPr>
        <w:t xml:space="preserve">十二、商务要求响应及偏离表</w:t>
      </w:r>
      <w:r>
        <w:rPr>
          <w:rFonts w:hint="eastAsia"/>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bookmarkStart w:id="131" w:name="_Hlt26671343"/>
            <w:r/>
            <w:bookmarkStart w:id="132" w:name="_Hlt26955064"/>
            <w:r/>
            <w:bookmarkStart w:id="133" w:name="_Hlt26609391"/>
            <w:r/>
            <w:bookmarkStart w:id="134" w:name="_Hlt26671372"/>
            <w:r/>
            <w:bookmarkStart w:id="135" w:name="_Hlt24879081"/>
            <w:r/>
            <w:bookmarkStart w:id="136" w:name="_Hlt26782999"/>
            <w:r/>
            <w:bookmarkStart w:id="137" w:name="_Hlt26580838"/>
            <w:r/>
            <w:bookmarkStart w:id="138" w:name="_Hlt26955056"/>
            <w:r>
              <w:rPr>
                <w:rFonts w:hint="eastAsia"/>
                <w:color w:val="000000"/>
                <w:highlight w:val="none"/>
              </w:rPr>
              <w:t xml:space="preserve">序号</w:t>
            </w:r>
            <w:bookmarkEnd w:id="131"/>
            <w:r/>
            <w:bookmarkEnd w:id="132"/>
            <w:r/>
            <w:bookmarkEnd w:id="133"/>
            <w:r/>
            <w:bookmarkEnd w:id="134"/>
            <w:r/>
            <w:bookmarkEnd w:id="135"/>
            <w:r/>
            <w:bookmarkEnd w:id="136"/>
            <w:r/>
            <w:bookmarkEnd w:id="137"/>
            <w:r/>
            <w:bookmarkEnd w:id="138"/>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招标文件要求</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投标响应情况</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超出、符合或偏离</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证明</w:t>
            </w:r>
            <w:r>
              <w:rPr>
                <w:rFonts w:hint="eastAsia"/>
                <w:highlight w:val="none"/>
              </w:rPr>
            </w:r>
            <w:r/>
          </w:p>
          <w:p>
            <w:pPr>
              <w:pStyle w:val="688"/>
              <w:jc w:val="center"/>
              <w:spacing w:beforeAutospacing="0" w:afterAutospacing="0"/>
              <w:rPr>
                <w:rFonts w:hint="eastAsia"/>
                <w:highlight w:val="none"/>
              </w:rPr>
            </w:pPr>
            <w:r>
              <w:rPr>
                <w:rFonts w:hint="eastAsia"/>
                <w:color w:val="000000"/>
                <w:highlight w:val="none"/>
              </w:rPr>
              <w:t xml:space="preserve">材料</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8"/>
              <w:jc w:val="center"/>
              <w:spacing w:beforeAutospacing="0" w:afterAutospacing="0"/>
              <w:rPr>
                <w:rFonts w:hint="eastAsia"/>
                <w:highlight w:val="none"/>
              </w:rPr>
            </w:pPr>
            <w:r>
              <w:rPr>
                <w:rFonts w:hint="eastAsia"/>
                <w:color w:val="000000"/>
                <w:highlight w:val="none"/>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8"/>
              <w:jc w:val="center"/>
              <w:spacing w:beforeAutospacing="0" w:afterAutospacing="0"/>
              <w:rPr>
                <w:rFonts w:hint="eastAsia"/>
                <w:highlight w:val="none"/>
              </w:rPr>
            </w:pPr>
            <w:r>
              <w:rPr>
                <w:highlight w:val="none"/>
              </w:rPr>
              <w:t xml:space="preserve"> </w:t>
            </w:r>
            <w:r>
              <w:rPr>
                <w:rFonts w:hint="eastAsia"/>
                <w:highlight w:val="none"/>
              </w:rPr>
            </w:r>
            <w:r/>
          </w:p>
        </w:tc>
      </w:tr>
    </w:tbl>
    <w:p>
      <w:pPr>
        <w:pStyle w:val="688"/>
        <w:jc w:val="both"/>
        <w:spacing w:beforeAutospacing="0" w:afterAutospacing="0"/>
        <w:rPr>
          <w:rFonts w:hint="eastAsia"/>
          <w:highlight w:val="none"/>
        </w:rPr>
      </w:pPr>
      <w:r>
        <w:rPr>
          <w:rFonts w:hint="eastAsia"/>
          <w:color w:val="000000"/>
          <w:highlight w:val="none"/>
        </w:rPr>
        <w:t xml:space="preserve">注： 行数不够，可自行添加。</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both"/>
        <w:spacing w:beforeAutospacing="0" w:afterAutospacing="0" w:line="480" w:lineRule="auto"/>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highlight w:val="none"/>
        </w:rPr>
        <w:t xml:space="preserve"> </w:t>
      </w:r>
      <w:r>
        <w:rPr>
          <w:rFonts w:hint="eastAsia"/>
          <w:highlight w:val="none"/>
        </w:rPr>
      </w:r>
      <w:r/>
    </w:p>
    <w:p>
      <w:pPr>
        <w:pStyle w:val="688"/>
        <w:jc w:val="center"/>
        <w:spacing w:beforeAutospacing="0" w:afterAutospacing="0"/>
        <w:rPr>
          <w:rFonts w:hint="eastAsia"/>
          <w:highlight w:val="none"/>
        </w:rPr>
      </w:pPr>
      <w:r>
        <w:rPr>
          <w:rFonts w:hint="eastAsia" w:ascii="黑体" w:eastAsia="黑体" w:cs="黑体"/>
          <w:b/>
          <w:i/>
          <w:iCs/>
          <w:color w:val="000000"/>
          <w:sz w:val="32"/>
          <w:szCs w:val="32"/>
          <w:highlight w:val="none"/>
        </w:rPr>
        <w:t xml:space="preserve">十三、</w:t>
      </w:r>
      <w:r>
        <w:rPr>
          <w:rFonts w:hint="eastAsia" w:ascii="黑体" w:eastAsia="黑体" w:cs="黑体"/>
          <w:b/>
          <w:i/>
          <w:color w:val="000000"/>
          <w:sz w:val="32"/>
          <w:szCs w:val="32"/>
          <w:highlight w:val="none"/>
        </w:rPr>
        <w:t xml:space="preserve">开标一览表</w:t>
      </w:r>
      <w:r>
        <w:rPr>
          <w:rFonts w:hint="eastAsia"/>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2"/>
        <w:jc w:val="both"/>
        <w:spacing w:before="0" w:beforeAutospacing="0" w:after="0" w:afterAutospacing="0" w:line="480" w:lineRule="exact"/>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036"/>
        <w:gridCol w:w="2762"/>
        <w:gridCol w:w="1828"/>
      </w:tblGrid>
      <w:tr>
        <w:trPr>
          <w:trHeight w:val="718"/>
        </w:trPr>
        <w:tc>
          <w:tcPr>
            <w:tcW w:w="2263"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产品名称</w:t>
            </w:r>
            <w:r>
              <w:rPr>
                <w:rFonts w:hint="eastAsia"/>
                <w:highlight w:val="none"/>
              </w:rPr>
            </w:r>
            <w:r/>
          </w:p>
        </w:tc>
        <w:tc>
          <w:tcPr>
            <w:tcW w:w="1985"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全费用综合单价（元/吨）</w:t>
            </w: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r>
      <w:tr>
        <w:trPr>
          <w:trHeight w:val="734"/>
        </w:trPr>
        <w:tc>
          <w:tcPr>
            <w:tcW w:w="2263"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bCs/>
                <w:szCs w:val="21"/>
                <w:highlight w:val="none"/>
              </w:rPr>
              <w:t xml:space="preserve">全株玉米青贮饲料</w:t>
            </w:r>
            <w:r>
              <w:rPr>
                <w:rFonts w:hint="eastAsia" w:ascii="宋体" w:hAnsi="宋体" w:cs="宋体"/>
                <w:bCs/>
                <w:szCs w:val="21"/>
                <w:highlight w:val="none"/>
              </w:rPr>
            </w:r>
            <w:r/>
          </w:p>
        </w:tc>
        <w:tc>
          <w:tcPr>
            <w:tcW w:w="198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00</w:t>
            </w:r>
            <w:r>
              <w:rPr>
                <w:rFonts w:hint="eastAsia" w:ascii="宋体" w:hAnsi="宋体" w:cs="宋体"/>
                <w:szCs w:val="21"/>
                <w:highlight w:val="none"/>
              </w:rPr>
            </w:r>
            <w:r/>
          </w:p>
        </w:tc>
        <w:tc>
          <w:tcPr>
            <w:tcW w:w="269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82" w:type="dxa"/>
            <w:vAlign w:val="center"/>
            <w:textDirection w:val="lrTb"/>
            <w:noWrap w:val="false"/>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单价（元）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bookmarkStart w:id="139" w:name="OLE_LINK35"/>
            <w:r>
              <w:rPr>
                <w:rFonts w:hint="eastAsia" w:ascii="宋体" w:hAnsi="宋体" w:cs="宋体"/>
                <w:szCs w:val="21"/>
                <w:highlight w:val="none"/>
              </w:rPr>
              <w:t xml:space="preserve">大写：</w:t>
            </w:r>
            <w:bookmarkEnd w:id="139"/>
            <w:r>
              <w:rPr>
                <w:rFonts w:hint="eastAsia" w:ascii="宋体" w:hAnsi="宋体" w:cs="宋体"/>
                <w:szCs w:val="21"/>
                <w:highlight w:val="none"/>
              </w:rPr>
            </w:r>
            <w:r/>
          </w:p>
        </w:tc>
      </w:tr>
      <w:tr>
        <w:trPr>
          <w:trHeight w:val="630"/>
        </w:trPr>
        <w:tc>
          <w:tcPr>
            <w:tcW w:w="2263"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3"/>
            <w:tcW w:w="6626" w:type="dxa"/>
            <w:vAlign w:val="center"/>
            <w:textDirection w:val="lrTb"/>
            <w:noWrap/>
          </w:tcPr>
          <w:p>
            <w:pPr>
              <w:pStyle w:val="638"/>
              <w:jc w:val="left"/>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ind w:firstLine="3600"/>
        <w:jc w:val="both"/>
        <w:spacing w:before="0" w:beforeAutospacing="0" w:after="0" w:afterAutospacing="0" w:line="480" w:lineRule="exact"/>
        <w:rPr>
          <w:rFonts w:hint="eastAsia"/>
          <w:highlight w:val="none"/>
        </w:rPr>
      </w:pPr>
      <w:r>
        <w:rPr>
          <w:highlight w:val="none"/>
        </w:rPr>
        <w:t xml:space="preserve"> </w:t>
      </w:r>
      <w:r>
        <w:rPr>
          <w:rFonts w:hint="eastAsia"/>
          <w:highlight w:val="none"/>
        </w:rPr>
      </w:r>
      <w:r/>
    </w:p>
    <w:p>
      <w:pPr>
        <w:pStyle w:val="688"/>
        <w:ind w:firstLine="3600"/>
        <w:jc w:val="both"/>
        <w:spacing w:before="0" w:beforeAutospacing="0" w:after="0" w:afterAutospacing="0" w:line="480" w:lineRule="exact"/>
        <w:rPr>
          <w:rFonts w:hint="eastAsia"/>
          <w:color w:val="000000"/>
          <w:highlight w:val="none"/>
        </w:rPr>
      </w:pPr>
      <w:r/>
      <w:bookmarkStart w:id="140" w:name="OLE_LINK40"/>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  </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bookmarkEnd w:id="140"/>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tabs>
          <w:tab w:val="left" w:pos="7691" w:leader="none"/>
        </w:tabs>
        <w:rPr>
          <w:rFonts w:hint="eastAsia"/>
          <w:highlight w:val="none"/>
        </w:rPr>
      </w:pPr>
      <w:r>
        <w:rPr>
          <w:rFonts w:hint="eastAsia"/>
          <w:highlight w:val="none"/>
        </w:rPr>
        <w:tab/>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spacing w:beforeAutospacing="0" w:afterAutospacing="0"/>
        <w:tabs>
          <w:tab w:val="center" w:pos="4365" w:leader="none"/>
          <w:tab w:val="left" w:pos="7563" w:leader="none"/>
        </w:tabs>
        <w:rPr>
          <w:rFonts w:hint="eastAsia" w:ascii="黑体" w:eastAsia="黑体" w:cs="黑体"/>
          <w:b/>
          <w:color w:val="000000"/>
          <w:sz w:val="32"/>
          <w:szCs w:val="32"/>
          <w:highlight w:val="none"/>
        </w:rPr>
      </w:pP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t xml:space="preserve">十四、分项报价表</w:t>
      </w:r>
      <w:r>
        <w:rPr>
          <w:rFonts w:hint="eastAsia" w:ascii="黑体" w:eastAsia="黑体" w:cs="黑体"/>
          <w:b/>
          <w:color w:val="000000"/>
          <w:sz w:val="32"/>
          <w:szCs w:val="32"/>
          <w:highlight w:val="none"/>
        </w:rPr>
        <w:tab/>
      </w:r>
      <w:r>
        <w:rPr>
          <w:rFonts w:hint="eastAsia" w:ascii="黑体" w:eastAsia="黑体" w:cs="黑体"/>
          <w:b/>
          <w:color w:val="000000"/>
          <w:sz w:val="32"/>
          <w:szCs w:val="32"/>
          <w:highlight w:val="none"/>
        </w:rPr>
      </w:r>
      <w:r/>
    </w:p>
    <w:p>
      <w:pPr>
        <w:pStyle w:val="688"/>
        <w:jc w:val="center"/>
        <w:spacing w:beforeAutospacing="0" w:afterAutospacing="0"/>
        <w:rPr>
          <w:rFonts w:hint="eastAsia"/>
          <w:highlight w:val="none"/>
        </w:rPr>
      </w:pPr>
      <w:r>
        <w:rPr>
          <w:rFonts w:hint="eastAsia"/>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项目编号：</w:t>
      </w:r>
      <w:r>
        <w:rPr>
          <w:rFonts w:hint="eastAsia"/>
          <w:color w:val="000000"/>
          <w:highlight w:val="none"/>
        </w:rPr>
      </w:r>
      <w:r/>
    </w:p>
    <w:p>
      <w:pPr>
        <w:pStyle w:val="688"/>
        <w:ind w:firstLine="480"/>
        <w:jc w:val="both"/>
        <w:spacing w:beforeAutospacing="0" w:afterAutospacing="0"/>
        <w:rPr>
          <w:rFonts w:hint="eastAsia"/>
          <w:color w:val="000000"/>
          <w:highlight w:val="none"/>
        </w:rPr>
      </w:pPr>
      <w:r>
        <w:rPr>
          <w:rFonts w:hint="eastAsia"/>
          <w:color w:val="000000"/>
          <w:highlight w:val="none"/>
        </w:rPr>
        <w:t xml:space="preserve">项目名称：2026年大丰麋鹿保护区全株玉米青贮饲料采购项目</w:t>
      </w:r>
      <w:r>
        <w:rPr>
          <w:rFonts w:hint="eastAsia"/>
          <w:color w:val="000000"/>
          <w:highlight w:val="none"/>
        </w:rPr>
      </w:r>
      <w:r/>
    </w:p>
    <w:tbl>
      <w:tblPr>
        <w:tblpPr w:horzAnchor="margin" w:tblpX="-10" w:vertAnchor="text" w:tblpY="75" w:leftFromText="180" w:topFromText="0" w:rightFromText="180" w:bottomFromText="0"/>
        <w:tblW w:w="503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1450"/>
        <w:gridCol w:w="1458"/>
        <w:gridCol w:w="1887"/>
        <w:gridCol w:w="1745"/>
        <w:gridCol w:w="1169"/>
      </w:tblGrid>
      <w:tr>
        <w:trPr>
          <w:trHeight w:val="718"/>
        </w:trPr>
        <w:tc>
          <w:tcPr>
            <w:tcW w:w="1275" w:type="dxa"/>
            <w:vAlign w:val="center"/>
            <w:textDirection w:val="lrTb"/>
            <w:noWrap/>
          </w:tcPr>
          <w:p>
            <w:pPr>
              <w:pStyle w:val="914"/>
              <w:rPr>
                <w:rFonts w:hint="eastAsia"/>
                <w:highlight w:val="none"/>
              </w:rPr>
              <w:framePr w:hSpace="0" w:wrap="auto" w:vAnchor="margin" w:hAnchor="text"/>
            </w:pPr>
            <w:r>
              <w:rPr>
                <w:rFonts w:hint="eastAsia"/>
                <w:highlight w:val="none"/>
                <w:lang w:val="zh-CN"/>
              </w:rPr>
              <w:t xml:space="preserve">子项名称</w:t>
            </w:r>
            <w:r>
              <w:rPr>
                <w:rFonts w:hint="eastAsia"/>
                <w:highlight w:val="none"/>
              </w:rPr>
            </w:r>
            <w:r/>
          </w:p>
        </w:tc>
        <w:tc>
          <w:tcPr>
            <w:tcW w:w="1414" w:type="dxa"/>
            <w:vAlign w:val="center"/>
            <w:textDirection w:val="lrTb"/>
            <w:noWrap/>
          </w:tcPr>
          <w:p>
            <w:pPr>
              <w:pStyle w:val="914"/>
              <w:rPr>
                <w:rFonts w:hint="eastAsia"/>
                <w:highlight w:val="none"/>
              </w:rPr>
              <w:framePr w:hSpace="0" w:wrap="auto" w:vAnchor="margin" w:hAnchor="text"/>
            </w:pPr>
            <w:r>
              <w:rPr>
                <w:rFonts w:hint="eastAsia"/>
                <w:highlight w:val="none"/>
              </w:rPr>
              <w:t xml:space="preserve">规格型号（如有）</w:t>
            </w:r>
            <w:r>
              <w:rPr>
                <w:rFonts w:hint="eastAsia"/>
                <w:highlight w:val="none"/>
              </w:rPr>
            </w:r>
            <w:r/>
          </w:p>
        </w:tc>
        <w:tc>
          <w:tcPr>
            <w:tcW w:w="142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数量（吨）</w:t>
            </w:r>
            <w:r>
              <w:rPr>
                <w:rFonts w:hint="eastAsia"/>
                <w:highlight w:val="none"/>
              </w:rPr>
            </w:r>
            <w:r/>
          </w:p>
        </w:tc>
        <w:tc>
          <w:tcPr>
            <w:tcW w:w="1839" w:type="dxa"/>
            <w:vAlign w:val="center"/>
            <w:textDirection w:val="lrTb"/>
            <w:noWrap/>
          </w:tcPr>
          <w:p>
            <w:pPr>
              <w:pStyle w:val="914"/>
              <w:rPr>
                <w:rFonts w:hint="eastAsia"/>
                <w:highlight w:val="none"/>
              </w:rPr>
              <w:framePr w:hSpace="0" w:wrap="auto" w:vAnchor="margin" w:hAnchor="text"/>
            </w:pPr>
            <w:r>
              <w:rPr>
                <w:rFonts w:hint="eastAsia"/>
                <w:highlight w:val="none"/>
              </w:rPr>
              <w:t xml:space="preserve">全费用综合单价（元/吨）</w:t>
            </w:r>
            <w:r>
              <w:rPr>
                <w:rFonts w:hint="eastAsia"/>
                <w:highlight w:val="none"/>
              </w:rPr>
            </w:r>
            <w:r/>
          </w:p>
        </w:tc>
        <w:tc>
          <w:tcPr>
            <w:tcW w:w="1701" w:type="dxa"/>
            <w:vAlign w:val="center"/>
            <w:textDirection w:val="lrTb"/>
            <w:noWrap/>
          </w:tcPr>
          <w:p>
            <w:pPr>
              <w:pStyle w:val="914"/>
              <w:rPr>
                <w:rFonts w:hint="eastAsia"/>
                <w:highlight w:val="none"/>
              </w:rPr>
              <w:framePr w:hSpace="0" w:wrap="auto" w:vAnchor="margin" w:hAnchor="text"/>
            </w:pPr>
            <w:r>
              <w:rPr>
                <w:rFonts w:hint="eastAsia"/>
                <w:highlight w:val="none"/>
              </w:rPr>
              <w:t xml:space="preserve">总价（元）</w:t>
            </w:r>
            <w:r>
              <w:rPr>
                <w:rFonts w:hint="eastAsia"/>
                <w:highlight w:val="none"/>
              </w:rPr>
            </w:r>
            <w:r/>
          </w:p>
        </w:tc>
        <w:tc>
          <w:tcPr>
            <w:tcW w:w="11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cs="宋体"/>
                <w:bCs/>
                <w:szCs w:val="21"/>
                <w:highlight w:val="none"/>
              </w:rPr>
              <w:framePr w:vAnchor="page" w:hAnchor="page" w:x="-10" w:y="75"/>
            </w:pPr>
            <w:r>
              <w:rPr>
                <w:rFonts w:hint="eastAsia" w:ascii="宋体" w:hAnsi="宋体" w:cs="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restart"/>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eastAsia="宋体"/>
                <w:szCs w:val="21"/>
                <w:highlight w:val="none"/>
              </w:rPr>
              <w:t xml:space="preserve">质量缺陷期：青贮饲料开仓使用</w:t>
            </w:r>
            <w:r>
              <w:rPr>
                <w:rFonts w:hint="eastAsia" w:ascii="宋体" w:hAnsi="宋体" w:eastAsia="宋体"/>
                <w:szCs w:val="21"/>
                <w:highlight w:val="none"/>
                <w:u w:val="single"/>
              </w:rPr>
              <w:t xml:space="preserve">  </w:t>
            </w:r>
            <w:r>
              <w:rPr>
                <w:rFonts w:hint="eastAsia" w:ascii="宋体" w:hAnsi="宋体" w:eastAsia="宋体"/>
                <w:szCs w:val="21"/>
                <w:highlight w:val="none"/>
              </w:rPr>
              <w:t xml:space="preserve">个月。</w:t>
            </w:r>
            <w:r>
              <w:rPr>
                <w:rFonts w:hint="eastAsia" w:ascii="宋体" w:hAnsi="宋体" w:cs="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734"/>
        </w:trPr>
        <w:tc>
          <w:tcPr>
            <w:tcW w:w="1275" w:type="dxa"/>
            <w:vAlign w:val="center"/>
            <w:textDirection w:val="lrTb"/>
            <w:noWrap/>
          </w:tcPr>
          <w:p>
            <w:pPr>
              <w:pStyle w:val="638"/>
              <w:jc w:val="center"/>
              <w:spacing w:line="320" w:lineRule="exact"/>
              <w:rPr>
                <w:rFonts w:hint="eastAsia" w:ascii="宋体" w:hAnsi="宋体"/>
                <w:bCs/>
                <w:szCs w:val="21"/>
                <w:highlight w:val="none"/>
              </w:rPr>
              <w:framePr w:vAnchor="page" w:hAnchor="page" w:x="-10" w:y="75"/>
            </w:pPr>
            <w:r>
              <w:rPr>
                <w:rFonts w:hint="eastAsia" w:ascii="宋体" w:hAnsi="宋体"/>
                <w:bCs/>
                <w:szCs w:val="21"/>
                <w:highlight w:val="none"/>
              </w:rPr>
            </w:r>
            <w:r/>
          </w:p>
        </w:tc>
        <w:tc>
          <w:tcPr>
            <w:tcW w:w="1414"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42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83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701"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r>
            <w:r/>
          </w:p>
        </w:tc>
        <w:tc>
          <w:tcPr>
            <w:tcW w:w="1139" w:type="dxa"/>
            <w:vAlign w:val="center"/>
            <w:vMerge w:val="continue"/>
            <w:textDirection w:val="lrTb"/>
            <w:noWrap/>
          </w:tcPr>
          <w:p>
            <w:pPr>
              <w:pStyle w:val="638"/>
              <w:jc w:val="center"/>
              <w:spacing w:line="320" w:lineRule="exact"/>
              <w:rPr>
                <w:rFonts w:hint="eastAsia" w:ascii="宋体" w:hAnsi="宋体" w:eastAsia="宋体"/>
                <w:szCs w:val="21"/>
                <w:highlight w:val="none"/>
              </w:rPr>
              <w:framePr w:vAnchor="page" w:hAnchor="page" w:x="-10" w:y="75"/>
            </w:pPr>
            <w:r>
              <w:rPr>
                <w:rFonts w:hint="eastAsia" w:ascii="宋体" w:hAnsi="宋体" w:eastAsia="宋体"/>
                <w:szCs w:val="21"/>
                <w:highlight w:val="none"/>
              </w:rPr>
            </w:r>
            <w:r/>
          </w:p>
        </w:tc>
      </w:tr>
      <w:tr>
        <w:trPr>
          <w:trHeight w:val="630"/>
        </w:trPr>
        <w:tc>
          <w:tcPr>
            <w:tcW w:w="1275"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总价（元）</w:t>
            </w:r>
            <w:r>
              <w:rPr>
                <w:rFonts w:hint="eastAsia" w:ascii="宋体" w:hAnsi="宋体" w:cs="宋体"/>
                <w:szCs w:val="21"/>
                <w:highlight w:val="none"/>
              </w:rPr>
            </w:r>
            <w:r/>
          </w:p>
        </w:tc>
        <w:tc>
          <w:tcPr>
            <w:gridSpan w:val="5"/>
            <w:tcW w:w="7709" w:type="dxa"/>
            <w:vAlign w:val="center"/>
            <w:textDirection w:val="lrTb"/>
            <w:noWrap/>
          </w:tcPr>
          <w:p>
            <w:pPr>
              <w:pStyle w:val="638"/>
              <w:jc w:val="center"/>
              <w:spacing w:line="320" w:lineRule="exact"/>
              <w:rPr>
                <w:rFonts w:hint="eastAsia" w:ascii="宋体" w:hAnsi="宋体" w:cs="宋体"/>
                <w:szCs w:val="21"/>
                <w:highlight w:val="none"/>
              </w:rPr>
              <w:framePr w:vAnchor="page" w:hAnchor="page" w:x="-10" w:y="75"/>
            </w:pPr>
            <w:r>
              <w:rPr>
                <w:rFonts w:hint="eastAsia" w:ascii="宋体" w:hAnsi="宋体" w:cs="宋体"/>
                <w:szCs w:val="21"/>
                <w:highlight w:val="none"/>
              </w:rPr>
              <w:t xml:space="preserve">大写：</w:t>
            </w:r>
            <w:r>
              <w:rPr>
                <w:rFonts w:hint="eastAsia" w:ascii="宋体" w:hAnsi="宋体" w:cs="宋体"/>
                <w:szCs w:val="21"/>
                <w:highlight w:val="none"/>
              </w:rPr>
            </w:r>
            <w:r/>
          </w:p>
        </w:tc>
      </w:tr>
    </w:tbl>
    <w:p>
      <w:pPr>
        <w:pStyle w:val="688"/>
        <w:jc w:val="both"/>
        <w:spacing w:beforeAutospacing="0" w:afterAutospacing="0"/>
        <w:rPr>
          <w:rFonts w:hint="eastAsia"/>
          <w:sz w:val="21"/>
          <w:szCs w:val="21"/>
          <w:highlight w:val="none"/>
        </w:rPr>
      </w:pPr>
      <w:r>
        <w:rPr>
          <w:sz w:val="21"/>
          <w:szCs w:val="21"/>
          <w:highlight w:val="none"/>
        </w:rPr>
        <w:t xml:space="preserve"> </w:t>
      </w:r>
      <w:r>
        <w:rPr>
          <w:rFonts w:hint="eastAsia"/>
          <w:sz w:val="21"/>
          <w:szCs w:val="21"/>
          <w:highlight w:val="none"/>
        </w:rPr>
        <w:t xml:space="preserve">注：行数不够，可自行添加。</w:t>
      </w:r>
      <w:r>
        <w:rPr>
          <w:rFonts w:hint="eastAsia"/>
          <w:sz w:val="21"/>
          <w:szCs w:val="21"/>
          <w:highlight w:val="none"/>
        </w:rPr>
      </w:r>
      <w:r/>
    </w:p>
    <w:p>
      <w:pPr>
        <w:pStyle w:val="688"/>
        <w:ind w:firstLine="3600"/>
        <w:jc w:val="both"/>
        <w:spacing w:before="0" w:beforeAutospacing="0" w:after="0" w:afterAutospacing="0" w:line="480" w:lineRule="exact"/>
        <w:rPr>
          <w:rFonts w:hint="eastAsia"/>
          <w:color w:val="000000"/>
          <w:highlight w:val="none"/>
        </w:rPr>
      </w:pPr>
      <w:r>
        <w:rPr>
          <w:rFonts w:hint="eastAsia"/>
          <w:color w:val="000000"/>
          <w:highlight w:val="none"/>
        </w:rPr>
        <w:t xml:space="preserve">投标人全称（加盖公章）：</w:t>
      </w:r>
      <w:r>
        <w:rPr>
          <w:rFonts w:hint="eastAsia"/>
          <w:color w:val="000000"/>
          <w:highlight w:val="none"/>
        </w:rPr>
      </w:r>
      <w:r/>
    </w:p>
    <w:p>
      <w:pPr>
        <w:pStyle w:val="688"/>
        <w:ind w:firstLine="3360"/>
        <w:jc w:val="both"/>
        <w:spacing w:before="0" w:beforeAutospacing="0" w:after="0" w:afterAutospacing="0" w:line="480" w:lineRule="exact"/>
        <w:rPr>
          <w:rFonts w:hint="eastAsia"/>
          <w:color w:val="000000"/>
          <w:highlight w:val="none"/>
        </w:rPr>
      </w:pPr>
      <w:r>
        <w:rPr>
          <w:rFonts w:hint="eastAsia"/>
          <w:color w:val="000000"/>
          <w:highlight w:val="none"/>
        </w:rPr>
        <w:t xml:space="preserve">法定代表人或授权代表签字：</w:t>
      </w:r>
      <w:r>
        <w:rPr>
          <w:rFonts w:hint="eastAsia"/>
          <w:color w:val="000000"/>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rFonts w:hint="eastAsia"/>
          <w:highlight w:val="none"/>
        </w:rPr>
      </w:r>
      <w:r/>
    </w:p>
    <w:p>
      <w:pPr>
        <w:pStyle w:val="688"/>
        <w:ind w:firstLine="480"/>
        <w:jc w:val="both"/>
        <w:spacing w:beforeAutospacing="0" w:afterAutospacing="0"/>
        <w:rPr>
          <w:rFonts w:hint="eastAsia"/>
          <w:highlight w:val="none"/>
        </w:rPr>
      </w:pPr>
      <w:r>
        <w:rPr>
          <w:rFonts w:hint="eastAsia"/>
          <w:color w:val="000000"/>
          <w:highlight w:val="none"/>
        </w:rPr>
        <w:t xml:space="preserve">                                   </w:t>
      </w: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highlight w:val="none"/>
        </w:rPr>
      </w:pPr>
      <w:r>
        <w:rPr>
          <w:rFonts w:hint="eastAsia"/>
          <w:highlight w:val="none"/>
        </w:rPr>
      </w:r>
      <w:r/>
    </w:p>
    <w:p>
      <w:pPr>
        <w:pStyle w:val="688"/>
        <w:jc w:val="both"/>
        <w:spacing w:beforeAutospacing="0" w:afterAutospacing="0"/>
        <w:rPr>
          <w:rFonts w:hint="eastAsia"/>
          <w:b/>
          <w:color w:val="000000"/>
          <w:sz w:val="32"/>
          <w:szCs w:val="32"/>
          <w:highlight w:val="none"/>
        </w:rPr>
      </w:pPr>
      <w:r>
        <w:rPr>
          <w:rFonts w:hint="eastAsia"/>
          <w:b/>
          <w:color w:val="000000"/>
          <w:sz w:val="32"/>
          <w:szCs w:val="32"/>
          <w:highlight w:val="none"/>
        </w:rPr>
      </w:r>
      <w:r/>
    </w:p>
    <w:p>
      <w:pPr>
        <w:pStyle w:val="688"/>
        <w:jc w:val="both"/>
        <w:spacing w:beforeAutospacing="0" w:afterAutospacing="0"/>
        <w:rPr>
          <w:rFonts w:hint="eastAsia"/>
          <w:b/>
          <w:bCs/>
          <w:color w:val="000000"/>
          <w:sz w:val="32"/>
          <w:szCs w:val="32"/>
          <w:highlight w:val="none"/>
        </w:rPr>
      </w:pPr>
      <w:r>
        <w:rPr>
          <w:rFonts w:hint="eastAsia"/>
          <w:b/>
          <w:bCs/>
          <w:color w:val="000000"/>
          <w:sz w:val="32"/>
          <w:szCs w:val="32"/>
          <w:highlight w:val="none"/>
        </w:rPr>
      </w:r>
      <w:r/>
    </w:p>
    <w:p>
      <w:pPr>
        <w:pStyle w:val="638"/>
        <w:jc w:val="center"/>
        <w:spacing w:before="50" w:after="50"/>
        <w:widowControl/>
        <w:rPr>
          <w:iCs/>
          <w:color w:val="000000"/>
          <w:highlight w:val="none"/>
        </w:rPr>
      </w:pPr>
      <w:r>
        <w:rPr>
          <w:rFonts w:ascii="黑体" w:hAnsi="宋体" w:eastAsia="黑体" w:cs="黑体"/>
          <w:b/>
          <w:color w:val="000000"/>
          <w:sz w:val="32"/>
          <w:szCs w:val="32"/>
          <w:highlight w:val="none"/>
        </w:rPr>
        <w:tab/>
      </w:r>
      <w:r>
        <w:rPr>
          <w:rFonts w:hint="eastAsia" w:ascii="黑体" w:hAnsi="宋体" w:eastAsia="黑体" w:cs="黑体"/>
          <w:b/>
          <w:color w:val="000000"/>
          <w:sz w:val="32"/>
          <w:szCs w:val="32"/>
          <w:highlight w:val="none"/>
        </w:rPr>
        <w:t xml:space="preserve">十五、技术方案、服务承诺、培训承诺等</w:t>
      </w: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iCs/>
          <w:color w:val="000000"/>
          <w:highlight w:val="none"/>
        </w:rPr>
      </w:pPr>
      <w:r>
        <w:rPr>
          <w:iCs/>
          <w:color w:val="000000"/>
          <w:highlight w:val="none"/>
        </w:rPr>
      </w:r>
      <w:r/>
    </w:p>
    <w:p>
      <w:pPr>
        <w:pStyle w:val="638"/>
        <w:jc w:val="center"/>
        <w:spacing w:before="50" w:after="50"/>
        <w:widowControl/>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十六、政府采购事前信用承诺书</w:t>
      </w:r>
      <w:r>
        <w:rPr>
          <w:rFonts w:hint="eastAsia" w:ascii="黑体" w:hAnsi="宋体" w:eastAsia="黑体" w:cs="黑体"/>
          <w:b/>
          <w:color w:val="000000"/>
          <w:sz w:val="32"/>
          <w:szCs w:val="32"/>
          <w:highlight w:val="none"/>
        </w:rPr>
      </w:r>
      <w:r/>
    </w:p>
    <w:p>
      <w:pPr>
        <w:pStyle w:val="638"/>
        <w:ind w:firstLine="640"/>
        <w:jc w:val="left"/>
        <w:spacing w:line="499" w:lineRule="atLeast"/>
        <w:widowControl/>
        <w:rPr>
          <w:rFonts w:hint="eastAsia" w:ascii="宋体" w:hAnsi="宋体" w:cs="宋体"/>
          <w:sz w:val="24"/>
          <w:highlight w:val="none"/>
        </w:rPr>
      </w:pP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为营造公开、公平、公正、诚实守信的政府采购交易环境，树立诚信守法的投标人形象，本人代表本单位作出以下承诺： </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（四）严格遵守即时信息公示规定，及时维护和更新维护和更新江苏省政府采购网中与本单位相关的信息；</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（六）自觉接受政府、行业组织、社会公众、新闻舆论的监督；</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highlight w:val="none"/>
        </w:rPr>
      </w:r>
      <w:r/>
    </w:p>
    <w:p>
      <w:pPr>
        <w:pStyle w:val="638"/>
        <w:ind w:firstLine="480"/>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（八）本人已认真阅读了上述承诺，并向本单位员工作了宣传教育。</w:t>
      </w:r>
      <w:r>
        <w:rPr>
          <w:rFonts w:hint="eastAsia" w:ascii="宋体" w:hAnsi="宋体" w:cs="宋体"/>
          <w:sz w:val="24"/>
          <w:highlight w:val="none"/>
        </w:rPr>
      </w:r>
      <w:r/>
    </w:p>
    <w:p>
      <w:pPr>
        <w:pStyle w:val="638"/>
        <w:jc w:val="left"/>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法定代表人签名：</w:t>
      </w:r>
      <w:r>
        <w:rPr>
          <w:rFonts w:hint="eastAsia" w:ascii="宋体" w:hAnsi="宋体" w:cs="宋体"/>
          <w:sz w:val="24"/>
          <w:highlight w:val="none"/>
        </w:rPr>
      </w:r>
      <w:r/>
    </w:p>
    <w:p>
      <w:pPr>
        <w:pStyle w:val="638"/>
        <w:ind w:firstLine="3120"/>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单位名称（盖章）：</w:t>
      </w:r>
      <w:r>
        <w:rPr>
          <w:rFonts w:hint="eastAsia" w:ascii="宋体" w:hAnsi="宋体" w:cs="宋体"/>
          <w:sz w:val="24"/>
          <w:highlight w:val="none"/>
        </w:rPr>
      </w:r>
      <w:r/>
    </w:p>
    <w:p>
      <w:pPr>
        <w:pStyle w:val="638"/>
        <w:jc w:val="center"/>
        <w:spacing w:line="499" w:lineRule="atLeast"/>
        <w:widowControl/>
        <w:rPr>
          <w:rFonts w:hint="eastAsia" w:ascii="宋体" w:hAnsi="宋体" w:cs="宋体"/>
          <w:sz w:val="24"/>
          <w:highlight w:val="none"/>
        </w:rPr>
      </w:pPr>
      <w:r>
        <w:rPr>
          <w:rFonts w:hint="eastAsia" w:ascii="宋体" w:hAnsi="宋体" w:cs="宋体"/>
          <w:color w:val="000000"/>
          <w:sz w:val="24"/>
          <w:highlight w:val="none"/>
        </w:rPr>
        <w:t xml:space="preserve">  年     月    日</w:t>
      </w:r>
      <w:r>
        <w:rPr>
          <w:rFonts w:hint="eastAsia" w:ascii="宋体" w:hAnsi="宋体" w:cs="宋体"/>
          <w:sz w:val="24"/>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highlight w:val="none"/>
        </w:rPr>
      </w:pPr>
      <w:r>
        <w:rPr>
          <w:rFonts w:hint="eastAsia"/>
          <w:highlight w:val="none"/>
        </w:rPr>
      </w:r>
      <w:r/>
    </w:p>
    <w:p>
      <w:pPr>
        <w:pStyle w:val="688"/>
        <w:jc w:val="center"/>
        <w:spacing w:beforeAutospacing="0" w:afterAutospacing="0"/>
        <w:rPr>
          <w:rFonts w:hint="eastAsia"/>
          <w:b/>
          <w:color w:val="000000"/>
          <w:sz w:val="32"/>
          <w:szCs w:val="32"/>
          <w:highlight w:val="none"/>
        </w:rPr>
      </w:pPr>
      <w:r>
        <w:rPr>
          <w:rFonts w:hint="eastAsia"/>
          <w:b/>
          <w:color w:val="000000"/>
          <w:sz w:val="32"/>
          <w:szCs w:val="32"/>
          <w:highlight w:val="none"/>
        </w:rPr>
        <w:t xml:space="preserve">质疑函范本</w:t>
      </w:r>
      <w:r>
        <w:rPr>
          <w:rFonts w:hint="eastAsia"/>
          <w:b/>
          <w:color w:val="000000"/>
          <w:sz w:val="32"/>
          <w:szCs w:val="32"/>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一、质疑供应商基本信息</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邮编：</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二、质疑项目基本情况</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质疑项目的名称：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rPr>
          <w:rFonts w:hint="eastAsia"/>
          <w:color w:val="000000"/>
          <w:highlight w:val="none"/>
          <w:u w:val="singl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采购人名称：</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采购文件获取日期：</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三、质疑事项具体内容</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质疑事项1：</w:t>
      </w:r>
      <w:r>
        <w:rPr>
          <w:rFonts w:hint="eastAsia"/>
          <w:color w:val="000000"/>
          <w:highlight w:val="none"/>
          <w:u w:val="single"/>
        </w:rPr>
        <w:t xml:space="preserve">                             </w:t>
      </w:r>
      <w:r>
        <w:rPr>
          <w:rFonts w:hint="eastAsia"/>
          <w:highlight w:val="none"/>
        </w:rPr>
      </w:r>
      <w:r/>
    </w:p>
    <w:p>
      <w:pPr>
        <w:pStyle w:val="688"/>
        <w:spacing w:before="0" w:beforeAutospacing="0" w:after="0" w:afterAutospacing="0" w:line="360" w:lineRule="exact"/>
        <w:rPr>
          <w:rFonts w:hint="eastAsia"/>
          <w:highlight w:val="none"/>
        </w:rPr>
      </w:pPr>
      <w:r>
        <w:rPr>
          <w:rFonts w:hint="eastAsia"/>
          <w:color w:val="000000"/>
          <w:highlight w:val="none"/>
        </w:rPr>
        <w:t xml:space="preserve">事实依据：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法律依据：</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质疑事项2</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四、与质疑事项相关的质疑请求</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请求：</w:t>
      </w:r>
      <w:r>
        <w:rPr>
          <w:rFonts w:hint="eastAsia"/>
          <w:color w:val="000000"/>
          <w:highlight w:val="none"/>
          <w:u w:val="single"/>
        </w:rPr>
        <w:t xml:space="preserve">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color w:val="000000"/>
          <w:highlight w:val="none"/>
        </w:rPr>
        <w:t xml:space="preserve">签字(签章)：                 公章：               日期：    </w:t>
      </w:r>
      <w:r>
        <w:rPr>
          <w:rFonts w:hint="eastAsia"/>
          <w:highlight w:val="none"/>
        </w:rPr>
      </w:r>
      <w:r/>
    </w:p>
    <w:p>
      <w:pPr>
        <w:pStyle w:val="688"/>
        <w:jc w:val="both"/>
        <w:spacing w:before="0" w:beforeAutospacing="0" w:after="0" w:afterAutospacing="0" w:line="360" w:lineRule="exact"/>
        <w:rPr>
          <w:rFonts w:hint="eastAsia"/>
          <w:highlight w:val="none"/>
        </w:rPr>
      </w:pPr>
      <w:r>
        <w:rPr>
          <w:rFonts w:hint="eastAsia"/>
          <w:b/>
          <w:color w:val="000000"/>
          <w:highlight w:val="none"/>
        </w:rPr>
        <w:t xml:space="preserve">质疑函制作说明：</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1.供应商提出质疑时，应提交质疑函和必要的证明材料。</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3.质疑供应商若对项目的某一分包进行质疑，质疑函中应列明具体分包号。</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4.质疑函的质疑事项应具体、明确，并有必要的事实依据和法律依据。</w:t>
      </w:r>
      <w:r>
        <w:rPr>
          <w:rFonts w:hint="eastAsia"/>
          <w:highlight w:val="none"/>
        </w:rPr>
      </w:r>
      <w:r/>
    </w:p>
    <w:p>
      <w:pPr>
        <w:pStyle w:val="688"/>
        <w:ind w:firstLine="480"/>
        <w:spacing w:before="0" w:beforeAutospacing="0" w:after="0" w:afterAutospacing="0" w:line="360" w:lineRule="exact"/>
        <w:rPr>
          <w:rFonts w:hint="eastAsia"/>
          <w:highlight w:val="none"/>
        </w:rPr>
      </w:pPr>
      <w:r>
        <w:rPr>
          <w:rFonts w:hint="eastAsia"/>
          <w:color w:val="000000"/>
          <w:highlight w:val="none"/>
        </w:rPr>
        <w:t xml:space="preserve">5.质疑函的质疑请求应与质疑事项相关。</w:t>
      </w:r>
      <w:r>
        <w:rPr>
          <w:rFonts w:hint="eastAsia"/>
          <w:highlight w:val="none"/>
        </w:rPr>
      </w:r>
      <w:r/>
    </w:p>
    <w:p>
      <w:pPr>
        <w:pStyle w:val="688"/>
        <w:ind w:firstLine="480"/>
        <w:spacing w:before="0" w:beforeAutospacing="0" w:after="0" w:afterAutospacing="0" w:line="360" w:lineRule="exact"/>
        <w:rPr>
          <w:rFonts w:hint="eastAsia"/>
          <w:color w:val="000000"/>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notePr/>
      <w:endnotePr/>
      <w:type w:val="nextPage"/>
      <w:pgSz w:w="11907" w:h="16840" w:orient="portrait"/>
      <w:pgMar w:top="1440" w:right="1588" w:bottom="1440" w:left="1588" w:header="1134"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_GB2312">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tabs>
        <w:tab w:val="center" w:pos="4153" w:leader="none"/>
        <w:tab w:val="right" w:pos="8306" w:leader="none"/>
      </w:tabs>
      <w:rPr>
        <w:sz w:val="24"/>
      </w:rPr>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38"/>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638"/>
        <w:ind w:left="0" w:firstLine="0"/>
      </w:pPr>
    </w:lvl>
    <w:lvl w:ilvl="1">
      <w:start w:val="1"/>
      <w:numFmt w:val="bullet"/>
      <w:isLgl w:val="false"/>
      <w:suff w:val="tab"/>
      <w:lvlText w:val="o"/>
      <w:lvlJc w:val="left"/>
      <w:pPr>
        <w:pStyle w:val="638"/>
        <w:ind w:left="1440" w:hanging="360"/>
      </w:pPr>
      <w:rPr>
        <w:rFonts w:ascii="Courier New" w:hAnsi="Courier New" w:eastAsia="Courier New" w:cs="Courier New"/>
      </w:rPr>
    </w:lvl>
    <w:lvl w:ilvl="2">
      <w:start w:val="1"/>
      <w:numFmt w:val="bullet"/>
      <w:isLgl w:val="false"/>
      <w:suff w:val="tab"/>
      <w:lvlText w:val="§"/>
      <w:lvlJc w:val="left"/>
      <w:pPr>
        <w:pStyle w:val="638"/>
        <w:ind w:left="2160" w:hanging="360"/>
      </w:pPr>
      <w:rPr>
        <w:rFonts w:ascii="Wingdings" w:hAnsi="Wingdings" w:eastAsia="Wingdings" w:cs="Wingdings"/>
      </w:rPr>
    </w:lvl>
    <w:lvl w:ilvl="3">
      <w:start w:val="1"/>
      <w:numFmt w:val="bullet"/>
      <w:isLgl w:val="false"/>
      <w:suff w:val="tab"/>
      <w:lvlText w:val="·"/>
      <w:lvlJc w:val="left"/>
      <w:pPr>
        <w:pStyle w:val="638"/>
        <w:ind w:left="2880" w:hanging="360"/>
      </w:pPr>
      <w:rPr>
        <w:rFonts w:ascii="Symbol" w:hAnsi="Symbol" w:eastAsia="Symbol" w:cs="Symbol"/>
      </w:rPr>
    </w:lvl>
    <w:lvl w:ilvl="4">
      <w:start w:val="1"/>
      <w:numFmt w:val="bullet"/>
      <w:isLgl w:val="false"/>
      <w:suff w:val="tab"/>
      <w:lvlText w:val="o"/>
      <w:lvlJc w:val="left"/>
      <w:pPr>
        <w:pStyle w:val="638"/>
        <w:ind w:left="3600" w:hanging="360"/>
      </w:pPr>
      <w:rPr>
        <w:rFonts w:ascii="Courier New" w:hAnsi="Courier New" w:eastAsia="Courier New" w:cs="Courier New"/>
      </w:rPr>
    </w:lvl>
    <w:lvl w:ilvl="5">
      <w:start w:val="1"/>
      <w:numFmt w:val="bullet"/>
      <w:isLgl w:val="false"/>
      <w:suff w:val="tab"/>
      <w:lvlText w:val="§"/>
      <w:lvlJc w:val="left"/>
      <w:pPr>
        <w:pStyle w:val="638"/>
        <w:ind w:left="4320" w:hanging="360"/>
      </w:pPr>
      <w:rPr>
        <w:rFonts w:ascii="Wingdings" w:hAnsi="Wingdings" w:eastAsia="Wingdings" w:cs="Wingdings"/>
      </w:rPr>
    </w:lvl>
    <w:lvl w:ilvl="6">
      <w:start w:val="1"/>
      <w:numFmt w:val="bullet"/>
      <w:isLgl w:val="false"/>
      <w:suff w:val="tab"/>
      <w:lvlText w:val="·"/>
      <w:lvlJc w:val="left"/>
      <w:pPr>
        <w:pStyle w:val="638"/>
        <w:ind w:left="5040" w:hanging="360"/>
      </w:pPr>
      <w:rPr>
        <w:rFonts w:ascii="Symbol" w:hAnsi="Symbol" w:eastAsia="Symbol" w:cs="Symbol"/>
      </w:rPr>
    </w:lvl>
    <w:lvl w:ilvl="7">
      <w:start w:val="1"/>
      <w:numFmt w:val="bullet"/>
      <w:isLgl w:val="false"/>
      <w:suff w:val="tab"/>
      <w:lvlText w:val="o"/>
      <w:lvlJc w:val="left"/>
      <w:pPr>
        <w:pStyle w:val="638"/>
        <w:ind w:left="5760" w:hanging="360"/>
      </w:pPr>
      <w:rPr>
        <w:rFonts w:ascii="Courier New" w:hAnsi="Courier New" w:eastAsia="Courier New" w:cs="Courier New"/>
      </w:rPr>
    </w:lvl>
    <w:lvl w:ilvl="8">
      <w:start w:val="1"/>
      <w:numFmt w:val="bullet"/>
      <w:isLgl w:val="false"/>
      <w:suff w:val="tab"/>
      <w:lvlText w:val="§"/>
      <w:lvlJc w:val="left"/>
      <w:pPr>
        <w:pStyle w:val="638"/>
        <w:ind w:left="6480" w:hanging="360"/>
      </w:pPr>
      <w:rPr>
        <w:rFonts w:ascii="Wingdings" w:hAnsi="Wingdings" w:eastAsia="Wingdings" w:cs="Wingdings"/>
      </w:rPr>
    </w:lvl>
  </w:abstractNum>
  <w:num w:numId="1">
    <w:abstractNumId w:val="2"/>
  </w:num>
  <w:num w:numId="2">
    <w:abstractNumId w:val="1"/>
  </w:num>
  <w:num w:numId="3">
    <w:abstractNumId w:val="4"/>
    <w:lvlOverride w:ilvl="0">
      <w:startOverride w:val="6"/>
    </w:lvlOverride>
  </w:num>
  <w:num w:numId="4">
    <w:abstractNumId w:val="0"/>
    <w:lvlOverride w:ilvl="0">
      <w:startOverride w:val="16"/>
    </w:lvlOverride>
  </w:num>
  <w:num w:numId="5">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8"/>
    <w:next w:val="638"/>
    <w:link w:val="720"/>
    <w:uiPriority w:val="9"/>
    <w:qFormat/>
    <w:pPr>
      <w:keepLines/>
      <w:keepNext/>
      <w:spacing w:before="480" w:after="200"/>
      <w:outlineLvl w:val="0"/>
    </w:pPr>
    <w:rPr>
      <w:rFonts w:ascii="Arial" w:hAnsi="Arial" w:eastAsia="Arial" w:cs="Arial"/>
      <w:sz w:val="40"/>
      <w:szCs w:val="40"/>
    </w:rPr>
  </w:style>
  <w:style w:type="paragraph" w:styleId="14">
    <w:name w:val="Heading 2"/>
    <w:basedOn w:val="638"/>
    <w:next w:val="638"/>
    <w:link w:val="721"/>
    <w:uiPriority w:val="9"/>
    <w:unhideWhenUsed/>
    <w:qFormat/>
    <w:pPr>
      <w:keepLines/>
      <w:keepNext/>
      <w:spacing w:before="360" w:after="200"/>
      <w:outlineLvl w:val="1"/>
    </w:pPr>
    <w:rPr>
      <w:rFonts w:ascii="Arial" w:hAnsi="Arial" w:eastAsia="Arial" w:cs="Arial"/>
      <w:sz w:val="34"/>
    </w:rPr>
  </w:style>
  <w:style w:type="paragraph" w:styleId="16">
    <w:name w:val="Heading 3"/>
    <w:basedOn w:val="638"/>
    <w:next w:val="638"/>
    <w:link w:val="72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8"/>
    <w:next w:val="638"/>
    <w:link w:val="72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8"/>
    <w:next w:val="638"/>
    <w:link w:val="72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8"/>
    <w:next w:val="638"/>
    <w:link w:val="7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8"/>
    <w:next w:val="638"/>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8"/>
    <w:next w:val="638"/>
    <w:link w:val="7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8"/>
    <w:next w:val="638"/>
    <w:link w:val="72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38"/>
    <w:next w:val="638"/>
    <w:link w:val="754"/>
    <w:uiPriority w:val="10"/>
    <w:qFormat/>
    <w:pPr>
      <w:contextualSpacing/>
      <w:spacing w:before="300" w:after="200"/>
    </w:pPr>
    <w:rPr>
      <w:sz w:val="48"/>
      <w:szCs w:val="48"/>
    </w:rPr>
  </w:style>
  <w:style w:type="paragraph" w:styleId="35">
    <w:name w:val="Subtitle"/>
    <w:basedOn w:val="638"/>
    <w:next w:val="638"/>
    <w:link w:val="755"/>
    <w:uiPriority w:val="11"/>
    <w:qFormat/>
    <w:pPr>
      <w:spacing w:before="200" w:after="200"/>
    </w:pPr>
    <w:rPr>
      <w:sz w:val="24"/>
      <w:szCs w:val="24"/>
    </w:rPr>
  </w:style>
  <w:style w:type="paragraph" w:styleId="41">
    <w:name w:val="Header"/>
    <w:basedOn w:val="638"/>
    <w:link w:val="758"/>
    <w:uiPriority w:val="99"/>
    <w:unhideWhenUsed/>
    <w:pPr>
      <w:spacing w:after="0" w:line="240" w:lineRule="auto"/>
      <w:tabs>
        <w:tab w:val="center" w:pos="7143" w:leader="none"/>
        <w:tab w:val="right" w:pos="14287" w:leader="none"/>
      </w:tabs>
    </w:pPr>
  </w:style>
  <w:style w:type="paragraph" w:styleId="43">
    <w:name w:val="Footer"/>
    <w:basedOn w:val="638"/>
    <w:link w:val="759"/>
    <w:uiPriority w:val="99"/>
    <w:unhideWhenUsed/>
    <w:pPr>
      <w:spacing w:after="0" w:line="240" w:lineRule="auto"/>
      <w:tabs>
        <w:tab w:val="center" w:pos="7143" w:leader="none"/>
        <w:tab w:val="right" w:pos="14287" w:leader="none"/>
      </w:tabs>
    </w:pPr>
  </w:style>
  <w:style w:type="paragraph" w:styleId="45">
    <w:name w:val="Caption"/>
    <w:basedOn w:val="638"/>
    <w:next w:val="63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38"/>
    <w:link w:val="76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8"/>
    <w:link w:val="76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8"/>
    <w:next w:val="638"/>
    <w:uiPriority w:val="39"/>
    <w:unhideWhenUsed/>
    <w:pPr>
      <w:ind w:left="0" w:right="0" w:firstLine="0"/>
      <w:spacing w:after="57"/>
    </w:pPr>
  </w:style>
  <w:style w:type="paragraph" w:styleId="181">
    <w:name w:val="toc 2"/>
    <w:basedOn w:val="638"/>
    <w:next w:val="638"/>
    <w:uiPriority w:val="39"/>
    <w:unhideWhenUsed/>
    <w:pPr>
      <w:ind w:left="283" w:right="0" w:firstLine="0"/>
      <w:spacing w:after="57"/>
    </w:pPr>
  </w:style>
  <w:style w:type="paragraph" w:styleId="182">
    <w:name w:val="toc 3"/>
    <w:basedOn w:val="638"/>
    <w:next w:val="638"/>
    <w:uiPriority w:val="39"/>
    <w:unhideWhenUsed/>
    <w:pPr>
      <w:ind w:left="567" w:right="0" w:firstLine="0"/>
      <w:spacing w:after="57"/>
    </w:pPr>
  </w:style>
  <w:style w:type="paragraph" w:styleId="183">
    <w:name w:val="toc 4"/>
    <w:basedOn w:val="638"/>
    <w:next w:val="638"/>
    <w:uiPriority w:val="39"/>
    <w:unhideWhenUsed/>
    <w:pPr>
      <w:ind w:left="850" w:right="0" w:firstLine="0"/>
      <w:spacing w:after="57"/>
    </w:pPr>
  </w:style>
  <w:style w:type="paragraph" w:styleId="184">
    <w:name w:val="toc 5"/>
    <w:basedOn w:val="638"/>
    <w:next w:val="638"/>
    <w:uiPriority w:val="39"/>
    <w:unhideWhenUsed/>
    <w:pPr>
      <w:ind w:left="1134" w:right="0" w:firstLine="0"/>
      <w:spacing w:after="57"/>
    </w:pPr>
  </w:style>
  <w:style w:type="paragraph" w:styleId="185">
    <w:name w:val="toc 6"/>
    <w:basedOn w:val="638"/>
    <w:next w:val="638"/>
    <w:uiPriority w:val="39"/>
    <w:unhideWhenUsed/>
    <w:pPr>
      <w:ind w:left="1417" w:right="0" w:firstLine="0"/>
      <w:spacing w:after="57"/>
    </w:pPr>
  </w:style>
  <w:style w:type="paragraph" w:styleId="186">
    <w:name w:val="toc 7"/>
    <w:basedOn w:val="638"/>
    <w:next w:val="638"/>
    <w:uiPriority w:val="39"/>
    <w:unhideWhenUsed/>
    <w:pPr>
      <w:ind w:left="1701" w:right="0" w:firstLine="0"/>
      <w:spacing w:after="57"/>
    </w:pPr>
  </w:style>
  <w:style w:type="paragraph" w:styleId="187">
    <w:name w:val="toc 8"/>
    <w:basedOn w:val="638"/>
    <w:next w:val="638"/>
    <w:uiPriority w:val="39"/>
    <w:unhideWhenUsed/>
    <w:pPr>
      <w:ind w:left="1984" w:right="0" w:firstLine="0"/>
      <w:spacing w:after="57"/>
    </w:pPr>
  </w:style>
  <w:style w:type="paragraph" w:styleId="188">
    <w:name w:val="toc 9"/>
    <w:basedOn w:val="638"/>
    <w:next w:val="6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8"/>
    <w:next w:val="638"/>
    <w:uiPriority w:val="99"/>
    <w:unhideWhenUsed/>
    <w:pPr>
      <w:spacing w:after="0" w:afterAutospacing="0"/>
    </w:pPr>
  </w:style>
  <w:style w:type="paragraph" w:styleId="638" w:default="1">
    <w:name w:val="Normal"/>
    <w:next w:val="638"/>
    <w:link w:val="638"/>
    <w:qFormat/>
    <w:pPr>
      <w:jc w:val="both"/>
      <w:widowControl w:val="off"/>
    </w:pPr>
    <w:rPr>
      <w:rFonts w:ascii="Times New Roman" w:hAnsi="Times New Roman" w:eastAsia="宋体" w:cs="Times New Roman"/>
      <w:sz w:val="21"/>
      <w:szCs w:val="24"/>
      <w:lang w:val="en-US" w:eastAsia="zh-CN" w:bidi="ar-SA"/>
    </w:rPr>
  </w:style>
  <w:style w:type="paragraph" w:styleId="639">
    <w:name w:val="标题 1"/>
    <w:basedOn w:val="638"/>
    <w:next w:val="638"/>
    <w:link w:val="650"/>
    <w:uiPriority w:val="9"/>
    <w:qFormat/>
    <w:pPr>
      <w:keepLines/>
      <w:keepNext/>
      <w:spacing w:before="480" w:after="200"/>
      <w:outlineLvl w:val="0"/>
    </w:pPr>
    <w:rPr>
      <w:rFonts w:ascii="Arial" w:hAnsi="Arial" w:eastAsia="Arial" w:cs="Arial"/>
      <w:sz w:val="40"/>
      <w:szCs w:val="40"/>
    </w:rPr>
  </w:style>
  <w:style w:type="paragraph" w:styleId="640">
    <w:name w:val="标题 2"/>
    <w:basedOn w:val="638"/>
    <w:next w:val="638"/>
    <w:link w:val="651"/>
    <w:uiPriority w:val="9"/>
    <w:unhideWhenUsed/>
    <w:qFormat/>
    <w:pPr>
      <w:keepLines/>
      <w:keepNext/>
      <w:spacing w:before="360" w:after="200"/>
      <w:outlineLvl w:val="1"/>
    </w:pPr>
    <w:rPr>
      <w:rFonts w:ascii="Arial" w:hAnsi="Arial" w:eastAsia="Arial" w:cs="Arial"/>
      <w:sz w:val="34"/>
    </w:rPr>
  </w:style>
  <w:style w:type="paragraph" w:styleId="641">
    <w:name w:val="标题 3"/>
    <w:basedOn w:val="638"/>
    <w:next w:val="638"/>
    <w:link w:val="652"/>
    <w:uiPriority w:val="9"/>
    <w:unhideWhenUsed/>
    <w:qFormat/>
    <w:pPr>
      <w:keepLines/>
      <w:keepNext/>
      <w:spacing w:before="320" w:after="200"/>
      <w:outlineLvl w:val="2"/>
    </w:pPr>
    <w:rPr>
      <w:rFonts w:ascii="Arial" w:hAnsi="Arial" w:eastAsia="Arial" w:cs="Arial"/>
      <w:sz w:val="30"/>
      <w:szCs w:val="30"/>
    </w:rPr>
  </w:style>
  <w:style w:type="paragraph" w:styleId="642">
    <w:name w:val="标题 4"/>
    <w:basedOn w:val="638"/>
    <w:next w:val="638"/>
    <w:link w:val="653"/>
    <w:uiPriority w:val="9"/>
    <w:unhideWhenUsed/>
    <w:qFormat/>
    <w:pPr>
      <w:keepLines/>
      <w:keepNext/>
      <w:spacing w:before="320" w:after="200"/>
      <w:outlineLvl w:val="3"/>
    </w:pPr>
    <w:rPr>
      <w:rFonts w:ascii="Arial" w:hAnsi="Arial" w:eastAsia="Arial" w:cs="Arial"/>
      <w:b/>
      <w:bCs/>
      <w:sz w:val="26"/>
      <w:szCs w:val="26"/>
    </w:rPr>
  </w:style>
  <w:style w:type="paragraph" w:styleId="643">
    <w:name w:val="标题 5"/>
    <w:basedOn w:val="638"/>
    <w:next w:val="638"/>
    <w:link w:val="654"/>
    <w:uiPriority w:val="9"/>
    <w:unhideWhenUsed/>
    <w:qFormat/>
    <w:pPr>
      <w:keepLines/>
      <w:keepNext/>
      <w:spacing w:before="320" w:after="200"/>
      <w:outlineLvl w:val="4"/>
    </w:pPr>
    <w:rPr>
      <w:rFonts w:ascii="Arial" w:hAnsi="Arial" w:eastAsia="Arial" w:cs="Arial"/>
      <w:b/>
      <w:bCs/>
      <w:sz w:val="24"/>
    </w:rPr>
  </w:style>
  <w:style w:type="paragraph" w:styleId="644">
    <w:name w:val="标题 6"/>
    <w:basedOn w:val="638"/>
    <w:next w:val="638"/>
    <w:link w:val="655"/>
    <w:uiPriority w:val="9"/>
    <w:unhideWhenUsed/>
    <w:qFormat/>
    <w:pPr>
      <w:keepLines/>
      <w:keepNext/>
      <w:spacing w:before="320" w:after="200"/>
      <w:outlineLvl w:val="5"/>
    </w:pPr>
    <w:rPr>
      <w:rFonts w:ascii="Arial" w:hAnsi="Arial" w:eastAsia="Arial" w:cs="Arial"/>
      <w:b/>
      <w:bCs/>
      <w:sz w:val="22"/>
      <w:szCs w:val="22"/>
    </w:rPr>
  </w:style>
  <w:style w:type="paragraph" w:styleId="645">
    <w:name w:val="标题 7"/>
    <w:basedOn w:val="638"/>
    <w:next w:val="638"/>
    <w:link w:val="656"/>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标题 8"/>
    <w:basedOn w:val="638"/>
    <w:next w:val="638"/>
    <w:link w:val="657"/>
    <w:uiPriority w:val="9"/>
    <w:unhideWhenUsed/>
    <w:qFormat/>
    <w:pPr>
      <w:keepLines/>
      <w:keepNext/>
      <w:spacing w:before="320" w:after="200"/>
      <w:outlineLvl w:val="7"/>
    </w:pPr>
    <w:rPr>
      <w:rFonts w:ascii="Arial" w:hAnsi="Arial" w:eastAsia="Arial" w:cs="Arial"/>
      <w:i/>
      <w:iCs/>
      <w:sz w:val="22"/>
      <w:szCs w:val="22"/>
    </w:rPr>
  </w:style>
  <w:style w:type="paragraph" w:styleId="647">
    <w:name w:val="标题 9"/>
    <w:basedOn w:val="638"/>
    <w:next w:val="638"/>
    <w:link w:val="658"/>
    <w:uiPriority w:val="9"/>
    <w:unhideWhenUsed/>
    <w:qFormat/>
    <w:pPr>
      <w:keepLines/>
      <w:keepNext/>
      <w:spacing w:before="320" w:after="200"/>
      <w:outlineLvl w:val="8"/>
    </w:pPr>
    <w:rPr>
      <w:rFonts w:ascii="Arial" w:hAnsi="Arial" w:eastAsia="Arial" w:cs="Arial"/>
      <w:i/>
      <w:iCs/>
      <w:szCs w:val="21"/>
    </w:rPr>
  </w:style>
  <w:style w:type="character" w:styleId="648">
    <w:name w:val="默认段落字体"/>
    <w:next w:val="648"/>
    <w:link w:val="638"/>
    <w:uiPriority w:val="1"/>
    <w:unhideWhenUsed/>
  </w:style>
  <w:style w:type="table" w:styleId="649">
    <w:name w:val="普通表格"/>
    <w:next w:val="649"/>
    <w:link w:val="638"/>
    <w:uiPriority w:val="99"/>
    <w:unhideWhenUsed/>
    <w:tblPr/>
  </w:style>
  <w:style w:type="character" w:styleId="650">
    <w:name w:val="标题 1 字符2"/>
    <w:basedOn w:val="648"/>
    <w:next w:val="650"/>
    <w:link w:val="639"/>
    <w:uiPriority w:val="9"/>
    <w:qFormat/>
    <w:rPr>
      <w:rFonts w:ascii="Arial" w:hAnsi="Arial" w:eastAsia="Arial" w:cs="Arial"/>
      <w:sz w:val="40"/>
      <w:szCs w:val="40"/>
    </w:rPr>
  </w:style>
  <w:style w:type="character" w:styleId="651">
    <w:name w:val="标题 2 字符2"/>
    <w:basedOn w:val="648"/>
    <w:next w:val="651"/>
    <w:link w:val="640"/>
    <w:uiPriority w:val="9"/>
    <w:qFormat/>
    <w:rPr>
      <w:rFonts w:ascii="Arial" w:hAnsi="Arial" w:eastAsia="Arial" w:cs="Arial"/>
      <w:sz w:val="34"/>
    </w:rPr>
  </w:style>
  <w:style w:type="character" w:styleId="652">
    <w:name w:val="标题 3 字符2"/>
    <w:basedOn w:val="648"/>
    <w:next w:val="652"/>
    <w:link w:val="641"/>
    <w:uiPriority w:val="9"/>
    <w:qFormat/>
    <w:rPr>
      <w:rFonts w:ascii="Arial" w:hAnsi="Arial" w:eastAsia="Arial" w:cs="Arial"/>
      <w:sz w:val="30"/>
      <w:szCs w:val="30"/>
    </w:rPr>
  </w:style>
  <w:style w:type="character" w:styleId="653">
    <w:name w:val="标题 4 字符2"/>
    <w:basedOn w:val="648"/>
    <w:next w:val="653"/>
    <w:link w:val="642"/>
    <w:uiPriority w:val="9"/>
    <w:qFormat/>
    <w:rPr>
      <w:rFonts w:ascii="Arial" w:hAnsi="Arial" w:eastAsia="Arial" w:cs="Arial"/>
      <w:b/>
      <w:bCs/>
      <w:sz w:val="26"/>
      <w:szCs w:val="26"/>
    </w:rPr>
  </w:style>
  <w:style w:type="character" w:styleId="654">
    <w:name w:val="标题 5 字符1"/>
    <w:basedOn w:val="648"/>
    <w:next w:val="654"/>
    <w:link w:val="643"/>
    <w:uiPriority w:val="9"/>
    <w:qFormat/>
    <w:rPr>
      <w:rFonts w:ascii="Arial" w:hAnsi="Arial" w:eastAsia="Arial" w:cs="Arial"/>
      <w:b/>
      <w:bCs/>
      <w:sz w:val="24"/>
      <w:szCs w:val="24"/>
    </w:rPr>
  </w:style>
  <w:style w:type="character" w:styleId="655">
    <w:name w:val="标题 6 字符1"/>
    <w:basedOn w:val="648"/>
    <w:next w:val="655"/>
    <w:link w:val="644"/>
    <w:uiPriority w:val="9"/>
    <w:qFormat/>
    <w:rPr>
      <w:rFonts w:ascii="Arial" w:hAnsi="Arial" w:eastAsia="Arial" w:cs="Arial"/>
      <w:b/>
      <w:bCs/>
      <w:sz w:val="22"/>
      <w:szCs w:val="22"/>
    </w:rPr>
  </w:style>
  <w:style w:type="character" w:styleId="656">
    <w:name w:val="标题 7 字符1"/>
    <w:basedOn w:val="648"/>
    <w:next w:val="656"/>
    <w:link w:val="645"/>
    <w:uiPriority w:val="9"/>
    <w:qFormat/>
    <w:rPr>
      <w:rFonts w:ascii="Arial" w:hAnsi="Arial" w:eastAsia="Arial" w:cs="Arial"/>
      <w:b/>
      <w:bCs/>
      <w:i/>
      <w:iCs/>
      <w:sz w:val="22"/>
      <w:szCs w:val="22"/>
    </w:rPr>
  </w:style>
  <w:style w:type="character" w:styleId="657">
    <w:name w:val="标题 8 字符1"/>
    <w:basedOn w:val="648"/>
    <w:next w:val="657"/>
    <w:link w:val="646"/>
    <w:uiPriority w:val="9"/>
    <w:qFormat/>
    <w:rPr>
      <w:rFonts w:ascii="Arial" w:hAnsi="Arial" w:eastAsia="Arial" w:cs="Arial"/>
      <w:i/>
      <w:iCs/>
      <w:sz w:val="22"/>
      <w:szCs w:val="22"/>
    </w:rPr>
  </w:style>
  <w:style w:type="character" w:styleId="658">
    <w:name w:val="标题 9 字符1"/>
    <w:basedOn w:val="648"/>
    <w:next w:val="658"/>
    <w:link w:val="647"/>
    <w:uiPriority w:val="9"/>
    <w:qFormat/>
    <w:rPr>
      <w:rFonts w:ascii="Arial" w:hAnsi="Arial" w:eastAsia="Arial" w:cs="Arial"/>
      <w:i/>
      <w:iCs/>
      <w:sz w:val="21"/>
      <w:szCs w:val="21"/>
    </w:rPr>
  </w:style>
  <w:style w:type="paragraph" w:styleId="659">
    <w:name w:val="目录 7"/>
    <w:basedOn w:val="638"/>
    <w:next w:val="638"/>
    <w:link w:val="638"/>
    <w:uiPriority w:val="39"/>
    <w:unhideWhenUsed/>
    <w:qFormat/>
    <w:pPr>
      <w:ind w:left="1701"/>
      <w:spacing w:after="57"/>
    </w:pPr>
  </w:style>
  <w:style w:type="paragraph" w:styleId="660">
    <w:name w:val="题注"/>
    <w:basedOn w:val="638"/>
    <w:next w:val="638"/>
    <w:link w:val="638"/>
    <w:uiPriority w:val="35"/>
    <w:unhideWhenUsed/>
    <w:qFormat/>
    <w:pPr>
      <w:spacing w:line="276" w:lineRule="auto"/>
    </w:pPr>
    <w:rPr>
      <w:b/>
      <w:bCs/>
      <w:color w:val="4f81bd"/>
      <w:sz w:val="18"/>
      <w:szCs w:val="18"/>
    </w:rPr>
  </w:style>
  <w:style w:type="paragraph" w:styleId="661">
    <w:name w:val="正文文本"/>
    <w:basedOn w:val="638"/>
    <w:next w:val="638"/>
    <w:link w:val="662"/>
    <w:uiPriority w:val="99"/>
    <w:unhideWhenUsed/>
    <w:qFormat/>
    <w:pPr>
      <w:spacing w:after="120"/>
    </w:pPr>
    <w:rPr>
      <w:rFonts w:ascii="Calibri" w:hAnsi="Calibri"/>
      <w:szCs w:val="22"/>
    </w:rPr>
  </w:style>
  <w:style w:type="character" w:styleId="662">
    <w:name w:val="正文文本 字符"/>
    <w:basedOn w:val="648"/>
    <w:next w:val="662"/>
    <w:link w:val="661"/>
    <w:qFormat/>
    <w:rPr>
      <w:rFonts w:ascii="Calibri" w:hAnsi="Calibri"/>
      <w:sz w:val="21"/>
      <w:szCs w:val="22"/>
    </w:rPr>
  </w:style>
  <w:style w:type="paragraph" w:styleId="663">
    <w:name w:val="正文文本缩进"/>
    <w:basedOn w:val="638"/>
    <w:next w:val="663"/>
    <w:link w:val="664"/>
    <w:qFormat/>
    <w:pPr>
      <w:ind w:left="420"/>
      <w:spacing w:after="120"/>
    </w:pPr>
    <w:rPr>
      <w:rFonts w:eastAsia="方正仿宋_GB2312"/>
      <w:sz w:val="32"/>
      <w:szCs w:val="32"/>
    </w:rPr>
  </w:style>
  <w:style w:type="character" w:styleId="664">
    <w:name w:val="正文文本缩进 字符"/>
    <w:basedOn w:val="648"/>
    <w:next w:val="664"/>
    <w:link w:val="663"/>
    <w:qFormat/>
    <w:rPr>
      <w:rFonts w:eastAsia="方正仿宋_GB2312"/>
      <w:sz w:val="32"/>
      <w:szCs w:val="32"/>
    </w:rPr>
  </w:style>
  <w:style w:type="paragraph" w:styleId="665">
    <w:name w:val="目录 5"/>
    <w:basedOn w:val="638"/>
    <w:next w:val="638"/>
    <w:link w:val="638"/>
    <w:uiPriority w:val="39"/>
    <w:unhideWhenUsed/>
    <w:qFormat/>
    <w:pPr>
      <w:ind w:left="1134"/>
      <w:spacing w:after="57"/>
    </w:pPr>
  </w:style>
  <w:style w:type="paragraph" w:styleId="666">
    <w:name w:val="目录 3"/>
    <w:basedOn w:val="638"/>
    <w:next w:val="638"/>
    <w:link w:val="638"/>
    <w:uiPriority w:val="39"/>
    <w:unhideWhenUsed/>
    <w:qFormat/>
    <w:pPr>
      <w:ind w:left="567"/>
      <w:spacing w:after="57"/>
    </w:pPr>
  </w:style>
  <w:style w:type="paragraph" w:styleId="667">
    <w:name w:val="纯文本"/>
    <w:basedOn w:val="638"/>
    <w:next w:val="667"/>
    <w:link w:val="668"/>
    <w:qFormat/>
    <w:rPr>
      <w:rFonts w:ascii="宋体" w:hAnsi="Courier New"/>
      <w:szCs w:val="20"/>
    </w:rPr>
  </w:style>
  <w:style w:type="character" w:styleId="668">
    <w:name w:val="纯文本 字符2"/>
    <w:next w:val="668"/>
    <w:link w:val="667"/>
    <w:qFormat/>
    <w:rPr>
      <w:rFonts w:ascii="宋体" w:hAnsi="Courier New"/>
      <w:sz w:val="21"/>
    </w:rPr>
  </w:style>
  <w:style w:type="paragraph" w:styleId="669">
    <w:name w:val="目录 8"/>
    <w:basedOn w:val="638"/>
    <w:next w:val="638"/>
    <w:link w:val="638"/>
    <w:uiPriority w:val="39"/>
    <w:unhideWhenUsed/>
    <w:qFormat/>
    <w:pPr>
      <w:ind w:left="1984"/>
      <w:spacing w:after="57"/>
    </w:pPr>
  </w:style>
  <w:style w:type="paragraph" w:styleId="670">
    <w:name w:val="尾注文本"/>
    <w:basedOn w:val="638"/>
    <w:next w:val="670"/>
    <w:link w:val="671"/>
    <w:uiPriority w:val="99"/>
    <w:unhideWhenUsed/>
    <w:qFormat/>
    <w:rPr>
      <w:sz w:val="20"/>
    </w:rPr>
  </w:style>
  <w:style w:type="character" w:styleId="671">
    <w:name w:val="尾注文本 字符"/>
    <w:next w:val="671"/>
    <w:link w:val="670"/>
    <w:uiPriority w:val="99"/>
    <w:qFormat/>
    <w:rPr>
      <w:sz w:val="20"/>
    </w:rPr>
  </w:style>
  <w:style w:type="paragraph" w:styleId="672">
    <w:name w:val="批注框文本"/>
    <w:basedOn w:val="638"/>
    <w:next w:val="672"/>
    <w:link w:val="673"/>
    <w:uiPriority w:val="99"/>
    <w:unhideWhenUsed/>
    <w:qFormat/>
    <w:rPr>
      <w:rFonts w:eastAsia="方正仿宋_GB2312"/>
      <w:sz w:val="18"/>
      <w:szCs w:val="18"/>
    </w:rPr>
  </w:style>
  <w:style w:type="character" w:styleId="673">
    <w:name w:val="批注框文本 字符"/>
    <w:basedOn w:val="648"/>
    <w:next w:val="673"/>
    <w:link w:val="672"/>
    <w:uiPriority w:val="99"/>
    <w:semiHidden/>
    <w:qFormat/>
    <w:rPr>
      <w:rFonts w:eastAsia="方正仿宋_GB2312"/>
      <w:sz w:val="18"/>
      <w:szCs w:val="18"/>
    </w:rPr>
  </w:style>
  <w:style w:type="paragraph" w:styleId="674">
    <w:name w:val="页脚"/>
    <w:basedOn w:val="638"/>
    <w:next w:val="674"/>
    <w:link w:val="675"/>
    <w:uiPriority w:val="99"/>
    <w:unhideWhenUsed/>
    <w:qFormat/>
    <w:pPr>
      <w:jc w:val="left"/>
      <w:tabs>
        <w:tab w:val="center" w:pos="4153" w:leader="none"/>
        <w:tab w:val="right" w:pos="8306" w:leader="none"/>
      </w:tabs>
    </w:pPr>
    <w:rPr>
      <w:sz w:val="18"/>
      <w:szCs w:val="18"/>
    </w:rPr>
  </w:style>
  <w:style w:type="character" w:styleId="675">
    <w:name w:val="页脚 字符2"/>
    <w:basedOn w:val="648"/>
    <w:next w:val="675"/>
    <w:link w:val="674"/>
    <w:uiPriority w:val="99"/>
    <w:qFormat/>
    <w:rPr>
      <w:sz w:val="18"/>
      <w:szCs w:val="18"/>
    </w:rPr>
  </w:style>
  <w:style w:type="paragraph" w:styleId="676">
    <w:name w:val="页眉"/>
    <w:basedOn w:val="638"/>
    <w:next w:val="676"/>
    <w:link w:val="67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77">
    <w:name w:val="页眉 字符2"/>
    <w:basedOn w:val="648"/>
    <w:next w:val="677"/>
    <w:link w:val="676"/>
    <w:uiPriority w:val="99"/>
    <w:qFormat/>
    <w:rPr>
      <w:sz w:val="18"/>
      <w:szCs w:val="18"/>
    </w:rPr>
  </w:style>
  <w:style w:type="paragraph" w:styleId="678">
    <w:name w:val="目录 1"/>
    <w:basedOn w:val="638"/>
    <w:next w:val="638"/>
    <w:link w:val="638"/>
    <w:uiPriority w:val="39"/>
    <w:unhideWhenUsed/>
    <w:qFormat/>
    <w:pPr>
      <w:spacing w:after="57"/>
    </w:pPr>
  </w:style>
  <w:style w:type="paragraph" w:styleId="679">
    <w:name w:val="目录 4"/>
    <w:basedOn w:val="638"/>
    <w:next w:val="638"/>
    <w:link w:val="638"/>
    <w:uiPriority w:val="39"/>
    <w:unhideWhenUsed/>
    <w:qFormat/>
    <w:pPr>
      <w:ind w:left="850"/>
      <w:spacing w:after="57"/>
    </w:pPr>
  </w:style>
  <w:style w:type="paragraph" w:styleId="680">
    <w:name w:val="副标题"/>
    <w:basedOn w:val="638"/>
    <w:next w:val="638"/>
    <w:link w:val="681"/>
    <w:uiPriority w:val="11"/>
    <w:qFormat/>
    <w:pPr>
      <w:spacing w:before="200" w:after="200"/>
    </w:pPr>
    <w:rPr>
      <w:sz w:val="24"/>
    </w:rPr>
  </w:style>
  <w:style w:type="character" w:styleId="681">
    <w:name w:val="副标题 字符"/>
    <w:next w:val="681"/>
    <w:link w:val="680"/>
    <w:uiPriority w:val="11"/>
    <w:qFormat/>
    <w:rPr>
      <w:sz w:val="24"/>
      <w:szCs w:val="24"/>
    </w:rPr>
  </w:style>
  <w:style w:type="paragraph" w:styleId="682">
    <w:name w:val="脚注文本"/>
    <w:basedOn w:val="638"/>
    <w:next w:val="682"/>
    <w:link w:val="683"/>
    <w:uiPriority w:val="99"/>
    <w:unhideWhenUsed/>
    <w:qFormat/>
    <w:pPr>
      <w:spacing w:after="40"/>
    </w:pPr>
    <w:rPr>
      <w:sz w:val="18"/>
    </w:rPr>
  </w:style>
  <w:style w:type="character" w:styleId="683">
    <w:name w:val="脚注文本 字符"/>
    <w:next w:val="683"/>
    <w:link w:val="682"/>
    <w:uiPriority w:val="99"/>
    <w:qFormat/>
    <w:rPr>
      <w:sz w:val="18"/>
    </w:rPr>
  </w:style>
  <w:style w:type="paragraph" w:styleId="684">
    <w:name w:val="目录 6"/>
    <w:basedOn w:val="638"/>
    <w:next w:val="638"/>
    <w:link w:val="638"/>
    <w:uiPriority w:val="39"/>
    <w:unhideWhenUsed/>
    <w:qFormat/>
    <w:pPr>
      <w:ind w:left="1417"/>
      <w:spacing w:after="57"/>
    </w:pPr>
  </w:style>
  <w:style w:type="paragraph" w:styleId="685">
    <w:name w:val="图表目录"/>
    <w:basedOn w:val="638"/>
    <w:next w:val="638"/>
    <w:link w:val="638"/>
    <w:uiPriority w:val="99"/>
    <w:unhideWhenUsed/>
    <w:qFormat/>
  </w:style>
  <w:style w:type="paragraph" w:styleId="686">
    <w:name w:val="目录 2"/>
    <w:basedOn w:val="638"/>
    <w:next w:val="638"/>
    <w:link w:val="638"/>
    <w:uiPriority w:val="39"/>
    <w:unhideWhenUsed/>
    <w:qFormat/>
    <w:pPr>
      <w:ind w:left="283"/>
      <w:spacing w:after="57"/>
    </w:pPr>
  </w:style>
  <w:style w:type="paragraph" w:styleId="687">
    <w:name w:val="目录 9"/>
    <w:basedOn w:val="638"/>
    <w:next w:val="638"/>
    <w:link w:val="638"/>
    <w:uiPriority w:val="39"/>
    <w:unhideWhenUsed/>
    <w:qFormat/>
    <w:pPr>
      <w:ind w:left="2268"/>
      <w:spacing w:after="57"/>
    </w:pPr>
  </w:style>
  <w:style w:type="paragraph" w:styleId="688">
    <w:name w:val="普通(网站)"/>
    <w:basedOn w:val="638"/>
    <w:next w:val="688"/>
    <w:link w:val="638"/>
    <w:qFormat/>
    <w:pPr>
      <w:jc w:val="left"/>
      <w:spacing w:before="100" w:beforeAutospacing="1" w:after="100" w:afterAutospacing="1"/>
      <w:widowControl/>
    </w:pPr>
    <w:rPr>
      <w:rFonts w:ascii="宋体" w:hAnsi="宋体" w:cs="宋体"/>
      <w:sz w:val="24"/>
    </w:rPr>
  </w:style>
  <w:style w:type="paragraph" w:styleId="689">
    <w:name w:val="标题"/>
    <w:basedOn w:val="638"/>
    <w:next w:val="638"/>
    <w:link w:val="690"/>
    <w:uiPriority w:val="10"/>
    <w:qFormat/>
    <w:pPr>
      <w:contextualSpacing/>
      <w:spacing w:before="300" w:after="200"/>
    </w:pPr>
    <w:rPr>
      <w:sz w:val="48"/>
      <w:szCs w:val="48"/>
    </w:rPr>
  </w:style>
  <w:style w:type="character" w:styleId="690">
    <w:name w:val="标题 字符"/>
    <w:next w:val="690"/>
    <w:link w:val="689"/>
    <w:uiPriority w:val="10"/>
    <w:qFormat/>
    <w:rPr>
      <w:sz w:val="48"/>
      <w:szCs w:val="48"/>
    </w:rPr>
  </w:style>
  <w:style w:type="paragraph" w:styleId="691">
    <w:name w:val="正文首行缩进"/>
    <w:basedOn w:val="661"/>
    <w:next w:val="691"/>
    <w:link w:val="692"/>
    <w:uiPriority w:val="99"/>
    <w:unhideWhenUsed/>
    <w:qFormat/>
    <w:pPr>
      <w:ind w:firstLine="420"/>
    </w:pPr>
    <w:rPr>
      <w:rFonts w:ascii="Times New Roman" w:hAnsi="Times New Roman"/>
      <w:szCs w:val="24"/>
    </w:rPr>
  </w:style>
  <w:style w:type="character" w:styleId="692">
    <w:name w:val="正文文本首行缩进 字符"/>
    <w:basedOn w:val="662"/>
    <w:next w:val="692"/>
    <w:link w:val="691"/>
    <w:uiPriority w:val="99"/>
    <w:qFormat/>
    <w:rPr>
      <w:rFonts w:ascii="Calibri" w:hAnsi="Calibri"/>
      <w:sz w:val="21"/>
      <w:szCs w:val="24"/>
    </w:rPr>
  </w:style>
  <w:style w:type="paragraph" w:styleId="693">
    <w:name w:val="正文首行缩进 2"/>
    <w:basedOn w:val="638"/>
    <w:next w:val="693"/>
    <w:link w:val="694"/>
    <w:qFormat/>
    <w:pPr>
      <w:ind w:left="200" w:firstLine="200"/>
      <w:spacing w:before="100" w:beforeAutospacing="1" w:after="120"/>
    </w:pPr>
    <w:rPr>
      <w:rFonts w:eastAsia="方正仿宋_GB2312"/>
      <w:sz w:val="32"/>
      <w:szCs w:val="32"/>
    </w:rPr>
  </w:style>
  <w:style w:type="character" w:styleId="694">
    <w:name w:val="正文文本首行缩进 2 字符"/>
    <w:basedOn w:val="664"/>
    <w:next w:val="694"/>
    <w:link w:val="693"/>
    <w:qFormat/>
    <w:rPr>
      <w:rFonts w:eastAsia="方正仿宋_GB2312"/>
      <w:sz w:val="32"/>
      <w:szCs w:val="32"/>
    </w:rPr>
  </w:style>
  <w:style w:type="table" w:styleId="695">
    <w:name w:val="网格型"/>
    <w:next w:val="695"/>
    <w:link w:val="638"/>
    <w:uiPriority w:val="59"/>
    <w:qFormat/>
    <w:tblPr/>
  </w:style>
  <w:style w:type="character" w:styleId="696">
    <w:name w:val="要点"/>
    <w:basedOn w:val="648"/>
    <w:next w:val="696"/>
    <w:link w:val="638"/>
    <w:uiPriority w:val="22"/>
    <w:qFormat/>
    <w:rPr>
      <w:b/>
      <w:bCs/>
    </w:rPr>
  </w:style>
  <w:style w:type="character" w:styleId="697">
    <w:name w:val="尾注引用"/>
    <w:next w:val="697"/>
    <w:link w:val="638"/>
    <w:uiPriority w:val="99"/>
    <w:unhideWhenUsed/>
    <w:qFormat/>
    <w:rPr>
      <w:vertAlign w:val="superscript"/>
    </w:rPr>
  </w:style>
  <w:style w:type="character" w:styleId="698">
    <w:name w:val="超链接"/>
    <w:next w:val="698"/>
    <w:link w:val="638"/>
    <w:uiPriority w:val="99"/>
    <w:unhideWhenUsed/>
    <w:qFormat/>
    <w:rPr>
      <w:color w:val="0000ff"/>
      <w:u w:val="single"/>
    </w:rPr>
  </w:style>
  <w:style w:type="character" w:styleId="699">
    <w:name w:val="脚注引用"/>
    <w:next w:val="699"/>
    <w:link w:val="638"/>
    <w:uiPriority w:val="99"/>
    <w:unhideWhenUsed/>
    <w:qFormat/>
    <w:rPr>
      <w:vertAlign w:val="superscript"/>
    </w:rPr>
  </w:style>
  <w:style w:type="table" w:styleId="700">
    <w:name w:val="无格式表格 11"/>
    <w:basedOn w:val="649"/>
    <w:next w:val="700"/>
    <w:link w:val="638"/>
    <w:uiPriority w:val="59"/>
    <w:qFormat/>
    <w:tblPr/>
  </w:style>
  <w:style w:type="table" w:styleId="701">
    <w:name w:val="无格式表格 21"/>
    <w:basedOn w:val="649"/>
    <w:next w:val="701"/>
    <w:link w:val="638"/>
    <w:uiPriority w:val="59"/>
    <w:qFormat/>
    <w:tblPr/>
  </w:style>
  <w:style w:type="table" w:styleId="702">
    <w:name w:val="无格式表格 31"/>
    <w:basedOn w:val="649"/>
    <w:next w:val="702"/>
    <w:link w:val="638"/>
    <w:uiPriority w:val="99"/>
    <w:qFormat/>
    <w:tblPr/>
  </w:style>
  <w:style w:type="table" w:styleId="703">
    <w:name w:val="无格式表格 41"/>
    <w:basedOn w:val="649"/>
    <w:next w:val="703"/>
    <w:link w:val="638"/>
    <w:uiPriority w:val="99"/>
    <w:qFormat/>
    <w:tblPr/>
  </w:style>
  <w:style w:type="table" w:styleId="704">
    <w:name w:val="无格式表格 51"/>
    <w:basedOn w:val="649"/>
    <w:next w:val="704"/>
    <w:link w:val="638"/>
    <w:uiPriority w:val="99"/>
    <w:qFormat/>
    <w:tblPr/>
  </w:style>
  <w:style w:type="table" w:styleId="705">
    <w:name w:val="网格表 1 浅色1"/>
    <w:basedOn w:val="649"/>
    <w:next w:val="705"/>
    <w:link w:val="638"/>
    <w:uiPriority w:val="99"/>
    <w:qFormat/>
    <w:tblPr/>
  </w:style>
  <w:style w:type="table" w:styleId="706">
    <w:name w:val="网格表 21"/>
    <w:basedOn w:val="649"/>
    <w:next w:val="706"/>
    <w:link w:val="638"/>
    <w:uiPriority w:val="99"/>
    <w:qFormat/>
    <w:tblPr/>
  </w:style>
  <w:style w:type="table" w:styleId="707">
    <w:name w:val="网格表 31"/>
    <w:basedOn w:val="649"/>
    <w:next w:val="707"/>
    <w:link w:val="638"/>
    <w:uiPriority w:val="99"/>
    <w:qFormat/>
    <w:tblPr/>
  </w:style>
  <w:style w:type="table" w:styleId="708">
    <w:name w:val="网格表 41"/>
    <w:basedOn w:val="649"/>
    <w:next w:val="708"/>
    <w:link w:val="638"/>
    <w:uiPriority w:val="59"/>
    <w:qFormat/>
    <w:tblPr/>
  </w:style>
  <w:style w:type="table" w:styleId="709">
    <w:name w:val="网格表 5 深色1"/>
    <w:basedOn w:val="649"/>
    <w:next w:val="709"/>
    <w:link w:val="638"/>
    <w:uiPriority w:val="99"/>
    <w:qFormat/>
    <w:tblPr/>
  </w:style>
  <w:style w:type="table" w:styleId="710">
    <w:name w:val="网格表 6 彩色1"/>
    <w:basedOn w:val="649"/>
    <w:next w:val="710"/>
    <w:link w:val="638"/>
    <w:uiPriority w:val="99"/>
    <w:qFormat/>
    <w:tblPr/>
  </w:style>
  <w:style w:type="table" w:styleId="711">
    <w:name w:val="网格表 7 彩色1"/>
    <w:basedOn w:val="649"/>
    <w:next w:val="711"/>
    <w:link w:val="638"/>
    <w:uiPriority w:val="99"/>
    <w:qFormat/>
    <w:tblPr/>
  </w:style>
  <w:style w:type="table" w:styleId="712">
    <w:name w:val="清单表 1 浅色1"/>
    <w:basedOn w:val="649"/>
    <w:next w:val="712"/>
    <w:link w:val="638"/>
    <w:uiPriority w:val="99"/>
    <w:qFormat/>
    <w:tblPr/>
  </w:style>
  <w:style w:type="table" w:styleId="713">
    <w:name w:val="清单表 21"/>
    <w:basedOn w:val="649"/>
    <w:next w:val="713"/>
    <w:link w:val="638"/>
    <w:uiPriority w:val="99"/>
    <w:qFormat/>
    <w:tblPr/>
  </w:style>
  <w:style w:type="table" w:styleId="714">
    <w:name w:val="清单表 31"/>
    <w:basedOn w:val="649"/>
    <w:next w:val="714"/>
    <w:link w:val="638"/>
    <w:uiPriority w:val="99"/>
    <w:qFormat/>
    <w:tblPr/>
  </w:style>
  <w:style w:type="table" w:styleId="715">
    <w:name w:val="清单表 41"/>
    <w:basedOn w:val="649"/>
    <w:next w:val="715"/>
    <w:link w:val="638"/>
    <w:uiPriority w:val="99"/>
    <w:qFormat/>
    <w:tblPr/>
  </w:style>
  <w:style w:type="table" w:styleId="716">
    <w:name w:val="清单表 5 深色1"/>
    <w:basedOn w:val="649"/>
    <w:next w:val="716"/>
    <w:link w:val="638"/>
    <w:uiPriority w:val="99"/>
    <w:qFormat/>
    <w:tblPr/>
  </w:style>
  <w:style w:type="table" w:styleId="717">
    <w:name w:val="清单表 6 彩色1"/>
    <w:basedOn w:val="649"/>
    <w:next w:val="717"/>
    <w:link w:val="638"/>
    <w:uiPriority w:val="99"/>
    <w:qFormat/>
    <w:tblPr/>
  </w:style>
  <w:style w:type="table" w:styleId="718">
    <w:name w:val="清单表 7 彩色1"/>
    <w:basedOn w:val="649"/>
    <w:next w:val="718"/>
    <w:link w:val="638"/>
    <w:uiPriority w:val="99"/>
    <w:qFormat/>
    <w:tblPr/>
  </w:style>
  <w:style w:type="paragraph" w:styleId="719">
    <w:name w:val="TOC 标题1"/>
    <w:next w:val="719"/>
    <w:link w:val="638"/>
    <w:uiPriority w:val="39"/>
    <w:unhideWhenUsed/>
    <w:qFormat/>
    <w:rPr>
      <w:rFonts w:ascii="Times New Roman" w:hAnsi="Times New Roman" w:eastAsia="宋体" w:cs="Times New Roman"/>
      <w:lang w:val="en-US" w:eastAsia="zh-CN" w:bidi="ar-SA"/>
    </w:rPr>
  </w:style>
  <w:style w:type="character" w:styleId="720">
    <w:name w:val="Heading 1 Char"/>
    <w:basedOn w:val="648"/>
    <w:next w:val="720"/>
    <w:link w:val="638"/>
    <w:uiPriority w:val="9"/>
    <w:qFormat/>
    <w:rPr>
      <w:rFonts w:ascii="Arial" w:hAnsi="Arial" w:eastAsia="Arial" w:cs="Arial"/>
      <w:sz w:val="40"/>
      <w:szCs w:val="40"/>
    </w:rPr>
  </w:style>
  <w:style w:type="character" w:styleId="721">
    <w:name w:val="Heading 2 Char"/>
    <w:basedOn w:val="648"/>
    <w:next w:val="721"/>
    <w:link w:val="638"/>
    <w:uiPriority w:val="9"/>
    <w:qFormat/>
    <w:rPr>
      <w:rFonts w:ascii="Arial" w:hAnsi="Arial" w:eastAsia="Arial" w:cs="Arial"/>
      <w:sz w:val="34"/>
    </w:rPr>
  </w:style>
  <w:style w:type="character" w:styleId="722">
    <w:name w:val="Heading 3 Char"/>
    <w:basedOn w:val="648"/>
    <w:next w:val="722"/>
    <w:link w:val="638"/>
    <w:uiPriority w:val="9"/>
    <w:qFormat/>
    <w:rPr>
      <w:rFonts w:ascii="Arial" w:hAnsi="Arial" w:eastAsia="Arial" w:cs="Arial"/>
      <w:sz w:val="30"/>
      <w:szCs w:val="30"/>
    </w:rPr>
  </w:style>
  <w:style w:type="character" w:styleId="723">
    <w:name w:val="Heading 4 Char"/>
    <w:basedOn w:val="648"/>
    <w:next w:val="723"/>
    <w:link w:val="638"/>
    <w:uiPriority w:val="9"/>
    <w:qFormat/>
    <w:rPr>
      <w:rFonts w:ascii="Arial" w:hAnsi="Arial" w:eastAsia="Arial" w:cs="Arial"/>
      <w:b/>
      <w:bCs/>
      <w:sz w:val="26"/>
      <w:szCs w:val="26"/>
    </w:rPr>
  </w:style>
  <w:style w:type="character" w:styleId="724">
    <w:name w:val="Heading 5 Char"/>
    <w:basedOn w:val="648"/>
    <w:next w:val="724"/>
    <w:link w:val="638"/>
    <w:uiPriority w:val="9"/>
    <w:qFormat/>
    <w:rPr>
      <w:rFonts w:ascii="Arial" w:hAnsi="Arial" w:eastAsia="Arial" w:cs="Arial"/>
      <w:b/>
      <w:bCs/>
      <w:sz w:val="24"/>
      <w:szCs w:val="24"/>
    </w:rPr>
  </w:style>
  <w:style w:type="character" w:styleId="725">
    <w:name w:val="Heading 6 Char"/>
    <w:basedOn w:val="648"/>
    <w:next w:val="725"/>
    <w:link w:val="638"/>
    <w:uiPriority w:val="9"/>
    <w:qFormat/>
    <w:rPr>
      <w:rFonts w:ascii="Arial" w:hAnsi="Arial" w:eastAsia="Arial" w:cs="Arial"/>
      <w:b/>
      <w:bCs/>
      <w:sz w:val="22"/>
      <w:szCs w:val="22"/>
    </w:rPr>
  </w:style>
  <w:style w:type="character" w:styleId="726">
    <w:name w:val="Heading 7 Char"/>
    <w:basedOn w:val="648"/>
    <w:next w:val="726"/>
    <w:link w:val="638"/>
    <w:uiPriority w:val="9"/>
    <w:qFormat/>
    <w:rPr>
      <w:rFonts w:ascii="Arial" w:hAnsi="Arial" w:eastAsia="Arial" w:cs="Arial"/>
      <w:b/>
      <w:bCs/>
      <w:i/>
      <w:iCs/>
      <w:sz w:val="22"/>
      <w:szCs w:val="22"/>
    </w:rPr>
  </w:style>
  <w:style w:type="character" w:styleId="727">
    <w:name w:val="Heading 8 Char"/>
    <w:basedOn w:val="648"/>
    <w:next w:val="727"/>
    <w:link w:val="638"/>
    <w:uiPriority w:val="9"/>
    <w:qFormat/>
    <w:rPr>
      <w:rFonts w:ascii="Arial" w:hAnsi="Arial" w:eastAsia="Arial" w:cs="Arial"/>
      <w:i/>
      <w:iCs/>
      <w:sz w:val="22"/>
      <w:szCs w:val="22"/>
    </w:rPr>
  </w:style>
  <w:style w:type="character" w:styleId="728">
    <w:name w:val="Heading 9 Char"/>
    <w:basedOn w:val="648"/>
    <w:next w:val="728"/>
    <w:link w:val="638"/>
    <w:uiPriority w:val="9"/>
    <w:qFormat/>
    <w:rPr>
      <w:rFonts w:ascii="Arial" w:hAnsi="Arial" w:eastAsia="Arial" w:cs="Arial"/>
      <w:i/>
      <w:iCs/>
      <w:sz w:val="21"/>
      <w:szCs w:val="21"/>
    </w:rPr>
  </w:style>
  <w:style w:type="paragraph" w:styleId="729">
    <w:name w:val="TOC 标题113"/>
    <w:next w:val="729"/>
    <w:link w:val="638"/>
    <w:uiPriority w:val="39"/>
    <w:unhideWhenUsed/>
    <w:qFormat/>
    <w:rPr>
      <w:rFonts w:ascii="Times New Roman" w:hAnsi="Times New Roman" w:eastAsia="宋体" w:cs="Times New Roman"/>
      <w:lang w:val="en-US" w:eastAsia="zh-CN" w:bidi="ar-SA"/>
    </w:rPr>
  </w:style>
  <w:style w:type="paragraph" w:styleId="730">
    <w:name w:val="TOC 标题112"/>
    <w:next w:val="730"/>
    <w:link w:val="638"/>
    <w:uiPriority w:val="39"/>
    <w:unhideWhenUsed/>
    <w:qFormat/>
    <w:rPr>
      <w:rFonts w:ascii="Times New Roman" w:hAnsi="Times New Roman" w:eastAsia="宋体" w:cs="Times New Roman"/>
      <w:lang w:val="en-US" w:eastAsia="zh-CN" w:bidi="ar-SA"/>
    </w:rPr>
  </w:style>
  <w:style w:type="paragraph" w:styleId="731">
    <w:name w:val="标题 11"/>
    <w:basedOn w:val="638"/>
    <w:next w:val="638"/>
    <w:link w:val="732"/>
    <w:uiPriority w:val="9"/>
    <w:qFormat/>
    <w:pPr>
      <w:keepLines/>
      <w:keepNext/>
      <w:spacing w:before="480" w:after="200"/>
      <w:outlineLvl w:val="0"/>
    </w:pPr>
    <w:rPr>
      <w:rFonts w:ascii="Arial" w:hAnsi="Arial" w:eastAsia="Arial" w:cs="Arial"/>
      <w:sz w:val="40"/>
      <w:szCs w:val="40"/>
    </w:rPr>
  </w:style>
  <w:style w:type="character" w:styleId="732">
    <w:name w:val="标题 1 字符1"/>
    <w:next w:val="732"/>
    <w:link w:val="731"/>
    <w:uiPriority w:val="9"/>
    <w:qFormat/>
    <w:rPr>
      <w:rFonts w:ascii="Arial" w:hAnsi="Arial" w:eastAsia="Arial" w:cs="Arial"/>
      <w:sz w:val="40"/>
      <w:szCs w:val="40"/>
    </w:rPr>
  </w:style>
  <w:style w:type="paragraph" w:styleId="733">
    <w:name w:val="标题 21"/>
    <w:basedOn w:val="638"/>
    <w:next w:val="638"/>
    <w:link w:val="734"/>
    <w:uiPriority w:val="9"/>
    <w:unhideWhenUsed/>
    <w:qFormat/>
    <w:pPr>
      <w:keepLines/>
      <w:keepNext/>
      <w:spacing w:before="360" w:after="200"/>
      <w:outlineLvl w:val="1"/>
    </w:pPr>
    <w:rPr>
      <w:rFonts w:ascii="Arial" w:hAnsi="Arial" w:eastAsia="Arial" w:cs="Arial"/>
      <w:sz w:val="34"/>
    </w:rPr>
  </w:style>
  <w:style w:type="character" w:styleId="734">
    <w:name w:val="标题 2 字符1"/>
    <w:next w:val="734"/>
    <w:link w:val="733"/>
    <w:uiPriority w:val="9"/>
    <w:qFormat/>
    <w:rPr>
      <w:rFonts w:ascii="Arial" w:hAnsi="Arial" w:eastAsia="Arial" w:cs="Arial"/>
      <w:sz w:val="34"/>
    </w:rPr>
  </w:style>
  <w:style w:type="paragraph" w:styleId="735">
    <w:name w:val="标题 31"/>
    <w:basedOn w:val="638"/>
    <w:next w:val="638"/>
    <w:link w:val="736"/>
    <w:uiPriority w:val="9"/>
    <w:unhideWhenUsed/>
    <w:qFormat/>
    <w:pPr>
      <w:keepLines/>
      <w:keepNext/>
      <w:spacing w:before="320" w:after="200"/>
      <w:outlineLvl w:val="2"/>
    </w:pPr>
    <w:rPr>
      <w:rFonts w:ascii="Arial" w:hAnsi="Arial" w:eastAsia="Arial" w:cs="Arial"/>
      <w:sz w:val="30"/>
      <w:szCs w:val="30"/>
    </w:rPr>
  </w:style>
  <w:style w:type="character" w:styleId="736">
    <w:name w:val="标题 3 字符1"/>
    <w:next w:val="736"/>
    <w:link w:val="735"/>
    <w:uiPriority w:val="9"/>
    <w:qFormat/>
    <w:rPr>
      <w:rFonts w:ascii="Arial" w:hAnsi="Arial" w:eastAsia="Arial" w:cs="Arial"/>
      <w:sz w:val="30"/>
      <w:szCs w:val="30"/>
    </w:rPr>
  </w:style>
  <w:style w:type="paragraph" w:styleId="737">
    <w:name w:val="标题 41"/>
    <w:basedOn w:val="638"/>
    <w:next w:val="638"/>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标题 4 字符1"/>
    <w:next w:val="738"/>
    <w:link w:val="737"/>
    <w:uiPriority w:val="9"/>
    <w:qFormat/>
    <w:rPr>
      <w:rFonts w:ascii="Arial" w:hAnsi="Arial" w:eastAsia="Arial" w:cs="Arial"/>
      <w:b/>
      <w:bCs/>
      <w:sz w:val="26"/>
      <w:szCs w:val="26"/>
    </w:rPr>
  </w:style>
  <w:style w:type="paragraph" w:styleId="739">
    <w:name w:val="标题 51"/>
    <w:basedOn w:val="638"/>
    <w:next w:val="638"/>
    <w:link w:val="740"/>
    <w:uiPriority w:val="9"/>
    <w:unhideWhenUsed/>
    <w:qFormat/>
    <w:pPr>
      <w:keepLines/>
      <w:keepNext/>
      <w:spacing w:before="320" w:after="200"/>
      <w:outlineLvl w:val="4"/>
    </w:pPr>
    <w:rPr>
      <w:rFonts w:ascii="Arial" w:hAnsi="Arial" w:eastAsia="Arial" w:cs="Arial"/>
      <w:b/>
      <w:bCs/>
      <w:sz w:val="24"/>
    </w:rPr>
  </w:style>
  <w:style w:type="character" w:styleId="740">
    <w:name w:val="标题 5 字符"/>
    <w:next w:val="740"/>
    <w:link w:val="739"/>
    <w:uiPriority w:val="9"/>
    <w:qFormat/>
    <w:rPr>
      <w:rFonts w:ascii="Arial" w:hAnsi="Arial" w:eastAsia="Arial" w:cs="Arial"/>
      <w:b/>
      <w:bCs/>
      <w:sz w:val="24"/>
      <w:szCs w:val="24"/>
    </w:rPr>
  </w:style>
  <w:style w:type="paragraph" w:styleId="741">
    <w:name w:val="标题 61"/>
    <w:basedOn w:val="638"/>
    <w:next w:val="638"/>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标题 6 字符"/>
    <w:next w:val="742"/>
    <w:link w:val="741"/>
    <w:uiPriority w:val="9"/>
    <w:qFormat/>
    <w:rPr>
      <w:rFonts w:ascii="Arial" w:hAnsi="Arial" w:eastAsia="Arial" w:cs="Arial"/>
      <w:b/>
      <w:bCs/>
      <w:sz w:val="22"/>
      <w:szCs w:val="22"/>
    </w:rPr>
  </w:style>
  <w:style w:type="paragraph" w:styleId="743">
    <w:name w:val="标题 71"/>
    <w:basedOn w:val="638"/>
    <w:next w:val="638"/>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标题 7 字符"/>
    <w:next w:val="744"/>
    <w:link w:val="743"/>
    <w:uiPriority w:val="9"/>
    <w:qFormat/>
    <w:rPr>
      <w:rFonts w:ascii="Arial" w:hAnsi="Arial" w:eastAsia="Arial" w:cs="Arial"/>
      <w:b/>
      <w:bCs/>
      <w:i/>
      <w:iCs/>
      <w:sz w:val="22"/>
      <w:szCs w:val="22"/>
    </w:rPr>
  </w:style>
  <w:style w:type="paragraph" w:styleId="745">
    <w:name w:val="标题 81"/>
    <w:basedOn w:val="638"/>
    <w:next w:val="638"/>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标题 8 字符"/>
    <w:next w:val="746"/>
    <w:link w:val="745"/>
    <w:uiPriority w:val="9"/>
    <w:qFormat/>
    <w:rPr>
      <w:rFonts w:ascii="Arial" w:hAnsi="Arial" w:eastAsia="Arial" w:cs="Arial"/>
      <w:i/>
      <w:iCs/>
      <w:sz w:val="22"/>
      <w:szCs w:val="22"/>
    </w:rPr>
  </w:style>
  <w:style w:type="paragraph" w:styleId="747">
    <w:name w:val="标题 91"/>
    <w:basedOn w:val="638"/>
    <w:next w:val="638"/>
    <w:link w:val="748"/>
    <w:uiPriority w:val="9"/>
    <w:unhideWhenUsed/>
    <w:qFormat/>
    <w:pPr>
      <w:keepLines/>
      <w:keepNext/>
      <w:spacing w:before="320" w:after="200"/>
      <w:outlineLvl w:val="8"/>
    </w:pPr>
    <w:rPr>
      <w:rFonts w:ascii="Arial" w:hAnsi="Arial" w:eastAsia="Arial" w:cs="Arial"/>
      <w:i/>
      <w:iCs/>
      <w:szCs w:val="21"/>
    </w:rPr>
  </w:style>
  <w:style w:type="character" w:styleId="748">
    <w:name w:val="标题 9 字符"/>
    <w:next w:val="748"/>
    <w:link w:val="747"/>
    <w:uiPriority w:val="9"/>
    <w:qFormat/>
    <w:rPr>
      <w:rFonts w:ascii="Arial" w:hAnsi="Arial" w:eastAsia="Arial" w:cs="Arial"/>
      <w:i/>
      <w:iCs/>
      <w:sz w:val="21"/>
      <w:szCs w:val="21"/>
    </w:rPr>
  </w:style>
  <w:style w:type="paragraph" w:styleId="749">
    <w:name w:val="题注1"/>
    <w:basedOn w:val="638"/>
    <w:next w:val="638"/>
    <w:link w:val="638"/>
    <w:uiPriority w:val="35"/>
    <w:unhideWhenUsed/>
    <w:qFormat/>
    <w:pPr>
      <w:spacing w:line="276" w:lineRule="auto"/>
    </w:pPr>
    <w:rPr>
      <w:b/>
      <w:bCs/>
      <w:color w:val="4f81bd"/>
      <w:sz w:val="18"/>
      <w:szCs w:val="18"/>
    </w:rPr>
  </w:style>
  <w:style w:type="paragraph" w:styleId="750">
    <w:name w:val="页脚1"/>
    <w:basedOn w:val="638"/>
    <w:next w:val="750"/>
    <w:link w:val="751"/>
    <w:uiPriority w:val="99"/>
    <w:unhideWhenUsed/>
    <w:qFormat/>
    <w:pPr>
      <w:tabs>
        <w:tab w:val="center" w:pos="7143" w:leader="none"/>
        <w:tab w:val="right" w:pos="14287" w:leader="none"/>
      </w:tabs>
    </w:pPr>
  </w:style>
  <w:style w:type="character" w:styleId="751">
    <w:name w:val="页脚 字符1"/>
    <w:next w:val="751"/>
    <w:link w:val="750"/>
    <w:uiPriority w:val="99"/>
    <w:qFormat/>
  </w:style>
  <w:style w:type="paragraph" w:styleId="752">
    <w:name w:val="页眉1"/>
    <w:basedOn w:val="638"/>
    <w:next w:val="752"/>
    <w:link w:val="753"/>
    <w:uiPriority w:val="99"/>
    <w:unhideWhenUsed/>
    <w:qFormat/>
    <w:pPr>
      <w:tabs>
        <w:tab w:val="center" w:pos="7143" w:leader="none"/>
        <w:tab w:val="right" w:pos="14287" w:leader="none"/>
      </w:tabs>
    </w:pPr>
  </w:style>
  <w:style w:type="character" w:styleId="753">
    <w:name w:val="页眉 字符1"/>
    <w:next w:val="753"/>
    <w:link w:val="752"/>
    <w:uiPriority w:val="99"/>
    <w:qFormat/>
  </w:style>
  <w:style w:type="character" w:styleId="754">
    <w:name w:val="Title Char"/>
    <w:basedOn w:val="648"/>
    <w:next w:val="754"/>
    <w:link w:val="638"/>
    <w:uiPriority w:val="10"/>
    <w:qFormat/>
    <w:rPr>
      <w:sz w:val="48"/>
      <w:szCs w:val="48"/>
    </w:rPr>
  </w:style>
  <w:style w:type="character" w:styleId="755">
    <w:name w:val="Subtitle Char"/>
    <w:basedOn w:val="648"/>
    <w:next w:val="755"/>
    <w:link w:val="638"/>
    <w:uiPriority w:val="11"/>
    <w:qFormat/>
    <w:rPr>
      <w:sz w:val="24"/>
      <w:szCs w:val="24"/>
    </w:rPr>
  </w:style>
  <w:style w:type="character" w:styleId="756">
    <w:name w:val="Quote Char"/>
    <w:next w:val="756"/>
    <w:link w:val="638"/>
    <w:uiPriority w:val="29"/>
    <w:qFormat/>
    <w:rPr>
      <w:i/>
    </w:rPr>
  </w:style>
  <w:style w:type="character" w:styleId="757">
    <w:name w:val="Intense Quote Char"/>
    <w:next w:val="757"/>
    <w:link w:val="638"/>
    <w:uiPriority w:val="30"/>
    <w:qFormat/>
    <w:rPr>
      <w:i/>
    </w:rPr>
  </w:style>
  <w:style w:type="character" w:styleId="758">
    <w:name w:val="Header Char"/>
    <w:basedOn w:val="648"/>
    <w:next w:val="758"/>
    <w:link w:val="638"/>
    <w:uiPriority w:val="99"/>
    <w:qFormat/>
  </w:style>
  <w:style w:type="character" w:styleId="759">
    <w:name w:val="Caption Char"/>
    <w:next w:val="759"/>
    <w:link w:val="638"/>
    <w:uiPriority w:val="99"/>
    <w:qFormat/>
  </w:style>
  <w:style w:type="character" w:styleId="760">
    <w:name w:val="Footnote Text Char"/>
    <w:next w:val="760"/>
    <w:link w:val="638"/>
    <w:qFormat/>
    <w:rPr>
      <w:sz w:val="18"/>
    </w:rPr>
  </w:style>
  <w:style w:type="character" w:styleId="761">
    <w:name w:val="Endnote Text Char"/>
    <w:next w:val="761"/>
    <w:link w:val="638"/>
    <w:uiPriority w:val="99"/>
    <w:qFormat/>
    <w:rPr>
      <w:sz w:val="20"/>
    </w:rPr>
  </w:style>
  <w:style w:type="paragraph" w:styleId="762">
    <w:name w:val="TOC 标题111"/>
    <w:next w:val="762"/>
    <w:link w:val="638"/>
    <w:uiPriority w:val="39"/>
    <w:unhideWhenUsed/>
    <w:qFormat/>
    <w:rPr>
      <w:rFonts w:ascii="Times New Roman" w:hAnsi="Times New Roman" w:eastAsia="宋体" w:cs="Times New Roman"/>
      <w:lang w:val="en-US" w:eastAsia="zh-CN" w:bidi="ar-SA"/>
    </w:rPr>
  </w:style>
  <w:style w:type="paragraph" w:styleId="763">
    <w:name w:val="List Paragraph"/>
    <w:basedOn w:val="638"/>
    <w:next w:val="763"/>
    <w:link w:val="638"/>
    <w:uiPriority w:val="34"/>
    <w:qFormat/>
    <w:pPr>
      <w:contextualSpacing/>
      <w:ind w:left="720"/>
    </w:pPr>
  </w:style>
  <w:style w:type="paragraph" w:styleId="764">
    <w:name w:val="No Spacing"/>
    <w:next w:val="764"/>
    <w:link w:val="638"/>
    <w:uiPriority w:val="1"/>
    <w:qFormat/>
    <w:rPr>
      <w:rFonts w:ascii="Times New Roman" w:hAnsi="Times New Roman" w:eastAsia="宋体" w:cs="Times New Roman"/>
      <w:lang w:val="en-US" w:eastAsia="zh-CN" w:bidi="ar-SA"/>
    </w:rPr>
  </w:style>
  <w:style w:type="paragraph" w:styleId="765">
    <w:name w:val="Quote"/>
    <w:basedOn w:val="638"/>
    <w:next w:val="638"/>
    <w:link w:val="766"/>
    <w:uiPriority w:val="29"/>
    <w:qFormat/>
    <w:pPr>
      <w:ind w:left="720" w:right="720"/>
    </w:pPr>
    <w:rPr>
      <w:i/>
    </w:rPr>
  </w:style>
  <w:style w:type="character" w:styleId="766">
    <w:name w:val="引用 字符"/>
    <w:next w:val="766"/>
    <w:link w:val="765"/>
    <w:uiPriority w:val="29"/>
    <w:qFormat/>
    <w:rPr>
      <w:i/>
    </w:rPr>
  </w:style>
  <w:style w:type="paragraph" w:styleId="767">
    <w:name w:val="Intense Quote"/>
    <w:basedOn w:val="638"/>
    <w:next w:val="638"/>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明显引用 字符"/>
    <w:next w:val="768"/>
    <w:link w:val="767"/>
    <w:uiPriority w:val="30"/>
    <w:qFormat/>
    <w:rPr>
      <w:i/>
    </w:rPr>
  </w:style>
  <w:style w:type="character" w:styleId="769">
    <w:name w:val="Footer Char"/>
    <w:next w:val="769"/>
    <w:link w:val="638"/>
    <w:uiPriority w:val="99"/>
    <w:qFormat/>
  </w:style>
  <w:style w:type="table" w:styleId="770">
    <w:name w:val="Table Grid Light"/>
    <w:next w:val="770"/>
    <w:link w:val="638"/>
    <w:uiPriority w:val="59"/>
    <w:qFormat/>
    <w:tblPr/>
  </w:style>
  <w:style w:type="table" w:styleId="771">
    <w:name w:val="Grid Table 1 Light - Accent 1"/>
    <w:next w:val="771"/>
    <w:link w:val="638"/>
    <w:uiPriority w:val="99"/>
    <w:qFormat/>
    <w:tblPr/>
  </w:style>
  <w:style w:type="table" w:styleId="772">
    <w:name w:val="Grid Table 1 Light - Accent 2"/>
    <w:next w:val="772"/>
    <w:link w:val="638"/>
    <w:uiPriority w:val="99"/>
    <w:qFormat/>
    <w:tblPr/>
  </w:style>
  <w:style w:type="table" w:styleId="773">
    <w:name w:val="Grid Table 1 Light - Accent 3"/>
    <w:next w:val="773"/>
    <w:link w:val="638"/>
    <w:uiPriority w:val="99"/>
    <w:qFormat/>
    <w:tblPr/>
  </w:style>
  <w:style w:type="table" w:styleId="774">
    <w:name w:val="Grid Table 1 Light - Accent 4"/>
    <w:next w:val="774"/>
    <w:link w:val="638"/>
    <w:uiPriority w:val="99"/>
    <w:qFormat/>
    <w:tblPr/>
  </w:style>
  <w:style w:type="table" w:styleId="775">
    <w:name w:val="Grid Table 1 Light - Accent 5"/>
    <w:next w:val="775"/>
    <w:link w:val="638"/>
    <w:uiPriority w:val="99"/>
    <w:qFormat/>
    <w:tblPr/>
  </w:style>
  <w:style w:type="table" w:styleId="776">
    <w:name w:val="Grid Table 1 Light - Accent 6"/>
    <w:next w:val="776"/>
    <w:link w:val="638"/>
    <w:uiPriority w:val="99"/>
    <w:qFormat/>
    <w:tblPr/>
  </w:style>
  <w:style w:type="table" w:styleId="777">
    <w:name w:val="Grid Table 2 - Accent 1"/>
    <w:next w:val="777"/>
    <w:link w:val="638"/>
    <w:uiPriority w:val="99"/>
    <w:qFormat/>
    <w:tblPr/>
  </w:style>
  <w:style w:type="table" w:styleId="778">
    <w:name w:val="Grid Table 2 - Accent 2"/>
    <w:next w:val="778"/>
    <w:link w:val="638"/>
    <w:uiPriority w:val="99"/>
    <w:qFormat/>
    <w:tblPr/>
  </w:style>
  <w:style w:type="table" w:styleId="779">
    <w:name w:val="Grid Table 2 - Accent 3"/>
    <w:next w:val="779"/>
    <w:link w:val="638"/>
    <w:uiPriority w:val="99"/>
    <w:qFormat/>
    <w:tblPr/>
  </w:style>
  <w:style w:type="table" w:styleId="780">
    <w:name w:val="Grid Table 2 - Accent 4"/>
    <w:next w:val="780"/>
    <w:link w:val="638"/>
    <w:uiPriority w:val="99"/>
    <w:qFormat/>
    <w:tblPr/>
  </w:style>
  <w:style w:type="table" w:styleId="781">
    <w:name w:val="Grid Table 2 - Accent 5"/>
    <w:next w:val="781"/>
    <w:link w:val="638"/>
    <w:uiPriority w:val="99"/>
    <w:qFormat/>
    <w:tblPr/>
  </w:style>
  <w:style w:type="table" w:styleId="782">
    <w:name w:val="Grid Table 2 - Accent 6"/>
    <w:next w:val="782"/>
    <w:link w:val="638"/>
    <w:uiPriority w:val="99"/>
    <w:qFormat/>
    <w:tblPr/>
  </w:style>
  <w:style w:type="table" w:styleId="783">
    <w:name w:val="Grid Table 3 - Accent 1"/>
    <w:next w:val="783"/>
    <w:link w:val="638"/>
    <w:uiPriority w:val="99"/>
    <w:qFormat/>
    <w:tblPr/>
  </w:style>
  <w:style w:type="table" w:styleId="784">
    <w:name w:val="Grid Table 3 - Accent 2"/>
    <w:next w:val="784"/>
    <w:link w:val="638"/>
    <w:uiPriority w:val="99"/>
    <w:qFormat/>
    <w:tblPr/>
  </w:style>
  <w:style w:type="table" w:styleId="785">
    <w:name w:val="Grid Table 3 - Accent 3"/>
    <w:next w:val="785"/>
    <w:link w:val="638"/>
    <w:uiPriority w:val="99"/>
    <w:qFormat/>
    <w:tblPr/>
  </w:style>
  <w:style w:type="table" w:styleId="786">
    <w:name w:val="Grid Table 3 - Accent 4"/>
    <w:next w:val="786"/>
    <w:link w:val="638"/>
    <w:uiPriority w:val="99"/>
    <w:qFormat/>
    <w:tblPr/>
  </w:style>
  <w:style w:type="table" w:styleId="787">
    <w:name w:val="Grid Table 3 - Accent 5"/>
    <w:next w:val="787"/>
    <w:link w:val="638"/>
    <w:uiPriority w:val="99"/>
    <w:qFormat/>
    <w:tblPr/>
  </w:style>
  <w:style w:type="table" w:styleId="788">
    <w:name w:val="Grid Table 3 - Accent 6"/>
    <w:next w:val="788"/>
    <w:link w:val="638"/>
    <w:uiPriority w:val="99"/>
    <w:qFormat/>
    <w:tblPr/>
  </w:style>
  <w:style w:type="table" w:styleId="789">
    <w:name w:val="Grid Table 4 - Accent 1"/>
    <w:next w:val="789"/>
    <w:link w:val="638"/>
    <w:uiPriority w:val="59"/>
    <w:qFormat/>
    <w:tblPr/>
  </w:style>
  <w:style w:type="table" w:styleId="790">
    <w:name w:val="Grid Table 4 - Accent 2"/>
    <w:next w:val="790"/>
    <w:link w:val="638"/>
    <w:uiPriority w:val="59"/>
    <w:qFormat/>
    <w:tblPr/>
  </w:style>
  <w:style w:type="table" w:styleId="791">
    <w:name w:val="Grid Table 4 - Accent 3"/>
    <w:next w:val="791"/>
    <w:link w:val="638"/>
    <w:uiPriority w:val="59"/>
    <w:qFormat/>
    <w:tblPr/>
  </w:style>
  <w:style w:type="table" w:styleId="792">
    <w:name w:val="Grid Table 4 - Accent 4"/>
    <w:next w:val="792"/>
    <w:link w:val="638"/>
    <w:uiPriority w:val="59"/>
    <w:qFormat/>
    <w:tblPr/>
  </w:style>
  <w:style w:type="table" w:styleId="793">
    <w:name w:val="Grid Table 4 - Accent 5"/>
    <w:next w:val="793"/>
    <w:link w:val="638"/>
    <w:uiPriority w:val="59"/>
    <w:qFormat/>
    <w:tblPr/>
  </w:style>
  <w:style w:type="table" w:styleId="794">
    <w:name w:val="Grid Table 4 - Accent 6"/>
    <w:next w:val="794"/>
    <w:link w:val="638"/>
    <w:uiPriority w:val="59"/>
    <w:qFormat/>
    <w:tblPr/>
  </w:style>
  <w:style w:type="table" w:styleId="795">
    <w:name w:val="Grid Table 5 Dark- Accent 1"/>
    <w:next w:val="795"/>
    <w:link w:val="638"/>
    <w:uiPriority w:val="99"/>
    <w:qFormat/>
    <w:tblPr/>
  </w:style>
  <w:style w:type="table" w:styleId="796">
    <w:name w:val="Grid Table 5 Dark - Accent 2"/>
    <w:next w:val="796"/>
    <w:link w:val="638"/>
    <w:uiPriority w:val="99"/>
    <w:qFormat/>
    <w:tblPr/>
  </w:style>
  <w:style w:type="table" w:styleId="797">
    <w:name w:val="Grid Table 5 Dark - Accent 3"/>
    <w:next w:val="797"/>
    <w:link w:val="638"/>
    <w:uiPriority w:val="99"/>
    <w:qFormat/>
    <w:tblPr/>
  </w:style>
  <w:style w:type="table" w:styleId="798">
    <w:name w:val="Grid Table 5 Dark- Accent 4"/>
    <w:next w:val="798"/>
    <w:link w:val="638"/>
    <w:uiPriority w:val="99"/>
    <w:qFormat/>
    <w:tblPr/>
  </w:style>
  <w:style w:type="table" w:styleId="799">
    <w:name w:val="Grid Table 5 Dark - Accent 5"/>
    <w:next w:val="799"/>
    <w:link w:val="638"/>
    <w:uiPriority w:val="99"/>
    <w:qFormat/>
    <w:tblPr/>
  </w:style>
  <w:style w:type="table" w:styleId="800">
    <w:name w:val="Grid Table 5 Dark - Accent 6"/>
    <w:next w:val="800"/>
    <w:link w:val="638"/>
    <w:uiPriority w:val="99"/>
    <w:qFormat/>
    <w:tblPr/>
  </w:style>
  <w:style w:type="table" w:styleId="801">
    <w:name w:val="Grid Table 6 Colorful - Accent 1"/>
    <w:next w:val="801"/>
    <w:link w:val="638"/>
    <w:uiPriority w:val="99"/>
    <w:qFormat/>
    <w:tblPr/>
  </w:style>
  <w:style w:type="table" w:styleId="802">
    <w:name w:val="Grid Table 6 Colorful - Accent 2"/>
    <w:next w:val="802"/>
    <w:link w:val="638"/>
    <w:uiPriority w:val="99"/>
    <w:qFormat/>
    <w:tblPr/>
  </w:style>
  <w:style w:type="table" w:styleId="803">
    <w:name w:val="Grid Table 6 Colorful - Accent 3"/>
    <w:next w:val="803"/>
    <w:link w:val="638"/>
    <w:uiPriority w:val="99"/>
    <w:qFormat/>
    <w:tblPr/>
  </w:style>
  <w:style w:type="table" w:styleId="804">
    <w:name w:val="Grid Table 6 Colorful - Accent 4"/>
    <w:next w:val="804"/>
    <w:link w:val="638"/>
    <w:uiPriority w:val="99"/>
    <w:qFormat/>
    <w:tblPr/>
  </w:style>
  <w:style w:type="table" w:styleId="805">
    <w:name w:val="Grid Table 6 Colorful - Accent 5"/>
    <w:next w:val="805"/>
    <w:link w:val="638"/>
    <w:uiPriority w:val="99"/>
    <w:qFormat/>
    <w:tblPr/>
  </w:style>
  <w:style w:type="table" w:styleId="806">
    <w:name w:val="Grid Table 6 Colorful - Accent 6"/>
    <w:next w:val="806"/>
    <w:link w:val="638"/>
    <w:uiPriority w:val="99"/>
    <w:qFormat/>
    <w:tblPr/>
  </w:style>
  <w:style w:type="table" w:styleId="807">
    <w:name w:val="Grid Table 7 Colorful - Accent 1"/>
    <w:next w:val="807"/>
    <w:link w:val="638"/>
    <w:uiPriority w:val="99"/>
    <w:qFormat/>
    <w:tblPr/>
  </w:style>
  <w:style w:type="table" w:styleId="808">
    <w:name w:val="Grid Table 7 Colorful - Accent 2"/>
    <w:next w:val="808"/>
    <w:link w:val="638"/>
    <w:uiPriority w:val="99"/>
    <w:qFormat/>
    <w:tblPr/>
  </w:style>
  <w:style w:type="table" w:styleId="809">
    <w:name w:val="Grid Table 7 Colorful - Accent 3"/>
    <w:next w:val="809"/>
    <w:link w:val="638"/>
    <w:uiPriority w:val="99"/>
    <w:qFormat/>
    <w:tblPr/>
  </w:style>
  <w:style w:type="table" w:styleId="810">
    <w:name w:val="Grid Table 7 Colorful - Accent 4"/>
    <w:next w:val="810"/>
    <w:link w:val="638"/>
    <w:uiPriority w:val="99"/>
    <w:qFormat/>
    <w:tblPr/>
  </w:style>
  <w:style w:type="table" w:styleId="811">
    <w:name w:val="Grid Table 7 Colorful - Accent 5"/>
    <w:next w:val="811"/>
    <w:link w:val="638"/>
    <w:uiPriority w:val="99"/>
    <w:qFormat/>
    <w:tblPr/>
  </w:style>
  <w:style w:type="table" w:styleId="812">
    <w:name w:val="Grid Table 7 Colorful - Accent 6"/>
    <w:next w:val="812"/>
    <w:link w:val="638"/>
    <w:uiPriority w:val="99"/>
    <w:qFormat/>
    <w:tblPr/>
  </w:style>
  <w:style w:type="table" w:styleId="813">
    <w:name w:val="List Table 1 Light - Accent 1"/>
    <w:next w:val="813"/>
    <w:link w:val="638"/>
    <w:uiPriority w:val="99"/>
    <w:qFormat/>
    <w:tblPr/>
  </w:style>
  <w:style w:type="table" w:styleId="814">
    <w:name w:val="List Table 1 Light - Accent 2"/>
    <w:next w:val="814"/>
    <w:link w:val="638"/>
    <w:uiPriority w:val="99"/>
    <w:qFormat/>
    <w:tblPr/>
  </w:style>
  <w:style w:type="table" w:styleId="815">
    <w:name w:val="List Table 1 Light - Accent 3"/>
    <w:next w:val="815"/>
    <w:link w:val="638"/>
    <w:uiPriority w:val="99"/>
    <w:qFormat/>
    <w:tblPr/>
  </w:style>
  <w:style w:type="table" w:styleId="816">
    <w:name w:val="List Table 1 Light - Accent 4"/>
    <w:next w:val="816"/>
    <w:link w:val="638"/>
    <w:uiPriority w:val="99"/>
    <w:qFormat/>
    <w:tblPr/>
  </w:style>
  <w:style w:type="table" w:styleId="817">
    <w:name w:val="List Table 1 Light - Accent 5"/>
    <w:next w:val="817"/>
    <w:link w:val="638"/>
    <w:uiPriority w:val="99"/>
    <w:qFormat/>
    <w:tblPr/>
  </w:style>
  <w:style w:type="table" w:styleId="818">
    <w:name w:val="List Table 1 Light - Accent 6"/>
    <w:next w:val="818"/>
    <w:link w:val="638"/>
    <w:uiPriority w:val="99"/>
    <w:qFormat/>
    <w:tblPr/>
  </w:style>
  <w:style w:type="table" w:styleId="819">
    <w:name w:val="List Table 2 - Accent 1"/>
    <w:next w:val="819"/>
    <w:link w:val="638"/>
    <w:uiPriority w:val="99"/>
    <w:qFormat/>
    <w:tblPr/>
  </w:style>
  <w:style w:type="table" w:styleId="820">
    <w:name w:val="List Table 2 - Accent 2"/>
    <w:next w:val="820"/>
    <w:link w:val="638"/>
    <w:uiPriority w:val="99"/>
    <w:qFormat/>
    <w:tblPr/>
  </w:style>
  <w:style w:type="table" w:styleId="821">
    <w:name w:val="List Table 2 - Accent 3"/>
    <w:next w:val="821"/>
    <w:link w:val="638"/>
    <w:uiPriority w:val="99"/>
    <w:qFormat/>
    <w:tblPr/>
  </w:style>
  <w:style w:type="table" w:styleId="822">
    <w:name w:val="List Table 2 - Accent 4"/>
    <w:next w:val="822"/>
    <w:link w:val="638"/>
    <w:uiPriority w:val="99"/>
    <w:qFormat/>
    <w:tblPr/>
  </w:style>
  <w:style w:type="table" w:styleId="823">
    <w:name w:val="List Table 2 - Accent 5"/>
    <w:next w:val="823"/>
    <w:link w:val="638"/>
    <w:uiPriority w:val="99"/>
    <w:qFormat/>
    <w:tblPr/>
  </w:style>
  <w:style w:type="table" w:styleId="824">
    <w:name w:val="List Table 2 - Accent 6"/>
    <w:next w:val="824"/>
    <w:link w:val="638"/>
    <w:uiPriority w:val="99"/>
    <w:qFormat/>
    <w:tblPr/>
  </w:style>
  <w:style w:type="table" w:styleId="825">
    <w:name w:val="List Table 3 - Accent 1"/>
    <w:next w:val="825"/>
    <w:link w:val="638"/>
    <w:uiPriority w:val="99"/>
    <w:qFormat/>
    <w:tblPr/>
  </w:style>
  <w:style w:type="table" w:styleId="826">
    <w:name w:val="List Table 3 - Accent 2"/>
    <w:next w:val="826"/>
    <w:link w:val="638"/>
    <w:uiPriority w:val="99"/>
    <w:qFormat/>
    <w:tblPr/>
  </w:style>
  <w:style w:type="table" w:styleId="827">
    <w:name w:val="List Table 3 - Accent 3"/>
    <w:next w:val="827"/>
    <w:link w:val="638"/>
    <w:uiPriority w:val="99"/>
    <w:qFormat/>
    <w:tblPr/>
  </w:style>
  <w:style w:type="table" w:styleId="828">
    <w:name w:val="List Table 3 - Accent 4"/>
    <w:next w:val="828"/>
    <w:link w:val="638"/>
    <w:uiPriority w:val="99"/>
    <w:qFormat/>
    <w:tblPr/>
  </w:style>
  <w:style w:type="table" w:styleId="829">
    <w:name w:val="List Table 3 - Accent 5"/>
    <w:next w:val="829"/>
    <w:link w:val="638"/>
    <w:uiPriority w:val="99"/>
    <w:qFormat/>
    <w:tblPr/>
  </w:style>
  <w:style w:type="table" w:styleId="830">
    <w:name w:val="List Table 3 - Accent 6"/>
    <w:next w:val="830"/>
    <w:link w:val="638"/>
    <w:uiPriority w:val="99"/>
    <w:qFormat/>
    <w:tblPr/>
  </w:style>
  <w:style w:type="table" w:styleId="831">
    <w:name w:val="List Table 4 - Accent 1"/>
    <w:next w:val="831"/>
    <w:link w:val="638"/>
    <w:uiPriority w:val="99"/>
    <w:qFormat/>
    <w:tblPr/>
  </w:style>
  <w:style w:type="table" w:styleId="832">
    <w:name w:val="List Table 4 - Accent 2"/>
    <w:next w:val="832"/>
    <w:link w:val="638"/>
    <w:uiPriority w:val="99"/>
    <w:qFormat/>
    <w:tblPr/>
  </w:style>
  <w:style w:type="table" w:styleId="833">
    <w:name w:val="List Table 4 - Accent 3"/>
    <w:next w:val="833"/>
    <w:link w:val="638"/>
    <w:uiPriority w:val="99"/>
    <w:qFormat/>
    <w:tblPr/>
  </w:style>
  <w:style w:type="table" w:styleId="834">
    <w:name w:val="List Table 4 - Accent 4"/>
    <w:next w:val="834"/>
    <w:link w:val="638"/>
    <w:uiPriority w:val="99"/>
    <w:qFormat/>
    <w:tblPr/>
  </w:style>
  <w:style w:type="table" w:styleId="835">
    <w:name w:val="List Table 4 - Accent 5"/>
    <w:next w:val="835"/>
    <w:link w:val="638"/>
    <w:uiPriority w:val="99"/>
    <w:qFormat/>
    <w:tblPr/>
  </w:style>
  <w:style w:type="table" w:styleId="836">
    <w:name w:val="List Table 4 - Accent 6"/>
    <w:next w:val="836"/>
    <w:link w:val="638"/>
    <w:uiPriority w:val="99"/>
    <w:qFormat/>
    <w:tblPr/>
  </w:style>
  <w:style w:type="table" w:styleId="837">
    <w:name w:val="List Table 5 Dark - Accent 1"/>
    <w:next w:val="837"/>
    <w:link w:val="638"/>
    <w:uiPriority w:val="99"/>
    <w:qFormat/>
    <w:tblPr/>
  </w:style>
  <w:style w:type="table" w:styleId="838">
    <w:name w:val="List Table 5 Dark - Accent 2"/>
    <w:next w:val="838"/>
    <w:link w:val="638"/>
    <w:uiPriority w:val="99"/>
    <w:qFormat/>
    <w:tblPr/>
  </w:style>
  <w:style w:type="table" w:styleId="839">
    <w:name w:val="List Table 5 Dark - Accent 3"/>
    <w:next w:val="839"/>
    <w:link w:val="638"/>
    <w:uiPriority w:val="99"/>
    <w:qFormat/>
    <w:tblPr/>
  </w:style>
  <w:style w:type="table" w:styleId="840">
    <w:name w:val="List Table 5 Dark - Accent 4"/>
    <w:next w:val="840"/>
    <w:link w:val="638"/>
    <w:uiPriority w:val="99"/>
    <w:qFormat/>
    <w:tblPr/>
  </w:style>
  <w:style w:type="table" w:styleId="841">
    <w:name w:val="List Table 5 Dark - Accent 5"/>
    <w:next w:val="841"/>
    <w:link w:val="638"/>
    <w:uiPriority w:val="99"/>
    <w:qFormat/>
    <w:tblPr/>
  </w:style>
  <w:style w:type="table" w:styleId="842">
    <w:name w:val="List Table 5 Dark - Accent 6"/>
    <w:next w:val="842"/>
    <w:link w:val="638"/>
    <w:uiPriority w:val="99"/>
    <w:qFormat/>
    <w:tblPr/>
  </w:style>
  <w:style w:type="table" w:styleId="843">
    <w:name w:val="List Table 6 Colorful - Accent 1"/>
    <w:next w:val="843"/>
    <w:link w:val="638"/>
    <w:uiPriority w:val="99"/>
    <w:qFormat/>
    <w:tblPr/>
  </w:style>
  <w:style w:type="table" w:styleId="844">
    <w:name w:val="List Table 6 Colorful - Accent 2"/>
    <w:next w:val="844"/>
    <w:link w:val="638"/>
    <w:uiPriority w:val="99"/>
    <w:qFormat/>
    <w:tblPr/>
  </w:style>
  <w:style w:type="table" w:styleId="845">
    <w:name w:val="List Table 6 Colorful - Accent 3"/>
    <w:next w:val="845"/>
    <w:link w:val="638"/>
    <w:uiPriority w:val="99"/>
    <w:qFormat/>
    <w:tblPr/>
  </w:style>
  <w:style w:type="table" w:styleId="846">
    <w:name w:val="List Table 6 Colorful - Accent 4"/>
    <w:next w:val="846"/>
    <w:link w:val="638"/>
    <w:uiPriority w:val="99"/>
    <w:qFormat/>
    <w:tblPr/>
  </w:style>
  <w:style w:type="table" w:styleId="847">
    <w:name w:val="List Table 6 Colorful - Accent 5"/>
    <w:next w:val="847"/>
    <w:link w:val="638"/>
    <w:uiPriority w:val="99"/>
    <w:qFormat/>
    <w:tblPr/>
  </w:style>
  <w:style w:type="table" w:styleId="848">
    <w:name w:val="List Table 6 Colorful - Accent 6"/>
    <w:next w:val="848"/>
    <w:link w:val="638"/>
    <w:uiPriority w:val="99"/>
    <w:qFormat/>
    <w:tblPr/>
  </w:style>
  <w:style w:type="table" w:styleId="849">
    <w:name w:val="List Table 7 Colorful - Accent 1"/>
    <w:next w:val="849"/>
    <w:link w:val="638"/>
    <w:uiPriority w:val="99"/>
    <w:qFormat/>
    <w:tblPr/>
  </w:style>
  <w:style w:type="table" w:styleId="850">
    <w:name w:val="List Table 7 Colorful - Accent 2"/>
    <w:next w:val="850"/>
    <w:link w:val="638"/>
    <w:uiPriority w:val="99"/>
    <w:qFormat/>
    <w:tblPr/>
  </w:style>
  <w:style w:type="table" w:styleId="851">
    <w:name w:val="List Table 7 Colorful - Accent 3"/>
    <w:next w:val="851"/>
    <w:link w:val="638"/>
    <w:uiPriority w:val="99"/>
    <w:qFormat/>
    <w:tblPr/>
  </w:style>
  <w:style w:type="table" w:styleId="852">
    <w:name w:val="List Table 7 Colorful - Accent 4"/>
    <w:next w:val="852"/>
    <w:link w:val="638"/>
    <w:uiPriority w:val="99"/>
    <w:qFormat/>
    <w:tblPr/>
  </w:style>
  <w:style w:type="table" w:styleId="853">
    <w:name w:val="List Table 7 Colorful - Accent 5"/>
    <w:next w:val="853"/>
    <w:link w:val="638"/>
    <w:uiPriority w:val="99"/>
    <w:qFormat/>
    <w:tblPr/>
  </w:style>
  <w:style w:type="table" w:styleId="854">
    <w:name w:val="List Table 7 Colorful - Accent 6"/>
    <w:next w:val="854"/>
    <w:link w:val="638"/>
    <w:uiPriority w:val="99"/>
    <w:qFormat/>
    <w:tblPr/>
  </w:style>
  <w:style w:type="table" w:styleId="855">
    <w:name w:val="Lined - Accent"/>
    <w:next w:val="855"/>
    <w:link w:val="638"/>
    <w:uiPriority w:val="99"/>
    <w:qFormat/>
    <w:rPr>
      <w:color w:val="404040"/>
    </w:rPr>
    <w:tblPr/>
  </w:style>
  <w:style w:type="table" w:styleId="856">
    <w:name w:val="Lined - Accent 1"/>
    <w:next w:val="856"/>
    <w:link w:val="638"/>
    <w:uiPriority w:val="99"/>
    <w:qFormat/>
    <w:rPr>
      <w:color w:val="404040"/>
    </w:rPr>
    <w:tblPr/>
  </w:style>
  <w:style w:type="table" w:styleId="857">
    <w:name w:val="Lined - Accent 2"/>
    <w:next w:val="857"/>
    <w:link w:val="638"/>
    <w:uiPriority w:val="99"/>
    <w:qFormat/>
    <w:rPr>
      <w:color w:val="404040"/>
    </w:rPr>
    <w:tblPr/>
  </w:style>
  <w:style w:type="table" w:styleId="858">
    <w:name w:val="Lined - Accent 3"/>
    <w:next w:val="858"/>
    <w:link w:val="638"/>
    <w:uiPriority w:val="99"/>
    <w:qFormat/>
    <w:rPr>
      <w:color w:val="404040"/>
    </w:rPr>
    <w:tblPr/>
  </w:style>
  <w:style w:type="table" w:styleId="859">
    <w:name w:val="Lined - Accent 4"/>
    <w:next w:val="859"/>
    <w:link w:val="638"/>
    <w:uiPriority w:val="99"/>
    <w:qFormat/>
    <w:rPr>
      <w:color w:val="404040"/>
    </w:rPr>
    <w:tblPr/>
  </w:style>
  <w:style w:type="table" w:styleId="860">
    <w:name w:val="Lined - Accent 5"/>
    <w:next w:val="860"/>
    <w:link w:val="638"/>
    <w:uiPriority w:val="99"/>
    <w:qFormat/>
    <w:rPr>
      <w:color w:val="404040"/>
    </w:rPr>
    <w:tblPr/>
  </w:style>
  <w:style w:type="table" w:styleId="861">
    <w:name w:val="Lined - Accent 6"/>
    <w:next w:val="861"/>
    <w:link w:val="638"/>
    <w:uiPriority w:val="99"/>
    <w:qFormat/>
    <w:rPr>
      <w:color w:val="404040"/>
    </w:rPr>
    <w:tblPr/>
  </w:style>
  <w:style w:type="table" w:styleId="862">
    <w:name w:val="Bordered &amp; Lined - Accent"/>
    <w:next w:val="862"/>
    <w:link w:val="638"/>
    <w:uiPriority w:val="99"/>
    <w:qFormat/>
    <w:rPr>
      <w:color w:val="404040"/>
    </w:rPr>
    <w:tblPr/>
  </w:style>
  <w:style w:type="table" w:styleId="863">
    <w:name w:val="Bordered &amp; Lined - Accent 1"/>
    <w:next w:val="863"/>
    <w:link w:val="638"/>
    <w:uiPriority w:val="99"/>
    <w:qFormat/>
    <w:rPr>
      <w:color w:val="404040"/>
    </w:rPr>
    <w:tblPr/>
  </w:style>
  <w:style w:type="table" w:styleId="864">
    <w:name w:val="Bordered &amp; Lined - Accent 2"/>
    <w:next w:val="864"/>
    <w:link w:val="638"/>
    <w:uiPriority w:val="99"/>
    <w:qFormat/>
    <w:rPr>
      <w:color w:val="404040"/>
    </w:rPr>
    <w:tblPr/>
  </w:style>
  <w:style w:type="table" w:styleId="865">
    <w:name w:val="Bordered &amp; Lined - Accent 3"/>
    <w:next w:val="865"/>
    <w:link w:val="638"/>
    <w:uiPriority w:val="99"/>
    <w:qFormat/>
    <w:rPr>
      <w:color w:val="404040"/>
    </w:rPr>
    <w:tblPr/>
  </w:style>
  <w:style w:type="table" w:styleId="866">
    <w:name w:val="Bordered &amp; Lined - Accent 4"/>
    <w:next w:val="866"/>
    <w:link w:val="638"/>
    <w:uiPriority w:val="99"/>
    <w:qFormat/>
    <w:rPr>
      <w:color w:val="404040"/>
    </w:rPr>
    <w:tblPr/>
  </w:style>
  <w:style w:type="table" w:styleId="867">
    <w:name w:val="Bordered &amp; Lined - Accent 5"/>
    <w:next w:val="867"/>
    <w:link w:val="638"/>
    <w:uiPriority w:val="99"/>
    <w:qFormat/>
    <w:rPr>
      <w:color w:val="404040"/>
    </w:rPr>
    <w:tblPr/>
  </w:style>
  <w:style w:type="table" w:styleId="868">
    <w:name w:val="Bordered &amp; Lined - Accent 6"/>
    <w:next w:val="868"/>
    <w:link w:val="638"/>
    <w:uiPriority w:val="99"/>
    <w:qFormat/>
    <w:rPr>
      <w:color w:val="404040"/>
    </w:rPr>
    <w:tblPr/>
  </w:style>
  <w:style w:type="table" w:styleId="869">
    <w:name w:val="Bordered"/>
    <w:next w:val="869"/>
    <w:link w:val="638"/>
    <w:uiPriority w:val="99"/>
    <w:qFormat/>
    <w:tblPr/>
  </w:style>
  <w:style w:type="table" w:styleId="870">
    <w:name w:val="Bordered - Accent 1"/>
    <w:next w:val="870"/>
    <w:link w:val="638"/>
    <w:uiPriority w:val="99"/>
    <w:qFormat/>
    <w:tblPr/>
  </w:style>
  <w:style w:type="table" w:styleId="871">
    <w:name w:val="Bordered - Accent 2"/>
    <w:next w:val="871"/>
    <w:link w:val="638"/>
    <w:uiPriority w:val="99"/>
    <w:qFormat/>
    <w:tblPr/>
  </w:style>
  <w:style w:type="table" w:styleId="872">
    <w:name w:val="Bordered - Accent 3"/>
    <w:next w:val="872"/>
    <w:link w:val="638"/>
    <w:uiPriority w:val="99"/>
    <w:qFormat/>
    <w:tblPr/>
  </w:style>
  <w:style w:type="table" w:styleId="873">
    <w:name w:val="Bordered - Accent 4"/>
    <w:next w:val="873"/>
    <w:link w:val="638"/>
    <w:uiPriority w:val="99"/>
    <w:qFormat/>
    <w:tblPr/>
  </w:style>
  <w:style w:type="table" w:styleId="874">
    <w:name w:val="Bordered - Accent 5"/>
    <w:next w:val="874"/>
    <w:link w:val="638"/>
    <w:uiPriority w:val="99"/>
    <w:qFormat/>
    <w:tblPr/>
  </w:style>
  <w:style w:type="table" w:styleId="875">
    <w:name w:val="Bordered - Accent 6"/>
    <w:next w:val="875"/>
    <w:link w:val="638"/>
    <w:uiPriority w:val="99"/>
    <w:qFormat/>
    <w:tblPr/>
  </w:style>
  <w:style w:type="paragraph" w:styleId="876">
    <w:name w:val="TOC 标题11"/>
    <w:next w:val="876"/>
    <w:link w:val="638"/>
    <w:uiPriority w:val="39"/>
    <w:unhideWhenUsed/>
    <w:qFormat/>
    <w:rPr>
      <w:rFonts w:ascii="Times New Roman" w:hAnsi="Times New Roman" w:eastAsia="宋体" w:cs="Times New Roman"/>
      <w:lang w:val="en-US" w:eastAsia="zh-CN" w:bidi="ar-SA"/>
    </w:rPr>
  </w:style>
  <w:style w:type="paragraph" w:styleId="877">
    <w:name w:val="标题 111"/>
    <w:basedOn w:val="638"/>
    <w:next w:val="638"/>
    <w:link w:val="878"/>
    <w:qFormat/>
    <w:pPr>
      <w:keepLines/>
      <w:keepNext/>
      <w:spacing w:before="340" w:after="330" w:line="578" w:lineRule="auto"/>
      <w:outlineLvl w:val="0"/>
    </w:pPr>
    <w:rPr>
      <w:rFonts w:eastAsia="黑体"/>
      <w:b/>
      <w:bCs/>
      <w:sz w:val="36"/>
      <w:szCs w:val="44"/>
    </w:rPr>
  </w:style>
  <w:style w:type="character" w:styleId="878">
    <w:name w:val="标题 1 字符"/>
    <w:next w:val="878"/>
    <w:link w:val="877"/>
    <w:qFormat/>
    <w:rPr>
      <w:rFonts w:eastAsia="黑体"/>
      <w:b/>
      <w:bCs/>
      <w:sz w:val="36"/>
      <w:szCs w:val="44"/>
      <w:lang w:val="en-US" w:eastAsia="zh-CN" w:bidi="ar-SA"/>
    </w:rPr>
  </w:style>
  <w:style w:type="paragraph" w:styleId="879">
    <w:name w:val="标题 211"/>
    <w:basedOn w:val="638"/>
    <w:next w:val="638"/>
    <w:link w:val="880"/>
    <w:qFormat/>
    <w:pPr>
      <w:keepLines/>
      <w:keepNext/>
      <w:spacing w:before="260" w:after="260" w:line="416" w:lineRule="auto"/>
      <w:outlineLvl w:val="1"/>
    </w:pPr>
    <w:rPr>
      <w:rFonts w:ascii="Cambria" w:hAnsi="Cambria"/>
      <w:b/>
      <w:bCs/>
      <w:sz w:val="32"/>
      <w:szCs w:val="32"/>
    </w:rPr>
  </w:style>
  <w:style w:type="character" w:styleId="880">
    <w:name w:val="标题 2 字符"/>
    <w:next w:val="880"/>
    <w:link w:val="879"/>
    <w:semiHidden/>
    <w:qFormat/>
    <w:rPr>
      <w:rFonts w:ascii="Cambria" w:hAnsi="Cambria" w:eastAsia="宋体" w:cs="Times New Roman"/>
      <w:b/>
      <w:bCs/>
      <w:sz w:val="32"/>
      <w:szCs w:val="32"/>
    </w:rPr>
  </w:style>
  <w:style w:type="paragraph" w:styleId="881">
    <w:name w:val="标题 311"/>
    <w:basedOn w:val="638"/>
    <w:next w:val="883"/>
    <w:link w:val="882"/>
    <w:qFormat/>
    <w:pPr>
      <w:keepLines/>
      <w:keepNext/>
      <w:spacing w:before="260" w:after="260" w:line="416" w:lineRule="auto"/>
      <w:outlineLvl w:val="2"/>
    </w:pPr>
    <w:rPr>
      <w:b/>
      <w:bCs/>
      <w:sz w:val="32"/>
      <w:szCs w:val="32"/>
    </w:rPr>
  </w:style>
  <w:style w:type="character" w:styleId="882">
    <w:name w:val="标题 3 字符"/>
    <w:next w:val="882"/>
    <w:link w:val="881"/>
    <w:qFormat/>
    <w:rPr>
      <w:b/>
      <w:bCs/>
      <w:sz w:val="32"/>
      <w:szCs w:val="32"/>
    </w:rPr>
  </w:style>
  <w:style w:type="paragraph" w:styleId="883">
    <w:name w:val="正文缩进1"/>
    <w:basedOn w:val="638"/>
    <w:next w:val="883"/>
    <w:link w:val="884"/>
    <w:qFormat/>
    <w:pPr>
      <w:ind w:firstLine="420"/>
    </w:pPr>
    <w:rPr>
      <w:szCs w:val="21"/>
    </w:rPr>
  </w:style>
  <w:style w:type="character" w:styleId="884">
    <w:name w:val="正文缩进 字符"/>
    <w:next w:val="884"/>
    <w:link w:val="883"/>
    <w:qFormat/>
    <w:rPr>
      <w:sz w:val="21"/>
      <w:szCs w:val="21"/>
    </w:rPr>
  </w:style>
  <w:style w:type="paragraph" w:styleId="885">
    <w:name w:val="标题 411"/>
    <w:basedOn w:val="638"/>
    <w:next w:val="638"/>
    <w:link w:val="886"/>
    <w:qFormat/>
    <w:pPr>
      <w:keepLines/>
      <w:keepNext/>
      <w:spacing w:before="280" w:after="290" w:line="376" w:lineRule="auto"/>
      <w:outlineLvl w:val="3"/>
    </w:pPr>
    <w:rPr>
      <w:rFonts w:ascii="Cambria" w:hAnsi="Cambria"/>
      <w:b/>
      <w:bCs/>
      <w:sz w:val="28"/>
      <w:szCs w:val="28"/>
    </w:rPr>
  </w:style>
  <w:style w:type="character" w:styleId="886">
    <w:name w:val="标题 4 字符"/>
    <w:next w:val="886"/>
    <w:link w:val="885"/>
    <w:qFormat/>
    <w:rPr>
      <w:rFonts w:ascii="Cambria" w:hAnsi="Cambria" w:eastAsia="宋体" w:cs="Times New Roman"/>
      <w:b/>
      <w:bCs/>
      <w:sz w:val="28"/>
      <w:szCs w:val="28"/>
    </w:rPr>
  </w:style>
  <w:style w:type="character" w:styleId="887">
    <w:name w:val="默认段落字体1"/>
    <w:next w:val="887"/>
    <w:link w:val="638"/>
    <w:semiHidden/>
    <w:qFormat/>
  </w:style>
  <w:style w:type="table" w:styleId="888">
    <w:name w:val="普通表格1"/>
    <w:next w:val="888"/>
    <w:link w:val="638"/>
    <w:semiHidden/>
    <w:qFormat/>
    <w:tblPr/>
  </w:style>
  <w:style w:type="paragraph" w:styleId="889">
    <w:name w:val="纯文本1"/>
    <w:basedOn w:val="638"/>
    <w:next w:val="889"/>
    <w:link w:val="890"/>
    <w:qFormat/>
    <w:rPr>
      <w:rFonts w:ascii="宋体" w:hAnsi="Courier New"/>
      <w:szCs w:val="20"/>
    </w:rPr>
  </w:style>
  <w:style w:type="character" w:styleId="890">
    <w:name w:val="纯文本 字符"/>
    <w:next w:val="890"/>
    <w:link w:val="889"/>
    <w:qFormat/>
    <w:rPr>
      <w:rFonts w:ascii="宋体" w:hAnsi="Courier New" w:eastAsia="宋体"/>
      <w:sz w:val="21"/>
      <w:lang w:val="en-US" w:eastAsia="zh-CN" w:bidi="ar-SA"/>
    </w:rPr>
  </w:style>
  <w:style w:type="paragraph" w:styleId="891">
    <w:name w:val="日期1"/>
    <w:basedOn w:val="638"/>
    <w:next w:val="638"/>
    <w:link w:val="638"/>
    <w:qFormat/>
    <w:rPr>
      <w:rFonts w:ascii="宋体" w:eastAsia="黑体"/>
      <w:spacing w:val="10"/>
      <w:position w:val="2"/>
      <w:sz w:val="30"/>
    </w:rPr>
  </w:style>
  <w:style w:type="paragraph" w:styleId="892">
    <w:name w:val="批注框文本1"/>
    <w:basedOn w:val="638"/>
    <w:next w:val="892"/>
    <w:link w:val="638"/>
    <w:semiHidden/>
    <w:qFormat/>
    <w:rPr>
      <w:sz w:val="18"/>
      <w:szCs w:val="18"/>
    </w:rPr>
  </w:style>
  <w:style w:type="paragraph" w:styleId="893">
    <w:name w:val="页脚11"/>
    <w:basedOn w:val="638"/>
    <w:next w:val="893"/>
    <w:link w:val="894"/>
    <w:uiPriority w:val="99"/>
    <w:qFormat/>
    <w:pPr>
      <w:jc w:val="left"/>
      <w:tabs>
        <w:tab w:val="center" w:pos="4153" w:leader="none"/>
        <w:tab w:val="right" w:pos="8306" w:leader="none"/>
      </w:tabs>
    </w:pPr>
    <w:rPr>
      <w:sz w:val="18"/>
      <w:szCs w:val="20"/>
    </w:rPr>
  </w:style>
  <w:style w:type="character" w:styleId="894">
    <w:name w:val="页脚 字符"/>
    <w:next w:val="894"/>
    <w:link w:val="893"/>
    <w:uiPriority w:val="99"/>
    <w:qFormat/>
    <w:rPr>
      <w:sz w:val="18"/>
    </w:rPr>
  </w:style>
  <w:style w:type="paragraph" w:styleId="895">
    <w:name w:val="页眉11"/>
    <w:basedOn w:val="638"/>
    <w:next w:val="895"/>
    <w:link w:val="896"/>
    <w:qFormat/>
    <w:pPr>
      <w:jc w:val="center"/>
      <w:tabs>
        <w:tab w:val="center" w:pos="4153" w:leader="none"/>
        <w:tab w:val="right" w:pos="8306" w:leader="none"/>
      </w:tabs>
      <w:pBdr>
        <w:bottom w:val="single" w:color="000000" w:sz="6" w:space="1"/>
      </w:pBdr>
    </w:pPr>
    <w:rPr>
      <w:sz w:val="18"/>
      <w:szCs w:val="18"/>
    </w:rPr>
  </w:style>
  <w:style w:type="character" w:styleId="896">
    <w:name w:val="页眉 字符"/>
    <w:next w:val="896"/>
    <w:link w:val="895"/>
    <w:uiPriority w:val="99"/>
    <w:qFormat/>
    <w:rPr>
      <w:sz w:val="18"/>
      <w:szCs w:val="18"/>
    </w:rPr>
  </w:style>
  <w:style w:type="paragraph" w:styleId="897">
    <w:name w:val="普通(网站)1"/>
    <w:basedOn w:val="638"/>
    <w:next w:val="897"/>
    <w:link w:val="638"/>
    <w:qFormat/>
    <w:pPr>
      <w:jc w:val="left"/>
      <w:spacing w:before="100" w:beforeAutospacing="1" w:after="100" w:afterAutospacing="1"/>
      <w:widowControl/>
    </w:pPr>
    <w:rPr>
      <w:rFonts w:ascii="宋体" w:hAnsi="宋体" w:cs="宋体"/>
      <w:sz w:val="24"/>
    </w:rPr>
  </w:style>
  <w:style w:type="table" w:styleId="898">
    <w:name w:val="网格型1"/>
    <w:basedOn w:val="888"/>
    <w:next w:val="898"/>
    <w:link w:val="638"/>
    <w:qFormat/>
    <w:pPr>
      <w:jc w:val="both"/>
      <w:widowControl w:val="off"/>
    </w:pPr>
    <w:tblPr/>
  </w:style>
  <w:style w:type="character" w:styleId="899">
    <w:name w:val="要点1"/>
    <w:next w:val="899"/>
    <w:link w:val="638"/>
    <w:qFormat/>
    <w:rPr>
      <w:b/>
      <w:bCs/>
    </w:rPr>
  </w:style>
  <w:style w:type="character" w:styleId="900">
    <w:name w:val="页码1"/>
    <w:next w:val="900"/>
    <w:link w:val="638"/>
    <w:qFormat/>
  </w:style>
  <w:style w:type="character" w:styleId="901">
    <w:name w:val="超链接1"/>
    <w:next w:val="901"/>
    <w:link w:val="638"/>
    <w:qFormat/>
    <w:rPr>
      <w:color w:val="0000ff"/>
      <w:u w:val="single"/>
    </w:rPr>
  </w:style>
  <w:style w:type="paragraph" w:styleId="902">
    <w:name w:val="p0"/>
    <w:basedOn w:val="638"/>
    <w:next w:val="902"/>
    <w:link w:val="638"/>
    <w:qFormat/>
    <w:pPr>
      <w:jc w:val="left"/>
      <w:spacing w:before="100" w:beforeAutospacing="1" w:after="100" w:afterAutospacing="1"/>
      <w:widowControl/>
    </w:pPr>
    <w:rPr>
      <w:rFonts w:ascii="宋体" w:hAnsi="宋体" w:cs="宋体"/>
      <w:sz w:val="24"/>
    </w:rPr>
  </w:style>
  <w:style w:type="paragraph" w:styleId="903">
    <w:name w:val="普通正文"/>
    <w:basedOn w:val="638"/>
    <w:next w:val="903"/>
    <w:link w:val="638"/>
    <w:qFormat/>
    <w:pPr>
      <w:ind w:firstLine="480"/>
      <w:jc w:val="left"/>
      <w:spacing w:before="120" w:after="120" w:line="360" w:lineRule="auto"/>
    </w:pPr>
    <w:rPr>
      <w:rFonts w:ascii="Arial" w:hAnsi="Arial"/>
      <w:sz w:val="24"/>
    </w:rPr>
  </w:style>
  <w:style w:type="paragraph" w:styleId="904">
    <w:name w:val="Char"/>
    <w:basedOn w:val="638"/>
    <w:next w:val="904"/>
    <w:link w:val="638"/>
    <w:qFormat/>
    <w:pPr>
      <w:ind w:firstLine="200"/>
      <w:tabs>
        <w:tab w:val="left" w:pos="360" w:leader="none"/>
      </w:tabs>
    </w:pPr>
    <w:rPr>
      <w:sz w:val="28"/>
      <w:szCs w:val="30"/>
    </w:rPr>
  </w:style>
  <w:style w:type="paragraph" w:styleId="905">
    <w:name w:val="Char Char Char Char Char Char Char Char Char Char"/>
    <w:basedOn w:val="638"/>
    <w:next w:val="905"/>
    <w:link w:val="638"/>
    <w:qFormat/>
    <w:pPr>
      <w:jc w:val="left"/>
      <w:spacing w:after="160" w:line="240" w:lineRule="exact"/>
      <w:widowControl/>
    </w:pPr>
    <w:rPr>
      <w:rFonts w:ascii="Verdana" w:hAnsi="Verdana" w:eastAsia="仿宋_GB2312"/>
      <w:sz w:val="24"/>
      <w:szCs w:val="20"/>
      <w:lang w:eastAsia="en-US"/>
    </w:rPr>
  </w:style>
  <w:style w:type="character" w:styleId="906">
    <w:name w:val="纯文本 字符1"/>
    <w:basedOn w:val="648"/>
    <w:next w:val="906"/>
    <w:link w:val="638"/>
    <w:uiPriority w:val="99"/>
    <w:semiHidden/>
    <w:qFormat/>
    <w:rPr>
      <w:rFonts w:ascii="宋体" w:hAnsi="Courier New" w:eastAsia="宋体" w:cs="Courier New"/>
      <w:sz w:val="21"/>
      <w:szCs w:val="24"/>
    </w:rPr>
  </w:style>
  <w:style w:type="paragraph" w:styleId="907">
    <w:name w:val="AONormal"/>
    <w:next w:val="907"/>
    <w:link w:val="638"/>
    <w:qFormat/>
    <w:pPr>
      <w:ind w:firstLine="440"/>
      <w:spacing w:line="400" w:lineRule="exact"/>
    </w:pPr>
    <w:rPr>
      <w:rFonts w:ascii="华文楷体" w:hAnsi="华文楷体" w:eastAsia="华文楷体" w:cs="华文楷体"/>
      <w:sz w:val="22"/>
      <w:szCs w:val="21"/>
      <w:lang w:val="en-US" w:eastAsia="zh-CN" w:bidi="ar-SA"/>
    </w:rPr>
  </w:style>
  <w:style w:type="character" w:styleId="908">
    <w:name w:val="custom-tag-placeholder-class"/>
    <w:basedOn w:val="648"/>
    <w:next w:val="908"/>
    <w:link w:val="638"/>
    <w:qFormat/>
  </w:style>
  <w:style w:type="paragraph" w:styleId="909">
    <w:name w:val="图表标题"/>
    <w:basedOn w:val="638"/>
    <w:next w:val="909"/>
    <w:link w:val="638"/>
    <w:qFormat/>
    <w:pPr>
      <w:jc w:val="center"/>
    </w:pPr>
    <w:rPr>
      <w:rFonts w:ascii="黑体" w:hAnsi="黑体" w:eastAsia="黑体"/>
      <w:sz w:val="32"/>
      <w:szCs w:val="32"/>
    </w:rPr>
  </w:style>
  <w:style w:type="paragraph" w:styleId="910">
    <w:name w:val="列出段落2"/>
    <w:basedOn w:val="638"/>
    <w:next w:val="910"/>
    <w:link w:val="638"/>
    <w:qFormat/>
    <w:pPr>
      <w:ind w:firstLine="420"/>
      <w:spacing w:after="160" w:line="278" w:lineRule="auto"/>
    </w:pPr>
    <w:rPr>
      <w:rFonts w:ascii="Calibri" w:hAnsi="Calibri" w:cs="宋体"/>
      <w:szCs w:val="22"/>
    </w:rPr>
  </w:style>
  <w:style w:type="paragraph" w:styleId="911">
    <w:name w:val="段"/>
    <w:next w:val="638"/>
    <w:link w:val="638"/>
    <w:qFormat/>
    <w:pPr>
      <w:ind w:firstLine="200"/>
      <w:jc w:val="both"/>
      <w:spacing w:after="160" w:line="278" w:lineRule="auto"/>
      <w:widowControl w:val="off"/>
    </w:pPr>
    <w:rPr>
      <w:rFonts w:ascii="宋体" w:hAnsi="宋体" w:eastAsia="宋体" w:cs="宋体"/>
      <w:color w:val="000000"/>
      <w:sz w:val="21"/>
      <w:szCs w:val="21"/>
      <w:lang w:val="en-US" w:eastAsia="zh-CN" w:bidi="ar-SA"/>
    </w:rPr>
  </w:style>
  <w:style w:type="paragraph" w:styleId="912">
    <w:name w:val="表格"/>
    <w:basedOn w:val="638"/>
    <w:next w:val="912"/>
    <w:link w:val="638"/>
    <w:qFormat/>
    <w:pPr>
      <w:jc w:val="center"/>
      <w:spacing w:after="160" w:line="278" w:lineRule="auto"/>
    </w:pPr>
    <w:rPr>
      <w:rFonts w:hint="eastAsia" w:ascii="宋体" w:hAnsi="宋体" w:cs="宋体"/>
      <w:sz w:val="18"/>
      <w:szCs w:val="21"/>
    </w:rPr>
  </w:style>
  <w:style w:type="character" w:styleId="913">
    <w:name w:val="未处理的提及1"/>
    <w:basedOn w:val="648"/>
    <w:next w:val="913"/>
    <w:link w:val="638"/>
    <w:uiPriority w:val="99"/>
    <w:unhideWhenUsed/>
    <w:qFormat/>
    <w:rPr>
      <w:color w:val="605e5c"/>
      <w:shd w:val="clear" w:color="auto" w:fill="e1dfdd"/>
    </w:rPr>
  </w:style>
  <w:style w:type="paragraph" w:styleId="914">
    <w:name w:val="Default"/>
    <w:next w:val="914"/>
    <w:link w:val="638"/>
    <w:qFormat/>
    <w:pPr>
      <w:jc w:val="center"/>
      <w:spacing w:line="320" w:lineRule="exact"/>
      <w:widowControl w:val="off"/>
      <w:framePr w:hSpace="180" w:wrap="around" w:vAnchor="text" w:hAnchor="margin" w:x="-10" w:y="75"/>
    </w:pPr>
    <w:rPr>
      <w:rFonts w:ascii="宋体" w:hAnsi="宋体" w:eastAsia="宋体" w:cs="宋体"/>
      <w:color w:val="000000"/>
      <w:sz w:val="21"/>
      <w:szCs w:val="21"/>
      <w:lang w:val="en-US" w:eastAsia="zh-CN" w:bidi="ar-SA"/>
    </w:rPr>
  </w:style>
  <w:style w:type="paragraph" w:styleId="915">
    <w:name w:val="正文1"/>
    <w:next w:val="638"/>
    <w:link w:val="638"/>
    <w:qFormat/>
    <w:pPr>
      <w:jc w:val="both"/>
    </w:pPr>
    <w:rPr>
      <w:rFonts w:ascii="Times New Roman" w:hAnsi="Times New Roman" w:eastAsia="宋体" w:cs="Times New Roman"/>
      <w:sz w:val="21"/>
      <w:szCs w:val="21"/>
      <w:lang w:val="en-US" w:eastAsia="zh-CN" w:bidi="ar-SA"/>
    </w:rPr>
  </w:style>
  <w:style w:type="character" w:styleId="10933" w:default="1">
    <w:name w:val="Default Paragraph Font"/>
    <w:uiPriority w:val="1"/>
    <w:semiHidden/>
    <w:unhideWhenUsed/>
  </w:style>
  <w:style w:type="numbering" w:styleId="10934" w:default="1">
    <w:name w:val="No List"/>
    <w:uiPriority w:val="99"/>
    <w:semiHidden/>
    <w:unhideWhenUsed/>
  </w:style>
  <w:style w:type="table" w:styleId="10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路娜娜</cp:lastModifiedBy>
  <cp:revision>13</cp:revision>
  <dcterms:created xsi:type="dcterms:W3CDTF">2021-05-17T15:37:00Z</dcterms:created>
  <dcterms:modified xsi:type="dcterms:W3CDTF">2026-06-18T06:01:38Z</dcterms:modified>
</cp:coreProperties>
</file>