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rPr>
      </w:pPr>
      <w:r>
        <w:rPr>
          <w:rFonts w:hint="eastAsia"/>
        </w:r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hint="eastAsia" w:ascii="Times New Roman" w:hAnsi="Times New Roman" w:eastAsia="宋体" w:cs="宋体"/>
          <w:b/>
          <w:sz w:val="30"/>
          <w:szCs w:val="30"/>
          <w:lang w:eastAsia="zh-CN" w:bidi="ar"/>
        </w:rPr>
      </w:pPr>
      <w:r>
        <w:rPr>
          <w:rFonts w:hint="eastAsia" w:ascii="Times New Roman" w:hAnsi="Times New Roman" w:eastAsia="宋体" w:cs="宋体"/>
          <w:b/>
          <w:sz w:val="30"/>
          <w:szCs w:val="30"/>
          <w:lang w:bidi="ar"/>
        </w:rPr>
        <w:t xml:space="preserve">项目名称：</w:t>
      </w:r>
      <w:r>
        <w:rPr>
          <w:rFonts w:hint="eastAsia" w:ascii="Times New Roman" w:hAnsi="Times New Roman" w:eastAsia="宋体" w:cs="宋体"/>
          <w:b/>
          <w:sz w:val="30"/>
          <w:szCs w:val="30"/>
          <w:lang w:eastAsia="zh-CN" w:bidi="ar"/>
        </w:rPr>
        <w:t xml:space="preserve">宿迁市公安局2026年度食堂食材采购项目</w:t>
      </w:r>
      <w:r/>
    </w:p>
    <w:p>
      <w:pPr>
        <w:ind w:firstLine="1506"/>
        <w:rPr>
          <w:rFonts w:hint="eastAsia" w:ascii="Times New Roman" w:hAnsi="Times New Roman" w:eastAsia="宋体" w:cs="宋体"/>
          <w:b/>
          <w:sz w:val="30"/>
          <w:szCs w:val="30"/>
          <w:lang w:bidi="ar"/>
        </w:rPr>
      </w:pPr>
      <w:r>
        <w:rPr>
          <w:rFonts w:hint="eastAsia" w:ascii="Times New Roman" w:hAnsi="Times New Roman" w:eastAsia="宋体" w:cs="宋体"/>
          <w:b/>
          <w:sz w:val="30"/>
          <w:szCs w:val="30"/>
          <w:lang w:bidi="ar"/>
        </w:rPr>
      </w:r>
      <w:r/>
    </w:p>
    <w:p>
      <w:pPr>
        <w:ind w:firstLine="1506"/>
        <w:rPr>
          <w:rFonts w:hint="eastAsia" w:ascii="Times New Roman" w:hAnsi="Times New Roman" w:eastAsia="宋体" w:cs="宋体"/>
          <w:b/>
          <w:sz w:val="30"/>
          <w:szCs w:val="30"/>
          <w:lang w:bidi="ar"/>
        </w:rPr>
      </w:pPr>
      <w:r>
        <w:rPr>
          <w:rFonts w:hint="eastAsia" w:ascii="Times New Roman" w:hAnsi="Times New Roman" w:eastAsia="宋体" w:cs="宋体"/>
          <w:b/>
          <w:sz w:val="30"/>
          <w:szCs w:val="30"/>
          <w:lang w:bidi="ar"/>
        </w:rPr>
        <w:t xml:space="preserve">项目编号：</w:t>
      </w:r>
      <w:r>
        <w:rPr>
          <w:rFonts w:hint="eastAsia" w:ascii="Times New Roman" w:hAnsi="Times New Roman" w:eastAsia="宋体" w:cs="宋体"/>
          <w:b/>
          <w:sz w:val="30"/>
          <w:szCs w:val="30"/>
          <w:lang w:eastAsia="zh-CN" w:bidi="ar"/>
        </w:rPr>
        <w:t xml:space="preserve">JSZC-321300-SQTY-G2026-0009</w:t>
      </w:r>
      <w:r>
        <w:rPr>
          <w:rFonts w:hint="eastAsia" w:ascii="Times New Roman" w:hAnsi="Times New Roman" w:eastAsia="宋体" w:cs="宋体"/>
          <w:b/>
          <w:sz w:val="30"/>
          <w:szCs w:val="30"/>
          <w:lang w:bidi="ar"/>
        </w:rPr>
        <w:t xml:space="preserve"> </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5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sz w:val="24"/>
                <w:szCs w:val="24"/>
                <w:highlight w:val="none"/>
                <w:lang w:val="en-US" w:eastAsia="zh-CN"/>
              </w:rPr>
            </w:pPr>
            <w:r>
              <w:rPr>
                <w:rFonts w:hint="eastAsia" w:ascii="Times New Roman" w:hAnsi="Times New Roman" w:eastAsia="宋体" w:cs="Times New Roman"/>
                <w:b/>
                <w:bCs/>
                <w:sz w:val="32"/>
                <w:szCs w:val="24"/>
                <w:highlight w:val="none"/>
                <w:lang w:val="en-US" w:eastAsia="zh-CN"/>
              </w:rPr>
              <w:t xml:space="preserve">宿迁市公安局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sz w:val="24"/>
                <w:szCs w:val="24"/>
                <w:highlight w:val="none"/>
                <w:lang w:eastAsia="zh-CN"/>
              </w:rPr>
            </w:pPr>
            <w:r>
              <w:rPr>
                <w:rFonts w:hint="eastAsia" w:ascii="Times New Roman" w:hAnsi="Times New Roman"/>
                <w:b/>
                <w:bCs/>
                <w:sz w:val="32"/>
                <w:szCs w:val="24"/>
                <w:highlight w:val="none"/>
                <w:lang w:eastAsia="zh-CN"/>
              </w:rPr>
              <w:t xml:space="preserve">宿迁泰元建设管理咨询有限公司</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val="en-US" w:eastAsia="zh-CN" w:bidi="ar"/>
        </w:rPr>
        <w:t xml:space="preserve">6</w:t>
      </w:r>
      <w:r>
        <w:rPr>
          <w:rFonts w:hint="eastAsia" w:ascii="Arial" w:hAnsi="Arial" w:cs="宋体"/>
          <w:b/>
          <w:sz w:val="32"/>
          <w:szCs w:val="24"/>
          <w:lang w:bidi="ar"/>
        </w:rPr>
        <w:t xml:space="preserve">月</w:t>
      </w:r>
      <w:r>
        <w:rPr>
          <w:rFonts w:hint="eastAsia" w:ascii="Arial" w:hAnsi="Arial" w:cs="宋体"/>
          <w:b/>
          <w:sz w:val="32"/>
          <w:szCs w:val="24"/>
          <w:lang w:val="en-US" w:eastAsia="zh-CN" w:bidi="ar"/>
        </w:rPr>
        <w:t xml:space="preserve">1</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838"/>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38"/>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38"/>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22</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38"/>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38"/>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_Toc19774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43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38"/>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55</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81"/>
        <w:jc w:val="center"/>
        <w:spacing w:before="200"/>
        <w:rPr>
          <w:rFonts w:hint="eastAsia" w:eastAsia="黑体"/>
          <w:sz w:val="44"/>
        </w:rPr>
      </w:pPr>
      <w:r/>
      <w:bookmarkStart w:id="4" w:name="_Toc25722"/>
      <w:r/>
      <w:bookmarkStart w:id="5" w:name="_Toc30943"/>
      <w:r/>
      <w:bookmarkStart w:id="6" w:name="_Toc12738"/>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val="en-US" w:eastAsia="zh-CN"/>
        </w:rPr>
        <w:t xml:space="preserve">宿迁市公安局</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u w:val="single"/>
          <w:lang w:eastAsia="zh-CN"/>
        </w:rPr>
        <w:t xml:space="preserve">宿迁泰元建设管理咨询有限公司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u w:val="single"/>
          <w:lang w:eastAsia="zh-CN"/>
        </w:rPr>
        <w:t xml:space="preserve">宿迁市公安局2026年度食堂食材采购项目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eastAsia="zh-CN"/>
        </w:rPr>
        <w:t xml:space="preserve">JSZC-321300-SQTY-G2026-0009 </w:t>
      </w:r>
      <w:r>
        <w:rPr>
          <w:rFonts w:hint="eastAsia" w:ascii="宋体" w:hAnsi="宋体" w:eastAsia="宋体" w:cs="宋体"/>
          <w:sz w:val="24"/>
          <w:szCs w:val="24"/>
          <w:highlight w:val="none"/>
        </w:rPr>
        <w:t xml:space="preserve">)进行</w:t>
      </w:r>
      <w:r>
        <w:rPr>
          <w:rFonts w:hint="eastAsia" w:ascii="宋体" w:hAnsi="宋体" w:eastAsia="宋体" w:cs="宋体"/>
          <w:sz w:val="24"/>
          <w:szCs w:val="24"/>
        </w:rPr>
        <w:t xml:space="preserve">公开招标采购，欢迎符合条件的投标人投标。</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宿迁市公安局2026年度食堂食材采购项目</w:t>
      </w:r>
      <w:r>
        <w:rPr>
          <w:rFonts w:hint="eastAsia" w:ascii="宋体" w:hAnsi="宋体" w:eastAsia="宋体" w:cs="宋体"/>
          <w:sz w:val="24"/>
          <w:szCs w:val="24"/>
          <w:highlight w:val="none"/>
        </w:rPr>
        <w:t xml:space="preserve">招</w:t>
      </w:r>
      <w:r>
        <w:rPr>
          <w:rFonts w:hint="eastAsia" w:ascii="宋体" w:hAnsi="宋体" w:eastAsia="宋体" w:cs="宋体"/>
          <w:sz w:val="24"/>
          <w:szCs w:val="24"/>
        </w:rPr>
        <w:t xml:space="preserve">标项目的潜在投标人可在“江苏政府采购网”、</w:t>
      </w:r>
      <w:r>
        <w:rPr>
          <w:rFonts w:hint="eastAsia" w:ascii="宋体" w:hAnsi="宋体" w:eastAsia="宋体" w:cs="宋体"/>
          <w:sz w:val="24"/>
          <w:szCs w:val="24"/>
          <w:u w:val="single"/>
        </w:rPr>
        <w:t xml:space="preserve">“宿迁市政府采购网”自行免费</w:t>
      </w:r>
      <w:r>
        <w:rPr>
          <w:rFonts w:hint="eastAsia" w:ascii="宋体" w:hAnsi="宋体" w:eastAsia="宋体" w:cs="宋体"/>
          <w:sz w:val="24"/>
          <w:szCs w:val="24"/>
        </w:rPr>
        <w:t xml:space="preserve">获取招标文件，并于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23</w:t>
      </w:r>
      <w:r>
        <w:rPr>
          <w:rFonts w:hint="eastAsia" w:ascii="宋体" w:hAnsi="宋体" w:eastAsia="宋体" w:cs="宋体"/>
          <w:sz w:val="24"/>
          <w:szCs w:val="24"/>
          <w:u w:val="single"/>
        </w:rPr>
        <w:t xml:space="preserve">日</w:t>
      </w:r>
      <w:r>
        <w:rPr>
          <w:rFonts w:hint="eastAsia" w:ascii="宋体" w:hAnsi="宋体" w:eastAsia="宋体" w:cs="宋体"/>
          <w:bCs/>
          <w:sz w:val="24"/>
          <w:szCs w:val="24"/>
          <w:u w:val="single"/>
        </w:rPr>
        <w:t xml:space="preserve">09点30分（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782"/>
        <w:ind w:firstLine="643"/>
        <w:spacing w:before="0" w:after="0" w:line="480" w:lineRule="exact"/>
        <w:rPr>
          <w:rFonts w:hint="eastAsia" w:ascii="宋体" w:hAnsi="宋体" w:eastAsia="宋体" w:cs="宋体"/>
          <w:bCs/>
          <w:szCs w:val="22"/>
        </w:rPr>
      </w:pPr>
      <w:r/>
      <w:bookmarkStart w:id="7" w:name="_Toc28359079"/>
      <w:r/>
      <w:bookmarkStart w:id="8" w:name="_Toc28359002"/>
      <w:r/>
      <w:bookmarkStart w:id="9" w:name="_Toc35393621"/>
      <w:r/>
      <w:bookmarkStart w:id="10" w:name="_Toc35393790"/>
      <w:r/>
      <w:bookmarkStart w:id="11" w:name="_Toc38985263"/>
      <w:r/>
      <w:bookmarkStart w:id="12" w:name="_Toc2584"/>
      <w:r/>
      <w:bookmarkStart w:id="13" w:name="_Hlk24379207"/>
      <w:r>
        <w:rPr>
          <w:rFonts w:hint="eastAsia" w:ascii="宋体" w:hAnsi="宋体" w:eastAsia="宋体" w:cs="宋体"/>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JSZC-321300-SQTY-G2026-0009</w:t>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bookmarkEnd w:id="13"/>
      <w:r>
        <w:rPr>
          <w:rFonts w:hint="eastAsia" w:ascii="宋体" w:hAnsi="宋体" w:eastAsia="宋体" w:cs="宋体"/>
          <w:sz w:val="24"/>
          <w:szCs w:val="24"/>
          <w:highlight w:val="none"/>
          <w:lang w:eastAsia="zh-CN"/>
        </w:rPr>
        <w:t xml:space="preserve">宿迁市公安局2026年度食堂食材采购项目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3.预算金额：1100万元（采购包1：</w:t>
      </w:r>
      <w:r>
        <w:rPr>
          <w:rFonts w:hint="eastAsia" w:ascii="宋体" w:hAnsi="宋体" w:eastAsia="宋体" w:cs="宋体"/>
          <w:sz w:val="24"/>
          <w:szCs w:val="24"/>
          <w:lang w:val="en-US" w:eastAsia="zh-CN"/>
        </w:rPr>
        <w:t xml:space="preserve">550</w:t>
      </w:r>
      <w:r>
        <w:rPr>
          <w:rFonts w:hint="eastAsia" w:ascii="宋体" w:hAnsi="宋体" w:eastAsia="宋体" w:cs="宋体"/>
          <w:sz w:val="24"/>
          <w:szCs w:val="24"/>
        </w:rPr>
        <w:t xml:space="preserve">万元；采购包2：</w:t>
      </w:r>
      <w:r>
        <w:rPr>
          <w:rFonts w:hint="eastAsia" w:ascii="宋体" w:hAnsi="宋体" w:eastAsia="宋体" w:cs="宋体"/>
          <w:sz w:val="24"/>
          <w:szCs w:val="24"/>
          <w:lang w:val="en-US" w:eastAsia="zh-CN"/>
        </w:rPr>
        <w:t xml:space="preserve">470</w:t>
      </w:r>
      <w:r>
        <w:rPr>
          <w:rFonts w:hint="eastAsia" w:ascii="宋体" w:hAnsi="宋体" w:eastAsia="宋体" w:cs="宋体"/>
          <w:sz w:val="24"/>
          <w:szCs w:val="24"/>
        </w:rPr>
        <w:t xml:space="preserve">万元；采购包3：</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万元）</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4.最高限价为</w:t>
      </w:r>
      <w:r>
        <w:rPr>
          <w:rFonts w:hint="eastAsia" w:ascii="宋体" w:hAnsi="宋体" w:eastAsia="宋体" w:cs="宋体"/>
          <w:sz w:val="24"/>
        </w:rPr>
        <w:t xml:space="preserve">：</w:t>
      </w:r>
      <w:bookmarkStart w:id="14" w:name="EB6c1f3d39c6914ae1bada8ccaa777b37a"/>
      <w:r>
        <w:rPr>
          <w:rFonts w:hint="eastAsia" w:ascii="宋体" w:hAnsi="宋体" w:eastAsia="宋体" w:cs="宋体"/>
          <w:sz w:val="24"/>
          <w:szCs w:val="24"/>
        </w:rPr>
        <w:t xml:space="preserve">1100万元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其中</w:t>
      </w:r>
      <w:r>
        <w:rPr>
          <w:rFonts w:hint="eastAsia" w:ascii="宋体" w:hAnsi="宋体" w:eastAsia="宋体" w:cs="宋体"/>
          <w:sz w:val="24"/>
          <w:szCs w:val="24"/>
        </w:rPr>
        <w:t xml:space="preserve">采购包1</w:t>
      </w:r>
      <w:r>
        <w:rPr>
          <w:rFonts w:hint="eastAsia" w:ascii="宋体" w:hAnsi="宋体" w:eastAsia="宋体" w:cs="宋体"/>
          <w:sz w:val="24"/>
          <w:szCs w:val="24"/>
          <w:lang w:val="en-US" w:eastAsia="zh-CN"/>
        </w:rPr>
        <w:t xml:space="preserve">最高限价为</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550</w:t>
      </w:r>
      <w:r>
        <w:rPr>
          <w:rFonts w:hint="eastAsia" w:ascii="宋体" w:hAnsi="宋体" w:eastAsia="宋体" w:cs="宋体"/>
          <w:sz w:val="24"/>
          <w:szCs w:val="24"/>
        </w:rPr>
        <w:t xml:space="preserve">万元；采购包2最高限价为：</w:t>
      </w:r>
      <w:r>
        <w:rPr>
          <w:rFonts w:hint="eastAsia" w:ascii="宋体" w:hAnsi="宋体" w:eastAsia="宋体" w:cs="宋体"/>
          <w:sz w:val="24"/>
          <w:szCs w:val="24"/>
          <w:lang w:val="en-US" w:eastAsia="zh-CN"/>
        </w:rPr>
        <w:t xml:space="preserve">470</w:t>
      </w:r>
      <w:r>
        <w:rPr>
          <w:rFonts w:hint="eastAsia" w:ascii="宋体" w:hAnsi="宋体" w:eastAsia="宋体" w:cs="宋体"/>
          <w:sz w:val="24"/>
          <w:szCs w:val="24"/>
        </w:rPr>
        <w:t xml:space="preserve">万元；采购包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最高限价为：</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万元）</w:t>
      </w:r>
      <w:r>
        <w:rPr>
          <w:rFonts w:hint="eastAsia" w:ascii="宋体" w:hAnsi="宋体" w:eastAsia="宋体" w:cs="宋体"/>
          <w:sz w:val="24"/>
          <w:szCs w:val="24"/>
          <w:lang w:val="en-US" w:eastAsia="zh-CN"/>
        </w:rPr>
        <w:t xml:space="preserve">本项目按投标费率（折扣）报价，投标折扣以%为单位，最高不得超过100%进行报价，结算价款按实际发生的费用*中标折扣。</w:t>
      </w:r>
      <w:r/>
    </w:p>
    <w:p>
      <w:pPr>
        <w:ind w:firstLine="480"/>
        <w:spacing w:line="48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价格确定：本项目</w:t>
      </w:r>
      <w:r>
        <w:rPr>
          <w:rFonts w:hint="eastAsia" w:ascii="宋体" w:hAnsi="宋体" w:eastAsia="宋体" w:cs="宋体"/>
          <w:color w:val="000000"/>
          <w:sz w:val="24"/>
          <w:szCs w:val="24"/>
          <w:lang w:val="en-US" w:eastAsia="zh-CN"/>
        </w:rPr>
        <w:t xml:space="preserve">所有货物按“宿迁阳光物价网”（网址：http://ygwj.fgw.suqian.gov.cn/ ）公布的每日主副食品价格平均价格*中标折扣*实际数量进行结算，如遇宿迁阳光物价网没有该类食材价格，乙方应提前通知甲方，以采购人及各采购包投标人双方共同在每供应月中期在京东折扣超市、大润发超市等大型超市或周边大、中型农贸市场的询价结果的平均数作为价格基准依据*投标时折扣率*实际数量结算。</w:t>
      </w:r>
      <w:bookmarkEnd w:id="14"/>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5.采购需求（简介）：</w:t>
      </w:r>
      <w:r>
        <w:rPr>
          <w:rFonts w:hint="eastAsia" w:ascii="宋体" w:hAnsi="宋体" w:eastAsia="宋体" w:cs="宋体"/>
          <w:sz w:val="24"/>
          <w:szCs w:val="24"/>
          <w:lang w:val="en-US" w:eastAsia="zh-CN"/>
        </w:rPr>
        <w:t xml:space="preserve">宿迁市公安局食堂原材料采购项目，共分为三个采购包，分别是</w:t>
      </w:r>
      <w:r>
        <w:rPr>
          <w:rFonts w:hint="eastAsia" w:ascii="宋体" w:hAnsi="宋体" w:eastAsia="宋体" w:cs="宋体"/>
          <w:sz w:val="24"/>
          <w:szCs w:val="24"/>
        </w:rPr>
        <w:t xml:space="preserve">采购包1：畜禽肉、水产品、冷冻食品、熟食卤菜、蛋类；采购包2：</w:t>
      </w:r>
      <w:r>
        <w:rPr>
          <w:rFonts w:hint="eastAsia" w:ascii="宋体" w:hAnsi="宋体" w:eastAsia="宋体" w:cs="宋体"/>
          <w:sz w:val="24"/>
          <w:szCs w:val="24"/>
          <w:lang w:val="en-US" w:eastAsia="zh-CN"/>
        </w:rPr>
        <w:t xml:space="preserve">蔬菜</w:t>
      </w:r>
      <w:r>
        <w:rPr>
          <w:rFonts w:hint="eastAsia" w:ascii="宋体" w:hAnsi="宋体" w:eastAsia="宋体" w:cs="宋体"/>
          <w:sz w:val="24"/>
          <w:szCs w:val="24"/>
        </w:rPr>
        <w:t xml:space="preserve">类；采购包3：干货调料类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各采购包拟采购一家投标人进行配送服务。</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6.合同履行期限：</w:t>
      </w:r>
      <w:r>
        <w:rPr>
          <w:rFonts w:hint="eastAsia" w:ascii="宋体" w:hAnsi="宋体" w:eastAsia="宋体" w:cs="宋体"/>
          <w:sz w:val="24"/>
          <w:szCs w:val="24"/>
          <w:lang w:val="en-US" w:eastAsia="zh-CN"/>
        </w:rPr>
        <w:t xml:space="preserve">一年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联合体投标。</w:t>
      </w:r>
      <w:r/>
    </w:p>
    <w:p>
      <w:pPr>
        <w:pStyle w:val="782"/>
        <w:ind w:firstLine="643"/>
        <w:spacing w:before="0" w:after="0" w:line="480" w:lineRule="exact"/>
        <w:rPr>
          <w:rFonts w:hint="eastAsia" w:ascii="宋体" w:hAnsi="宋体" w:eastAsia="宋体" w:cs="宋体"/>
          <w:bCs/>
          <w:szCs w:val="22"/>
        </w:rPr>
      </w:pPr>
      <w:r/>
      <w:bookmarkStart w:id="15" w:name="_Toc38985264"/>
      <w:r/>
      <w:bookmarkStart w:id="16" w:name="_Toc35393791"/>
      <w:r/>
      <w:bookmarkStart w:id="17" w:name="_Toc27291"/>
      <w:r/>
      <w:bookmarkStart w:id="18" w:name="_Toc28359003"/>
      <w:r/>
      <w:bookmarkStart w:id="19" w:name="_Toc35393622"/>
      <w:r/>
      <w:bookmarkStart w:id="20" w:name="_Toc28359080"/>
      <w:r>
        <w:rPr>
          <w:rFonts w:hint="eastAsia" w:ascii="宋体" w:hAnsi="宋体" w:eastAsia="宋体" w:cs="宋体"/>
          <w:bCs/>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宋体" w:hAnsi="宋体" w:eastAsia="宋体" w:cs="宋体"/>
          <w:sz w:val="24"/>
          <w:szCs w:val="24"/>
        </w:rPr>
      </w:pPr>
      <w:r/>
      <w:bookmarkStart w:id="21" w:name="_Toc28359004"/>
      <w:r/>
      <w:bookmarkStart w:id="22" w:name="_Toc28359081"/>
      <w:r/>
      <w:bookmarkStart w:id="23" w:name="_Toc35393623"/>
      <w:r/>
      <w:bookmarkStart w:id="24" w:name="_Toc35393792"/>
      <w:r/>
      <w:bookmarkStart w:id="25" w:name="_Toc38985265"/>
      <w:r>
        <w:rPr>
          <w:rFonts w:hint="eastAsia" w:ascii="宋体" w:hAnsi="宋体" w:eastAsia="宋体" w:cs="宋体"/>
          <w:sz w:val="24"/>
          <w:szCs w:val="24"/>
        </w:rPr>
        <w:t xml:space="preserve">（一）通用资格要求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3.落实政府采购政策需满足的资格要求：</w:t>
      </w:r>
      <w:r>
        <w:rPr>
          <w:rFonts w:hint="eastAsia" w:ascii="宋体" w:hAnsi="宋体" w:eastAsia="宋体" w:cs="宋体"/>
          <w:sz w:val="24"/>
          <w:szCs w:val="24"/>
          <w:highlight w:val="none"/>
        </w:rPr>
        <w:t xml:space="preserve">无。</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r>
        <w:rPr>
          <w:rFonts w:hint="eastAsia" w:ascii="宋体" w:hAnsi="宋体" w:eastAsia="宋体" w:cs="宋体"/>
          <w:sz w:val="24"/>
          <w:szCs w:val="24"/>
          <w:lang w:val="en-US" w:eastAsia="zh-CN"/>
        </w:rPr>
        <w:t xml:space="preserve">投标人须具有有效期内的《食品经营许可证》；若为生产型企业还须提供《食品生产许可证》</w:t>
      </w:r>
      <w:r>
        <w:rPr>
          <w:rFonts w:hint="eastAsia" w:ascii="宋体" w:hAnsi="宋体" w:eastAsia="宋体" w:cs="宋体"/>
          <w:sz w:val="24"/>
          <w:szCs w:val="24"/>
        </w:rPr>
        <w:t xml:space="preserve">。</w:t>
      </w:r>
      <w:r/>
    </w:p>
    <w:p>
      <w:pPr>
        <w:pStyle w:val="782"/>
        <w:ind w:firstLine="643"/>
        <w:spacing w:before="0" w:after="0" w:line="480" w:lineRule="exact"/>
        <w:rPr>
          <w:rFonts w:hint="eastAsia" w:ascii="宋体" w:hAnsi="宋体" w:eastAsia="宋体" w:cs="宋体"/>
          <w:bCs/>
          <w:szCs w:val="22"/>
        </w:rPr>
      </w:pPr>
      <w:r/>
      <w:bookmarkStart w:id="26" w:name="_Toc22204"/>
      <w:r>
        <w:rPr>
          <w:rFonts w:hint="eastAsia" w:ascii="宋体" w:hAnsi="宋体" w:eastAsia="宋体" w:cs="宋体"/>
          <w:bCs/>
          <w:szCs w:val="22"/>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宋体" w:hAnsi="宋体" w:eastAsia="宋体" w:cs="宋体"/>
          <w:sz w:val="24"/>
          <w:szCs w:val="24"/>
        </w:rPr>
      </w:pPr>
      <w:r/>
      <w:bookmarkStart w:id="27" w:name="_Toc28359005"/>
      <w:r/>
      <w:bookmarkStart w:id="28" w:name="_Toc28359082"/>
      <w:r/>
      <w:bookmarkStart w:id="29" w:name="_Toc35393793"/>
      <w:r/>
      <w:bookmarkStart w:id="30" w:name="_Toc38985266"/>
      <w:r/>
      <w:bookmarkStart w:id="31" w:name="_Toc35393624"/>
      <w:r>
        <w:rPr>
          <w:rFonts w:hint="eastAsia" w:ascii="宋体" w:hAnsi="宋体" w:eastAsia="宋体" w:cs="宋体"/>
          <w:sz w:val="24"/>
          <w:szCs w:val="24"/>
        </w:rPr>
        <w:t xml:space="preserve">1.时间：招标公告发布之日起5个工作日。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sz w:val="24"/>
          <w:szCs w:val="24"/>
        </w:rPr>
      </w:pPr>
      <w:r/>
      <w:bookmarkStart w:id="32" w:name="EB0c44ff4da61f4af989d119fe214be450"/>
      <w:r>
        <w:rPr>
          <w:rFonts w:hint="eastAsia" w:ascii="宋体" w:hAnsi="宋体" w:eastAsia="宋体" w:cs="宋体"/>
          <w:sz w:val="24"/>
          <w:szCs w:val="24"/>
        </w:rPr>
        <w:t xml:space="preserve">3.本项目共分</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个采购包。投标人参与多个采购包投标的，应按采购包分别获取招标文件。投标人未按要求获取招标文件，后果自负（其投标文件不予接受）。</w:t>
      </w:r>
      <w:bookmarkEnd w:id="32"/>
      <w:r/>
      <w:r/>
    </w:p>
    <w:p>
      <w:pPr>
        <w:pStyle w:val="782"/>
        <w:ind w:firstLine="643"/>
        <w:spacing w:before="0" w:after="0" w:line="480" w:lineRule="exact"/>
        <w:rPr>
          <w:rFonts w:hint="eastAsia" w:ascii="宋体" w:hAnsi="宋体" w:eastAsia="宋体" w:cs="宋体"/>
          <w:bCs/>
          <w:szCs w:val="22"/>
        </w:rPr>
      </w:pPr>
      <w:r/>
      <w:bookmarkStart w:id="33" w:name="_Toc19148"/>
      <w:r>
        <w:rPr>
          <w:rFonts w:hint="eastAsia" w:ascii="宋体" w:hAnsi="宋体" w:eastAsia="宋体" w:cs="宋体"/>
          <w:bCs/>
          <w:szCs w:val="22"/>
        </w:rPr>
        <w:t xml:space="preserve">四、提交投标文件</w:t>
      </w:r>
      <w:bookmarkEnd w:id="27"/>
      <w:r/>
      <w:bookmarkEnd w:id="28"/>
      <w:r>
        <w:rPr>
          <w:rFonts w:hint="eastAsia" w:ascii="宋体" w:hAnsi="宋体" w:eastAsia="宋体" w:cs="宋体"/>
          <w:bCs/>
          <w:szCs w:val="22"/>
        </w:rPr>
        <w:t xml:space="preserve">截止时间、开标时间和地点</w:t>
      </w:r>
      <w:bookmarkEnd w:id="29"/>
      <w:r/>
      <w:bookmarkEnd w:id="30"/>
      <w:r/>
      <w:bookmarkEnd w:id="31"/>
      <w:r/>
      <w:bookmarkEnd w:id="33"/>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1.提交投标文件截止时间、开标时间：2026年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日09点30分（北京时间）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pStyle w:val="782"/>
        <w:ind w:firstLine="643"/>
        <w:spacing w:before="0" w:after="0" w:line="480" w:lineRule="exact"/>
        <w:rPr>
          <w:rFonts w:hint="eastAsia" w:ascii="宋体" w:hAnsi="宋体" w:eastAsia="宋体" w:cs="宋体"/>
          <w:bCs/>
          <w:szCs w:val="22"/>
        </w:rPr>
      </w:pPr>
      <w:r/>
      <w:bookmarkStart w:id="34" w:name="_Toc28359084"/>
      <w:r/>
      <w:bookmarkStart w:id="35" w:name="_Toc35393625"/>
      <w:r/>
      <w:bookmarkStart w:id="36" w:name="_Toc38985267"/>
      <w:r/>
      <w:bookmarkStart w:id="37" w:name="_Toc28359007"/>
      <w:r/>
      <w:bookmarkStart w:id="38" w:name="_Toc24820"/>
      <w:r/>
      <w:bookmarkStart w:id="39" w:name="_Toc35393794"/>
      <w:r>
        <w:rPr>
          <w:rFonts w:hint="eastAsia" w:ascii="宋体" w:hAnsi="宋体" w:eastAsia="宋体" w:cs="宋体"/>
          <w:bCs/>
          <w:szCs w:val="22"/>
        </w:rPr>
        <w:t xml:space="preserve">五、公告期限</w:t>
      </w:r>
      <w:bookmarkEnd w:id="34"/>
      <w:r/>
      <w:bookmarkEnd w:id="35"/>
      <w:r/>
      <w:bookmarkEnd w:id="36"/>
      <w:r/>
      <w:bookmarkEnd w:id="37"/>
      <w:r/>
      <w:bookmarkEnd w:id="38"/>
      <w:r/>
      <w:bookmarkEnd w:id="39"/>
      <w:r/>
      <w:r/>
    </w:p>
    <w:p>
      <w:pPr>
        <w:ind w:firstLine="480"/>
        <w:spacing w:line="480" w:lineRule="exact"/>
        <w:rPr>
          <w:rFonts w:hint="eastAsia" w:ascii="宋体" w:hAnsi="宋体" w:eastAsia="宋体" w:cs="宋体"/>
          <w:sz w:val="24"/>
          <w:szCs w:val="24"/>
        </w:rPr>
      </w:pPr>
      <w:r/>
      <w:bookmarkStart w:id="40" w:name="_Toc35393795"/>
      <w:r/>
      <w:bookmarkStart w:id="41" w:name="_Toc35393626"/>
      <w:r/>
      <w:bookmarkStart w:id="42" w:name="_Toc38985268"/>
      <w:r>
        <w:rPr>
          <w:rFonts w:hint="eastAsia" w:ascii="宋体" w:hAnsi="宋体" w:eastAsia="宋体" w:cs="宋体"/>
          <w:sz w:val="24"/>
          <w:szCs w:val="24"/>
        </w:rPr>
        <w:t xml:space="preserve">招标公告及招标文件公告期限为自本公告发布之日起5个工作日。</w:t>
      </w:r>
      <w:r/>
    </w:p>
    <w:p>
      <w:pPr>
        <w:pStyle w:val="782"/>
        <w:ind w:firstLine="643"/>
        <w:spacing w:before="0" w:after="0" w:line="480" w:lineRule="exact"/>
        <w:rPr>
          <w:rFonts w:hint="eastAsia" w:ascii="宋体" w:hAnsi="宋体" w:eastAsia="宋体" w:cs="宋体"/>
          <w:bCs/>
          <w:szCs w:val="22"/>
        </w:rPr>
      </w:pPr>
      <w:r/>
      <w:bookmarkStart w:id="43" w:name="_Toc13415"/>
      <w:r>
        <w:rPr>
          <w:rFonts w:hint="eastAsia" w:ascii="宋体" w:hAnsi="宋体" w:eastAsia="宋体" w:cs="宋体"/>
          <w:bCs/>
          <w:szCs w:val="22"/>
        </w:rPr>
        <w:t xml:space="preserve">六、其他补充事宜</w:t>
      </w:r>
      <w:bookmarkEnd w:id="40"/>
      <w:r/>
      <w:bookmarkEnd w:id="41"/>
      <w:r/>
      <w:bookmarkEnd w:id="42"/>
      <w:r/>
      <w:bookmarkEnd w:id="43"/>
      <w:r/>
      <w:r/>
    </w:p>
    <w:p>
      <w:pPr>
        <w:ind w:firstLine="480"/>
        <w:spacing w:line="480" w:lineRule="exact"/>
        <w:rPr>
          <w:rFonts w:hint="eastAsia" w:ascii="宋体" w:hAnsi="宋体" w:eastAsia="宋体" w:cs="宋体"/>
          <w:sz w:val="24"/>
          <w:szCs w:val="24"/>
        </w:rPr>
      </w:pPr>
      <w:r/>
      <w:bookmarkStart w:id="44" w:name="EB64e1f522fd8c43fcb4d3ba471386b3e7"/>
      <w:r/>
      <w:bookmarkStart w:id="45" w:name="_Toc35393627"/>
      <w:r/>
      <w:bookmarkStart w:id="46" w:name="_Toc28359008"/>
      <w:r/>
      <w:bookmarkStart w:id="47" w:name="_Toc28359085"/>
      <w:r/>
      <w:bookmarkStart w:id="48" w:name="_Toc38985269"/>
      <w:r/>
      <w:bookmarkStart w:id="49" w:name="_Toc35393796"/>
      <w:r>
        <w:rPr>
          <w:rFonts w:hint="eastAsia" w:ascii="宋体" w:hAnsi="宋体" w:eastAsia="宋体" w:cs="宋体"/>
          <w:sz w:val="24"/>
          <w:szCs w:val="24"/>
        </w:rPr>
        <w:t xml:space="preserve">1.招标公告发布媒体：</w:t>
      </w:r>
      <w:bookmarkStart w:id="50" w:name="OLE_LINK3"/>
      <w:r>
        <w:rPr>
          <w:rFonts w:hint="eastAsia" w:ascii="宋体" w:hAnsi="宋体" w:eastAsia="宋体" w:cs="宋体"/>
          <w:sz w:val="24"/>
          <w:szCs w:val="24"/>
        </w:rPr>
        <w:t xml:space="preserve">江苏政府采购网</w:t>
      </w:r>
      <w:bookmarkEnd w:id="50"/>
      <w:r>
        <w:rPr>
          <w:rFonts w:hint="eastAsia" w:ascii="宋体" w:hAnsi="宋体" w:eastAsia="宋体" w:cs="宋体"/>
          <w:sz w:val="24"/>
          <w:szCs w:val="24"/>
        </w:rPr>
        <w:t xml:space="preserve">、宿迁市政府采购网等。</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3.宿迁地区“苏采云”系统技术支持客服电话：0527-84363067、0519-86722806。</w:t>
      </w:r>
      <w:bookmarkEnd w:id="44"/>
      <w:r/>
    </w:p>
    <w:p>
      <w:pPr>
        <w:ind w:firstLine="480"/>
        <w:spacing w:line="480" w:lineRule="exact"/>
        <w:rPr>
          <w:rFonts w:hint="eastAsia" w:ascii="宋体" w:hAnsi="宋体" w:eastAsia="宋体" w:cs="宋体"/>
          <w:sz w:val="24"/>
        </w:rPr>
      </w:pPr>
      <w:r/>
      <w:bookmarkStart w:id="51" w:name="_Toc29049"/>
      <w:r>
        <w:rPr>
          <w:rFonts w:hint="eastAsia" w:ascii="宋体" w:hAnsi="宋体" w:eastAsia="宋体" w:cs="宋体"/>
          <w:sz w:val="24"/>
          <w:szCs w:val="24"/>
        </w:rPr>
        <w:t xml:space="preserve">4.</w:t>
      </w:r>
      <w:r>
        <w:rPr>
          <w:rFonts w:hint="eastAsia" w:ascii="宋体" w:hAnsi="宋体" w:eastAsia="宋体" w:cs="宋体"/>
          <w:sz w:val="24"/>
        </w:rPr>
        <w:t xml:space="preserve">质疑渠道：投标人登录“苏采云”系统“项目质疑申请”模块向采购人</w:t>
      </w:r>
      <w:r>
        <w:rPr>
          <w:rFonts w:hint="eastAsia" w:ascii="宋体" w:hAnsi="宋体" w:eastAsia="宋体" w:cs="宋体"/>
          <w:sz w:val="24"/>
          <w:lang w:val="en-US" w:eastAsia="zh-CN"/>
        </w:rPr>
        <w:t xml:space="preserve">或采购代理机构</w:t>
      </w:r>
      <w:r>
        <w:rPr>
          <w:rFonts w:hint="eastAsia" w:ascii="宋体" w:hAnsi="宋体" w:eastAsia="宋体" w:cs="宋体"/>
          <w:sz w:val="24"/>
        </w:rPr>
        <w:t xml:space="preserve">提出，质疑处理联系方式详见“采购人信息</w:t>
      </w:r>
      <w:r>
        <w:rPr>
          <w:rFonts w:hint="eastAsia" w:ascii="宋体" w:hAnsi="宋体" w:eastAsia="宋体" w:cs="宋体"/>
          <w:sz w:val="24"/>
          <w:lang w:eastAsia="zh-CN"/>
        </w:rPr>
        <w:t xml:space="preserve">、</w:t>
      </w:r>
      <w:r>
        <w:rPr>
          <w:rFonts w:hint="eastAsia" w:ascii="宋体" w:hAnsi="宋体" w:eastAsia="宋体" w:cs="宋体"/>
          <w:sz w:val="24"/>
        </w:rPr>
        <w:t xml:space="preserve">采购代理机构信息”；</w:t>
      </w:r>
      <w:r>
        <w:rPr>
          <w:rFonts w:hint="eastAsia" w:ascii="宋体" w:hAnsi="宋体" w:eastAsia="宋体" w:cs="宋体"/>
          <w:sz w:val="24"/>
          <w:szCs w:val="24"/>
        </w:rPr>
        <w:t xml:space="preserve">财政部门投诉受理电话：0527-84363063。</w:t>
      </w:r>
      <w:r/>
    </w:p>
    <w:p>
      <w:pPr>
        <w:pStyle w:val="782"/>
        <w:ind w:firstLine="643"/>
        <w:spacing w:before="0" w:after="0" w:line="480" w:lineRule="exact"/>
        <w:rPr>
          <w:rFonts w:hint="eastAsia" w:ascii="宋体" w:hAnsi="宋体" w:eastAsia="宋体" w:cs="宋体"/>
          <w:bCs/>
          <w:szCs w:val="22"/>
        </w:rPr>
      </w:pPr>
      <w:r>
        <w:rPr>
          <w:rFonts w:hint="eastAsia" w:ascii="宋体" w:hAnsi="宋体" w:eastAsia="宋体" w:cs="宋体"/>
          <w:bCs/>
          <w:szCs w:val="22"/>
        </w:rPr>
        <w:t xml:space="preserve">七、本次招标联系方式</w:t>
      </w:r>
      <w:bookmarkEnd w:id="45"/>
      <w:r/>
      <w:bookmarkEnd w:id="46"/>
      <w:r/>
      <w:bookmarkEnd w:id="47"/>
      <w:r/>
      <w:bookmarkEnd w:id="48"/>
      <w:r/>
      <w:bookmarkEnd w:id="49"/>
      <w:r/>
      <w:bookmarkEnd w:id="51"/>
      <w:r/>
      <w:r/>
    </w:p>
    <w:p>
      <w:pPr>
        <w:ind w:firstLine="480"/>
        <w:spacing w:line="480" w:lineRule="exact"/>
        <w:rPr>
          <w:rFonts w:hint="eastAsia" w:ascii="宋体" w:hAnsi="宋体" w:eastAsia="宋体" w:cs="宋体"/>
          <w:sz w:val="24"/>
        </w:rPr>
      </w:pPr>
      <w:r/>
      <w:bookmarkStart w:id="52" w:name="_Toc28359086"/>
      <w:r/>
      <w:bookmarkStart w:id="53" w:name="_Toc28359009"/>
      <w:r>
        <w:rPr>
          <w:rFonts w:hint="eastAsia" w:ascii="宋体" w:hAnsi="宋体" w:eastAsia="宋体" w:cs="宋体"/>
          <w:sz w:val="24"/>
        </w:rPr>
        <w:t xml:space="preserve">1.采购人信息</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名   称：  宿迁市公安局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地   址：  宿迁市洪泽湖路865号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联 系 人：  </w:t>
      </w:r>
      <w:r>
        <w:rPr>
          <w:rFonts w:hint="eastAsia" w:ascii="宋体" w:hAnsi="宋体" w:eastAsia="宋体" w:cs="宋体"/>
          <w:sz w:val="24"/>
          <w:lang w:val="en-US" w:eastAsia="zh-CN"/>
        </w:rPr>
        <w:t xml:space="preserve">秦武</w:t>
      </w:r>
      <w:r>
        <w:rPr>
          <w:rFonts w:hint="eastAsia" w:ascii="宋体" w:hAnsi="宋体" w:eastAsia="宋体" w:cs="宋体"/>
          <w:sz w:val="24"/>
        </w:rPr>
        <w:t xml:space="preserve">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联系方式： </w:t>
      </w:r>
      <w:r>
        <w:rPr>
          <w:rFonts w:hint="eastAsia" w:ascii="宋体" w:hAnsi="宋体" w:eastAsia="宋体" w:cs="宋体"/>
          <w:sz w:val="24"/>
          <w:lang w:val="en-US" w:eastAsia="zh-CN"/>
        </w:rPr>
        <w:t xml:space="preserve">0527-84352398</w:t>
      </w:r>
      <w:r>
        <w:rPr>
          <w:rFonts w:hint="eastAsia" w:ascii="宋体" w:hAnsi="宋体" w:eastAsia="宋体" w:cs="宋体"/>
          <w:sz w:val="24"/>
        </w:rPr>
        <w:t xml:space="preserve">        </w:t>
      </w:r>
      <w:bookmarkEnd w:id="52"/>
      <w:bookmarkEnd w:id="53"/>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lang w:eastAsia="zh-CN"/>
        </w:rPr>
        <w:t xml:space="preserve">宿迁泰元建设管理咨询有限公司</w:t>
      </w:r>
      <w:r>
        <w:rPr>
          <w:rFonts w:hint="eastAsia" w:ascii="宋体" w:hAnsi="宋体" w:eastAsia="宋体" w:cs="宋体"/>
          <w:sz w:val="24"/>
        </w:rPr>
        <w:t xml:space="preserve">  </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rPr>
        <w:t xml:space="preserve">地  　址：宿迁市</w:t>
      </w:r>
      <w:r>
        <w:rPr>
          <w:rFonts w:hint="eastAsia" w:ascii="宋体" w:hAnsi="宋体" w:eastAsia="宋体" w:cs="宋体"/>
          <w:sz w:val="24"/>
          <w:lang w:val="en-US" w:eastAsia="zh-CN"/>
        </w:rPr>
        <w:t xml:space="preserve">太湖路79号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联 系 人： </w:t>
      </w:r>
      <w:r>
        <w:rPr>
          <w:rFonts w:hint="eastAsia" w:ascii="宋体" w:hAnsi="宋体" w:eastAsia="宋体" w:cs="宋体"/>
          <w:sz w:val="24"/>
          <w:lang w:val="en-US" w:eastAsia="zh-CN"/>
        </w:rPr>
        <w:t xml:space="preserve">屠贵敏</w:t>
      </w:r>
      <w:r>
        <w:rPr>
          <w:rFonts w:hint="eastAsia" w:ascii="宋体" w:hAnsi="宋体" w:eastAsia="宋体" w:cs="宋体"/>
          <w:sz w:val="24"/>
        </w:rPr>
        <w:t xml:space="preserve">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lang w:val="en-US" w:eastAsia="zh-CN"/>
        </w:rPr>
        <w:t xml:space="preserve">15250756668</w:t>
      </w:r>
      <w:r>
        <w:rPr>
          <w:rFonts w:hint="eastAsia" w:ascii="宋体" w:hAnsi="宋体" w:eastAsia="宋体" w:cs="宋体"/>
          <w:sz w:val="24"/>
        </w:rPr>
        <w:t xml:space="preserve">   </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sz w:val="44"/>
        </w:rPr>
        <w:outlineLvl w:val="0"/>
      </w:pPr>
      <w:r>
        <w:rPr>
          <w:rFonts w:hint="eastAsia" w:ascii="宋体" w:hAnsi="宋体" w:eastAsia="宋体" w:cs="宋体"/>
          <w:sz w:val="24"/>
        </w:rPr>
        <w:br w:type="page" w:clear="all"/>
      </w:r>
      <w:bookmarkStart w:id="54" w:name="_Toc9624"/>
      <w:r/>
      <w:bookmarkStart w:id="55" w:name="_Toc81575153"/>
      <w:r/>
      <w:bookmarkStart w:id="56" w:name="_Toc15265"/>
      <w:r/>
      <w:bookmarkStart w:id="57" w:name="_Toc11687"/>
      <w:r/>
      <w:bookmarkStart w:id="58" w:name="_Toc81575190"/>
      <w:r>
        <w:rPr>
          <w:rFonts w:hint="eastAsia" w:ascii="宋体" w:hAnsi="宋体" w:eastAsia="宋体" w:cs="宋体"/>
          <w:sz w:val="44"/>
        </w:rPr>
        <w:t xml:space="preserve">第二章  投标人须知</w:t>
      </w:r>
      <w:bookmarkEnd w:id="54"/>
      <w:r/>
      <w:bookmarkEnd w:id="55"/>
      <w:r/>
      <w:bookmarkEnd w:id="56"/>
      <w:r/>
      <w:bookmarkEnd w:id="57"/>
      <w:r/>
      <w:bookmarkEnd w:id="58"/>
      <w:r/>
      <w:r/>
    </w:p>
    <w:p>
      <w:pPr>
        <w:pStyle w:val="782"/>
        <w:spacing w:before="0" w:after="120" w:line="520" w:lineRule="exact"/>
        <w:rPr>
          <w:rFonts w:hint="eastAsia" w:ascii="宋体" w:hAnsi="宋体" w:eastAsia="宋体" w:cs="宋体"/>
          <w:bCs/>
          <w:szCs w:val="22"/>
        </w:rPr>
      </w:pPr>
      <w:r/>
      <w:bookmarkStart w:id="59" w:name="_Toc4529"/>
      <w:r>
        <w:rPr>
          <w:rFonts w:hint="eastAsia" w:ascii="宋体" w:hAnsi="宋体" w:eastAsia="宋体" w:cs="宋体"/>
          <w:bCs/>
          <w:szCs w:val="22"/>
        </w:rPr>
        <w:t xml:space="preserve">投标人须知前附表：</w:t>
      </w:r>
      <w:bookmarkEnd w:id="59"/>
      <w:r/>
      <w:r/>
    </w:p>
    <w:tbl>
      <w:tblPr>
        <w:tblStyle w:val="75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宋体" w:hAnsi="宋体" w:eastAsia="宋体" w:cs="宋体"/>
                <w:b/>
                <w:sz w:val="24"/>
                <w:szCs w:val="24"/>
              </w:rPr>
            </w:pPr>
            <w:r/>
            <w:bookmarkStart w:id="60" w:name="_Toc81575154"/>
            <w:r/>
            <w:bookmarkStart w:id="61" w:name="_Toc81575191"/>
            <w:r/>
            <w:bookmarkStart w:id="62" w:name="_Toc29262"/>
            <w:r>
              <w:rPr>
                <w:rFonts w:hint="eastAsia" w:ascii="宋体" w:hAnsi="宋体" w:eastAsia="宋体" w:cs="宋体"/>
                <w:b/>
                <w:sz w:val="24"/>
                <w:szCs w:val="24"/>
              </w:rPr>
              <w:t xml:space="preserve">序号</w:t>
            </w:r>
            <w:r/>
          </w:p>
        </w:tc>
        <w:tc>
          <w:tcPr>
            <w:tcW w:w="177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W w:w="6579"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w:t>
            </w:r>
            <w:bookmarkStart w:id="63" w:name="EB9a5853ee094f4f0ea6ec3169265f6f2c"/>
            <w:r>
              <w:rPr>
                <w:rFonts w:hint="eastAsia" w:ascii="宋体" w:hAnsi="宋体" w:eastAsia="宋体" w:cs="宋体"/>
                <w:sz w:val="24"/>
                <w:szCs w:val="24"/>
              </w:rPr>
              <w:t xml:space="preserve">属性按以下第</w:t>
            </w:r>
            <w:bookmarkEnd w:id="63"/>
            <w:r>
              <w:rPr>
                <w:rFonts w:hint="eastAsia" w:ascii="宋体" w:hAnsi="宋体" w:eastAsia="宋体" w:cs="宋体"/>
                <w:sz w:val="24"/>
                <w:szCs w:val="24"/>
              </w:rPr>
              <w:t xml:space="preserve">2种确定：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w:t>
            </w:r>
            <w:bookmarkStart w:id="64" w:name="EBd5c6c026f9674c39b21b31ecd0c1e7fa"/>
            <w:r>
              <w:rPr>
                <w:rFonts w:hint="eastAsia" w:ascii="宋体" w:hAnsi="宋体" w:eastAsia="宋体" w:cs="宋体"/>
                <w:sz w:val="24"/>
                <w:szCs w:val="24"/>
              </w:rPr>
              <w:t xml:space="preserve">采购；2.</w:t>
            </w:r>
            <w:bookmarkEnd w:id="64"/>
            <w:r>
              <w:rPr>
                <w:rFonts w:hint="eastAsia" w:ascii="宋体" w:hAnsi="宋体" w:eastAsia="宋体" w:cs="宋体"/>
                <w:sz w:val="24"/>
                <w:szCs w:val="24"/>
              </w:rPr>
              <w:t xml:space="preserve">服务</w:t>
            </w:r>
            <w:bookmarkStart w:id="65" w:name="EBf7d2a4f44ecb4166a93ea852e73be69f"/>
            <w:r>
              <w:rPr>
                <w:rFonts w:hint="eastAsia" w:ascii="宋体" w:hAnsi="宋体" w:eastAsia="宋体" w:cs="宋体"/>
                <w:sz w:val="24"/>
                <w:szCs w:val="24"/>
              </w:rPr>
              <w:t xml:space="preserve">采购；3.</w:t>
            </w:r>
            <w:bookmarkEnd w:id="65"/>
            <w:r>
              <w:rPr>
                <w:rFonts w:hint="eastAsia" w:ascii="宋体" w:hAnsi="宋体" w:eastAsia="宋体" w:cs="宋体"/>
                <w:sz w:val="24"/>
                <w:szCs w:val="24"/>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bookmarkStart w:id="66" w:name="EBd40b5fb42f2944a3b45e579ce3941f02"/>
            <w:r/>
            <w:bookmarkEnd w:id="66"/>
            <w:r>
              <w:rPr>
                <w:rFonts w:hint="eastAsia" w:ascii="宋体" w:hAnsi="宋体" w:eastAsia="宋体" w:cs="宋体"/>
                <w:sz w:val="24"/>
                <w:szCs w:val="24"/>
                <w:lang w:val="en-US" w:eastAsia="zh-CN"/>
              </w:rPr>
              <w:t xml:space="preserve">90</w:t>
            </w:r>
            <w:r>
              <w:rPr>
                <w:rFonts w:hint="eastAsia" w:ascii="宋体" w:hAnsi="宋体" w:eastAsia="宋体" w:cs="宋体"/>
                <w:sz w:val="24"/>
                <w:szCs w:val="24"/>
              </w:rPr>
              <w:t xml:space="preserve">日（从提交投标文件截止之日起算）</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投标文件份数</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提交加密电子投标文件</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份。</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进口产品</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按以下第2种方式确定：</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1.接受进口产品。</w:t>
            </w:r>
            <w:r>
              <w:rPr>
                <w:rFonts w:hint="eastAsia" w:ascii="宋体" w:hAnsi="宋体" w:eastAsia="宋体" w:cs="宋体"/>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rPr>
              <w:t xml:space="preserve">；</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评标办法</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具体评标办法详见招标文件第三章。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评标委员会依据招标文件规定的评标办法和标准推荐</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确定中标人</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bookmarkStart w:id="67" w:name="EBebac1462c5d9459fbda8a75065c2455d"/>
            <w:r>
              <w:rPr>
                <w:rFonts w:hint="eastAsia" w:ascii="宋体" w:hAnsi="宋体" w:eastAsia="宋体" w:cs="宋体"/>
                <w:sz w:val="24"/>
                <w:szCs w:val="24"/>
              </w:rPr>
              <w:t xml:space="preserve">本项目的非主体、非关键性工作是否允许分包</w:t>
            </w:r>
            <w:bookmarkEnd w:id="67"/>
            <w:r>
              <w:rPr>
                <w:rFonts w:hint="eastAsia" w:ascii="宋体" w:hAnsi="宋体" w:eastAsia="宋体" w:cs="宋体"/>
                <w:sz w:val="24"/>
                <w:szCs w:val="24"/>
              </w:rPr>
              <w:t xml:space="preserve">按以下第2种方式确定：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1.允许分包，</w:t>
            </w:r>
            <w:bookmarkStart w:id="68"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68"/>
            <w:r>
              <w:rPr>
                <w:rFonts w:hint="eastAsia" w:ascii="宋体" w:hAnsi="宋体" w:eastAsia="宋体" w:cs="宋体"/>
                <w:sz w:val="24"/>
                <w:szCs w:val="24"/>
              </w:rPr>
              <w:t xml:space="preserve">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2.不允许分包。</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bookmarkStart w:id="69" w:name="EBfe735bb6fc4d4e5e9e350f940db98c5f"/>
            <w:r/>
            <w:bookmarkEnd w:id="69"/>
            <w:r>
              <w:rPr>
                <w:rFonts w:hint="eastAsia" w:ascii="Times New Roman" w:hAnsi="Times New Roman" w:eastAsia="宋体" w:cs="仿宋"/>
                <w:sz w:val="24"/>
                <w:szCs w:val="24"/>
                <w:lang w:val="en-US" w:eastAsia="zh-CN"/>
              </w:rPr>
              <w:t xml:space="preserve">根据</w:t>
            </w:r>
            <w:r>
              <w:rPr>
                <w:rFonts w:hint="eastAsia" w:ascii="Times New Roman" w:hAnsi="Times New Roman" w:eastAsia="宋体" w:cs="仿宋"/>
                <w:sz w:val="24"/>
                <w:szCs w:val="24"/>
              </w:rPr>
              <w:t xml:space="preserve">《政府采购代理机构管理暂行办法》财库〔2018〕2号</w:t>
            </w:r>
            <w:r>
              <w:rPr>
                <w:rFonts w:hint="eastAsia" w:ascii="Times New Roman" w:hAnsi="Times New Roman" w:eastAsia="宋体" w:cs="仿宋"/>
                <w:sz w:val="24"/>
                <w:szCs w:val="24"/>
                <w:lang w:val="en-US" w:eastAsia="zh-CN"/>
              </w:rPr>
              <w:t xml:space="preserve">第十五条规定，</w:t>
            </w:r>
            <w:r>
              <w:rPr>
                <w:rFonts w:hint="eastAsia" w:ascii="宋体" w:hAnsi="宋体" w:eastAsia="宋体" w:cs="宋体"/>
                <w:sz w:val="24"/>
                <w:szCs w:val="24"/>
                <w:lang w:val="en-US" w:eastAsia="zh-CN"/>
              </w:rPr>
              <w:t xml:space="preserve">本项目代理服务费由成交供应商支付，收费标准：按照《江苏省招标代理服务收费指导意见》苏招协{2002}002号文件收费标准的80%收取。</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772" w:type="dxa"/>
            <w:vAlign w:val="center"/>
            <w:textDirection w:val="lrTb"/>
            <w:noWrap w:val="false"/>
          </w:tcPr>
          <w:p>
            <w:pPr>
              <w:jc w:val="left"/>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w:t>
            </w:r>
            <w:bookmarkEnd w:id="60"/>
            <w:r/>
            <w:bookmarkEnd w:id="61"/>
            <w:r/>
            <w:bookmarkEnd w:id="62"/>
            <w:r/>
            <w:r/>
          </w:p>
        </w:tc>
        <w:tc>
          <w:tcPr>
            <w:tcW w:w="6579" w:type="dxa"/>
            <w:vAlign w:val="center"/>
            <w:textDirection w:val="lrTb"/>
            <w:noWrap w:val="false"/>
          </w:tcPr>
          <w:p>
            <w:pPr>
              <w:jc w:val="left"/>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1.信用信息查询截止时间：资格审查结束前。由采购人在资格审查现场查询信用信息，网页截屏打印，查询结果留存并归档。</w:t>
            </w:r>
            <w:r/>
          </w:p>
          <w:p>
            <w:pPr>
              <w:jc w:val="left"/>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2.本项目共分3个采购包。投标人应针对不同采购包分别编制投标文件，并上传至对应的采购包。如若未按要求操作和上传失误，自行负责。</w:t>
            </w:r>
            <w:r/>
          </w:p>
          <w:p>
            <w:pPr>
              <w:jc w:val="left"/>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次采购共分为3个采购包，按“兼投不兼中”的原则，即投标人可参与任意采购包或全部采购包的投标，但同一投标人最多只能中标其中一个采购包。评标、中标的顺序为：包1、包2、包3，已被推荐为前面采购包第一中标候选人的投标人参与后面采购包的评审，但不再被推荐为中标候选人。</w:t>
            </w:r>
            <w:r/>
          </w:p>
          <w:p>
            <w:pPr>
              <w:jc w:val="left"/>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注：因“苏采云”系统原因，投标人在系统内开标一览表中的填写的“优惠率”即为招标文件中的“折扣”，两者数值应相同，请各投标人准确填写，最终服务费按实结算，结算价款按实际发生的费用*中标折扣</w:t>
            </w:r>
            <w:r/>
          </w:p>
        </w:tc>
      </w:tr>
    </w:tbl>
    <w:p>
      <w:pPr>
        <w:pStyle w:val="782"/>
        <w:ind w:firstLine="321"/>
        <w:spacing w:before="0" w:after="0" w:line="480" w:lineRule="exact"/>
        <w:rPr>
          <w:rFonts w:hint="eastAsia" w:ascii="宋体" w:hAnsi="宋体" w:eastAsia="宋体" w:cs="宋体"/>
          <w:bCs/>
          <w:szCs w:val="22"/>
        </w:rPr>
      </w:pPr>
      <w:r/>
      <w:bookmarkStart w:id="70" w:name="EB6eaaf474639940df900ef4965d71f450"/>
      <w:r/>
      <w:bookmarkEnd w:id="70"/>
      <w:r/>
      <w:bookmarkStart w:id="71" w:name="_Toc30953"/>
      <w:r/>
      <w:bookmarkStart w:id="72" w:name="_Toc8239"/>
      <w:r/>
      <w:bookmarkStart w:id="73" w:name="_Toc81575192"/>
      <w:r/>
      <w:bookmarkStart w:id="74" w:name="_Toc81575155"/>
      <w:r>
        <w:rPr>
          <w:rFonts w:hint="eastAsia" w:ascii="宋体" w:hAnsi="宋体" w:eastAsia="宋体" w:cs="宋体"/>
          <w:bCs/>
          <w:szCs w:val="22"/>
        </w:rPr>
        <w:br w:type="page" w:clear="all"/>
      </w:r>
      <w:r>
        <w:rPr>
          <w:rFonts w:hint="eastAsia" w:ascii="宋体" w:hAnsi="宋体" w:eastAsia="宋体" w:cs="宋体"/>
          <w:bCs/>
          <w:szCs w:val="22"/>
        </w:rPr>
        <w:t xml:space="preserve">一、总 则</w:t>
      </w:r>
      <w:bookmarkEnd w:id="71"/>
      <w:r/>
      <w:bookmarkEnd w:id="72"/>
      <w:r/>
      <w:bookmarkEnd w:id="73"/>
      <w:r/>
      <w:bookmarkEnd w:id="74"/>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1、招标方式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本次采购采取公开招标方式。</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2、合格的投标人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2.2满足本文件实质性要求的规定。</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3、适用法律和标准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3.1本次招标及由招标产生的合同受中华人民共和国的相关法律、法规制约和保护。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3.2 在本项目政府采购活动过程中，如果所执行的标准有更新的，按照最新标准执行。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4、投标费用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投标人应自行承担所有参加投标有关的费用。</w:t>
      </w:r>
      <w:r/>
    </w:p>
    <w:p>
      <w:pPr>
        <w:pStyle w:val="782"/>
        <w:ind w:firstLine="321"/>
        <w:spacing w:before="0" w:after="0" w:line="480" w:lineRule="exact"/>
        <w:rPr>
          <w:rFonts w:hint="eastAsia" w:ascii="宋体" w:hAnsi="宋体" w:eastAsia="宋体" w:cs="宋体"/>
          <w:bCs/>
          <w:szCs w:val="22"/>
        </w:rPr>
      </w:pPr>
      <w:r/>
      <w:bookmarkStart w:id="75" w:name="_Toc81575193"/>
      <w:r/>
      <w:bookmarkStart w:id="76" w:name="_Toc29306"/>
      <w:r/>
      <w:bookmarkStart w:id="77" w:name="_Toc81575156"/>
      <w:r/>
      <w:bookmarkStart w:id="78" w:name="_Toc15995"/>
      <w:r>
        <w:rPr>
          <w:rFonts w:hint="eastAsia" w:ascii="宋体" w:hAnsi="宋体" w:eastAsia="宋体" w:cs="宋体"/>
          <w:bCs/>
          <w:szCs w:val="22"/>
        </w:rPr>
        <w:t xml:space="preserve">二、招标文件</w:t>
      </w:r>
      <w:bookmarkEnd w:id="75"/>
      <w:r/>
      <w:bookmarkEnd w:id="76"/>
      <w:r/>
      <w:bookmarkEnd w:id="77"/>
      <w:r/>
      <w:bookmarkEnd w:id="78"/>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5、招标文件构成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5.1招标文件由以下部分组成：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第一章：投标邀请；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第二章：投标人须知；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第三章：资格审查及评标办法；</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第五章：合同文本；</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第六章：投标文件格式。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5.2投标人应认真阅读招标文件中所有的事项、格式、条款和规范等要求，按招标文件要求和规定编制投标文件。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6、政府采购政策功能落实</w:t>
      </w:r>
      <w:r/>
    </w:p>
    <w:p>
      <w:pPr>
        <w:ind w:firstLine="482"/>
        <w:spacing w:line="480" w:lineRule="exact"/>
        <w:rPr>
          <w:rFonts w:hint="eastAsia" w:ascii="宋体" w:hAnsi="宋体" w:eastAsia="宋体" w:cs="宋体"/>
          <w:b/>
          <w:bCs/>
          <w:sz w:val="24"/>
          <w:highlight w:val="none"/>
          <w:u w:val="single"/>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highlight w:val="none"/>
          <w:u w:val="single"/>
        </w:rPr>
        <w:t xml:space="preserve">6.1 </w:t>
      </w: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lang w:val="en-US" w:eastAsia="zh-CN"/>
        </w:rPr>
        <w:t xml:space="preserve">6.4</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6.1中小企业政策</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rPr>
        <w:t xml:space="preserve">本项目按</w:t>
      </w:r>
      <w:r>
        <w:rPr>
          <w:rFonts w:hint="eastAsia" w:ascii="宋体" w:hAnsi="宋体" w:eastAsia="宋体" w:cs="宋体"/>
          <w:sz w:val="24"/>
          <w:highlight w:val="none"/>
        </w:rPr>
        <w:t xml:space="preserve">第</w:t>
      </w:r>
      <w:r>
        <w:rPr>
          <w:rFonts w:hint="eastAsia" w:ascii="宋体" w:hAnsi="宋体" w:eastAsia="宋体" w:cs="宋体"/>
          <w:sz w:val="24"/>
          <w:highlight w:val="none"/>
          <w:u w:val="single"/>
        </w:rPr>
        <w:t xml:space="preserve">（2）</w:t>
      </w:r>
      <w:r>
        <w:rPr>
          <w:rFonts w:hint="eastAsia" w:ascii="宋体" w:hAnsi="宋体" w:eastAsia="宋体" w:cs="宋体"/>
          <w:sz w:val="24"/>
          <w:highlight w:val="none"/>
        </w:rPr>
        <w:t xml:space="preserve">种政策落实：</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sz w:val="24"/>
        </w:rPr>
      </w:pPr>
      <w:r>
        <w:rPr>
          <w:rFonts w:hint="eastAsia" w:ascii="宋体" w:hAnsi="宋体" w:eastAsia="宋体" w:cs="宋体"/>
          <w:sz w:val="24"/>
          <w:highlight w:val="none"/>
        </w:rPr>
        <w:t xml:space="preserve">（2）对符合规定情形的小微企业报价给予</w:t>
      </w:r>
      <w:r>
        <w:rPr>
          <w:rFonts w:hint="eastAsia" w:ascii="宋体" w:hAnsi="宋体" w:eastAsia="宋体" w:cs="宋体"/>
          <w:sz w:val="24"/>
          <w:highlight w:val="none"/>
          <w:u w:val="single"/>
        </w:rPr>
        <w:t xml:space="preserve">15%</w:t>
      </w:r>
      <w:r>
        <w:rPr>
          <w:rFonts w:hint="eastAsia" w:ascii="宋体" w:hAnsi="宋体" w:eastAsia="宋体" w:cs="宋体"/>
          <w:sz w:val="24"/>
          <w:highlight w:val="none"/>
        </w:rPr>
        <w:t xml:space="preserve">扣</w:t>
      </w:r>
      <w:r>
        <w:rPr>
          <w:rFonts w:hint="eastAsia" w:ascii="宋体" w:hAnsi="宋体" w:eastAsia="宋体" w:cs="宋体"/>
          <w:sz w:val="24"/>
        </w:rPr>
        <w:t xml:space="preserve">除，用扣除后的价格参加评审。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 xml:space="preserve">5</w:t>
      </w:r>
      <w:r>
        <w:rPr>
          <w:rFonts w:hint="eastAsia" w:ascii="宋体" w:hAnsi="宋体" w:eastAsia="宋体" w:cs="宋体"/>
          <w:sz w:val="24"/>
        </w:rPr>
        <w:t xml:space="preserve">%（工程项目为</w:t>
      </w:r>
      <w:r>
        <w:rPr>
          <w:rFonts w:hint="eastAsia" w:ascii="宋体" w:hAnsi="宋体" w:eastAsia="宋体" w:cs="宋体"/>
          <w:sz w:val="24"/>
          <w:u w:val="single"/>
        </w:rPr>
        <w:t xml:space="preserve">2</w:t>
      </w:r>
      <w:r>
        <w:rPr>
          <w:rFonts w:hint="eastAsia" w:ascii="宋体" w:hAnsi="宋体" w:eastAsia="宋体" w:cs="宋体"/>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6.2采购本国产品的支持政策</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6.2.1 </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000000"/>
          <w:sz w:val="24"/>
        </w:rPr>
      </w:pP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6.2.2本项目政府采购活动中既有本国产品又有非本国产品参与竞争的，</w:t>
      </w:r>
      <w:bookmarkStart w:id="79" w:name="OLE_LINK7"/>
      <w:r>
        <w:rPr>
          <w:rFonts w:hint="eastAsia" w:ascii="宋体" w:hAnsi="宋体" w:eastAsia="宋体" w:cs="宋体"/>
          <w:color w:val="000000"/>
          <w:sz w:val="24"/>
        </w:rPr>
        <w:t xml:space="preserve">依法对本国产品给予价格评审优惠，对本国产品的报价给予</w:t>
      </w:r>
      <w:r>
        <w:rPr>
          <w:rFonts w:hint="eastAsia" w:ascii="宋体" w:hAnsi="宋体" w:eastAsia="宋体" w:cs="宋体"/>
          <w:b/>
          <w:bCs/>
          <w:color w:val="000000"/>
          <w:sz w:val="24"/>
          <w:u w:val="single"/>
        </w:rPr>
        <w:t xml:space="preserve">20%</w:t>
      </w:r>
      <w:r>
        <w:rPr>
          <w:rFonts w:hint="eastAsia" w:ascii="宋体" w:hAnsi="宋体" w:eastAsia="宋体" w:cs="宋体"/>
          <w:color w:val="000000"/>
          <w:sz w:val="24"/>
        </w:rPr>
        <w:t xml:space="preserve">的价格扣除，用扣除后的价格参与评审。</w:t>
      </w:r>
      <w:bookmarkEnd w:id="79"/>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000000"/>
          <w:sz w:val="24"/>
        </w:rPr>
        <w:t xml:space="preserve">80%以上</w:t>
      </w:r>
      <w:r>
        <w:rPr>
          <w:rFonts w:hint="eastAsia" w:ascii="宋体" w:hAnsi="宋体" w:eastAsia="宋体" w:cs="宋体"/>
          <w:color w:val="000000"/>
          <w:sz w:val="24"/>
        </w:rPr>
        <w:t xml:space="preserve">时（投标人需在“第六章 投标文件格式”的</w:t>
      </w:r>
      <w:r>
        <w:rPr>
          <w:rFonts w:hint="eastAsia" w:ascii="宋体" w:hAnsi="宋体" w:eastAsia="宋体" w:cs="宋体"/>
          <w:color w:val="000000"/>
          <w:sz w:val="24"/>
          <w:highlight w:val="none"/>
        </w:rPr>
        <w:t xml:space="preserve">“分项报价表”中填写</w:t>
      </w:r>
      <w:r>
        <w:rPr>
          <w:rFonts w:hint="eastAsia" w:ascii="宋体" w:hAnsi="宋体" w:eastAsia="宋体" w:cs="宋体"/>
          <w:color w:val="000000"/>
          <w:sz w:val="24"/>
        </w:rPr>
        <w:t xml:space="preserve">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6.2.4 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6.3.2采购人拟采购的产品属于优先采购的节能产品、环境标志产品清单范围的，按以下条件优先采购：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采用综合评分法的项目，对提供有效节能产品、环境标志证书产品的投标人加分。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采用最低评标价法的项目，同等条件下优先推荐提供有效节能产品、环境标志产品证书多的投标人为中标人。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6.4.1商品包装、快递包装政府采购需求标准（试行）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6.4.2绿色数据中心政府采购需求标准（试行）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6.4.3绿色建材政府采购需求标准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7、招标文件的澄清或修改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7.3投标人应及时登录“苏采云”系统获取、查看澄清答疑文件（修改后的招标文件），否则造成的相关责任由投标人承担。</w:t>
      </w:r>
      <w:r/>
    </w:p>
    <w:p>
      <w:pPr>
        <w:pStyle w:val="782"/>
        <w:ind w:firstLine="321"/>
        <w:spacing w:before="0" w:after="0" w:line="480" w:lineRule="exact"/>
        <w:rPr>
          <w:rFonts w:hint="eastAsia" w:ascii="宋体" w:hAnsi="宋体" w:eastAsia="宋体" w:cs="宋体"/>
          <w:bCs/>
          <w:szCs w:val="22"/>
        </w:rPr>
      </w:pPr>
      <w:r/>
      <w:bookmarkStart w:id="80" w:name="_Toc11461"/>
      <w:r/>
      <w:bookmarkStart w:id="81" w:name="_Toc81575194"/>
      <w:r/>
      <w:bookmarkStart w:id="82" w:name="_Toc81575157"/>
      <w:r/>
      <w:bookmarkStart w:id="83" w:name="_Toc5574"/>
      <w:r>
        <w:rPr>
          <w:rFonts w:hint="eastAsia" w:ascii="宋体" w:hAnsi="宋体" w:eastAsia="宋体" w:cs="宋体"/>
          <w:bCs/>
          <w:szCs w:val="22"/>
        </w:rPr>
        <w:t xml:space="preserve">三、投标文件的编制</w:t>
      </w:r>
      <w:bookmarkEnd w:id="80"/>
      <w:r/>
      <w:bookmarkEnd w:id="81"/>
      <w:r/>
      <w:bookmarkEnd w:id="82"/>
      <w:r/>
      <w:bookmarkEnd w:id="83"/>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8、投标文件的编制要求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8.2投标文件要求加盖电子签章之处，应按要求加盖投标人数字证书的电子签章。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8.3本项目通过“苏采云”系统进行电子投标，投标人使用政府采购客户端工具制作并通过“苏采云”系统提交投标文件，如</w:t>
      </w:r>
      <w:r>
        <w:rPr>
          <w:rFonts w:hint="eastAsia" w:ascii="宋体" w:hAnsi="宋体" w:eastAsia="宋体" w:cs="宋体"/>
          <w:sz w:val="24"/>
          <w:lang w:val="en-US" w:eastAsia="zh-CN"/>
        </w:rPr>
        <w:t xml:space="preserve">投标文件</w:t>
      </w:r>
      <w:r>
        <w:rPr>
          <w:rFonts w:hint="eastAsia" w:ascii="宋体" w:hAnsi="宋体" w:eastAsia="宋体" w:cs="宋体"/>
          <w:sz w:val="24"/>
        </w:rPr>
        <w:t xml:space="preserve">制作工具内容与“江苏政府采购网”“宿迁市政府采购网”发布的招标文件不一致的，以“江苏政府采购网”“宿迁市政府采购网”发布的招标文件为准。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9、投标文件构成</w:t>
      </w:r>
      <w:r/>
    </w:p>
    <w:p>
      <w:pPr>
        <w:ind w:firstLine="480"/>
        <w:spacing w:line="480" w:lineRule="exact"/>
        <w:rPr>
          <w:rFonts w:hint="eastAsia" w:ascii="宋体" w:hAnsi="宋体" w:eastAsia="宋体" w:cs="宋体"/>
          <w:bCs/>
          <w:sz w:val="24"/>
        </w:rPr>
      </w:pPr>
      <w:r>
        <w:rPr>
          <w:rFonts w:hint="eastAsia" w:ascii="宋体" w:hAnsi="宋体" w:eastAsia="宋体" w:cs="宋体"/>
          <w:sz w:val="24"/>
        </w:rPr>
        <w:t xml:space="preserve">9.1投标文件包括投标函、资格证明文件、开标一览表、分项报价表、响应及偏离表等部分。投标文件</w:t>
      </w:r>
      <w:r>
        <w:rPr>
          <w:rFonts w:hint="eastAsia" w:ascii="宋体" w:hAnsi="宋体" w:eastAsia="宋体" w:cs="宋体"/>
          <w:bCs/>
          <w:sz w:val="24"/>
        </w:rPr>
        <w:t xml:space="preserve">构成资料为非中文时应提供中文译版。</w:t>
      </w:r>
      <w:bookmarkStart w:id="84" w:name="EBc50e2bb832bb43068403b10c1cce6141"/>
      <w:r/>
      <w:r/>
    </w:p>
    <w:p>
      <w:pPr>
        <w:ind w:firstLine="482"/>
        <w:spacing w:line="480" w:lineRule="exact"/>
        <w:rPr>
          <w:rFonts w:hint="eastAsia" w:ascii="宋体" w:hAnsi="宋体" w:eastAsia="宋体" w:cs="宋体"/>
          <w:bCs/>
          <w:sz w:val="24"/>
        </w:rPr>
      </w:pPr>
      <w:r>
        <w:rPr>
          <w:rFonts w:hint="eastAsia" w:ascii="宋体" w:hAnsi="宋体" w:eastAsia="宋体" w:cs="宋体"/>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10、投标报价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10.2报价注意事项：投标价格一律以人民币计算，以元为单位标注，最多保留至小数点后四位，招标文件有规定的按招标文件执行。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11、投标保证金</w:t>
      </w:r>
      <w:bookmarkStart w:id="85" w:name="EB183a0bf075204c54a4ff090f1aecaaa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本项目不收取投标保证金。</w:t>
      </w:r>
      <w:bookmarkEnd w:id="85"/>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12、投标有效期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82"/>
        <w:ind w:firstLine="321"/>
        <w:spacing w:before="0" w:after="0" w:line="480" w:lineRule="exact"/>
        <w:rPr>
          <w:rFonts w:hint="eastAsia" w:ascii="宋体" w:hAnsi="宋体" w:eastAsia="宋体" w:cs="宋体"/>
          <w:bCs/>
          <w:szCs w:val="22"/>
        </w:rPr>
      </w:pPr>
      <w:r/>
      <w:bookmarkStart w:id="86" w:name="_Toc23443"/>
      <w:r/>
      <w:bookmarkStart w:id="87" w:name="_Toc81575158"/>
      <w:r/>
      <w:bookmarkStart w:id="88" w:name="_Toc81575195"/>
      <w:r/>
      <w:bookmarkStart w:id="89" w:name="_Toc2773"/>
      <w:r>
        <w:rPr>
          <w:rFonts w:hint="eastAsia" w:ascii="宋体" w:hAnsi="宋体" w:eastAsia="宋体" w:cs="宋体"/>
          <w:bCs/>
          <w:szCs w:val="22"/>
        </w:rPr>
        <w:t xml:space="preserve">四、投标文件的提交</w:t>
      </w:r>
      <w:bookmarkEnd w:id="86"/>
      <w:r/>
      <w:bookmarkEnd w:id="87"/>
      <w:r/>
      <w:bookmarkEnd w:id="88"/>
      <w:r/>
      <w:bookmarkEnd w:id="89"/>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13、投标文件的提交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14、投标文件被拒绝接收的情形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在招标文件规定的投标截止时间后上传的投标文件或对投标报价或其他实质性内容修正的文件。</w:t>
      </w:r>
      <w:r/>
    </w:p>
    <w:p>
      <w:pPr>
        <w:pStyle w:val="782"/>
        <w:ind w:firstLine="321"/>
        <w:spacing w:before="0" w:after="0" w:line="520" w:lineRule="exact"/>
        <w:rPr>
          <w:rFonts w:hint="eastAsia" w:ascii="宋体" w:hAnsi="宋体" w:eastAsia="宋体" w:cs="宋体"/>
          <w:bCs/>
          <w:szCs w:val="22"/>
        </w:rPr>
      </w:pPr>
      <w:r/>
      <w:bookmarkStart w:id="90" w:name="_Toc20026"/>
      <w:r/>
      <w:bookmarkStart w:id="91" w:name="_Toc81575197"/>
      <w:r/>
      <w:bookmarkStart w:id="92" w:name="_Toc959"/>
      <w:r/>
      <w:bookmarkStart w:id="93" w:name="_Toc81575160"/>
      <w:r>
        <w:rPr>
          <w:rFonts w:hint="eastAsia" w:ascii="宋体" w:hAnsi="宋体" w:eastAsia="宋体" w:cs="宋体"/>
          <w:bCs/>
          <w:szCs w:val="22"/>
        </w:rPr>
        <w:t xml:space="preserve">五、开标、评标程序</w:t>
      </w:r>
      <w:bookmarkEnd w:id="90"/>
      <w:r/>
      <w:bookmarkEnd w:id="91"/>
      <w:r/>
      <w:bookmarkEnd w:id="92"/>
      <w:r/>
      <w:bookmarkEnd w:id="93"/>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15、开标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sz w:val="24"/>
        </w:rPr>
      </w:pPr>
      <w:r>
        <w:rPr>
          <w:rFonts w:hint="eastAsia" w:ascii="宋体" w:hAnsi="宋体" w:eastAsia="宋体" w:cs="宋体"/>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15.5投标人在开、评标全过程中应保持通讯畅通，及时登录“苏采云”系统查阅、答复相关信息。</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16、评标委员会</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17、评标程序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17.1资格审查</w:t>
      </w:r>
      <w:bookmarkStart w:id="94" w:name="EBa9c0a2c9e523494487594c65b2a92370"/>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开标结束后，采购人依法根据招标文件的规定对投标人的资格证明文件等进行审查。</w:t>
      </w:r>
      <w:bookmarkEnd w:id="94"/>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17.2符合性检查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5" w:name="EB1499356fad43416eb16398733accabf7"/>
      <w:r>
        <w:rPr>
          <w:rFonts w:hint="eastAsia" w:ascii="宋体" w:hAnsi="宋体" w:eastAsia="宋体" w:cs="宋体"/>
          <w:sz w:val="24"/>
        </w:rPr>
        <w:t xml:space="preserve">所谓重大偏离是指投标人投标文件中所述设备质量、技术规格、数量、交货期、服务等明显不能满足招标文件要求。</w:t>
      </w:r>
      <w:bookmarkEnd w:id="95"/>
      <w:r>
        <w:rPr>
          <w:rFonts w:hint="eastAsia" w:ascii="宋体" w:hAnsi="宋体" w:eastAsia="宋体" w:cs="宋体"/>
          <w:sz w:val="24"/>
        </w:rPr>
        <w:t xml:space="preserve">重大偏离的认定需经过评标委员会以少数服从多数的原则作出结论。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17.3未通过资格审查或符合性审查的投标人，采购代理机构将在“苏采云”系统中告知未通过资格审查或符合性审查的原因</w:t>
      </w:r>
      <w:r>
        <w:rPr>
          <w:rFonts w:hint="eastAsia" w:ascii="宋体" w:hAnsi="宋体" w:eastAsia="宋体" w:cs="宋体"/>
          <w:color w:val="ff0000"/>
          <w:sz w:val="24"/>
        </w:rPr>
        <w:t xml:space="preserve">。</w:t>
      </w:r>
      <w:r>
        <w:rPr>
          <w:rFonts w:hint="eastAsia" w:ascii="宋体" w:hAnsi="宋体" w:eastAsia="宋体" w:cs="宋体"/>
          <w:sz w:val="24"/>
        </w:rPr>
        <w:t xml:space="preserve">评标结束后，采购代理机构将不再告知未通过资格审查或符合性审查的原因。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17.5相同品牌产品投标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17.5.3非单一产品采购项目，采购人确定核心产品，并在招标文件中载明。</w:t>
      </w:r>
      <w:bookmarkStart w:id="96" w:name="OLE_LINK10"/>
      <w:r>
        <w:rPr>
          <w:rFonts w:hint="eastAsia" w:ascii="宋体" w:hAnsi="宋体" w:eastAsia="宋体" w:cs="宋体"/>
          <w:sz w:val="24"/>
        </w:rPr>
        <w:t xml:space="preserve">多家投标人提供的核心产品品牌相同的，</w:t>
      </w:r>
      <w:bookmarkEnd w:id="96"/>
      <w:r>
        <w:rPr>
          <w:rFonts w:hint="eastAsia" w:ascii="宋体" w:hAnsi="宋体" w:eastAsia="宋体" w:cs="宋体"/>
          <w:sz w:val="24"/>
        </w:rPr>
        <w:t xml:space="preserve">按前两款规定处理。</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17.6有关问题的澄清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17.6.2投标文件报价出现前后不一致的，除招标文件另有规定外，按照下列规定修正：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②大写金额和小写金额不一致的，以大写金额为准；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④总价金额与单价汇总金额不一致的，以单价金额计算结果为准。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评标过程中，不得去掉报价中的最高报价和最低报价。</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 异常低价投标审查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17.7.1 评标过程中出现下列情形之一的，评标委员会应当启动异常低价投标审查程序：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（3）投标报价低于采购项目最高限价45%的，即投标报价&lt;采购项目最高限价×45%；</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（4）评标委员会基于专业判断，认为供应商报价过低，有可能影响产品质量或者不能诚信履约的其他情形。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17.8比较</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17.9推荐中标候选人</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评标委员会按照招标文件中规定的评标方法和标准推荐中标候选人。</w:t>
      </w:r>
      <w:r/>
    </w:p>
    <w:p>
      <w:pPr>
        <w:pStyle w:val="782"/>
        <w:ind w:firstLine="321"/>
        <w:spacing w:before="0" w:after="0" w:line="480" w:lineRule="exact"/>
        <w:rPr>
          <w:rFonts w:hint="eastAsia" w:ascii="宋体" w:hAnsi="宋体" w:eastAsia="宋体" w:cs="宋体"/>
          <w:bCs/>
          <w:color w:val="000000"/>
          <w:szCs w:val="22"/>
        </w:rPr>
      </w:pPr>
      <w:r/>
      <w:bookmarkStart w:id="97" w:name="_Toc8841"/>
      <w:r/>
      <w:bookmarkStart w:id="98" w:name="_Toc8712"/>
      <w:r/>
      <w:bookmarkStart w:id="99" w:name="_Toc81575159"/>
      <w:r/>
      <w:bookmarkStart w:id="100" w:name="_Toc81575196"/>
      <w:r>
        <w:rPr>
          <w:rFonts w:hint="eastAsia" w:ascii="宋体" w:hAnsi="宋体" w:eastAsia="宋体" w:cs="宋体"/>
          <w:bCs/>
          <w:color w:val="000000"/>
          <w:szCs w:val="22"/>
        </w:rPr>
        <w:t xml:space="preserve">六、无效投标、废标、串通投标</w:t>
      </w:r>
      <w:bookmarkEnd w:id="97"/>
      <w:r/>
      <w:bookmarkEnd w:id="98"/>
      <w:r/>
      <w:bookmarkEnd w:id="99"/>
      <w:r/>
      <w:bookmarkEnd w:id="100"/>
      <w:r>
        <w:rPr>
          <w:rFonts w:hint="eastAsia" w:ascii="宋体" w:hAnsi="宋体" w:eastAsia="宋体" w:cs="宋体"/>
          <w:bCs/>
          <w:color w:val="000000"/>
          <w:szCs w:val="22"/>
        </w:rPr>
        <w:t xml:space="preserve">及取消中标候选人资格情形</w:t>
      </w:r>
      <w:r/>
    </w:p>
    <w:p>
      <w:pPr>
        <w:ind w:firstLine="482"/>
        <w:spacing w:line="480" w:lineRule="exact"/>
        <w:rPr>
          <w:rFonts w:hint="eastAsia" w:ascii="宋体" w:hAnsi="宋体" w:eastAsia="宋体" w:cs="宋体"/>
          <w:b/>
          <w:color w:val="000000"/>
          <w:sz w:val="24"/>
        </w:rPr>
      </w:pPr>
      <w:r>
        <w:rPr>
          <w:rFonts w:hint="eastAsia" w:ascii="宋体" w:hAnsi="宋体" w:eastAsia="宋体" w:cs="宋体"/>
          <w:b/>
          <w:color w:val="000000"/>
          <w:sz w:val="24"/>
        </w:rPr>
        <w:t xml:space="preserve">18、无效投标情形</w:t>
      </w:r>
      <w:r/>
    </w:p>
    <w:p>
      <w:pPr>
        <w:ind w:firstLine="480"/>
        <w:spacing w:line="480" w:lineRule="exact"/>
        <w:rPr>
          <w:rFonts w:hint="eastAsia" w:ascii="宋体" w:hAnsi="宋体" w:eastAsia="宋体" w:cs="宋体"/>
          <w:strike/>
          <w:color w:val="000000"/>
          <w:sz w:val="24"/>
        </w:rPr>
      </w:pPr>
      <w:r>
        <w:rPr>
          <w:rFonts w:hint="eastAsia" w:ascii="宋体" w:hAnsi="宋体" w:eastAsia="宋体" w:cs="宋体"/>
          <w:color w:val="000000"/>
          <w:sz w:val="24"/>
        </w:rPr>
        <w:t xml:space="preserve">18.1投标人同一采购包提交两个（含两个）以上不同的投标报价的。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18.2投标人不符合招标文件规定资格要求的或未按规定提交资质证件的。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18.3投标人的报价超过了采购预算或最高限价的。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18.4投标文件未通过符合性审查的。</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rPr>
        <w:t xml:space="preserve">18.5</w:t>
      </w:r>
      <w:r>
        <w:rPr>
          <w:rFonts w:hint="eastAsia" w:ascii="宋体" w:hAnsi="宋体" w:eastAsia="宋体" w:cs="宋体"/>
          <w:sz w:val="24"/>
        </w:rPr>
        <w:t xml:space="preserve">投标文件出现重大偏离，不符合招标文件中规定的实质性要求的（★部分为实质性要求）。</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18.7投标文件未按照招标文件要求加盖CA电子公章的。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18.8投标人有本招标文件规定的恶意串通投标情形的。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18.9投标文件含有采购人不能接受的附加条件的。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18.10其他法律、法规及本招标文件规定的属无效投标的情形。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19、废标情形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19.1符合专业条件的投标人或者对招标文件作实质响应的投标人不足三家的。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19.2出现影响采购公正的违法、违规行为的。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19.3因重大变故，采购任务取消的。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19.4评标委员会认定招标文件存在歧义、重大缺陷导致评审工作无法进行的。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19.5在“苏采云”系统规定时间内成功解密电子投标文件的投标人不足</w:t>
      </w:r>
      <w:r>
        <w:rPr>
          <w:rFonts w:hint="eastAsia" w:ascii="宋体" w:hAnsi="宋体" w:eastAsia="宋体" w:cs="宋体"/>
          <w:color w:val="ff0000"/>
          <w:sz w:val="24"/>
        </w:rPr>
        <w:t xml:space="preserve">三</w:t>
      </w:r>
      <w:r>
        <w:rPr>
          <w:rFonts w:hint="eastAsia" w:ascii="宋体" w:hAnsi="宋体" w:eastAsia="宋体" w:cs="宋体"/>
          <w:sz w:val="24"/>
        </w:rPr>
        <w:t xml:space="preserve">家的。</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20、投标人不足三家情形处理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投标截止后投标人不足三家或者通过资格审查或符合性审查的投标人不足</w:t>
      </w:r>
      <w:r>
        <w:rPr>
          <w:rFonts w:hint="eastAsia" w:ascii="宋体" w:hAnsi="宋体" w:eastAsia="宋体" w:cs="宋体"/>
          <w:color w:val="ff0000"/>
          <w:sz w:val="24"/>
        </w:rPr>
        <w:t xml:space="preserve">三</w:t>
      </w:r>
      <w:r>
        <w:rPr>
          <w:rFonts w:hint="eastAsia" w:ascii="宋体" w:hAnsi="宋体" w:eastAsia="宋体" w:cs="宋体"/>
          <w:sz w:val="24"/>
        </w:rPr>
        <w:t xml:space="preserve">家的，除采购任务取消情形外，按财政部令第87号第四十三条条款进行处理。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21、串通投标情形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有下列情形之一的，属于恶意串通投标，其投标无效：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21.1投标人直接或间接从采购人或采购代理机构处获得其他投标人的投标情况，并修改其投标文件；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21.2评审活动开始前投标人直接或间接从采购人或采购代理机构处获得评标委员会组成人员情况；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21.3投标人接受采购人或采购代理机构授意撤换、修改投标文件；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21.4投标人之间协商投标报价、技术方案等投标文件实质性内容；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21.5属于同一集团、协会、商会等组织成员的投标人按照该组织要求协同投标；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21.6投标人之间事先约定由某一特定投标人中标、成交；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21.7投标人之间商定部分投标人放弃投标或者放弃中标、成交；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有下列情形之一的，视为投标人串通投标，其投标无效：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21.9 不同投标人的投标文件由同一单位或者个人编制；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21.10不同投标人的电子投标文件由同一台电子设备编制、打包、加密或者上传；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21.11不同投标人委托同一单位或者个人办理投标事宜；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21.12不同投标人的投标文件载明的项目管理成员或者联系人员为同一人；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21.13不同投标人的投标文件异常一致或者投标报价呈规律性差异；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21.14不同投标人的投标文件相互混装；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21.15不同投标人的投标保证金从同一单位或者个人的账户转出。</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22、</w:t>
      </w:r>
      <w:bookmarkStart w:id="101" w:name="OLE_LINK4"/>
      <w:r>
        <w:rPr>
          <w:rFonts w:hint="eastAsia" w:ascii="宋体" w:hAnsi="宋体" w:eastAsia="宋体" w:cs="宋体"/>
          <w:b/>
          <w:sz w:val="24"/>
        </w:rPr>
        <w:t xml:space="preserve">取消中标候选人资格情形</w:t>
      </w:r>
      <w:bookmarkEnd w:id="101"/>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22.1提供虚假材料谋取中标的；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22.2采取不正当手段诋毁、排挤其他投标人的；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22.3与采购人、其他投标人或者采购代理机构恶意串通的；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22.4向采购人、采购代理机构行贿或者提供其他不正当利益的；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22.5未在规定时间内与采购人签订采购合同的；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22.6法律、法规规定的其它情况。</w:t>
      </w:r>
      <w:bookmarkStart w:id="102" w:name="_Toc81575161"/>
      <w:r/>
      <w:bookmarkStart w:id="103" w:name="_Toc6494"/>
      <w:r/>
      <w:bookmarkStart w:id="104" w:name="_Toc81575198"/>
      <w:r/>
      <w:bookmarkStart w:id="105" w:name="_Toc2391"/>
      <w:r/>
      <w:r/>
    </w:p>
    <w:p>
      <w:pPr>
        <w:ind w:firstLine="321"/>
        <w:spacing w:line="480" w:lineRule="exact"/>
        <w:rPr>
          <w:rFonts w:hint="eastAsia" w:ascii="宋体" w:hAnsi="宋体" w:eastAsia="宋体" w:cs="宋体"/>
          <w:b/>
          <w:bCs/>
          <w:sz w:val="32"/>
        </w:rPr>
        <w:outlineLvl w:val="1"/>
      </w:pPr>
      <w:r>
        <w:rPr>
          <w:rFonts w:hint="eastAsia" w:ascii="宋体" w:hAnsi="宋体" w:eastAsia="宋体" w:cs="宋体"/>
          <w:b/>
          <w:bCs/>
          <w:sz w:val="32"/>
        </w:rPr>
        <w:t xml:space="preserve">七、中标及合同签订</w:t>
      </w:r>
      <w:bookmarkEnd w:id="102"/>
      <w:r/>
      <w:bookmarkEnd w:id="103"/>
      <w:r/>
      <w:bookmarkEnd w:id="104"/>
      <w:r/>
      <w:bookmarkEnd w:id="105"/>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23、确定中标人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23.3采购人确定正被列为失信被执行人的投标人为中标人的，中标结果无效。</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24、中标通知书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24.3采用综合评分法评审的，未中标人可于中标结果公告期限届满之日起通过“苏采云”系统查看</w:t>
      </w:r>
      <w:bookmarkStart w:id="106" w:name="OLE_LINK5"/>
      <w:r>
        <w:rPr>
          <w:rFonts w:hint="eastAsia" w:ascii="宋体" w:hAnsi="宋体" w:eastAsia="宋体" w:cs="宋体"/>
          <w:sz w:val="24"/>
        </w:rPr>
        <w:t xml:space="preserve">自己的评审得分及排序情况。</w:t>
      </w:r>
      <w:bookmarkEnd w:id="106"/>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25、授予合同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25.2采购人在自合同签订之日起2个工作日内，将合同在指定的媒体上公告。</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26、履约保证金</w:t>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sz w:val="24"/>
          <w:lang w:val="en-US" w:eastAsia="zh-CN"/>
        </w:rPr>
        <w:t xml:space="preserve">3</w:t>
      </w:r>
      <w:r>
        <w:rPr>
          <w:rFonts w:hint="eastAsia" w:ascii="宋体" w:hAnsi="宋体" w:eastAsia="宋体" w:cs="宋体"/>
          <w:sz w:val="24"/>
        </w:rPr>
        <w:t xml:space="preserve"> %提交。办理流程、偿付等内容见江苏政府采购网“保险保函”模块。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采购人收到投标人退付申请后5个工作日内退还。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sz w:val="24"/>
          <w:szCs w:val="24"/>
        </w:rPr>
      </w:pPr>
      <w:r>
        <w:rPr>
          <w:rFonts w:hint="eastAsia" w:ascii="宋体" w:hAnsi="宋体" w:eastAsia="宋体" w:cs="宋体"/>
          <w:b/>
          <w:sz w:val="24"/>
        </w:rPr>
        <w:t xml:space="preserve">27、线上融资</w:t>
      </w:r>
      <w:r/>
    </w:p>
    <w:p>
      <w:pPr>
        <w:ind w:firstLine="480"/>
        <w:spacing w:line="480" w:lineRule="exact"/>
        <w:rPr>
          <w:rFonts w:hint="eastAsia" w:ascii="宋体" w:hAnsi="宋体" w:eastAsia="宋体" w:cs="宋体"/>
          <w:b/>
          <w:bCs/>
          <w:sz w:val="24"/>
          <w:szCs w:val="24"/>
        </w:rPr>
      </w:pPr>
      <w:r>
        <w:rPr>
          <w:rFonts w:hint="eastAsia" w:ascii="宋体" w:hAnsi="宋体" w:eastAsia="宋体" w:cs="宋体"/>
          <w:bCs/>
          <w:sz w:val="24"/>
          <w:szCs w:val="24"/>
        </w:rPr>
        <w:t xml:space="preserve">中标人可凭政府采购合同办理融资贷款，详情见江苏政府采购网“政采贷”专栏。</w:t>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28、合同履行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28.1政府采购合同订立后，合同各方不得擅自变更、中止或者终止合同。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宋体" w:hAnsi="宋体" w:eastAsia="宋体" w:cs="宋体"/>
          <w:color w:val="000000"/>
          <w:sz w:val="24"/>
        </w:rPr>
        <w:t xml:space="preserve">百分之十。</w:t>
      </w:r>
      <w:r/>
    </w:p>
    <w:p>
      <w:pPr>
        <w:pStyle w:val="782"/>
        <w:spacing w:before="0" w:after="0" w:line="520" w:lineRule="exact"/>
        <w:rPr>
          <w:rFonts w:hint="eastAsia" w:ascii="宋体" w:hAnsi="宋体" w:eastAsia="宋体" w:cs="宋体"/>
          <w:bCs/>
          <w:szCs w:val="22"/>
        </w:rPr>
      </w:pPr>
      <w:r/>
      <w:bookmarkStart w:id="107" w:name="_Toc81575162"/>
      <w:r/>
      <w:bookmarkStart w:id="108" w:name="_Toc7550"/>
      <w:r/>
      <w:bookmarkStart w:id="109" w:name="_Toc22084"/>
      <w:r/>
      <w:bookmarkStart w:id="110" w:name="_Toc81575199"/>
      <w:r>
        <w:rPr>
          <w:rFonts w:hint="eastAsia" w:ascii="宋体" w:hAnsi="宋体" w:eastAsia="宋体" w:cs="宋体"/>
          <w:bCs/>
          <w:szCs w:val="22"/>
        </w:rPr>
        <w:t xml:space="preserve">八、</w:t>
      </w:r>
      <w:bookmarkEnd w:id="107"/>
      <w:r/>
      <w:bookmarkEnd w:id="108"/>
      <w:r/>
      <w:bookmarkEnd w:id="109"/>
      <w:r/>
      <w:bookmarkEnd w:id="110"/>
      <w:r/>
      <w:bookmarkStart w:id="111" w:name="_Toc12263"/>
      <w:r/>
      <w:bookmarkStart w:id="112" w:name="_Toc81575200"/>
      <w:r/>
      <w:bookmarkStart w:id="113" w:name="_Toc31888"/>
      <w:r/>
      <w:bookmarkStart w:id="114" w:name="_Toc81575163"/>
      <w:r>
        <w:rPr>
          <w:rFonts w:hint="eastAsia" w:ascii="宋体" w:hAnsi="宋体" w:eastAsia="宋体" w:cs="宋体"/>
          <w:bCs/>
          <w:szCs w:val="22"/>
        </w:rPr>
        <w:t xml:space="preserve">质疑与投诉</w:t>
      </w:r>
      <w:bookmarkEnd w:id="111"/>
      <w:r/>
      <w:bookmarkEnd w:id="112"/>
      <w:r/>
      <w:bookmarkEnd w:id="113"/>
      <w:r/>
      <w:bookmarkEnd w:id="114"/>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29、质疑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29.1投标人认为采购文件、采购过程和中标结果使自己的权益受到损害的，可以在知道或者应知其权益受到损害之日起七个工作日内，</w:t>
      </w:r>
      <w:bookmarkStart w:id="115" w:name="OLE_LINK2"/>
      <w:r>
        <w:rPr>
          <w:rFonts w:hint="eastAsia" w:ascii="宋体" w:hAnsi="宋体" w:eastAsia="宋体" w:cs="宋体"/>
          <w:b/>
          <w:bCs/>
          <w:sz w:val="24"/>
        </w:rPr>
        <w:t xml:space="preserve">登录“苏采云”系统，从“项目质疑申请”模块向采购人</w:t>
      </w:r>
      <w:r>
        <w:rPr>
          <w:rFonts w:hint="eastAsia" w:ascii="宋体" w:hAnsi="宋体" w:eastAsia="宋体" w:cs="宋体"/>
          <w:b/>
          <w:bCs/>
          <w:sz w:val="24"/>
          <w:lang w:val="en-US" w:eastAsia="zh-CN"/>
        </w:rPr>
        <w:t xml:space="preserve">或采购代理机构</w:t>
      </w:r>
      <w:r>
        <w:rPr>
          <w:rFonts w:hint="eastAsia" w:ascii="宋体" w:hAnsi="宋体" w:eastAsia="宋体" w:cs="宋体"/>
          <w:b/>
          <w:bCs/>
          <w:sz w:val="24"/>
        </w:rPr>
        <w:t xml:space="preserve">提出质疑</w:t>
      </w:r>
      <w:bookmarkEnd w:id="115"/>
      <w:r>
        <w:rPr>
          <w:rFonts w:hint="eastAsia" w:ascii="宋体" w:hAnsi="宋体" w:eastAsia="宋体" w:cs="宋体"/>
          <w:b/>
          <w:bCs/>
          <w:sz w:val="24"/>
        </w:rPr>
        <w:t xml:space="preserve">。</w:t>
      </w:r>
      <w:bookmarkStart w:id="116" w:name="OLE_LINK1"/>
      <w:r>
        <w:rPr>
          <w:rFonts w:hint="eastAsia" w:ascii="宋体" w:hAnsi="宋体" w:eastAsia="宋体" w:cs="宋体"/>
          <w:sz w:val="24"/>
        </w:rPr>
        <w:t xml:space="preserve">质疑联系部门、联系电话、通讯地址详见采购公告。</w:t>
      </w:r>
      <w:bookmarkEnd w:id="116"/>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29.2投标人应知其权益受到损害之日，是指：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（2）对本项目采购过程提出质疑的，为各采购程序环节结束之日；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（3）对本项目中标结果提出质疑的，为中标结果公告期限届满之日。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29.4投标人提出质疑应当提交质疑函和必要的证明材料。质疑函的必备内容：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（1）投标人的姓名或者名称、地址、邮编、联系人及联系电话；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（2）质疑项目的名称、编号；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（3）获取采购文件的时间；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（4）具体、明确的质疑事项和质疑事项相关的请求；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（5）事实依据；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（6）必要的法律依据；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（7）提出质疑的日期；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30、投诉</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781"/>
        <w:jc w:val="center"/>
        <w:spacing w:before="200"/>
        <w:rPr>
          <w:rFonts w:hint="eastAsia" w:ascii="宋体" w:hAnsi="宋体" w:eastAsia="宋体" w:cs="宋体"/>
        </w:rPr>
      </w:pPr>
      <w:r/>
      <w:bookmarkStart w:id="117" w:name="EB4d341233595e4bf8ad7006b4bd78d974"/>
      <w:r/>
      <w:bookmarkEnd w:id="117"/>
      <w:r/>
      <w:bookmarkStart w:id="118" w:name="_Toc81575164"/>
      <w:r/>
      <w:bookmarkStart w:id="119" w:name="_Toc81575201"/>
      <w:r/>
      <w:bookmarkStart w:id="120" w:name="_Hlk166141273"/>
      <w:r>
        <w:rPr>
          <w:rFonts w:hint="eastAsia" w:ascii="宋体" w:hAnsi="宋体" w:eastAsia="宋体" w:cs="宋体"/>
        </w:rPr>
        <w:br w:type="page" w:clear="all"/>
      </w:r>
      <w:bookmarkStart w:id="121" w:name="_Toc17961"/>
      <w:r>
        <w:rPr>
          <w:rFonts w:hint="eastAsia" w:ascii="宋体" w:hAnsi="宋体" w:eastAsia="宋体" w:cs="宋体"/>
          <w:b/>
          <w:sz w:val="44"/>
          <w:szCs w:val="44"/>
        </w:rPr>
        <w:t xml:space="preserve">第三章  资格审查及评标</w:t>
      </w:r>
      <w:bookmarkEnd w:id="118"/>
      <w:r/>
      <w:bookmarkEnd w:id="119"/>
      <w:r>
        <w:rPr>
          <w:rFonts w:hint="eastAsia" w:ascii="宋体" w:hAnsi="宋体" w:eastAsia="宋体" w:cs="宋体"/>
          <w:b/>
          <w:sz w:val="44"/>
          <w:szCs w:val="44"/>
        </w:rPr>
        <w:t xml:space="preserve">方法</w:t>
      </w:r>
      <w:bookmarkEnd w:id="121"/>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一、资格审查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资格审查人员按照下列指标对各投标人的资格进行审查，未通过审查的为无效标，不参与评标。</w:t>
      </w:r>
      <w:r/>
    </w:p>
    <w:tbl>
      <w:tblPr>
        <w:tblStyle w:val="75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435"/>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资格审查因素</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投标声明及承诺函</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信用信息</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lang w:val="en-US" w:eastAsia="zh-CN"/>
              </w:rPr>
              <w:t xml:space="preserve">有效期内的《食品经营许可证》；若为生产型企业还须提供《食品生产许可证》</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二、符合性审查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评标委员会对符合资格的投标人的投标文件进行符合性审查，未通过审查的为无效标，不再参与评审。</w:t>
      </w:r>
      <w:r/>
    </w:p>
    <w:tbl>
      <w:tblPr>
        <w:tblStyle w:val="75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符合性审查因素</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法人授权书</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szCs w:val="21"/>
                <w:shd w:val="clear" w:color="auto" w:fill="fafafa"/>
              </w:rPr>
              <w:t xml:space="preserve">开标一览表及投标报价</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szCs w:val="21"/>
                <w:shd w:val="clear" w:color="auto" w:fill="fafafa"/>
                <w:lang w:val="en-US" w:eastAsia="zh-CN"/>
              </w:rPr>
            </w:pPr>
            <w:r>
              <w:rPr>
                <w:rFonts w:hint="eastAsia" w:ascii="宋体" w:hAnsi="宋体" w:eastAsia="宋体" w:cs="宋体"/>
                <w:szCs w:val="21"/>
                <w:shd w:val="clear" w:color="auto" w:fill="fafafa"/>
                <w:lang w:val="en-US" w:eastAsia="zh-CN"/>
              </w:rPr>
              <w:t xml:space="preserve">食品安全责任险承诺函</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szCs w:val="21"/>
                <w:shd w:val="clear" w:color="auto" w:fill="fafafa"/>
                <w:lang w:val="en-US" w:eastAsia="zh-CN"/>
              </w:rPr>
            </w:pPr>
            <w:r>
              <w:rPr>
                <w:rFonts w:hint="eastAsia" w:ascii="宋体" w:hAnsi="宋体" w:eastAsia="宋体" w:cs="宋体"/>
                <w:szCs w:val="21"/>
                <w:shd w:val="clear" w:color="auto" w:fill="fafafa"/>
                <w:lang w:val="en-US" w:eastAsia="zh-CN"/>
              </w:rPr>
              <w:t xml:space="preserve">人员要求承诺函</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其他</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三、评标方法</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综合评分保留至小数点后两位。</w:t>
      </w:r>
      <w:r/>
    </w:p>
    <w:p>
      <w:pPr>
        <w:ind w:firstLine="480"/>
        <w:jc w:val="left"/>
        <w:spacing w:line="480" w:lineRule="exact"/>
        <w:rPr>
          <w:rFonts w:hint="eastAsia" w:ascii="宋体" w:hAnsi="宋体" w:eastAsia="宋体" w:cs="宋体"/>
          <w:color w:val="ff0000"/>
          <w:sz w:val="24"/>
        </w:rPr>
      </w:pPr>
      <w:r>
        <w:rPr>
          <w:rFonts w:hint="eastAsia" w:ascii="宋体" w:hAnsi="宋体" w:eastAsia="宋体" w:cs="宋体"/>
          <w:sz w:val="24"/>
        </w:rPr>
        <w:t xml:space="preserve">评标委员会根据评标后投标人排序推荐中标候选人，并形成评标报告。招标文件未规定的评标标准不得作为评标的依据。</w:t>
      </w:r>
      <w:r/>
    </w:p>
    <w:p>
      <w:pPr>
        <w:ind w:firstLine="482"/>
        <w:jc w:val="left"/>
        <w:spacing w:line="480" w:lineRule="exact"/>
        <w:rPr>
          <w:rFonts w:hint="eastAsia" w:ascii="宋体" w:hAnsi="宋体" w:eastAsia="宋体" w:cs="宋体"/>
          <w:b/>
          <w:bCs/>
          <w:sz w:val="24"/>
          <w:szCs w:val="24"/>
          <w:highlight w:val="none"/>
        </w:rPr>
      </w:pPr>
      <w:r>
        <w:rPr>
          <w:rFonts w:hint="eastAsia" w:ascii="宋体" w:hAnsi="宋体" w:eastAsia="宋体" w:cs="宋体"/>
          <w:b/>
          <w:bCs/>
          <w:sz w:val="24"/>
        </w:rPr>
        <w:t xml:space="preserve">四、评标标准</w:t>
      </w:r>
      <w:r/>
    </w:p>
    <w:p>
      <w:pPr>
        <w:ind w:firstLine="482"/>
        <w:jc w:val="left"/>
        <w:spacing w:line="480" w:lineRule="exact"/>
        <w:rPr>
          <w:rFonts w:hint="eastAsia" w:ascii="宋体" w:hAnsi="宋体" w:eastAsia="宋体" w:cs="宋体"/>
          <w:b/>
          <w:bCs/>
          <w:sz w:val="24"/>
          <w:szCs w:val="24"/>
        </w:rPr>
      </w:pPr>
      <w:r>
        <w:rPr>
          <w:rFonts w:hint="eastAsia" w:ascii="宋体" w:hAnsi="宋体" w:eastAsia="宋体" w:cs="宋体"/>
          <w:b/>
          <w:bCs/>
          <w:sz w:val="24"/>
          <w:highlight w:val="none"/>
        </w:rPr>
        <w:t xml:space="preserve">采购包1至采购包3评标标准</w:t>
      </w:r>
      <w:r/>
    </w:p>
    <w:tbl>
      <w:tblPr>
        <w:tblStyle w:val="755"/>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281"/>
        <w:gridCol w:w="6264"/>
      </w:tblGrid>
      <w:tr>
        <w:trPr>
          <w:jc w:val="center"/>
          <w:trHeight w:val="572"/>
        </w:trPr>
        <w:tc>
          <w:tcPr>
            <w:tcW w:w="1405" w:type="dxa"/>
            <w:vAlign w:val="center"/>
            <w:textDirection w:val="lrTb"/>
            <w:noWrap w:val="false"/>
          </w:tcPr>
          <w:p>
            <w:pPr>
              <w:jc w:val="center"/>
              <w:rPr>
                <w:rFonts w:hint="eastAsia" w:ascii="宋体" w:hAnsi="宋体" w:eastAsia="宋体" w:cs="宋体"/>
                <w:sz w:val="24"/>
                <w:szCs w:val="28"/>
                <w:lang w:val="en-US" w:eastAsia="zh-CN"/>
              </w:rPr>
            </w:pPr>
            <w:r/>
            <w:bookmarkStart w:id="122" w:name="RANGE!A1"/>
            <w:r>
              <w:rPr>
                <w:rFonts w:hint="eastAsia" w:ascii="宋体" w:hAnsi="宋体" w:eastAsia="宋体" w:cs="宋体"/>
                <w:sz w:val="24"/>
                <w:szCs w:val="28"/>
                <w:lang w:val="en-US" w:eastAsia="zh-CN"/>
              </w:rPr>
              <w:t xml:space="preserve">评审因素</w:t>
            </w:r>
            <w:bookmarkEnd w:id="122"/>
            <w:r/>
            <w:r/>
          </w:p>
        </w:tc>
        <w:tc>
          <w:tcPr>
            <w:tcW w:w="1281" w:type="dxa"/>
            <w:vAlign w:val="center"/>
            <w:textDirection w:val="lrTb"/>
            <w:noWrap w:val="false"/>
          </w:tcPr>
          <w:p>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分数</w:t>
            </w:r>
            <w:r/>
          </w:p>
        </w:tc>
        <w:tc>
          <w:tcPr>
            <w:tcW w:w="6264" w:type="dxa"/>
            <w:vAlign w:val="center"/>
            <w:textDirection w:val="lrTb"/>
            <w:noWrap w:val="false"/>
          </w:tcPr>
          <w:p>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评审标准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投标报价</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2</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.00分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sz w:val="24"/>
                <w:szCs w:val="28"/>
                <w:lang w:val="en-US" w:eastAsia="zh-CN"/>
              </w:rPr>
              <w:t xml:space="preserve">22</w:t>
            </w:r>
            <w:r>
              <w:rPr>
                <w:rFonts w:hint="eastAsia" w:ascii="宋体" w:hAnsi="宋体" w:eastAsia="宋体" w:cs="宋体"/>
                <w:sz w:val="24"/>
                <w:szCs w:val="28"/>
                <w:lang w:val="en-US" w:eastAsia="zh-CN"/>
              </w:rPr>
              <w:t xml:space="preserve">。</w:t>
            </w:r>
            <w:r/>
          </w:p>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注：1.符合规定的小微企业（含监狱企业和残疾人福利单位）报价给予15%的扣除，用扣除后的价格参加评审。</w:t>
            </w:r>
            <w:r/>
          </w:p>
        </w:tc>
      </w:tr>
      <w:tr>
        <w:trPr>
          <w:jc w:val="center"/>
          <w:trHeight w:val="859"/>
        </w:trPr>
        <w:tc>
          <w:tcPr>
            <w:tcW w:w="1405" w:type="dxa"/>
            <w:vAlign w:val="center"/>
            <w:textDirection w:val="lrTb"/>
            <w:noWrap w:val="false"/>
          </w:tcPr>
          <w:p>
            <w:pPr>
              <w:jc w:val="left"/>
              <w:rPr>
                <w:rFonts w:hint="eastAsia" w:ascii="宋体" w:hAnsi="宋体" w:eastAsia="宋体" w:cs="宋体"/>
                <w:szCs w:val="24"/>
              </w:rPr>
            </w:pPr>
            <w:r>
              <w:rPr>
                <w:rFonts w:hint="eastAsia" w:ascii="宋体" w:hAnsi="宋体" w:eastAsia="宋体" w:cs="宋体"/>
                <w:sz w:val="24"/>
                <w:szCs w:val="28"/>
                <w:lang w:val="en-US" w:eastAsia="zh-CN"/>
              </w:rPr>
              <w:t xml:space="preserve">配送产品质量方案</w:t>
            </w:r>
            <w:r/>
          </w:p>
        </w:tc>
        <w:tc>
          <w:tcPr>
            <w:tcW w:w="1281" w:type="dxa"/>
            <w:vAlign w:val="center"/>
            <w:textDirection w:val="lrTb"/>
            <w:noWrap w:val="false"/>
          </w:tcPr>
          <w:p>
            <w:pPr>
              <w:rPr>
                <w:rFonts w:hint="eastAsia" w:ascii="宋体" w:hAnsi="宋体" w:eastAsia="宋体" w:cs="宋体"/>
                <w:szCs w:val="24"/>
              </w:rPr>
            </w:pPr>
            <w:r>
              <w:rPr>
                <w:rFonts w:hint="eastAsia" w:ascii="宋体" w:hAnsi="宋体" w:eastAsia="宋体" w:cs="宋体"/>
                <w:color w:val="000000"/>
                <w:sz w:val="24"/>
                <w:highlight w:val="none"/>
                <w:lang w:val="en-US" w:eastAsia="zh-CN"/>
              </w:rPr>
              <w:t xml:space="preserve">12.00分</w:t>
            </w:r>
            <w:r/>
          </w:p>
        </w:tc>
        <w:tc>
          <w:tcPr>
            <w:tcW w:w="6264"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szCs w:val="24"/>
              </w:rPr>
              <w:t xml:space="preserve">1</w:t>
            </w:r>
            <w:r>
              <w:rPr>
                <w:rFonts w:hint="eastAsia" w:ascii="宋体" w:hAnsi="宋体" w:eastAsia="宋体" w:cs="宋体"/>
                <w:szCs w:val="24"/>
                <w:lang w:eastAsia="zh-CN"/>
              </w:rPr>
              <w:t xml:space="preserve">、</w:t>
            </w:r>
            <w:r>
              <w:rPr>
                <w:rFonts w:hint="eastAsia" w:ascii="宋体" w:hAnsi="宋体" w:eastAsia="宋体" w:cs="宋体"/>
                <w:color w:val="000000"/>
                <w:sz w:val="24"/>
                <w:highlight w:val="none"/>
                <w:lang w:val="en-US" w:eastAsia="zh-CN"/>
              </w:rPr>
              <w:t xml:space="preserve">根</w:t>
            </w:r>
            <w:r>
              <w:rPr>
                <w:rFonts w:hint="eastAsia" w:ascii="宋体" w:hAnsi="宋体" w:eastAsia="宋体" w:cs="宋体"/>
                <w:sz w:val="24"/>
                <w:szCs w:val="28"/>
                <w:lang w:val="en-US" w:eastAsia="zh-CN"/>
              </w:rPr>
              <w:t xml:space="preserve">据投标人提供的食材配送质量方案（包括但不限于</w:t>
            </w:r>
            <w:r>
              <w:rPr>
                <w:rFonts w:hint="eastAsia" w:ascii="宋体" w:hAnsi="宋体" w:eastAsia="宋体" w:cs="宋体"/>
                <w:sz w:val="24"/>
                <w:szCs w:val="28"/>
              </w:rPr>
              <w:t xml:space="preserve">供货保障、品质监控、进货采购流程、时间计划</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食材</w:t>
            </w:r>
            <w:r>
              <w:rPr>
                <w:rFonts w:hint="eastAsia" w:ascii="宋体" w:hAnsi="宋体" w:eastAsia="宋体" w:cs="宋体"/>
                <w:sz w:val="24"/>
                <w:szCs w:val="28"/>
              </w:rPr>
              <w:t xml:space="preserve">仓储管理等各环节的质量保证及食品安全措施</w:t>
            </w:r>
            <w:r>
              <w:rPr>
                <w:rFonts w:hint="eastAsia" w:ascii="宋体" w:hAnsi="宋体" w:eastAsia="宋体" w:cs="宋体"/>
                <w:sz w:val="24"/>
                <w:szCs w:val="28"/>
                <w:lang w:val="en-US" w:eastAsia="zh-CN"/>
              </w:rPr>
              <w:t xml:space="preserve">等内容。）进行综合评审：</w:t>
            </w:r>
            <w:r>
              <w:rPr>
                <w:rFonts w:hint="eastAsia" w:ascii="宋体" w:hAnsi="宋体" w:eastAsia="宋体" w:cs="宋体"/>
                <w:sz w:val="24"/>
                <w:szCs w:val="28"/>
              </w:rPr>
              <w:t xml:space="preserve">优于采购需求的，得</w:t>
            </w:r>
            <w:r>
              <w:rPr>
                <w:rFonts w:hint="eastAsia" w:ascii="宋体" w:hAnsi="宋体" w:eastAsia="宋体" w:cs="宋体"/>
                <w:sz w:val="24"/>
                <w:szCs w:val="28"/>
                <w:lang w:val="en-US" w:eastAsia="zh-CN"/>
              </w:rPr>
              <w:t xml:space="preserve">6</w:t>
            </w:r>
            <w:r>
              <w:rPr>
                <w:rFonts w:hint="eastAsia" w:ascii="宋体" w:hAnsi="宋体" w:eastAsia="宋体" w:cs="宋体"/>
                <w:sz w:val="24"/>
                <w:szCs w:val="28"/>
              </w:rPr>
              <w:t xml:space="preserve">分；满足采购需求的，得</w:t>
            </w:r>
            <w:r>
              <w:rPr>
                <w:rFonts w:hint="eastAsia" w:ascii="宋体" w:hAnsi="宋体" w:eastAsia="宋体" w:cs="宋体"/>
                <w:sz w:val="24"/>
                <w:szCs w:val="28"/>
                <w:lang w:val="en-US" w:eastAsia="zh-CN"/>
              </w:rPr>
              <w:t xml:space="preserve">4分；其它情况或没有内容的不得分。</w:t>
            </w:r>
            <w:r/>
          </w:p>
          <w:p>
            <w:pP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2、采购渠道方案：根据供应商提供的</w:t>
            </w:r>
            <w:r>
              <w:rPr>
                <w:rFonts w:hint="eastAsia" w:ascii="宋体" w:hAnsi="宋体" w:eastAsia="宋体" w:cs="宋体"/>
                <w:sz w:val="21"/>
                <w:szCs w:val="21"/>
                <w:highlight w:val="none"/>
                <w:lang w:val="en-US" w:eastAsia="zh-CN"/>
              </w:rPr>
              <w:t xml:space="preserve">采购包的</w:t>
            </w:r>
            <w:r>
              <w:rPr>
                <w:rFonts w:hint="eastAsia" w:ascii="宋体" w:hAnsi="宋体" w:eastAsia="宋体" w:cs="宋体"/>
                <w:sz w:val="24"/>
                <w:szCs w:val="28"/>
                <w:lang w:val="en-US" w:eastAsia="zh-CN"/>
              </w:rPr>
              <w:t xml:space="preserve">食材供货渠道（可提供产品来源渠道说明或证明、产品品牌质量或经销资质、进货发票或合同等相关证明材料）进行综合评分：所供货品具有可追溯性供货渠道正规，质量优于采购需求的得6分；满足采购需求的得4分；其它情况或没有内容的不得分。</w:t>
            </w:r>
            <w:r/>
          </w:p>
        </w:tc>
      </w:tr>
      <w:tr>
        <w:trPr>
          <w:jc w:val="center"/>
          <w:trHeight w:val="2125"/>
        </w:trPr>
        <w:tc>
          <w:tcPr>
            <w:tcW w:w="1405" w:type="dxa"/>
            <w:vAlign w:val="center"/>
            <w:textDirection w:val="lrTb"/>
            <w:noWrap w:val="false"/>
          </w:tcPr>
          <w:p>
            <w:pPr>
              <w:jc w:val="left"/>
              <w:rPr>
                <w:rFonts w:hint="eastAsia" w:ascii="宋体" w:hAnsi="宋体" w:eastAsia="宋体" w:cs="宋体"/>
                <w:szCs w:val="24"/>
              </w:rPr>
            </w:pPr>
            <w:r>
              <w:rPr>
                <w:rFonts w:hint="eastAsia" w:ascii="宋体" w:hAnsi="宋体" w:eastAsia="宋体" w:cs="宋体"/>
                <w:sz w:val="24"/>
                <w:szCs w:val="28"/>
                <w:lang w:val="en-US" w:eastAsia="zh-CN"/>
              </w:rPr>
              <w:t xml:space="preserve">配送服务方案</w:t>
            </w:r>
            <w:r/>
          </w:p>
        </w:tc>
        <w:tc>
          <w:tcPr>
            <w:tcW w:w="1281" w:type="dxa"/>
            <w:vAlign w:val="center"/>
            <w:textDirection w:val="lrTb"/>
            <w:noWrap w:val="false"/>
          </w:tcPr>
          <w:p>
            <w:pPr>
              <w:rPr>
                <w:rFonts w:hint="eastAsia" w:ascii="宋体" w:hAnsi="宋体" w:eastAsia="宋体" w:cs="宋体"/>
                <w:szCs w:val="24"/>
              </w:rPr>
            </w:pPr>
            <w:r>
              <w:rPr>
                <w:rFonts w:hint="eastAsia" w:ascii="宋体" w:hAnsi="宋体" w:eastAsia="宋体" w:cs="宋体"/>
                <w:color w:val="000000"/>
                <w:sz w:val="24"/>
                <w:highlight w:val="none"/>
                <w:lang w:val="en-US" w:eastAsia="zh-CN"/>
              </w:rPr>
              <w:t xml:space="preserve">6.00分</w:t>
            </w:r>
            <w:r/>
          </w:p>
        </w:tc>
        <w:tc>
          <w:tcPr>
            <w:tcW w:w="6264" w:type="dxa"/>
            <w:vAlign w:val="center"/>
            <w:textDirection w:val="lrTb"/>
            <w:noWrap w:val="false"/>
          </w:tcPr>
          <w:p>
            <w:pPr>
              <w:rPr>
                <w:rFonts w:hint="eastAsia" w:ascii="宋体" w:hAnsi="宋体" w:eastAsia="宋体" w:cs="宋体"/>
                <w:szCs w:val="24"/>
              </w:rPr>
            </w:pPr>
            <w:r>
              <w:rPr>
                <w:rFonts w:hint="eastAsia" w:ascii="宋体" w:hAnsi="宋体" w:eastAsia="宋体" w:cs="宋体"/>
                <w:color w:val="000000"/>
                <w:sz w:val="24"/>
                <w:highlight w:val="none"/>
                <w:lang w:val="en-US" w:eastAsia="zh-CN"/>
              </w:rPr>
              <w:t xml:space="preserve">根据投标</w:t>
            </w:r>
            <w:r>
              <w:rPr>
                <w:rFonts w:hint="eastAsia" w:ascii="宋体" w:hAnsi="宋体" w:eastAsia="宋体" w:cs="宋体"/>
                <w:color w:val="000000"/>
                <w:sz w:val="24"/>
                <w:szCs w:val="24"/>
                <w:highlight w:val="none"/>
                <w:lang w:val="en-US" w:eastAsia="zh-CN"/>
              </w:rPr>
              <w:t xml:space="preserve">人提供</w:t>
            </w:r>
            <w:r>
              <w:rPr>
                <w:rFonts w:hint="eastAsia" w:ascii="宋体" w:hAnsi="宋体" w:eastAsia="宋体" w:cs="宋体"/>
                <w:color w:val="000000"/>
                <w:sz w:val="24"/>
                <w:szCs w:val="24"/>
                <w:highlight w:val="none"/>
                <w:lang w:val="en-US" w:eastAsia="zh-CN"/>
              </w:rPr>
              <w:t xml:space="preserve">的食材配送服务方案（包括但不限于日常配送的人员、车辆、时间、食材的分拣、包装、捆扎、装车、卸货保障措施以</w:t>
            </w:r>
            <w:r>
              <w:rPr>
                <w:rFonts w:hint="eastAsia" w:ascii="宋体" w:hAnsi="宋体" w:eastAsia="宋体" w:cs="宋体"/>
                <w:color w:val="000000"/>
                <w:sz w:val="24"/>
                <w:szCs w:val="24"/>
                <w:highlight w:val="none"/>
                <w:lang w:val="en-US" w:eastAsia="zh-CN"/>
              </w:rPr>
              <w:t xml:space="preserve">及一年中春节等法定节假日货源准备</w:t>
            </w:r>
            <w:r>
              <w:rPr>
                <w:rFonts w:hint="eastAsia" w:ascii="宋体" w:hAnsi="宋体" w:eastAsia="宋体" w:cs="宋体"/>
                <w:color w:val="000000"/>
                <w:sz w:val="24"/>
                <w:highlight w:val="none"/>
                <w:lang w:val="en-US" w:eastAsia="zh-CN"/>
              </w:rPr>
              <w:t xml:space="preserve">、应急采购配送等内容。）进行综合评审：优于采购需求的，得6分；满足采购需求的，得4分；其它情况或没有内容的不得分。</w:t>
            </w:r>
            <w:r/>
          </w:p>
        </w:tc>
      </w:tr>
      <w:tr>
        <w:trPr>
          <w:jc w:val="center"/>
          <w:trHeight w:val="1140"/>
        </w:trPr>
        <w:tc>
          <w:tcPr>
            <w:tcW w:w="1405" w:type="dxa"/>
            <w:vAlign w:val="center"/>
            <w:textDirection w:val="lrTb"/>
            <w:noWrap w:val="false"/>
          </w:tcPr>
          <w:p>
            <w:pPr>
              <w:jc w:val="left"/>
              <w:rPr>
                <w:rFonts w:hint="eastAsia" w:ascii="宋体" w:hAnsi="宋体" w:eastAsia="宋体" w:cs="宋体"/>
                <w:szCs w:val="24"/>
              </w:rPr>
            </w:pPr>
            <w:r>
              <w:rPr>
                <w:rFonts w:hint="eastAsia" w:ascii="宋体" w:hAnsi="宋体" w:eastAsia="宋体" w:cs="宋体"/>
                <w:sz w:val="24"/>
                <w:szCs w:val="28"/>
                <w:lang w:val="en-US" w:eastAsia="zh-CN"/>
              </w:rPr>
              <w:t xml:space="preserve">初加工方案</w:t>
            </w:r>
            <w:r/>
          </w:p>
        </w:tc>
        <w:tc>
          <w:tcPr>
            <w:tcW w:w="1281" w:type="dxa"/>
            <w:vAlign w:val="center"/>
            <w:textDirection w:val="lrTb"/>
            <w:noWrap w:val="false"/>
          </w:tcPr>
          <w:p>
            <w:pPr>
              <w:rPr>
                <w:rFonts w:hint="eastAsia" w:ascii="宋体" w:hAnsi="宋体" w:eastAsia="宋体" w:cs="宋体"/>
                <w:szCs w:val="24"/>
              </w:rPr>
            </w:pPr>
            <w:r>
              <w:rPr>
                <w:rFonts w:hint="eastAsia" w:ascii="宋体" w:hAnsi="宋体" w:eastAsia="宋体" w:cs="宋体"/>
                <w:color w:val="000000"/>
                <w:sz w:val="24"/>
                <w:highlight w:val="none"/>
                <w:lang w:val="en-US" w:eastAsia="zh-CN"/>
              </w:rPr>
              <w:t xml:space="preserve">6.00</w:t>
            </w:r>
            <w:r>
              <w:rPr>
                <w:rFonts w:hint="eastAsia" w:ascii="宋体" w:hAnsi="宋体" w:eastAsia="宋体" w:cs="宋体"/>
                <w:sz w:val="24"/>
                <w:szCs w:val="21"/>
              </w:rPr>
              <w:t xml:space="preserve">分</w:t>
            </w:r>
            <w:r/>
          </w:p>
        </w:tc>
        <w:tc>
          <w:tcPr>
            <w:tcW w:w="6264" w:type="dxa"/>
            <w:vAlign w:val="center"/>
            <w:textDirection w:val="lrTb"/>
            <w:noWrap w:val="false"/>
          </w:tcPr>
          <w:p>
            <w:pPr>
              <w:rPr>
                <w:rFonts w:hint="eastAsia" w:ascii="宋体" w:hAnsi="宋体" w:eastAsia="宋体" w:cs="宋体"/>
                <w:szCs w:val="24"/>
              </w:rPr>
              <w:outlineLvl w:val="9"/>
            </w:pPr>
            <w:r>
              <w:rPr>
                <w:rFonts w:hint="eastAsia" w:ascii="宋体" w:hAnsi="宋体" w:eastAsia="宋体" w:cs="宋体"/>
                <w:sz w:val="24"/>
                <w:szCs w:val="24"/>
                <w:highlight w:val="none"/>
                <w:lang w:val="zh-CN"/>
              </w:rPr>
              <w:t xml:space="preserve">根据</w:t>
            </w:r>
            <w:r>
              <w:rPr>
                <w:rFonts w:hint="eastAsia" w:ascii="宋体" w:hAnsi="宋体" w:eastAsia="宋体" w:cs="宋体"/>
                <w:sz w:val="24"/>
                <w:szCs w:val="24"/>
                <w:highlight w:val="none"/>
                <w:lang w:val="zh-CN" w:eastAsia="zh-CN"/>
              </w:rPr>
              <w:t xml:space="preserve">投标人</w:t>
            </w:r>
            <w:r>
              <w:rPr>
                <w:rFonts w:hint="eastAsia" w:ascii="宋体" w:hAnsi="宋体" w:eastAsia="宋体" w:cs="宋体"/>
                <w:sz w:val="24"/>
                <w:szCs w:val="24"/>
                <w:highlight w:val="none"/>
                <w:lang w:val="zh-CN"/>
              </w:rPr>
              <w:t xml:space="preserve">提供的</w:t>
            </w:r>
            <w:r>
              <w:rPr>
                <w:rFonts w:hint="eastAsia" w:ascii="宋体" w:hAnsi="宋体" w:eastAsia="宋体" w:cs="宋体"/>
                <w:sz w:val="24"/>
                <w:szCs w:val="24"/>
                <w:highlight w:val="none"/>
                <w:lang w:val="en-US" w:eastAsia="zh-CN"/>
              </w:rPr>
              <w:t xml:space="preserve">初</w:t>
            </w:r>
            <w:r>
              <w:rPr>
                <w:rFonts w:hint="eastAsia" w:ascii="宋体" w:hAnsi="宋体" w:eastAsia="宋体" w:cs="宋体"/>
                <w:sz w:val="24"/>
                <w:szCs w:val="24"/>
                <w:highlight w:val="none"/>
                <w:lang w:val="zh-CN"/>
              </w:rPr>
              <w:t xml:space="preserve">加工方案（方案</w:t>
            </w:r>
            <w:r>
              <w:rPr>
                <w:rFonts w:hint="eastAsia" w:ascii="宋体" w:hAnsi="宋体" w:eastAsia="宋体" w:cs="宋体"/>
                <w:sz w:val="24"/>
                <w:szCs w:val="24"/>
                <w:highlight w:val="none"/>
                <w:lang w:val="zh-CN" w:eastAsia="zh-CN"/>
              </w:rPr>
              <w:t xml:space="preserve">内容包括但</w:t>
            </w:r>
            <w:r>
              <w:rPr>
                <w:rFonts w:hint="eastAsia" w:ascii="宋体" w:hAnsi="宋体" w:eastAsia="宋体" w:cs="宋体"/>
                <w:sz w:val="24"/>
                <w:szCs w:val="24"/>
                <w:highlight w:val="none"/>
                <w:lang w:val="zh-CN"/>
              </w:rPr>
              <w:t xml:space="preserve">不限于人员业务能力、设备工具、职业规范、健康卫生的具体做法等）进行综合评</w:t>
            </w:r>
            <w:r>
              <w:rPr>
                <w:rFonts w:hint="eastAsia" w:ascii="宋体" w:hAnsi="宋体" w:eastAsia="宋体" w:cs="宋体"/>
                <w:sz w:val="24"/>
                <w:szCs w:val="24"/>
                <w:highlight w:val="none"/>
                <w:lang w:val="zh-CN" w:eastAsia="zh-CN"/>
              </w:rPr>
              <w:t xml:space="preserve">审</w:t>
            </w:r>
            <w:r>
              <w:rPr>
                <w:rFonts w:hint="eastAsia" w:ascii="宋体" w:hAnsi="宋体" w:eastAsia="宋体" w:cs="宋体"/>
                <w:sz w:val="24"/>
                <w:szCs w:val="24"/>
                <w:highlight w:val="none"/>
                <w:lang w:val="zh-CN"/>
              </w:rPr>
              <w:t xml:space="preserve">：</w:t>
            </w:r>
            <w:r>
              <w:rPr>
                <w:rFonts w:hint="eastAsia" w:ascii="宋体" w:hAnsi="宋体" w:eastAsia="宋体" w:cs="宋体"/>
                <w:color w:val="000000"/>
                <w:sz w:val="24"/>
                <w:highlight w:val="none"/>
                <w:lang w:val="en-US" w:eastAsia="zh-CN"/>
              </w:rPr>
              <w:t xml:space="preserve">优于采购需求的，得6分；满足采购需求的，得4分；其它情况或没有内容的不得分。</w:t>
            </w:r>
            <w:r/>
          </w:p>
        </w:tc>
      </w:tr>
      <w:tr>
        <w:trPr>
          <w:jc w:val="center"/>
          <w:trHeight w:val="855"/>
        </w:trPr>
        <w:tc>
          <w:tcPr>
            <w:tcW w:w="1405" w:type="dxa"/>
            <w:vAlign w:val="center"/>
            <w:textDirection w:val="lrTb"/>
            <w:noWrap w:val="false"/>
          </w:tcPr>
          <w:p>
            <w:pPr>
              <w:jc w:val="left"/>
              <w:rPr>
                <w:rFonts w:hint="eastAsia" w:ascii="宋体" w:hAnsi="宋体" w:eastAsia="宋体" w:cs="宋体"/>
                <w:szCs w:val="24"/>
              </w:rPr>
            </w:pPr>
            <w:r>
              <w:rPr>
                <w:rFonts w:hint="eastAsia" w:ascii="宋体" w:hAnsi="宋体" w:eastAsia="宋体" w:cs="宋体"/>
                <w:sz w:val="24"/>
                <w:szCs w:val="28"/>
              </w:rPr>
              <w:t xml:space="preserve">应急预案</w:t>
            </w:r>
            <w:r/>
          </w:p>
        </w:tc>
        <w:tc>
          <w:tcPr>
            <w:tcW w:w="1281" w:type="dxa"/>
            <w:vAlign w:val="center"/>
            <w:textDirection w:val="lrTb"/>
            <w:noWrap w:val="false"/>
          </w:tcPr>
          <w:p>
            <w:pPr>
              <w:rPr>
                <w:rFonts w:hint="eastAsia" w:ascii="宋体" w:hAnsi="宋体" w:eastAsia="宋体" w:cs="宋体"/>
                <w:szCs w:val="24"/>
              </w:rPr>
            </w:pPr>
            <w:r>
              <w:rPr>
                <w:rFonts w:hint="eastAsia" w:ascii="宋体" w:hAnsi="宋体" w:eastAsia="宋体" w:cs="宋体"/>
                <w:color w:val="000000"/>
                <w:sz w:val="24"/>
                <w:highlight w:val="none"/>
                <w:lang w:val="en-US" w:eastAsia="zh-CN"/>
              </w:rPr>
              <w:t xml:space="preserve">6.00</w:t>
            </w:r>
            <w:r>
              <w:rPr>
                <w:rFonts w:hint="eastAsia" w:ascii="宋体" w:hAnsi="宋体" w:eastAsia="宋体" w:cs="宋体"/>
                <w:sz w:val="24"/>
                <w:szCs w:val="21"/>
              </w:rPr>
              <w:t xml:space="preserve">分</w:t>
            </w:r>
            <w:r/>
          </w:p>
        </w:tc>
        <w:tc>
          <w:tcPr>
            <w:tcW w:w="6264" w:type="dxa"/>
            <w:vAlign w:val="center"/>
            <w:textDirection w:val="lrTb"/>
            <w:noWrap w:val="false"/>
          </w:tcPr>
          <w:p>
            <w:pPr>
              <w:rPr>
                <w:rFonts w:hint="eastAsia" w:ascii="宋体" w:hAnsi="宋体" w:eastAsia="宋体" w:cs="宋体"/>
                <w:szCs w:val="24"/>
                <w:highlight w:val="yellow"/>
              </w:rPr>
            </w:pPr>
            <w:r>
              <w:rPr>
                <w:rFonts w:hint="eastAsia" w:ascii="宋体" w:hAnsi="宋体" w:eastAsia="宋体" w:cs="宋体"/>
                <w:sz w:val="24"/>
                <w:szCs w:val="28"/>
                <w:lang w:eastAsia="zh-CN"/>
              </w:rPr>
              <w:t xml:space="preserve">根据投</w:t>
            </w:r>
            <w:r>
              <w:rPr>
                <w:rFonts w:hint="eastAsia" w:ascii="宋体" w:hAnsi="宋体" w:eastAsia="宋体" w:cs="宋体"/>
                <w:sz w:val="24"/>
                <w:szCs w:val="24"/>
                <w:lang w:eastAsia="zh-CN"/>
              </w:rPr>
              <w:t xml:space="preserve">标人提</w:t>
            </w:r>
            <w:r>
              <w:rPr>
                <w:rFonts w:hint="eastAsia" w:ascii="宋体" w:hAnsi="宋体" w:eastAsia="宋体" w:cs="宋体"/>
                <w:sz w:val="24"/>
                <w:szCs w:val="24"/>
                <w:lang w:eastAsia="zh-CN"/>
              </w:rPr>
              <w:t xml:space="preserve">供的针对本项目特殊情况的应急预案，（</w:t>
            </w:r>
            <w:r>
              <w:rPr>
                <w:rFonts w:hint="eastAsia" w:ascii="宋体" w:hAnsi="宋体" w:eastAsia="宋体" w:cs="宋体"/>
                <w:color w:val="000000"/>
                <w:sz w:val="24"/>
                <w:szCs w:val="24"/>
                <w:highlight w:val="none"/>
                <w:lang w:val="en-US" w:eastAsia="zh-CN"/>
              </w:rPr>
              <w:t xml:space="preserve">包括但不限于临时紧急供货、一般性食品安全事件及突发重大食品安全事故应对处理、运输车辆故障及道路交通安全事故应对处理、特殊天气及不可抗力应对处理、原材料市场缺失应对处理等内</w:t>
            </w:r>
            <w:r>
              <w:rPr>
                <w:rFonts w:hint="eastAsia" w:ascii="宋体" w:hAnsi="宋体" w:eastAsia="宋体" w:cs="宋体"/>
                <w:color w:val="000000"/>
                <w:sz w:val="24"/>
                <w:szCs w:val="24"/>
                <w:highlight w:val="none"/>
                <w:lang w:val="en-US" w:eastAsia="zh-CN"/>
              </w:rPr>
              <w:t xml:space="preserve">容</w:t>
            </w:r>
            <w:r>
              <w:rPr>
                <w:rFonts w:hint="eastAsia" w:ascii="宋体" w:hAnsi="宋体" w:eastAsia="宋体" w:cs="宋体"/>
                <w:sz w:val="24"/>
                <w:szCs w:val="24"/>
                <w:lang w:eastAsia="zh-CN"/>
              </w:rPr>
              <w:t xml:space="preserve">）进行综合</w:t>
            </w: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lang w:eastAsia="zh-CN"/>
              </w:rPr>
              <w:t xml:space="preserve">：优于采购需求的，得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分；满足采</w:t>
            </w:r>
            <w:r>
              <w:rPr>
                <w:rFonts w:hint="eastAsia" w:ascii="宋体" w:hAnsi="宋体" w:eastAsia="宋体" w:cs="宋体"/>
                <w:sz w:val="24"/>
                <w:szCs w:val="28"/>
                <w:lang w:eastAsia="zh-CN"/>
              </w:rPr>
              <w:t xml:space="preserve">购需求的，得</w:t>
            </w:r>
            <w:r>
              <w:rPr>
                <w:rFonts w:hint="eastAsia" w:ascii="宋体" w:hAnsi="宋体" w:eastAsia="宋体" w:cs="宋体"/>
                <w:sz w:val="24"/>
                <w:szCs w:val="28"/>
                <w:lang w:val="en-US" w:eastAsia="zh-CN"/>
              </w:rPr>
              <w:t xml:space="preserve">4</w:t>
            </w:r>
            <w:r>
              <w:rPr>
                <w:rFonts w:hint="eastAsia" w:ascii="宋体" w:hAnsi="宋体" w:eastAsia="宋体" w:cs="宋体"/>
                <w:sz w:val="24"/>
                <w:szCs w:val="28"/>
                <w:lang w:eastAsia="zh-CN"/>
              </w:rPr>
              <w:t xml:space="preserve">分；其它情况或没有内容的不得分。</w:t>
            </w:r>
            <w:r/>
          </w:p>
        </w:tc>
      </w:tr>
      <w:tr>
        <w:trPr>
          <w:jc w:val="center"/>
          <w:trHeight w:val="855"/>
        </w:trPr>
        <w:tc>
          <w:tcPr>
            <w:tcW w:w="1405" w:type="dxa"/>
            <w:vAlign w:val="center"/>
            <w:textDirection w:val="lrTb"/>
            <w:noWrap w:val="false"/>
          </w:tcPr>
          <w:p>
            <w:pPr>
              <w:jc w:val="left"/>
              <w:rPr>
                <w:rFonts w:hint="eastAsia" w:ascii="宋体" w:hAnsi="宋体" w:eastAsia="宋体" w:cs="宋体"/>
                <w:sz w:val="24"/>
                <w:szCs w:val="28"/>
              </w:rPr>
            </w:pPr>
            <w:r/>
            <w:bookmarkStart w:id="123" w:name="_Toc81575168"/>
            <w:r/>
            <w:bookmarkStart w:id="124" w:name="_Toc14442"/>
            <w:r/>
            <w:bookmarkStart w:id="125" w:name="_Toc2916"/>
            <w:r/>
            <w:bookmarkStart w:id="126" w:name="_Toc81575205"/>
            <w:r/>
            <w:bookmarkStart w:id="127" w:name="_Toc12255"/>
            <w:r>
              <w:rPr>
                <w:rFonts w:hint="eastAsia" w:ascii="宋体" w:hAnsi="宋体" w:eastAsia="宋体" w:cs="宋体"/>
                <w:sz w:val="24"/>
                <w:szCs w:val="28"/>
                <w:lang w:val="en-US" w:eastAsia="zh-CN"/>
              </w:rPr>
              <w:t xml:space="preserve">配送车辆投入情况 </w:t>
            </w:r>
            <w:r/>
          </w:p>
        </w:tc>
        <w:tc>
          <w:tcPr>
            <w:tcW w:w="1281"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4.00</w:t>
            </w:r>
            <w:r>
              <w:rPr>
                <w:rFonts w:hint="eastAsia" w:ascii="宋体" w:hAnsi="宋体" w:eastAsia="宋体" w:cs="宋体"/>
                <w:sz w:val="24"/>
                <w:szCs w:val="21"/>
              </w:rPr>
              <w:t xml:space="preserve">分</w:t>
            </w:r>
            <w:r/>
          </w:p>
        </w:tc>
        <w:tc>
          <w:tcPr>
            <w:tcW w:w="6264"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1.投标人投入本项目的配送车辆：投入自有或租赁常温运输车的，每有一辆得1分，本项最高得2分；</w:t>
            </w:r>
            <w:r/>
          </w:p>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2.投入自有或租赁全程冷链运输车的，每有一辆得1分，本项最高得2分；</w:t>
            </w:r>
            <w:r/>
          </w:p>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注：自有车辆需提供车辆有效行驶证原件电子件（车辆所有人为投标人）；</w:t>
            </w:r>
            <w:r/>
          </w:p>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若投标人提供同一集团公司的车辆，需提供与车辆所有者属于同一集团公司的关系说明以及被授权合法使用的授权书和车辆有效行驶证原件电子件；</w:t>
            </w:r>
            <w:r/>
          </w:p>
          <w:p>
            <w:pPr>
              <w:rPr>
                <w:rFonts w:hint="eastAsia" w:ascii="宋体" w:hAnsi="宋体" w:eastAsia="宋体" w:cs="宋体"/>
                <w:lang w:val="en-US" w:eastAsia="zh-CN"/>
              </w:rPr>
            </w:pPr>
            <w:r>
              <w:rPr>
                <w:rFonts w:hint="eastAsia" w:ascii="宋体" w:hAnsi="宋体" w:eastAsia="宋体" w:cs="宋体"/>
                <w:color w:val="000000"/>
                <w:sz w:val="24"/>
                <w:highlight w:val="none"/>
                <w:lang w:val="en-US" w:eastAsia="zh-CN"/>
              </w:rPr>
              <w:t xml:space="preserve">租赁配送车辆需提供车辆有效租赁期内的租赁合同（租赁期须覆盖本项目合同履行期限）及车辆有效行驶证原件电子件。未按要求提供或提供不全的均不得分。</w:t>
            </w:r>
            <w:r/>
          </w:p>
        </w:tc>
      </w:tr>
      <w:tr>
        <w:trPr>
          <w:jc w:val="center"/>
          <w:trHeight w:val="855"/>
        </w:trPr>
        <w:tc>
          <w:tcPr>
            <w:tcW w:w="1405"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lang w:val="en-US" w:eastAsia="zh-CN"/>
              </w:rPr>
              <w:t xml:space="preserve">企业实力</w:t>
            </w:r>
            <w:r/>
          </w:p>
        </w:tc>
        <w:tc>
          <w:tcPr>
            <w:tcW w:w="1281"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9.50</w:t>
            </w:r>
            <w:r>
              <w:rPr>
                <w:rFonts w:hint="eastAsia" w:ascii="宋体" w:hAnsi="宋体" w:eastAsia="宋体" w:cs="宋体"/>
                <w:sz w:val="24"/>
                <w:szCs w:val="21"/>
              </w:rPr>
              <w:t xml:space="preserve">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1、投标人2023年1月1日以来与</w:t>
            </w:r>
            <w:r>
              <w:rPr>
                <w:rFonts w:hint="eastAsia" w:ascii="宋体" w:hAnsi="宋体" w:cs="宋体"/>
                <w:sz w:val="24"/>
                <w:szCs w:val="28"/>
                <w:lang w:val="en-US" w:eastAsia="zh-CN"/>
              </w:rPr>
              <w:t xml:space="preserve">屠宰场、鱼类养殖场、蔬菜批发市场、</w:t>
            </w:r>
            <w:r>
              <w:rPr>
                <w:rFonts w:hint="eastAsia" w:ascii="宋体" w:hAnsi="宋体" w:eastAsia="宋体" w:cs="宋体"/>
                <w:sz w:val="24"/>
                <w:szCs w:val="28"/>
                <w:lang w:val="en-US" w:eastAsia="zh-CN"/>
              </w:rPr>
              <w:t xml:space="preserve">农贸市场或商超具有稳定合作关系的，每有1个得</w:t>
            </w:r>
            <w:r>
              <w:rPr>
                <w:rFonts w:hint="eastAsia" w:ascii="宋体" w:hAnsi="宋体" w:cs="宋体"/>
                <w:sz w:val="24"/>
                <w:szCs w:val="28"/>
                <w:lang w:val="en-US" w:eastAsia="zh-CN"/>
              </w:rPr>
              <w:t xml:space="preserve">1.5</w:t>
            </w:r>
            <w:r>
              <w:rPr>
                <w:rFonts w:hint="eastAsia" w:ascii="宋体" w:hAnsi="宋体" w:eastAsia="宋体" w:cs="宋体"/>
                <w:sz w:val="24"/>
                <w:szCs w:val="28"/>
                <w:lang w:val="en-US" w:eastAsia="zh-CN"/>
              </w:rPr>
              <w:t xml:space="preserve">分，最高</w:t>
            </w:r>
            <w:r>
              <w:rPr>
                <w:rFonts w:hint="eastAsia" w:ascii="宋体" w:hAnsi="宋体" w:cs="宋体"/>
                <w:sz w:val="24"/>
                <w:szCs w:val="28"/>
                <w:lang w:val="en-US" w:eastAsia="zh-CN"/>
              </w:rPr>
              <w:t xml:space="preserve">得4.5</w:t>
            </w:r>
            <w:r>
              <w:rPr>
                <w:rFonts w:hint="eastAsia" w:ascii="宋体" w:hAnsi="宋体" w:eastAsia="宋体" w:cs="宋体"/>
                <w:sz w:val="24"/>
                <w:szCs w:val="28"/>
                <w:lang w:val="en-US" w:eastAsia="zh-CN"/>
              </w:rPr>
              <w:t xml:space="preserve">分</w:t>
            </w:r>
            <w:r>
              <w:rPr>
                <w:rFonts w:hint="eastAsia" w:ascii="宋体" w:hAnsi="宋体" w:eastAsia="宋体" w:cs="宋体"/>
                <w:sz w:val="24"/>
                <w:szCs w:val="28"/>
                <w:lang w:val="en-US" w:eastAsia="zh-CN"/>
              </w:rPr>
              <w:t xml:space="preserve">（需提供与</w:t>
            </w:r>
            <w:r>
              <w:rPr>
                <w:rFonts w:hint="eastAsia" w:ascii="宋体" w:hAnsi="宋体" w:cs="宋体"/>
                <w:sz w:val="24"/>
                <w:szCs w:val="28"/>
                <w:lang w:val="en-US" w:eastAsia="zh-CN"/>
              </w:rPr>
              <w:t xml:space="preserve">屠宰场、鱼类养殖场、蔬菜批发市场、</w:t>
            </w:r>
            <w:r>
              <w:rPr>
                <w:rFonts w:hint="eastAsia" w:ascii="宋体" w:hAnsi="宋体" w:eastAsia="宋体" w:cs="宋体"/>
                <w:sz w:val="24"/>
                <w:szCs w:val="28"/>
                <w:lang w:val="en-US" w:eastAsia="zh-CN"/>
              </w:rPr>
              <w:t xml:space="preserve">农贸市场或商超的合作协议原件电子件或者合同原件电子件等有效证明材料原件电子件，未提供不得分。）</w:t>
            </w:r>
            <w:r/>
          </w:p>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2、投标人具有常温仓储空间（可以自有产权或租赁或合作）得2分；</w:t>
            </w:r>
            <w:r/>
          </w:p>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3、投标人具有冷藏（保鲜）库或冷冻库（可以自有产权或租赁或合作）得3</w:t>
            </w:r>
            <w:r>
              <w:rPr>
                <w:rFonts w:hint="eastAsia" w:ascii="宋体" w:hAnsi="宋体" w:eastAsia="宋体" w:cs="宋体"/>
                <w:sz w:val="24"/>
                <w:szCs w:val="28"/>
                <w:lang w:val="en-US" w:eastAsia="zh-CN"/>
              </w:rPr>
              <w:t xml:space="preserve">分；</w:t>
            </w:r>
            <w:r/>
          </w:p>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注：如为自有常温仓储空间或冷藏（保鲜）库或冷冻库须提供相关的产权证明原件电子件；</w:t>
            </w:r>
            <w:r/>
          </w:p>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若投标人提供同一集团公司的常温仓储空间或冷藏（保鲜）库或冷冻库，需提供与常温仓储空间或冷藏（保鲜）库或冷冻库所有者属于同一集团公司的关系说明以及被授权合法使用的授权书以及相关的产权证明原件电子件；</w:t>
            </w:r>
            <w:r/>
          </w:p>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如为租赁、承包或合作关系的提供相关合同原件电子件（租赁、承包或合作关系的时间须覆盖本项目合同履行期限）。未按要求提供或提供不全的均不得分。</w:t>
            </w:r>
            <w:r/>
          </w:p>
        </w:tc>
      </w:tr>
      <w:tr>
        <w:trPr>
          <w:jc w:val="center"/>
          <w:trHeight w:val="855"/>
        </w:trPr>
        <w:tc>
          <w:tcPr>
            <w:tcW w:w="1405"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rtl w:val="0"/>
                <w:lang w:val="en-US" w:eastAsia="zh-CN"/>
              </w:rPr>
              <w:t xml:space="preserve">企业业绩</w:t>
            </w:r>
            <w:r/>
          </w:p>
        </w:tc>
        <w:tc>
          <w:tcPr>
            <w:tcW w:w="1281"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.00分</w:t>
            </w:r>
            <w:r/>
          </w:p>
        </w:tc>
        <w:tc>
          <w:tcPr>
            <w:tcW w:w="6264"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投标人自2023年1月1日（以合同签订时间为准）以来，承担过与本项目类似业绩，每提供一个得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分，本项最高得</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p>
            <w:pPr>
              <w:jc w:val="left"/>
              <w:rPr>
                <w:rFonts w:hint="eastAsia" w:ascii="宋体" w:hAnsi="宋体" w:eastAsia="宋体" w:cs="宋体"/>
                <w:sz w:val="24"/>
                <w:szCs w:val="28"/>
                <w:lang w:eastAsia="zh-CN"/>
              </w:rPr>
            </w:pPr>
            <w:r>
              <w:rPr>
                <w:rFonts w:ascii="宋体" w:hAnsi="宋体" w:eastAsia="宋体" w:cs="宋体"/>
                <w:color w:val="000000"/>
                <w:sz w:val="24"/>
              </w:rPr>
              <w:t xml:space="preserve">注：1.投标文件中须同时提供中标（成交）通知书、合同（主要内容、标的、数量清晰可见）、验收合格证明材料以及合同期内的任意一张发票原件电子件。未提供或提供不全的不得分。</w:t>
            </w:r>
            <w:r/>
          </w:p>
        </w:tc>
      </w:tr>
      <w:tr>
        <w:trPr>
          <w:jc w:val="center"/>
          <w:trHeight w:val="2985"/>
        </w:trPr>
        <w:tc>
          <w:tcPr>
            <w:tcW w:w="1405" w:type="dxa"/>
            <w:vAlign w:val="center"/>
            <w:textDirection w:val="lrTb"/>
            <w:noWrap w:val="false"/>
          </w:tcPr>
          <w:p>
            <w:pPr>
              <w:jc w:val="left"/>
              <w:rPr>
                <w:rFonts w:hint="eastAsia" w:ascii="宋体" w:hAnsi="宋体" w:eastAsia="宋体" w:cs="宋体"/>
                <w:sz w:val="24"/>
                <w:szCs w:val="28"/>
                <w:rtl w:val="0"/>
                <w:lang w:val="en-US" w:eastAsia="zh-CN"/>
              </w:rPr>
            </w:pPr>
            <w:r>
              <w:rPr>
                <w:rFonts w:hint="eastAsia" w:ascii="宋体" w:hAnsi="宋体" w:eastAsia="宋体" w:cs="宋体"/>
                <w:bCs/>
                <w:szCs w:val="21"/>
              </w:rPr>
              <w:t xml:space="preserve">用户评价</w:t>
            </w:r>
            <w:r/>
          </w:p>
        </w:tc>
        <w:tc>
          <w:tcPr>
            <w:tcW w:w="1281"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3.00分</w:t>
            </w:r>
            <w:r/>
          </w:p>
        </w:tc>
        <w:tc>
          <w:tcPr>
            <w:tcW w:w="6264"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rPr>
              <w:t xml:space="preserve">投标人自2023年1月1日以来</w:t>
            </w:r>
            <w:r>
              <w:rPr>
                <w:rFonts w:hint="eastAsia" w:ascii="宋体" w:hAnsi="宋体" w:eastAsia="宋体" w:cs="宋体"/>
                <w:sz w:val="24"/>
                <w:szCs w:val="28"/>
                <w:lang w:val="en-US" w:eastAsia="zh-CN"/>
              </w:rPr>
              <w:t xml:space="preserve">承接过类似采购包的食材供应项目</w:t>
            </w:r>
            <w:r>
              <w:rPr>
                <w:rFonts w:hint="eastAsia" w:ascii="宋体" w:hAnsi="宋体" w:eastAsia="宋体" w:cs="宋体"/>
                <w:sz w:val="24"/>
                <w:szCs w:val="28"/>
              </w:rPr>
              <w:t xml:space="preserve">获得业主评价结果为优秀或满意的评价材料，每提供1份得1分，最高得3分</w:t>
            </w:r>
            <w:r>
              <w:rPr>
                <w:rFonts w:hint="eastAsia" w:ascii="宋体" w:hAnsi="宋体" w:eastAsia="宋体" w:cs="宋体"/>
                <w:sz w:val="24"/>
                <w:szCs w:val="28"/>
                <w:lang w:eastAsia="zh-CN"/>
              </w:rPr>
              <w:t xml:space="preserve">。</w:t>
            </w:r>
            <w:r/>
          </w:p>
          <w:p>
            <w:pPr>
              <w:jc w:val="left"/>
              <w:rPr>
                <w:rFonts w:hint="eastAsia" w:ascii="宋体" w:hAnsi="宋体" w:eastAsia="宋体" w:cs="宋体"/>
              </w:rPr>
            </w:pPr>
            <w:r>
              <w:rPr>
                <w:rFonts w:hint="eastAsia" w:ascii="宋体" w:hAnsi="宋体" w:eastAsia="宋体" w:cs="宋体"/>
                <w:sz w:val="24"/>
                <w:szCs w:val="28"/>
                <w:lang w:val="en-US" w:eastAsia="zh-CN"/>
              </w:rPr>
              <w:t xml:space="preserve">注：须提供合同原件电子件和业主单位盖章的评价材料原件电子件；</w:t>
            </w:r>
            <w:r>
              <w:rPr>
                <w:rFonts w:hint="eastAsia" w:ascii="宋体" w:hAnsi="宋体" w:eastAsia="宋体" w:cs="宋体"/>
                <w:sz w:val="24"/>
                <w:szCs w:val="28"/>
                <w:lang w:eastAsia="zh-CN"/>
              </w:rPr>
              <w:t xml:space="preserve">合同需体现出</w:t>
            </w:r>
            <w:r>
              <w:rPr>
                <w:rFonts w:hint="eastAsia" w:ascii="宋体" w:hAnsi="宋体" w:eastAsia="宋体" w:cs="宋体"/>
                <w:sz w:val="24"/>
                <w:szCs w:val="28"/>
                <w:lang w:val="en-US" w:eastAsia="zh-CN"/>
              </w:rPr>
              <w:t xml:space="preserve">业主单位</w:t>
            </w:r>
            <w:r>
              <w:rPr>
                <w:rFonts w:hint="eastAsia" w:ascii="宋体" w:hAnsi="宋体" w:eastAsia="宋体" w:cs="宋体"/>
                <w:sz w:val="24"/>
                <w:szCs w:val="28"/>
                <w:lang w:eastAsia="zh-CN"/>
              </w:rPr>
              <w:t xml:space="preserve">名称、合同内容、签署日期等信息；用户评价证明材料</w:t>
            </w:r>
            <w:r>
              <w:rPr>
                <w:rFonts w:hint="eastAsia" w:ascii="宋体" w:hAnsi="宋体" w:eastAsia="宋体" w:cs="宋体"/>
                <w:sz w:val="24"/>
                <w:szCs w:val="28"/>
                <w:lang w:val="en-US" w:eastAsia="zh-CN"/>
              </w:rPr>
              <w:t xml:space="preserve">中项目信息</w:t>
            </w:r>
            <w:r>
              <w:rPr>
                <w:rFonts w:hint="eastAsia" w:ascii="宋体" w:hAnsi="宋体" w:eastAsia="宋体" w:cs="宋体"/>
                <w:sz w:val="24"/>
                <w:szCs w:val="28"/>
              </w:rPr>
              <w:t xml:space="preserve">应与对应项目合同相符，并体现评价单位</w:t>
            </w:r>
            <w:r>
              <w:rPr>
                <w:rFonts w:hint="eastAsia" w:ascii="宋体" w:hAnsi="宋体" w:eastAsia="宋体" w:cs="宋体"/>
                <w:sz w:val="24"/>
                <w:szCs w:val="28"/>
                <w:lang w:val="en-US" w:eastAsia="zh-CN"/>
              </w:rPr>
              <w:t xml:space="preserve">名称且已</w:t>
            </w:r>
            <w:r>
              <w:rPr>
                <w:rFonts w:hint="eastAsia" w:ascii="宋体" w:hAnsi="宋体" w:eastAsia="宋体" w:cs="宋体"/>
                <w:sz w:val="24"/>
                <w:szCs w:val="28"/>
              </w:rPr>
              <w:t xml:space="preserve">盖</w:t>
            </w:r>
            <w:r>
              <w:rPr>
                <w:rFonts w:hint="eastAsia" w:ascii="宋体" w:hAnsi="宋体" w:eastAsia="宋体" w:cs="宋体"/>
                <w:sz w:val="24"/>
                <w:szCs w:val="28"/>
                <w:lang w:val="en-US" w:eastAsia="zh-CN"/>
              </w:rPr>
              <w:t xml:space="preserve">评价单位公</w:t>
            </w:r>
            <w:r>
              <w:rPr>
                <w:rFonts w:hint="eastAsia" w:ascii="宋体" w:hAnsi="宋体" w:eastAsia="宋体" w:cs="宋体"/>
                <w:sz w:val="24"/>
                <w:szCs w:val="28"/>
              </w:rPr>
              <w:t xml:space="preserve">章确认</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评价单位应与签订合同的甲方单位一致</w:t>
            </w:r>
            <w:r>
              <w:rPr>
                <w:rFonts w:hint="eastAsia" w:ascii="宋体" w:hAnsi="宋体" w:eastAsia="宋体" w:cs="宋体"/>
                <w:sz w:val="24"/>
                <w:szCs w:val="28"/>
              </w:rPr>
              <w:t xml:space="preserve">。未提供或未按要求提供</w:t>
            </w:r>
            <w:r>
              <w:rPr>
                <w:rFonts w:hint="eastAsia" w:ascii="宋体" w:hAnsi="宋体" w:eastAsia="宋体" w:cs="宋体"/>
                <w:sz w:val="24"/>
                <w:szCs w:val="28"/>
                <w:lang w:val="en-US" w:eastAsia="zh-CN"/>
              </w:rPr>
              <w:t xml:space="preserve">材料</w:t>
            </w:r>
            <w:r>
              <w:rPr>
                <w:rFonts w:hint="eastAsia" w:ascii="宋体" w:hAnsi="宋体" w:eastAsia="宋体" w:cs="宋体"/>
                <w:sz w:val="24"/>
                <w:szCs w:val="28"/>
              </w:rPr>
              <w:t xml:space="preserve">的，本项不得分。</w:t>
            </w:r>
            <w:r/>
          </w:p>
        </w:tc>
      </w:tr>
      <w:tr>
        <w:trPr>
          <w:jc w:val="center"/>
          <w:trHeight w:val="470"/>
        </w:trPr>
        <w:tc>
          <w:tcPr>
            <w:tcW w:w="1405"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sz w:val="24"/>
                <w:szCs w:val="28"/>
                <w:lang w:val="en-US" w:eastAsia="zh-CN"/>
              </w:rPr>
              <w:t xml:space="preserve">相关证书</w:t>
            </w:r>
            <w:r/>
          </w:p>
        </w:tc>
        <w:tc>
          <w:tcPr>
            <w:tcW w:w="1281"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3.00</w:t>
            </w:r>
            <w:r>
              <w:rPr>
                <w:rFonts w:hint="eastAsia" w:ascii="宋体" w:hAnsi="宋体" w:eastAsia="宋体" w:cs="宋体"/>
                <w:sz w:val="24"/>
                <w:szCs w:val="21"/>
              </w:rPr>
              <w:t xml:space="preserve">分</w:t>
            </w:r>
            <w:r/>
          </w:p>
        </w:tc>
        <w:tc>
          <w:tcPr>
            <w:tcW w:w="6264"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lang w:eastAsia="zh-CN"/>
              </w:rPr>
              <w:t xml:space="preserve">投标人</w:t>
            </w:r>
            <w:r>
              <w:rPr>
                <w:rFonts w:hint="eastAsia" w:ascii="宋体" w:hAnsi="宋体" w:eastAsia="宋体" w:cs="宋体"/>
                <w:sz w:val="24"/>
                <w:szCs w:val="28"/>
              </w:rPr>
              <w:t xml:space="preserve">具有有效期内质量管理体系认证证书、职业健康安全管理体系认证证书、环境管理体系认证证书的，每有一项得</w:t>
            </w:r>
            <w:r>
              <w:rPr>
                <w:rFonts w:hint="eastAsia" w:ascii="宋体" w:hAnsi="宋体" w:eastAsia="宋体" w:cs="宋体"/>
                <w:sz w:val="24"/>
                <w:szCs w:val="28"/>
                <w:lang w:val="en-US" w:eastAsia="zh-CN"/>
              </w:rPr>
              <w:t xml:space="preserve">1</w:t>
            </w:r>
            <w:r>
              <w:rPr>
                <w:rFonts w:hint="eastAsia" w:ascii="宋体" w:hAnsi="宋体" w:eastAsia="宋体" w:cs="宋体"/>
                <w:sz w:val="24"/>
                <w:szCs w:val="28"/>
              </w:rPr>
              <w:t xml:space="preserve">分，</w:t>
            </w:r>
            <w:r>
              <w:rPr>
                <w:rFonts w:hint="eastAsia" w:ascii="宋体" w:hAnsi="宋体" w:eastAsia="宋体" w:cs="宋体"/>
                <w:sz w:val="24"/>
                <w:szCs w:val="28"/>
                <w:lang w:val="en-US" w:eastAsia="zh-CN"/>
              </w:rPr>
              <w:t xml:space="preserve">本项目</w:t>
            </w:r>
            <w:r>
              <w:rPr>
                <w:rFonts w:hint="eastAsia" w:ascii="宋体" w:hAnsi="宋体" w:eastAsia="宋体" w:cs="宋体"/>
                <w:sz w:val="24"/>
                <w:szCs w:val="28"/>
              </w:rPr>
              <w:t xml:space="preserve">最高得</w:t>
            </w:r>
            <w:r>
              <w:rPr>
                <w:rFonts w:hint="eastAsia" w:ascii="宋体" w:hAnsi="宋体" w:eastAsia="宋体" w:cs="宋体"/>
                <w:sz w:val="24"/>
                <w:szCs w:val="28"/>
                <w:lang w:val="en-US" w:eastAsia="zh-CN"/>
              </w:rPr>
              <w:t xml:space="preserve">3</w:t>
            </w:r>
            <w:r>
              <w:rPr>
                <w:rFonts w:hint="eastAsia" w:ascii="宋体" w:hAnsi="宋体" w:eastAsia="宋体" w:cs="宋体"/>
                <w:sz w:val="24"/>
                <w:szCs w:val="28"/>
              </w:rPr>
              <w:t xml:space="preserve">分。 </w:t>
            </w:r>
            <w:r/>
          </w:p>
          <w:p>
            <w:pPr>
              <w:jc w:val="left"/>
              <w:rPr>
                <w:rFonts w:hint="eastAsia" w:ascii="宋体" w:hAnsi="宋体" w:eastAsia="宋体" w:cs="宋体"/>
              </w:rPr>
            </w:pPr>
            <w:r>
              <w:rPr>
                <w:rFonts w:hint="eastAsia" w:ascii="宋体" w:hAnsi="宋体" w:eastAsia="宋体" w:cs="宋体"/>
                <w:sz w:val="24"/>
                <w:szCs w:val="28"/>
              </w:rPr>
              <w:t xml:space="preserve">注：1、响应文件中同时提供证书电子件和在国家市场监督管理总局全国认证认可信息公共服务平台查询认证有效的页面截图，未提供的不得分；</w:t>
            </w:r>
            <w:r/>
          </w:p>
        </w:tc>
      </w:tr>
      <w:tr>
        <w:trPr>
          <w:jc w:val="center"/>
          <w:trHeight w:val="855"/>
        </w:trPr>
        <w:tc>
          <w:tcPr>
            <w:tcW w:w="1405"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lang w:val="en-US" w:eastAsia="en-US"/>
              </w:rPr>
              <w:t xml:space="preserve">食材质量检测能力</w:t>
            </w:r>
            <w:r/>
          </w:p>
        </w:tc>
        <w:tc>
          <w:tcPr>
            <w:tcW w:w="1281"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4.50</w:t>
            </w:r>
            <w:r>
              <w:rPr>
                <w:rFonts w:hint="eastAsia" w:ascii="宋体" w:hAnsi="宋体" w:eastAsia="宋体" w:cs="宋体"/>
                <w:sz w:val="24"/>
                <w:szCs w:val="28"/>
              </w:rPr>
              <w:t xml:space="preserve">分</w:t>
            </w:r>
            <w:r/>
          </w:p>
        </w:tc>
        <w:tc>
          <w:tcPr>
            <w:tcW w:w="6264" w:type="dxa"/>
            <w:vAlign w:val="center"/>
            <w:textDirection w:val="lrTb"/>
            <w:noWrap w:val="false"/>
          </w:tcPr>
          <w:p>
            <w:pPr>
              <w:jc w:val="left"/>
              <w:rPr>
                <w:rFonts w:hint="eastAsia" w:ascii="宋体" w:hAnsi="宋体" w:eastAsia="宋体" w:cs="宋体"/>
                <w:sz w:val="24"/>
                <w:szCs w:val="28"/>
                <w:lang w:val="en-US" w:eastAsia="en-US"/>
              </w:rPr>
            </w:pPr>
            <w:r>
              <w:rPr>
                <w:rFonts w:hint="eastAsia" w:ascii="宋体" w:hAnsi="宋体" w:eastAsia="宋体" w:cs="宋体"/>
                <w:sz w:val="24"/>
                <w:szCs w:val="28"/>
                <w:lang w:val="en-US" w:eastAsia="en-US"/>
              </w:rPr>
              <w:t xml:space="preserve">投标人</w:t>
            </w:r>
            <w:r>
              <w:rPr>
                <w:rFonts w:hint="eastAsia" w:ascii="宋体" w:hAnsi="宋体" w:eastAsia="宋体" w:cs="宋体"/>
                <w:sz w:val="24"/>
                <w:szCs w:val="28"/>
                <w:lang w:val="en-US" w:eastAsia="zh-CN"/>
              </w:rPr>
              <w:t xml:space="preserve">具有</w:t>
            </w:r>
            <w:r>
              <w:rPr>
                <w:rFonts w:hint="eastAsia" w:ascii="宋体" w:hAnsi="宋体" w:eastAsia="宋体" w:cs="宋体"/>
                <w:sz w:val="24"/>
                <w:szCs w:val="28"/>
                <w:lang w:val="en-US" w:eastAsia="en-US"/>
              </w:rPr>
              <w:t xml:space="preserve">自有或租赁</w:t>
            </w:r>
            <w:r>
              <w:rPr>
                <w:rFonts w:hint="eastAsia" w:ascii="宋体" w:hAnsi="宋体" w:eastAsia="宋体" w:cs="宋体"/>
                <w:sz w:val="24"/>
                <w:szCs w:val="28"/>
                <w:lang w:val="en-US" w:eastAsia="zh-CN"/>
              </w:rPr>
              <w:t xml:space="preserve">食品安全</w:t>
            </w:r>
            <w:r>
              <w:rPr>
                <w:rFonts w:hint="eastAsia" w:ascii="宋体" w:hAnsi="宋体" w:eastAsia="宋体" w:cs="宋体"/>
                <w:sz w:val="24"/>
                <w:szCs w:val="28"/>
                <w:lang w:val="en-US" w:eastAsia="en-US"/>
              </w:rPr>
              <w:t xml:space="preserve">检测设备的，每提供1种设备得</w:t>
            </w:r>
            <w:r>
              <w:rPr>
                <w:rFonts w:hint="eastAsia" w:ascii="宋体" w:hAnsi="宋体" w:eastAsia="宋体" w:cs="宋体"/>
                <w:sz w:val="24"/>
                <w:szCs w:val="28"/>
                <w:lang w:val="en-US" w:eastAsia="zh-CN"/>
              </w:rPr>
              <w:t xml:space="preserve">1.5</w:t>
            </w:r>
            <w:r>
              <w:rPr>
                <w:rFonts w:hint="eastAsia" w:ascii="宋体" w:hAnsi="宋体" w:eastAsia="宋体" w:cs="宋体"/>
                <w:sz w:val="24"/>
                <w:szCs w:val="28"/>
                <w:lang w:val="en-US" w:eastAsia="en-US"/>
              </w:rPr>
              <w:t xml:space="preserve">分，本项最高得</w:t>
            </w:r>
            <w:r>
              <w:rPr>
                <w:rFonts w:hint="eastAsia" w:ascii="宋体" w:hAnsi="宋体" w:eastAsia="宋体" w:cs="宋体"/>
                <w:sz w:val="24"/>
                <w:szCs w:val="28"/>
                <w:lang w:val="en-US" w:eastAsia="zh-CN"/>
              </w:rPr>
              <w:t xml:space="preserve">4.5</w:t>
            </w:r>
            <w:r>
              <w:rPr>
                <w:rFonts w:hint="eastAsia" w:ascii="宋体" w:hAnsi="宋体" w:eastAsia="宋体" w:cs="宋体"/>
                <w:sz w:val="24"/>
                <w:szCs w:val="28"/>
                <w:lang w:val="en-US" w:eastAsia="en-US"/>
              </w:rPr>
              <w:t xml:space="preserve">分，不提供不得分。</w:t>
            </w:r>
            <w:r/>
          </w:p>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注：</w:t>
            </w:r>
            <w:r>
              <w:rPr>
                <w:rFonts w:hint="eastAsia" w:ascii="宋体" w:hAnsi="宋体" w:eastAsia="宋体" w:cs="宋体"/>
                <w:sz w:val="24"/>
                <w:szCs w:val="28"/>
                <w:lang w:val="en-US" w:eastAsia="en-US"/>
              </w:rPr>
              <w:t xml:space="preserve">自有设备</w:t>
            </w:r>
            <w:r>
              <w:rPr>
                <w:rFonts w:hint="eastAsia" w:ascii="宋体" w:hAnsi="宋体" w:eastAsia="宋体" w:cs="宋体"/>
                <w:sz w:val="24"/>
                <w:szCs w:val="28"/>
                <w:lang w:val="en-US" w:eastAsia="zh-CN"/>
              </w:rPr>
              <w:t xml:space="preserve">需</w:t>
            </w:r>
            <w:r>
              <w:rPr>
                <w:rFonts w:hint="eastAsia" w:ascii="宋体" w:hAnsi="宋体" w:eastAsia="宋体" w:cs="宋体"/>
                <w:sz w:val="24"/>
                <w:szCs w:val="28"/>
                <w:lang w:val="en-US" w:eastAsia="en-US"/>
              </w:rPr>
              <w:t xml:space="preserve">提供设备照片、设备购置发票</w:t>
            </w:r>
            <w:r>
              <w:rPr>
                <w:rFonts w:hint="eastAsia" w:ascii="宋体" w:hAnsi="宋体" w:eastAsia="宋体" w:cs="宋体"/>
                <w:sz w:val="24"/>
                <w:szCs w:val="28"/>
                <w:lang w:val="en-US" w:eastAsia="zh-CN"/>
              </w:rPr>
              <w:t xml:space="preserve">原件电子件</w:t>
            </w:r>
            <w:r>
              <w:rPr>
                <w:rFonts w:hint="eastAsia" w:ascii="宋体" w:hAnsi="宋体" w:eastAsia="宋体" w:cs="宋体"/>
                <w:sz w:val="24"/>
                <w:szCs w:val="28"/>
                <w:lang w:val="en-US" w:eastAsia="en-US"/>
              </w:rPr>
              <w:t xml:space="preserve">，发票内容须体现食品相关的检测设备名称</w:t>
            </w:r>
            <w:r>
              <w:rPr>
                <w:rFonts w:hint="eastAsia" w:ascii="宋体" w:hAnsi="宋体" w:eastAsia="宋体" w:cs="宋体"/>
                <w:sz w:val="24"/>
                <w:szCs w:val="28"/>
                <w:lang w:val="en-US" w:eastAsia="zh-CN"/>
              </w:rPr>
              <w:t xml:space="preserve">；</w:t>
            </w:r>
            <w:r/>
          </w:p>
          <w:p>
            <w:pPr>
              <w:jc w:val="left"/>
              <w:rPr>
                <w:rFonts w:hint="eastAsia" w:ascii="宋体" w:hAnsi="宋体" w:eastAsia="宋体" w:cs="宋体"/>
                <w:sz w:val="24"/>
                <w:szCs w:val="28"/>
                <w:lang w:val="en-US" w:eastAsia="en-US"/>
              </w:rPr>
            </w:pPr>
            <w:r>
              <w:rPr>
                <w:rFonts w:hint="eastAsia" w:ascii="宋体" w:hAnsi="宋体" w:eastAsia="宋体" w:cs="宋体"/>
                <w:sz w:val="24"/>
                <w:szCs w:val="28"/>
                <w:lang w:val="en-US" w:eastAsia="zh-CN"/>
              </w:rPr>
              <w:t xml:space="preserve">若投标人提供同一集团公司的检测设备，需提供与设备所有者属于同一集团公司的关系说明以及被授权合法使用的授权书和</w:t>
            </w:r>
            <w:r>
              <w:rPr>
                <w:rFonts w:hint="eastAsia" w:ascii="宋体" w:hAnsi="宋体" w:eastAsia="宋体" w:cs="宋体"/>
                <w:sz w:val="24"/>
                <w:szCs w:val="28"/>
                <w:lang w:val="en-US" w:eastAsia="en-US"/>
              </w:rPr>
              <w:t xml:space="preserve">设备照片、设备购置发票</w:t>
            </w:r>
            <w:r>
              <w:rPr>
                <w:rFonts w:hint="eastAsia" w:ascii="宋体" w:hAnsi="宋体" w:eastAsia="宋体" w:cs="宋体"/>
                <w:sz w:val="24"/>
                <w:szCs w:val="28"/>
                <w:lang w:val="en-US" w:eastAsia="zh-CN"/>
              </w:rPr>
              <w:t xml:space="preserve">原件电子件；</w:t>
            </w:r>
            <w:r/>
          </w:p>
          <w:p>
            <w:pPr>
              <w:jc w:val="left"/>
              <w:rPr>
                <w:rFonts w:hint="eastAsia" w:ascii="宋体" w:hAnsi="宋体" w:eastAsia="宋体" w:cs="宋体"/>
                <w:sz w:val="24"/>
                <w:szCs w:val="28"/>
                <w:lang w:val="en-US" w:eastAsia="en-US"/>
              </w:rPr>
            </w:pPr>
            <w:r>
              <w:rPr>
                <w:rFonts w:hint="eastAsia" w:ascii="宋体" w:hAnsi="宋体" w:eastAsia="宋体" w:cs="宋体"/>
                <w:sz w:val="24"/>
                <w:szCs w:val="28"/>
                <w:lang w:val="en-US" w:eastAsia="en-US"/>
              </w:rPr>
              <w:t xml:space="preserve">租赁设备须提供设备照片、有效期内的租赁合同、出租方购置设备的发票</w:t>
            </w:r>
            <w:r>
              <w:rPr>
                <w:rFonts w:hint="eastAsia" w:ascii="宋体" w:hAnsi="宋体" w:eastAsia="宋体" w:cs="宋体"/>
                <w:sz w:val="24"/>
                <w:szCs w:val="28"/>
                <w:lang w:val="en-US" w:eastAsia="zh-CN"/>
              </w:rPr>
              <w:t xml:space="preserve">原件电子件</w:t>
            </w:r>
            <w:r>
              <w:rPr>
                <w:rFonts w:hint="eastAsia" w:ascii="宋体" w:hAnsi="宋体" w:eastAsia="宋体" w:cs="宋体"/>
                <w:sz w:val="24"/>
                <w:szCs w:val="28"/>
                <w:lang w:val="en-US" w:eastAsia="en-US"/>
              </w:rPr>
              <w:t xml:space="preserve">，租赁合同和发票内容须体现食品相关的检测设备名称。 </w:t>
            </w:r>
            <w:r/>
          </w:p>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注：为确保食材质量，如投标人响应该项得分，须将检测设备送至采购人处用于食材检测使用。</w:t>
            </w:r>
            <w:r/>
          </w:p>
        </w:tc>
      </w:tr>
      <w:tr>
        <w:trPr>
          <w:jc w:val="center"/>
          <w:trHeight w:val="855"/>
        </w:trPr>
        <w:tc>
          <w:tcPr>
            <w:tcW w:w="1405"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sz w:val="24"/>
                <w:szCs w:val="28"/>
              </w:rPr>
              <w:t xml:space="preserve">售后服务方案</w:t>
            </w:r>
            <w:r/>
          </w:p>
        </w:tc>
        <w:tc>
          <w:tcPr>
            <w:tcW w:w="1281"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w:t>
            </w:r>
            <w:bookmarkStart w:id="202" w:name="_GoBack"/>
            <w:r/>
            <w:bookmarkEnd w:id="202"/>
            <w:r>
              <w:rPr>
                <w:rFonts w:hint="eastAsia" w:ascii="宋体" w:hAnsi="宋体" w:eastAsia="宋体" w:cs="宋体"/>
                <w:color w:val="000000"/>
                <w:sz w:val="24"/>
                <w:highlight w:val="none"/>
                <w:lang w:val="en-US" w:eastAsia="zh-CN"/>
              </w:rPr>
              <w:t xml:space="preserve">00</w:t>
            </w:r>
            <w:r>
              <w:rPr>
                <w:rFonts w:hint="eastAsia" w:ascii="宋体" w:hAnsi="宋体" w:eastAsia="宋体" w:cs="宋体"/>
                <w:sz w:val="24"/>
                <w:szCs w:val="21"/>
              </w:rPr>
              <w:t xml:space="preserve">分</w:t>
            </w:r>
            <w:r/>
          </w:p>
        </w:tc>
        <w:tc>
          <w:tcPr>
            <w:tcW w:w="6264" w:type="dxa"/>
            <w:vAlign w:val="center"/>
            <w:textDirection w:val="lrTb"/>
            <w:noWrap w:val="false"/>
          </w:tcPr>
          <w:p>
            <w:pPr>
              <w:jc w:val="left"/>
              <w:rPr>
                <w:rFonts w:hint="eastAsia" w:ascii="宋体" w:hAnsi="宋体" w:eastAsia="宋体" w:cs="宋体"/>
              </w:rPr>
            </w:pPr>
            <w:r>
              <w:rPr>
                <w:rFonts w:hint="eastAsia" w:ascii="宋体" w:hAnsi="宋体" w:eastAsia="宋体" w:cs="宋体"/>
                <w:sz w:val="24"/>
                <w:szCs w:val="28"/>
                <w:lang w:eastAsia="zh-CN"/>
              </w:rPr>
              <w:t xml:space="preserve">根据投标人提供的</w:t>
            </w:r>
            <w:r>
              <w:rPr>
                <w:rFonts w:hint="eastAsia" w:ascii="宋体" w:hAnsi="宋体" w:eastAsia="宋体" w:cs="宋体"/>
                <w:sz w:val="24"/>
                <w:szCs w:val="28"/>
              </w:rPr>
              <w:t xml:space="preserve">售后服务方案、服务承诺等进行评审：优于采购需求的，得</w:t>
            </w:r>
            <w:r>
              <w:rPr>
                <w:rFonts w:hint="eastAsia" w:ascii="宋体" w:hAnsi="宋体" w:cs="宋体"/>
                <w:sz w:val="24"/>
                <w:szCs w:val="28"/>
                <w:lang w:val="en-US" w:eastAsia="zh-CN"/>
              </w:rPr>
              <w:t xml:space="preserve">5</w:t>
            </w:r>
            <w:r>
              <w:rPr>
                <w:rFonts w:hint="eastAsia" w:ascii="宋体" w:hAnsi="宋体" w:eastAsia="宋体" w:cs="宋体"/>
                <w:sz w:val="24"/>
                <w:szCs w:val="28"/>
              </w:rPr>
              <w:t xml:space="preserve">分；满足采购需求的，得</w:t>
            </w:r>
            <w:r>
              <w:rPr>
                <w:rFonts w:hint="eastAsia" w:ascii="宋体" w:hAnsi="宋体" w:cs="宋体"/>
                <w:sz w:val="24"/>
                <w:szCs w:val="28"/>
                <w:lang w:val="en-US" w:eastAsia="zh-CN"/>
              </w:rPr>
              <w:t xml:space="preserve">3</w:t>
            </w:r>
            <w:r>
              <w:rPr>
                <w:rFonts w:hint="eastAsia" w:ascii="宋体" w:hAnsi="宋体" w:eastAsia="宋体" w:cs="宋体"/>
                <w:sz w:val="24"/>
                <w:szCs w:val="28"/>
              </w:rPr>
              <w:t xml:space="preserve">分；其它情况或没有内容的不得分。</w:t>
            </w:r>
            <w:r/>
          </w:p>
        </w:tc>
      </w:tr>
      <w:tr>
        <w:trPr>
          <w:jc w:val="center"/>
          <w:trHeight w:val="855"/>
        </w:trPr>
        <w:tc>
          <w:tcPr>
            <w:tcW w:w="1405"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rPr>
              <w:t xml:space="preserve">档案管理</w:t>
            </w:r>
            <w:r/>
          </w:p>
        </w:tc>
        <w:tc>
          <w:tcPr>
            <w:tcW w:w="1281"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.00分</w:t>
            </w:r>
            <w:r/>
          </w:p>
        </w:tc>
        <w:tc>
          <w:tcPr>
            <w:tcW w:w="6264" w:type="dxa"/>
            <w:vAlign w:val="center"/>
            <w:textDirection w:val="lrTb"/>
            <w:noWrap w:val="false"/>
          </w:tcPr>
          <w:p>
            <w:pPr>
              <w:ind w:right="134"/>
              <w:spacing w:line="360" w:lineRule="exact"/>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根据投标人提供的</w:t>
            </w:r>
            <w:r>
              <w:rPr>
                <w:rFonts w:hint="eastAsia" w:ascii="宋体" w:hAnsi="宋体" w:eastAsia="宋体" w:cs="宋体"/>
                <w:sz w:val="24"/>
                <w:szCs w:val="28"/>
                <w:lang w:val="en-US" w:eastAsia="zh-CN"/>
              </w:rPr>
              <w:t xml:space="preserve">档案管理</w:t>
            </w:r>
            <w:r>
              <w:rPr>
                <w:rFonts w:hint="eastAsia" w:ascii="宋体" w:hAnsi="宋体" w:eastAsia="宋体" w:cs="宋体"/>
                <w:sz w:val="24"/>
                <w:szCs w:val="28"/>
                <w:lang w:eastAsia="zh-CN"/>
              </w:rPr>
              <w:t xml:space="preserve">方案（包括但不限于管理机构、服务过程记录、票据保管及相关项目实施过程中文件管理归档等）进行评审：优于采购需求的，得</w:t>
            </w:r>
            <w:r>
              <w:rPr>
                <w:rFonts w:hint="eastAsia" w:ascii="宋体" w:hAnsi="宋体" w:cs="宋体"/>
                <w:sz w:val="24"/>
                <w:szCs w:val="28"/>
                <w:lang w:val="en-US" w:eastAsia="zh-CN"/>
              </w:rPr>
              <w:t xml:space="preserve">4</w:t>
            </w:r>
            <w:r>
              <w:rPr>
                <w:rFonts w:hint="eastAsia" w:ascii="宋体" w:hAnsi="宋体" w:eastAsia="宋体" w:cs="宋体"/>
                <w:sz w:val="24"/>
                <w:szCs w:val="28"/>
                <w:lang w:eastAsia="zh-CN"/>
              </w:rPr>
              <w:t xml:space="preserve">分；满足采购需求的，得</w:t>
            </w:r>
            <w:r>
              <w:rPr>
                <w:rFonts w:hint="eastAsia" w:ascii="宋体" w:hAnsi="宋体" w:cs="宋体"/>
                <w:sz w:val="24"/>
                <w:szCs w:val="28"/>
                <w:lang w:val="en-US" w:eastAsia="zh-CN"/>
              </w:rPr>
              <w:t xml:space="preserve">2</w:t>
            </w:r>
            <w:r>
              <w:rPr>
                <w:rFonts w:hint="eastAsia" w:ascii="宋体" w:hAnsi="宋体" w:eastAsia="宋体" w:cs="宋体"/>
                <w:sz w:val="24"/>
                <w:szCs w:val="28"/>
                <w:lang w:eastAsia="zh-CN"/>
              </w:rPr>
              <w:t xml:space="preserve">分；其它情况或没有内容的不得分。</w:t>
            </w:r>
            <w:r/>
          </w:p>
        </w:tc>
      </w:tr>
      <w:tr>
        <w:trPr>
          <w:jc w:val="center"/>
          <w:trHeight w:val="855"/>
        </w:trPr>
        <w:tc>
          <w:tcPr>
            <w:tcW w:w="1405"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lang w:eastAsia="zh-CN"/>
              </w:rPr>
              <w:t xml:space="preserve">保密措施</w:t>
            </w:r>
            <w:r/>
          </w:p>
        </w:tc>
        <w:tc>
          <w:tcPr>
            <w:tcW w:w="1281"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sz w:val="24"/>
                <w:szCs w:val="21"/>
              </w:rPr>
              <w:t xml:space="preserve">分</w:t>
            </w:r>
            <w:r/>
          </w:p>
        </w:tc>
        <w:tc>
          <w:tcPr>
            <w:tcW w:w="6264" w:type="dxa"/>
            <w:vAlign w:val="center"/>
            <w:textDirection w:val="lrTb"/>
            <w:noWrap w:val="false"/>
          </w:tcPr>
          <w:p>
            <w:pPr>
              <w:jc w:val="left"/>
              <w:rPr>
                <w:rFonts w:hint="eastAsia" w:ascii="宋体" w:hAnsi="宋体" w:eastAsia="宋体" w:cs="宋体"/>
              </w:rPr>
            </w:pPr>
            <w:r>
              <w:rPr>
                <w:rFonts w:hint="eastAsia" w:ascii="宋体" w:hAnsi="宋体" w:eastAsia="宋体" w:cs="宋体"/>
                <w:sz w:val="24"/>
                <w:szCs w:val="28"/>
                <w:lang w:val="en-US" w:eastAsia="zh-CN"/>
              </w:rPr>
              <w:t xml:space="preserve">根据投标人提供的保密措施、</w:t>
            </w:r>
            <w:r>
              <w:rPr>
                <w:rFonts w:hint="eastAsia" w:ascii="宋体" w:hAnsi="宋体" w:eastAsia="宋体" w:cs="宋体"/>
                <w:sz w:val="24"/>
                <w:szCs w:val="28"/>
                <w:lang w:eastAsia="zh-CN"/>
              </w:rPr>
              <w:t xml:space="preserve">保密制度等</w:t>
            </w:r>
            <w:r>
              <w:rPr>
                <w:rFonts w:hint="eastAsia" w:ascii="宋体" w:hAnsi="宋体" w:eastAsia="宋体" w:cs="宋体"/>
                <w:sz w:val="24"/>
                <w:szCs w:val="28"/>
                <w:lang w:val="en-US" w:eastAsia="zh-CN"/>
              </w:rPr>
              <w:t xml:space="preserve">内容进行评审，优于采购需求得</w:t>
            </w:r>
            <w:r>
              <w:rPr>
                <w:rFonts w:hint="eastAsia" w:ascii="宋体" w:hAnsi="宋体" w:cs="宋体"/>
                <w:sz w:val="24"/>
                <w:szCs w:val="28"/>
                <w:lang w:val="en-US" w:eastAsia="zh-CN"/>
              </w:rPr>
              <w:t xml:space="preserve">4</w:t>
            </w:r>
            <w:r>
              <w:rPr>
                <w:rFonts w:hint="eastAsia" w:ascii="宋体" w:hAnsi="宋体" w:eastAsia="宋体" w:cs="宋体"/>
                <w:sz w:val="24"/>
                <w:szCs w:val="28"/>
                <w:lang w:val="en-US" w:eastAsia="zh-CN"/>
              </w:rPr>
              <w:t xml:space="preserve">分；满足采购需求得</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分；没有内容不得分。</w:t>
            </w:r>
            <w:r/>
          </w:p>
        </w:tc>
      </w:tr>
      <w:tr>
        <w:trPr>
          <w:jc w:val="center"/>
          <w:trHeight w:val="855"/>
        </w:trPr>
        <w:tc>
          <w:tcPr>
            <w:tcW w:w="1405"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lang w:eastAsia="zh-CN"/>
              </w:rPr>
              <w:t xml:space="preserve">考核标准承诺</w:t>
            </w:r>
            <w:r/>
          </w:p>
        </w:tc>
        <w:tc>
          <w:tcPr>
            <w:tcW w:w="1281"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sz w:val="24"/>
                <w:szCs w:val="21"/>
              </w:rPr>
              <w:t xml:space="preserve">分</w:t>
            </w:r>
            <w:r/>
          </w:p>
        </w:tc>
        <w:tc>
          <w:tcPr>
            <w:tcW w:w="6264" w:type="dxa"/>
            <w:vAlign w:val="center"/>
            <w:textDirection w:val="lrTb"/>
            <w:noWrap w:val="false"/>
          </w:tcPr>
          <w:p>
            <w:pPr>
              <w:jc w:val="left"/>
              <w:rPr>
                <w:rFonts w:hint="eastAsia" w:ascii="宋体" w:hAnsi="宋体" w:eastAsia="宋体" w:cs="宋体"/>
              </w:rPr>
            </w:pPr>
            <w:r>
              <w:rPr>
                <w:rFonts w:hint="eastAsia" w:ascii="宋体" w:hAnsi="宋体" w:eastAsia="宋体" w:cs="宋体"/>
                <w:sz w:val="24"/>
                <w:szCs w:val="28"/>
                <w:lang w:eastAsia="zh-CN"/>
              </w:rPr>
              <w:t xml:space="preserve">投标人承诺中标后按照第四章  采购需求中“</w:t>
            </w:r>
            <w:r>
              <w:rPr>
                <w:rFonts w:hint="eastAsia" w:ascii="宋体" w:hAnsi="宋体" w:eastAsia="宋体" w:cs="宋体"/>
                <w:sz w:val="24"/>
                <w:szCs w:val="28"/>
                <w:lang w:val="en-US" w:eastAsia="zh-CN"/>
              </w:rPr>
              <w:t xml:space="preserve">十四</w:t>
            </w:r>
            <w:r>
              <w:rPr>
                <w:rFonts w:hint="eastAsia" w:ascii="宋体" w:hAnsi="宋体" w:eastAsia="宋体" w:cs="宋体"/>
                <w:sz w:val="24"/>
                <w:szCs w:val="28"/>
                <w:lang w:eastAsia="zh-CN"/>
              </w:rPr>
              <w:t xml:space="preserve">、考核标准”要求实施，得</w:t>
            </w:r>
            <w:r>
              <w:rPr>
                <w:rFonts w:hint="eastAsia" w:ascii="宋体" w:hAnsi="宋体" w:cs="宋体"/>
                <w:sz w:val="24"/>
                <w:szCs w:val="28"/>
                <w:lang w:val="en-US" w:eastAsia="zh-CN"/>
              </w:rPr>
              <w:t xml:space="preserve">2</w:t>
            </w:r>
            <w:r>
              <w:rPr>
                <w:rFonts w:hint="eastAsia" w:ascii="宋体" w:hAnsi="宋体" w:eastAsia="宋体" w:cs="宋体"/>
                <w:sz w:val="24"/>
                <w:szCs w:val="28"/>
                <w:lang w:eastAsia="zh-CN"/>
              </w:rPr>
              <w:t xml:space="preserve">分。注：投标文件中需提供加盖本单位公章的承诺函电子件，格式见招标文件“第六部分”，未提供不得分。</w:t>
            </w:r>
            <w:r/>
          </w:p>
        </w:tc>
      </w:tr>
    </w:tbl>
    <w:p>
      <w:pPr>
        <w:jc w:val="center"/>
        <w:keepLines/>
        <w:keepNext/>
        <w:pageBreakBefore/>
        <w:rPr>
          <w:rFonts w:hint="eastAsia" w:ascii="宋体" w:hAnsi="宋体" w:eastAsia="宋体" w:cs="宋体"/>
          <w:b/>
          <w:sz w:val="44"/>
          <w:szCs w:val="44"/>
        </w:rPr>
        <w:outlineLvl w:val="0"/>
      </w:pPr>
      <w:r>
        <w:rPr>
          <w:rFonts w:hint="eastAsia" w:ascii="宋体" w:hAnsi="宋体" w:eastAsia="宋体" w:cs="宋体"/>
          <w:b/>
          <w:sz w:val="44"/>
          <w:szCs w:val="44"/>
        </w:rPr>
        <w:t xml:space="preserve">第四章  </w:t>
      </w:r>
      <w:bookmarkEnd w:id="120"/>
      <w:r/>
      <w:bookmarkEnd w:id="123"/>
      <w:r/>
      <w:bookmarkEnd w:id="124"/>
      <w:r/>
      <w:bookmarkEnd w:id="125"/>
      <w:r/>
      <w:bookmarkEnd w:id="126"/>
      <w:r/>
      <w:bookmarkEnd w:id="127"/>
      <w:r/>
      <w:bookmarkStart w:id="128" w:name="_Toc30872"/>
      <w:r>
        <w:rPr>
          <w:rFonts w:hint="eastAsia" w:ascii="宋体" w:hAnsi="宋体" w:eastAsia="宋体" w:cs="宋体"/>
          <w:b/>
          <w:sz w:val="44"/>
          <w:szCs w:val="44"/>
        </w:rPr>
        <w:t xml:space="preserve">采购需求</w:t>
      </w:r>
      <w:bookmarkEnd w:id="128"/>
      <w:r/>
      <w:r/>
    </w:p>
    <w:p>
      <w:pPr>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一、采购标的清单</w:t>
      </w:r>
      <w:r/>
    </w:p>
    <w:p>
      <w:pPr>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采购包1：</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4761"/>
        <w:gridCol w:w="2816"/>
      </w:tblGrid>
      <w:tr>
        <w:trPr>
          <w:cantSplit/>
          <w:jc w:val="center"/>
        </w:trPr>
        <w:tc>
          <w:tcPr>
            <w:tcW w:w="858"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序号</w:t>
            </w:r>
            <w:r/>
          </w:p>
        </w:tc>
        <w:tc>
          <w:tcPr>
            <w:tcW w:w="476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标的</w:t>
            </w:r>
            <w:r/>
          </w:p>
        </w:tc>
        <w:tc>
          <w:tcPr>
            <w:tcW w:w="2816"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对应中小企业划分标准所属行业</w:t>
            </w:r>
            <w:r/>
          </w:p>
        </w:tc>
      </w:tr>
      <w:tr>
        <w:trPr>
          <w:cantSplit/>
          <w:jc w:val="center"/>
          <w:trHeight w:val="291"/>
        </w:trPr>
        <w:tc>
          <w:tcPr>
            <w:tcW w:w="858" w:type="dxa"/>
            <w:vAlign w:val="center"/>
            <w:textDirection w:val="lrTb"/>
            <w:noWrap w:val="false"/>
          </w:tcPr>
          <w:p>
            <w:pPr>
              <w:jc w:val="center"/>
              <w:spacing w:line="360" w:lineRule="exact"/>
              <w:rPr>
                <w:rFonts w:hint="eastAsia" w:ascii="宋体" w:hAnsi="宋体" w:eastAsia="宋体" w:cs="宋体"/>
                <w:szCs w:val="24"/>
              </w:rPr>
            </w:pPr>
            <w:r>
              <w:rPr>
                <w:rFonts w:hint="eastAsia" w:ascii="宋体" w:hAnsi="宋体" w:eastAsia="宋体" w:cs="宋体"/>
                <w:szCs w:val="16"/>
              </w:rPr>
              <w:t xml:space="preserve">1</w:t>
            </w:r>
            <w:r/>
          </w:p>
        </w:tc>
        <w:tc>
          <w:tcPr>
            <w:tcW w:w="4761" w:type="dxa"/>
            <w:vAlign w:val="center"/>
            <w:textDirection w:val="lrTb"/>
            <w:noWrap w:val="false"/>
          </w:tcPr>
          <w:p>
            <w:pPr>
              <w:jc w:val="center"/>
              <w:spacing w:line="360" w:lineRule="exact"/>
              <w:rPr>
                <w:rFonts w:hint="eastAsia" w:ascii="宋体" w:hAnsi="宋体" w:eastAsia="宋体" w:cs="宋体"/>
                <w:szCs w:val="16"/>
              </w:rPr>
            </w:pPr>
            <w:r>
              <w:rPr>
                <w:rFonts w:hint="eastAsia" w:ascii="宋体" w:hAnsi="宋体" w:eastAsia="宋体" w:cs="宋体"/>
                <w:bCs/>
                <w:sz w:val="24"/>
                <w:szCs w:val="24"/>
                <w:lang w:eastAsia="zh-CN"/>
              </w:rPr>
              <w:t xml:space="preserve">宿迁市公安局2026年度食堂食材采购项目</w:t>
            </w:r>
            <w:r/>
          </w:p>
        </w:tc>
        <w:tc>
          <w:tcPr>
            <w:tcW w:w="2816" w:type="dxa"/>
            <w:vAlign w:val="center"/>
            <w:textDirection w:val="lrTb"/>
            <w:noWrap w:val="false"/>
          </w:tcPr>
          <w:p>
            <w:pPr>
              <w:ind w:firstLine="420"/>
              <w:jc w:val="center"/>
              <w:spacing w:line="360" w:lineRule="exact"/>
              <w:rPr>
                <w:rFonts w:hint="eastAsia" w:ascii="宋体" w:hAnsi="宋体" w:eastAsia="宋体" w:cs="宋体"/>
                <w:szCs w:val="24"/>
                <w:lang w:eastAsia="zh-CN"/>
              </w:rPr>
            </w:pPr>
            <w:r>
              <w:rPr>
                <w:rFonts w:hint="eastAsia" w:ascii="宋体" w:hAnsi="宋体" w:eastAsia="宋体" w:cs="宋体"/>
                <w:szCs w:val="24"/>
                <w:lang w:val="en-US" w:eastAsia="zh-CN"/>
              </w:rPr>
              <w:t xml:space="preserve">批发业</w:t>
            </w:r>
            <w:r/>
          </w:p>
        </w:tc>
      </w:tr>
    </w:tbl>
    <w:p>
      <w:pPr>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采购包</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4791"/>
        <w:gridCol w:w="2816"/>
      </w:tblGrid>
      <w:tr>
        <w:trPr>
          <w:cantSplit/>
          <w:jc w:val="center"/>
        </w:trPr>
        <w:tc>
          <w:tcPr>
            <w:tcW w:w="828"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序号</w:t>
            </w:r>
            <w:r/>
          </w:p>
        </w:tc>
        <w:tc>
          <w:tcPr>
            <w:tcW w:w="479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标的</w:t>
            </w:r>
            <w:r/>
          </w:p>
        </w:tc>
        <w:tc>
          <w:tcPr>
            <w:tcW w:w="2816"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对应中小企业划分标准所属行业</w:t>
            </w:r>
            <w:r/>
          </w:p>
        </w:tc>
      </w:tr>
      <w:tr>
        <w:trPr>
          <w:cantSplit/>
          <w:jc w:val="center"/>
          <w:trHeight w:val="291"/>
        </w:trPr>
        <w:tc>
          <w:tcPr>
            <w:tcW w:w="828" w:type="dxa"/>
            <w:vAlign w:val="center"/>
            <w:textDirection w:val="lrTb"/>
            <w:noWrap w:val="false"/>
          </w:tcPr>
          <w:p>
            <w:pPr>
              <w:jc w:val="center"/>
              <w:spacing w:line="360" w:lineRule="exact"/>
              <w:rPr>
                <w:rFonts w:hint="eastAsia" w:ascii="宋体" w:hAnsi="宋体" w:eastAsia="宋体" w:cs="宋体"/>
                <w:szCs w:val="24"/>
              </w:rPr>
            </w:pPr>
            <w:r>
              <w:rPr>
                <w:rFonts w:hint="eastAsia" w:ascii="宋体" w:hAnsi="宋体" w:eastAsia="宋体" w:cs="宋体"/>
                <w:szCs w:val="16"/>
              </w:rPr>
              <w:t xml:space="preserve">1</w:t>
            </w:r>
            <w:r/>
          </w:p>
        </w:tc>
        <w:tc>
          <w:tcPr>
            <w:tcW w:w="4791" w:type="dxa"/>
            <w:vAlign w:val="center"/>
            <w:textDirection w:val="lrTb"/>
            <w:noWrap w:val="false"/>
          </w:tcPr>
          <w:p>
            <w:pPr>
              <w:jc w:val="center"/>
              <w:spacing w:line="360" w:lineRule="exact"/>
              <w:rPr>
                <w:rFonts w:hint="eastAsia" w:ascii="宋体" w:hAnsi="宋体" w:eastAsia="宋体" w:cs="宋体"/>
                <w:szCs w:val="16"/>
              </w:rPr>
            </w:pPr>
            <w:r>
              <w:rPr>
                <w:rFonts w:hint="eastAsia" w:ascii="宋体" w:hAnsi="宋体" w:eastAsia="宋体" w:cs="宋体"/>
                <w:bCs/>
                <w:sz w:val="24"/>
                <w:szCs w:val="24"/>
                <w:lang w:eastAsia="zh-CN"/>
              </w:rPr>
              <w:t xml:space="preserve">宿迁市公安局2026年度食堂食材采购项目</w:t>
            </w:r>
            <w:r/>
          </w:p>
        </w:tc>
        <w:tc>
          <w:tcPr>
            <w:tcW w:w="2816" w:type="dxa"/>
            <w:vAlign w:val="center"/>
            <w:textDirection w:val="lrTb"/>
            <w:noWrap w:val="false"/>
          </w:tcPr>
          <w:p>
            <w:pPr>
              <w:ind w:firstLine="420"/>
              <w:jc w:val="center"/>
              <w:spacing w:line="360" w:lineRule="exact"/>
              <w:rPr>
                <w:rFonts w:hint="eastAsia" w:ascii="宋体" w:hAnsi="宋体" w:eastAsia="宋体" w:cs="宋体"/>
                <w:szCs w:val="24"/>
                <w:lang w:eastAsia="zh-CN"/>
              </w:rPr>
            </w:pPr>
            <w:r>
              <w:rPr>
                <w:rFonts w:hint="eastAsia" w:ascii="宋体" w:hAnsi="宋体" w:eastAsia="宋体" w:cs="宋体"/>
                <w:szCs w:val="24"/>
                <w:lang w:val="en-US" w:eastAsia="zh-CN"/>
              </w:rPr>
              <w:t xml:space="preserve">批发业</w:t>
            </w:r>
            <w:r/>
          </w:p>
        </w:tc>
      </w:tr>
    </w:tbl>
    <w:p>
      <w:pPr>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采购包</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4776"/>
        <w:gridCol w:w="2816"/>
      </w:tblGrid>
      <w:tr>
        <w:trPr>
          <w:cantSplit/>
          <w:jc w:val="center"/>
        </w:trPr>
        <w:tc>
          <w:tcPr>
            <w:tcW w:w="843"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序号</w:t>
            </w:r>
            <w:r/>
          </w:p>
        </w:tc>
        <w:tc>
          <w:tcPr>
            <w:tcW w:w="4776"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标的</w:t>
            </w:r>
            <w:r/>
          </w:p>
        </w:tc>
        <w:tc>
          <w:tcPr>
            <w:tcW w:w="2816"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对应中小企业划分标准所属行业</w:t>
            </w:r>
            <w:r/>
          </w:p>
        </w:tc>
      </w:tr>
      <w:tr>
        <w:trPr>
          <w:cantSplit/>
          <w:jc w:val="center"/>
          <w:trHeight w:val="291"/>
        </w:trPr>
        <w:tc>
          <w:tcPr>
            <w:tcW w:w="843" w:type="dxa"/>
            <w:vAlign w:val="center"/>
            <w:textDirection w:val="lrTb"/>
            <w:noWrap w:val="false"/>
          </w:tcPr>
          <w:p>
            <w:pPr>
              <w:jc w:val="center"/>
              <w:spacing w:line="360" w:lineRule="exact"/>
              <w:rPr>
                <w:rFonts w:hint="eastAsia" w:ascii="宋体" w:hAnsi="宋体" w:eastAsia="宋体" w:cs="宋体"/>
                <w:szCs w:val="24"/>
              </w:rPr>
            </w:pPr>
            <w:r>
              <w:rPr>
                <w:rFonts w:hint="eastAsia" w:ascii="宋体" w:hAnsi="宋体" w:eastAsia="宋体" w:cs="宋体"/>
                <w:szCs w:val="16"/>
              </w:rPr>
              <w:t xml:space="preserve">1</w:t>
            </w:r>
            <w:r/>
          </w:p>
        </w:tc>
        <w:tc>
          <w:tcPr>
            <w:tcW w:w="4776" w:type="dxa"/>
            <w:vAlign w:val="center"/>
            <w:textDirection w:val="lrTb"/>
            <w:noWrap w:val="false"/>
          </w:tcPr>
          <w:p>
            <w:pPr>
              <w:jc w:val="center"/>
              <w:spacing w:line="360" w:lineRule="exact"/>
              <w:rPr>
                <w:rFonts w:hint="eastAsia" w:ascii="宋体" w:hAnsi="宋体" w:eastAsia="宋体" w:cs="宋体"/>
                <w:szCs w:val="16"/>
              </w:rPr>
            </w:pPr>
            <w:r>
              <w:rPr>
                <w:rFonts w:hint="eastAsia" w:ascii="宋体" w:hAnsi="宋体" w:eastAsia="宋体" w:cs="宋体"/>
                <w:bCs/>
                <w:sz w:val="24"/>
                <w:szCs w:val="24"/>
                <w:lang w:eastAsia="zh-CN"/>
              </w:rPr>
              <w:t xml:space="preserve">宿迁市公安局2026年度食堂食材采购项目</w:t>
            </w:r>
            <w:r/>
          </w:p>
        </w:tc>
        <w:tc>
          <w:tcPr>
            <w:tcW w:w="2816" w:type="dxa"/>
            <w:vAlign w:val="center"/>
            <w:textDirection w:val="lrTb"/>
            <w:noWrap w:val="false"/>
          </w:tcPr>
          <w:p>
            <w:pPr>
              <w:ind w:firstLine="420"/>
              <w:jc w:val="center"/>
              <w:spacing w:line="360" w:lineRule="exact"/>
              <w:rPr>
                <w:rFonts w:hint="eastAsia" w:ascii="宋体" w:hAnsi="宋体" w:eastAsia="宋体" w:cs="宋体"/>
                <w:szCs w:val="24"/>
                <w:lang w:eastAsia="zh-CN"/>
              </w:rPr>
            </w:pPr>
            <w:r>
              <w:rPr>
                <w:rFonts w:hint="eastAsia" w:ascii="宋体" w:hAnsi="宋体" w:eastAsia="宋体" w:cs="宋体"/>
                <w:szCs w:val="24"/>
                <w:lang w:val="en-US" w:eastAsia="zh-CN"/>
              </w:rPr>
              <w:t xml:space="preserve">批发业</w:t>
            </w:r>
            <w:r/>
          </w:p>
        </w:tc>
      </w:tr>
    </w:tbl>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、项目概况</w:t>
      </w:r>
      <w:r/>
    </w:p>
    <w:p>
      <w:pPr>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1.项目名称：</w:t>
      </w:r>
      <w:r>
        <w:rPr>
          <w:rFonts w:hint="eastAsia" w:ascii="宋体" w:hAnsi="宋体" w:eastAsia="宋体" w:cs="宋体"/>
          <w:bCs/>
          <w:sz w:val="24"/>
          <w:szCs w:val="24"/>
          <w:lang w:eastAsia="zh-CN"/>
        </w:rPr>
        <w:t xml:space="preserve">宿迁市公安局2026年度食堂食材采购项目</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2.预算金额：</w:t>
      </w:r>
      <w:r>
        <w:rPr>
          <w:rFonts w:hint="eastAsia" w:ascii="宋体" w:hAnsi="宋体" w:eastAsia="宋体" w:cs="宋体"/>
          <w:sz w:val="24"/>
          <w:szCs w:val="24"/>
        </w:rPr>
        <w:t xml:space="preserve">1100万元（采购包1：</w:t>
      </w:r>
      <w:r>
        <w:rPr>
          <w:rFonts w:hint="eastAsia" w:ascii="宋体" w:hAnsi="宋体" w:eastAsia="宋体" w:cs="宋体"/>
          <w:sz w:val="24"/>
          <w:szCs w:val="24"/>
          <w:lang w:val="en-US" w:eastAsia="zh-CN"/>
        </w:rPr>
        <w:t xml:space="preserve">550</w:t>
      </w:r>
      <w:r>
        <w:rPr>
          <w:rFonts w:hint="eastAsia" w:ascii="宋体" w:hAnsi="宋体" w:eastAsia="宋体" w:cs="宋体"/>
          <w:sz w:val="24"/>
          <w:szCs w:val="24"/>
        </w:rPr>
        <w:t xml:space="preserve">万元；采购包2：</w:t>
      </w:r>
      <w:r>
        <w:rPr>
          <w:rFonts w:hint="eastAsia" w:ascii="宋体" w:hAnsi="宋体" w:eastAsia="宋体" w:cs="宋体"/>
          <w:sz w:val="24"/>
          <w:szCs w:val="24"/>
          <w:lang w:val="en-US" w:eastAsia="zh-CN"/>
        </w:rPr>
        <w:t xml:space="preserve">470</w:t>
      </w:r>
      <w:r>
        <w:rPr>
          <w:rFonts w:hint="eastAsia" w:ascii="宋体" w:hAnsi="宋体" w:eastAsia="宋体" w:cs="宋体"/>
          <w:sz w:val="24"/>
          <w:szCs w:val="24"/>
        </w:rPr>
        <w:t xml:space="preserve">万元；采购包3：</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万元）</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3.采购需求：宿迁市公安局食堂原材料采购项目，共分为三个采购包，分别是</w:t>
      </w:r>
      <w:r>
        <w:rPr>
          <w:rFonts w:hint="eastAsia" w:ascii="宋体" w:hAnsi="宋体" w:eastAsia="宋体" w:cs="宋体"/>
          <w:sz w:val="24"/>
          <w:szCs w:val="24"/>
        </w:rPr>
        <w:t xml:space="preserve">采购包1：畜禽肉、水产品、冷冻食品、熟食卤菜、蛋类；采购包2：</w:t>
      </w:r>
      <w:r>
        <w:rPr>
          <w:rFonts w:hint="eastAsia" w:ascii="宋体" w:hAnsi="宋体" w:eastAsia="宋体" w:cs="宋体"/>
          <w:sz w:val="24"/>
          <w:szCs w:val="24"/>
          <w:lang w:val="en-US" w:eastAsia="zh-CN"/>
        </w:rPr>
        <w:t xml:space="preserve">蔬菜</w:t>
      </w:r>
      <w:r>
        <w:rPr>
          <w:rFonts w:hint="eastAsia" w:ascii="宋体" w:hAnsi="宋体" w:eastAsia="宋体" w:cs="宋体"/>
          <w:sz w:val="24"/>
          <w:szCs w:val="24"/>
        </w:rPr>
        <w:t xml:space="preserve">类；采购包3：干货调料类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各采购包拟采购一家投标人进行配送服务。</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4.合同履行期限：1年</w:t>
      </w:r>
      <w:r/>
    </w:p>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、付款方式</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签订后且收到投标人发票后10个工作日内支付合同金额的10%作为预付款；合同履行期限每满1个月，投标人向采购人提供近1个月的相关服务清单材料且无任何违约的情况下，经采购人验收合格后在接到投标人票据10个工作日内据实支付。</w:t>
      </w:r>
      <w:r/>
    </w:p>
    <w:p>
      <w:pPr>
        <w:ind w:firstLine="480"/>
        <w:spacing w:line="52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注：在签订合同时，</w:t>
      </w:r>
      <w:r>
        <w:rPr>
          <w:rFonts w:hint="eastAsia" w:ascii="宋体" w:hAnsi="宋体" w:eastAsia="宋体" w:cs="宋体"/>
          <w:b/>
          <w:bCs/>
          <w:color w:val="000000"/>
          <w:sz w:val="24"/>
          <w:szCs w:val="24"/>
          <w:lang w:eastAsia="zh-CN"/>
        </w:rPr>
        <w:t xml:space="preserve">投标人</w:t>
      </w:r>
      <w:r>
        <w:rPr>
          <w:rFonts w:hint="eastAsia" w:ascii="宋体" w:hAnsi="宋体" w:eastAsia="宋体" w:cs="宋体"/>
          <w:b/>
          <w:bCs/>
          <w:color w:val="000000"/>
          <w:sz w:val="24"/>
          <w:szCs w:val="24"/>
        </w:rPr>
        <w:t xml:space="preserve">明确表示无需预付款或者主动要求降低预付款比例的，采购人可不适用前述规定。</w:t>
      </w:r>
      <w:r/>
    </w:p>
    <w:p>
      <w:pPr>
        <w:spacing w:line="520" w:lineRule="exact"/>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
          <w:sz w:val="24"/>
          <w:szCs w:val="24"/>
          <w:lang w:val="en-US" w:eastAsia="zh-CN"/>
        </w:rPr>
        <w:t xml:space="preserve">四、采购清单</w:t>
      </w:r>
      <w:r/>
    </w:p>
    <w:p>
      <w:pPr>
        <w:spacing w:line="560" w:lineRule="exact"/>
        <w:widowControl/>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1、采购包1（畜禽肉、水产品、冷冻食品、熟食卤菜、蛋类）</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包括但不限于：畜禽肉有生鲜五花肉、前腿肉、后腿肉、猪蹄、猪肝、猪肺、大肠、猪头肉、熏肉、蹄筋、牛肘、牛腱、牛腩、牛杂、牛蹄筋、羊排、羊肉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鸡肉、鸭肉、鹅肉等；</w:t>
      </w:r>
      <w:r>
        <w:rPr>
          <w:rFonts w:hint="eastAsia" w:ascii="宋体" w:hAnsi="宋体" w:eastAsia="宋体" w:cs="宋体"/>
          <w:color w:val="000000"/>
          <w:sz w:val="24"/>
          <w:szCs w:val="24"/>
          <w:lang w:eastAsia="zh-CN"/>
        </w:rPr>
        <w:t xml:space="preserve">水产品有</w:t>
      </w:r>
      <w:r>
        <w:rPr>
          <w:rFonts w:hint="eastAsia" w:ascii="宋体" w:hAnsi="宋体" w:eastAsia="宋体" w:cs="宋体"/>
          <w:color w:val="000000"/>
          <w:sz w:val="24"/>
          <w:szCs w:val="24"/>
        </w:rPr>
        <w:t xml:space="preserve">鲫鱼、草鱼、鲤鱼、黑鱼、鳊鱼、鲳鱼、带鱼、戈鱼、长鱼、黄鱼、河虾、基围虾、龙虾、花蛤、扇贝、鱿鱼等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冷冻</w:t>
      </w:r>
      <w:r>
        <w:rPr>
          <w:rFonts w:hint="eastAsia" w:ascii="宋体" w:hAnsi="宋体" w:eastAsia="宋体" w:cs="宋体"/>
          <w:color w:val="000000"/>
          <w:sz w:val="24"/>
          <w:szCs w:val="24"/>
          <w:lang w:val="en-US" w:eastAsia="zh-CN"/>
        </w:rPr>
        <w:t xml:space="preserve">食品</w:t>
      </w:r>
      <w:r>
        <w:rPr>
          <w:rFonts w:hint="eastAsia" w:ascii="宋体" w:hAnsi="宋体" w:eastAsia="宋体" w:cs="宋体"/>
          <w:color w:val="000000"/>
          <w:sz w:val="24"/>
          <w:szCs w:val="24"/>
        </w:rPr>
        <w:t xml:space="preserve">有冻鸡腿、冻鸭腿、烤肠、膘鸡等</w:t>
      </w:r>
      <w:r>
        <w:rPr>
          <w:rFonts w:hint="eastAsia" w:ascii="宋体" w:hAnsi="宋体" w:eastAsia="宋体" w:cs="宋体"/>
          <w:color w:val="000000"/>
          <w:sz w:val="24"/>
          <w:szCs w:val="24"/>
          <w:lang w:eastAsia="zh-CN"/>
        </w:rPr>
        <w:t xml:space="preserve">；熟食卤菜</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lang w:eastAsia="zh-CN"/>
        </w:rPr>
        <w:t xml:space="preserve">卤牛肉、卤羊肉、猪头肉、熏肉、猪耳朵、猪肝、猪舌、猪蹄、咸肉、烤鸭、盐水鹅、盐水鸭、烧鸡、卤鸡、鸭脖、鸭翅、鸭肠、鸭肝、鸭头、鸭胗、鸭腿、卤鸡腿、鸡翅、鸡爪、鸡胗、鸡心；蛋类有鸡蛋、鸭蛋、鹌鹑蛋等。</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注：上述清单中的具体品目以市面常见食材类型作为参考，每日份具体供应品种、数量根据实际情况由以采购单位与投标人约定的为准。</w:t>
      </w:r>
      <w:r/>
    </w:p>
    <w:p>
      <w:pPr>
        <w:pStyle w:val="1241"/>
        <w:spacing w:before="156"/>
        <w:rPr>
          <w:rFonts w:hint="eastAsia" w:ascii="宋体" w:hAnsi="宋体" w:eastAsia="宋体" w:cs="宋体"/>
          <w:b/>
          <w:bCs w:val="0"/>
          <w:color w:val="000000"/>
          <w:sz w:val="24"/>
          <w:szCs w:val="21"/>
          <w:lang w:val="en-US" w:eastAsia="zh-CN" w:bidi="ar-SA"/>
        </w:rPr>
      </w:pPr>
      <w:r>
        <w:rPr>
          <w:rFonts w:hint="eastAsia" w:ascii="宋体" w:hAnsi="宋体" w:eastAsia="宋体" w:cs="宋体"/>
          <w:b/>
          <w:bCs w:val="0"/>
          <w:color w:val="000000"/>
          <w:sz w:val="24"/>
          <w:szCs w:val="21"/>
          <w:highlight w:val="none"/>
          <w:lang w:val="en-US" w:eastAsia="zh-CN" w:bidi="ar-SA"/>
        </w:rPr>
        <w:t xml:space="preserve">2.</w:t>
      </w:r>
      <w:r>
        <w:rPr>
          <w:rFonts w:hint="eastAsia" w:ascii="宋体" w:hAnsi="宋体" w:eastAsia="宋体" w:cs="宋体"/>
          <w:bCs w:val="0"/>
          <w:color w:val="000000"/>
          <w:sz w:val="24"/>
          <w:szCs w:val="21"/>
        </w:rPr>
        <w:t xml:space="preserve">采购</w:t>
      </w:r>
      <w:r>
        <w:rPr>
          <w:rFonts w:hint="eastAsia" w:ascii="宋体" w:hAnsi="宋体" w:eastAsia="宋体" w:cs="宋体"/>
          <w:b/>
          <w:bCs w:val="0"/>
          <w:color w:val="000000"/>
          <w:sz w:val="24"/>
          <w:szCs w:val="21"/>
          <w:lang w:val="en-US" w:eastAsia="zh-CN" w:bidi="ar-SA"/>
        </w:rPr>
        <w:t xml:space="preserve">包2（蔬菜类）</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含但不限于：蔬菜类有大白菜、空心菜、包菜、菠菜、韭菜、娃娃菜、芹菜、蒜黄、蒜台、木耳菜、木耳菜、青菜、苋菜、生菜、花菜、荠菜、茼蒿、香菜、辣椒、土豆、豆角、四季豆、豌豆、扁豆、白萝卜、胡萝卜、山药、冬瓜、丝瓜、苦瓜、黄瓜、南瓜、吊瓜、西湖瓜、茄子、生姜、大蒜、葱、洋葱、毛豆米、平菇、金针菇、菌菇、白玉菇、茨菇、藕、莴苣、红薯、竹笋、芦笋、西红柿等；</w:t>
      </w:r>
      <w:r>
        <w:rPr>
          <w:rFonts w:hint="eastAsia" w:ascii="宋体" w:hAnsi="宋体" w:eastAsia="宋体" w:cs="宋体"/>
          <w:color w:val="000000"/>
          <w:sz w:val="24"/>
          <w:szCs w:val="24"/>
          <w:lang w:eastAsia="zh-CN"/>
        </w:rPr>
        <w:t xml:space="preserve">豆制品</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lang w:eastAsia="zh-CN"/>
        </w:rPr>
        <w:t xml:space="preserve">豆腐、豆浆、豆干等</w:t>
      </w:r>
      <w:r>
        <w:rPr>
          <w:rFonts w:hint="eastAsia" w:ascii="宋体" w:hAnsi="宋体" w:eastAsia="宋体" w:cs="宋体"/>
          <w:color w:val="000000"/>
          <w:sz w:val="24"/>
          <w:szCs w:val="24"/>
        </w:rPr>
        <w:t xml:space="preserve">。</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注：上述清单中的具体品目以市面常见食材类型作为参考，每日份具体供应品种、数量根据实际情况由以采购单位与投标人约定的为准。</w:t>
      </w:r>
      <w:r/>
    </w:p>
    <w:p>
      <w:pPr>
        <w:spacing w:line="560" w:lineRule="exact"/>
        <w:widowControl/>
        <w:rPr>
          <w:rFonts w:hint="eastAsia" w:ascii="宋体" w:hAnsi="宋体" w:eastAsia="宋体" w:cs="宋体"/>
          <w:b/>
          <w:bCs w:val="0"/>
          <w:color w:val="000000"/>
          <w:sz w:val="24"/>
          <w:szCs w:val="21"/>
          <w:lang w:val="en-US" w:eastAsia="zh-CN" w:bidi="ar-SA"/>
        </w:rPr>
      </w:pPr>
      <w:r>
        <w:rPr>
          <w:rFonts w:hint="eastAsia" w:ascii="宋体" w:hAnsi="宋体" w:eastAsia="宋体" w:cs="宋体"/>
          <w:b/>
          <w:bCs w:val="0"/>
          <w:color w:val="000000"/>
          <w:sz w:val="24"/>
          <w:szCs w:val="21"/>
          <w:highlight w:val="none"/>
          <w:lang w:val="en-US" w:eastAsia="zh-CN" w:bidi="ar-SA"/>
        </w:rPr>
        <w:t xml:space="preserve">3、</w:t>
      </w:r>
      <w:r>
        <w:rPr>
          <w:rFonts w:hint="eastAsia" w:ascii="宋体" w:hAnsi="宋体" w:eastAsia="宋体" w:cs="宋体"/>
          <w:b/>
          <w:color w:val="000000"/>
          <w:sz w:val="24"/>
          <w:szCs w:val="21"/>
        </w:rPr>
        <w:t xml:space="preserve">采购</w:t>
      </w:r>
      <w:r>
        <w:rPr>
          <w:rFonts w:hint="eastAsia" w:ascii="宋体" w:hAnsi="宋体" w:eastAsia="宋体" w:cs="宋体"/>
          <w:b/>
          <w:bCs w:val="0"/>
          <w:color w:val="000000"/>
          <w:sz w:val="24"/>
          <w:szCs w:val="21"/>
          <w:lang w:val="en-US" w:eastAsia="zh-CN" w:bidi="ar-SA"/>
        </w:rPr>
        <w:t xml:space="preserve">包3（干货调料类）</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但不限于：干货调料类有香菇、木耳、腐竹、红枣、枸杞、干贝、粉条、桂圆、莲子、花生米、八角、桂皮、花椒、干辣椒、孜然、香叶、草果、白芷、小茴香、食用盐、鸡精、鸡汁、耗油、豆瓣酱、甜面酱、豆豉、十三香、咖喱粉、番茄酱、沙拉酱、辣椒酱、黑芝麻、胡椒粉、糖、料酒、味精、生抽、老抽、醋、一品鲜、鱼露、火锅料、小苏打、生粉、豆乳、野山椒、酸菜、酱豆、蜂蜜等；。</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注：上述清单中的具体品目以市面常见食材类型作为参考，每日份具体供应品种、数量根据实际情况由以采购单位与投标人约定的为准。</w:t>
      </w:r>
      <w:r/>
    </w:p>
    <w:p>
      <w:pPr>
        <w:spacing w:line="52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四、配送产品质量要求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1.畜禽肉、水产品、冷冻食品、熟食卤菜、蛋类质量要求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投标人所供货物应保持较好的外观和质量等级，符合国家食品安全管理部门的有关标准，保证无异味、无霉烂变质，保证来源于正规肉联厂，供货时须提交肉联厂的验收单及当批次有效的动物检疫合格证，鲜肉确保每日新鲜。冷冻肉要求肉体冻实而坚硬，无化冻现象，肉质紧密而有弹性，色泽均匀，不粘手，交货时干净、新鲜、无异味，剩余有效期不得少于标注有效期的70%。</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1.2熟食卤菜（特别是鲜制熟食）的保质期较短，保鲜要求高，供应的熟食需保证产品的品质。</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1.3鲜肉类（猪肉、牛肉、羊肉等）交货时须提供《动物防疫合格证》。如猪肉来源跨区，须提供由政府部门出具的《检疫合格证》，交货时须提供本批次产品的出厂（库）检验合格证明，随车同行。</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冷冻禽类食材解冻后净重量不少于90％，冷冻肉类食材解冻后净重量不少于92%，解冻时间为4小时以内（室温20℃）。所有冷冻食材要求清晰列出产品品牌、规格、类型、包装方式、包装净重、含冰量等相关参数。</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1.5冻鱼类：必须符合GB 2733-2015《食品安全国家标准 鲜、冻动物性水产品》、GB/T 18109-2011《冻鱼》。产品的感观、安全、卫生、稳定性等指标符合相关规定。冷冻鱼类要求鱼眼睛清亮，角膜透明，鳞片上覆有冻结的透明黏液层，皮肤天然色泽明显，肉质饱满有弹性。</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1.6冷冻水产类食材解冻后净重量不少于82%，解冻时间为4小时以内（室温20℃）。所有冷冻食材要求清晰列出产品品牌、规格、类型、包装方式、包装净重、含冰量等相关参数。</w:t>
      </w:r>
      <w:r/>
    </w:p>
    <w:p>
      <w:pPr>
        <w:ind w:firstLine="480"/>
        <w:spacing w:line="520" w:lineRule="exact"/>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1.7新鲜水产品如海鲜、河鲜类必须鲜活，身体饱满结实有活力（鲜鱼鳞片完整，有光泽无脱落，眼球光亮透明，鳃口紧闭，鱼鳃鲜红，鳍尾完整），无腐烂异味，肉质紧密有弹性，来源可靠放心，无毒，无害，无污染。（海鲜、河鲜利用率不得低于95%）。</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其他水产品符合GB 19643-2016《食品安全国家标准 藻类及其制品》等相关国家标准。</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1.9家禽类交货时提供本批次产品的出厂（库）检验合格证明，随车同行，提供《产品合格证》；肉制品须出具半年内有效的《卫生检疫报告》及《产品合格证》；水产品须出具贮存地的出入库检疫证明。</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1.10禽蛋必须保证新鲜，无破损，禽蛋等新鲜蛋类必须符合</w:t>
      </w: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HYPERLINK "http://down.foodmate.net/standard/sort/3/48415.html" \t "_blank"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lang w:val="en-US" w:eastAsia="zh-CN"/>
        </w:rPr>
        <w:t xml:space="preserve">GB2749-2015《食品安全国家标准 蛋与蛋制品》标准。</w:t>
      </w:r>
      <w:r>
        <w:rPr>
          <w:rFonts w:hint="eastAsia" w:ascii="宋体" w:hAnsi="宋体" w:eastAsia="宋体" w:cs="宋体"/>
          <w:color w:val="000000"/>
          <w:sz w:val="24"/>
          <w:szCs w:val="24"/>
          <w:lang w:val="en-US" w:eastAsia="zh-CN"/>
        </w:rPr>
        <w:fldChar w:fldCharType="end"/>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1.11禽类：必须符合GB 2707-2016食品安全标准《鲜（冻）畜、禽产品》、GB 16869-2005《鲜、冻禽产品》标准，提供《动物或动物产品分销信息凭证》或《动物检疫合格证》。</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1.12豆制品质量要求：</w:t>
      </w:r>
      <w:r>
        <w:rPr>
          <w:rFonts w:hint="eastAsia" w:ascii="宋体" w:hAnsi="宋体" w:eastAsia="宋体" w:cs="宋体"/>
          <w:color w:val="000000"/>
          <w:sz w:val="24"/>
          <w:szCs w:val="24"/>
          <w:lang w:val="zh-CN" w:eastAsia="zh-CN"/>
        </w:rPr>
        <w:t xml:space="preserve">提供符合要求的产品，不变味、不变质、新鲜、当日生产的产品，感官检验要达到食品卫生要求，否则可拒收。</w:t>
      </w:r>
      <w:r>
        <w:rPr>
          <w:rFonts w:hint="eastAsia" w:ascii="宋体" w:hAnsi="宋体" w:eastAsia="宋体" w:cs="宋体"/>
          <w:color w:val="000000"/>
          <w:sz w:val="24"/>
          <w:szCs w:val="24"/>
          <w:lang w:val="en-US" w:eastAsia="zh-CN"/>
        </w:rPr>
        <w:t xml:space="preserve">豆制品原料须为非转基因产品，发酵性豆制品必须符合GB2712-2014《食品安全国家标准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1.13家禽类送达或现场处理时提供宰杀等粗加工服务，羽毛处理干净，表面不粘手，肌肉按压紧实有弹性，色泽正常，无发暗发紫，无血点斑块，无异味，按压无水分或液体溢出，相关初加工费用均包含在食材价格内。</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1.14部分产品需分割加工，鲜活水产需送至时根据采购人要求现场去鳞、净膛、清洗完毕，经常性工作日少量补货，相关初加工费用均包含在食材价格内。</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1.15所有货物规格符合采购人提交的日采购计划中明确的具体需求。所有食材来源均有书面依据，必须可追溯，供采购人随时抽检，如后续无法提供相关凭证材料，采购人有权终止合同。所供食材必须每批都持有相对应的检验检疫证明，产品合格证，生产日期，有效使用期限，包装状态、大小，产地等。</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2.蔬菜类质量要求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2.1投标人每天的供应按采购人提出的品种要求和计划数量进行供应；所提供的蔬菜需提供相应的初加工（如南瓜去皮、冬瓜去皮等），相关粗加工费用均计入食材价格。</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2.2蔬菜须</w:t>
      </w:r>
      <w:r>
        <w:rPr>
          <w:rFonts w:hint="eastAsia" w:ascii="宋体" w:hAnsi="宋体" w:eastAsia="宋体" w:cs="宋体"/>
          <w:color w:val="000000"/>
          <w:sz w:val="24"/>
          <w:szCs w:val="24"/>
          <w:lang w:val="zh-CN" w:eastAsia="zh-CN"/>
        </w:rPr>
        <w:t xml:space="preserve">无污染、无化肥农药残留并提供农药残留检验合格证。</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lang w:val="zh-CN" w:eastAsia="zh-CN"/>
        </w:rPr>
        <w:t xml:space="preserve">蔬菜供应要保证是当季，各类蔬菜要新鲜、色泽翠绿或本色，不得有泡水等现象。</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zh-CN" w:eastAsia="zh-CN"/>
        </w:rPr>
        <w:t xml:space="preserve">必须保证无黄叶、枯死叶、无虫、无杂质，须48小时内采摘供应。</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2.5成熟度与精选：</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（1）叶类菜：无黄叶、烂根，应无明显浸水现象，根、茎、叶新鲜，包叶菜的外层粗皮去除干净；</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（2）茄果类：无麻点、不发软发泡、大小均匀、成熟度与加工程度应良好，规格大小满足要求等；</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（3）根茎、水生菜类等：清新、鲜嫩、应无虫咬、发芽、发霉现象，大小均匀，粗细均匀，西兰花、花菜根茎不大于3公分等，规格大小满足要求；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（4）菇菌类：干燥适度，菇大根短，标准包装商品分量足。</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（5）精选叶类蔬菜要求：如包菜、白菜、紫包菜去外层飞边等；</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（6）西兰花、花菜：根茎类粗细均匀，根茎≤3公分等；</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2.6</w:t>
      </w:r>
      <w:r>
        <w:rPr>
          <w:rFonts w:hint="eastAsia" w:ascii="宋体" w:hAnsi="宋体" w:eastAsia="宋体" w:cs="宋体"/>
          <w:color w:val="000000"/>
          <w:sz w:val="24"/>
          <w:szCs w:val="24"/>
          <w:lang w:val="zh-CN" w:eastAsia="zh-CN"/>
        </w:rPr>
        <w:t xml:space="preserve">蔬菜须保证菜面干净，无明显泥土，无破损，大小、长短基本统一，不得过熟。</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2.7</w:t>
      </w:r>
      <w:r>
        <w:rPr>
          <w:rFonts w:hint="eastAsia" w:ascii="宋体" w:hAnsi="宋体" w:eastAsia="宋体" w:cs="宋体"/>
          <w:color w:val="000000"/>
          <w:sz w:val="24"/>
          <w:szCs w:val="24"/>
          <w:lang w:val="zh-CN" w:eastAsia="zh-CN"/>
        </w:rPr>
        <w:t xml:space="preserve">根茎类蔬菜茎络不得过粗过老，如四季豆等。</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lang w:val="zh-CN" w:eastAsia="zh-CN"/>
        </w:rPr>
        <w:t xml:space="preserve">部分叶菜类所报价格必须要有相应尺寸，实物价格要相符，蔬菜报价还必须要有具体种类的分别（如苏州青、上海青等），应严格按照</w:t>
      </w:r>
      <w:r>
        <w:rPr>
          <w:rFonts w:hint="eastAsia" w:ascii="宋体" w:hAnsi="宋体" w:eastAsia="宋体" w:cs="宋体"/>
          <w:color w:val="000000"/>
          <w:sz w:val="24"/>
          <w:szCs w:val="24"/>
          <w:lang w:val="en-US" w:eastAsia="zh-CN"/>
        </w:rPr>
        <w:t xml:space="preserve">宿迁阳光物价网</w:t>
      </w:r>
      <w:r>
        <w:rPr>
          <w:rFonts w:hint="eastAsia" w:ascii="宋体" w:hAnsi="宋体" w:eastAsia="宋体" w:cs="宋体"/>
          <w:color w:val="000000"/>
          <w:sz w:val="24"/>
          <w:szCs w:val="24"/>
          <w:lang w:val="zh-CN" w:eastAsia="zh-CN"/>
        </w:rPr>
        <w:t xml:space="preserve">规范品种名称供货，不能一概以青菜混淆之。</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lang w:val="zh-CN" w:eastAsia="zh-CN"/>
        </w:rPr>
        <w:t xml:space="preserve">符合国家食品标准。蔬菜（SB/T 10583-2011）、辐照蔬菜类卫生标准GB14891.5-1997、六六六、滴滴涕残留量的测定按GB 2763、有机磷农药残留量的测定按GB4788规定、氟残留量的测定按GB4809规定、总砷残留量的测定按GB 4810规定、敌敌畏、乐果、玛拉碗磷、对硫磷残留量的测定按GB 5127规定等。</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2.10属季节问题，若出现品种不能满足采购人需求的情况，可与采购人协商调换相应类别的品种（按叶菜、瓜菜等进行分类）。</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2.11包装：容器（框、箱、袋）要求清洁、干燥、牢固、透气，无污染、无异味、无霉变现象；</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2.12标志：每件包装须按《农产品包装和标识管理办法》贴标签，并标明产地、品种、净含量、生产单位及地址和采收日期。</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2.13食材供应链要求：所有食品的来源必须清晰。</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2.14要求投标人的配送半径能够严格保证采购人在货物使用时间上的安排以及保证货物新鲜。</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3、干货调料类</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干货副食品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副食品进行品质抽检，对质量未达到国家标准的副食品采购人有权拒绝接收。</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3.2所有副食品调味料均为正规知名厂家生产，包装完整，标明商品名称、规格、生产商、产地、生产日期、保质期或保存期。</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干货类质量要求：为一级以上的优质品，有生产厂家、生产日期和保质期；应符合相关的国家或行业食品安全标准。需要分包装的产品需使用符合卫生标准的包装袋，并规定要求加贴产品信息标签。</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3.4调味品必须保证包装完好，无受潮，无发霉，表面无变质。包装表面注明生产厂家地址、生产日期、保质期、品名等。酱油必须符合GB2717-2018 标准，鸡精调味料必须符合SB/T10371-2003 标准，味精必须符合GB2720-2015 标准，食用盐必须符合GB2721-2015 标准，其余调味品均须符合国家安全标准，调味品定型包装必须提供产品合格证明文件。</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4、其它类质量要求：符合相应的国家或行业食品安全标准，添加剂的使用必须符合GB2760-2014标准，对食品的添加量严格控制在标准规定范围之内。</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eastAsia="zh-CN"/>
        </w:rPr>
        <w:t xml:space="preserve">对实行食品质量（SC）安全市场准入制的食品，须在验收时提供SC认证的相关证明资料。</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eastAsia="zh-CN"/>
        </w:rPr>
        <w:t xml:space="preserve">食品包装必须符合国家规范。采购的食品不得存放在有害、有毒的容器内。食品包装上必须使用原产地标识，应注明：制造商名称和厂址、食品名称和重（容）量、生产日期和保质期限以及规格和QS认证等。</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7、投标人</w:t>
      </w:r>
      <w:r>
        <w:rPr>
          <w:rFonts w:hint="eastAsia" w:ascii="宋体" w:hAnsi="宋体" w:eastAsia="宋体" w:cs="宋体"/>
          <w:color w:val="000000"/>
          <w:sz w:val="24"/>
          <w:szCs w:val="24"/>
          <w:lang w:val="zh-CN" w:eastAsia="zh-CN"/>
        </w:rPr>
        <w:t xml:space="preserve">所提供的食品必须取样保留24小时，且供应的全部食材如检测不合格则不能使用，所需检测和取样保留的试纸、药品等</w:t>
      </w:r>
      <w:r>
        <w:rPr>
          <w:rFonts w:hint="eastAsia" w:ascii="宋体" w:hAnsi="宋体" w:eastAsia="宋体" w:cs="宋体"/>
          <w:color w:val="000000"/>
          <w:sz w:val="24"/>
          <w:szCs w:val="24"/>
          <w:lang w:val="en-US" w:eastAsia="zh-CN"/>
        </w:rPr>
        <w:t xml:space="preserve">均</w:t>
      </w:r>
      <w:r>
        <w:rPr>
          <w:rFonts w:hint="eastAsia" w:ascii="宋体" w:hAnsi="宋体" w:eastAsia="宋体" w:cs="宋体"/>
          <w:color w:val="000000"/>
          <w:sz w:val="24"/>
          <w:szCs w:val="24"/>
          <w:lang w:val="zh-CN" w:eastAsia="zh-CN"/>
        </w:rPr>
        <w:t xml:space="preserve">由中标人提供及承担费用。</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8、采购人</w:t>
      </w:r>
      <w:r>
        <w:rPr>
          <w:rFonts w:hint="eastAsia" w:ascii="宋体" w:hAnsi="宋体" w:eastAsia="宋体" w:cs="宋体"/>
          <w:color w:val="000000"/>
          <w:sz w:val="24"/>
          <w:szCs w:val="24"/>
          <w:lang w:val="zh-CN" w:eastAsia="zh-CN"/>
        </w:rPr>
        <w:t xml:space="preserve">对食材质量提出异议时，</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val="zh-CN" w:eastAsia="zh-CN"/>
        </w:rPr>
        <w:t xml:space="preserve">保证在60分钟以内作出答复，并妥善</w:t>
      </w:r>
      <w:r>
        <w:rPr>
          <w:rFonts w:hint="eastAsia" w:ascii="宋体" w:hAnsi="宋体" w:eastAsia="宋体" w:cs="宋体"/>
          <w:color w:val="000000"/>
          <w:sz w:val="24"/>
          <w:szCs w:val="24"/>
          <w:lang w:val="en-US" w:eastAsia="zh-CN"/>
        </w:rPr>
        <w:t xml:space="preserve">处理</w:t>
      </w:r>
      <w:r>
        <w:rPr>
          <w:rFonts w:hint="eastAsia" w:ascii="宋体" w:hAnsi="宋体" w:eastAsia="宋体" w:cs="宋体"/>
          <w:color w:val="000000"/>
          <w:sz w:val="24"/>
          <w:szCs w:val="24"/>
          <w:lang w:val="zh-CN" w:eastAsia="zh-CN"/>
        </w:rPr>
        <w:t xml:space="preserve">。</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因市场特殊原因，个别食材品种不能及时提供，</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val="zh-CN" w:eastAsia="zh-CN"/>
        </w:rPr>
        <w:t xml:space="preserve">应主动与</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lang w:val="zh-CN" w:eastAsia="zh-CN"/>
        </w:rPr>
        <w:t xml:space="preserve">人沟通协调，更换品种以满足需要。 </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zh-CN" w:eastAsia="zh-CN"/>
        </w:rPr>
        <w:t xml:space="preserve">所有商品因验收货物时不能直接判断质量的，如在使用过程中发现不合格商品，</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lang w:val="zh-CN" w:eastAsia="zh-CN"/>
        </w:rPr>
        <w:t xml:space="preserve">应作退货处理。退货前应实行留板备案，如双方对质量争议可送采购所在地质监部门检测。对缺斤短两（或含</w:t>
      </w:r>
      <w:r>
        <w:rPr>
          <w:rFonts w:hint="eastAsia" w:ascii="宋体" w:hAnsi="宋体" w:eastAsia="宋体" w:cs="宋体"/>
          <w:color w:val="000000"/>
          <w:sz w:val="24"/>
          <w:szCs w:val="24"/>
          <w:lang w:val="en-US" w:eastAsia="zh-CN"/>
        </w:rPr>
        <w:t xml:space="preserve">冰</w:t>
      </w:r>
      <w:r>
        <w:rPr>
          <w:rFonts w:hint="eastAsia" w:ascii="宋体" w:hAnsi="宋体" w:eastAsia="宋体" w:cs="宋体"/>
          <w:color w:val="000000"/>
          <w:sz w:val="24"/>
          <w:szCs w:val="24"/>
          <w:lang w:val="zh-CN" w:eastAsia="zh-CN"/>
        </w:rPr>
        <w:t xml:space="preserve">量超标</w:t>
      </w:r>
      <w:r>
        <w:rPr>
          <w:rFonts w:hint="eastAsia" w:ascii="宋体" w:hAnsi="宋体" w:eastAsia="宋体" w:cs="宋体"/>
          <w:color w:val="000000"/>
          <w:sz w:val="24"/>
          <w:szCs w:val="24"/>
          <w:lang w:val="en-US" w:eastAsia="zh-CN"/>
        </w:rPr>
        <w:t xml:space="preserve">或超重</w:t>
      </w:r>
      <w:r>
        <w:rPr>
          <w:rFonts w:hint="eastAsia" w:ascii="宋体" w:hAnsi="宋体" w:eastAsia="宋体" w:cs="宋体"/>
          <w:color w:val="000000"/>
          <w:sz w:val="24"/>
          <w:szCs w:val="24"/>
          <w:lang w:val="zh-CN" w:eastAsia="zh-CN"/>
        </w:rPr>
        <w:t xml:space="preserve">）的应按实际重量扣减。</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11、投标人</w:t>
      </w:r>
      <w:r>
        <w:rPr>
          <w:rFonts w:hint="eastAsia" w:ascii="宋体" w:hAnsi="宋体" w:eastAsia="宋体" w:cs="宋体"/>
          <w:color w:val="000000"/>
          <w:sz w:val="24"/>
          <w:szCs w:val="24"/>
          <w:lang w:val="zh-CN" w:eastAsia="zh-CN"/>
        </w:rPr>
        <w:t xml:space="preserve">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zh-CN" w:eastAsia="zh-CN"/>
        </w:rPr>
        <w:t xml:space="preserve">一经发现供应以下食品，中标人除全部退货外并没收其全部履约保证金，同时还应承担由此造成的经济责任和法律责任：</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（1）腐败变质、油脂酸败、霉变、生虫、污秽不洁、混有异物或者其他感官性状异常，对人体健康有害的；</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（2）含有毒、有害物质或者被有害物质污染，对人体健康有害的；含有严重超出标准限量的农药残留、兽药残留、重金属、污染物质以及其他危害人体健康的；</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（3）含有致病性寄生虫、微生物或微生物含量超过国家限定标准的；</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（4）未经动物检疫部门检疫、检验或者检疫、检验不合格的肉类及其制品；</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（5）病死、毒死或者死因不明的禽、畜、兽、水产动物等及其制品；</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（6）掺假、掺杂、伪造，影响营养、卫生的；</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（7）用非食品原料加工的，加入非食品用化学物质或者将非食品当作食品的；</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（8）质保期低于剩余有效期三分之二。</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13.对食品安全质量问题的处理：投标人所供应货品出现质量问题造成食品安全事故，经查实后属投标人责任的，投标人应承担全部责任和经济损失。</w:t>
      </w:r>
      <w:r/>
    </w:p>
    <w:p>
      <w:pPr>
        <w:ind w:firstLine="480"/>
        <w:spacing w:line="52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14、投标人须为本项目购买不低于1000万（含）食品安全责任险，</w:t>
      </w:r>
      <w:r>
        <w:rPr>
          <w:rFonts w:hint="eastAsia" w:ascii="宋体" w:hAnsi="宋体" w:eastAsia="宋体" w:cs="宋体"/>
          <w:b/>
          <w:bCs/>
          <w:sz w:val="24"/>
          <w:szCs w:val="28"/>
          <w:lang w:val="en-US" w:eastAsia="zh-CN"/>
        </w:rPr>
        <w:t xml:space="preserve">且投保期不得低于一年，中标后合同签订前投标人须将购买保险的证明材料原件交采购人留存</w:t>
      </w:r>
      <w:r>
        <w:rPr>
          <w:rFonts w:hint="eastAsia" w:ascii="宋体" w:hAnsi="宋体" w:eastAsia="宋体" w:cs="宋体"/>
          <w:b/>
          <w:bCs/>
          <w:color w:val="000000"/>
          <w:sz w:val="24"/>
          <w:szCs w:val="24"/>
          <w:lang w:val="en-US" w:eastAsia="zh-CN"/>
        </w:rPr>
        <w:t xml:space="preserve">（投标人须在投标文件中提供承诺函，格式自拟，未提供或未按要求提供按照无效投标处理）</w:t>
      </w:r>
      <w:r>
        <w:rPr>
          <w:rFonts w:hint="eastAsia" w:ascii="宋体" w:hAnsi="宋体" w:eastAsia="宋体" w:cs="宋体"/>
          <w:b/>
          <w:bCs/>
          <w:sz w:val="24"/>
          <w:szCs w:val="28"/>
          <w:lang w:val="en-US" w:eastAsia="zh-CN"/>
        </w:rPr>
        <w:t xml:space="preserve">。</w:t>
      </w:r>
      <w:r/>
    </w:p>
    <w:p>
      <w:pPr>
        <w:ind w:firstLine="480"/>
        <w:spacing w:line="52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15、投标人提供的食材需为超市或农贸市场在售的常规品牌、型号，若提供食材品牌为市面较少、难于询价的，采购人有权拒收。</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16.在合同履行期内，各类食材如有品牌选择的，成交人应按采购人要求选择相应品牌供货，成交人不得拒绝。</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注：以上质量标准如有新的国家或行业标准出台，则以最新标准执行。</w:t>
      </w:r>
      <w:r/>
    </w:p>
    <w:p>
      <w:pPr>
        <w:spacing w:line="52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五、配送服务及要求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应按采购人要求送到采购人指定的地点：宿迁市公安局（宿迁市洪泽湖路865号）、宿迁市宿豫区井头街道桃李路58号、宿城区双庄街黑海路10号、宿迁市宿城区宿支路90号、宿城区幸福北路雪枫公园东侧约30米、宿城区双庄镇002乡道宿迁市科恒机械有限公司对面）及采购人因工作需要指定的其他地点。</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须使用专用食品采购车，要保持清洁和定期消毒。运输车厢的内仓应为抗腐蚀、防潮，防虫、防鼠的设计，车厢内无不良气味、异味。送货车辆应保持清洁，堆放科学合理，避免造成食材的交叉污染；如对温度有要求的应确定食材的温度，记录送货车辆温度，并记录存档。需要冷链运输的必须使用冷藏车。夏季高温天气，供应商提供冷藏车配送，防止（预防）烹饪原材料在高温情况下出现变质。所有运输车辆、封装办法、温度要求等均应符合相应国家规定。</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3.容器要求清洁、干燥、牢固、透气，无污染、无异味、无霉变现象。</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4.冰鲜类水产品必须用专用冷藏、冷冻载具运输，保证运输过程冷链不中断，到达目的地时外包装箱干爽，无软化现象。</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5.蔬菜应小心轻卸，严防机械损伤。</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投标人保证按照约定时间将采购人所订的货物派车（需配备不少于3辆车，如雪藏货柜车等）派人配送至指定地点，并按存放要求堆放整齐，接收当场验收，同时提供好相关单据。食材如某批次出现质量问题，投标人必须保证验收时发现质量问题起1小时内无条件对该批次全部货物进行换货。除发生客观不可抗力的情况外，投标人不得推迟送货。如确需延迟送货的，投标人应在得知情况的同时告知采购人并征得采购人同意，由于投标人延迟造成采购人利益受损的，采购人有权要求投标人赔偿。采购人如遇特殊情况需推迟送货，应提前一天通知投标人。</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7.配送时间：根据采购人要求时间完成所需食材的配送；如采购人需要临时增加补货，投标人必须在采购要求的时间内将货物保质保量送到采购人指定地点。具体配送时间以采购人实际要求为准。</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8.投标人负责货品配送前的仓储，采购人不提供仓库。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9.在采购人签收之前，货物的所有权和风险属于投标人，货物发生遗失、损坏由投标人负责。</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投标人须严格按照采购人的订单配送货品，不得随意增减数量或改变品种。如因市场流通问题确实需要变更供货内容的，投标人应在得知情况的同时书面告知采购人并征得采购人同意后方可变更，否则，采购人有权拒收，由此产生的一切损失和费用由投标人承担。</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11.如遇临时紧急需求，投标人须在30分钟内将按采购人要求采购货物送到指定地点。如因投标人原因延误交货的（采购人要求推迟的除外），采购人有权自行采购，并由投标人承担由此产生的一切损失和费用。</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12.投标人必须服从采购人的监督、管理，配合采购人到农场基地、食物配送点进行现场考察。</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13.食品供应链要求：所有食品的来源必须清晰可追溯和追责。投标人需设立自有检测室或有固定的送检机构，每种蔬菜每天都要随货提供农药残留的检测报告，食品检测人员或检测机构资料交采购人存档备查。</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包装：容器(框、箱、袋)要求清洁、干燥、牢固、透气，无污染、无异味、无霉变现象。标志：农产品每件包装必须按《农产品包装和标识管理办法》贴标签，并标明产地、品种、净含量、生产单位及地址和采收日期。</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因公安机关工作的特殊性，投标人应按采购人需求进行每日配送，不得以任何理由拒绝。如出现临时性的送货现象，供货商不得以任何理由拒绝送货，一旦影响到采购人的正常运转，供货商应承担相应的经济赔偿。若遇某商品缺货，需更换品种，须经采购人同意方可更换。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16.重量计算说明</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16.1蔬菜：送至单位食堂后，经采购人经过初步加工整理，除去泥、沙、黄叶、烂叶及老叶等后的合格率（净重）不得低于配送数量的98%。</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16.2水产类：送至单位食堂后，经采购人称重鲜活，经过去除多余水分后，重量不得低于配送数量的98%。</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16.3投标人不能按核定的供货价交付的某些货品、不能提供与其承诺相符的服务或投标人存在违反招标文件和合同的行为，并且不予纠正的，将取消其中标资格。此项下违约行为包括但不限于下列各项： （1）投标人在收到</w:t>
      </w:r>
      <w:r>
        <w:rPr>
          <w:rFonts w:hint="eastAsia" w:ascii="宋体" w:hAnsi="宋体" w:eastAsia="宋体" w:cs="宋体"/>
          <w:color w:val="000000"/>
          <w:sz w:val="24"/>
          <w:szCs w:val="24"/>
          <w:lang w:val="en-US" w:eastAsia="zh-CN"/>
        </w:rPr>
        <w:t xml:space="preserve">采购人订货要求后，在承诺的供货时间内不能供货的。 （2）投标人未能提供承诺的服务的。 （3）投标人不能在约定时间内提供合法票据进行结算的。 （4）投标人送货专员在采购人单位活动但不遵守采购人单位各项规章制度或做出有损采购人形象和利益的事情的。 （5）投标人泄露采购人的秘密的。未经采购人书面授权同意，本项目过程中至项目完成后任何时间段，投标人必须采取有效措施对获悉和取得的数据、资料保密。因投标人原因导致上述数据、资料为第三人知晓的，投标人除承担一切责任外，还须向采购人支付采购人已付项目款的100%作为赔偿金。</w:t>
      </w:r>
      <w:r/>
    </w:p>
    <w:p>
      <w:pPr>
        <w:spacing w:line="52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六、初加工要求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1.投标人在配送水产品类、禽类、肉类时，须为采购人提供至少一名有效期内的健康证明的人员跟随配送，为在采购人指定地点进行初加工。</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2.原材料按采购人要求进行初加工，如大蒜去皮等，相关初加工费用计入食材价格，后期采购人不再另行支付费用。</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3.所提供的蔬菜必须保证新鲜、无黄叶、枯死叶、无虫、无杂质、无腐烂变质，同时需提供相应的粗加工（如南瓜去皮、冬瓜去皮等），相关初加工费用计入食材价格，后期采购人不再另行支付费用。</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家禽类送达或现场处理时提供宰杀等粗加工服务，羽毛处理干净，表面不粘手，肌肉按压紧实有弹性，色泽正常，无发暗发紫，无血点斑块，无异味，按压无水分或液体溢出，相关初加工费用计入食材价格，后期采购人不再另行支付费用。</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鲜活水产类：水产品类保证鲜活、大小基本统一，验货后须提供宰杀处理等粗加工服务，保证水产类表面无鳞片、血迹、内脏清理彻底、无异味；肉质坚实有弹性，新鲜有光泽，有水产类的正常气味；海产类保证鲜活冷冻，码放整齐。必须符合GB 2733-2015《食品安全国家标准 鲜、冻动物性水产品》等。产品的感观、安全、卫生、稳定性等指标符合相关规定，相关初加工费用计入食材价格，后期采购人不再另行支付费用。</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6.其他产品配送时，采购人如要求对菜品初加工，投标人应按照采购人要求安排持有有效期内的健康证明的工人进入采购人指定地点进行初加工，相关初加工费用计入食材价格，后期采购人不再另行支付费用。</w:t>
      </w:r>
      <w:r/>
    </w:p>
    <w:p>
      <w:pPr>
        <w:spacing w:line="52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七、质量及包装要求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1.投标人应充分理解并认真遵循本招标文件的要求，所</w:t>
      </w:r>
      <w:r>
        <w:rPr>
          <w:rFonts w:hint="eastAsia" w:ascii="宋体" w:hAnsi="宋体" w:eastAsia="宋体" w:cs="宋体"/>
          <w:color w:val="000000"/>
          <w:sz w:val="24"/>
          <w:szCs w:val="24"/>
          <w:lang w:val="en-US" w:eastAsia="zh-CN"/>
        </w:rPr>
        <w:t xml:space="preserve">提供的货物必须是满足招标文件要求。供应的各类食品必须符合《中华人民共和国产品质量法》《中华人民共和国食品安全法》和有关食品管理规定；符合国家有关安全卫生、环境保护等方面的法律要求；符合地方卫生防疫部门、检验检疫部门的各项指标要求。满足食品安全国家标准，包括但不限于GB31650-2019食品安全国家标准食品中兽药最大残留限量等。保证供应的货品均为正规生产的新鲜（冰鲜除外）、检验合格、无毒、无辐射、无侵权货品，符合国家有关卫生、质量、包装和保质标准，有使用有效期的货品，其剩余有效期不得少于标注有效期的70%。</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2.投标人保证所提供的水产品和蔬菜种类的多样性和季节性，以保证新鲜感。</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3、货物有包装的，货物的包装必须完整清洁（无损、无污、无皱），采购人有权拒收包装不整齐、已拆封的货品。</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4.货品质量或包装不符合采购人要求的，投标人必须无条件退货或更换。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5、投标人提供假冒伪劣、过期、变质货品的，一经发现，除按采购人要求无条件退货或换货外，还将受到如下处罚：（1）投标人提供过期、变质货品3次以上或提供假冒伪劣货品的，采购人有权单方终止合同； （2）因投标人供应货品质量问题造成食品安全事故的，经有关部门鉴定后，投标人须负担全数的医药费及赔偿费等，采购人将取消该投标人的供货资格，投标人同时承担相应的民事及刑事法律责任。</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6、商品包装环保要求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6.1商品包装层数不得超过 3 层，空隙率不大于 40%；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6.3商品包装尽可能使用单一材质的包装材料，如因功能需求必需使用不同材质，不同材质间应便于分离；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6.3商品包装中铅、汞、镉、六价铬的总含量应不大于100mg/kg；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6.4商品包装印刷使用的油墨中挥发性有机化合物(VOCs) 含量应不大于 5%（以重量计）；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6.5塑料材质商品包装上呈现的印刷颜色不得超过6色；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6.6纸质商品包装应使用75%以上的可再生纤维原料生产；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6.7木质商品包装的原料应来源于可持续性森林。 </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spacing w:line="52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八、供货价格</w:t>
      </w:r>
      <w:r/>
    </w:p>
    <w:p>
      <w:pPr>
        <w:ind w:firstLine="480"/>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1.所有货物按“宿迁阳光物价网”（网址：http://ygwj.fgw.suqian.gov.cn/ ）公布的每日主副食品价格平均价格*中标折扣*实际数量进行结算，如遇宿迁阳光物价网没有该类食材价格，乙方应提前通知甲方，以采购人及各采购包投标人双方共同在每供应月中期在京东折扣超市、大润发超市等大型超市或周边大、中型农贸市场的询价结果的平均数作为价格基准依据*投标时折扣率*实际数量结算。</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本项目按投标费率（折扣）报价，投标折扣以%为单位，最高不得超过100%进行报价，结算价款按实际发生的费用*中标折扣。</w:t>
      </w:r>
      <w:r>
        <w:rPr>
          <w:rFonts w:hint="eastAsia" w:ascii="宋体" w:hAnsi="宋体" w:eastAsia="宋体" w:cs="宋体"/>
          <w:b w:val="0"/>
          <w:bCs w:val="0"/>
          <w:i w:val="0"/>
          <w:color w:val="000000"/>
          <w:sz w:val="24"/>
          <w:szCs w:val="24"/>
          <w:u w:val="none"/>
          <w:lang w:val="en-US" w:eastAsia="zh-CN" w:bidi="ar"/>
        </w:rPr>
        <w:t xml:space="preserve">【例：</w:t>
      </w:r>
      <w:r>
        <w:rPr>
          <w:rFonts w:hint="eastAsia" w:ascii="宋体" w:hAnsi="宋体" w:eastAsia="宋体" w:cs="宋体"/>
          <w:color w:val="000000"/>
          <w:sz w:val="24"/>
          <w:szCs w:val="24"/>
          <w:lang w:val="en-US" w:eastAsia="zh-CN"/>
        </w:rPr>
        <w:t xml:space="preserve">宿迁阳光物价网公示的鲫鱼平均价为13元，</w:t>
      </w:r>
      <w:r>
        <w:rPr>
          <w:rFonts w:hint="eastAsia" w:ascii="宋体" w:hAnsi="宋体" w:eastAsia="宋体" w:cs="宋体"/>
          <w:b w:val="0"/>
          <w:bCs w:val="0"/>
          <w:i w:val="0"/>
          <w:color w:val="000000"/>
          <w:sz w:val="24"/>
          <w:szCs w:val="24"/>
          <w:u w:val="none"/>
          <w:lang w:val="en-US" w:eastAsia="zh-CN" w:bidi="ar"/>
        </w:rPr>
        <w:t xml:space="preserve">投标人中标折扣为90%，则鲫鱼价格为11.7元，依次类</w:t>
      </w:r>
      <w:r>
        <w:rPr>
          <w:rFonts w:hint="eastAsia" w:ascii="宋体" w:hAnsi="宋体" w:eastAsia="宋体" w:cs="宋体"/>
          <w:color w:val="000000"/>
          <w:sz w:val="24"/>
          <w:szCs w:val="24"/>
          <w:lang w:val="en-US" w:eastAsia="zh-CN"/>
        </w:rPr>
        <w:t xml:space="preserve">推】。</w:t>
      </w:r>
      <w:r/>
    </w:p>
    <w:p>
      <w:pPr>
        <w:numPr>
          <w:ilvl w:val="0"/>
          <w:numId w:val="3"/>
        </w:num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合同期内任何情况下均不予调整价格结算标准，请各投标人综合考虑产品成本及市场价格波动存在的合同风险。</w:t>
      </w:r>
      <w:r/>
    </w:p>
    <w:p>
      <w:pPr>
        <w:numPr>
          <w:ilvl w:val="0"/>
          <w:numId w:val="3"/>
        </w:num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对政府扶贫农副产品采购有自主权，采购人有权直接采购，不受投标人和本项目制约。为贯彻落实党中央、国务院和江苏省委、省政府关于打赢脱贫攻坚战的有关决策部署，在本项目食堂食材配送服务期内，采购人或采购人委托投标人通过政府部门认可的平台采购部分既定预留份额的食堂食材，投标人不得提出异议。</w:t>
      </w:r>
      <w:r/>
    </w:p>
    <w:p>
      <w:pPr>
        <w:spacing w:line="52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九、人员要求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1、食堂配送项目专项服务小组不少于3人、初加工不少于1人，确定固定的项目负责人，负责相关工作及提供各种服务。</w:t>
      </w:r>
      <w:r/>
    </w:p>
    <w:p>
      <w:pPr>
        <w:ind w:firstLine="480"/>
        <w:spacing w:line="520" w:lineRule="exact"/>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2、投标人拟投入本项目的所有人员必须是投标人的正式员工，在合同签订前向采购人提供健康证、劳动合同及投标人为其缴纳的自2026年2月（含）以来任意一个月的社保证明材料</w:t>
      </w:r>
      <w:r>
        <w:rPr>
          <w:rFonts w:hint="eastAsia" w:ascii="宋体" w:hAnsi="宋体" w:eastAsia="宋体" w:cs="宋体"/>
          <w:b/>
          <w:bCs/>
          <w:color w:val="000000"/>
          <w:sz w:val="24"/>
          <w:szCs w:val="24"/>
          <w:lang w:val="en-US" w:eastAsia="zh-CN"/>
        </w:rPr>
        <w:t xml:space="preserve">（投标人须在投标文件中提供承诺函，未提供或未按要求提供按照无效投标处理）。</w:t>
      </w:r>
      <w:r/>
    </w:p>
    <w:p>
      <w:pPr>
        <w:spacing w:line="52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十、售后服务要求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1、投标人应明确售后服务各项内容和措施，提供详细的服务地点、联系人、电话等有关资料；</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2、每个分包</w:t>
      </w:r>
      <w:r>
        <w:rPr>
          <w:rFonts w:hint="eastAsia" w:ascii="宋体" w:hAnsi="宋体" w:eastAsia="宋体" w:cs="宋体"/>
          <w:color w:val="000000"/>
          <w:sz w:val="24"/>
          <w:szCs w:val="24"/>
          <w:lang w:val="zh-CN" w:eastAsia="zh-CN"/>
        </w:rPr>
        <w:t xml:space="preserve">配送服务必须为中标投标人为本项目设立的供货组人员进行配送，不得委托第三方单位进行配送服务，一经发现，取消其配送资格。</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3、中标</w:t>
      </w:r>
      <w:r>
        <w:rPr>
          <w:rFonts w:hint="eastAsia" w:ascii="宋体" w:hAnsi="宋体" w:eastAsia="宋体" w:cs="宋体"/>
          <w:color w:val="000000"/>
          <w:sz w:val="24"/>
          <w:szCs w:val="24"/>
          <w:lang w:val="zh-CN" w:eastAsia="zh-CN"/>
        </w:rPr>
        <w:t xml:space="preserve">投标人</w:t>
      </w:r>
      <w:r>
        <w:rPr>
          <w:rFonts w:hint="eastAsia" w:ascii="宋体" w:hAnsi="宋体" w:eastAsia="宋体" w:cs="宋体"/>
          <w:color w:val="000000"/>
          <w:sz w:val="24"/>
          <w:szCs w:val="24"/>
          <w:lang w:val="en-US" w:eastAsia="zh-CN"/>
        </w:rPr>
        <w:t xml:space="preserve">在配送服务过程中应遵守采购人单位的各项规章制度，不得与采购人单位或人员发生各种不文明行为，如遇不可解决之矛盾应以沟通为主，相互谅解。</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投标人</w:t>
      </w:r>
      <w:r>
        <w:rPr>
          <w:rFonts w:hint="eastAsia" w:ascii="宋体" w:hAnsi="宋体" w:eastAsia="宋体" w:cs="宋体"/>
          <w:color w:val="000000"/>
          <w:sz w:val="24"/>
          <w:szCs w:val="24"/>
          <w:lang w:val="en-US" w:eastAsia="zh-CN"/>
        </w:rPr>
        <w:t xml:space="preserve">应派专人负责项目售后服务事宜，实行“三包”服务（即包质量、包数量、包调换）和实行定期满意度回访书面承诺以及内部管理考核办法书面材料，能够达到解决处理问题及时，沟通交流渠道畅通。</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5、投标人需要做到售后服务专业化，建立固定配送网点，具备调运、分拣、包装、二次搬运能力；投标人具有固定的配送网点服务能力。</w:t>
      </w:r>
      <w:r/>
    </w:p>
    <w:p>
      <w:pPr>
        <w:ind w:firstLine="480"/>
        <w:spacing w:line="520" w:lineRule="exact"/>
        <w:rPr>
          <w:rFonts w:hint="eastAsia" w:ascii="宋体" w:hAnsi="宋体" w:eastAsia="宋体" w:cs="宋体"/>
          <w:lang w:val="en-US" w:eastAsia="zh-CN"/>
        </w:rPr>
      </w:pPr>
      <w:r>
        <w:rPr>
          <w:rFonts w:hint="eastAsia" w:ascii="宋体" w:hAnsi="宋体" w:eastAsia="宋体" w:cs="宋体"/>
          <w:color w:val="000000"/>
          <w:sz w:val="24"/>
          <w:szCs w:val="24"/>
          <w:lang w:val="en-US" w:eastAsia="zh-CN"/>
        </w:rPr>
        <w:t xml:space="preserve">6、采购人有权在投标人中标后对其进行实地考察。</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7、培训：中标</w:t>
      </w:r>
      <w:r>
        <w:rPr>
          <w:rFonts w:hint="eastAsia" w:ascii="宋体" w:hAnsi="宋体" w:eastAsia="宋体" w:cs="宋体"/>
          <w:color w:val="000000"/>
          <w:sz w:val="24"/>
          <w:szCs w:val="24"/>
          <w:lang w:val="zh-CN" w:eastAsia="zh-CN"/>
        </w:rPr>
        <w:t xml:space="preserve">投标人</w:t>
      </w:r>
      <w:r>
        <w:rPr>
          <w:rFonts w:hint="eastAsia" w:ascii="宋体" w:hAnsi="宋体" w:eastAsia="宋体" w:cs="宋体"/>
          <w:color w:val="000000"/>
          <w:sz w:val="24"/>
          <w:szCs w:val="24"/>
          <w:lang w:val="en-US" w:eastAsia="zh-CN"/>
        </w:rPr>
        <w:t xml:space="preserve">应不断对其人员进行专业培训，以完成工作任务。</w:t>
      </w:r>
      <w:r/>
    </w:p>
    <w:p>
      <w:pPr>
        <w:spacing w:line="52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十一、应急预案</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1、因采购人工作内容特殊性，投标人要根据采购人在工作过程中发生食品安全突发事件、特殊天气及不可抗力应对处理、原材料缺失等应急处置工作。</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2、投标人须制定突发情况应急预案，紧急补货须在1小时内送达。</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若因投标人所供应食品的质量问题引起采购人食物中毒等食源性疾病的发生或其他事故（经市场监管部门、卫生防疫部门鉴定），及配送过程中发生的事故等其他事故，由投标人负全部责任，并承担由此而引起的全部经济损失及相关法律责任。情节较为严重的，采购人有权追究其法律责任（采购人操作或保管不当除外）。</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4、特殊工作任务时，中标</w:t>
      </w:r>
      <w:r>
        <w:rPr>
          <w:rFonts w:hint="eastAsia" w:ascii="宋体" w:hAnsi="宋体" w:eastAsia="宋体" w:cs="宋体"/>
          <w:color w:val="000000"/>
          <w:sz w:val="24"/>
          <w:szCs w:val="24"/>
          <w:lang w:val="zh-CN" w:eastAsia="zh-CN"/>
        </w:rPr>
        <w:t xml:space="preserve">投标人</w:t>
      </w:r>
      <w:r>
        <w:rPr>
          <w:rFonts w:hint="eastAsia" w:ascii="宋体" w:hAnsi="宋体" w:eastAsia="宋体" w:cs="宋体"/>
          <w:color w:val="000000"/>
          <w:sz w:val="24"/>
          <w:szCs w:val="24"/>
          <w:lang w:val="en-US" w:eastAsia="zh-CN"/>
        </w:rPr>
        <w:t xml:space="preserve">承担餐厨人员和物资转运工作，安排专人专车驻守采购人指定位置，接通知后方可撤离。</w:t>
      </w:r>
      <w:r/>
    </w:p>
    <w:p>
      <w:pPr>
        <w:ind w:firstLine="482"/>
        <w:jc w:val="left"/>
        <w:spacing w:line="500" w:lineRule="exact"/>
        <w:rPr>
          <w:rFonts w:hint="eastAsia" w:ascii="宋体" w:hAnsi="宋体" w:eastAsia="宋体" w:cs="宋体"/>
          <w:b/>
          <w:bCs/>
          <w:i w:val="0"/>
          <w:color w:val="000000"/>
          <w:sz w:val="24"/>
          <w:szCs w:val="24"/>
          <w:u w:val="none"/>
          <w:lang w:val="en-US" w:eastAsia="zh-CN" w:bidi="ar"/>
        </w:rPr>
      </w:pPr>
      <w:r/>
      <w:bookmarkStart w:id="129" w:name="_Toc9336"/>
      <w:r>
        <w:rPr>
          <w:rFonts w:hint="eastAsia" w:ascii="宋体" w:hAnsi="宋体" w:eastAsia="宋体" w:cs="宋体"/>
          <w:b/>
          <w:bCs/>
          <w:i w:val="0"/>
          <w:color w:val="000000"/>
          <w:sz w:val="24"/>
          <w:szCs w:val="24"/>
          <w:u w:val="none"/>
          <w:lang w:val="en-US" w:eastAsia="zh-CN" w:bidi="ar"/>
        </w:rPr>
        <w:t xml:space="preserve">十二、档案管理要求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应指定专人负责档案收集、分类、更新与保管，档案应按时间顺序编号。应以“质量第一、安全至上、动态管理、全程追溯”的原则，实行一户一档、一批次一归档的精细化档案管理，确保食材来源可溯、过程可查、责任可追，并保存完整、真实。</w:t>
      </w:r>
      <w:r/>
    </w:p>
    <w:p>
      <w:pPr>
        <w:ind w:firstLine="480"/>
        <w:spacing w:line="520" w:lineRule="exact"/>
        <w:rPr>
          <w:rFonts w:ascii="宋体" w:hAnsi="宋体" w:eastAsia="宋体" w:cs="宋体"/>
          <w:b/>
          <w:bCs/>
          <w:i w:val="0"/>
          <w:color w:val="000000"/>
          <w:sz w:val="24"/>
          <w:szCs w:val="24"/>
          <w:u w:val="none"/>
          <w:lang w:val="en-US" w:eastAsia="zh-CN" w:bidi="ar"/>
        </w:rPr>
      </w:pPr>
      <w:r>
        <w:rPr>
          <w:rFonts w:hint="eastAsia" w:ascii="宋体" w:hAnsi="宋体" w:eastAsia="宋体" w:cs="宋体"/>
          <w:color w:val="000000"/>
          <w:sz w:val="24"/>
          <w:szCs w:val="24"/>
          <w:lang w:val="en-US" w:eastAsia="zh-CN"/>
        </w:rPr>
        <w:t xml:space="preserve">2、投标人应建立各种财务报表，对每日的收支做详细记录并出具当月财务报表，每月提供给采购人一份。</w:t>
      </w:r>
      <w:r/>
    </w:p>
    <w:p>
      <w:pPr>
        <w:ind w:firstLine="482"/>
        <w:jc w:val="left"/>
        <w:spacing w:line="500" w:lineRule="exact"/>
        <w:rPr>
          <w:rFonts w:hint="eastAsia" w:ascii="宋体" w:hAnsi="宋体" w:eastAsia="宋体" w:cs="宋体"/>
          <w:b/>
          <w:bCs/>
          <w:i w:val="0"/>
          <w:color w:val="000000"/>
          <w:sz w:val="24"/>
          <w:szCs w:val="24"/>
          <w:u w:val="none"/>
          <w:lang w:val="en-US" w:eastAsia="zh-CN" w:bidi="ar"/>
        </w:rPr>
      </w:pPr>
      <w:r>
        <w:rPr>
          <w:rFonts w:hint="eastAsia" w:ascii="宋体" w:hAnsi="宋体" w:eastAsia="宋体" w:cs="宋体"/>
          <w:b/>
          <w:bCs/>
          <w:i w:val="0"/>
          <w:color w:val="000000"/>
          <w:sz w:val="24"/>
          <w:szCs w:val="24"/>
          <w:u w:val="none"/>
          <w:lang w:val="en-US" w:eastAsia="zh-CN" w:bidi="ar"/>
        </w:rPr>
        <w:t xml:space="preserve">十三、保密</w:t>
      </w:r>
      <w:bookmarkEnd w:id="129"/>
      <w:r>
        <w:rPr>
          <w:rFonts w:hint="eastAsia" w:ascii="宋体" w:hAnsi="宋体" w:eastAsia="宋体" w:cs="宋体"/>
          <w:b/>
          <w:bCs/>
          <w:i w:val="0"/>
          <w:color w:val="000000"/>
          <w:sz w:val="24"/>
          <w:szCs w:val="24"/>
          <w:u w:val="none"/>
          <w:lang w:val="en-US" w:eastAsia="zh-CN" w:bidi="ar"/>
        </w:rPr>
        <w:t xml:space="preserve">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中标后须与采购方签订保密协议。在供货期间，不得将供货的实际数量及供货地点泄露给其他企业或者个人，进入送货单位时须遵守保密规定和相关规章制度。投标人必须指派相对固定的人员完成货物配送服务，并需将配送人员的详细资料报采购单位备案，货物配送人员必须遵纪守法、品行良好。如需要更换配送人员，必须事先通知采购单位并将其个人资料送采购单位审批，审批合格者并经采购单位同意后才能更换。如投标人货物配送人员违反采购单位保密要求或有服务态度恶劣、品行不端等不良行为的，采购单位有权要求投标人更换配送人员。</w:t>
      </w:r>
      <w:r/>
    </w:p>
    <w:p>
      <w:pPr>
        <w:ind w:firstLine="482"/>
        <w:jc w:val="left"/>
        <w:spacing w:line="500" w:lineRule="exact"/>
        <w:rPr>
          <w:rFonts w:hint="eastAsia" w:ascii="宋体" w:hAnsi="宋体" w:eastAsia="宋体" w:cs="宋体"/>
          <w:b/>
          <w:bCs/>
          <w:i w:val="0"/>
          <w:color w:val="000000"/>
          <w:sz w:val="24"/>
          <w:szCs w:val="24"/>
          <w:u w:val="none"/>
          <w:lang w:val="en-US" w:eastAsia="zh-CN" w:bidi="ar"/>
        </w:rPr>
      </w:pPr>
      <w:r>
        <w:rPr>
          <w:rFonts w:hint="eastAsia" w:ascii="宋体" w:hAnsi="宋体" w:eastAsia="宋体" w:cs="宋体"/>
          <w:b/>
          <w:bCs/>
          <w:i w:val="0"/>
          <w:color w:val="000000"/>
          <w:sz w:val="24"/>
          <w:szCs w:val="24"/>
          <w:u w:val="none"/>
          <w:lang w:val="en-US" w:eastAsia="zh-CN" w:bidi="ar"/>
        </w:rPr>
        <w:t xml:space="preserve">十四、考核要求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采购人在服务期限内对投标人实行考核制度，每月进行一次常规考核（考核内容见“《投标人月度评价表》”</w:t>
      </w:r>
      <w:r>
        <w:rPr>
          <w:rFonts w:hint="eastAsia" w:ascii="宋体" w:hAnsi="宋体" w:eastAsia="宋体" w:cs="宋体"/>
          <w:color w:val="000000"/>
          <w:sz w:val="24"/>
          <w:szCs w:val="24"/>
          <w:lang w:val="en-US" w:eastAsia="zh-CN"/>
        </w:rPr>
        <w:t xml:space="preserve">），合格分值为90分（含），当月考评低于90分，投标人须向采购人支付每分2000元的违约金，采购人有权在当月的食材配送款中抵扣相应的违约金。在一年内，投标人有2次常规考核低于80分的，投标人需提供书面整改措施；在一年内，投标人有3次常规考核得分低于80分的，采购人有权终止其配送服务并取消其配送资格。如发现投标人有如下行为之一的，即时取消配送资格，情节严重的还将依法追究其法律责任： 1、有弄虚作假行为的，如提供假证照、供应假冒伪劣产品等。 2、提出整改要求后仍未达到整改要求的。 3、所供货物发生食品安全事故。</w:t>
      </w:r>
      <w:r/>
    </w:p>
    <w:p>
      <w:pPr>
        <w:jc w:val="both"/>
        <w:rPr>
          <w:rFonts w:hint="eastAsia" w:ascii="宋体" w:hAnsi="宋体" w:eastAsia="宋体" w:cs="宋体"/>
        </w:rPr>
      </w:pPr>
      <w:r>
        <w:rPr>
          <w:rFonts w:hint="eastAsia" w:ascii="宋体" w:hAnsi="宋体" w:eastAsia="宋体" w:cs="宋体"/>
          <w:b/>
          <w:sz w:val="21"/>
        </w:rPr>
        <w:t xml:space="preserve">《</w:t>
      </w:r>
      <w:r>
        <w:rPr>
          <w:rFonts w:hint="eastAsia" w:ascii="宋体" w:hAnsi="宋体" w:eastAsia="宋体" w:cs="宋体"/>
          <w:b/>
          <w:sz w:val="21"/>
          <w:lang w:eastAsia="zh-CN"/>
        </w:rPr>
        <w:t xml:space="preserve">投标人</w:t>
      </w:r>
      <w:r>
        <w:rPr>
          <w:rFonts w:hint="eastAsia" w:ascii="宋体" w:hAnsi="宋体" w:eastAsia="宋体" w:cs="宋体"/>
          <w:b/>
          <w:sz w:val="21"/>
        </w:rPr>
        <w:t xml:space="preserve">月度评价表》</w:t>
      </w:r>
      <w:r/>
    </w:p>
    <w:tbl>
      <w:tblPr>
        <w:tblStyle w:val="755"/>
        <w:tblW w:w="0" w:type="auto"/>
        <w:tblInd w:w="-108" w:type="dxa"/>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48"/>
        <w:gridCol w:w="4314"/>
        <w:gridCol w:w="1111"/>
        <w:gridCol w:w="1433"/>
      </w:tblGrid>
      <w:tr>
        <w:trPr/>
        <w:tc>
          <w:tcPr>
            <w:tcW w:w="144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b/>
                <w:sz w:val="24"/>
                <w:szCs w:val="24"/>
              </w:rPr>
              <w:t xml:space="preserve">评价指标</w:t>
            </w:r>
            <w:r/>
          </w:p>
        </w:tc>
        <w:tc>
          <w:tcPr>
            <w:tcW w:w="431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b/>
                <w:sz w:val="24"/>
                <w:szCs w:val="24"/>
              </w:rPr>
              <w:t xml:space="preserve">指标说明</w:t>
            </w:r>
            <w:r/>
          </w:p>
        </w:tc>
        <w:tc>
          <w:tcPr>
            <w:tcW w:w="111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b/>
                <w:sz w:val="24"/>
                <w:szCs w:val="24"/>
              </w:rPr>
              <w:t xml:space="preserve">得分</w:t>
            </w:r>
            <w:r/>
          </w:p>
        </w:tc>
        <w:tc>
          <w:tcPr>
            <w:tcW w:w="143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b/>
                <w:sz w:val="24"/>
                <w:szCs w:val="24"/>
              </w:rPr>
              <w:t xml:space="preserve">扣分原因</w:t>
            </w:r>
            <w:r/>
          </w:p>
        </w:tc>
      </w:tr>
      <w:tr>
        <w:trPr/>
        <w:tc>
          <w:tcPr>
            <w:tcW w:w="144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送货及时性</w:t>
            </w:r>
            <w:r/>
          </w:p>
        </w:tc>
        <w:tc>
          <w:tcPr>
            <w:tcW w:w="4314"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要求按时送货。</w:t>
            </w:r>
            <w:r/>
          </w:p>
          <w:p>
            <w:pPr>
              <w:jc w:val="both"/>
              <w:rPr>
                <w:rFonts w:hint="eastAsia" w:ascii="宋体" w:hAnsi="宋体" w:eastAsia="宋体" w:cs="宋体"/>
                <w:sz w:val="24"/>
                <w:szCs w:val="24"/>
              </w:rPr>
            </w:pPr>
            <w:r>
              <w:rPr>
                <w:rFonts w:hint="eastAsia" w:ascii="宋体" w:hAnsi="宋体" w:eastAsia="宋体" w:cs="宋体"/>
                <w:sz w:val="24"/>
                <w:szCs w:val="24"/>
              </w:rPr>
              <w:t xml:space="preserve">1.送货迟到，但不耽误工作的，每迟到一次扣1分；</w:t>
            </w:r>
            <w:r/>
          </w:p>
          <w:p>
            <w:pPr>
              <w:jc w:val="both"/>
              <w:rPr>
                <w:rFonts w:hint="eastAsia" w:ascii="宋体" w:hAnsi="宋体" w:eastAsia="宋体" w:cs="宋体"/>
                <w:sz w:val="24"/>
                <w:szCs w:val="24"/>
              </w:rPr>
            </w:pPr>
            <w:r>
              <w:rPr>
                <w:rFonts w:hint="eastAsia" w:ascii="宋体" w:hAnsi="宋体" w:eastAsia="宋体" w:cs="宋体"/>
                <w:sz w:val="24"/>
                <w:szCs w:val="24"/>
              </w:rPr>
              <w:t xml:space="preserve">2.送货迟到，且耽误工作的，每迟到一次扣3分。</w:t>
            </w:r>
            <w:r/>
          </w:p>
        </w:tc>
        <w:tc>
          <w:tcPr>
            <w:tcW w:w="1111"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433"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r>
      <w:tr>
        <w:trPr/>
        <w:tc>
          <w:tcPr>
            <w:tcW w:w="144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食品安全</w:t>
            </w:r>
            <w:r/>
          </w:p>
        </w:tc>
        <w:tc>
          <w:tcPr>
            <w:tcW w:w="4314"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1.所供食材已通过检验检疫，但配送时未附相关检验检疫证明的，每次扣1分；</w:t>
            </w:r>
            <w:r/>
          </w:p>
          <w:p>
            <w:pPr>
              <w:jc w:val="both"/>
              <w:rPr>
                <w:rFonts w:hint="eastAsia" w:ascii="宋体" w:hAnsi="宋体" w:eastAsia="宋体" w:cs="宋体"/>
                <w:sz w:val="24"/>
                <w:szCs w:val="24"/>
              </w:rPr>
            </w:pPr>
            <w:r>
              <w:rPr>
                <w:rFonts w:hint="eastAsia" w:ascii="宋体" w:hAnsi="宋体" w:eastAsia="宋体" w:cs="宋体"/>
                <w:sz w:val="24"/>
                <w:szCs w:val="24"/>
              </w:rPr>
              <w:t xml:space="preserve">所供食材未通过相关检验检疫的，每单扣20分；</w:t>
            </w:r>
            <w:r/>
          </w:p>
          <w:p>
            <w:pPr>
              <w:jc w:val="both"/>
              <w:rPr>
                <w:rFonts w:hint="eastAsia" w:ascii="宋体" w:hAnsi="宋体" w:eastAsia="宋体" w:cs="宋体"/>
                <w:sz w:val="24"/>
                <w:szCs w:val="24"/>
              </w:rPr>
            </w:pPr>
            <w:r>
              <w:rPr>
                <w:rFonts w:hint="eastAsia" w:ascii="宋体" w:hAnsi="宋体" w:eastAsia="宋体" w:cs="宋体"/>
                <w:sz w:val="24"/>
                <w:szCs w:val="24"/>
              </w:rPr>
              <w:t xml:space="preserve">2．应用未用冷链配送货品，或运载工具、盛装容器不符合卫生要求的，每次扣3分；</w:t>
            </w:r>
            <w:r/>
          </w:p>
          <w:p>
            <w:pPr>
              <w:jc w:val="both"/>
              <w:rPr>
                <w:rFonts w:hint="eastAsia" w:ascii="宋体" w:hAnsi="宋体" w:eastAsia="宋体" w:cs="宋体"/>
                <w:sz w:val="24"/>
                <w:szCs w:val="24"/>
              </w:rPr>
            </w:pPr>
            <w:r>
              <w:rPr>
                <w:rFonts w:hint="eastAsia" w:ascii="宋体" w:hAnsi="宋体" w:eastAsia="宋体" w:cs="宋体"/>
                <w:sz w:val="24"/>
                <w:szCs w:val="24"/>
              </w:rPr>
              <w:t xml:space="preserve">3．所供食材包装破损或掺有异物，对货品造成污染的，每次扣2分；</w:t>
            </w:r>
            <w:r/>
          </w:p>
          <w:p>
            <w:pPr>
              <w:jc w:val="both"/>
              <w:rPr>
                <w:rFonts w:hint="eastAsia" w:ascii="宋体" w:hAnsi="宋体" w:eastAsia="宋体" w:cs="宋体"/>
                <w:sz w:val="24"/>
                <w:szCs w:val="24"/>
              </w:rPr>
            </w:pPr>
            <w:r>
              <w:rPr>
                <w:rFonts w:hint="eastAsia" w:ascii="宋体" w:hAnsi="宋体" w:eastAsia="宋体" w:cs="宋体"/>
                <w:sz w:val="24"/>
                <w:szCs w:val="24"/>
              </w:rPr>
              <w:t xml:space="preserve">4.所供食材过期或变质的，每次扣15分。</w:t>
            </w:r>
            <w:r/>
          </w:p>
        </w:tc>
        <w:tc>
          <w:tcPr>
            <w:tcW w:w="1111"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433"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r>
      <w:tr>
        <w:trPr/>
        <w:tc>
          <w:tcPr>
            <w:tcW w:w="144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货品质量</w:t>
            </w:r>
            <w:r/>
          </w:p>
        </w:tc>
        <w:tc>
          <w:tcPr>
            <w:tcW w:w="4314"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1.所供货品质量一般，但可使用的，每项扣2分；</w:t>
            </w:r>
            <w:r/>
          </w:p>
          <w:p>
            <w:pPr>
              <w:jc w:val="both"/>
              <w:rPr>
                <w:rFonts w:hint="eastAsia" w:ascii="宋体" w:hAnsi="宋体" w:eastAsia="宋体" w:cs="宋体"/>
                <w:sz w:val="24"/>
                <w:szCs w:val="24"/>
              </w:rPr>
            </w:pPr>
            <w:r>
              <w:rPr>
                <w:rFonts w:hint="eastAsia" w:ascii="宋体" w:hAnsi="宋体" w:eastAsia="宋体" w:cs="宋体"/>
                <w:sz w:val="24"/>
                <w:szCs w:val="24"/>
              </w:rPr>
              <w:t xml:space="preserve">2.所供食材不能食用率5%-10%，每项扣2分；10%-20%，每项扣3分；超20%，每项扣5分；</w:t>
            </w:r>
            <w:r/>
          </w:p>
          <w:p>
            <w:pPr>
              <w:jc w:val="both"/>
              <w:rPr>
                <w:rFonts w:hint="eastAsia" w:ascii="宋体" w:hAnsi="宋体" w:eastAsia="宋体" w:cs="宋体"/>
                <w:sz w:val="24"/>
                <w:szCs w:val="24"/>
              </w:rPr>
            </w:pPr>
            <w:r>
              <w:rPr>
                <w:rFonts w:hint="eastAsia" w:ascii="宋体" w:hAnsi="宋体" w:eastAsia="宋体" w:cs="宋体"/>
                <w:sz w:val="24"/>
                <w:szCs w:val="24"/>
              </w:rPr>
              <w:t xml:space="preserve">3.所供食材剩余质保期未达要求的，每项扣3分；</w:t>
            </w:r>
            <w:r/>
          </w:p>
          <w:p>
            <w:pPr>
              <w:jc w:val="both"/>
              <w:rPr>
                <w:rFonts w:hint="eastAsia" w:ascii="宋体" w:hAnsi="宋体" w:eastAsia="宋体" w:cs="宋体"/>
                <w:sz w:val="24"/>
                <w:szCs w:val="24"/>
              </w:rPr>
            </w:pPr>
            <w:r>
              <w:rPr>
                <w:rFonts w:hint="eastAsia" w:ascii="宋体" w:hAnsi="宋体" w:eastAsia="宋体" w:cs="宋体"/>
                <w:sz w:val="24"/>
                <w:szCs w:val="24"/>
              </w:rPr>
              <w:t xml:space="preserve">4．供货品种、规格与订单或送货单不符的，每次扣2分。</w:t>
            </w:r>
            <w:r/>
          </w:p>
        </w:tc>
        <w:tc>
          <w:tcPr>
            <w:tcW w:w="1111"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433"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r>
      <w:tr>
        <w:trPr/>
        <w:tc>
          <w:tcPr>
            <w:tcW w:w="144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货品数量</w:t>
            </w:r>
            <w:r/>
          </w:p>
        </w:tc>
        <w:tc>
          <w:tcPr>
            <w:tcW w:w="4314"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1.供货数量与订单数量相差超过±5%的，每次扣1分。</w:t>
            </w:r>
            <w:r/>
          </w:p>
          <w:p>
            <w:pPr>
              <w:jc w:val="both"/>
              <w:rPr>
                <w:rFonts w:hint="eastAsia" w:ascii="宋体" w:hAnsi="宋体" w:eastAsia="宋体" w:cs="宋体"/>
                <w:sz w:val="24"/>
                <w:szCs w:val="24"/>
              </w:rPr>
            </w:pPr>
            <w:r>
              <w:rPr>
                <w:rFonts w:hint="eastAsia" w:ascii="宋体" w:hAnsi="宋体" w:eastAsia="宋体" w:cs="宋体"/>
                <w:sz w:val="24"/>
                <w:szCs w:val="24"/>
              </w:rPr>
              <w:t xml:space="preserve">2.供货数量与订单数量相差超过±10%的，每次扣2分。</w:t>
            </w:r>
            <w:r/>
          </w:p>
          <w:p>
            <w:pPr>
              <w:jc w:val="both"/>
              <w:rPr>
                <w:rFonts w:hint="eastAsia" w:ascii="宋体" w:hAnsi="宋体" w:eastAsia="宋体" w:cs="宋体"/>
                <w:sz w:val="24"/>
                <w:szCs w:val="24"/>
              </w:rPr>
            </w:pPr>
            <w:r>
              <w:rPr>
                <w:rFonts w:hint="eastAsia" w:ascii="宋体" w:hAnsi="宋体" w:eastAsia="宋体" w:cs="宋体"/>
                <w:sz w:val="24"/>
                <w:szCs w:val="24"/>
              </w:rPr>
              <w:t xml:space="preserve">3.供货数量与订单数量相差超过±20%的，每次扣3分。</w:t>
            </w:r>
            <w:r/>
          </w:p>
        </w:tc>
        <w:tc>
          <w:tcPr>
            <w:tcW w:w="1111"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433"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r>
      <w:tr>
        <w:trPr/>
        <w:tc>
          <w:tcPr>
            <w:tcW w:w="144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服务质量</w:t>
            </w:r>
            <w:r/>
          </w:p>
        </w:tc>
        <w:tc>
          <w:tcPr>
            <w:tcW w:w="4314"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1.服务态度一般，但问题及时改正的，每次扣1分；</w:t>
            </w:r>
            <w:r/>
          </w:p>
          <w:p>
            <w:pPr>
              <w:jc w:val="both"/>
              <w:rPr>
                <w:rFonts w:hint="eastAsia" w:ascii="宋体" w:hAnsi="宋体" w:eastAsia="宋体" w:cs="宋体"/>
                <w:sz w:val="24"/>
                <w:szCs w:val="24"/>
              </w:rPr>
            </w:pPr>
            <w:r>
              <w:rPr>
                <w:rFonts w:hint="eastAsia" w:ascii="宋体" w:hAnsi="宋体" w:eastAsia="宋体" w:cs="宋体"/>
                <w:sz w:val="24"/>
                <w:szCs w:val="24"/>
              </w:rPr>
              <w:t xml:space="preserve">2.服务态度一般，且问题不能及时改正的，每次扣2分；</w:t>
            </w:r>
            <w:r/>
          </w:p>
          <w:p>
            <w:pPr>
              <w:jc w:val="both"/>
              <w:rPr>
                <w:rFonts w:hint="eastAsia" w:ascii="宋体" w:hAnsi="宋体" w:eastAsia="宋体" w:cs="宋体"/>
                <w:sz w:val="24"/>
                <w:szCs w:val="24"/>
              </w:rPr>
            </w:pPr>
            <w:r>
              <w:rPr>
                <w:rFonts w:hint="eastAsia" w:ascii="宋体" w:hAnsi="宋体" w:eastAsia="宋体" w:cs="宋体"/>
                <w:sz w:val="24"/>
                <w:szCs w:val="24"/>
              </w:rPr>
              <w:t xml:space="preserve">3.服务态度差，且问题不能及时改正的，每次扣3分。</w:t>
            </w:r>
            <w:r/>
          </w:p>
          <w:p>
            <w:pPr>
              <w:jc w:val="both"/>
              <w:rPr>
                <w:rFonts w:hint="eastAsia" w:ascii="宋体" w:hAnsi="宋体" w:eastAsia="宋体" w:cs="宋体"/>
                <w:sz w:val="24"/>
                <w:szCs w:val="24"/>
              </w:rPr>
            </w:pPr>
            <w:r>
              <w:rPr>
                <w:rFonts w:hint="eastAsia" w:ascii="宋体" w:hAnsi="宋体" w:eastAsia="宋体" w:cs="宋体"/>
                <w:sz w:val="24"/>
                <w:szCs w:val="24"/>
              </w:rPr>
              <w:t xml:space="preserve">4.按采购方要求提供数据（单价、数量和总计）准确的电子单据，每次错误扣2分。</w:t>
            </w:r>
            <w:r/>
          </w:p>
        </w:tc>
        <w:tc>
          <w:tcPr>
            <w:tcW w:w="1111"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433"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r>
      <w:tr>
        <w:trPr/>
        <w:tc>
          <w:tcPr>
            <w:tcW w:w="144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综合得分</w:t>
            </w:r>
            <w:r/>
          </w:p>
        </w:tc>
        <w:tc>
          <w:tcPr>
            <w:gridSpan w:val="3"/>
            <w:tcW w:w="6858" w:type="dxa"/>
            <w:vAlign w:val="top"/>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r>
    </w:tbl>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b/>
          <w:sz w:val="24"/>
          <w:szCs w:val="24"/>
        </w:rPr>
        <w:t xml:space="preserve">《食材配送清单》</w:t>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        公司）食材配送清单</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业务电话：</w:t>
      </w:r>
      <w:r/>
    </w:p>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下单电话:</w:t>
      </w:r>
      <w:r/>
    </w:p>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 送货日期：     </w:t>
      </w:r>
      <w:r>
        <w:rPr>
          <w:rFonts w:hint="eastAsia" w:ascii="宋体" w:hAnsi="宋体" w:eastAsia="宋体" w:cs="宋体"/>
          <w:sz w:val="24"/>
          <w:szCs w:val="24"/>
        </w:rPr>
        <w:t xml:space="preserve">        </w:t>
      </w:r>
      <w:r/>
    </w:p>
    <w:tbl>
      <w:tblPr>
        <w:tblStyle w:val="755"/>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9"/>
        <w:gridCol w:w="779"/>
        <w:gridCol w:w="1298"/>
        <w:gridCol w:w="1298"/>
        <w:gridCol w:w="1038"/>
        <w:gridCol w:w="779"/>
        <w:gridCol w:w="779"/>
        <w:gridCol w:w="779"/>
        <w:gridCol w:w="779"/>
      </w:tblGrid>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编码</w:t>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品名规格</w:t>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预定数量</w:t>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实收数</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金额</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9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3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gridSpan w:val="7"/>
            <w:tcW w:w="6750"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合计：（大写）</w:t>
            </w:r>
            <w:r/>
          </w:p>
        </w:tc>
        <w:tc>
          <w:tcPr>
            <w:tcW w:w="779"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77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gridSpan w:val="8"/>
            <w:tcW w:w="7529"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实收金额：</w:t>
            </w:r>
            <w:r/>
          </w:p>
        </w:tc>
        <w:tc>
          <w:tcPr>
            <w:tcW w:w="77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jc w:val="both"/>
        <w:rPr>
          <w:rFonts w:hint="eastAsia" w:ascii="宋体" w:hAnsi="宋体" w:eastAsia="宋体" w:cs="宋体"/>
          <w:sz w:val="24"/>
          <w:szCs w:val="24"/>
        </w:rPr>
      </w:pPr>
      <w:r>
        <w:rPr>
          <w:rFonts w:hint="eastAsia" w:ascii="宋体" w:hAnsi="宋体" w:eastAsia="宋体" w:cs="宋体"/>
          <w:sz w:val="24"/>
          <w:szCs w:val="24"/>
        </w:rPr>
        <w:t xml:space="preserve">送货人签字：               </w:t>
      </w:r>
      <w:r>
        <w:rPr>
          <w:rFonts w:hint="eastAsia" w:ascii="宋体" w:hAnsi="宋体" w:eastAsia="宋体" w:cs="宋体"/>
          <w:sz w:val="24"/>
          <w:szCs w:val="24"/>
          <w:lang w:val="en-US" w:eastAsia="zh-CN"/>
        </w:rPr>
        <w:t xml:space="preserve">收货人</w:t>
      </w:r>
      <w:r>
        <w:rPr>
          <w:rFonts w:hint="eastAsia" w:ascii="宋体" w:hAnsi="宋体" w:eastAsia="宋体" w:cs="宋体"/>
          <w:sz w:val="24"/>
          <w:szCs w:val="24"/>
        </w:rPr>
        <w:t xml:space="preserve">签字：           </w:t>
      </w:r>
      <w:r>
        <w:rPr>
          <w:rFonts w:hint="eastAsia" w:ascii="宋体" w:hAnsi="宋体" w:eastAsia="宋体" w:cs="宋体"/>
          <w:sz w:val="24"/>
          <w:szCs w:val="24"/>
          <w:lang w:val="en-US" w:eastAsia="zh-CN"/>
        </w:rPr>
        <w:t xml:space="preserve">监督人</w:t>
      </w:r>
      <w:r>
        <w:rPr>
          <w:rFonts w:hint="eastAsia" w:ascii="宋体" w:hAnsi="宋体" w:eastAsia="宋体" w:cs="宋体"/>
          <w:sz w:val="24"/>
          <w:szCs w:val="24"/>
        </w:rPr>
        <w:t xml:space="preserve">签字：    </w:t>
      </w:r>
      <w:r/>
    </w:p>
    <w:p>
      <w:pPr>
        <w:ind w:firstLine="482"/>
        <w:jc w:val="left"/>
        <w:spacing w:line="500" w:lineRule="exact"/>
        <w:rPr>
          <w:rFonts w:hint="eastAsia" w:ascii="宋体" w:hAnsi="宋体" w:eastAsia="宋体" w:cs="宋体"/>
          <w:b/>
          <w:bCs/>
          <w:i w:val="0"/>
          <w:color w:val="000000"/>
          <w:sz w:val="24"/>
          <w:szCs w:val="24"/>
          <w:u w:val="none"/>
          <w:lang w:val="en-US" w:eastAsia="zh-CN" w:bidi="ar"/>
        </w:rPr>
      </w:pPr>
      <w:r>
        <w:rPr>
          <w:rFonts w:hint="eastAsia" w:ascii="宋体" w:hAnsi="宋体" w:eastAsia="宋体" w:cs="宋体"/>
          <w:b/>
          <w:bCs/>
          <w:i w:val="0"/>
          <w:color w:val="000000"/>
          <w:sz w:val="24"/>
          <w:szCs w:val="24"/>
          <w:u w:val="none"/>
          <w:lang w:val="en-US" w:eastAsia="zh-CN" w:bidi="ar"/>
        </w:rPr>
        <w:t xml:space="preserve">十五、验收要求</w:t>
      </w:r>
      <w:r/>
    </w:p>
    <w:p>
      <w:pPr>
        <w:ind w:firstLine="480"/>
        <w:jc w:val="left"/>
        <w:spacing w:line="500" w:lineRule="exact"/>
        <w:rPr>
          <w:rFonts w:hint="eastAsia" w:ascii="宋体" w:hAnsi="宋体" w:eastAsia="宋体" w:cs="宋体"/>
          <w:b w:val="0"/>
          <w:bCs/>
          <w:sz w:val="24"/>
          <w:szCs w:val="24"/>
        </w:rPr>
      </w:pPr>
      <w:r>
        <w:rPr>
          <w:rFonts w:hint="eastAsia" w:ascii="宋体" w:hAnsi="宋体" w:eastAsia="宋体" w:cs="宋体"/>
          <w:b w:val="0"/>
          <w:bCs w:val="0"/>
          <w:i w:val="0"/>
          <w:color w:val="000000"/>
          <w:sz w:val="24"/>
          <w:szCs w:val="24"/>
          <w:u w:val="none"/>
          <w:lang w:val="en-US" w:eastAsia="zh-CN" w:bidi="ar"/>
        </w:rPr>
        <w:t xml:space="preserve">1、验收工作由采购人</w:t>
      </w:r>
      <w:r>
        <w:rPr>
          <w:rFonts w:hint="eastAsia" w:ascii="宋体" w:hAnsi="宋体" w:eastAsia="宋体" w:cs="宋体"/>
          <w:b w:val="0"/>
          <w:bCs/>
          <w:sz w:val="24"/>
          <w:szCs w:val="24"/>
        </w:rPr>
        <w:t xml:space="preserve">、餐厅验收人员</w:t>
      </w:r>
      <w:r>
        <w:rPr>
          <w:rFonts w:hint="eastAsia" w:ascii="宋体" w:hAnsi="宋体" w:eastAsia="宋体" w:cs="宋体"/>
          <w:b w:val="0"/>
          <w:bCs w:val="0"/>
          <w:i w:val="0"/>
          <w:color w:val="000000"/>
          <w:sz w:val="24"/>
          <w:szCs w:val="24"/>
          <w:u w:val="none"/>
          <w:lang w:val="en-US" w:eastAsia="zh-CN" w:bidi="ar"/>
        </w:rPr>
        <w:t xml:space="preserve">和投标人</w:t>
      </w:r>
      <w:r>
        <w:rPr>
          <w:rFonts w:hint="eastAsia" w:ascii="宋体" w:hAnsi="宋体" w:eastAsia="宋体" w:cs="宋体"/>
          <w:b w:val="0"/>
          <w:bCs/>
          <w:sz w:val="24"/>
          <w:szCs w:val="24"/>
        </w:rPr>
        <w:t xml:space="preserve">依据招标文件及合同约定的质量标准</w:t>
      </w:r>
      <w:r>
        <w:rPr>
          <w:rFonts w:hint="eastAsia" w:ascii="宋体" w:hAnsi="宋体" w:eastAsia="宋体" w:cs="宋体"/>
          <w:b w:val="0"/>
          <w:bCs/>
          <w:sz w:val="24"/>
          <w:szCs w:val="24"/>
          <w:lang w:val="en-US" w:eastAsia="zh-CN"/>
        </w:rPr>
        <w:t xml:space="preserve">共同验收</w:t>
      </w:r>
      <w:r>
        <w:rPr>
          <w:rFonts w:hint="eastAsia" w:ascii="宋体" w:hAnsi="宋体" w:eastAsia="宋体" w:cs="宋体"/>
          <w:b w:val="0"/>
          <w:bCs/>
          <w:sz w:val="24"/>
          <w:szCs w:val="24"/>
        </w:rPr>
        <w:t xml:space="preserve">和判定货物是否合格。</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采购人在进行验收时，应做到专人验收、专人记录；所购食品原辅料除符合感官性状卫生要求（验收标准另定）外，必要时送卫生质量部门检验。验收人员根据相关规定确保食品品种符合要求，如确定有所差异，应即刻通知投标人送货人员。如发现食品有损坏的情况，应在相关单据上记录所有损坏情况。并对货物损坏情况进行拍照并存档。对于食品验收的全部信息数据，采购人验收人员和投标人一起确认，并保留双方签字单据。</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3、所验收的物资必须是后厨前一天或者当天应急采购所下单物资，均必须先经质检和验秤，然后入库，严禁未经质检和验秤就将采购物资直接送入食堂。对于采购没有下单的商品，不得擅自作主入库。</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4、预包装原材料外包装已经破损或散乱的预包装原材料禁止收货进库；同样产品实际收货的原材料生产日期早于库房存货日期的预包装原材料、各种调料禁止收货进库。</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5、畜禽肉食类产品要索取本批次检疫合格证；肉类实际验收的重量不大于当批次检疫票标注的重量；预包装原料同种品牌不同规格的食品必须做到每一规格一证。</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8、验收人员对购进的各类商品和各种菜类、肉类和食品辅料类应逐一进行质量检验。凡腐烂变质的、有黄斑菜叶、超过保质期的、剩余保质期不足规定保质期2/3时间的等不合格商品、菜品一律拒收入库，对库存的各类商品和菜品定期做好检验，发现有变质征兆的须及时报告，并及时按规定程序进行处理，并做好出库记录。</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9、采购、质检均要进行感官检查，对食品通过看、嗅、触、尝、试等方法对食品质量作初步判断，所有的产品都应具有正常的感官性状。禁止采购感官状况异常的食品和原料，土豆必须打开编织袋进行检查，发芽土豆不得验收入库。</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10、验收频次：凡进货一次，无论数量多少，都必须验收一次，收货的同时，必须索验相关证件，并作好物资台账记录。</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11、验收完毕后，双方须在《食材配送清单》上签名确认，配送清单作为采购人支付货款的依据之一。如供货当天因不可抗力原因无法提供《食材配送清单》，须经采购人同意后12小时内补齐《食材配送清单》。</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3、履约验收内容：服务期内所供食材品种、数量、质量、价格等。</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4、履约验收标准：</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4.1所供食材符合《中华人民共和国食品安全法》要求；</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4.2所供食材符合国家行业生产及经营标准，货真价实，均能提供相应批次的合格检验证明；</w:t>
      </w:r>
      <w:r/>
    </w:p>
    <w:p>
      <w:pPr>
        <w:ind w:firstLine="480"/>
        <w:keepLines w:val="0"/>
        <w:keepNext w:val="0"/>
        <w:pageBreakBefore w:val="0"/>
        <w:spacing w:line="440" w:lineRule="exact"/>
        <w:widowControl w:val="off"/>
        <w:rPr>
          <w:rFonts w:hint="eastAsia" w:ascii="宋体" w:hAnsi="宋体" w:eastAsia="宋体" w:cs="宋体"/>
          <w:b/>
          <w:sz w:val="44"/>
          <w:szCs w:val="44"/>
        </w:rPr>
      </w:pPr>
      <w:r>
        <w:rPr>
          <w:rFonts w:hint="eastAsia" w:ascii="宋体" w:hAnsi="宋体" w:eastAsia="宋体" w:cs="宋体"/>
          <w:b w:val="0"/>
          <w:bCs w:val="0"/>
          <w:i w:val="0"/>
          <w:color w:val="000000"/>
          <w:sz w:val="24"/>
          <w:szCs w:val="24"/>
          <w:u w:val="none"/>
          <w:lang w:val="en-US" w:eastAsia="zh-CN" w:bidi="ar"/>
        </w:rPr>
        <w:t xml:space="preserve">4.3投标人所供应的货品必须符合国家和宿迁市的相关安全质量标准、卫生标准等，同时符合采购人的使用要求，包括但不限于各分包所列的货品质量要求。                    5、</w:t>
      </w:r>
      <w:r>
        <w:rPr>
          <w:rFonts w:hint="eastAsia" w:ascii="宋体" w:hAnsi="宋体" w:eastAsia="宋体" w:cs="宋体"/>
          <w:sz w:val="24"/>
          <w:szCs w:val="24"/>
          <w:lang w:val="en-US" w:eastAsia="zh-CN"/>
        </w:rPr>
        <w:t xml:space="preserve">投</w:t>
      </w:r>
      <w:r>
        <w:rPr>
          <w:rFonts w:hint="eastAsia" w:ascii="宋体" w:hAnsi="宋体" w:eastAsia="宋体" w:cs="宋体"/>
          <w:b w:val="0"/>
          <w:bCs w:val="0"/>
          <w:i w:val="0"/>
          <w:color w:val="000000"/>
          <w:sz w:val="24"/>
          <w:szCs w:val="24"/>
          <w:u w:val="none"/>
          <w:lang w:val="en-US" w:eastAsia="zh-CN" w:bidi="ar"/>
        </w:rPr>
        <w:t xml:space="preserve">标人在接受订单时须确认采购人对货品的使用要求，对于不符合采购人要求的货品，采购人有权拒收或要求更换。</w:t>
      </w:r>
      <w:bookmarkStart w:id="130" w:name="_Toc81575169"/>
      <w:r/>
      <w:bookmarkStart w:id="131" w:name="_Toc22098"/>
      <w:r/>
      <w:bookmarkStart w:id="132" w:name="_Toc81575206"/>
      <w:r/>
      <w:bookmarkStart w:id="133" w:name="_Toc31499"/>
      <w:r/>
      <w:bookmarkStart w:id="134" w:name="_Toc19774"/>
      <w:r/>
      <w:r/>
    </w:p>
    <w:p>
      <w:pPr>
        <w:pStyle w:val="781"/>
        <w:jc w:val="center"/>
        <w:spacing w:before="200"/>
        <w:rPr>
          <w:rFonts w:hint="eastAsia" w:ascii="宋体" w:hAnsi="宋体" w:eastAsia="宋体" w:cs="宋体"/>
          <w:b/>
          <w:sz w:val="44"/>
          <w:szCs w:val="44"/>
        </w:rPr>
      </w:pPr>
      <w:r>
        <w:rPr>
          <w:rFonts w:hint="eastAsia" w:ascii="宋体" w:hAnsi="宋体" w:eastAsia="宋体" w:cs="宋体"/>
          <w:b/>
          <w:sz w:val="44"/>
          <w:szCs w:val="44"/>
        </w:rPr>
      </w:r>
      <w:r/>
    </w:p>
    <w:p>
      <w:pPr>
        <w:pStyle w:val="781"/>
        <w:jc w:val="center"/>
        <w:spacing w:before="200"/>
        <w:rPr>
          <w:rFonts w:hint="eastAsia" w:ascii="宋体" w:hAnsi="宋体" w:eastAsia="宋体" w:cs="宋体"/>
          <w:b/>
          <w:sz w:val="44"/>
          <w:szCs w:val="44"/>
        </w:rPr>
      </w:pPr>
      <w:r>
        <w:rPr>
          <w:rFonts w:hint="eastAsia" w:ascii="宋体" w:hAnsi="宋体" w:eastAsia="宋体" w:cs="宋体"/>
          <w:b/>
          <w:sz w:val="44"/>
          <w:szCs w:val="44"/>
        </w:rPr>
        <w:t xml:space="preserve">第五章  合同文本</w:t>
      </w:r>
      <w:bookmarkEnd w:id="130"/>
      <w:r/>
      <w:bookmarkEnd w:id="131"/>
      <w:r/>
      <w:bookmarkEnd w:id="132"/>
      <w:r/>
      <w:bookmarkEnd w:id="133"/>
      <w:r/>
      <w:bookmarkEnd w:id="134"/>
      <w:r/>
      <w:bookmarkStart w:id="135" w:name="_Toc16938559"/>
      <w:r/>
      <w:bookmarkStart w:id="136" w:name="_Toc20823315"/>
      <w:r/>
      <w:bookmarkStart w:id="137" w:name="_Toc513029243"/>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采购单位(全称):</w:t>
      </w:r>
      <w:r>
        <w:rPr>
          <w:rFonts w:hint="eastAsia" w:ascii="宋体" w:hAnsi="宋体" w:eastAsia="宋体" w:cs="宋体"/>
          <w:color w:val="000000"/>
          <w:sz w:val="24"/>
          <w:highlight w:val="none"/>
          <w:u w:val="single"/>
          <w:lang w:val="zh-CN" w:eastAsia="zh-CN"/>
        </w:rPr>
        <w:t xml:space="preserve">宿迁市公安局(简称甲方)</w:t>
      </w:r>
      <w:r/>
    </w:p>
    <w:p>
      <w:pPr>
        <w:ind w:firstLine="480"/>
        <w:keepLines w:val="0"/>
        <w:keepNext w:val="0"/>
        <w:pageBreakBefore w:val="0"/>
        <w:spacing w:line="440" w:lineRule="exact"/>
        <w:widowControl w:val="off"/>
        <w:rPr>
          <w:rFonts w:hint="eastAsia" w:ascii="宋体" w:hAnsi="宋体" w:eastAsia="宋体" w:cs="宋体"/>
          <w:color w:val="000000"/>
          <w:sz w:val="24"/>
          <w:highlight w:val="none"/>
          <w:u w:val="single"/>
          <w:lang w:val="zh-CN" w:eastAsia="zh-CN"/>
        </w:rPr>
      </w:pPr>
      <w:r>
        <w:rPr>
          <w:rFonts w:hint="eastAsia" w:ascii="宋体" w:hAnsi="宋体" w:eastAsia="宋体" w:cs="宋体"/>
          <w:color w:val="000000"/>
          <w:sz w:val="24"/>
          <w:highlight w:val="none"/>
          <w:lang w:val="zh-CN" w:eastAsia="zh-CN"/>
        </w:rPr>
        <w:t xml:space="preserve">中标</w:t>
      </w:r>
      <w:r>
        <w:rPr>
          <w:rFonts w:hint="eastAsia" w:ascii="宋体" w:hAnsi="宋体" w:eastAsia="宋体" w:cs="宋体"/>
          <w:color w:val="000000"/>
          <w:sz w:val="24"/>
          <w:szCs w:val="24"/>
          <w:lang w:val="zh-CN" w:eastAsia="zh-CN"/>
        </w:rPr>
        <w:t xml:space="preserve">供应商</w:t>
      </w:r>
      <w:r>
        <w:rPr>
          <w:rFonts w:hint="eastAsia" w:ascii="宋体" w:hAnsi="宋体" w:eastAsia="宋体" w:cs="宋体"/>
          <w:color w:val="000000"/>
          <w:sz w:val="24"/>
          <w:highlight w:val="none"/>
          <w:lang w:val="zh-CN" w:eastAsia="zh-CN"/>
        </w:rPr>
        <w:t xml:space="preserve">(全称):</w:t>
      </w:r>
      <w:r>
        <w:rPr>
          <w:rFonts w:hint="eastAsia" w:ascii="宋体" w:hAnsi="宋体" w:eastAsia="宋体" w:cs="宋体"/>
          <w:color w:val="000000"/>
          <w:sz w:val="24"/>
          <w:highlight w:val="none"/>
          <w:u w:val="single"/>
          <w:lang w:val="zh-CN" w:eastAsia="zh-CN"/>
        </w:rPr>
        <w:t xml:space="preserve">(简称乙方)</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根据《中华人民共和国民法典》、《中华人民共和国政府采购法》等相关法律法规及本项目采购文件的规定，遵循平等、自愿、公平和诚实信用的原则，经宿迁市公安局(以下简称：甲方)和(以下简称：乙方)协商一致，约定以下合同条款，以兹共同遵守、全面履行。</w:t>
      </w:r>
      <w:bookmarkStart w:id="138" w:name="_Toc1926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合同组成部分</w:t>
      </w:r>
      <w:bookmarkEnd w:id="13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所有经双方签署确认的文件(包括会议纪要、补充协议、往来信函)、采购文件、要约文件和响应承诺文件、合同附件及成交通知书均为本合同不可分割的有效组成部分，与本合同具有同等的法律效力和履约义务，其缔约生效日期为有效签署或盖章确认之日期。包括但不限于以下内容：</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1.1.1双方在合同执行过程中达成的书面补充和修正文件；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1.1.2本合同；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1.1.3成交通知书；</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1.1.4招标文件；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1.1.5投标文件及其附件；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1.1.6标准、规范及有关技术文件。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1.1.7但如乙方在投标时作为竞争条件而在投标文件及其附件中作出比招标文件及答疑纪要和本合同更有利于甲方的响应，则投标文件及其附件中更有利于甲方的相关条款内容的解释顺序优于招标文件及答疑纪要和本合同，乙方须按这些响应承诺履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注：上述所指合同文件应认为是互相补充和解释的，但是有模棱两可或互相矛盾之处，以其所列内容顺序为准。</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1.1.8未经甲方书面同意，乙方不得擅自向第三方转让本合同项下任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何权利和义务。</w:t>
      </w:r>
      <w:r/>
    </w:p>
    <w:p>
      <w:pPr>
        <w:ind w:firstLine="480"/>
        <w:jc w:val="left"/>
        <w:spacing w:line="520" w:lineRule="exact"/>
        <w:rPr>
          <w:rFonts w:hint="eastAsia" w:ascii="宋体" w:hAnsi="宋体" w:eastAsia="宋体" w:cs="宋体"/>
          <w:sz w:val="24"/>
          <w:szCs w:val="24"/>
          <w:lang w:val="zh-CN" w:eastAsia="zh-CN"/>
        </w:rPr>
      </w:pPr>
      <w:r/>
      <w:bookmarkStart w:id="139" w:name="_Toc25615"/>
      <w:r>
        <w:rPr>
          <w:rFonts w:hint="eastAsia" w:ascii="宋体" w:hAnsi="宋体" w:eastAsia="宋体" w:cs="宋体"/>
          <w:sz w:val="24"/>
          <w:szCs w:val="24"/>
          <w:lang w:val="zh-CN" w:eastAsia="zh-CN"/>
        </w:rPr>
        <w:t xml:space="preserve">1.2标的</w:t>
      </w:r>
      <w:bookmarkEnd w:id="13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1.2.1标的名称：</w:t>
      </w:r>
      <w:r>
        <w:rPr>
          <w:rFonts w:hint="eastAsia" w:ascii="宋体" w:hAnsi="宋体" w:eastAsia="宋体" w:cs="宋体"/>
          <w:bCs/>
          <w:sz w:val="24"/>
          <w:szCs w:val="24"/>
          <w:lang w:eastAsia="zh-CN"/>
        </w:rPr>
        <w:t xml:space="preserve">宿迁市公安局2026年度食堂食材采购项目</w:t>
      </w:r>
      <w:r>
        <w:rPr>
          <w:rFonts w:hint="eastAsia" w:ascii="宋体" w:hAnsi="宋体" w:eastAsia="宋体" w:cs="宋体"/>
          <w:sz w:val="24"/>
          <w:szCs w:val="24"/>
          <w:lang w:val="zh-CN" w:eastAsia="zh-CN"/>
        </w:rPr>
        <w:t xml:space="preserve">;</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1.2.1标的内容：</w:t>
      </w:r>
      <w:r>
        <w:rPr>
          <w:rFonts w:hint="eastAsia" w:ascii="宋体" w:hAnsi="宋体" w:eastAsia="宋体" w:cs="宋体"/>
          <w:bCs/>
          <w:sz w:val="24"/>
          <w:szCs w:val="24"/>
          <w:lang w:eastAsia="zh-CN"/>
        </w:rPr>
        <w:t xml:space="preserve">宿迁市公安局2026年度食堂食材采购</w:t>
      </w:r>
      <w:r/>
    </w:p>
    <w:p>
      <w:pPr>
        <w:ind w:firstLine="480"/>
        <w:jc w:val="left"/>
        <w:spacing w:line="520" w:lineRule="exact"/>
        <w:rPr>
          <w:rFonts w:hint="eastAsia" w:ascii="宋体" w:hAnsi="宋体" w:eastAsia="宋体" w:cs="宋体"/>
          <w:sz w:val="24"/>
          <w:szCs w:val="24"/>
          <w:lang w:val="zh-CN" w:eastAsia="zh-CN"/>
        </w:rPr>
      </w:pPr>
      <w:r/>
      <w:bookmarkStart w:id="140" w:name="_Toc32298"/>
      <w:r>
        <w:rPr>
          <w:rFonts w:hint="eastAsia" w:ascii="宋体" w:hAnsi="宋体" w:eastAsia="宋体" w:cs="宋体"/>
          <w:sz w:val="24"/>
          <w:szCs w:val="24"/>
          <w:lang w:val="zh-CN" w:eastAsia="zh-CN"/>
        </w:rPr>
        <w:t xml:space="preserve">1.3价款</w:t>
      </w:r>
      <w:bookmarkEnd w:id="14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乙方根据甲方需求，乙方以中标价格向甲方供应质量合格的</w:t>
      </w:r>
      <w:r>
        <w:rPr>
          <w:rFonts w:hint="eastAsia" w:ascii="宋体" w:hAnsi="宋体" w:eastAsia="宋体" w:cs="宋体"/>
          <w:sz w:val="24"/>
          <w:szCs w:val="24"/>
          <w:lang w:val="en-US" w:eastAsia="zh-CN"/>
        </w:rPr>
        <w:t xml:space="preserve">食材</w:t>
      </w:r>
      <w:r>
        <w:rPr>
          <w:rFonts w:hint="eastAsia" w:ascii="宋体" w:hAnsi="宋体" w:eastAsia="宋体" w:cs="宋体"/>
          <w:sz w:val="24"/>
          <w:szCs w:val="24"/>
          <w:lang w:val="zh-CN" w:eastAsia="zh-CN"/>
        </w:rPr>
        <w:t xml:space="preserve">。提供的所有</w:t>
      </w:r>
      <w:r>
        <w:rPr>
          <w:rFonts w:hint="eastAsia" w:ascii="宋体" w:hAnsi="宋体" w:eastAsia="宋体" w:cs="宋体"/>
          <w:sz w:val="24"/>
          <w:szCs w:val="24"/>
          <w:lang w:val="en-US" w:eastAsia="zh-CN"/>
        </w:rPr>
        <w:t xml:space="preserve">食材</w:t>
      </w:r>
      <w:r>
        <w:rPr>
          <w:rFonts w:hint="eastAsia" w:ascii="宋体" w:hAnsi="宋体" w:eastAsia="宋体" w:cs="宋体"/>
          <w:sz w:val="24"/>
          <w:szCs w:val="24"/>
          <w:lang w:val="zh-CN" w:eastAsia="zh-CN"/>
        </w:rPr>
        <w:t xml:space="preserve">按以下折扣率执行。</w:t>
      </w:r>
      <w:r/>
    </w:p>
    <w:tbl>
      <w:tblPr>
        <w:tblStyle w:val="755"/>
        <w:tblW w:w="5000" w:type="pct"/>
        <w:tblInd w:w="-30" w:type="dxa"/>
        <w:tblLayout w:type="autofit"/>
        <w:tblCellMar>
          <w:left w:w="30" w:type="dxa"/>
          <w:top w:w="0" w:type="dxa"/>
          <w:right w:w="30" w:type="dxa"/>
          <w:bottom w:w="0" w:type="dxa"/>
        </w:tblCellMar>
        <w:tblLook w:val="04A0" w:firstRow="1" w:lastRow="0" w:firstColumn="1" w:lastColumn="0" w:noHBand="0" w:noVBand="1"/>
      </w:tblPr>
      <w:tblGrid>
        <w:gridCol w:w="1037"/>
        <w:gridCol w:w="3751"/>
        <w:gridCol w:w="4456"/>
      </w:tblGrid>
      <w:tr>
        <w:trPr>
          <w:trHeight w:val="420"/>
        </w:trPr>
        <w:tc>
          <w:tcPr>
            <w:tcBorders>
              <w:top w:val="single" w:color="000000" w:sz="6" w:space="0"/>
              <w:left w:val="single" w:color="000000" w:sz="6" w:space="0"/>
              <w:bottom w:val="single" w:color="000000" w:sz="6" w:space="0"/>
              <w:right w:val="single" w:color="000000" w:sz="6" w:space="0"/>
            </w:tcBorders>
            <w:tcW w:w="561" w:type="dxa"/>
            <w:vAlign w:val="center"/>
            <w:textDirection w:val="lrTb"/>
            <w:noWrap w:val="false"/>
          </w:tcPr>
          <w:p>
            <w:pPr>
              <w:jc w:val="center"/>
              <w:rPr>
                <w:rFonts w:hint="eastAsia" w:ascii="宋体" w:hAnsi="宋体" w:eastAsia="宋体" w:cs="宋体"/>
                <w:b w:val="0"/>
                <w:position w:val="0"/>
                <w:szCs w:val="24"/>
              </w:rPr>
            </w:pPr>
            <w:r>
              <w:rPr>
                <w:rFonts w:hint="eastAsia" w:ascii="宋体" w:hAnsi="宋体" w:eastAsia="宋体" w:cs="宋体"/>
                <w:b w:val="0"/>
                <w:position w:val="0"/>
                <w:szCs w:val="24"/>
              </w:rPr>
              <w:t xml:space="preserve">序号</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jc w:val="center"/>
              <w:rPr>
                <w:rFonts w:hint="eastAsia" w:ascii="宋体" w:hAnsi="宋体" w:eastAsia="宋体" w:cs="宋体"/>
                <w:b w:val="0"/>
                <w:position w:val="0"/>
                <w:szCs w:val="24"/>
              </w:rPr>
            </w:pPr>
            <w:r>
              <w:rPr>
                <w:rFonts w:hint="eastAsia" w:ascii="宋体" w:hAnsi="宋体" w:eastAsia="宋体" w:cs="宋体"/>
                <w:b w:val="0"/>
                <w:position w:val="0"/>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jc w:val="center"/>
              <w:rPr>
                <w:rFonts w:hint="eastAsia" w:ascii="宋体" w:hAnsi="宋体" w:eastAsia="宋体" w:cs="宋体"/>
                <w:b w:val="0"/>
                <w:position w:val="0"/>
                <w:szCs w:val="24"/>
              </w:rPr>
            </w:pPr>
            <w:r>
              <w:rPr>
                <w:rFonts w:hint="eastAsia" w:ascii="宋体" w:hAnsi="宋体" w:eastAsia="宋体" w:cs="宋体"/>
                <w:b w:val="0"/>
                <w:position w:val="0"/>
                <w:szCs w:val="24"/>
              </w:rPr>
              <w:t xml:space="preserve">折扣率</w:t>
            </w:r>
            <w:r/>
          </w:p>
        </w:tc>
      </w:tr>
      <w:tr>
        <w:trPr>
          <w:trHeight w:val="1167"/>
        </w:trPr>
        <w:tc>
          <w:tcPr>
            <w:tcBorders>
              <w:top w:val="single" w:color="000000" w:sz="6" w:space="0"/>
              <w:left w:val="single" w:color="000000" w:sz="6" w:space="0"/>
              <w:bottom w:val="single" w:color="000000" w:sz="6" w:space="0"/>
              <w:right w:val="single" w:color="000000" w:sz="6" w:space="0"/>
            </w:tcBorders>
            <w:tcW w:w="561" w:type="dxa"/>
            <w:vAlign w:val="center"/>
            <w:textDirection w:val="lrTb"/>
            <w:noWrap w:val="false"/>
          </w:tcPr>
          <w:p>
            <w:pPr>
              <w:jc w:val="center"/>
              <w:rPr>
                <w:rFonts w:hint="eastAsia" w:ascii="宋体" w:hAnsi="宋体" w:eastAsia="宋体" w:cs="宋体"/>
                <w:b w:val="0"/>
                <w:position w:val="0"/>
                <w:szCs w:val="24"/>
              </w:rPr>
            </w:pPr>
            <w:r>
              <w:rPr>
                <w:rFonts w:hint="eastAsia" w:ascii="宋体" w:hAnsi="宋体" w:eastAsia="宋体" w:cs="宋体"/>
                <w:b w:val="0"/>
                <w:position w:val="0"/>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rPr>
                <w:rFonts w:hint="eastAsia" w:ascii="宋体" w:hAnsi="宋体" w:eastAsia="宋体" w:cs="宋体"/>
                <w:b w:val="0"/>
                <w:position w:val="0"/>
                <w:szCs w:val="24"/>
              </w:rPr>
            </w:pPr>
            <w:r>
              <w:rPr>
                <w:rFonts w:hint="eastAsia" w:ascii="宋体" w:hAnsi="宋体" w:eastAsia="宋体" w:cs="宋体"/>
                <w:b w:val="0"/>
                <w:position w:val="0"/>
                <w:szCs w:val="24"/>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jc w:val="center"/>
              <w:rPr>
                <w:rFonts w:hint="eastAsia" w:ascii="宋体" w:hAnsi="宋体" w:eastAsia="宋体" w:cs="宋体"/>
                <w:b w:val="0"/>
                <w:position w:val="0"/>
                <w:szCs w:val="24"/>
              </w:rPr>
            </w:pPr>
            <w:r>
              <w:rPr>
                <w:rFonts w:hint="eastAsia" w:ascii="宋体" w:hAnsi="宋体" w:eastAsia="宋体" w:cs="宋体"/>
                <w:b w:val="0"/>
                <w:position w:val="0"/>
                <w:szCs w:val="24"/>
              </w:rPr>
              <w:t xml:space="preserve">小写：   %</w:t>
            </w:r>
            <w:r/>
          </w:p>
          <w:p>
            <w:pPr>
              <w:jc w:val="center"/>
              <w:rPr>
                <w:rFonts w:hint="eastAsia" w:ascii="宋体" w:hAnsi="宋体" w:eastAsia="宋体" w:cs="宋体"/>
                <w:b w:val="0"/>
                <w:position w:val="0"/>
                <w:sz w:val="21"/>
                <w:szCs w:val="24"/>
              </w:rPr>
            </w:pPr>
            <w:r>
              <w:rPr>
                <w:rFonts w:hint="eastAsia" w:ascii="宋体" w:hAnsi="宋体" w:eastAsia="宋体" w:cs="宋体"/>
                <w:b w:val="0"/>
                <w:position w:val="0"/>
                <w:szCs w:val="24"/>
              </w:rPr>
              <w:t xml:space="preserve">大写：百分之</w:t>
            </w:r>
            <w:r/>
          </w:p>
        </w:tc>
      </w:tr>
    </w:tbl>
    <w:p>
      <w:pPr>
        <w:ind w:firstLine="480"/>
        <w:jc w:val="left"/>
        <w:spacing w:line="520" w:lineRule="exact"/>
        <w:rPr>
          <w:rFonts w:hint="eastAsia" w:ascii="宋体" w:hAnsi="宋体" w:eastAsia="宋体" w:cs="宋体"/>
          <w:b w:val="0"/>
          <w:position w:val="0"/>
          <w:szCs w:val="24"/>
          <w:lang w:val="zh-CN" w:bidi="zh-CN"/>
        </w:rPr>
      </w:pPr>
      <w:r>
        <w:rPr>
          <w:rFonts w:hint="eastAsia" w:ascii="宋体" w:hAnsi="宋体" w:eastAsia="宋体" w:cs="宋体"/>
          <w:sz w:val="24"/>
          <w:szCs w:val="24"/>
          <w:lang w:val="zh-CN" w:eastAsia="zh-CN"/>
        </w:rPr>
        <w:t xml:space="preserve">注：</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乙方报价为折扣率，</w:t>
      </w:r>
      <w:r>
        <w:rPr>
          <w:rFonts w:hint="eastAsia" w:ascii="宋体" w:hAnsi="宋体" w:eastAsia="宋体" w:cs="宋体"/>
          <w:sz w:val="24"/>
          <w:szCs w:val="24"/>
          <w:lang w:val="en-US" w:eastAsia="zh-CN"/>
        </w:rPr>
        <w:t xml:space="preserve">所有货物按“宿迁阳光物价网”（网址：http://ygwj.fgw.suqian.gov.cn/ ）公布的每日主副食品价格平均价格*中标折扣*实际数量进行结算，如遇宿迁阳光物价网没有该类食材价格，乙方应提前通知甲方，以甲方及各采购包乙方双方共同在每供应月中期在京东折扣超市、大润发超市等大型超市或周边大、中型农贸市场的询价结果的平均数作为价格基准依据*投标时折扣率*实际数量结算。【例：宿迁阳光物价网公示的鲫鱼平均价为13元，投标人中标折扣为90%，则鲫鱼价格为11.7元，依次类推】。</w:t>
      </w:r>
      <w:r/>
    </w:p>
    <w:p>
      <w:pPr>
        <w:numPr>
          <w:ilvl w:val="0"/>
          <w:numId w:val="4"/>
        </w:num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本合同价格包括所乙方提供货物的产品费用、检验费、维护费用、税金及其他有关的为完成本项目发生的所有费用，招标文件中另有规定的除外。</w:t>
      </w:r>
      <w:r/>
    </w:p>
    <w:p>
      <w:pPr>
        <w:numPr>
          <w:ilvl w:val="0"/>
          <w:numId w:val="4"/>
        </w:num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本合同价格还包含乙方提供的伴随服务/售后服务费用</w:t>
      </w:r>
      <w:r/>
    </w:p>
    <w:p>
      <w:pPr>
        <w:ind w:firstLine="480"/>
        <w:jc w:val="left"/>
        <w:spacing w:line="520" w:lineRule="exact"/>
        <w:rPr>
          <w:rFonts w:hint="eastAsia" w:ascii="宋体" w:hAnsi="宋体" w:eastAsia="宋体" w:cs="宋体"/>
          <w:sz w:val="24"/>
          <w:szCs w:val="24"/>
          <w:lang w:val="zh-CN" w:eastAsia="zh-CN"/>
        </w:rPr>
      </w:pPr>
      <w:r/>
      <w:bookmarkStart w:id="141" w:name="_Toc14663"/>
      <w:r>
        <w:rPr>
          <w:rFonts w:hint="eastAsia" w:ascii="宋体" w:hAnsi="宋体" w:eastAsia="宋体" w:cs="宋体"/>
          <w:sz w:val="24"/>
          <w:szCs w:val="24"/>
          <w:lang w:val="zh-CN" w:eastAsia="zh-CN"/>
        </w:rPr>
        <w:t xml:space="preserve">1.4付款方式和发票开具方式</w:t>
      </w:r>
      <w:bookmarkEnd w:id="141"/>
      <w:r/>
      <w:r/>
    </w:p>
    <w:p>
      <w:pPr>
        <w:ind w:firstLine="480"/>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1.4.1付款方式：</w:t>
      </w:r>
      <w:r>
        <w:rPr>
          <w:rFonts w:hint="eastAsia" w:ascii="宋体" w:hAnsi="宋体" w:eastAsia="宋体" w:cs="宋体"/>
          <w:sz w:val="24"/>
          <w:szCs w:val="24"/>
          <w:lang w:val="en-US" w:eastAsia="zh-CN"/>
        </w:rPr>
        <w:t xml:space="preserve">详见采购需求</w:t>
      </w:r>
      <w:r>
        <w:rPr>
          <w:rFonts w:hint="eastAsia" w:ascii="宋体" w:hAnsi="宋体" w:eastAsia="宋体" w:cs="宋体"/>
          <w:color w:val="000000"/>
          <w:sz w:val="24"/>
          <w:szCs w:val="24"/>
          <w:lang w:val="en-US" w:eastAsia="zh-CN"/>
        </w:rPr>
        <w:t xml:space="preserve">。</w:t>
      </w:r>
      <w:r/>
    </w:p>
    <w:p>
      <w:pPr>
        <w:ind w:firstLine="480"/>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1.4.2发票开具方式：</w:t>
      </w:r>
      <w:r>
        <w:rPr>
          <w:rFonts w:hint="eastAsia" w:ascii="宋体" w:hAnsi="宋体" w:eastAsia="宋体" w:cs="宋体"/>
          <w:sz w:val="24"/>
          <w:szCs w:val="24"/>
          <w:lang w:val="en-US" w:eastAsia="zh-CN"/>
        </w:rPr>
        <w:t xml:space="preserve">与合同主体一致的符合国家相关要求的发票</w:t>
      </w:r>
      <w:r>
        <w:rPr>
          <w:rFonts w:hint="eastAsia" w:ascii="宋体" w:hAnsi="宋体" w:eastAsia="宋体" w:cs="宋体"/>
          <w:sz w:val="24"/>
          <w:szCs w:val="24"/>
          <w:lang w:val="zh-CN" w:eastAsia="zh-CN"/>
        </w:rPr>
        <w:t xml:space="preserve">。</w:t>
      </w:r>
      <w:r/>
    </w:p>
    <w:p>
      <w:pPr>
        <w:ind w:firstLine="480"/>
        <w:jc w:val="left"/>
        <w:spacing w:line="520" w:lineRule="exact"/>
        <w:rPr>
          <w:rFonts w:hint="eastAsia" w:ascii="宋体" w:hAnsi="宋体" w:eastAsia="宋体" w:cs="宋体"/>
          <w:sz w:val="24"/>
          <w:szCs w:val="24"/>
          <w:lang w:val="zh-CN" w:eastAsia="zh-CN"/>
        </w:rPr>
      </w:pPr>
      <w:r/>
      <w:bookmarkStart w:id="142" w:name="_Toc1751"/>
      <w:r>
        <w:rPr>
          <w:rFonts w:hint="eastAsia" w:ascii="宋体" w:hAnsi="宋体" w:eastAsia="宋体" w:cs="宋体"/>
          <w:sz w:val="24"/>
          <w:szCs w:val="24"/>
          <w:lang w:val="zh-CN" w:eastAsia="zh-CN"/>
        </w:rPr>
        <w:t xml:space="preserve">1.5</w:t>
      </w:r>
      <w:bookmarkEnd w:id="142"/>
      <w:r>
        <w:rPr>
          <w:rFonts w:hint="eastAsia" w:ascii="宋体" w:hAnsi="宋体" w:eastAsia="宋体" w:cs="宋体"/>
          <w:bCs/>
          <w:position w:val="0"/>
          <w:szCs w:val="24"/>
          <w:lang w:val="zh-CN" w:bidi="zh-CN"/>
        </w:rPr>
        <w:t xml:space="preserve">配送</w:t>
      </w:r>
      <w:r>
        <w:rPr>
          <w:rFonts w:hint="eastAsia" w:ascii="宋体" w:hAnsi="宋体" w:eastAsia="宋体" w:cs="宋体"/>
          <w:bCs/>
          <w:position w:val="0"/>
          <w:szCs w:val="24"/>
          <w:lang w:val="en-US" w:bidi="zh-CN"/>
        </w:rPr>
        <w:t xml:space="preserve">服务及初加工</w:t>
      </w:r>
      <w:r>
        <w:rPr>
          <w:rFonts w:hint="eastAsia" w:ascii="宋体" w:hAnsi="宋体" w:eastAsia="宋体" w:cs="宋体"/>
          <w:bCs/>
          <w:position w:val="0"/>
          <w:szCs w:val="24"/>
          <w:lang w:val="zh-CN" w:bidi="zh-CN"/>
        </w:rPr>
        <w:t xml:space="preserve">要求</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见采购需求</w:t>
      </w:r>
      <w:r>
        <w:rPr>
          <w:rFonts w:hint="eastAsia" w:ascii="宋体" w:hAnsi="宋体" w:eastAsia="宋体" w:cs="宋体"/>
          <w:sz w:val="24"/>
          <w:szCs w:val="24"/>
          <w:lang w:val="zh-CN" w:eastAsia="zh-CN"/>
        </w:rPr>
        <w:t xml:space="preserve">。</w:t>
      </w:r>
      <w:r/>
    </w:p>
    <w:p>
      <w:pPr>
        <w:ind w:firstLine="480"/>
        <w:jc w:val="left"/>
        <w:spacing w:line="520" w:lineRule="exact"/>
        <w:rPr>
          <w:rFonts w:hint="eastAsia" w:ascii="宋体" w:hAnsi="宋体" w:eastAsia="宋体" w:cs="宋体"/>
          <w:sz w:val="24"/>
          <w:szCs w:val="24"/>
          <w:lang w:val="zh-CN" w:eastAsia="zh-CN"/>
        </w:rPr>
      </w:pPr>
      <w:r/>
      <w:bookmarkStart w:id="143" w:name="_Toc4060"/>
      <w:r>
        <w:rPr>
          <w:rFonts w:hint="eastAsia" w:ascii="宋体" w:hAnsi="宋体" w:eastAsia="宋体" w:cs="宋体"/>
          <w:sz w:val="24"/>
          <w:szCs w:val="24"/>
          <w:lang w:val="zh-CN" w:eastAsia="zh-CN"/>
        </w:rPr>
        <w:t xml:space="preserve">1.6履行期限、地点、质量要求和方式</w:t>
      </w:r>
      <w:bookmarkEnd w:id="143"/>
      <w:r/>
      <w:r/>
    </w:p>
    <w:p>
      <w:pPr>
        <w:ind w:firstLine="480"/>
        <w:jc w:val="left"/>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1.6.1履行期限：</w:t>
      </w:r>
      <w:r>
        <w:rPr>
          <w:rFonts w:hint="eastAsia" w:ascii="宋体" w:hAnsi="宋体" w:eastAsia="宋体" w:cs="宋体"/>
          <w:sz w:val="24"/>
          <w:szCs w:val="24"/>
          <w:lang w:val="en-US" w:eastAsia="zh-CN"/>
        </w:rPr>
        <w:t xml:space="preserve">一年</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1.6.2履行地点：具体地点由甲方指定</w:t>
      </w:r>
      <w:r/>
    </w:p>
    <w:p>
      <w:pPr>
        <w:ind w:firstLine="480"/>
        <w:jc w:val="left"/>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1.6.3质量要求：</w:t>
      </w:r>
      <w:r>
        <w:rPr>
          <w:rFonts w:hint="eastAsia" w:ascii="宋体" w:hAnsi="宋体" w:eastAsia="宋体" w:cs="宋体"/>
          <w:sz w:val="24"/>
          <w:szCs w:val="24"/>
          <w:lang w:val="en-US" w:eastAsia="zh-CN"/>
        </w:rPr>
        <w:t xml:space="preserve">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"https://1.6.3.1"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1.6.3.1</w:t>
      </w:r>
      <w:r>
        <w:rPr>
          <w:rFonts w:hint="eastAsia" w:ascii="宋体" w:hAnsi="宋体" w:eastAsia="宋体" w:cs="宋体"/>
          <w:sz w:val="24"/>
          <w:szCs w:val="24"/>
          <w:lang w:val="zh-CN" w:eastAsia="zh-CN"/>
        </w:rPr>
        <w:fldChar w:fldCharType="end"/>
      </w:r>
      <w:r/>
    </w:p>
    <w:p>
      <w:pPr>
        <w:ind w:firstLine="480"/>
        <w:jc w:val="left"/>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 xml:space="preserve">1.6.4履行方式：</w:t>
      </w:r>
      <w:r>
        <w:rPr>
          <w:rFonts w:hint="eastAsia" w:ascii="宋体" w:hAnsi="宋体" w:eastAsia="宋体" w:cs="宋体"/>
          <w:sz w:val="24"/>
          <w:szCs w:val="24"/>
          <w:lang w:val="en-US" w:eastAsia="zh-CN"/>
        </w:rPr>
        <w:t xml:space="preserve">按需履约</w:t>
      </w:r>
      <w:r/>
    </w:p>
    <w:p>
      <w:pPr>
        <w:ind w:firstLine="480"/>
        <w:jc w:val="left"/>
        <w:spacing w:line="520" w:lineRule="exact"/>
        <w:rPr>
          <w:rFonts w:hint="eastAsia" w:ascii="宋体" w:hAnsi="宋体" w:eastAsia="宋体" w:cs="宋体"/>
          <w:sz w:val="24"/>
          <w:szCs w:val="24"/>
          <w:lang w:val="zh-CN" w:eastAsia="zh-CN"/>
        </w:rPr>
      </w:pPr>
      <w:r/>
      <w:bookmarkStart w:id="144" w:name="_Toc5213"/>
      <w:r>
        <w:rPr>
          <w:rFonts w:hint="eastAsia" w:ascii="宋体" w:hAnsi="宋体" w:eastAsia="宋体" w:cs="宋体"/>
          <w:sz w:val="24"/>
          <w:szCs w:val="24"/>
          <w:lang w:val="zh-CN" w:eastAsia="zh-CN"/>
        </w:rPr>
        <w:t xml:space="preserve">1.7违约责任</w:t>
      </w:r>
      <w:bookmarkEnd w:id="14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1.7.1除不可抗力外，乙方违约赔偿责任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1.7.2</w:t>
      </w:r>
      <w:r>
        <w:rPr>
          <w:rFonts w:hint="eastAsia" w:ascii="宋体" w:hAnsi="宋体" w:eastAsia="宋体" w:cs="宋体"/>
          <w:sz w:val="24"/>
          <w:szCs w:val="24"/>
          <w:lang w:val="zh-CN" w:eastAsia="zh-CN"/>
        </w:rPr>
        <w:t xml:space="preserve">乙方在供货过程中，如出现质量问题或保质期不足的情况，甲方有权拒绝接受所提供的物品或食品。若因食品质量问题导致的食品安全和食物中毒等事故（经市场监督管理、卫生防疫部门鉴定），由此造成的全部经济损失和法律责任由乙方承担全部责任，主要包括食物中毒人员医疗费、误工费、事故处理费等，直至追究刑事责任通过法律途径解决。同时甲方有权取消其供应资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1.7.3</w:t>
      </w:r>
      <w:r>
        <w:rPr>
          <w:rFonts w:hint="eastAsia" w:ascii="宋体" w:hAnsi="宋体" w:eastAsia="宋体" w:cs="宋体"/>
          <w:sz w:val="24"/>
          <w:szCs w:val="24"/>
          <w:lang w:val="zh-CN" w:eastAsia="zh-CN"/>
        </w:rPr>
        <w:t xml:space="preserve">除因不可抗因素外，乙方需按甲方规定的品种、规格、数量、时间、地点组织正常供应，造成甲方食材供应延迟或中断，影响食堂正常开饭的，以上行为累计超过三次，甲方有权立即单方解除本合同。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1.7.4</w:t>
      </w:r>
      <w:r>
        <w:rPr>
          <w:rFonts w:hint="eastAsia" w:ascii="宋体" w:hAnsi="宋体" w:eastAsia="宋体" w:cs="宋体"/>
          <w:sz w:val="24"/>
          <w:szCs w:val="24"/>
          <w:lang w:val="zh-CN" w:eastAsia="zh-CN"/>
        </w:rPr>
        <w:t xml:space="preserve">甲方一经发现乙方供应的食材出现主要质量问题，甲方除可以全部退货外，还有权立即单方解除本合同，乙方并承担由此造成的一切经济损失（包括但不限于医药费、差旅费、诉讼费、公证费、律师费等费用）和法律责任。甲方将视情节严重程度取消其供货资格，情况极其严重的三年内不得参与甲方主副食品的招投标工作。</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1.7.5</w:t>
      </w:r>
      <w:r>
        <w:rPr>
          <w:rFonts w:hint="eastAsia" w:ascii="宋体" w:hAnsi="宋体" w:eastAsia="宋体" w:cs="宋体"/>
          <w:sz w:val="24"/>
          <w:szCs w:val="24"/>
          <w:lang w:val="zh-CN" w:eastAsia="zh-CN"/>
        </w:rPr>
        <w:t xml:space="preserve">未经甲方书面同意，乙方不得将合同分包或转包给任何第三方。否则，甲方有权按乙方不能交付或不能履行合同处理，甲方有权立即单方解除本合同。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1.7.6</w:t>
      </w:r>
      <w:r>
        <w:rPr>
          <w:rFonts w:hint="eastAsia" w:ascii="宋体" w:hAnsi="宋体" w:eastAsia="宋体" w:cs="宋体"/>
          <w:sz w:val="24"/>
          <w:szCs w:val="24"/>
          <w:lang w:val="zh-CN" w:eastAsia="zh-CN"/>
        </w:rPr>
        <w:t xml:space="preserve">其他违约责任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(1)乙方在本合同中的声明或保证在被证实存在虚假或未兑现，严重影响其履约能力；</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(2)乙方出现本合同约定的导致合同终止情形的；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(3)乙方被依法吊销营业执照、责令停业、清算或破产；</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(4)乙方未按时完成本合同项下工作，逾期超过30日的；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(5)乙方发生累计两次或以上违约行为；</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(6)乙方履行义务不符合约定，经甲方提出后合理期限内仍未改正；</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(7)未经甲方书面同意，乙方将本合同项下其应履行的权利或义务部分或全部转让，或将本合同项下的服务分包的；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(8)乙方将本合同项下的服务转包的；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(9)第三方指控并经有权机关认定甲方使用/接受乙方提供的产品/服务侵犯了该方的知识产权或其他权利，造成甲方损失的。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乙方违反以上约定，应当按合同总价的5%向甲方支付违约金，且赔偿甲方因此遭受的直接经济损失。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1.7.2除不可抗力外，甲方违约赔偿责任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未按照本合同约定，及时足额向乙方支付相应的合同金额，则乙方有权向甲方发出书面催告，如甲方在收到书面催告通知后的三十日内仍未能支付的，则甲方除应支付应付未付的合同金额外，还应自收到书面催告后的第【三十一】日起每日按照应付未付金额千分之三数额向乙方支付违约金。但因财政支付管理流程导致的支付延期除外。</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甲方支付的违约金及赔偿金总额不超过本合同金额的8%。</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1.7.3如果出现政府采购监督管理部门在处理投诉事项期间，书面通知甲方暂停采购活动的情形，或者询问或质疑事项可能影响中标结果的，导致甲方中止履行合同的情形，均不视为甲方违约。</w:t>
      </w:r>
      <w:r/>
    </w:p>
    <w:p>
      <w:pPr>
        <w:ind w:firstLine="480"/>
        <w:jc w:val="left"/>
        <w:spacing w:line="520" w:lineRule="exact"/>
        <w:rPr>
          <w:rFonts w:hint="eastAsia" w:ascii="宋体" w:hAnsi="宋体" w:eastAsia="宋体" w:cs="宋体"/>
          <w:sz w:val="24"/>
          <w:szCs w:val="24"/>
          <w:lang w:val="zh-CN" w:eastAsia="zh-CN"/>
        </w:rPr>
      </w:pPr>
      <w:r/>
      <w:bookmarkStart w:id="145" w:name="_Toc2586"/>
      <w:r>
        <w:rPr>
          <w:rFonts w:hint="eastAsia" w:ascii="宋体" w:hAnsi="宋体" w:eastAsia="宋体" w:cs="宋体"/>
          <w:sz w:val="24"/>
          <w:szCs w:val="24"/>
          <w:lang w:val="zh-CN" w:eastAsia="zh-CN"/>
        </w:rPr>
        <w:t xml:space="preserve">1.8合同争议的解决</w:t>
      </w:r>
      <w:bookmarkEnd w:id="14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本合同履行过程中发生的任何争议，双方当事人均可通过和解或者调解解决；不愿和解、调解或者和解、调解不成的，可以选择下列第1种</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方式(即1.8.1)解决：</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1.8.1将争议提交宿迁仲裁委员会依申请仲裁时其现行有效的仲裁规则裁决；</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1.8.2向甲方所在地人民法院起诉。</w:t>
      </w:r>
      <w:r/>
    </w:p>
    <w:p>
      <w:pPr>
        <w:ind w:firstLine="480"/>
        <w:jc w:val="left"/>
        <w:spacing w:line="520" w:lineRule="exact"/>
        <w:rPr>
          <w:rFonts w:hint="eastAsia" w:ascii="宋体" w:hAnsi="宋体" w:eastAsia="宋体" w:cs="宋体"/>
          <w:sz w:val="24"/>
          <w:szCs w:val="24"/>
          <w:lang w:val="zh-CN" w:eastAsia="zh-CN"/>
        </w:rPr>
      </w:pPr>
      <w:r/>
      <w:bookmarkStart w:id="146" w:name="_Toc14674"/>
      <w:r>
        <w:rPr>
          <w:rFonts w:hint="eastAsia" w:ascii="宋体" w:hAnsi="宋体" w:eastAsia="宋体" w:cs="宋体"/>
          <w:sz w:val="24"/>
          <w:szCs w:val="24"/>
          <w:lang w:val="zh-CN" w:eastAsia="zh-CN"/>
        </w:rPr>
        <w:t xml:space="preserve">1.9合同生效</w:t>
      </w:r>
      <w:bookmarkEnd w:id="14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本合同自双方当事人盖章或者签字时生效。</w:t>
      </w:r>
      <w:r/>
    </w:p>
    <w:p>
      <w:pPr>
        <w:ind w:firstLine="480"/>
        <w:jc w:val="left"/>
        <w:spacing w:line="520" w:lineRule="exact"/>
        <w:rPr>
          <w:rFonts w:hint="eastAsia" w:ascii="宋体" w:hAnsi="宋体" w:eastAsia="宋体" w:cs="宋体"/>
          <w:sz w:val="24"/>
          <w:szCs w:val="24"/>
          <w:lang w:val="en-US" w:eastAsia="zh-CN"/>
        </w:rPr>
      </w:pPr>
      <w:r/>
      <w:bookmarkStart w:id="147" w:name="_Toc27602"/>
      <w:r>
        <w:rPr>
          <w:rFonts w:hint="eastAsia" w:ascii="宋体" w:hAnsi="宋体" w:eastAsia="宋体" w:cs="宋体"/>
          <w:sz w:val="24"/>
          <w:szCs w:val="24"/>
          <w:lang w:val="zh-CN" w:eastAsia="zh-CN"/>
        </w:rPr>
        <w:t xml:space="preserve">2.0</w:t>
      </w:r>
      <w:bookmarkEnd w:id="147"/>
      <w:r>
        <w:rPr>
          <w:rFonts w:hint="eastAsia" w:ascii="宋体" w:hAnsi="宋体" w:eastAsia="宋体" w:cs="宋体"/>
          <w:sz w:val="24"/>
          <w:szCs w:val="24"/>
          <w:lang w:val="zh-CN" w:eastAsia="zh-CN"/>
        </w:rPr>
        <w:t xml:space="preserve">质量</w:t>
      </w:r>
      <w:r>
        <w:rPr>
          <w:rFonts w:hint="eastAsia" w:ascii="宋体" w:hAnsi="宋体" w:eastAsia="宋体" w:cs="宋体"/>
          <w:sz w:val="24"/>
          <w:szCs w:val="24"/>
          <w:lang w:val="en-US" w:eastAsia="zh-CN"/>
        </w:rPr>
        <w:t xml:space="preserve">包装及售后服务要求</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详见采购文件。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2.0.11本合同一切未尽事宜，按合同法有关规定执行，无相关规定的，由甲乙双方协商解决。</w:t>
      </w:r>
      <w:r/>
    </w:p>
    <w:p>
      <w:pPr>
        <w:ind w:firstLine="480"/>
        <w:jc w:val="center"/>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第二部分合同一般条款</w:t>
      </w:r>
      <w:r/>
    </w:p>
    <w:p>
      <w:pPr>
        <w:ind w:firstLine="480"/>
        <w:jc w:val="left"/>
        <w:spacing w:line="520" w:lineRule="exact"/>
        <w:rPr>
          <w:rFonts w:hint="eastAsia" w:ascii="宋体" w:hAnsi="宋体" w:eastAsia="宋体" w:cs="宋体"/>
          <w:sz w:val="24"/>
          <w:szCs w:val="24"/>
          <w:lang w:val="zh-CN" w:eastAsia="zh-CN"/>
        </w:rPr>
      </w:pPr>
      <w:r/>
      <w:bookmarkStart w:id="148" w:name="_Toc32652"/>
      <w:r>
        <w:rPr>
          <w:rFonts w:hint="eastAsia" w:ascii="宋体" w:hAnsi="宋体" w:eastAsia="宋体" w:cs="宋体"/>
          <w:sz w:val="24"/>
          <w:szCs w:val="24"/>
          <w:lang w:val="zh-CN" w:eastAsia="zh-CN"/>
        </w:rPr>
        <w:t xml:space="preserve">2.1定义</w:t>
      </w:r>
      <w:bookmarkEnd w:id="14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本合同中的下列词语应按以下内容进行解释：</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2.1.1“合同”系指采购人和中标</w:t>
      </w:r>
      <w:r>
        <w:rPr>
          <w:rFonts w:hint="eastAsia" w:ascii="宋体" w:hAnsi="宋体" w:eastAsia="宋体" w:cs="宋体"/>
          <w:color w:val="000000"/>
          <w:sz w:val="24"/>
          <w:szCs w:val="24"/>
          <w:lang w:val="zh-CN" w:eastAsia="zh-CN"/>
        </w:rPr>
        <w:t xml:space="preserve">供应商</w:t>
      </w:r>
      <w:r>
        <w:rPr>
          <w:rFonts w:hint="eastAsia" w:ascii="宋体" w:hAnsi="宋体" w:eastAsia="宋体" w:cs="宋体"/>
          <w:sz w:val="24"/>
          <w:szCs w:val="24"/>
          <w:lang w:val="zh-CN" w:eastAsia="zh-CN"/>
        </w:rPr>
        <w:t xml:space="preserve">签订的载明双方当事人所达成的协议，并包括所有的附件、附录和构成合同的其他文件。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2.1.2“合同价”系指根据合同约定，中标</w:t>
      </w:r>
      <w:r>
        <w:rPr>
          <w:rFonts w:hint="eastAsia" w:ascii="宋体" w:hAnsi="宋体" w:eastAsia="宋体" w:cs="宋体"/>
          <w:color w:val="000000"/>
          <w:sz w:val="24"/>
          <w:szCs w:val="24"/>
          <w:lang w:val="zh-CN" w:eastAsia="zh-CN"/>
        </w:rPr>
        <w:t xml:space="preserve">供应商</w:t>
      </w:r>
      <w:r>
        <w:rPr>
          <w:rFonts w:hint="eastAsia" w:ascii="宋体" w:hAnsi="宋体" w:eastAsia="宋体" w:cs="宋体"/>
          <w:sz w:val="24"/>
          <w:szCs w:val="24"/>
          <w:lang w:val="zh-CN" w:eastAsia="zh-CN"/>
        </w:rPr>
        <w:t xml:space="preserve">在完全履行合同义务后，采购人应支付给中标</w:t>
      </w:r>
      <w:r>
        <w:rPr>
          <w:rFonts w:hint="eastAsia" w:ascii="宋体" w:hAnsi="宋体" w:eastAsia="宋体" w:cs="宋体"/>
          <w:color w:val="000000"/>
          <w:sz w:val="24"/>
          <w:szCs w:val="24"/>
          <w:lang w:val="zh-CN" w:eastAsia="zh-CN"/>
        </w:rPr>
        <w:t xml:space="preserve">供应商</w:t>
      </w:r>
      <w:r>
        <w:rPr>
          <w:rFonts w:hint="eastAsia" w:ascii="宋体" w:hAnsi="宋体" w:eastAsia="宋体" w:cs="宋体"/>
          <w:sz w:val="24"/>
          <w:szCs w:val="24"/>
          <w:lang w:val="zh-CN" w:eastAsia="zh-CN"/>
        </w:rPr>
        <w:t xml:space="preserve">的价格。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2.1.3“服务”系指中标</w:t>
      </w:r>
      <w:r>
        <w:rPr>
          <w:rFonts w:hint="eastAsia" w:ascii="宋体" w:hAnsi="宋体" w:eastAsia="宋体" w:cs="宋体"/>
          <w:color w:val="000000"/>
          <w:sz w:val="24"/>
          <w:szCs w:val="24"/>
          <w:lang w:val="zh-CN" w:eastAsia="zh-CN"/>
        </w:rPr>
        <w:t xml:space="preserve">供应商</w:t>
      </w:r>
      <w:r>
        <w:rPr>
          <w:rFonts w:hint="eastAsia" w:ascii="宋体" w:hAnsi="宋体" w:eastAsia="宋体" w:cs="宋体"/>
          <w:sz w:val="24"/>
          <w:szCs w:val="24"/>
          <w:lang w:val="zh-CN" w:eastAsia="zh-CN"/>
        </w:rPr>
        <w:t xml:space="preserve">根据合同约定应向采购人履行的除货物和工程以外的其他政府采购对象，包括采购人自身需要的服务和向社会公众提供的公共服务。</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2.1.4“甲方”系指与中标</w:t>
      </w:r>
      <w:r>
        <w:rPr>
          <w:rFonts w:hint="eastAsia" w:ascii="宋体" w:hAnsi="宋体" w:eastAsia="宋体" w:cs="宋体"/>
          <w:color w:val="000000"/>
          <w:sz w:val="24"/>
          <w:szCs w:val="24"/>
          <w:lang w:val="zh-CN" w:eastAsia="zh-CN"/>
        </w:rPr>
        <w:t xml:space="preserve">供应商</w:t>
      </w:r>
      <w:r>
        <w:rPr>
          <w:rFonts w:hint="eastAsia" w:ascii="宋体" w:hAnsi="宋体" w:eastAsia="宋体" w:cs="宋体"/>
          <w:sz w:val="24"/>
          <w:szCs w:val="24"/>
          <w:lang w:val="zh-CN" w:eastAsia="zh-CN"/>
        </w:rPr>
        <w:t xml:space="preserve">签署合同的采购人；采购人委托采购代理机构代表其与乙方签订合同的，采购人的授权委托书作为合同附件。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2.1.5“乙方”系指根据合同约定提供服务的中标</w:t>
      </w:r>
      <w:r>
        <w:rPr>
          <w:rFonts w:hint="eastAsia" w:ascii="宋体" w:hAnsi="宋体" w:eastAsia="宋体" w:cs="宋体"/>
          <w:color w:val="000000"/>
          <w:sz w:val="24"/>
          <w:szCs w:val="24"/>
          <w:lang w:val="zh-CN" w:eastAsia="zh-CN"/>
        </w:rPr>
        <w:t xml:space="preserve">供应商</w:t>
      </w:r>
      <w:r>
        <w:rPr>
          <w:rFonts w:hint="eastAsia" w:ascii="宋体" w:hAnsi="宋体" w:eastAsia="宋体" w:cs="宋体"/>
          <w:sz w:val="24"/>
          <w:szCs w:val="24"/>
          <w:lang w:val="zh-CN" w:eastAsia="zh-CN"/>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2.1.6“现场”系指合同约定提供服务的地点。</w:t>
      </w:r>
      <w:r/>
    </w:p>
    <w:p>
      <w:pPr>
        <w:ind w:firstLine="480"/>
        <w:jc w:val="left"/>
        <w:spacing w:line="520" w:lineRule="exact"/>
        <w:rPr>
          <w:rFonts w:hint="eastAsia" w:ascii="宋体" w:hAnsi="宋体" w:eastAsia="宋体" w:cs="宋体"/>
          <w:sz w:val="24"/>
          <w:szCs w:val="24"/>
          <w:lang w:val="zh-CN" w:eastAsia="zh-CN"/>
        </w:rPr>
      </w:pPr>
      <w:r/>
      <w:bookmarkStart w:id="149" w:name="_Toc16287"/>
      <w:r>
        <w:rPr>
          <w:rFonts w:hint="eastAsia" w:ascii="宋体" w:hAnsi="宋体" w:eastAsia="宋体" w:cs="宋体"/>
          <w:sz w:val="24"/>
          <w:szCs w:val="24"/>
          <w:lang w:val="zh-CN" w:eastAsia="zh-CN"/>
        </w:rPr>
        <w:t xml:space="preserve">2.2技术规范</w:t>
      </w:r>
      <w:bookmarkEnd w:id="14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0"/>
        <w:jc w:val="left"/>
        <w:spacing w:line="520" w:lineRule="exact"/>
        <w:rPr>
          <w:rFonts w:hint="eastAsia" w:ascii="宋体" w:hAnsi="宋体" w:eastAsia="宋体" w:cs="宋体"/>
          <w:sz w:val="24"/>
          <w:szCs w:val="24"/>
          <w:lang w:val="zh-CN" w:eastAsia="zh-CN"/>
        </w:rPr>
      </w:pPr>
      <w:r/>
      <w:bookmarkStart w:id="150" w:name="_Toc22228"/>
      <w:r>
        <w:rPr>
          <w:rFonts w:hint="eastAsia" w:ascii="宋体" w:hAnsi="宋体" w:eastAsia="宋体" w:cs="宋体"/>
          <w:sz w:val="24"/>
          <w:szCs w:val="24"/>
          <w:lang w:val="zh-CN" w:eastAsia="zh-CN"/>
        </w:rPr>
        <w:t xml:space="preserve">2.3知识产权</w:t>
      </w:r>
      <w:bookmarkEnd w:id="15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2.3.2合同涉及技术成果的归属的，详见招标文件采购需求；涉及收益的分成办法的，由甲乙双方协商决定。</w:t>
      </w:r>
      <w:r/>
    </w:p>
    <w:p>
      <w:pPr>
        <w:ind w:firstLine="480"/>
        <w:jc w:val="left"/>
        <w:spacing w:line="520" w:lineRule="exact"/>
        <w:rPr>
          <w:rFonts w:hint="eastAsia" w:ascii="宋体" w:hAnsi="宋体" w:eastAsia="宋体" w:cs="宋体"/>
          <w:sz w:val="24"/>
          <w:szCs w:val="24"/>
          <w:lang w:val="zh-CN" w:eastAsia="zh-CN"/>
        </w:rPr>
      </w:pPr>
      <w:r/>
      <w:bookmarkStart w:id="151" w:name="_Toc28505"/>
      <w:r>
        <w:rPr>
          <w:rFonts w:hint="eastAsia" w:ascii="宋体" w:hAnsi="宋体" w:eastAsia="宋体" w:cs="宋体"/>
          <w:sz w:val="24"/>
          <w:szCs w:val="24"/>
          <w:lang w:val="zh-CN" w:eastAsia="zh-CN"/>
        </w:rPr>
        <w:t xml:space="preserve">2.4履约检查和问题反馈</w:t>
      </w:r>
      <w:bookmarkEnd w:id="15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2.4.2合同履行期间，甲方有权将履行过程中出现的问题反馈给乙方，双方当事人应以书面形式约定需要完善和改进的内容。</w:t>
      </w:r>
      <w:r/>
    </w:p>
    <w:p>
      <w:pPr>
        <w:ind w:firstLine="480"/>
        <w:jc w:val="left"/>
        <w:spacing w:line="520" w:lineRule="exact"/>
        <w:rPr>
          <w:rFonts w:hint="eastAsia" w:ascii="宋体" w:hAnsi="宋体" w:eastAsia="宋体" w:cs="宋体"/>
          <w:sz w:val="24"/>
          <w:szCs w:val="24"/>
          <w:lang w:val="zh-CN" w:eastAsia="zh-CN"/>
        </w:rPr>
      </w:pPr>
      <w:r/>
      <w:bookmarkStart w:id="152" w:name="_Toc7693"/>
      <w:r>
        <w:rPr>
          <w:rFonts w:hint="eastAsia" w:ascii="宋体" w:hAnsi="宋体" w:eastAsia="宋体" w:cs="宋体"/>
          <w:sz w:val="24"/>
          <w:szCs w:val="24"/>
          <w:lang w:val="zh-CN" w:eastAsia="zh-CN"/>
        </w:rPr>
        <w:t xml:space="preserve">2.5技术资料和保密义务</w:t>
      </w:r>
      <w:bookmarkEnd w:id="152"/>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2.5.1乙方有权依据合同约定和项目需要，向甲方了解有关情况，调阅有关资料等，甲方应予积极配合；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2.5.2乙方有义务妥善保管和保护由甲方提供的前款信息和资料等；</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2.5.3除非依照法律规定或者对方当事人的书面同意，任何一方均应</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jc w:val="left"/>
        <w:spacing w:line="520" w:lineRule="exact"/>
        <w:rPr>
          <w:rFonts w:hint="eastAsia" w:ascii="宋体" w:hAnsi="宋体" w:eastAsia="宋体" w:cs="宋体"/>
          <w:sz w:val="24"/>
          <w:szCs w:val="24"/>
          <w:lang w:val="zh-CN" w:eastAsia="zh-CN"/>
        </w:rPr>
      </w:pPr>
      <w:r/>
      <w:bookmarkStart w:id="153" w:name="_Toc12572"/>
      <w:r>
        <w:rPr>
          <w:rFonts w:hint="eastAsia" w:ascii="宋体" w:hAnsi="宋体" w:eastAsia="宋体" w:cs="宋体"/>
          <w:sz w:val="24"/>
          <w:szCs w:val="24"/>
          <w:lang w:val="zh-CN" w:eastAsia="zh-CN"/>
        </w:rPr>
        <w:t xml:space="preserve">2.6质量保证</w:t>
      </w:r>
      <w:bookmarkEnd w:id="153"/>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2.6.1乙方应建立和完善履行合同的内部质量保证体系，并提供相关内部规章制度给甲方，以便甲方进行监督检查；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2.6.2乙方应保证履行合同的人员数量和素质、软件和硬件设备的配置、场地、环境和设施等满足全面履行合同的要求，并应接受甲方的监督检查；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2.6.3乙方提供的服务有国家标准的应符合国家标准。无国家标准的应符合行业标准或企业标准，并满足采购文件要求，实现响应文件承诺条款。</w:t>
      </w:r>
      <w:r/>
    </w:p>
    <w:p>
      <w:pPr>
        <w:ind w:firstLine="480"/>
        <w:jc w:val="left"/>
        <w:spacing w:line="520" w:lineRule="exact"/>
        <w:rPr>
          <w:rFonts w:hint="eastAsia" w:ascii="宋体" w:hAnsi="宋体" w:eastAsia="宋体" w:cs="宋体"/>
          <w:sz w:val="24"/>
          <w:szCs w:val="24"/>
          <w:lang w:val="zh-CN" w:eastAsia="zh-CN"/>
        </w:rPr>
      </w:pPr>
      <w:r/>
      <w:bookmarkStart w:id="154" w:name="_Toc17050"/>
      <w:r>
        <w:rPr>
          <w:rFonts w:hint="eastAsia" w:ascii="宋体" w:hAnsi="宋体" w:eastAsia="宋体" w:cs="宋体"/>
          <w:sz w:val="24"/>
          <w:szCs w:val="24"/>
          <w:lang w:val="zh-CN" w:eastAsia="zh-CN"/>
        </w:rPr>
        <w:t xml:space="preserve">2.7延迟履行</w:t>
      </w:r>
      <w:bookmarkEnd w:id="15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0"/>
        <w:jc w:val="left"/>
        <w:spacing w:line="520" w:lineRule="exact"/>
        <w:rPr>
          <w:rFonts w:hint="eastAsia" w:ascii="宋体" w:hAnsi="宋体" w:eastAsia="宋体" w:cs="宋体"/>
          <w:sz w:val="24"/>
          <w:szCs w:val="24"/>
          <w:lang w:val="zh-CN" w:eastAsia="zh-CN"/>
        </w:rPr>
      </w:pPr>
      <w:r/>
      <w:bookmarkStart w:id="155" w:name="_Toc30095"/>
      <w:r>
        <w:rPr>
          <w:rFonts w:hint="eastAsia" w:ascii="宋体" w:hAnsi="宋体" w:eastAsia="宋体" w:cs="宋体"/>
          <w:sz w:val="24"/>
          <w:szCs w:val="24"/>
          <w:lang w:val="zh-CN" w:eastAsia="zh-CN"/>
        </w:rPr>
        <w:t xml:space="preserve">2.8合同变更</w:t>
      </w:r>
      <w:bookmarkEnd w:id="15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2.8.2合同继续履行将损害国家利益和社会公共利益的，双方当事人应当以书面形式变更合同。有过错的一方应当承担赔偿责任，双方当事人都有过错的，各自承担相应的责任。</w:t>
      </w:r>
      <w:r/>
    </w:p>
    <w:p>
      <w:pPr>
        <w:ind w:firstLine="480"/>
        <w:jc w:val="left"/>
        <w:spacing w:line="520" w:lineRule="exact"/>
        <w:rPr>
          <w:rFonts w:hint="eastAsia" w:ascii="宋体" w:hAnsi="宋体" w:eastAsia="宋体" w:cs="宋体"/>
          <w:sz w:val="24"/>
          <w:szCs w:val="24"/>
          <w:lang w:val="zh-CN" w:eastAsia="zh-CN"/>
        </w:rPr>
      </w:pPr>
      <w:r/>
      <w:bookmarkStart w:id="156" w:name="_Toc4116"/>
      <w:r>
        <w:rPr>
          <w:rFonts w:hint="eastAsia" w:ascii="宋体" w:hAnsi="宋体" w:eastAsia="宋体" w:cs="宋体"/>
          <w:sz w:val="24"/>
          <w:szCs w:val="24"/>
          <w:lang w:val="zh-CN" w:eastAsia="zh-CN"/>
        </w:rPr>
        <w:t xml:space="preserve">2.9合同转让和分包</w:t>
      </w:r>
      <w:bookmarkEnd w:id="15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0"/>
        <w:jc w:val="left"/>
        <w:spacing w:line="520" w:lineRule="exact"/>
        <w:rPr>
          <w:rFonts w:hint="eastAsia" w:ascii="宋体" w:hAnsi="宋体" w:eastAsia="宋体" w:cs="宋体"/>
          <w:sz w:val="24"/>
          <w:szCs w:val="24"/>
          <w:lang w:val="zh-CN" w:eastAsia="zh-CN"/>
        </w:rPr>
      </w:pPr>
      <w:r/>
      <w:bookmarkStart w:id="157" w:name="_Toc10570"/>
      <w:r>
        <w:rPr>
          <w:rFonts w:hint="eastAsia" w:ascii="宋体" w:hAnsi="宋体" w:eastAsia="宋体" w:cs="宋体"/>
          <w:sz w:val="24"/>
          <w:szCs w:val="24"/>
          <w:lang w:val="zh-CN" w:eastAsia="zh-CN"/>
        </w:rPr>
        <w:t xml:space="preserve">2.10不可抗力</w:t>
      </w:r>
      <w:bookmarkEnd w:id="15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2.10.1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情形。</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2.10.2不可抗力事件的认定和评估</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受到不可抗力事件影响的一方应在不可抗力事件发生后七日内书面通知另一方，详细描述不可抗力的发生情况、必要的证明文件和可能导致的后果，并及时采取措施减少损失范围。甲方组织双方协商，评估和认定不可抗力。</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2.10.3不可抗力事件的处理</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发生不可抗力时，双方应各自承担由于不可抗力对其造成的损失。双方应协商采取合理的补救措施尽量减少不可抗力给各方带来的损失。不可抗力发生前己发生的合同金额应当按照合同约定进行计量支付。当不可抗力事件阻止一方履行其义务的时间持续九十日以上时，双方应协商决定继续履行本合同的条件或者终止本合同。如果自不可抗力发生后一百八十日之内双方不能就继续履行的条件或终止本合同达成一致意见，任何一方有权给予另一方书面通知后立即终止本合同。</w:t>
      </w:r>
      <w:r/>
    </w:p>
    <w:p>
      <w:pPr>
        <w:ind w:firstLine="480"/>
        <w:jc w:val="left"/>
        <w:spacing w:line="520" w:lineRule="exact"/>
        <w:rPr>
          <w:rFonts w:hint="eastAsia" w:ascii="宋体" w:hAnsi="宋体" w:eastAsia="宋体" w:cs="宋体"/>
          <w:sz w:val="24"/>
          <w:szCs w:val="24"/>
          <w:lang w:val="zh-CN" w:eastAsia="zh-CN"/>
        </w:rPr>
      </w:pPr>
      <w:r/>
      <w:bookmarkStart w:id="158" w:name="_Toc23178"/>
      <w:r>
        <w:rPr>
          <w:rFonts w:hint="eastAsia" w:ascii="宋体" w:hAnsi="宋体" w:eastAsia="宋体" w:cs="宋体"/>
          <w:sz w:val="24"/>
          <w:szCs w:val="24"/>
          <w:lang w:val="zh-CN" w:eastAsia="zh-CN"/>
        </w:rPr>
        <w:t xml:space="preserve">2.11税费</w:t>
      </w:r>
      <w:bookmarkEnd w:id="15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与合同有关的一切税费，均按照中华人民共和国法律的相关规定缴纳。</w:t>
      </w:r>
      <w:r/>
    </w:p>
    <w:p>
      <w:pPr>
        <w:ind w:firstLine="480"/>
        <w:jc w:val="left"/>
        <w:spacing w:line="520" w:lineRule="exact"/>
        <w:rPr>
          <w:rFonts w:hint="eastAsia" w:ascii="宋体" w:hAnsi="宋体" w:eastAsia="宋体" w:cs="宋体"/>
          <w:sz w:val="24"/>
          <w:szCs w:val="24"/>
          <w:lang w:val="zh-CN" w:eastAsia="zh-CN"/>
        </w:rPr>
      </w:pPr>
      <w:r/>
      <w:bookmarkStart w:id="159" w:name="_Toc27280"/>
      <w:r>
        <w:rPr>
          <w:rFonts w:hint="eastAsia" w:ascii="宋体" w:hAnsi="宋体" w:eastAsia="宋体" w:cs="宋体"/>
          <w:sz w:val="24"/>
          <w:szCs w:val="24"/>
          <w:lang w:val="zh-CN" w:eastAsia="zh-CN"/>
        </w:rPr>
        <w:t xml:space="preserve">2.12乙方破产</w:t>
      </w:r>
      <w:bookmarkEnd w:id="15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jc w:val="left"/>
        <w:spacing w:line="520" w:lineRule="exact"/>
        <w:rPr>
          <w:rFonts w:hint="eastAsia" w:ascii="宋体" w:hAnsi="宋体" w:eastAsia="宋体" w:cs="宋体"/>
          <w:sz w:val="24"/>
          <w:szCs w:val="24"/>
          <w:lang w:val="zh-CN" w:eastAsia="zh-CN"/>
        </w:rPr>
      </w:pPr>
      <w:r/>
      <w:bookmarkStart w:id="160" w:name="_Toc16352"/>
      <w:r>
        <w:rPr>
          <w:rFonts w:hint="eastAsia" w:ascii="宋体" w:hAnsi="宋体" w:eastAsia="宋体" w:cs="宋体"/>
          <w:sz w:val="24"/>
          <w:szCs w:val="24"/>
          <w:lang w:val="zh-CN" w:eastAsia="zh-CN"/>
        </w:rPr>
        <w:t xml:space="preserve">2.13合同中止、终止</w:t>
      </w:r>
      <w:bookmarkEnd w:id="16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2.13.1双方当事人不得擅自中止或者终止合同；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2.13.2合同继续履行将损害国家利益和社会公共利益的，双方当事人应当中止或者终止合同。有过错的一方应当承担赔偿责任，双方当事人都有过错的，各自承担相应的责任。</w:t>
      </w:r>
      <w:r/>
    </w:p>
    <w:p>
      <w:pPr>
        <w:ind w:firstLine="480"/>
        <w:jc w:val="left"/>
        <w:spacing w:line="520" w:lineRule="exact"/>
        <w:rPr>
          <w:rFonts w:hint="eastAsia" w:ascii="宋体" w:hAnsi="宋体" w:eastAsia="宋体" w:cs="宋体"/>
          <w:sz w:val="24"/>
          <w:szCs w:val="24"/>
          <w:lang w:val="zh-CN" w:eastAsia="zh-CN"/>
        </w:rPr>
      </w:pPr>
      <w:r/>
      <w:bookmarkStart w:id="161" w:name="_Toc7607"/>
      <w:r/>
      <w:bookmarkStart w:id="162" w:name="_Toc24843"/>
      <w:r>
        <w:rPr>
          <w:rFonts w:hint="eastAsia" w:ascii="宋体" w:hAnsi="宋体" w:eastAsia="宋体" w:cs="宋体"/>
          <w:sz w:val="24"/>
          <w:szCs w:val="24"/>
          <w:lang w:val="zh-CN" w:eastAsia="zh-CN"/>
        </w:rPr>
        <w:t xml:space="preserve">2.14检验和验收</w:t>
      </w:r>
      <w:bookmarkEnd w:id="16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2.14.1乙方应保证其提供的服务均为按国家规定的合格正规服务。</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2.14.2乙方应保证所提供服务涉及到的知识产权是合法取得，并享有完整的知识产权，不会因为甲方的使用而被责令停止使用、追偿或要求赔偿损失，如出现上述情况的，乙方应承担一切经济和法律责任。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2.14.3验收标准：符合根据中华人民共和国政府颁布的相关国家标准和行业标准的规定；符合招标文件、乙方的投标文件、双方签订的合同文件及其附件。</w:t>
      </w:r>
      <w:r/>
    </w:p>
    <w:p>
      <w:pPr>
        <w:ind w:firstLine="480"/>
        <w:jc w:val="left"/>
        <w:spacing w:line="500" w:lineRule="exact"/>
        <w:rPr>
          <w:rFonts w:hint="eastAsia" w:ascii="宋体" w:hAnsi="宋体" w:eastAsia="宋体" w:cs="宋体"/>
          <w:b w:val="0"/>
          <w:bCs/>
          <w:sz w:val="24"/>
          <w:szCs w:val="24"/>
        </w:rPr>
      </w:pPr>
      <w:r>
        <w:rPr>
          <w:rFonts w:hint="eastAsia" w:ascii="宋体" w:hAnsi="宋体" w:eastAsia="宋体" w:cs="宋体"/>
          <w:b w:val="0"/>
          <w:bCs w:val="0"/>
          <w:i w:val="0"/>
          <w:color w:val="000000"/>
          <w:sz w:val="24"/>
          <w:szCs w:val="24"/>
          <w:u w:val="none"/>
          <w:lang w:val="en-US" w:eastAsia="zh-CN" w:bidi="ar"/>
        </w:rPr>
        <w:t xml:space="preserve">2.14.4验收工作由采购人</w:t>
      </w:r>
      <w:r>
        <w:rPr>
          <w:rFonts w:hint="eastAsia" w:ascii="宋体" w:hAnsi="宋体" w:eastAsia="宋体" w:cs="宋体"/>
          <w:b w:val="0"/>
          <w:bCs/>
          <w:sz w:val="24"/>
          <w:szCs w:val="24"/>
        </w:rPr>
        <w:t xml:space="preserve">、餐厅验收人员</w:t>
      </w:r>
      <w:r>
        <w:rPr>
          <w:rFonts w:hint="eastAsia" w:ascii="宋体" w:hAnsi="宋体" w:eastAsia="宋体" w:cs="宋体"/>
          <w:b w:val="0"/>
          <w:bCs w:val="0"/>
          <w:i w:val="0"/>
          <w:color w:val="000000"/>
          <w:sz w:val="24"/>
          <w:szCs w:val="24"/>
          <w:u w:val="none"/>
          <w:lang w:val="en-US" w:eastAsia="zh-CN" w:bidi="ar"/>
        </w:rPr>
        <w:t xml:space="preserve">和投标人</w:t>
      </w:r>
      <w:r>
        <w:rPr>
          <w:rFonts w:hint="eastAsia" w:ascii="宋体" w:hAnsi="宋体" w:eastAsia="宋体" w:cs="宋体"/>
          <w:b w:val="0"/>
          <w:bCs/>
          <w:sz w:val="24"/>
          <w:szCs w:val="24"/>
        </w:rPr>
        <w:t xml:space="preserve">依据招标文件及合同约定的质量标准</w:t>
      </w:r>
      <w:r>
        <w:rPr>
          <w:rFonts w:hint="eastAsia" w:ascii="宋体" w:hAnsi="宋体" w:eastAsia="宋体" w:cs="宋体"/>
          <w:b w:val="0"/>
          <w:bCs/>
          <w:sz w:val="24"/>
          <w:szCs w:val="24"/>
          <w:lang w:val="en-US" w:eastAsia="zh-CN"/>
        </w:rPr>
        <w:t xml:space="preserve">共同验收</w:t>
      </w:r>
      <w:r>
        <w:rPr>
          <w:rFonts w:hint="eastAsia" w:ascii="宋体" w:hAnsi="宋体" w:eastAsia="宋体" w:cs="宋体"/>
          <w:b w:val="0"/>
          <w:bCs/>
          <w:sz w:val="24"/>
          <w:szCs w:val="24"/>
        </w:rPr>
        <w:t xml:space="preserve">和判定货物是否合格。</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2.14.5采购人在进行验收时，应做到专人验收、专人记录；所购食品原辅料除符合感官性状卫生要求（验收标准另定）外，必要时送卫生质量部门检验。验收人员根据相关规定确保食品品种符合要求，如确定有所差异，应即刻通知投标人送货人员。如发现食品有损坏的情况，应在相关单据上记录所有损坏情况。并对货物损坏情况进行拍照并存档。对于食品验收的全部信息数据，采购人验收人员和投标人一起确认，并保留双方签字单据。</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2.14.6所验收的物资必须是后厨前一天或者当天应急采购所下单物资，均必须先经质检和验秤，然后入库，严禁未经质检和验秤就将采购物资直接送入食堂。对于采购没有下单的商品，不得擅自作主入库。</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2.14.7预包装原材料外包装已经破损或散乱的预包装原材料禁止收货进库；同样产品实际收货的原材料生产日期早于库房存货日期的预包装原材料、各种调料禁止收货进库。</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2.14.8畜禽肉食类产品要索取本批次检疫合格证；肉类实际验收的重量不大于当批次检疫票标注的重量；预包装原料同种品牌不同规格的食品必须做到每一规格一证。</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2.14.9验收人员对购进的各类商品和各种菜类、肉类和食品辅料类应逐一进行质量检验。凡腐烂变质的、有黄斑菜叶、超过保质期的、剩余保质期不足规定保质期2/3时间的等不合格商品、菜品一律拒收入库，对库存的各类商品和菜品定期做好检验，发现有变质征兆的须及时报告，并及时按规定程序进行处理，并做好出库记录。</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2.14.10采购、质检均要进行感官检查，对食品通过看、嗅、触、尝、试等方法对食品质量作初步判断，所有的产品都应具有正常的感官性状。禁止采购感官状况异常的食品和原料，土豆必须打开编织袋进行检查，发芽土豆不得验收入库。</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2.14.11验收频次：凡进货一次，无论数量多少，都必须验收一次，收货的同时，必须索验相关证件，并作好物资台账记录。</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2.14.12验收完毕后，双方须在《食材配送清单》上签名确认，配送清单作为采购人支付货款的依据之一。如供货当天因不可抗力原因无法提供《食材配送清单》，须经采购人同意后12小时内补齐《食材配送清单》。</w:t>
      </w:r>
      <w:r/>
    </w:p>
    <w:p>
      <w:pPr>
        <w:ind w:firstLine="480"/>
        <w:jc w:val="left"/>
        <w:spacing w:line="500" w:lineRule="exact"/>
        <w:rPr>
          <w:rFonts w:hint="eastAsia" w:ascii="宋体" w:hAnsi="宋体" w:eastAsia="宋体" w:cs="宋体"/>
          <w:b w:val="0"/>
          <w:bCs w:val="0"/>
          <w:i w:val="0"/>
          <w:color w:val="000000"/>
          <w:sz w:val="24"/>
          <w:szCs w:val="24"/>
          <w:u w:val="none"/>
          <w:lang w:val="en-US" w:eastAsia="zh-CN" w:bidi="ar"/>
        </w:rPr>
      </w:pPr>
      <w:r>
        <w:rPr>
          <w:rFonts w:hint="eastAsia" w:ascii="宋体" w:hAnsi="宋体" w:eastAsia="宋体" w:cs="宋体"/>
          <w:b w:val="0"/>
          <w:bCs w:val="0"/>
          <w:i w:val="0"/>
          <w:color w:val="000000"/>
          <w:sz w:val="24"/>
          <w:szCs w:val="24"/>
          <w:u w:val="none"/>
          <w:lang w:val="en-US" w:eastAsia="zh-CN" w:bidi="ar"/>
        </w:rPr>
        <w:t xml:space="preserve">2.14.13履约验收内容：服务期内所供食材品种、数量、质量、价格等。</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zh-CN" w:eastAsia="zh-CN"/>
        </w:rPr>
        <w:t xml:space="preserve">双方如对验收结果存在分歧的，双方同意将系统交由法定资质检测机构进行检测，费用由乙方予以承担。</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2.15通知和送达</w:t>
      </w:r>
      <w:bookmarkEnd w:id="162"/>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2.15.1任何一方因履行合同而以合同尾部所列明的方式发出的所有通知、文件、材料，均视为已向对方当事人送达；任何一方变更上述送达方式或者地址的，应于5个工作日内书面通知对方当事人，在对方当事人收到有关变更通知之前，变更前的约定送达方式或者地址仍视为有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0"/>
        <w:jc w:val="left"/>
        <w:spacing w:line="520" w:lineRule="exact"/>
        <w:rPr>
          <w:rFonts w:hint="eastAsia" w:ascii="宋体" w:hAnsi="宋体" w:eastAsia="宋体" w:cs="宋体"/>
          <w:sz w:val="24"/>
          <w:szCs w:val="24"/>
          <w:lang w:val="zh-CN" w:eastAsia="zh-CN"/>
        </w:rPr>
      </w:pPr>
      <w:r/>
      <w:bookmarkStart w:id="163" w:name="_Toc24053"/>
      <w:r>
        <w:rPr>
          <w:rFonts w:hint="eastAsia" w:ascii="宋体" w:hAnsi="宋体" w:eastAsia="宋体" w:cs="宋体"/>
          <w:sz w:val="24"/>
          <w:szCs w:val="24"/>
          <w:lang w:val="zh-CN" w:eastAsia="zh-CN"/>
        </w:rPr>
        <w:t xml:space="preserve">2.16合同使用的文字和适用的法律</w:t>
      </w:r>
      <w:bookmarkEnd w:id="163"/>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2.16.1合同使用汉语书就、变更和解释；</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2.16.2合同适用中华人民共和国法律。</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bookmarkStart w:id="164" w:name="_Toc14902"/>
      <w:r>
        <w:rPr>
          <w:rFonts w:hint="eastAsia" w:ascii="宋体" w:hAnsi="宋体" w:eastAsia="宋体" w:cs="宋体"/>
          <w:color w:val="000000"/>
          <w:sz w:val="24"/>
          <w:highlight w:val="none"/>
          <w:lang w:val="zh-CN" w:eastAsia="zh-CN"/>
        </w:rPr>
        <w:t xml:space="preserve">2.17履约保证金</w:t>
      </w:r>
      <w:bookmarkEnd w:id="164"/>
      <w:r/>
      <w:r/>
    </w:p>
    <w:p>
      <w:pPr>
        <w:ind w:firstLine="480"/>
        <w:spacing w:line="480" w:lineRule="exact"/>
        <w:rPr>
          <w:rFonts w:hint="eastAsia" w:ascii="宋体" w:hAnsi="宋体" w:eastAsia="宋体" w:cs="宋体"/>
          <w:sz w:val="24"/>
          <w:lang w:val="zh-CN"/>
        </w:rPr>
      </w:pPr>
      <w:r/>
      <w:bookmarkStart w:id="165" w:name="_Toc30057"/>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2.17</w:t>
      </w:r>
      <w:r>
        <w:rPr>
          <w:rFonts w:hint="eastAsia" w:ascii="宋体" w:hAnsi="宋体" w:eastAsia="宋体" w:cs="宋体"/>
          <w:sz w:val="24"/>
        </w:rPr>
        <w:t xml:space="preserve">.1履约保证金提交形式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2.17</w:t>
      </w:r>
      <w:r>
        <w:rPr>
          <w:rFonts w:hint="eastAsia" w:ascii="宋体" w:hAnsi="宋体" w:eastAsia="宋体" w:cs="宋体"/>
          <w:sz w:val="24"/>
        </w:rPr>
        <w:t xml:space="preserve">.2履约保证金提交金额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sz w:val="24"/>
          <w:lang w:val="en-US" w:eastAsia="zh-CN"/>
        </w:rPr>
        <w:t xml:space="preserve">3</w:t>
      </w:r>
      <w:r>
        <w:rPr>
          <w:rFonts w:hint="eastAsia" w:ascii="宋体" w:hAnsi="宋体" w:eastAsia="宋体" w:cs="宋体"/>
          <w:sz w:val="24"/>
        </w:rPr>
        <w:t xml:space="preserve"> %提交。办理流程、偿付等内容见江苏政府采购网“保险保函”模块。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2.17</w:t>
      </w:r>
      <w:r>
        <w:rPr>
          <w:rFonts w:hint="eastAsia" w:ascii="宋体" w:hAnsi="宋体" w:eastAsia="宋体" w:cs="宋体"/>
          <w:sz w:val="24"/>
        </w:rPr>
        <w:t xml:space="preserve">.3履约保证金退还方式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2.17</w:t>
      </w:r>
      <w:r>
        <w:rPr>
          <w:rFonts w:hint="eastAsia" w:ascii="宋体" w:hAnsi="宋体" w:eastAsia="宋体" w:cs="宋体"/>
          <w:sz w:val="24"/>
        </w:rPr>
        <w:t xml:space="preserve">.4履约保证金退还条件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2.17</w:t>
      </w:r>
      <w:r>
        <w:rPr>
          <w:rFonts w:hint="eastAsia" w:ascii="宋体" w:hAnsi="宋体" w:eastAsia="宋体" w:cs="宋体"/>
          <w:sz w:val="24"/>
        </w:rPr>
        <w:t xml:space="preserve">.5履约保证金退还时间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采购人收到投标人退付申请后5个工作日内退还。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2.17</w:t>
      </w:r>
      <w:r>
        <w:rPr>
          <w:rFonts w:hint="eastAsia" w:ascii="宋体" w:hAnsi="宋体" w:eastAsia="宋体" w:cs="宋体"/>
          <w:sz w:val="24"/>
        </w:rPr>
        <w:t xml:space="preserve">.6履约保证金不予退还情形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2.17</w:t>
      </w:r>
      <w:r>
        <w:rPr>
          <w:rFonts w:hint="eastAsia" w:ascii="宋体" w:hAnsi="宋体" w:eastAsia="宋体" w:cs="宋体"/>
          <w:sz w:val="24"/>
        </w:rPr>
        <w:t xml:space="preserve">.7逾期退还履约保证金违约责任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2.18保密条款</w:t>
      </w:r>
      <w:bookmarkEnd w:id="16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甲乙双方对在本合同签订、履行过程中知悉的对方资料和信息，除另一方做出相</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val="zh-CN" w:eastAsia="zh-CN"/>
        </w:rPr>
        <w:t xml:space="preserve">的书面说明外，未经另一方书面同意不得向任何第三方披露。任何一方因违反保密义务而给另一方造成损失的，应承担相应的赔偿责任。如乙方违反保密义务，甲方有权视情节轻重，解除本合同。无论本合同是否变更、解除或终止，合同的保密条款不受其限制而继续有效，双方都应继续承担保密条款约定的保密义务。双方承担保密义务的期限为永久。</w:t>
      </w:r>
      <w:r/>
    </w:p>
    <w:p>
      <w:pPr>
        <w:ind w:firstLine="480"/>
        <w:jc w:val="left"/>
        <w:spacing w:line="520" w:lineRule="exact"/>
        <w:rPr>
          <w:rFonts w:hint="eastAsia" w:ascii="宋体" w:hAnsi="宋体" w:eastAsia="宋体" w:cs="宋体"/>
          <w:sz w:val="24"/>
          <w:szCs w:val="24"/>
          <w:lang w:val="zh-CN" w:eastAsia="zh-CN"/>
        </w:rPr>
      </w:pPr>
      <w:r/>
      <w:bookmarkStart w:id="166" w:name="_Toc14618"/>
      <w:r>
        <w:rPr>
          <w:rFonts w:hint="eastAsia" w:ascii="宋体" w:hAnsi="宋体" w:eastAsia="宋体" w:cs="宋体"/>
          <w:sz w:val="24"/>
          <w:szCs w:val="24"/>
          <w:lang w:val="zh-CN" w:eastAsia="zh-CN"/>
        </w:rPr>
        <w:t xml:space="preserve">2.19合同份数</w:t>
      </w:r>
      <w:bookmarkEnd w:id="16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本合同一式</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eastAsia="zh-CN"/>
        </w:rPr>
        <w:t xml:space="preserve">份，以中文书写，甲方、乙方各执二份每份均具有同等法律效力。</w:t>
      </w:r>
      <w:r/>
    </w:p>
    <w:p>
      <w:pPr>
        <w:pStyle w:val="1242"/>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1242"/>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1242"/>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1242"/>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1242"/>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141"/>
        <w:spacing w:before="94" w:after="94" w:line="480" w:lineRule="auto"/>
        <w:rPr>
          <w:rFonts w:hint="eastAsia" w:ascii="宋体" w:hAnsi="宋体" w:eastAsia="宋体" w:cs="宋体"/>
          <w:sz w:val="24"/>
          <w:szCs w:val="21"/>
        </w:rPr>
      </w:pPr>
      <w:r>
        <w:rPr>
          <w:rFonts w:hint="eastAsia" w:ascii="宋体" w:hAnsi="宋体" w:eastAsia="宋体" w:cs="宋体"/>
          <w:sz w:val="24"/>
          <w:szCs w:val="24"/>
        </w:rPr>
        <w:t xml:space="preserve">年   月   日                           年   月   日</w:t>
      </w:r>
      <w:r/>
    </w:p>
    <w:p>
      <w:pPr>
        <w:pStyle w:val="817"/>
        <w:jc w:val="center"/>
        <w:rPr>
          <w:rFonts w:hint="eastAsia" w:ascii="宋体" w:hAnsi="宋体" w:eastAsia="宋体" w:cs="宋体"/>
          <w:b/>
          <w:bCs/>
          <w:spacing w:val="-20"/>
          <w:lang w:eastAsia="zh-CN"/>
        </w:rPr>
      </w:pPr>
      <w:r>
        <w:rPr>
          <w:rFonts w:hint="eastAsia" w:ascii="宋体" w:hAnsi="宋体" w:eastAsia="宋体" w:cs="宋体"/>
          <w:b/>
          <w:bCs/>
          <w:spacing w:val="-20"/>
          <w:lang w:eastAsia="zh-CN"/>
        </w:rPr>
      </w:r>
      <w:bookmarkEnd w:id="135"/>
      <w:bookmarkEnd w:id="136"/>
      <w:bookmarkEnd w:id="137"/>
      <w:r/>
    </w:p>
    <w:p>
      <w:pPr>
        <w:jc w:val="center"/>
        <w:keepLines/>
        <w:keepNext/>
        <w:pageBreakBefore/>
        <w:rPr>
          <w:rFonts w:hint="eastAsia" w:ascii="宋体" w:hAnsi="宋体" w:eastAsia="宋体" w:cs="宋体"/>
          <w:b/>
          <w:sz w:val="44"/>
          <w:szCs w:val="44"/>
        </w:rPr>
        <w:outlineLvl w:val="0"/>
      </w:pPr>
      <w:r/>
      <w:bookmarkStart w:id="167" w:name="_Toc21933"/>
      <w:r/>
      <w:bookmarkStart w:id="168" w:name="_Toc19649"/>
      <w:r/>
      <w:bookmarkStart w:id="169" w:name="_Toc81575170"/>
      <w:r/>
      <w:bookmarkStart w:id="170" w:name="_Toc22853"/>
      <w:r/>
      <w:bookmarkStart w:id="171" w:name="_Toc81575207"/>
      <w:r/>
      <w:bookmarkStart w:id="172" w:name="_Toc9003"/>
      <w:r>
        <w:rPr>
          <w:rFonts w:hint="eastAsia" w:ascii="宋体" w:hAnsi="宋体" w:eastAsia="宋体" w:cs="宋体"/>
          <w:b/>
          <w:sz w:val="44"/>
          <w:szCs w:val="44"/>
        </w:rPr>
        <w:t xml:space="preserve">第六章  投标文件格式</w:t>
      </w:r>
      <w:bookmarkEnd w:id="167"/>
      <w:r/>
      <w:bookmarkEnd w:id="168"/>
      <w:r/>
      <w:bookmarkEnd w:id="169"/>
      <w:r/>
      <w:bookmarkEnd w:id="170"/>
      <w:r/>
      <w:bookmarkEnd w:id="171"/>
      <w:r/>
      <w:bookmarkEnd w:id="172"/>
      <w:r/>
      <w:r/>
    </w:p>
    <w:p>
      <w:pPr>
        <w:rPr>
          <w:rFonts w:hint="eastAsia" w:ascii="宋体" w:hAnsi="宋体" w:eastAsia="宋体" w:cs="宋体"/>
        </w:rPr>
      </w:pPr>
      <w:r/>
      <w:bookmarkStart w:id="173" w:name="EB819316f773b24a75aef829f9b72900c0"/>
      <w:r/>
      <w:r/>
    </w:p>
    <w:p>
      <w:pPr>
        <w:rPr>
          <w:rFonts w:hint="eastAsia" w:ascii="宋体" w:hAnsi="宋体" w:eastAsia="宋体" w:cs="宋体"/>
          <w:b/>
          <w:sz w:val="72"/>
        </w:rPr>
      </w:pPr>
      <w:r/>
      <w:bookmarkStart w:id="174" w:name="_Toc15716"/>
      <w:r/>
      <w:r/>
    </w:p>
    <w:p>
      <w:pPr>
        <w:rPr>
          <w:rFonts w:hint="eastAsia" w:ascii="宋体" w:hAnsi="宋体" w:eastAsia="宋体" w:cs="宋体"/>
          <w:b/>
          <w:sz w:val="72"/>
        </w:rPr>
      </w:pPr>
      <w:r>
        <w:rPr>
          <w:rFonts w:hint="eastAsia" w:ascii="宋体" w:hAnsi="宋体" w:eastAsia="宋体" w:cs="宋体"/>
          <w:b/>
          <w:sz w:val="72"/>
        </w:rPr>
      </w:r>
      <w:r/>
    </w:p>
    <w:p>
      <w:pP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bookmarkEnd w:id="174"/>
      <w:r/>
      <w:r/>
    </w:p>
    <w:p>
      <w:pPr>
        <w:pStyle w:val="1062"/>
        <w:rPr>
          <w:rFonts w:hint="eastAsia" w:ascii="宋体" w:hAnsi="宋体" w:eastAsia="宋体" w:cs="宋体"/>
        </w:rPr>
      </w:pPr>
      <w:r>
        <w:rPr>
          <w:rFonts w:hint="eastAsia" w:ascii="宋体" w:hAnsi="宋体" w:eastAsia="宋体" w:cs="宋体"/>
        </w:rPr>
      </w:r>
      <w:r/>
    </w:p>
    <w:p>
      <w:pPr>
        <w:pStyle w:val="1062"/>
        <w:rPr>
          <w:rFonts w:hint="eastAsia" w:ascii="宋体" w:hAnsi="宋体" w:eastAsia="宋体" w:cs="宋体"/>
        </w:rPr>
      </w:pPr>
      <w:r>
        <w:rPr>
          <w:rFonts w:hint="eastAsia" w:ascii="宋体" w:hAnsi="宋体" w:eastAsia="宋体" w:cs="宋体"/>
        </w:rPr>
      </w:r>
      <w:r/>
    </w:p>
    <w:p>
      <w:pPr>
        <w:pStyle w:val="1062"/>
        <w:rPr>
          <w:rFonts w:hint="eastAsia" w:ascii="宋体" w:hAnsi="宋体" w:eastAsia="宋体" w:cs="宋体"/>
        </w:rPr>
      </w:pPr>
      <w:r>
        <w:rPr>
          <w:rFonts w:hint="eastAsia" w:ascii="宋体" w:hAnsi="宋体" w:eastAsia="宋体" w:cs="宋体"/>
        </w:rPr>
      </w:r>
      <w:r/>
    </w:p>
    <w:p>
      <w:pPr>
        <w:pStyle w:val="1062"/>
        <w:rPr>
          <w:rFonts w:hint="eastAsia" w:ascii="宋体" w:hAnsi="宋体" w:eastAsia="宋体" w:cs="宋体"/>
        </w:rPr>
      </w:pPr>
      <w:r>
        <w:rPr>
          <w:rFonts w:hint="eastAsia" w:ascii="宋体" w:hAnsi="宋体" w:eastAsia="宋体" w:cs="宋体"/>
        </w:rPr>
      </w:r>
      <w:r/>
    </w:p>
    <w:p>
      <w:pPr>
        <w:pStyle w:val="1062"/>
        <w:rPr>
          <w:rFonts w:hint="eastAsia" w:ascii="宋体" w:hAnsi="宋体" w:eastAsia="宋体" w:cs="宋体"/>
        </w:rPr>
      </w:pPr>
      <w:r>
        <w:rPr>
          <w:rFonts w:hint="eastAsia" w:ascii="宋体" w:hAnsi="宋体" w:eastAsia="宋体" w:cs="宋体"/>
        </w:rPr>
      </w:r>
      <w:r/>
    </w:p>
    <w:p>
      <w:pPr>
        <w:pStyle w:val="1062"/>
        <w:rPr>
          <w:rFonts w:hint="eastAsia" w:ascii="宋体" w:hAnsi="宋体" w:eastAsia="宋体" w:cs="宋体"/>
        </w:rPr>
      </w:pPr>
      <w:r>
        <w:rPr>
          <w:rFonts w:hint="eastAsia" w:ascii="宋体" w:hAnsi="宋体" w:eastAsia="宋体" w:cs="宋体"/>
        </w:rPr>
      </w:r>
      <w:bookmarkEnd w:id="173"/>
      <w:r/>
    </w:p>
    <w:p>
      <w:pPr>
        <w:pStyle w:val="1062"/>
        <w:rPr>
          <w:rFonts w:hint="eastAsia" w:ascii="宋体" w:hAnsi="宋体" w:eastAsia="宋体" w:cs="宋体"/>
        </w:rPr>
      </w:pPr>
      <w:r>
        <w:rPr>
          <w:rFonts w:hint="eastAsia" w:ascii="宋体" w:hAnsi="宋体" w:eastAsia="宋体" w:cs="宋体"/>
        </w:rPr>
      </w:r>
      <w:r/>
    </w:p>
    <w:p>
      <w:pPr>
        <w:pStyle w:val="1062"/>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62"/>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62"/>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一、投标函</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二、投标人资质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三、法人授权书</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四、开标一览表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五、分项报价表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六、中小企业或残疾人福利性单位声明函</w:t>
      </w:r>
      <w:r/>
    </w:p>
    <w:p>
      <w:pPr>
        <w:spacing w:line="360" w:lineRule="auto"/>
        <w:rPr>
          <w:rFonts w:ascii="宋体" w:hAnsi="宋体" w:eastAsia="宋体" w:cs="宋体"/>
          <w:sz w:val="28"/>
          <w:szCs w:val="28"/>
          <w:lang w:val="en-US" w:eastAsia="zh-CN"/>
        </w:rPr>
      </w:pPr>
      <w:r>
        <w:rPr>
          <w:rFonts w:hint="eastAsia" w:ascii="宋体" w:hAnsi="宋体" w:eastAsia="宋体" w:cs="宋体"/>
          <w:sz w:val="28"/>
          <w:szCs w:val="28"/>
        </w:rPr>
        <w:t xml:space="preserve">七、</w:t>
      </w:r>
      <w:r>
        <w:rPr>
          <w:rFonts w:hint="eastAsia" w:ascii="宋体" w:hAnsi="宋体" w:eastAsia="宋体" w:cs="宋体"/>
          <w:sz w:val="28"/>
          <w:szCs w:val="28"/>
          <w:lang w:val="en-US" w:eastAsia="zh-CN"/>
        </w:rPr>
        <w:t xml:space="preserve">项目组人员</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、企业业绩</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九、考核标准承诺</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十、食品安全责任险承诺函</w:t>
      </w:r>
      <w:r/>
    </w:p>
    <w:p>
      <w:pPr>
        <w:spacing w:line="360" w:lineRule="auto"/>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十一、人员要求承诺函</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十二、投标所需其他材料</w:t>
      </w:r>
      <w:r/>
    </w:p>
    <w:p>
      <w:pPr>
        <w:rPr>
          <w:rFonts w:hint="eastAsia" w:ascii="宋体" w:hAnsi="宋体" w:eastAsia="宋体" w:cs="宋体"/>
        </w:rPr>
      </w:pPr>
      <w:r/>
      <w:bookmarkStart w:id="175" w:name="_Toc20577"/>
      <w:r/>
      <w:bookmarkStart w:id="176" w:name="_Toc26005"/>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72"/>
        <w:rPr>
          <w:rFonts w:hint="eastAsia" w:ascii="宋体" w:hAnsi="宋体" w:eastAsia="宋体" w:cs="宋体"/>
          <w:b w:val="0"/>
          <w:bCs/>
        </w:rPr>
        <w:outlineLvl w:val="1"/>
      </w:pPr>
      <w:r/>
      <w:bookmarkStart w:id="177" w:name="_Toc8978"/>
      <w:r>
        <w:rPr>
          <w:rFonts w:hint="eastAsia" w:ascii="宋体" w:hAnsi="宋体" w:eastAsia="宋体" w:cs="宋体"/>
          <w:b w:val="0"/>
          <w:bCs/>
        </w:rPr>
        <w:t xml:space="preserve">一、投标函</w:t>
      </w:r>
      <w:bookmarkEnd w:id="175"/>
      <w:r/>
      <w:bookmarkEnd w:id="176"/>
      <w:r/>
      <w:bookmarkEnd w:id="177"/>
      <w:r/>
      <w:r/>
    </w:p>
    <w:p>
      <w:pPr>
        <w:pStyle w:val="107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73"/>
        <w:jc w:val="center"/>
        <w:rPr>
          <w:rFonts w:hint="eastAsia" w:ascii="宋体" w:hAnsi="宋体" w:eastAsia="宋体" w:cs="宋体"/>
          <w:bCs/>
          <w:sz w:val="32"/>
          <w:szCs w:val="32"/>
        </w:rPr>
      </w:pPr>
      <w:r>
        <w:rPr>
          <w:rFonts w:hint="eastAsia" w:ascii="宋体" w:hAnsi="宋体" w:eastAsia="宋体" w:cs="宋体"/>
          <w:bCs/>
          <w:sz w:val="32"/>
          <w:szCs w:val="32"/>
        </w:rPr>
        <w:t xml:space="preserve">投标函</w:t>
      </w:r>
      <w:r/>
    </w:p>
    <w:p>
      <w:pPr>
        <w:pStyle w:val="1073"/>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07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的招标文件，我方在参加本项目招投标活动中，特作出如下承诺：</w:t>
      </w:r>
      <w:r/>
    </w:p>
    <w:p>
      <w:pPr>
        <w:pStyle w:val="1073"/>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rPr>
        <w:t xml:space="preserve">具备《中华人民共和国政府采购法》第二十二条第一款规定的6项条件；</w:t>
      </w:r>
      <w:r/>
    </w:p>
    <w:p>
      <w:pPr>
        <w:pStyle w:val="107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107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7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07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六、我方同意采购人、采购代理机构将本函上网公开。</w:t>
      </w:r>
      <w:r/>
    </w:p>
    <w:p>
      <w:pPr>
        <w:pStyle w:val="107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73"/>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73"/>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（盖CA电子公章）</w:t>
      </w:r>
      <w:r/>
    </w:p>
    <w:p>
      <w:pPr>
        <w:pStyle w:val="1073"/>
        <w:ind w:firstLine="480"/>
        <w:rPr>
          <w:rFonts w:hint="eastAsia" w:ascii="宋体" w:hAnsi="宋体" w:eastAsia="宋体" w:cs="宋体"/>
          <w:sz w:val="24"/>
          <w:szCs w:val="24"/>
        </w:rPr>
      </w:pPr>
      <w:r>
        <w:rPr>
          <w:rFonts w:hint="eastAsia" w:ascii="宋体" w:hAnsi="宋体" w:eastAsia="宋体" w:cs="宋体"/>
          <w:sz w:val="24"/>
          <w:szCs w:val="24"/>
        </w:rPr>
      </w:r>
      <w:r/>
    </w:p>
    <w:p>
      <w:pPr>
        <w:pStyle w:val="1073"/>
        <w:ind w:firstLine="480"/>
        <w:rPr>
          <w:rFonts w:hint="eastAsia" w:ascii="宋体" w:hAnsi="宋体" w:eastAsia="宋体" w:cs="宋体"/>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72"/>
        <w:rPr>
          <w:rFonts w:hint="eastAsia" w:ascii="宋体" w:hAnsi="宋体" w:eastAsia="宋体" w:cs="宋体"/>
          <w:b w:val="0"/>
          <w:bCs/>
        </w:rPr>
        <w:outlineLvl w:val="1"/>
      </w:pPr>
      <w:r/>
      <w:bookmarkStart w:id="178" w:name="_Toc15099"/>
      <w:r>
        <w:rPr>
          <w:rFonts w:hint="eastAsia" w:ascii="宋体" w:hAnsi="宋体" w:eastAsia="宋体" w:cs="宋体"/>
          <w:b w:val="0"/>
          <w:bCs/>
        </w:rPr>
        <w:t xml:space="preserve">二、投标人资质</w:t>
      </w:r>
      <w:bookmarkEnd w:id="178"/>
      <w:r/>
      <w:r/>
    </w:p>
    <w:p>
      <w:pPr>
        <w:rPr>
          <w:rFonts w:hint="eastAsia" w:ascii="宋体" w:hAnsi="宋体" w:eastAsia="宋体" w:cs="宋体"/>
        </w:rPr>
      </w:pPr>
      <w:r>
        <w:rPr>
          <w:rFonts w:hint="eastAsia" w:ascii="宋体" w:hAnsi="宋体" w:eastAsia="宋体" w:cs="宋体"/>
        </w:rPr>
        <w:t xml:space="preserve">按招标文件要求提供相应资质证书</w:t>
      </w:r>
      <w:r/>
    </w:p>
    <w:p>
      <w:pPr>
        <w:rPr>
          <w:rFonts w:hint="eastAsia" w:ascii="宋体" w:hAnsi="宋体" w:eastAsia="宋体" w:cs="宋体"/>
        </w:rPr>
        <w:outlineLvl w:val="1"/>
      </w:pPr>
      <w:r>
        <w:rPr>
          <w:rFonts w:hint="eastAsia" w:ascii="宋体" w:hAnsi="宋体" w:eastAsia="宋体" w:cs="宋体"/>
        </w:rPr>
        <w:br w:type="page" w:clear="all"/>
      </w:r>
      <w:bookmarkStart w:id="179" w:name="_Toc3680"/>
      <w:r/>
      <w:bookmarkStart w:id="180" w:name="_Toc29506"/>
      <w:r/>
      <w:bookmarkStart w:id="181" w:name="_Toc27409"/>
      <w:r>
        <w:rPr>
          <w:rFonts w:hint="eastAsia" w:ascii="宋体" w:hAnsi="宋体" w:eastAsia="宋体" w:cs="宋体"/>
          <w:bCs/>
          <w:sz w:val="32"/>
          <w:szCs w:val="24"/>
        </w:rPr>
        <w:t xml:space="preserve">三、</w:t>
      </w:r>
      <w:bookmarkEnd w:id="179"/>
      <w:r/>
      <w:bookmarkEnd w:id="180"/>
      <w:r>
        <w:rPr>
          <w:rFonts w:hint="eastAsia" w:ascii="宋体" w:hAnsi="宋体" w:eastAsia="宋体" w:cs="宋体"/>
          <w:bCs/>
          <w:sz w:val="32"/>
          <w:szCs w:val="24"/>
        </w:rPr>
        <w:t xml:space="preserve">法人授权书</w:t>
      </w:r>
      <w:bookmarkEnd w:id="181"/>
      <w:r/>
      <w:r/>
    </w:p>
    <w:p>
      <w:pPr>
        <w:pStyle w:val="1073"/>
        <w:jc w:val="center"/>
        <w:rPr>
          <w:rFonts w:hint="eastAsia" w:ascii="宋体" w:hAnsi="宋体" w:eastAsia="宋体" w:cs="宋体"/>
          <w:bCs/>
          <w:sz w:val="32"/>
          <w:szCs w:val="32"/>
        </w:rPr>
      </w:pPr>
      <w:r/>
      <w:bookmarkStart w:id="182" w:name="OLE_LINK6"/>
      <w:r>
        <w:rPr>
          <w:rFonts w:hint="eastAsia" w:ascii="宋体" w:hAnsi="宋体" w:eastAsia="宋体" w:cs="宋体"/>
          <w:bCs/>
          <w:sz w:val="32"/>
          <w:szCs w:val="32"/>
        </w:rPr>
        <w:t xml:space="preserve">法人授权书</w:t>
      </w:r>
      <w:bookmarkEnd w:id="182"/>
      <w:r/>
    </w:p>
    <w:p>
      <w:pPr>
        <w:pStyle w:val="1193"/>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          （项目名称）           项目</w:t>
      </w:r>
      <w:r>
        <w:rPr>
          <w:rFonts w:hint="eastAsia" w:ascii="宋体" w:hAnsi="宋体" w:eastAsia="宋体" w:cs="宋体"/>
          <w:sz w:val="24"/>
          <w:szCs w:val="24"/>
        </w:rPr>
        <w:t xml:space="preserve">采购活动的合法代理人，以本单位名义全权处理一切与该项目采购有关的事务。</w:t>
      </w:r>
      <w:r/>
    </w:p>
    <w:p>
      <w:pPr>
        <w:pStyle w:val="1193"/>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1193"/>
        <w:ind w:firstLine="482"/>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pStyle w:val="1193"/>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pStyle w:val="1193"/>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（盖CA电子公章）</w:t>
      </w:r>
      <w:r/>
    </w:p>
    <w:p>
      <w:pPr>
        <w:pStyle w:val="1193"/>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p>
    <w:p>
      <w:pPr>
        <w:pStyle w:val="1193"/>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日期：</w:t>
      </w:r>
      <w:bookmarkStart w:id="183" w:name="_格式3__银行出具的资信证明"/>
      <w:r/>
      <w:bookmarkEnd w:id="183"/>
      <w:r/>
      <w:bookmarkStart w:id="184" w:name="_Hlt26671380"/>
      <w:r/>
      <w:bookmarkEnd w:id="184"/>
      <w:r/>
      <w:bookmarkStart w:id="185" w:name="_Hlt26955070"/>
      <w:r/>
      <w:bookmarkEnd w:id="185"/>
      <w:r>
        <w:rPr>
          <w:rFonts w:hint="eastAsia" w:ascii="宋体" w:hAnsi="宋体" w:eastAsia="宋体" w:cs="宋体"/>
          <w:sz w:val="24"/>
          <w:szCs w:val="24"/>
          <w:u w:val="single"/>
        </w:rPr>
        <w:t xml:space="preserve">                                         </w:t>
      </w:r>
      <w:r/>
    </w:p>
    <w:p>
      <w:pPr>
        <w:pStyle w:val="1075"/>
        <w:ind w:firstLine="629"/>
        <w:spacing w:line="700" w:lineRule="exact"/>
        <w:rPr>
          <w:rFonts w:hint="eastAsia" w:ascii="宋体" w:hAnsi="宋体" w:eastAsia="宋体" w:cs="宋体"/>
          <w:sz w:val="24"/>
        </w:rPr>
      </w:pPr>
      <w:r>
        <w:rPr>
          <w:rFonts w:hint="eastAsia" w:ascii="宋体" w:hAnsi="宋体" w:eastAsia="宋体" w:cs="宋体"/>
          <w:sz w:val="24"/>
        </w:rPr>
      </w:r>
      <w:r/>
    </w:p>
    <w:p>
      <w:pPr>
        <w:pStyle w:val="1078"/>
        <w:rPr>
          <w:rFonts w:hint="eastAsia" w:ascii="宋体" w:hAnsi="宋体" w:eastAsia="宋体" w:cs="宋体"/>
        </w:rPr>
        <w:outlineLvl w:val="1"/>
      </w:pPr>
      <w:r>
        <w:rPr>
          <w:rFonts w:hint="eastAsia" w:ascii="宋体" w:hAnsi="宋体" w:eastAsia="宋体" w:cs="宋体"/>
        </w:rPr>
        <w:br w:type="page" w:clear="all"/>
      </w:r>
      <w:bookmarkStart w:id="186" w:name="_Toc27199"/>
      <w:r/>
      <w:bookmarkStart w:id="187" w:name="_Toc30543"/>
      <w:r/>
      <w:bookmarkStart w:id="188" w:name="_Toc13550"/>
      <w:r>
        <w:rPr>
          <w:rFonts w:hint="eastAsia" w:ascii="宋体" w:hAnsi="宋体" w:eastAsia="宋体" w:cs="宋体"/>
          <w:b w:val="0"/>
          <w:bCs/>
        </w:rPr>
        <w:t xml:space="preserve">四、开标一览表</w:t>
      </w:r>
      <w:bookmarkEnd w:id="186"/>
      <w:r/>
      <w:bookmarkEnd w:id="187"/>
      <w:r/>
      <w:bookmarkEnd w:id="188"/>
      <w:r/>
      <w:r/>
    </w:p>
    <w:p>
      <w:pPr>
        <w:pStyle w:val="1079"/>
        <w:rPr>
          <w:rFonts w:hint="eastAsia" w:ascii="宋体" w:hAnsi="宋体" w:eastAsia="宋体" w:cs="宋体"/>
        </w:rPr>
      </w:pPr>
      <w:r>
        <w:rPr>
          <w:rFonts w:hint="eastAsia" w:ascii="宋体" w:hAnsi="宋体" w:eastAsia="宋体" w:cs="宋体"/>
        </w:rPr>
      </w:r>
      <w:r/>
    </w:p>
    <w:p>
      <w:pPr>
        <w:pStyle w:val="1090"/>
        <w:ind w:firstLine="442"/>
        <w:spacing w:line="480" w:lineRule="exact"/>
        <w:rPr>
          <w:rFonts w:hint="eastAsia" w:ascii="宋体" w:hAnsi="宋体" w:eastAsia="宋体" w:cs="宋体"/>
          <w:sz w:val="24"/>
          <w:szCs w:val="24"/>
        </w:rPr>
      </w:pPr>
      <w:r/>
      <w:bookmarkStart w:id="189" w:name="_Toc26543"/>
      <w:r/>
      <w:bookmarkStart w:id="190" w:name="_Toc956"/>
      <w:r/>
      <w:bookmarkStart w:id="191" w:name="_Toc12614"/>
      <w:r>
        <w:rPr>
          <w:rFonts w:hint="eastAsia" w:ascii="宋体" w:hAnsi="宋体" w:eastAsia="宋体" w:cs="宋体"/>
          <w:sz w:val="32"/>
          <w:lang w:val="en-US" w:eastAsia="zh-CN"/>
        </w:rPr>
        <w:t xml:space="preserve">格式详见投标文件制作工具</w:t>
      </w:r>
      <w:r/>
    </w:p>
    <w:p>
      <w:pPr>
        <w:pStyle w:val="1081"/>
        <w:rPr>
          <w:rFonts w:hint="eastAsia" w:ascii="宋体" w:hAnsi="宋体" w:eastAsia="宋体" w:cs="宋体"/>
        </w:rPr>
        <w:outlineLvl w:val="1"/>
      </w:pPr>
      <w:r>
        <w:rPr>
          <w:rFonts w:hint="eastAsia" w:ascii="宋体" w:hAnsi="宋体" w:eastAsia="宋体" w:cs="宋体"/>
          <w:b w:val="0"/>
          <w:bCs/>
        </w:rPr>
        <w:br w:type="page" w:clear="all"/>
      </w:r>
      <w:r>
        <w:rPr>
          <w:rFonts w:hint="eastAsia" w:ascii="宋体" w:hAnsi="宋体" w:eastAsia="宋体" w:cs="宋体"/>
          <w:b w:val="0"/>
          <w:bCs/>
        </w:rPr>
        <w:t xml:space="preserve">五、</w:t>
      </w:r>
      <w:bookmarkEnd w:id="189"/>
      <w:r/>
      <w:bookmarkEnd w:id="190"/>
      <w:r>
        <w:rPr>
          <w:rFonts w:hint="eastAsia" w:ascii="宋体" w:hAnsi="宋体" w:eastAsia="宋体" w:cs="宋体"/>
          <w:b w:val="0"/>
          <w:bCs/>
        </w:rPr>
        <w:t xml:space="preserve">分项报价表</w:t>
      </w:r>
      <w:bookmarkEnd w:id="191"/>
      <w:r/>
      <w:r/>
    </w:p>
    <w:p>
      <w:pPr>
        <w:pStyle w:val="107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73"/>
        <w:jc w:val="center"/>
        <w:rPr>
          <w:rFonts w:hint="eastAsia" w:ascii="宋体" w:hAnsi="宋体" w:eastAsia="宋体" w:cs="宋体"/>
          <w:bCs/>
          <w:sz w:val="32"/>
          <w:szCs w:val="32"/>
        </w:rPr>
      </w:pPr>
      <w:r>
        <w:rPr>
          <w:rFonts w:hint="eastAsia" w:ascii="宋体" w:hAnsi="宋体" w:eastAsia="宋体" w:cs="宋体"/>
          <w:bCs/>
          <w:sz w:val="32"/>
          <w:szCs w:val="32"/>
        </w:rPr>
        <w:t xml:space="preserve">分项报价表</w:t>
      </w:r>
      <w:r/>
    </w:p>
    <w:tbl>
      <w:tblPr>
        <w:tblStyle w:val="755"/>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555"/>
        <w:gridCol w:w="3378"/>
        <w:gridCol w:w="991"/>
      </w:tblGrid>
      <w:tr>
        <w:trPr>
          <w:cantSplit/>
          <w:trHeight w:val="630"/>
        </w:trPr>
        <w:tc>
          <w:tcPr>
            <w:tcW w:w="654" w:type="dxa"/>
            <w:vAlign w:val="center"/>
            <w:textDirection w:val="lrTb"/>
            <w:noWrap w:val="false"/>
          </w:tcPr>
          <w:p>
            <w:pPr>
              <w:pStyle w:val="1170"/>
              <w:jc w:val="center"/>
              <w:spacing w:line="360" w:lineRule="exact"/>
              <w:widowControl/>
              <w:rPr>
                <w:rFonts w:hint="eastAsia" w:ascii="宋体" w:hAnsi="宋体" w:eastAsia="宋体" w:cs="宋体"/>
                <w:sz w:val="28"/>
                <w:szCs w:val="28"/>
                <w:highlight w:val="none"/>
              </w:rPr>
            </w:pPr>
            <w:r/>
            <w:bookmarkStart w:id="192" w:name="_Toc17418"/>
            <w:r>
              <w:rPr>
                <w:rFonts w:hint="eastAsia" w:ascii="宋体" w:hAnsi="宋体" w:eastAsia="宋体" w:cs="宋体"/>
                <w:sz w:val="28"/>
                <w:szCs w:val="28"/>
                <w:highlight w:val="none"/>
              </w:rPr>
              <w:t xml:space="preserve">序号</w:t>
            </w:r>
            <w:r/>
          </w:p>
        </w:tc>
        <w:tc>
          <w:tcPr>
            <w:gridSpan w:val="2"/>
            <w:tcW w:w="3962" w:type="dxa"/>
            <w:vAlign w:val="center"/>
            <w:textDirection w:val="lrTb"/>
            <w:noWrap w:val="false"/>
          </w:tcPr>
          <w:p>
            <w:pPr>
              <w:pStyle w:val="1170"/>
              <w:jc w:val="center"/>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服务费用简述</w:t>
            </w:r>
            <w:r/>
          </w:p>
        </w:tc>
        <w:tc>
          <w:tcPr>
            <w:tcW w:w="3378" w:type="dxa"/>
            <w:vAlign w:val="center"/>
            <w:textDirection w:val="lrTb"/>
            <w:noWrap w:val="false"/>
          </w:tcPr>
          <w:p>
            <w:pPr>
              <w:pStyle w:val="1170"/>
              <w:jc w:val="center"/>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折扣/优惠率</w:t>
            </w:r>
            <w:r/>
          </w:p>
        </w:tc>
        <w:tc>
          <w:tcPr>
            <w:tcW w:w="991" w:type="dxa"/>
            <w:vAlign w:val="center"/>
            <w:textDirection w:val="lrTb"/>
            <w:noWrap w:val="false"/>
          </w:tcPr>
          <w:p>
            <w:pPr>
              <w:pStyle w:val="1170"/>
              <w:jc w:val="center"/>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tc>
      </w:tr>
      <w:tr>
        <w:trPr>
          <w:cantSplit/>
          <w:trHeight w:val="482"/>
        </w:trPr>
        <w:tc>
          <w:tcPr>
            <w:tcW w:w="654" w:type="dxa"/>
            <w:vAlign w:val="top"/>
            <w:textDirection w:val="lrTb"/>
            <w:noWrap w:val="false"/>
          </w:tcPr>
          <w:p>
            <w:pPr>
              <w:pStyle w:val="1170"/>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gridSpan w:val="2"/>
            <w:tcW w:w="3962" w:type="dxa"/>
            <w:vAlign w:val="top"/>
            <w:textDirection w:val="lrTb"/>
            <w:noWrap w:val="false"/>
          </w:tcPr>
          <w:p>
            <w:pPr>
              <w:pStyle w:val="117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restart"/>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lang w:val="en-US" w:eastAsia="zh-CN"/>
              </w:rPr>
              <w:t xml:space="preserve"> %</w:t>
            </w:r>
            <w:r/>
          </w:p>
        </w:tc>
        <w:tc>
          <w:tcPr>
            <w:tcW w:w="991" w:type="dxa"/>
            <w:vAlign w:val="center"/>
            <w:vMerge w:val="restart"/>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376"/>
        </w:trPr>
        <w:tc>
          <w:tcPr>
            <w:tcW w:w="654" w:type="dxa"/>
            <w:vAlign w:val="top"/>
            <w:textDirection w:val="lrTb"/>
            <w:noWrap w:val="false"/>
          </w:tcPr>
          <w:p>
            <w:pPr>
              <w:pStyle w:val="1170"/>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p>
        </w:tc>
        <w:tc>
          <w:tcPr>
            <w:gridSpan w:val="2"/>
            <w:tcW w:w="3962" w:type="dxa"/>
            <w:vAlign w:val="top"/>
            <w:textDirection w:val="lrTb"/>
            <w:noWrap w:val="false"/>
          </w:tcPr>
          <w:p>
            <w:pPr>
              <w:pStyle w:val="117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0"/>
        </w:trPr>
        <w:tc>
          <w:tcPr>
            <w:tcW w:w="654" w:type="dxa"/>
            <w:vAlign w:val="top"/>
            <w:textDirection w:val="lrTb"/>
            <w:noWrap w:val="false"/>
          </w:tcPr>
          <w:p>
            <w:pPr>
              <w:pStyle w:val="1170"/>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p>
        </w:tc>
        <w:tc>
          <w:tcPr>
            <w:gridSpan w:val="2"/>
            <w:tcW w:w="3962" w:type="dxa"/>
            <w:vAlign w:val="top"/>
            <w:textDirection w:val="lrTb"/>
            <w:noWrap w:val="false"/>
          </w:tcPr>
          <w:p>
            <w:pPr>
              <w:pStyle w:val="117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0"/>
        </w:trPr>
        <w:tc>
          <w:tcPr>
            <w:tcW w:w="654" w:type="dxa"/>
            <w:vAlign w:val="top"/>
            <w:textDirection w:val="lrTb"/>
            <w:noWrap w:val="false"/>
          </w:tcPr>
          <w:p>
            <w:pPr>
              <w:pStyle w:val="1170"/>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p>
        </w:tc>
        <w:tc>
          <w:tcPr>
            <w:gridSpan w:val="2"/>
            <w:tcW w:w="3962" w:type="dxa"/>
            <w:vAlign w:val="top"/>
            <w:textDirection w:val="lrTb"/>
            <w:noWrap w:val="false"/>
          </w:tcPr>
          <w:p>
            <w:pPr>
              <w:pStyle w:val="117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0"/>
        </w:trPr>
        <w:tc>
          <w:tcPr>
            <w:tcW w:w="654" w:type="dxa"/>
            <w:vAlign w:val="top"/>
            <w:textDirection w:val="lrTb"/>
            <w:noWrap w:val="false"/>
          </w:tcPr>
          <w:p>
            <w:pPr>
              <w:pStyle w:val="1170"/>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p>
        </w:tc>
        <w:tc>
          <w:tcPr>
            <w:gridSpan w:val="2"/>
            <w:tcW w:w="3962" w:type="dxa"/>
            <w:vAlign w:val="top"/>
            <w:textDirection w:val="lrTb"/>
            <w:noWrap w:val="false"/>
          </w:tcPr>
          <w:p>
            <w:pPr>
              <w:pStyle w:val="117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70"/>
        </w:trPr>
        <w:tc>
          <w:tcPr>
            <w:tcW w:w="654" w:type="dxa"/>
            <w:vAlign w:val="top"/>
            <w:textDirection w:val="lrTb"/>
            <w:noWrap w:val="false"/>
          </w:tcPr>
          <w:p>
            <w:pPr>
              <w:pStyle w:val="1170"/>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tc>
        <w:tc>
          <w:tcPr>
            <w:gridSpan w:val="2"/>
            <w:tcW w:w="3962" w:type="dxa"/>
            <w:vAlign w:val="top"/>
            <w:textDirection w:val="lrTb"/>
            <w:noWrap w:val="false"/>
          </w:tcPr>
          <w:p>
            <w:pPr>
              <w:pStyle w:val="1170"/>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textDirection w:val="lrTb"/>
            <w:noWrap w:val="false"/>
          </w:tcPr>
          <w:p>
            <w:pPr>
              <w:pStyle w:val="117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766"/>
        </w:trPr>
        <w:tc>
          <w:tcPr>
            <w:gridSpan w:val="2"/>
            <w:tcW w:w="2061" w:type="dxa"/>
            <w:vAlign w:val="center"/>
            <w:textDirection w:val="lrTb"/>
            <w:noWrap w:val="false"/>
          </w:tcPr>
          <w:p>
            <w:pPr>
              <w:pStyle w:val="1170"/>
              <w:jc w:val="center"/>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投标报价</w:t>
            </w:r>
            <w:r/>
          </w:p>
        </w:tc>
        <w:tc>
          <w:tcPr>
            <w:gridSpan w:val="3"/>
            <w:tcW w:w="6924" w:type="dxa"/>
            <w:vAlign w:val="center"/>
            <w:textDirection w:val="lrTb"/>
            <w:noWrap w:val="false"/>
          </w:tcPr>
          <w:p>
            <w:pPr>
              <w:pStyle w:val="1170"/>
              <w:jc w:val="center"/>
              <w:spacing w:line="500" w:lineRule="exact"/>
              <w:rPr>
                <w:rFonts w:hint="eastAsia" w:ascii="宋体" w:hAnsi="宋体" w:eastAsia="宋体" w:cs="宋体"/>
                <w:b/>
                <w:bCs/>
                <w:sz w:val="24"/>
                <w:highlight w:val="none"/>
              </w:rPr>
            </w:pPr>
            <w:r>
              <w:rPr>
                <w:rFonts w:hint="eastAsia" w:ascii="宋体" w:hAnsi="宋体" w:eastAsia="宋体" w:cs="宋体"/>
                <w:b/>
                <w:bCs/>
                <w:sz w:val="28"/>
                <w:szCs w:val="28"/>
                <w:highlight w:val="none"/>
              </w:rPr>
              <w:t xml:space="preserve">折扣/优惠率</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lang w:val="en-US" w:eastAsia="zh-CN"/>
              </w:rPr>
              <w:t xml:space="preserve"> %</w:t>
            </w:r>
            <w:r/>
          </w:p>
        </w:tc>
      </w:tr>
    </w:tbl>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1.“投标报价”数额应当与“开标一览表”中“投标报价”数额一致。</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本表应按包分别填写。</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按投标费率（折扣）报价，投标折扣以%为单位，最高不得超过100%进行报价，</w:t>
      </w:r>
      <w:r>
        <w:rPr>
          <w:rFonts w:hint="eastAsia" w:ascii="宋体" w:hAnsi="宋体" w:eastAsia="宋体" w:cs="宋体"/>
          <w:sz w:val="24"/>
          <w:szCs w:val="24"/>
          <w:highlight w:val="none"/>
          <w:lang w:val="en-US" w:eastAsia="zh-CN"/>
        </w:rPr>
        <w:t xml:space="preserve">投标人应按照统一的整体折扣进行报价。</w:t>
      </w:r>
      <w:r>
        <w:rPr>
          <w:rFonts w:hint="eastAsia" w:ascii="宋体" w:hAnsi="宋体" w:eastAsia="宋体" w:cs="宋体"/>
          <w:sz w:val="24"/>
          <w:szCs w:val="24"/>
          <w:highlight w:val="none"/>
        </w:rPr>
        <w:t xml:space="preserve">结算价款按实际发生的费用*中标折扣</w:t>
      </w:r>
      <w:r>
        <w:rPr>
          <w:rFonts w:hint="eastAsia" w:ascii="宋体" w:hAnsi="宋体" w:eastAsia="宋体" w:cs="宋体"/>
          <w:sz w:val="24"/>
          <w:szCs w:val="24"/>
          <w:highlight w:val="none"/>
          <w:lang w:val="en-US" w:eastAsia="zh-CN"/>
        </w:rPr>
        <w:t xml:space="preserve">。</w:t>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pStyle w:val="1073"/>
        <w:jc w:val="center"/>
        <w:rPr>
          <w:rFonts w:hint="eastAsia" w:ascii="宋体" w:hAnsi="宋体" w:eastAsia="宋体" w:cs="宋体"/>
        </w:rPr>
      </w:pPr>
      <w:r>
        <w:rPr>
          <w:rFonts w:hint="eastAsia" w:ascii="宋体" w:hAnsi="宋体" w:eastAsia="宋体" w:cs="宋体"/>
          <w:b/>
          <w:bCs/>
        </w:rPr>
        <w:br w:type="page" w:clear="all"/>
      </w:r>
      <w:r/>
    </w:p>
    <w:p>
      <w:pPr>
        <w:pStyle w:val="1107"/>
        <w:rPr>
          <w:rFonts w:hint="eastAsia" w:ascii="宋体" w:hAnsi="宋体" w:eastAsia="宋体" w:cs="宋体"/>
          <w:b w:val="0"/>
          <w:bCs/>
        </w:rPr>
        <w:outlineLvl w:val="1"/>
      </w:pPr>
      <w:r/>
      <w:bookmarkStart w:id="193" w:name="_Toc21129"/>
      <w:r/>
      <w:bookmarkStart w:id="194" w:name="_Toc2747"/>
      <w:r>
        <w:rPr>
          <w:rFonts w:hint="eastAsia" w:ascii="宋体" w:hAnsi="宋体" w:eastAsia="宋体" w:cs="宋体"/>
          <w:b w:val="0"/>
          <w:bCs/>
        </w:rPr>
        <w:t xml:space="preserve">六、中小企业或残疾人福利性单位声明函</w:t>
      </w:r>
      <w:bookmarkEnd w:id="192"/>
      <w:r/>
      <w:bookmarkEnd w:id="193"/>
      <w:r/>
      <w:bookmarkEnd w:id="194"/>
      <w:r/>
      <w:r/>
    </w:p>
    <w:p>
      <w:pPr>
        <w:pStyle w:val="107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90"/>
        <w:ind w:firstLine="442"/>
        <w:spacing w:line="480" w:lineRule="exact"/>
        <w:rPr>
          <w:rFonts w:hint="eastAsia" w:ascii="宋体" w:hAnsi="宋体" w:eastAsia="宋体" w:cs="宋体"/>
          <w:sz w:val="24"/>
          <w:szCs w:val="24"/>
        </w:rPr>
      </w:pPr>
      <w:r>
        <w:rPr>
          <w:rFonts w:hint="eastAsia" w:ascii="宋体" w:hAnsi="宋体" w:eastAsia="宋体" w:cs="宋体"/>
          <w:sz w:val="32"/>
          <w:lang w:val="en-US" w:eastAsia="zh-CN"/>
        </w:rPr>
        <w:t xml:space="preserve">格式详见投标文件制作工具</w:t>
      </w:r>
      <w:r/>
    </w:p>
    <w:p>
      <w:pPr>
        <w:pStyle w:val="782"/>
        <w:rPr>
          <w:rFonts w:hint="eastAsia" w:ascii="宋体" w:hAnsi="宋体" w:eastAsia="宋体" w:cs="宋体"/>
          <w:b w:val="0"/>
          <w:bCs w:val="0"/>
        </w:rPr>
      </w:pPr>
      <w:r>
        <w:rPr>
          <w:rFonts w:hint="eastAsia" w:ascii="宋体" w:hAnsi="宋体" w:eastAsia="宋体" w:cs="宋体"/>
          <w:b w:val="0"/>
          <w:bCs w:val="0"/>
          <w:color w:val="000000"/>
          <w:szCs w:val="32"/>
        </w:rPr>
        <w:t xml:space="preserve">七</w:t>
      </w:r>
      <w:r>
        <w:rPr>
          <w:rFonts w:hint="eastAsia" w:ascii="宋体" w:hAnsi="宋体" w:eastAsia="宋体" w:cs="宋体"/>
          <w:b w:val="0"/>
          <w:bCs w:val="0"/>
          <w:color w:val="000000"/>
          <w:szCs w:val="32"/>
          <w:lang w:eastAsia="zh-CN"/>
        </w:rPr>
        <w:t xml:space="preserve">、</w:t>
      </w:r>
      <w:bookmarkStart w:id="195" w:name="_Toc15871"/>
      <w:r/>
      <w:bookmarkStart w:id="196" w:name="_Toc25337"/>
      <w:r>
        <w:rPr>
          <w:rFonts w:hint="eastAsia" w:ascii="宋体" w:hAnsi="宋体" w:eastAsia="宋体" w:cs="宋体"/>
          <w:b w:val="0"/>
          <w:bCs w:val="0"/>
        </w:rPr>
        <w:t xml:space="preserve">项目组人员</w:t>
      </w:r>
      <w:r/>
    </w:p>
    <w:tbl>
      <w:tblPr>
        <w:tblStyle w:val="75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79"/>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姓名</w:t>
            </w:r>
            <w:r/>
          </w:p>
        </w:tc>
        <w:tc>
          <w:tcPr>
            <w:tcW w:w="1843" w:type="dxa"/>
            <w:vAlign w:val="center"/>
            <w:textDirection w:val="lrTb"/>
            <w:noWrap w:val="false"/>
          </w:tcPr>
          <w:p>
            <w:pPr>
              <w:pStyle w:val="1179"/>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职务</w:t>
            </w:r>
            <w:r/>
          </w:p>
        </w:tc>
        <w:tc>
          <w:tcPr>
            <w:tcW w:w="992" w:type="dxa"/>
            <w:vAlign w:val="center"/>
            <w:textDirection w:val="lrTb"/>
            <w:noWrap w:val="false"/>
          </w:tcPr>
          <w:p>
            <w:pPr>
              <w:pStyle w:val="1179"/>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学历</w:t>
            </w:r>
            <w:r/>
          </w:p>
        </w:tc>
        <w:tc>
          <w:tcPr>
            <w:tcW w:w="1984" w:type="dxa"/>
            <w:vAlign w:val="center"/>
            <w:textDirection w:val="lrTb"/>
            <w:noWrap w:val="false"/>
          </w:tcPr>
          <w:p>
            <w:pPr>
              <w:pStyle w:val="1179"/>
              <w:ind w:firstLine="280"/>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身份证号</w:t>
            </w:r>
            <w:r/>
          </w:p>
        </w:tc>
        <w:tc>
          <w:tcPr>
            <w:tcW w:w="1702" w:type="dxa"/>
            <w:vAlign w:val="center"/>
            <w:textDirection w:val="lrTb"/>
            <w:noWrap w:val="false"/>
          </w:tcPr>
          <w:p>
            <w:pPr>
              <w:pStyle w:val="1179"/>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相关证书</w:t>
            </w:r>
            <w:r/>
          </w:p>
        </w:tc>
        <w:tc>
          <w:tcPr>
            <w:tcW w:w="962" w:type="dxa"/>
            <w:vAlign w:val="center"/>
            <w:textDirection w:val="lrTb"/>
            <w:noWrap w:val="false"/>
          </w:tcPr>
          <w:p>
            <w:pPr>
              <w:pStyle w:val="1179"/>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39"/>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39"/>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39"/>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39"/>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39"/>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39"/>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39"/>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39"/>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179"/>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ind w:firstLine="210"/>
        <w:spacing w:line="480" w:lineRule="exact"/>
        <w:rPr>
          <w:rFonts w:hint="eastAsia" w:ascii="宋体" w:hAnsi="宋体" w:eastAsia="宋体" w:cs="宋体"/>
          <w:color w:val="ff0000"/>
          <w:sz w:val="24"/>
          <w:szCs w:val="20"/>
        </w:rPr>
      </w:pPr>
      <w:r>
        <w:rPr>
          <w:rFonts w:hint="eastAsia" w:ascii="宋体" w:hAnsi="宋体" w:eastAsia="宋体" w:cs="宋体"/>
          <w:sz w:val="24"/>
          <w:szCs w:val="20"/>
        </w:rPr>
        <w:t xml:space="preserve">注：1.如投标人中标，项目组成员按本表承诺人员操作，不得随意更换。按采购文件要求附相关人员证书</w:t>
      </w:r>
      <w:bookmarkStart w:id="197" w:name="_格式2__法定代表人授权书"/>
      <w:r/>
      <w:bookmarkEnd w:id="197"/>
      <w:r/>
      <w:bookmarkStart w:id="198" w:name="OLE_LINK8"/>
      <w:r>
        <w:rPr>
          <w:rFonts w:hint="eastAsia" w:ascii="宋体" w:hAnsi="宋体" w:eastAsia="宋体" w:cs="宋体"/>
          <w:sz w:val="24"/>
          <w:szCs w:val="20"/>
        </w:rPr>
        <w:t xml:space="preserve">。</w:t>
      </w:r>
      <w:bookmarkEnd w:id="198"/>
      <w:r/>
    </w:p>
    <w:p>
      <w:pPr>
        <w:rPr>
          <w:rFonts w:hint="eastAsia" w:ascii="宋体" w:hAnsi="宋体" w:eastAsia="宋体" w:cs="宋体"/>
          <w:color w:val="ff0000"/>
          <w:szCs w:val="21"/>
        </w:rPr>
      </w:pPr>
      <w:r>
        <w:rPr>
          <w:rFonts w:hint="eastAsia" w:ascii="宋体" w:hAnsi="宋体" w:eastAsia="宋体" w:cs="宋体"/>
          <w:color w:val="ff0000"/>
          <w:szCs w:val="21"/>
        </w:rPr>
      </w:r>
      <w:r/>
    </w:p>
    <w:p>
      <w:pPr>
        <w:ind w:firstLine="210"/>
        <w:rPr>
          <w:rFonts w:hint="eastAsia" w:ascii="宋体" w:hAnsi="宋体" w:eastAsia="宋体" w:cs="宋体"/>
          <w:szCs w:val="21"/>
        </w:rPr>
      </w:pPr>
      <w:r>
        <w:rPr>
          <w:rFonts w:hint="eastAsia" w:ascii="宋体" w:hAnsi="宋体" w:eastAsia="宋体" w:cs="宋体"/>
          <w:szCs w:val="21"/>
        </w:rPr>
      </w:r>
      <w:r/>
    </w:p>
    <w:p>
      <w:pPr>
        <w:pStyle w:val="1107"/>
        <w:ind w:left="210"/>
        <w:rPr>
          <w:rFonts w:hint="eastAsia" w:ascii="宋体" w:hAnsi="宋体" w:eastAsia="宋体" w:cs="宋体"/>
          <w:b w:val="0"/>
          <w:szCs w:val="32"/>
        </w:rPr>
        <w:outlineLvl w:val="1"/>
      </w:pPr>
      <w:r>
        <w:rPr>
          <w:rFonts w:hint="eastAsia" w:ascii="宋体" w:hAnsi="宋体" w:eastAsia="宋体" w:cs="宋体"/>
          <w:b w:val="0"/>
          <w:szCs w:val="32"/>
        </w:rPr>
        <w:br w:type="page" w:clear="all"/>
      </w:r>
      <w:r>
        <w:rPr>
          <w:rFonts w:hint="eastAsia" w:ascii="宋体" w:hAnsi="宋体" w:eastAsia="宋体" w:cs="宋体"/>
          <w:b w:val="0"/>
          <w:szCs w:val="32"/>
          <w:lang w:val="en-US" w:eastAsia="zh-CN"/>
        </w:rPr>
        <w:t xml:space="preserve">八</w:t>
      </w:r>
      <w:r>
        <w:rPr>
          <w:rFonts w:hint="eastAsia" w:ascii="宋体" w:hAnsi="宋体" w:eastAsia="宋体" w:cs="宋体"/>
          <w:b w:val="0"/>
          <w:szCs w:val="32"/>
        </w:rPr>
        <w:t xml:space="preserve">、企业业绩</w:t>
      </w:r>
      <w:bookmarkEnd w:id="195"/>
      <w:r/>
      <w:bookmarkEnd w:id="196"/>
      <w:r/>
      <w:r/>
    </w:p>
    <w:p>
      <w:pPr>
        <w:pStyle w:val="1115"/>
        <w:jc w:val="center"/>
        <w:rPr>
          <w:rFonts w:hint="eastAsia" w:ascii="宋体" w:hAnsi="宋体" w:eastAsia="宋体" w:cs="宋体"/>
          <w:bCs/>
          <w:sz w:val="32"/>
          <w:szCs w:val="32"/>
        </w:rPr>
      </w:pPr>
      <w:r>
        <w:rPr>
          <w:rFonts w:hint="eastAsia" w:ascii="宋体" w:hAnsi="宋体" w:eastAsia="宋体" w:cs="宋体"/>
          <w:bCs/>
          <w:sz w:val="32"/>
          <w:szCs w:val="32"/>
        </w:rPr>
        <w:t xml:space="preserve">投标人</w:t>
      </w:r>
      <w:bookmarkStart w:id="199" w:name="_Hlk187935031"/>
      <w:r>
        <w:rPr>
          <w:rFonts w:hint="eastAsia" w:ascii="宋体" w:hAnsi="宋体" w:eastAsia="宋体" w:cs="宋体"/>
          <w:bCs/>
          <w:sz w:val="32"/>
          <w:szCs w:val="32"/>
        </w:rPr>
        <w:t xml:space="preserve">自</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日以来承担</w:t>
      </w:r>
      <w:r/>
    </w:p>
    <w:p>
      <w:pPr>
        <w:pStyle w:val="1115"/>
        <w:jc w:val="center"/>
        <w:rPr>
          <w:rFonts w:hint="eastAsia" w:ascii="宋体" w:hAnsi="宋体" w:eastAsia="宋体" w:cs="宋体"/>
          <w:bCs/>
          <w:sz w:val="32"/>
          <w:szCs w:val="32"/>
        </w:rPr>
      </w:pPr>
      <w:r>
        <w:rPr>
          <w:rFonts w:hint="eastAsia" w:ascii="宋体" w:hAnsi="宋体" w:eastAsia="宋体" w:cs="宋体"/>
          <w:bCs/>
          <w:sz w:val="32"/>
          <w:szCs w:val="32"/>
        </w:rPr>
        <w:t xml:space="preserve">类似项目业绩一览表</w:t>
      </w:r>
      <w:bookmarkEnd w:id="199"/>
      <w:r/>
    </w:p>
    <w:tbl>
      <w:tblPr>
        <w:tblStyle w:val="75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vAlign w:val="top"/>
            <w:textDirection w:val="lrTb"/>
            <w:noWrap w:val="false"/>
          </w:tcPr>
          <w:p>
            <w:pPr>
              <w:pStyle w:val="1179"/>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序</w:t>
            </w:r>
            <w:r/>
          </w:p>
          <w:p>
            <w:pPr>
              <w:pStyle w:val="1179"/>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号</w:t>
            </w:r>
            <w:r/>
          </w:p>
        </w:tc>
        <w:tc>
          <w:tcPr>
            <w:tcW w:w="3583" w:type="dxa"/>
            <w:vAlign w:val="center"/>
            <w:textDirection w:val="lrTb"/>
            <w:noWrap w:val="false"/>
          </w:tcPr>
          <w:p>
            <w:pPr>
              <w:pStyle w:val="1179"/>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1417" w:type="dxa"/>
            <w:vAlign w:val="center"/>
            <w:textDirection w:val="lrTb"/>
            <w:noWrap w:val="false"/>
          </w:tcPr>
          <w:p>
            <w:pPr>
              <w:pStyle w:val="1179"/>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701" w:type="dxa"/>
            <w:vAlign w:val="center"/>
            <w:textDirection w:val="lrTb"/>
            <w:noWrap w:val="false"/>
          </w:tcPr>
          <w:p>
            <w:pPr>
              <w:pStyle w:val="1179"/>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合同主要标的</w:t>
            </w:r>
            <w:r/>
          </w:p>
        </w:tc>
        <w:tc>
          <w:tcPr>
            <w:tcW w:w="954" w:type="dxa"/>
            <w:vAlign w:val="center"/>
            <w:textDirection w:val="lrTb"/>
            <w:noWrap w:val="false"/>
          </w:tcPr>
          <w:p>
            <w:pPr>
              <w:pStyle w:val="1179"/>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jc w:val="center"/>
          <w:trHeight w:val="1510"/>
        </w:trPr>
        <w:tc>
          <w:tcPr>
            <w:tcW w:w="1229" w:type="dxa"/>
            <w:vAlign w:val="top"/>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vAlign w:val="top"/>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16"/>
              <w:jc w:val="center"/>
              <w:spacing w:line="560" w:lineRule="exact"/>
              <w:rPr>
                <w:rFonts w:hint="eastAsia" w:ascii="宋体" w:hAnsi="宋体" w:eastAsia="宋体" w:cs="宋体"/>
                <w:sz w:val="28"/>
              </w:rPr>
            </w:pPr>
            <w:r>
              <w:rPr>
                <w:rFonts w:hint="eastAsia" w:ascii="宋体" w:hAnsi="宋体" w:eastAsia="宋体" w:cs="宋体"/>
                <w:sz w:val="28"/>
              </w:rPr>
            </w:r>
            <w:r/>
          </w:p>
        </w:tc>
      </w:tr>
    </w:tbl>
    <w:p>
      <w:pPr>
        <w:ind w:firstLine="210"/>
        <w:spacing w:line="480" w:lineRule="exact"/>
        <w:rPr>
          <w:rFonts w:hint="eastAsia" w:ascii="宋体" w:hAnsi="宋体" w:eastAsia="宋体" w:cs="宋体"/>
          <w:bCs/>
          <w:sz w:val="24"/>
        </w:rPr>
      </w:pPr>
      <w:r>
        <w:rPr>
          <w:rFonts w:hint="eastAsia" w:ascii="宋体" w:hAnsi="宋体" w:eastAsia="宋体" w:cs="宋体"/>
          <w:bCs/>
          <w:sz w:val="24"/>
        </w:rPr>
        <w:t xml:space="preserve">注：1.请填写此表，并按要求上传业绩资料电子件。</w:t>
      </w:r>
      <w:r/>
    </w:p>
    <w:p>
      <w:pPr>
        <w:pStyle w:val="876"/>
        <w:rPr>
          <w:rFonts w:hint="eastAsia" w:ascii="宋体" w:hAnsi="宋体" w:eastAsia="宋体" w:cs="宋体"/>
        </w:rPr>
        <w:outlineLvl w:val="1"/>
      </w:pPr>
      <w:r/>
      <w:bookmarkStart w:id="200" w:name="_Toc26048"/>
      <w:r/>
      <w:bookmarkStart w:id="201" w:name="_Toc9275"/>
      <w:r>
        <w:rPr>
          <w:rFonts w:hint="eastAsia" w:ascii="宋体" w:hAnsi="宋体" w:eastAsia="宋体" w:cs="宋体"/>
          <w:sz w:val="32"/>
          <w:szCs w:val="32"/>
        </w:rPr>
        <w:br w:type="page" w:clear="all"/>
      </w:r>
      <w:r>
        <w:rPr>
          <w:rFonts w:hint="eastAsia" w:ascii="宋体" w:hAnsi="宋体" w:eastAsia="宋体" w:cs="宋体"/>
          <w:sz w:val="32"/>
          <w:szCs w:val="32"/>
          <w:lang w:val="en-US" w:eastAsia="zh-CN"/>
        </w:rPr>
        <w:t xml:space="preserve">九</w:t>
      </w:r>
      <w:r>
        <w:rPr>
          <w:rFonts w:hint="eastAsia" w:ascii="宋体" w:hAnsi="宋体" w:eastAsia="宋体" w:cs="宋体"/>
          <w:sz w:val="32"/>
          <w:szCs w:val="32"/>
        </w:rPr>
        <w:t xml:space="preserve">、</w:t>
      </w:r>
      <w:r>
        <w:rPr>
          <w:rFonts w:hint="eastAsia" w:ascii="宋体" w:hAnsi="宋体" w:eastAsia="宋体" w:cs="宋体"/>
        </w:rPr>
        <w:t xml:space="preserve">考核标准承诺</w:t>
      </w:r>
      <w:r/>
    </w:p>
    <w:p>
      <w:pPr>
        <w:pStyle w:val="1105"/>
        <w:rPr>
          <w:rFonts w:hint="eastAsia" w:ascii="宋体" w:hAnsi="宋体" w:eastAsia="宋体" w:cs="宋体"/>
        </w:rPr>
      </w:pPr>
      <w:r>
        <w:rPr>
          <w:rFonts w:hint="eastAsia" w:ascii="宋体" w:hAnsi="宋体" w:eastAsia="宋体" w:cs="宋体"/>
        </w:rPr>
      </w:r>
      <w:r/>
    </w:p>
    <w:p>
      <w:pPr>
        <w:pStyle w:val="1135"/>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pStyle w:val="1136"/>
        <w:spacing w:before="10" w:after="10" w:line="600" w:lineRule="exact"/>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宿迁市公安局</w:t>
      </w:r>
      <w:r>
        <w:rPr>
          <w:rFonts w:hint="eastAsia" w:ascii="宋体" w:hAnsi="宋体" w:eastAsia="宋体" w:cs="宋体"/>
          <w:sz w:val="24"/>
          <w:szCs w:val="24"/>
          <w:u w:val="single"/>
        </w:rPr>
        <w:t xml:space="preserve">：</w:t>
      </w:r>
      <w:r/>
    </w:p>
    <w:p>
      <w:pPr>
        <w:ind w:firstLine="561"/>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项目</w:t>
      </w:r>
      <w:r>
        <w:rPr>
          <w:rFonts w:hint="eastAsia" w:ascii="宋体" w:hAnsi="宋体" w:eastAsia="宋体" w:cs="宋体"/>
          <w:color w:val="000000"/>
          <w:sz w:val="24"/>
          <w:szCs w:val="24"/>
        </w:rPr>
        <w:t xml:space="preserve">招标文件相关要求，承诺如下：完全响应本项目采购需求“</w:t>
      </w:r>
      <w:r>
        <w:rPr>
          <w:rFonts w:hint="eastAsia" w:ascii="宋体" w:hAnsi="宋体" w:eastAsia="宋体" w:cs="宋体"/>
          <w:color w:val="000000"/>
          <w:sz w:val="24"/>
          <w:szCs w:val="24"/>
          <w:lang w:val="en-US" w:eastAsia="zh-CN"/>
        </w:rPr>
        <w:t xml:space="preserve">十四</w:t>
      </w:r>
      <w:r>
        <w:rPr>
          <w:rFonts w:hint="eastAsia" w:ascii="宋体" w:hAnsi="宋体" w:eastAsia="宋体" w:cs="宋体"/>
          <w:color w:val="000000"/>
          <w:sz w:val="24"/>
          <w:szCs w:val="24"/>
        </w:rPr>
        <w:t xml:space="preserve">、考核标准”，如我单位中标，将按照响应内容进行履约。如我单位投标文件的响应方案优于采购需求，将按投标文件履约。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after="200" w:line="499"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                                                     单位名称（盖CA电子公章）：</w:t>
      </w:r>
      <w:r/>
    </w:p>
    <w:p>
      <w:pPr>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 </w:t>
      </w:r>
      <w:r/>
    </w:p>
    <w:p>
      <w:pPr>
        <w:jc w:val="center"/>
        <w:spacing w:after="200"/>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t xml:space="preserve">十、食品安全责任险承诺函</w:t>
      </w:r>
      <w:r/>
    </w:p>
    <w:p>
      <w:pPr>
        <w:ind w:firstLine="561"/>
        <w:spacing w:line="500" w:lineRule="exac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p>
      <w:pPr>
        <w:pStyle w:val="1090"/>
        <w:ind w:firstLine="442"/>
        <w:spacing w:line="480" w:lineRule="exact"/>
        <w:rPr>
          <w:rFonts w:hint="eastAsia" w:ascii="宋体" w:hAnsi="宋体" w:eastAsia="宋体" w:cs="宋体"/>
          <w:sz w:val="32"/>
          <w:lang w:val="en-US" w:eastAsia="zh-CN"/>
        </w:rPr>
      </w:pPr>
      <w:r>
        <w:rPr>
          <w:rFonts w:hint="eastAsia" w:ascii="宋体" w:hAnsi="宋体" w:eastAsia="宋体" w:cs="宋体"/>
          <w:sz w:val="32"/>
          <w:lang w:val="en-US" w:eastAsia="zh-CN"/>
        </w:rPr>
        <w:t xml:space="preserve">根据采购需求要求提供，格式自拟</w:t>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876"/>
        <w:rPr>
          <w:rFonts w:hint="eastAsia" w:ascii="宋体" w:hAnsi="宋体" w:eastAsia="宋体" w:cs="宋体"/>
          <w:b/>
          <w:lang w:val="en-US" w:eastAsia="zh-CN"/>
        </w:rPr>
        <w:outlineLvl w:val="1"/>
      </w:pPr>
      <w:r>
        <w:rPr>
          <w:rFonts w:hint="eastAsia" w:ascii="宋体" w:hAnsi="宋体" w:eastAsia="宋体" w:cs="宋体"/>
          <w:b/>
          <w:lang w:val="en-US" w:eastAsia="zh-CN"/>
        </w:rPr>
        <w:t xml:space="preserve">十一、人员要求承诺函</w:t>
      </w:r>
      <w:r/>
    </w:p>
    <w:p>
      <w:pPr>
        <w:spacing w:line="480" w:lineRule="exact"/>
        <w:rPr>
          <w:rFonts w:hint="eastAsia" w:ascii="宋体" w:hAnsi="宋体" w:eastAsia="宋体" w:cs="宋体"/>
          <w:sz w:val="32"/>
          <w:szCs w:val="32"/>
          <w:lang w:val="en-US" w:eastAsia="zh-CN"/>
        </w:rPr>
        <w:outlineLvl w:val="1"/>
      </w:pPr>
      <w:r>
        <w:rPr>
          <w:rFonts w:hint="eastAsia" w:ascii="宋体" w:hAnsi="宋体" w:eastAsia="宋体" w:cs="宋体"/>
          <w:sz w:val="32"/>
          <w:szCs w:val="32"/>
          <w:lang w:val="en-US" w:eastAsia="zh-CN"/>
        </w:rPr>
      </w:r>
      <w:r/>
    </w:p>
    <w:p>
      <w:pPr>
        <w:pStyle w:val="1136"/>
        <w:jc w:val="center"/>
        <w:rPr>
          <w:rFonts w:hint="eastAsia" w:ascii="宋体" w:hAnsi="宋体" w:eastAsia="宋体" w:cs="仿宋"/>
          <w:sz w:val="24"/>
          <w:szCs w:val="24"/>
        </w:rPr>
      </w:pPr>
      <w:r>
        <w:rPr>
          <w:rFonts w:hint="eastAsia" w:ascii="宋体" w:hAnsi="宋体" w:eastAsia="宋体" w:cs="仿宋"/>
          <w:b/>
          <w:sz w:val="24"/>
          <w:szCs w:val="24"/>
        </w:rPr>
        <w:t xml:space="preserve">人员要求承诺函</w:t>
      </w:r>
      <w:r/>
    </w:p>
    <w:p>
      <w:pPr>
        <w:pStyle w:val="1136"/>
        <w:spacing w:before="10" w:after="10" w:line="600" w:lineRule="exact"/>
        <w:rPr>
          <w:rFonts w:hint="eastAsia" w:ascii="宋体" w:hAnsi="宋体" w:eastAsia="宋体" w:cs="仿宋"/>
          <w:color w:val="000000"/>
          <w:sz w:val="24"/>
          <w:szCs w:val="24"/>
        </w:rPr>
      </w:pPr>
      <w:r>
        <w:rPr>
          <w:rFonts w:hint="eastAsia" w:ascii="宋体" w:hAnsi="宋体" w:eastAsia="宋体" w:cs="仿宋"/>
          <w:color w:val="000000"/>
          <w:sz w:val="24"/>
          <w:szCs w:val="24"/>
        </w:rPr>
      </w:r>
      <w:r/>
    </w:p>
    <w:p>
      <w:pPr>
        <w:pStyle w:val="1136"/>
        <w:spacing w:before="10" w:after="10" w:line="600" w:lineRule="exact"/>
        <w:rPr>
          <w:rFonts w:hint="eastAsia" w:ascii="宋体" w:hAnsi="宋体" w:eastAsia="宋体" w:cs="仿宋"/>
          <w:sz w:val="24"/>
          <w:szCs w:val="24"/>
          <w:u w:val="single"/>
        </w:rPr>
      </w:pPr>
      <w:r>
        <w:rPr>
          <w:rFonts w:hint="eastAsia" w:ascii="宋体" w:hAnsi="宋体" w:eastAsia="宋体" w:cs="仿宋"/>
          <w:color w:val="000000"/>
          <w:sz w:val="24"/>
          <w:szCs w:val="24"/>
          <w:u w:val="single"/>
          <w:lang w:val="en-US" w:eastAsia="zh-CN"/>
        </w:rPr>
        <w:t xml:space="preserve">宿迁市公安局</w:t>
      </w:r>
      <w:r>
        <w:rPr>
          <w:rFonts w:hint="eastAsia" w:ascii="宋体" w:hAnsi="宋体" w:eastAsia="宋体" w:cs="仿宋"/>
          <w:sz w:val="24"/>
          <w:szCs w:val="24"/>
          <w:u w:val="single"/>
        </w:rPr>
        <w:t xml:space="preserve">：</w:t>
      </w:r>
      <w:r/>
    </w:p>
    <w:p>
      <w:pPr>
        <w:spacing w:line="500" w:lineRule="exact"/>
        <w:rPr>
          <w:rFonts w:hint="eastAsia" w:ascii="宋体" w:hAnsi="宋体" w:eastAsia="宋体" w:cs="仿宋"/>
          <w:sz w:val="24"/>
        </w:rPr>
      </w:pPr>
      <w:r>
        <w:rPr>
          <w:rFonts w:hint="eastAsia" w:ascii="宋体" w:hAnsi="宋体" w:eastAsia="宋体" w:cs="仿宋"/>
          <w:sz w:val="24"/>
        </w:rPr>
        <w:t xml:space="preserve">    根据</w:t>
      </w:r>
      <w:r>
        <w:rPr>
          <w:rFonts w:hint="eastAsia" w:ascii="宋体" w:hAnsi="宋体" w:cs="仿宋"/>
          <w:sz w:val="24"/>
          <w:u w:val="single"/>
          <w:lang w:val="en-US" w:eastAsia="zh-CN"/>
        </w:rPr>
        <w:t xml:space="preserve">          </w:t>
      </w:r>
      <w:r>
        <w:rPr>
          <w:rFonts w:hint="eastAsia" w:ascii="宋体" w:hAnsi="宋体" w:eastAsia="宋体" w:cs="仿宋"/>
          <w:sz w:val="24"/>
          <w:u w:val="single"/>
        </w:rPr>
        <w:t xml:space="preserve"> </w:t>
      </w:r>
      <w:r>
        <w:rPr>
          <w:rFonts w:hint="eastAsia" w:ascii="宋体" w:hAnsi="宋体" w:eastAsia="宋体" w:cs="仿宋"/>
          <w:color w:val="000000"/>
          <w:sz w:val="24"/>
        </w:rPr>
        <w:t xml:space="preserve">号</w:t>
      </w:r>
      <w:r>
        <w:rPr>
          <w:rFonts w:hint="eastAsia" w:ascii="宋体" w:hAnsi="宋体" w:cs="仿宋"/>
          <w:color w:val="000000"/>
          <w:sz w:val="24"/>
          <w:u w:val="single"/>
          <w:lang w:val="en-US" w:eastAsia="zh-CN"/>
        </w:rPr>
        <w:t xml:space="preserve">       </w:t>
      </w:r>
      <w:r>
        <w:rPr>
          <w:rFonts w:hint="eastAsia" w:ascii="宋体" w:hAnsi="宋体" w:eastAsia="宋体" w:cs="仿宋"/>
          <w:sz w:val="24"/>
        </w:rPr>
        <w:t xml:space="preserve">招标文件相关要求，承诺如下：针对“第四部分、采购需求-</w:t>
      </w:r>
      <w:r>
        <w:rPr>
          <w:rFonts w:hint="eastAsia" w:ascii="宋体" w:hAnsi="宋体" w:eastAsia="宋体" w:cs="仿宋"/>
          <w:sz w:val="24"/>
          <w:lang w:val="en-US" w:eastAsia="zh-CN"/>
        </w:rPr>
        <w:t xml:space="preserve">九、人员要求</w:t>
      </w:r>
      <w:r>
        <w:rPr>
          <w:rFonts w:hint="eastAsia" w:ascii="宋体" w:hAnsi="宋体" w:eastAsia="宋体" w:cs="仿宋"/>
          <w:sz w:val="24"/>
        </w:rPr>
        <w:t xml:space="preserve">”内容，我单位完全响应，如我单位中标，将按照响应内容进行履约。如我单位投标文件的响应方案优于采购需求，将按投标文件履约。</w:t>
      </w:r>
      <w:r/>
    </w:p>
    <w:p>
      <w:pPr>
        <w:pStyle w:val="1137"/>
        <w:spacing w:before="10" w:after="10" w:line="600" w:lineRule="exact"/>
        <w:rPr>
          <w:rFonts w:hint="eastAsia" w:ascii="宋体" w:hAnsi="宋体" w:eastAsia="宋体" w:cs="仿宋"/>
          <w:sz w:val="24"/>
        </w:rPr>
      </w:pPr>
      <w:r>
        <w:rPr>
          <w:rFonts w:hint="eastAsia" w:ascii="宋体" w:hAnsi="宋体" w:eastAsia="宋体" w:cs="仿宋"/>
          <w:sz w:val="24"/>
        </w:rPr>
      </w:r>
      <w:r/>
    </w:p>
    <w:p>
      <w:pPr>
        <w:pStyle w:val="1137"/>
        <w:spacing w:after="200" w:line="500" w:lineRule="exact"/>
        <w:rPr>
          <w:rFonts w:hint="eastAsia" w:ascii="宋体" w:hAnsi="宋体" w:eastAsia="宋体" w:cs="仿宋"/>
          <w:sz w:val="24"/>
        </w:rPr>
      </w:pPr>
      <w:r>
        <w:rPr>
          <w:rFonts w:hint="eastAsia" w:ascii="宋体" w:hAnsi="宋体" w:eastAsia="宋体" w:cs="仿宋"/>
          <w:sz w:val="24"/>
        </w:rPr>
      </w:r>
      <w:r/>
    </w:p>
    <w:p>
      <w:pPr>
        <w:ind w:firstLine="4779"/>
        <w:spacing w:line="500" w:lineRule="exact"/>
        <w:rPr>
          <w:rFonts w:hint="eastAsia" w:ascii="宋体" w:hAnsi="宋体" w:eastAsia="宋体" w:cs="仿宋"/>
          <w:b/>
          <w:sz w:val="24"/>
        </w:rPr>
        <w:pBdr>
          <w:top w:val="none" w:color="000000" w:sz="0" w:space="0"/>
          <w:left w:val="none" w:color="000000" w:sz="0" w:space="0"/>
          <w:bottom w:val="none" w:color="000000" w:sz="0" w:space="0"/>
          <w:right w:val="none" w:color="000000" w:sz="0" w:space="0"/>
        </w:pBdr>
      </w:pPr>
      <w:r>
        <w:rPr>
          <w:rFonts w:hint="eastAsia" w:ascii="宋体" w:hAnsi="宋体" w:eastAsia="宋体" w:cs="仿宋"/>
          <w:b/>
          <w:color w:val="000000"/>
          <w:sz w:val="24"/>
        </w:rPr>
        <w:t xml:space="preserve">单位名称（盖CA电子公章）：</w:t>
      </w:r>
      <w:r/>
    </w:p>
    <w:p>
      <w:pPr>
        <w:pStyle w:val="1090"/>
        <w:ind w:firstLine="442"/>
        <w:spacing w:line="480" w:lineRule="exact"/>
        <w:rPr>
          <w:rFonts w:hint="eastAsia" w:ascii="宋体" w:hAnsi="宋体" w:eastAsia="宋体" w:cs="宋体"/>
          <w:sz w:val="32"/>
          <w:lang w:val="en-US" w:eastAsia="zh-CN"/>
        </w:rPr>
      </w:pPr>
      <w:r>
        <w:rPr>
          <w:rFonts w:hint="eastAsia" w:ascii="宋体" w:hAnsi="宋体" w:eastAsia="宋体" w:cs="宋体"/>
          <w:sz w:val="32"/>
          <w:lang w:val="en-US" w:eastAsia="zh-CN"/>
        </w:rPr>
      </w:r>
      <w:r/>
    </w:p>
    <w:p>
      <w:pPr>
        <w:spacing w:line="480" w:lineRule="exact"/>
        <w:rPr>
          <w:rFonts w:hint="eastAsia" w:ascii="宋体" w:hAnsi="宋体" w:eastAsia="宋体" w:cs="宋体"/>
          <w:sz w:val="32"/>
          <w:szCs w:val="32"/>
        </w:rPr>
        <w:outlineLvl w:val="1"/>
      </w:pPr>
      <w:r>
        <w:rPr>
          <w:rFonts w:hint="eastAsia" w:ascii="宋体" w:hAnsi="宋体" w:eastAsia="宋体" w:cs="宋体"/>
          <w:sz w:val="32"/>
          <w:szCs w:val="32"/>
        </w:rPr>
      </w:r>
      <w:r/>
    </w:p>
    <w:p>
      <w:pPr>
        <w:spacing w:line="480" w:lineRule="exact"/>
        <w:rPr>
          <w:rFonts w:hint="eastAsia" w:ascii="宋体" w:hAnsi="宋体" w:eastAsia="宋体" w:cs="宋体"/>
          <w:szCs w:val="32"/>
        </w:rPr>
        <w:outlineLvl w:val="1"/>
      </w:pPr>
      <w:r>
        <w:rPr>
          <w:rFonts w:hint="eastAsia" w:ascii="宋体" w:hAnsi="宋体" w:eastAsia="宋体" w:cs="宋体"/>
          <w:sz w:val="32"/>
          <w:szCs w:val="32"/>
          <w:lang w:val="en-US" w:eastAsia="zh-CN"/>
        </w:rPr>
        <w:t xml:space="preserve">十二、</w:t>
      </w:r>
      <w:r>
        <w:rPr>
          <w:rFonts w:hint="eastAsia" w:ascii="宋体" w:hAnsi="宋体" w:eastAsia="宋体" w:cs="宋体"/>
          <w:sz w:val="32"/>
          <w:szCs w:val="32"/>
        </w:rPr>
        <w:t xml:space="preserve">投标所需其他材料</w:t>
      </w:r>
      <w:bookmarkEnd w:id="200"/>
      <w:r/>
      <w:bookmarkEnd w:id="201"/>
      <w:r/>
      <w:r/>
    </w:p>
    <w:p>
      <w:pPr>
        <w:pStyle w:val="1119"/>
        <w:ind w:firstLine="420"/>
        <w:spacing w:line="480" w:lineRule="exact"/>
        <w:rPr>
          <w:rFonts w:hint="eastAsia" w:ascii="宋体" w:hAnsi="宋体" w:eastAsia="宋体" w:cs="宋体"/>
          <w:sz w:val="24"/>
          <w:szCs w:val="24"/>
        </w:rPr>
      </w:pPr>
      <w:r>
        <w:rPr>
          <w:rFonts w:hint="eastAsia" w:ascii="宋体" w:hAnsi="宋体" w:eastAsia="宋体" w:cs="宋体"/>
          <w:sz w:val="24"/>
          <w:szCs w:val="24"/>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4"/>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4"/>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4"/>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3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0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8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227"/>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style>
  <w:style w:type="table" w:styleId="755" w:default="1">
    <w:name w:val="Normal Table"/>
    <w:uiPriority w:val="99"/>
    <w:semiHidden/>
    <w:unhideWhenUsed/>
    <w:tblPr>
      <w:tblCellMar>
        <w:left w:w="108" w:type="dxa"/>
        <w:top w:w="0" w:type="dxa"/>
        <w:right w:w="108" w:type="dxa"/>
        <w:bottom w:w="0" w:type="dxa"/>
      </w:tblCellMar>
    </w:tblPr>
  </w:style>
  <w:style w:type="paragraph" w:styleId="756">
    <w:name w:val="toc 7"/>
    <w:basedOn w:val="744"/>
    <w:next w:val="744"/>
    <w:uiPriority w:val="39"/>
    <w:unhideWhenUsed/>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toc 5"/>
    <w:basedOn w:val="744"/>
    <w:next w:val="744"/>
    <w:uiPriority w:val="39"/>
    <w:unhideWhenUsed/>
    <w:pPr>
      <w:ind w:left="1134" w:right="0" w:firstLine="0"/>
      <w:spacing w:after="57"/>
    </w:pPr>
  </w:style>
  <w:style w:type="paragraph" w:styleId="759">
    <w:name w:val="toc 3"/>
    <w:basedOn w:val="744"/>
    <w:next w:val="744"/>
    <w:uiPriority w:val="39"/>
    <w:unhideWhenUsed/>
    <w:pPr>
      <w:ind w:left="567" w:right="0" w:firstLine="0"/>
      <w:spacing w:after="57"/>
    </w:pPr>
  </w:style>
  <w:style w:type="paragraph" w:styleId="760">
    <w:name w:val="toc 8"/>
    <w:basedOn w:val="744"/>
    <w:next w:val="744"/>
    <w:uiPriority w:val="39"/>
    <w:unhideWhenUsed/>
    <w:pPr>
      <w:ind w:left="1984" w:right="0" w:firstLine="0"/>
      <w:spacing w:after="57"/>
    </w:pPr>
  </w:style>
  <w:style w:type="paragraph" w:styleId="761">
    <w:name w:val="endnote text"/>
    <w:basedOn w:val="744"/>
    <w:uiPriority w:val="99"/>
    <w:semiHidden/>
    <w:unhideWhenUsed/>
    <w:pPr>
      <w:spacing w:after="0" w:line="240" w:lineRule="auto"/>
    </w:pPr>
    <w:rPr>
      <w:sz w:val="20"/>
    </w:rPr>
  </w:style>
  <w:style w:type="paragraph" w:styleId="762">
    <w:name w:val="Footer"/>
    <w:basedOn w:val="744"/>
    <w:uiPriority w:val="99"/>
    <w:unhideWhenUsed/>
    <w:pPr>
      <w:spacing w:after="0" w:line="240" w:lineRule="auto"/>
      <w:tabs>
        <w:tab w:val="center" w:pos="7143" w:leader="none"/>
        <w:tab w:val="right" w:pos="14287" w:leader="none"/>
      </w:tabs>
    </w:pPr>
  </w:style>
  <w:style w:type="paragraph" w:styleId="763">
    <w:name w:val="Header"/>
    <w:basedOn w:val="744"/>
    <w:uiPriority w:val="99"/>
    <w:unhideWhenUsed/>
    <w:pPr>
      <w:spacing w:after="0" w:line="240" w:lineRule="auto"/>
      <w:tabs>
        <w:tab w:val="center" w:pos="7143" w:leader="none"/>
        <w:tab w:val="right" w:pos="14287" w:leader="none"/>
      </w:tabs>
    </w:pPr>
  </w:style>
  <w:style w:type="paragraph" w:styleId="764">
    <w:name w:val="toc 1"/>
    <w:basedOn w:val="744"/>
    <w:next w:val="744"/>
    <w:uiPriority w:val="39"/>
    <w:unhideWhenUsed/>
    <w:pPr>
      <w:ind w:left="0" w:right="0" w:firstLine="0"/>
      <w:spacing w:after="57"/>
    </w:pPr>
  </w:style>
  <w:style w:type="paragraph" w:styleId="765">
    <w:name w:val="toc 4"/>
    <w:basedOn w:val="744"/>
    <w:next w:val="744"/>
    <w:uiPriority w:val="39"/>
    <w:unhideWhenUsed/>
    <w:pPr>
      <w:ind w:left="850" w:right="0" w:firstLine="0"/>
      <w:spacing w:after="57"/>
    </w:pPr>
  </w:style>
  <w:style w:type="paragraph" w:styleId="766">
    <w:name w:val="Subtitle"/>
    <w:basedOn w:val="744"/>
    <w:next w:val="744"/>
    <w:uiPriority w:val="11"/>
    <w:qFormat/>
    <w:pPr>
      <w:spacing w:before="200" w:after="200"/>
    </w:pPr>
    <w:rPr>
      <w:sz w:val="24"/>
      <w:szCs w:val="24"/>
    </w:rPr>
  </w:style>
  <w:style w:type="paragraph" w:styleId="767">
    <w:name w:val="footnote text"/>
    <w:basedOn w:val="744"/>
    <w:uiPriority w:val="99"/>
    <w:semiHidden/>
    <w:unhideWhenUsed/>
    <w:pPr>
      <w:spacing w:after="40" w:line="240" w:lineRule="auto"/>
    </w:pPr>
    <w:rPr>
      <w:sz w:val="18"/>
    </w:rPr>
  </w:style>
  <w:style w:type="paragraph" w:styleId="768">
    <w:name w:val="toc 6"/>
    <w:basedOn w:val="744"/>
    <w:next w:val="744"/>
    <w:uiPriority w:val="39"/>
    <w:unhideWhenUsed/>
    <w:pPr>
      <w:ind w:left="1417" w:right="0" w:firstLine="0"/>
      <w:spacing w:after="57"/>
    </w:pPr>
  </w:style>
  <w:style w:type="paragraph" w:styleId="769">
    <w:name w:val="table of figures"/>
    <w:basedOn w:val="744"/>
    <w:next w:val="744"/>
    <w:uiPriority w:val="99"/>
    <w:unhideWhenUsed/>
    <w:pPr>
      <w:spacing w:after="0" w:afterAutospacing="0"/>
    </w:pPr>
  </w:style>
  <w:style w:type="paragraph" w:styleId="770">
    <w:name w:val="toc 2"/>
    <w:basedOn w:val="744"/>
    <w:next w:val="744"/>
    <w:uiPriority w:val="39"/>
    <w:unhideWhenUsed/>
    <w:pPr>
      <w:ind w:left="283" w:right="0" w:firstLine="0"/>
      <w:spacing w:after="57"/>
    </w:pPr>
  </w:style>
  <w:style w:type="paragraph" w:styleId="771">
    <w:name w:val="toc 9"/>
    <w:basedOn w:val="744"/>
    <w:next w:val="744"/>
    <w:uiPriority w:val="39"/>
    <w:unhideWhenUsed/>
    <w:pPr>
      <w:ind w:left="2268" w:right="0" w:firstLine="0"/>
      <w:spacing w:after="57"/>
    </w:pPr>
  </w:style>
  <w:style w:type="paragraph" w:styleId="772">
    <w:name w:val="Title"/>
    <w:basedOn w:val="744"/>
    <w:next w:val="744"/>
    <w:uiPriority w:val="10"/>
    <w:qFormat/>
    <w:pPr>
      <w:contextualSpacing/>
      <w:spacing w:before="300" w:after="200"/>
    </w:pPr>
    <w:rPr>
      <w:sz w:val="48"/>
      <w:szCs w:val="48"/>
    </w:rPr>
  </w:style>
  <w:style w:type="table" w:styleId="77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rPr>
      <w:vertAlign w:val="superscript"/>
    </w:rPr>
  </w:style>
  <w:style w:type="character" w:styleId="775">
    <w:name w:val="Hyperlink"/>
    <w:uiPriority w:val="99"/>
    <w:unhideWhenUsed/>
    <w:rPr>
      <w:color w:val="0000ff" w:themeColor="hyperlink"/>
      <w:u w:val="single"/>
      <w14:textFill>
        <w14:solidFill>
          <w14:schemeClr w14:val="hlink"/>
        </w14:solidFill>
      </w14:textFill>
    </w:rPr>
  </w:style>
  <w:style w:type="character" w:styleId="776">
    <w:name w:val="footnote reference"/>
    <w:uiPriority w:val="99"/>
    <w:unhideWhenUsed/>
    <w:rPr>
      <w:vertAlign w:val="superscript"/>
    </w:rPr>
  </w:style>
  <w:style w:type="paragraph" w:styleId="777">
    <w:name w:val="List Paragraph"/>
    <w:basedOn w:val="744"/>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paragraph" w:styleId="779">
    <w:name w:val="Quote"/>
    <w:basedOn w:val="744"/>
    <w:next w:val="744"/>
    <w:uiPriority w:val="29"/>
    <w:qFormat/>
    <w:pPr>
      <w:ind w:left="720" w:right="720"/>
    </w:pPr>
    <w:rPr>
      <w:i/>
    </w:rPr>
  </w:style>
  <w:style w:type="paragraph" w:styleId="780">
    <w:name w:val="Intense Quote"/>
    <w:basedOn w:val="744"/>
    <w:next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1" w:customStyle="1">
    <w:name w:val="标题 11"/>
    <w:basedOn w:val="744"/>
    <w:next w:val="744"/>
    <w:link w:val="798"/>
    <w:uiPriority w:val="0"/>
    <w:qFormat/>
    <w:pPr>
      <w:keepLines/>
      <w:keepNext/>
      <w:spacing w:before="480" w:after="200"/>
      <w:outlineLvl w:val="0"/>
    </w:pPr>
    <w:rPr>
      <w:rFonts w:ascii="Arial" w:hAnsi="Arial" w:eastAsia="Arial" w:cs="Arial"/>
      <w:sz w:val="40"/>
      <w:szCs w:val="40"/>
    </w:rPr>
  </w:style>
  <w:style w:type="paragraph" w:styleId="782" w:customStyle="1">
    <w:name w:val="标题 211"/>
    <w:basedOn w:val="744"/>
    <w:next w:val="783"/>
    <w:link w:val="799"/>
    <w:uiPriority w:val="0"/>
    <w:qFormat/>
    <w:pPr>
      <w:keepLines/>
      <w:keepNext/>
      <w:spacing w:before="260" w:after="260" w:line="413" w:lineRule="auto"/>
      <w:outlineLvl w:val="1"/>
    </w:pPr>
    <w:rPr>
      <w:rFonts w:ascii="Arial" w:hAnsi="Arial" w:eastAsia="黑体"/>
      <w:b/>
      <w:sz w:val="32"/>
      <w:szCs w:val="20"/>
    </w:rPr>
  </w:style>
  <w:style w:type="paragraph" w:styleId="783" w:customStyle="1">
    <w:name w:val="正文缩进11"/>
    <w:basedOn w:val="744"/>
    <w:link w:val="800"/>
    <w:uiPriority w:val="0"/>
    <w:qFormat/>
    <w:pPr>
      <w:ind w:firstLine="420"/>
    </w:pPr>
    <w:rPr>
      <w:rFonts w:ascii="宋体"/>
      <w:color w:val="000000"/>
      <w:sz w:val="24"/>
      <w:szCs w:val="20"/>
    </w:rPr>
  </w:style>
  <w:style w:type="paragraph" w:styleId="784" w:customStyle="1">
    <w:name w:val="标题 311"/>
    <w:basedOn w:val="785"/>
    <w:next w:val="786"/>
    <w:link w:val="801"/>
    <w:uiPriority w:val="0"/>
    <w:qFormat/>
    <w:pPr>
      <w:keepLines/>
      <w:keepNext/>
      <w:spacing w:before="320" w:after="200"/>
      <w:outlineLvl w:val="2"/>
    </w:pPr>
    <w:rPr>
      <w:rFonts w:ascii="Arial" w:hAnsi="Arial" w:eastAsia="Arial" w:cs="Arial"/>
      <w:sz w:val="30"/>
      <w:szCs w:val="30"/>
    </w:rPr>
  </w:style>
  <w:style w:type="paragraph" w:styleId="785" w:customStyle="1">
    <w:name w:val="Normal1"/>
    <w:next w:val="784"/>
    <w:uiPriority w:val="0"/>
    <w:qFormat/>
    <w:pPr>
      <w:jc w:val="both"/>
      <w:widowControl w:val="off"/>
    </w:pPr>
    <w:rPr>
      <w:rFonts w:hint="default" w:ascii="Calibri" w:hAnsi="Calibri" w:eastAsia="宋体" w:cs="Times New Roman"/>
      <w:sz w:val="21"/>
      <w:szCs w:val="22"/>
      <w:lang w:val="en-US" w:eastAsia="zh-CN" w:bidi="ar-SA"/>
    </w:rPr>
  </w:style>
  <w:style w:type="paragraph" w:styleId="786" w:customStyle="1">
    <w:name w:val="Normal_19"/>
    <w:next w:val="787"/>
    <w:uiPriority w:val="0"/>
    <w:qFormat/>
    <w:rPr>
      <w:rFonts w:hint="default" w:ascii="黑体" w:hAnsi="黑体" w:eastAsia="黑体" w:cs="黑体"/>
      <w:b/>
      <w:sz w:val="32"/>
      <w:szCs w:val="24"/>
      <w:lang w:val="en-US" w:eastAsia="zh-CN" w:bidi="ar-SA"/>
    </w:rPr>
  </w:style>
  <w:style w:type="paragraph" w:styleId="787" w:customStyle="1">
    <w:name w:val="Normal11"/>
    <w:next w:val="788"/>
    <w:uiPriority w:val="0"/>
    <w:qFormat/>
    <w:pPr>
      <w:jc w:val="both"/>
      <w:widowControl w:val="off"/>
    </w:pPr>
    <w:rPr>
      <w:rFonts w:hint="default" w:ascii="Times New Roman" w:hAnsi="Times New Roman" w:eastAsia="宋体" w:cs="Times New Roman"/>
      <w:szCs w:val="21"/>
      <w:lang w:val="en-US" w:eastAsia="zh-CN" w:bidi="ar-SA"/>
    </w:rPr>
  </w:style>
  <w:style w:type="paragraph" w:styleId="788" w:customStyle="1">
    <w:name w:val="Body Text First Indent1"/>
    <w:basedOn w:val="789"/>
    <w:uiPriority w:val="99"/>
    <w:unhideWhenUsed/>
    <w:qFormat/>
    <w:pPr>
      <w:ind w:firstLine="420"/>
    </w:pPr>
  </w:style>
  <w:style w:type="paragraph" w:styleId="789" w:customStyle="1">
    <w:name w:val="Body Text1"/>
    <w:basedOn w:val="787"/>
    <w:uiPriority w:val="99"/>
    <w:unhideWhenUsed/>
    <w:qFormat/>
    <w:pPr>
      <w:spacing w:after="120"/>
    </w:pPr>
  </w:style>
  <w:style w:type="paragraph" w:styleId="790" w:customStyle="1">
    <w:name w:val="标题 411"/>
    <w:basedOn w:val="744"/>
    <w:next w:val="744"/>
    <w:link w:val="802"/>
    <w:uiPriority w:val="0"/>
    <w:qFormat/>
    <w:pPr>
      <w:jc w:val="center"/>
      <w:keepNext/>
      <w:outlineLvl w:val="3"/>
    </w:pPr>
    <w:rPr>
      <w:rFonts w:eastAsia="新宋体"/>
      <w:sz w:val="30"/>
      <w:szCs w:val="21"/>
    </w:rPr>
  </w:style>
  <w:style w:type="paragraph" w:styleId="791" w:customStyle="1">
    <w:name w:val="标题 51"/>
    <w:basedOn w:val="744"/>
    <w:next w:val="744"/>
    <w:link w:val="803"/>
    <w:uiPriority w:val="0"/>
    <w:qFormat/>
    <w:pPr>
      <w:keepLines/>
      <w:keepNext/>
      <w:spacing w:before="320" w:after="200"/>
      <w:outlineLvl w:val="4"/>
    </w:pPr>
    <w:rPr>
      <w:rFonts w:ascii="Arial" w:hAnsi="Arial" w:eastAsia="Arial" w:cs="Arial"/>
      <w:b/>
      <w:bCs/>
      <w:sz w:val="24"/>
      <w:szCs w:val="24"/>
    </w:rPr>
  </w:style>
  <w:style w:type="paragraph" w:styleId="792" w:customStyle="1">
    <w:name w:val="标题 61"/>
    <w:basedOn w:val="744"/>
    <w:next w:val="744"/>
    <w:link w:val="804"/>
    <w:uiPriority w:val="0"/>
    <w:qFormat/>
    <w:pPr>
      <w:keepLines/>
      <w:keepNext/>
      <w:spacing w:before="320" w:after="200"/>
      <w:outlineLvl w:val="5"/>
    </w:pPr>
    <w:rPr>
      <w:rFonts w:ascii="Arial" w:hAnsi="Arial" w:eastAsia="Arial" w:cs="Arial"/>
      <w:b/>
      <w:bCs/>
      <w:sz w:val="22"/>
    </w:rPr>
  </w:style>
  <w:style w:type="paragraph" w:styleId="793" w:customStyle="1">
    <w:name w:val="标题 71"/>
    <w:basedOn w:val="744"/>
    <w:next w:val="744"/>
    <w:link w:val="805"/>
    <w:uiPriority w:val="0"/>
    <w:qFormat/>
    <w:pPr>
      <w:keepLines/>
      <w:keepNext/>
      <w:spacing w:before="320" w:after="200"/>
      <w:outlineLvl w:val="6"/>
    </w:pPr>
    <w:rPr>
      <w:rFonts w:ascii="Arial" w:hAnsi="Arial" w:eastAsia="Arial" w:cs="Arial"/>
      <w:b/>
      <w:bCs/>
      <w:i/>
      <w:iCs/>
      <w:sz w:val="22"/>
    </w:rPr>
  </w:style>
  <w:style w:type="paragraph" w:styleId="794" w:customStyle="1">
    <w:name w:val="标题 81"/>
    <w:basedOn w:val="744"/>
    <w:next w:val="744"/>
    <w:link w:val="806"/>
    <w:uiPriority w:val="0"/>
    <w:qFormat/>
    <w:pPr>
      <w:keepLines/>
      <w:keepNext/>
      <w:spacing w:before="320" w:after="200"/>
      <w:outlineLvl w:val="7"/>
    </w:pPr>
    <w:rPr>
      <w:rFonts w:ascii="Arial" w:hAnsi="Arial" w:eastAsia="Arial" w:cs="Arial"/>
      <w:i/>
      <w:iCs/>
      <w:sz w:val="22"/>
    </w:rPr>
  </w:style>
  <w:style w:type="paragraph" w:styleId="795" w:customStyle="1">
    <w:name w:val="标题 91"/>
    <w:basedOn w:val="744"/>
    <w:next w:val="744"/>
    <w:link w:val="807"/>
    <w:uiPriority w:val="0"/>
    <w:qFormat/>
    <w:pPr>
      <w:keepLines/>
      <w:keepNext/>
      <w:spacing w:before="320" w:after="200"/>
      <w:outlineLvl w:val="8"/>
    </w:pPr>
    <w:rPr>
      <w:rFonts w:ascii="Arial" w:hAnsi="Arial" w:eastAsia="Arial" w:cs="Arial"/>
      <w:i/>
      <w:iCs/>
      <w:szCs w:val="21"/>
    </w:rPr>
  </w:style>
  <w:style w:type="character" w:styleId="796" w:customStyle="1">
    <w:name w:val="默认段落字体1"/>
    <w:link w:val="744"/>
    <w:uiPriority w:val="1"/>
    <w:unhideWhenUsed/>
    <w:qFormat/>
  </w:style>
  <w:style w:type="table" w:styleId="797" w:customStyle="1">
    <w:name w:val="普通表格1"/>
    <w:uiPriority w:val="99"/>
    <w:unhideWhenUsed/>
    <w:qFormat/>
    <w:tblPr/>
  </w:style>
  <w:style w:type="character" w:styleId="798" w:customStyle="1">
    <w:name w:val="标题 1 字符"/>
    <w:link w:val="781"/>
    <w:uiPriority w:val="0"/>
    <w:qFormat/>
    <w:rPr>
      <w:rFonts w:ascii="Arial" w:hAnsi="Arial" w:eastAsia="Arial" w:cs="Arial"/>
      <w:sz w:val="40"/>
      <w:szCs w:val="40"/>
    </w:rPr>
  </w:style>
  <w:style w:type="character" w:styleId="799" w:customStyle="1">
    <w:name w:val="标题 2 字符"/>
    <w:link w:val="782"/>
    <w:uiPriority w:val="0"/>
    <w:qFormat/>
    <w:rPr>
      <w:rFonts w:ascii="Arial" w:hAnsi="Arial" w:eastAsia="Arial" w:cs="Arial"/>
      <w:sz w:val="34"/>
    </w:rPr>
  </w:style>
  <w:style w:type="character" w:styleId="800" w:customStyle="1">
    <w:name w:val="正文缩进 字符"/>
    <w:link w:val="783"/>
    <w:uiPriority w:val="0"/>
    <w:qFormat/>
    <w:rPr>
      <w:rFonts w:ascii="宋体" w:hAnsi="Calibri"/>
      <w:color w:val="000000"/>
      <w:sz w:val="24"/>
    </w:rPr>
  </w:style>
  <w:style w:type="character" w:styleId="801" w:customStyle="1">
    <w:name w:val="标题 3 字符"/>
    <w:link w:val="784"/>
    <w:uiPriority w:val="0"/>
    <w:qFormat/>
    <w:rPr>
      <w:rFonts w:ascii="Arial" w:hAnsi="Arial" w:eastAsia="Arial" w:cs="Arial"/>
      <w:sz w:val="30"/>
      <w:szCs w:val="30"/>
    </w:rPr>
  </w:style>
  <w:style w:type="character" w:styleId="802" w:customStyle="1">
    <w:name w:val="标题 4 字符"/>
    <w:link w:val="790"/>
    <w:uiPriority w:val="0"/>
    <w:qFormat/>
    <w:rPr>
      <w:rFonts w:ascii="Arial" w:hAnsi="Arial" w:eastAsia="Arial" w:cs="Arial"/>
      <w:b/>
      <w:bCs/>
      <w:sz w:val="26"/>
      <w:szCs w:val="26"/>
    </w:rPr>
  </w:style>
  <w:style w:type="character" w:styleId="803" w:customStyle="1">
    <w:name w:val="标题 5 字符"/>
    <w:link w:val="791"/>
    <w:uiPriority w:val="0"/>
    <w:qFormat/>
    <w:rPr>
      <w:rFonts w:ascii="Arial" w:hAnsi="Arial" w:eastAsia="Arial" w:cs="Arial"/>
      <w:b/>
      <w:bCs/>
      <w:sz w:val="24"/>
      <w:szCs w:val="24"/>
    </w:rPr>
  </w:style>
  <w:style w:type="character" w:styleId="804" w:customStyle="1">
    <w:name w:val="标题 6 字符"/>
    <w:link w:val="792"/>
    <w:uiPriority w:val="0"/>
    <w:qFormat/>
    <w:rPr>
      <w:rFonts w:ascii="Arial" w:hAnsi="Arial" w:eastAsia="Arial" w:cs="Arial"/>
      <w:b/>
      <w:bCs/>
      <w:sz w:val="22"/>
      <w:szCs w:val="22"/>
    </w:rPr>
  </w:style>
  <w:style w:type="character" w:styleId="805" w:customStyle="1">
    <w:name w:val="标题 7 字符"/>
    <w:link w:val="793"/>
    <w:uiPriority w:val="0"/>
    <w:qFormat/>
    <w:rPr>
      <w:rFonts w:ascii="Arial" w:hAnsi="Arial" w:eastAsia="Arial" w:cs="Arial"/>
      <w:b/>
      <w:bCs/>
      <w:i/>
      <w:iCs/>
      <w:sz w:val="22"/>
      <w:szCs w:val="22"/>
    </w:rPr>
  </w:style>
  <w:style w:type="character" w:styleId="806" w:customStyle="1">
    <w:name w:val="标题 8 字符"/>
    <w:link w:val="794"/>
    <w:uiPriority w:val="0"/>
    <w:qFormat/>
    <w:rPr>
      <w:rFonts w:ascii="Arial" w:hAnsi="Arial" w:eastAsia="Arial" w:cs="Arial"/>
      <w:i/>
      <w:iCs/>
      <w:sz w:val="22"/>
      <w:szCs w:val="22"/>
    </w:rPr>
  </w:style>
  <w:style w:type="character" w:styleId="807" w:customStyle="1">
    <w:name w:val="标题 9 字符"/>
    <w:link w:val="795"/>
    <w:uiPriority w:val="0"/>
    <w:qFormat/>
    <w:rPr>
      <w:rFonts w:ascii="Arial" w:hAnsi="Arial" w:eastAsia="Arial" w:cs="Arial"/>
      <w:i/>
      <w:iCs/>
      <w:sz w:val="21"/>
      <w:szCs w:val="21"/>
    </w:rPr>
  </w:style>
  <w:style w:type="paragraph" w:styleId="808" w:customStyle="1">
    <w:name w:val="列表 31"/>
    <w:basedOn w:val="744"/>
    <w:uiPriority w:val="0"/>
    <w:qFormat/>
    <w:pPr>
      <w:ind w:left="100" w:hanging="200"/>
    </w:pPr>
    <w:rPr>
      <w:rFonts w:ascii="Times New Roman" w:hAnsi="Times New Roman"/>
      <w:szCs w:val="21"/>
    </w:rPr>
  </w:style>
  <w:style w:type="paragraph" w:styleId="809" w:customStyle="1">
    <w:name w:val="目录 71"/>
    <w:basedOn w:val="744"/>
    <w:next w:val="744"/>
    <w:uiPriority w:val="0"/>
    <w:unhideWhenUsed/>
    <w:qFormat/>
    <w:pPr>
      <w:ind w:left="1701"/>
      <w:spacing w:after="57"/>
    </w:pPr>
  </w:style>
  <w:style w:type="paragraph" w:styleId="810" w:customStyle="1">
    <w:name w:val="题注1"/>
    <w:basedOn w:val="744"/>
    <w:next w:val="744"/>
    <w:uiPriority w:val="35"/>
    <w:qFormat/>
    <w:pPr>
      <w:spacing w:line="276" w:lineRule="auto"/>
    </w:pPr>
    <w:rPr>
      <w:b/>
      <w:bCs/>
      <w:color w:val="5b9bd5"/>
      <w:sz w:val="18"/>
      <w:szCs w:val="18"/>
    </w:rPr>
  </w:style>
  <w:style w:type="paragraph" w:styleId="811" w:customStyle="1">
    <w:name w:val="文档结构图1"/>
    <w:basedOn w:val="744"/>
    <w:link w:val="812"/>
    <w:uiPriority w:val="0"/>
    <w:semiHidden/>
    <w:qFormat/>
    <w:pPr>
      <w:shd w:val="clear" w:color="auto" w:fill="000080"/>
    </w:pPr>
    <w:rPr>
      <w:rFonts w:ascii="Times New Roman" w:hAnsi="Times New Roman"/>
      <w:szCs w:val="21"/>
    </w:rPr>
  </w:style>
  <w:style w:type="character" w:styleId="812" w:customStyle="1">
    <w:name w:val="文档结构图 字符"/>
    <w:link w:val="811"/>
    <w:uiPriority w:val="0"/>
    <w:semiHidden/>
    <w:qFormat/>
    <w:rPr>
      <w:sz w:val="21"/>
      <w:szCs w:val="21"/>
      <w:shd w:val="clear" w:color="auto" w:fill="000080"/>
    </w:rPr>
  </w:style>
  <w:style w:type="paragraph" w:styleId="813" w:customStyle="1">
    <w:name w:val="批注文字1"/>
    <w:basedOn w:val="744"/>
    <w:link w:val="814"/>
    <w:uiPriority w:val="0"/>
    <w:semiHidden/>
    <w:qFormat/>
    <w:pPr>
      <w:jc w:val="left"/>
    </w:pPr>
    <w:rPr>
      <w:rFonts w:ascii="Times New Roman" w:hAnsi="Times New Roman"/>
      <w:szCs w:val="21"/>
    </w:rPr>
  </w:style>
  <w:style w:type="character" w:styleId="814" w:customStyle="1">
    <w:name w:val="批注文字 字符"/>
    <w:link w:val="813"/>
    <w:uiPriority w:val="0"/>
    <w:semiHidden/>
    <w:qFormat/>
    <w:rPr>
      <w:sz w:val="21"/>
      <w:szCs w:val="21"/>
    </w:rPr>
  </w:style>
  <w:style w:type="paragraph" w:styleId="815" w:customStyle="1">
    <w:name w:val="正文文本 31"/>
    <w:basedOn w:val="744"/>
    <w:link w:val="816"/>
    <w:uiPriority w:val="0"/>
    <w:qFormat/>
    <w:rPr>
      <w:rFonts w:ascii="仿宋_GB2312" w:hAnsi="Arial" w:eastAsia="仿宋_GB2312"/>
      <w:sz w:val="32"/>
      <w:szCs w:val="32"/>
    </w:rPr>
  </w:style>
  <w:style w:type="character" w:styleId="816" w:customStyle="1">
    <w:name w:val="正文文本 3 字符"/>
    <w:link w:val="815"/>
    <w:uiPriority w:val="0"/>
    <w:qFormat/>
    <w:rPr>
      <w:rFonts w:ascii="仿宋_GB2312" w:hAnsi="Arial" w:eastAsia="仿宋_GB2312"/>
      <w:sz w:val="32"/>
      <w:szCs w:val="32"/>
    </w:rPr>
  </w:style>
  <w:style w:type="paragraph" w:styleId="817" w:customStyle="1">
    <w:name w:val="正文文本11"/>
    <w:basedOn w:val="744"/>
    <w:next w:val="744"/>
    <w:uiPriority w:val="0"/>
    <w:semiHidden/>
    <w:qFormat/>
    <w:rPr>
      <w:rFonts w:ascii="仿宋" w:hAnsi="仿宋" w:eastAsia="仿宋" w:cs="仿宋"/>
      <w:sz w:val="32"/>
      <w:szCs w:val="32"/>
      <w:lang w:val="en-US" w:eastAsia="en-US" w:bidi="ar-SA"/>
    </w:rPr>
  </w:style>
  <w:style w:type="paragraph" w:styleId="818" w:customStyle="1">
    <w:name w:val="正文文本缩进11"/>
    <w:basedOn w:val="744"/>
    <w:link w:val="819"/>
    <w:uiPriority w:val="0"/>
    <w:qFormat/>
    <w:pPr>
      <w:ind w:firstLine="225"/>
    </w:pPr>
    <w:rPr>
      <w:rFonts w:ascii="仿宋_GB2312" w:eastAsia="仿宋_GB2312"/>
      <w:sz w:val="32"/>
    </w:rPr>
  </w:style>
  <w:style w:type="character" w:styleId="819" w:customStyle="1">
    <w:name w:val="正文文本缩进 字符1"/>
    <w:link w:val="818"/>
    <w:uiPriority w:val="0"/>
    <w:qFormat/>
    <w:rPr>
      <w:rFonts w:ascii="仿宋_GB2312" w:hAnsi="Calibri" w:eastAsia="仿宋_GB2312"/>
      <w:sz w:val="32"/>
      <w:szCs w:val="22"/>
    </w:rPr>
  </w:style>
  <w:style w:type="paragraph" w:styleId="820" w:customStyle="1">
    <w:name w:val="列表 21"/>
    <w:basedOn w:val="744"/>
    <w:uiPriority w:val="0"/>
    <w:qFormat/>
    <w:pPr>
      <w:ind w:left="100" w:hanging="200"/>
    </w:pPr>
    <w:rPr>
      <w:rFonts w:ascii="Times New Roman" w:hAnsi="Times New Roman"/>
      <w:szCs w:val="21"/>
    </w:rPr>
  </w:style>
  <w:style w:type="paragraph" w:styleId="821" w:customStyle="1">
    <w:name w:val="目录 51"/>
    <w:basedOn w:val="744"/>
    <w:next w:val="744"/>
    <w:uiPriority w:val="0"/>
    <w:unhideWhenUsed/>
    <w:qFormat/>
    <w:pPr>
      <w:ind w:left="1134"/>
      <w:spacing w:after="57"/>
    </w:pPr>
  </w:style>
  <w:style w:type="paragraph" w:styleId="822" w:customStyle="1">
    <w:name w:val="目录 31"/>
    <w:basedOn w:val="744"/>
    <w:next w:val="744"/>
    <w:uiPriority w:val="0"/>
    <w:unhideWhenUsed/>
    <w:qFormat/>
    <w:pPr>
      <w:ind w:left="567"/>
      <w:spacing w:after="57"/>
    </w:pPr>
  </w:style>
  <w:style w:type="paragraph" w:styleId="823" w:customStyle="1">
    <w:name w:val="纯文本11"/>
    <w:basedOn w:val="744"/>
    <w:link w:val="824"/>
    <w:uiPriority w:val="0"/>
    <w:qFormat/>
    <w:rPr>
      <w:rFonts w:ascii="宋体" w:hAnsi="Courier New" w:cs="Courier New"/>
      <w:szCs w:val="21"/>
    </w:rPr>
  </w:style>
  <w:style w:type="character" w:styleId="824" w:customStyle="1">
    <w:name w:val="纯文本 字符"/>
    <w:link w:val="823"/>
    <w:uiPriority w:val="0"/>
    <w:qFormat/>
    <w:rPr>
      <w:rFonts w:ascii="宋体" w:hAnsi="Courier New" w:cs="Courier New"/>
      <w:sz w:val="21"/>
      <w:szCs w:val="21"/>
    </w:rPr>
  </w:style>
  <w:style w:type="paragraph" w:styleId="825" w:customStyle="1">
    <w:name w:val="目录 81"/>
    <w:basedOn w:val="744"/>
    <w:next w:val="744"/>
    <w:uiPriority w:val="0"/>
    <w:unhideWhenUsed/>
    <w:qFormat/>
    <w:pPr>
      <w:ind w:left="1984"/>
      <w:spacing w:after="57"/>
    </w:pPr>
  </w:style>
  <w:style w:type="paragraph" w:styleId="826" w:customStyle="1">
    <w:name w:val="日期1"/>
    <w:basedOn w:val="744"/>
    <w:next w:val="744"/>
    <w:link w:val="827"/>
    <w:uiPriority w:val="0"/>
    <w:qFormat/>
    <w:rPr>
      <w:rFonts w:ascii="Times New Roman" w:hAnsi="Times New Roman"/>
      <w:sz w:val="24"/>
      <w:szCs w:val="24"/>
    </w:rPr>
  </w:style>
  <w:style w:type="character" w:styleId="827" w:customStyle="1">
    <w:name w:val="日期 字符"/>
    <w:link w:val="826"/>
    <w:uiPriority w:val="0"/>
    <w:qFormat/>
    <w:rPr>
      <w:sz w:val="24"/>
      <w:szCs w:val="24"/>
    </w:rPr>
  </w:style>
  <w:style w:type="paragraph" w:styleId="828" w:customStyle="1">
    <w:name w:val="正文文本缩进 21"/>
    <w:basedOn w:val="744"/>
    <w:link w:val="829"/>
    <w:uiPriority w:val="0"/>
    <w:qFormat/>
    <w:pPr>
      <w:ind w:left="630" w:firstLine="645"/>
    </w:pPr>
    <w:rPr>
      <w:rFonts w:ascii="Arial" w:hAnsi="Arial" w:eastAsia="仿宋_GB2312" w:cs="Arial"/>
      <w:sz w:val="32"/>
      <w:szCs w:val="32"/>
    </w:rPr>
  </w:style>
  <w:style w:type="character" w:styleId="829" w:customStyle="1">
    <w:name w:val="正文文本缩进 2 字符"/>
    <w:link w:val="828"/>
    <w:uiPriority w:val="0"/>
    <w:qFormat/>
    <w:rPr>
      <w:rFonts w:ascii="Arial" w:hAnsi="Arial" w:eastAsia="仿宋_GB2312" w:cs="Arial"/>
      <w:sz w:val="32"/>
      <w:szCs w:val="32"/>
    </w:rPr>
  </w:style>
  <w:style w:type="paragraph" w:styleId="830" w:customStyle="1">
    <w:name w:val="尾注文本1"/>
    <w:basedOn w:val="744"/>
    <w:link w:val="831"/>
    <w:uiPriority w:val="99"/>
    <w:unhideWhenUsed/>
    <w:qFormat/>
    <w:rPr>
      <w:sz w:val="20"/>
    </w:rPr>
  </w:style>
  <w:style w:type="character" w:styleId="831" w:customStyle="1">
    <w:name w:val="尾注文本 字符"/>
    <w:link w:val="830"/>
    <w:uiPriority w:val="99"/>
    <w:qFormat/>
    <w:rPr>
      <w:sz w:val="20"/>
    </w:rPr>
  </w:style>
  <w:style w:type="paragraph" w:styleId="832" w:customStyle="1">
    <w:name w:val="批注框文本1"/>
    <w:basedOn w:val="744"/>
    <w:link w:val="833"/>
    <w:uiPriority w:val="0"/>
    <w:qFormat/>
    <w:rPr>
      <w:rFonts w:ascii="Times New Roman" w:hAnsi="Times New Roman"/>
      <w:sz w:val="18"/>
      <w:szCs w:val="18"/>
    </w:rPr>
  </w:style>
  <w:style w:type="character" w:styleId="833" w:customStyle="1">
    <w:name w:val="批注框文本 字符"/>
    <w:link w:val="832"/>
    <w:uiPriority w:val="0"/>
    <w:qFormat/>
    <w:rPr>
      <w:sz w:val="18"/>
      <w:szCs w:val="18"/>
    </w:rPr>
  </w:style>
  <w:style w:type="paragraph" w:styleId="834" w:customStyle="1">
    <w:name w:val="页脚11"/>
    <w:basedOn w:val="744"/>
    <w:link w:val="835"/>
    <w:uiPriority w:val="99"/>
    <w:qFormat/>
    <w:pPr>
      <w:jc w:val="left"/>
      <w:tabs>
        <w:tab w:val="center" w:pos="4153" w:leader="none"/>
        <w:tab w:val="right" w:pos="8306" w:leader="none"/>
      </w:tabs>
    </w:pPr>
    <w:rPr>
      <w:sz w:val="18"/>
      <w:szCs w:val="18"/>
    </w:rPr>
  </w:style>
  <w:style w:type="character" w:styleId="835" w:customStyle="1">
    <w:name w:val="页脚 字符"/>
    <w:link w:val="834"/>
    <w:uiPriority w:val="99"/>
    <w:qFormat/>
  </w:style>
  <w:style w:type="paragraph" w:styleId="836" w:customStyle="1">
    <w:name w:val="页眉1"/>
    <w:basedOn w:val="744"/>
    <w:link w:val="837"/>
    <w:uiPriority w:val="0"/>
    <w:qFormat/>
    <w:pPr>
      <w:jc w:val="center"/>
      <w:tabs>
        <w:tab w:val="center" w:pos="4153" w:leader="none"/>
        <w:tab w:val="right" w:pos="8306" w:leader="none"/>
      </w:tabs>
    </w:pPr>
    <w:rPr>
      <w:sz w:val="18"/>
      <w:szCs w:val="18"/>
    </w:rPr>
  </w:style>
  <w:style w:type="character" w:styleId="837" w:customStyle="1">
    <w:name w:val="页眉 字符"/>
    <w:link w:val="836"/>
    <w:uiPriority w:val="0"/>
    <w:qFormat/>
    <w:rPr>
      <w:rFonts w:ascii="Calibri" w:hAnsi="Calibri"/>
      <w:sz w:val="18"/>
      <w:szCs w:val="18"/>
    </w:rPr>
  </w:style>
  <w:style w:type="paragraph" w:styleId="838" w:customStyle="1">
    <w:name w:val="目录 11"/>
    <w:basedOn w:val="744"/>
    <w:next w:val="744"/>
    <w:uiPriority w:val="0"/>
    <w:qFormat/>
    <w:pPr>
      <w:jc w:val="left"/>
      <w:spacing w:before="120" w:after="120"/>
    </w:pPr>
    <w:rPr>
      <w:rFonts w:cs="Calibri"/>
      <w:b/>
      <w:bCs/>
      <w:caps/>
      <w:sz w:val="20"/>
      <w:szCs w:val="20"/>
    </w:rPr>
  </w:style>
  <w:style w:type="paragraph" w:styleId="839" w:customStyle="1">
    <w:name w:val="目录 41"/>
    <w:basedOn w:val="744"/>
    <w:next w:val="744"/>
    <w:uiPriority w:val="0"/>
    <w:unhideWhenUsed/>
    <w:qFormat/>
    <w:pPr>
      <w:ind w:left="850"/>
      <w:spacing w:after="57"/>
    </w:pPr>
  </w:style>
  <w:style w:type="paragraph" w:styleId="840" w:customStyle="1">
    <w:name w:val="副标题1"/>
    <w:basedOn w:val="744"/>
    <w:next w:val="744"/>
    <w:link w:val="841"/>
    <w:uiPriority w:val="11"/>
    <w:qFormat/>
    <w:pPr>
      <w:spacing w:before="200" w:after="200"/>
    </w:pPr>
    <w:rPr>
      <w:sz w:val="24"/>
      <w:szCs w:val="24"/>
    </w:rPr>
  </w:style>
  <w:style w:type="character" w:styleId="841" w:customStyle="1">
    <w:name w:val="副标题 字符"/>
    <w:link w:val="840"/>
    <w:uiPriority w:val="11"/>
    <w:qFormat/>
    <w:rPr>
      <w:sz w:val="24"/>
      <w:szCs w:val="24"/>
    </w:rPr>
  </w:style>
  <w:style w:type="paragraph" w:styleId="842" w:customStyle="1">
    <w:name w:val="列表1"/>
    <w:basedOn w:val="744"/>
    <w:uiPriority w:val="0"/>
    <w:qFormat/>
    <w:pPr>
      <w:ind w:left="200" w:hanging="200"/>
    </w:pPr>
    <w:rPr>
      <w:rFonts w:ascii="Times New Roman" w:hAnsi="Times New Roman"/>
      <w:szCs w:val="21"/>
    </w:rPr>
  </w:style>
  <w:style w:type="paragraph" w:styleId="843" w:customStyle="1">
    <w:name w:val="脚注文本11"/>
    <w:basedOn w:val="744"/>
    <w:link w:val="844"/>
    <w:uiPriority w:val="99"/>
    <w:unhideWhenUsed/>
    <w:qFormat/>
    <w:pPr>
      <w:spacing w:after="40"/>
    </w:pPr>
    <w:rPr>
      <w:sz w:val="18"/>
    </w:rPr>
  </w:style>
  <w:style w:type="character" w:styleId="844" w:customStyle="1">
    <w:name w:val="脚注文本 字符"/>
    <w:link w:val="843"/>
    <w:uiPriority w:val="99"/>
    <w:qFormat/>
    <w:rPr>
      <w:sz w:val="18"/>
    </w:rPr>
  </w:style>
  <w:style w:type="paragraph" w:styleId="845" w:customStyle="1">
    <w:name w:val="目录 61"/>
    <w:basedOn w:val="744"/>
    <w:next w:val="744"/>
    <w:uiPriority w:val="0"/>
    <w:unhideWhenUsed/>
    <w:qFormat/>
    <w:pPr>
      <w:ind w:left="1417"/>
      <w:spacing w:after="57"/>
    </w:pPr>
  </w:style>
  <w:style w:type="paragraph" w:styleId="846" w:customStyle="1">
    <w:name w:val="正文文本缩进 31"/>
    <w:basedOn w:val="744"/>
    <w:link w:val="847"/>
    <w:uiPriority w:val="0"/>
    <w:qFormat/>
    <w:pPr>
      <w:ind w:left="645" w:firstLine="645"/>
    </w:pPr>
    <w:rPr>
      <w:rFonts w:ascii="Arial" w:hAnsi="Arial" w:eastAsia="仿宋_GB2312" w:cs="Arial"/>
      <w:color w:val="ffff00"/>
      <w:sz w:val="32"/>
      <w:szCs w:val="32"/>
    </w:rPr>
  </w:style>
  <w:style w:type="character" w:styleId="847" w:customStyle="1">
    <w:name w:val="正文文本缩进 3 字符"/>
    <w:link w:val="846"/>
    <w:uiPriority w:val="0"/>
    <w:qFormat/>
    <w:rPr>
      <w:rFonts w:ascii="Arial" w:hAnsi="Arial" w:eastAsia="仿宋_GB2312" w:cs="Arial"/>
      <w:color w:val="ffff00"/>
      <w:sz w:val="32"/>
      <w:szCs w:val="32"/>
    </w:rPr>
  </w:style>
  <w:style w:type="paragraph" w:styleId="848" w:customStyle="1">
    <w:name w:val="图表目录1"/>
    <w:basedOn w:val="744"/>
    <w:next w:val="744"/>
    <w:uiPriority w:val="0"/>
    <w:unhideWhenUsed/>
    <w:qFormat/>
  </w:style>
  <w:style w:type="paragraph" w:styleId="849" w:customStyle="1">
    <w:name w:val="目录 21"/>
    <w:basedOn w:val="744"/>
    <w:next w:val="744"/>
    <w:uiPriority w:val="0"/>
    <w:qFormat/>
    <w:pPr>
      <w:ind w:left="210"/>
      <w:jc w:val="left"/>
    </w:pPr>
    <w:rPr>
      <w:rFonts w:cs="Calibri"/>
      <w:smallCaps/>
      <w:sz w:val="20"/>
      <w:szCs w:val="20"/>
    </w:rPr>
  </w:style>
  <w:style w:type="paragraph" w:styleId="850" w:customStyle="1">
    <w:name w:val="目录 91"/>
    <w:basedOn w:val="744"/>
    <w:next w:val="744"/>
    <w:uiPriority w:val="0"/>
    <w:unhideWhenUsed/>
    <w:qFormat/>
    <w:pPr>
      <w:ind w:left="2268"/>
      <w:spacing w:after="57"/>
    </w:pPr>
  </w:style>
  <w:style w:type="paragraph" w:styleId="851" w:customStyle="1">
    <w:name w:val="正文文本 21"/>
    <w:basedOn w:val="744"/>
    <w:link w:val="852"/>
    <w:uiPriority w:val="0"/>
    <w:qFormat/>
    <w:pPr>
      <w:jc w:val="center"/>
      <w:widowControl/>
    </w:pPr>
    <w:rPr>
      <w:rFonts w:ascii="楷体_GB2312" w:hAnsi="Times New Roman" w:eastAsia="楷体_GB2312"/>
      <w:sz w:val="28"/>
      <w:szCs w:val="28"/>
    </w:rPr>
  </w:style>
  <w:style w:type="character" w:styleId="852" w:customStyle="1">
    <w:name w:val="正文文本 2 字符"/>
    <w:link w:val="851"/>
    <w:uiPriority w:val="0"/>
    <w:qFormat/>
    <w:rPr>
      <w:rFonts w:ascii="楷体_GB2312" w:eastAsia="楷体_GB2312"/>
      <w:sz w:val="28"/>
      <w:szCs w:val="28"/>
    </w:rPr>
  </w:style>
  <w:style w:type="paragraph" w:styleId="853" w:customStyle="1">
    <w:name w:val="HTML 预设格式1"/>
    <w:basedOn w:val="744"/>
    <w:link w:val="85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4" w:customStyle="1">
    <w:name w:val="HTML 预设格式 字符"/>
    <w:link w:val="853"/>
    <w:uiPriority w:val="99"/>
    <w:qFormat/>
    <w:rPr>
      <w:rFonts w:ascii="宋体" w:hAnsi="宋体"/>
      <w:sz w:val="24"/>
      <w:szCs w:val="24"/>
    </w:rPr>
  </w:style>
  <w:style w:type="paragraph" w:styleId="855" w:customStyle="1">
    <w:name w:val="普通(网站)111"/>
    <w:basedOn w:val="744"/>
    <w:uiPriority w:val="99"/>
    <w:qFormat/>
    <w:pPr>
      <w:jc w:val="left"/>
      <w:spacing w:before="100" w:beforeAutospacing="1" w:after="100" w:afterAutospacing="1"/>
      <w:widowControl/>
    </w:pPr>
    <w:rPr>
      <w:rFonts w:ascii="宋体" w:hAnsi="宋体" w:cs="宋体"/>
      <w:sz w:val="24"/>
      <w:szCs w:val="24"/>
    </w:rPr>
  </w:style>
  <w:style w:type="paragraph" w:styleId="856" w:customStyle="1">
    <w:name w:val="索引 11"/>
    <w:basedOn w:val="744"/>
    <w:next w:val="744"/>
    <w:uiPriority w:val="0"/>
    <w:semiHidden/>
    <w:qFormat/>
    <w:pPr>
      <w:spacing w:line="240" w:lineRule="atLeast"/>
    </w:pPr>
    <w:rPr>
      <w:rFonts w:ascii="Times New Roman" w:hAnsi="Times New Roman"/>
      <w:b/>
      <w:bCs/>
      <w:szCs w:val="21"/>
    </w:rPr>
  </w:style>
  <w:style w:type="paragraph" w:styleId="857" w:customStyle="1">
    <w:name w:val="标题11"/>
    <w:basedOn w:val="744"/>
    <w:next w:val="744"/>
    <w:link w:val="858"/>
    <w:uiPriority w:val="10"/>
    <w:qFormat/>
    <w:pPr>
      <w:contextualSpacing/>
      <w:spacing w:before="300" w:after="200"/>
    </w:pPr>
    <w:rPr>
      <w:sz w:val="48"/>
      <w:szCs w:val="48"/>
    </w:rPr>
  </w:style>
  <w:style w:type="character" w:styleId="858" w:customStyle="1">
    <w:name w:val="标题 字符"/>
    <w:link w:val="857"/>
    <w:uiPriority w:val="10"/>
    <w:qFormat/>
    <w:rPr>
      <w:sz w:val="48"/>
      <w:szCs w:val="48"/>
    </w:rPr>
  </w:style>
  <w:style w:type="paragraph" w:styleId="859" w:customStyle="1">
    <w:name w:val="批注主题1"/>
    <w:basedOn w:val="813"/>
    <w:next w:val="813"/>
    <w:link w:val="860"/>
    <w:uiPriority w:val="0"/>
    <w:semiHidden/>
    <w:qFormat/>
    <w:rPr>
      <w:b/>
      <w:bCs/>
    </w:rPr>
  </w:style>
  <w:style w:type="character" w:styleId="860" w:customStyle="1">
    <w:name w:val="批注主题 字符"/>
    <w:link w:val="859"/>
    <w:uiPriority w:val="0"/>
    <w:semiHidden/>
    <w:qFormat/>
    <w:rPr>
      <w:b/>
      <w:bCs/>
      <w:sz w:val="21"/>
      <w:szCs w:val="21"/>
    </w:rPr>
  </w:style>
  <w:style w:type="paragraph" w:styleId="861" w:customStyle="1">
    <w:name w:val="正文首行缩进 211"/>
    <w:basedOn w:val="818"/>
    <w:link w:val="862"/>
    <w:uiPriority w:val="0"/>
    <w:qFormat/>
    <w:pPr>
      <w:ind w:firstLine="420"/>
      <w:spacing w:line="360" w:lineRule="auto"/>
    </w:pPr>
    <w:rPr>
      <w:rFonts w:ascii="宋体" w:hAnsi="宋体" w:eastAsia="宋体"/>
      <w:sz w:val="21"/>
      <w:szCs w:val="20"/>
    </w:rPr>
  </w:style>
  <w:style w:type="character" w:styleId="862" w:customStyle="1">
    <w:name w:val="正文文本首行缩进 2 字符"/>
    <w:link w:val="861"/>
    <w:uiPriority w:val="0"/>
    <w:qFormat/>
    <w:rPr>
      <w:rFonts w:ascii="宋体" w:hAnsi="宋体" w:eastAsia="仿宋_GB2312"/>
      <w:sz w:val="21"/>
      <w:szCs w:val="22"/>
    </w:rPr>
  </w:style>
  <w:style w:type="table" w:styleId="863" w:customStyle="1">
    <w:name w:val="网格型1"/>
    <w:basedOn w:val="797"/>
    <w:uiPriority w:val="0"/>
    <w:qFormat/>
    <w:pPr>
      <w:jc w:val="both"/>
      <w:widowControl w:val="off"/>
    </w:pPr>
    <w:tblPr/>
  </w:style>
  <w:style w:type="character" w:styleId="864" w:customStyle="1">
    <w:name w:val="要点1"/>
    <w:link w:val="744"/>
    <w:uiPriority w:val="0"/>
    <w:qFormat/>
    <w:rPr>
      <w:b/>
      <w:bCs/>
    </w:rPr>
  </w:style>
  <w:style w:type="character" w:styleId="865" w:customStyle="1">
    <w:name w:val="尾注引用1"/>
    <w:link w:val="744"/>
    <w:uiPriority w:val="99"/>
    <w:unhideWhenUsed/>
    <w:qFormat/>
    <w:rPr>
      <w:vertAlign w:val="superscript"/>
    </w:rPr>
  </w:style>
  <w:style w:type="character" w:styleId="866" w:customStyle="1">
    <w:name w:val="页码11"/>
    <w:link w:val="744"/>
    <w:uiPriority w:val="0"/>
    <w:qFormat/>
  </w:style>
  <w:style w:type="character" w:styleId="867" w:customStyle="1">
    <w:name w:val="已访问的超链接1"/>
    <w:link w:val="744"/>
    <w:uiPriority w:val="0"/>
    <w:qFormat/>
    <w:rPr>
      <w:color w:val="800080"/>
      <w:u w:val="single"/>
    </w:rPr>
  </w:style>
  <w:style w:type="character" w:styleId="868" w:customStyle="1">
    <w:name w:val="强调1"/>
    <w:link w:val="744"/>
    <w:uiPriority w:val="0"/>
    <w:qFormat/>
    <w:rPr>
      <w:i/>
    </w:rPr>
  </w:style>
  <w:style w:type="character" w:styleId="869" w:customStyle="1">
    <w:name w:val="超链接1"/>
    <w:link w:val="744"/>
    <w:uiPriority w:val="0"/>
    <w:qFormat/>
    <w:rPr>
      <w:color w:val="0000ff"/>
      <w:u w:val="single"/>
    </w:rPr>
  </w:style>
  <w:style w:type="character" w:styleId="870" w:customStyle="1">
    <w:name w:val="批注引用1"/>
    <w:link w:val="744"/>
    <w:uiPriority w:val="0"/>
    <w:semiHidden/>
    <w:qFormat/>
    <w:rPr>
      <w:sz w:val="21"/>
      <w:szCs w:val="21"/>
    </w:rPr>
  </w:style>
  <w:style w:type="character" w:styleId="871" w:customStyle="1">
    <w:name w:val="脚注引用1"/>
    <w:link w:val="744"/>
    <w:uiPriority w:val="99"/>
    <w:unhideWhenUsed/>
    <w:qFormat/>
    <w:rPr>
      <w:vertAlign w:val="superscript"/>
    </w:rPr>
  </w:style>
  <w:style w:type="paragraph" w:styleId="872" w:customStyle="1">
    <w:name w:val="正文首行缩进 21"/>
    <w:basedOn w:val="873"/>
    <w:next w:val="744"/>
    <w:uiPriority w:val="0"/>
    <w:qFormat/>
    <w:pPr>
      <w:ind w:firstLine="420"/>
      <w:spacing w:line="360" w:lineRule="auto"/>
    </w:pPr>
    <w:rPr>
      <w:rFonts w:ascii="宋体" w:hAnsi="宋体" w:eastAsia="宋体"/>
      <w:sz w:val="21"/>
      <w:szCs w:val="20"/>
    </w:rPr>
  </w:style>
  <w:style w:type="paragraph" w:styleId="873" w:customStyle="1">
    <w:name w:val="正文文本缩进1"/>
    <w:basedOn w:val="744"/>
    <w:next w:val="874"/>
    <w:uiPriority w:val="0"/>
    <w:qFormat/>
    <w:pPr>
      <w:ind w:firstLine="645"/>
    </w:pPr>
    <w:rPr>
      <w:rFonts w:ascii="楷体_GB2312" w:eastAsia="楷体_GB2312"/>
      <w:sz w:val="32"/>
      <w:szCs w:val="32"/>
    </w:rPr>
  </w:style>
  <w:style w:type="paragraph" w:styleId="874" w:customStyle="1">
    <w:name w:val="寄信人地址1"/>
    <w:basedOn w:val="744"/>
    <w:uiPriority w:val="0"/>
    <w:qFormat/>
    <w:rPr>
      <w:rFonts w:ascii="Arial" w:hAnsi="Arial"/>
    </w:rPr>
  </w:style>
  <w:style w:type="paragraph" w:styleId="875" w:customStyle="1">
    <w:name w:val="标题 41"/>
    <w:basedOn w:val="876"/>
    <w:next w:val="74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6" w:customStyle="1">
    <w:name w:val="Normal_20"/>
    <w:next w:val="877"/>
    <w:uiPriority w:val="0"/>
    <w:qFormat/>
    <w:rPr>
      <w:rFonts w:hint="default" w:ascii="黑体" w:hAnsi="黑体" w:eastAsia="黑体" w:cs="黑体"/>
      <w:b/>
      <w:sz w:val="32"/>
      <w:szCs w:val="24"/>
      <w:lang w:val="en-US" w:eastAsia="zh-CN" w:bidi="ar-SA"/>
    </w:rPr>
  </w:style>
  <w:style w:type="paragraph" w:styleId="877" w:customStyle="1">
    <w:name w:val="Body Text First Indent_2"/>
    <w:basedOn w:val="876"/>
    <w:uiPriority w:val="0"/>
    <w:qFormat/>
    <w:pPr>
      <w:ind w:firstLine="100"/>
      <w:spacing w:after="120"/>
    </w:pPr>
  </w:style>
  <w:style w:type="paragraph" w:styleId="878" w:customStyle="1">
    <w:name w:val="脚注文本1"/>
    <w:basedOn w:val="744"/>
    <w:uiPriority w:val="0"/>
    <w:qFormat/>
    <w:pPr>
      <w:jc w:val="left"/>
    </w:pPr>
    <w:rPr>
      <w:rFonts w:eastAsia="Times New Roman"/>
      <w:sz w:val="18"/>
      <w:szCs w:val="24"/>
    </w:rPr>
  </w:style>
  <w:style w:type="table" w:styleId="879" w:customStyle="1">
    <w:name w:val="Plain Table 1"/>
    <w:basedOn w:val="797"/>
    <w:uiPriority w:val="59"/>
    <w:qFormat/>
    <w:pPr>
      <w:spacing w:after="0" w:line="240" w:lineRule="auto"/>
    </w:pPr>
    <w:tblPr/>
  </w:style>
  <w:style w:type="table" w:styleId="880" w:customStyle="1">
    <w:name w:val="Plain Table 2"/>
    <w:basedOn w:val="797"/>
    <w:uiPriority w:val="59"/>
    <w:qFormat/>
    <w:pPr>
      <w:spacing w:after="0" w:line="240" w:lineRule="auto"/>
    </w:pPr>
    <w:tblPr/>
  </w:style>
  <w:style w:type="table" w:styleId="881" w:customStyle="1">
    <w:name w:val="Plain Table 3"/>
    <w:basedOn w:val="797"/>
    <w:uiPriority w:val="99"/>
    <w:qFormat/>
    <w:pPr>
      <w:spacing w:after="0" w:line="240" w:lineRule="auto"/>
    </w:pPr>
    <w:tblPr/>
  </w:style>
  <w:style w:type="table" w:styleId="882" w:customStyle="1">
    <w:name w:val="Plain Table 4"/>
    <w:basedOn w:val="797"/>
    <w:uiPriority w:val="99"/>
    <w:qFormat/>
    <w:pPr>
      <w:spacing w:after="0" w:line="240" w:lineRule="auto"/>
    </w:pPr>
    <w:tblPr/>
  </w:style>
  <w:style w:type="table" w:styleId="883" w:customStyle="1">
    <w:name w:val="Plain Table 5"/>
    <w:basedOn w:val="797"/>
    <w:uiPriority w:val="99"/>
    <w:qFormat/>
    <w:pPr>
      <w:spacing w:after="0" w:line="240" w:lineRule="auto"/>
    </w:pPr>
    <w:tblPr/>
  </w:style>
  <w:style w:type="table" w:styleId="884" w:customStyle="1">
    <w:name w:val="Grid Table 1 Light"/>
    <w:basedOn w:val="797"/>
    <w:uiPriority w:val="99"/>
    <w:qFormat/>
    <w:pPr>
      <w:spacing w:after="0" w:line="240" w:lineRule="auto"/>
    </w:pPr>
    <w:tblPr/>
  </w:style>
  <w:style w:type="table" w:styleId="885" w:customStyle="1">
    <w:name w:val="Grid Table 2"/>
    <w:basedOn w:val="797"/>
    <w:uiPriority w:val="99"/>
    <w:qFormat/>
    <w:pPr>
      <w:spacing w:after="0" w:line="240" w:lineRule="auto"/>
    </w:pPr>
    <w:tblPr/>
  </w:style>
  <w:style w:type="table" w:styleId="886" w:customStyle="1">
    <w:name w:val="Grid Table 3"/>
    <w:basedOn w:val="797"/>
    <w:uiPriority w:val="99"/>
    <w:qFormat/>
    <w:pPr>
      <w:spacing w:after="0" w:line="240" w:lineRule="auto"/>
    </w:pPr>
    <w:tblPr/>
  </w:style>
  <w:style w:type="table" w:styleId="887" w:customStyle="1">
    <w:name w:val="Grid Table 4"/>
    <w:basedOn w:val="797"/>
    <w:uiPriority w:val="59"/>
    <w:qFormat/>
    <w:pPr>
      <w:spacing w:after="0" w:line="240" w:lineRule="auto"/>
    </w:pPr>
    <w:tblPr/>
  </w:style>
  <w:style w:type="table" w:styleId="888" w:customStyle="1">
    <w:name w:val="Grid Table 5 Dark"/>
    <w:basedOn w:val="797"/>
    <w:uiPriority w:val="99"/>
    <w:qFormat/>
    <w:pPr>
      <w:spacing w:after="0" w:line="240" w:lineRule="auto"/>
    </w:pPr>
    <w:tblPr/>
  </w:style>
  <w:style w:type="table" w:styleId="889" w:customStyle="1">
    <w:name w:val="Grid Table 6 Colorful"/>
    <w:basedOn w:val="797"/>
    <w:uiPriority w:val="99"/>
    <w:qFormat/>
    <w:pPr>
      <w:spacing w:after="0" w:line="240" w:lineRule="auto"/>
    </w:pPr>
    <w:tblPr/>
  </w:style>
  <w:style w:type="table" w:styleId="890" w:customStyle="1">
    <w:name w:val="Grid Table 7 Colorful"/>
    <w:basedOn w:val="797"/>
    <w:uiPriority w:val="99"/>
    <w:qFormat/>
    <w:pPr>
      <w:spacing w:after="0" w:line="240" w:lineRule="auto"/>
    </w:pPr>
    <w:tblPr/>
  </w:style>
  <w:style w:type="table" w:styleId="891" w:customStyle="1">
    <w:name w:val="List Table 1 Light"/>
    <w:basedOn w:val="797"/>
    <w:uiPriority w:val="99"/>
    <w:qFormat/>
    <w:pPr>
      <w:spacing w:after="0" w:line="240" w:lineRule="auto"/>
    </w:pPr>
    <w:tblPr/>
  </w:style>
  <w:style w:type="table" w:styleId="892" w:customStyle="1">
    <w:name w:val="List Table 2"/>
    <w:basedOn w:val="797"/>
    <w:uiPriority w:val="99"/>
    <w:qFormat/>
    <w:pPr>
      <w:spacing w:after="0" w:line="240" w:lineRule="auto"/>
    </w:pPr>
    <w:tblPr/>
  </w:style>
  <w:style w:type="table" w:styleId="893" w:customStyle="1">
    <w:name w:val="List Table 3"/>
    <w:basedOn w:val="797"/>
    <w:uiPriority w:val="99"/>
    <w:qFormat/>
    <w:pPr>
      <w:spacing w:after="0" w:line="240" w:lineRule="auto"/>
    </w:pPr>
    <w:tblPr/>
  </w:style>
  <w:style w:type="table" w:styleId="894" w:customStyle="1">
    <w:name w:val="List Table 4"/>
    <w:basedOn w:val="797"/>
    <w:uiPriority w:val="99"/>
    <w:qFormat/>
    <w:pPr>
      <w:spacing w:after="0" w:line="240" w:lineRule="auto"/>
    </w:pPr>
    <w:tblPr/>
  </w:style>
  <w:style w:type="table" w:styleId="895" w:customStyle="1">
    <w:name w:val="List Table 5 Dark"/>
    <w:basedOn w:val="797"/>
    <w:uiPriority w:val="99"/>
    <w:qFormat/>
    <w:pPr>
      <w:spacing w:after="0" w:line="240" w:lineRule="auto"/>
    </w:pPr>
    <w:tblPr/>
  </w:style>
  <w:style w:type="table" w:styleId="896" w:customStyle="1">
    <w:name w:val="List Table 6 Colorful"/>
    <w:basedOn w:val="797"/>
    <w:uiPriority w:val="99"/>
    <w:qFormat/>
    <w:pPr>
      <w:spacing w:after="0" w:line="240" w:lineRule="auto"/>
    </w:pPr>
    <w:tblPr/>
  </w:style>
  <w:style w:type="table" w:styleId="897" w:customStyle="1">
    <w:name w:val="List Table 7 Colorful"/>
    <w:basedOn w:val="797"/>
    <w:uiPriority w:val="99"/>
    <w:qFormat/>
    <w:pPr>
      <w:spacing w:after="0" w:line="240" w:lineRule="auto"/>
    </w:pPr>
    <w:tblPr/>
  </w:style>
  <w:style w:type="paragraph" w:styleId="898" w:customStyle="1">
    <w:name w:val="TOC Heading"/>
    <w:uiPriority w:val="39"/>
    <w:unhideWhenUsed/>
    <w:qFormat/>
    <w:rPr>
      <w:rFonts w:hint="default" w:ascii="Times New Roman" w:hAnsi="Times New Roman" w:eastAsia="宋体" w:cs="Times New Roman"/>
      <w:lang w:val="en-US" w:eastAsia="zh-CN" w:bidi="ar-SA"/>
    </w:rPr>
  </w:style>
  <w:style w:type="table" w:styleId="899" w:customStyle="1">
    <w:name w:val="无格式表格 11"/>
    <w:basedOn w:val="797"/>
    <w:uiPriority w:val="59"/>
    <w:qFormat/>
    <w:tblPr/>
  </w:style>
  <w:style w:type="table" w:styleId="900" w:customStyle="1">
    <w:name w:val="无格式表格 21"/>
    <w:basedOn w:val="797"/>
    <w:uiPriority w:val="59"/>
    <w:qFormat/>
    <w:tblPr/>
  </w:style>
  <w:style w:type="table" w:styleId="901" w:customStyle="1">
    <w:name w:val="无格式表格 31"/>
    <w:basedOn w:val="797"/>
    <w:uiPriority w:val="99"/>
    <w:qFormat/>
    <w:tblPr/>
  </w:style>
  <w:style w:type="table" w:styleId="902" w:customStyle="1">
    <w:name w:val="无格式表格 41"/>
    <w:basedOn w:val="797"/>
    <w:uiPriority w:val="99"/>
    <w:qFormat/>
    <w:tblPr/>
  </w:style>
  <w:style w:type="table" w:styleId="903" w:customStyle="1">
    <w:name w:val="无格式表格 51"/>
    <w:basedOn w:val="797"/>
    <w:uiPriority w:val="99"/>
    <w:qFormat/>
    <w:tblPr/>
  </w:style>
  <w:style w:type="table" w:styleId="904" w:customStyle="1">
    <w:name w:val="网格表 1 浅色1"/>
    <w:basedOn w:val="797"/>
    <w:uiPriority w:val="99"/>
    <w:qFormat/>
    <w:tblPr/>
  </w:style>
  <w:style w:type="table" w:styleId="905" w:customStyle="1">
    <w:name w:val="网格表 21"/>
    <w:basedOn w:val="797"/>
    <w:uiPriority w:val="99"/>
    <w:qFormat/>
    <w:tblPr/>
  </w:style>
  <w:style w:type="table" w:styleId="906" w:customStyle="1">
    <w:name w:val="网格表 31"/>
    <w:basedOn w:val="797"/>
    <w:uiPriority w:val="99"/>
    <w:qFormat/>
    <w:tblPr/>
  </w:style>
  <w:style w:type="table" w:styleId="907" w:customStyle="1">
    <w:name w:val="网格表 41"/>
    <w:basedOn w:val="797"/>
    <w:uiPriority w:val="59"/>
    <w:qFormat/>
    <w:tblPr/>
  </w:style>
  <w:style w:type="table" w:styleId="908" w:customStyle="1">
    <w:name w:val="网格表 5 深色1"/>
    <w:basedOn w:val="797"/>
    <w:uiPriority w:val="99"/>
    <w:qFormat/>
    <w:tblPr/>
  </w:style>
  <w:style w:type="table" w:styleId="909" w:customStyle="1">
    <w:name w:val="网格表 6 彩色1"/>
    <w:basedOn w:val="797"/>
    <w:uiPriority w:val="99"/>
    <w:qFormat/>
    <w:tblPr/>
  </w:style>
  <w:style w:type="table" w:styleId="910" w:customStyle="1">
    <w:name w:val="网格表 7 彩色1"/>
    <w:basedOn w:val="797"/>
    <w:uiPriority w:val="99"/>
    <w:qFormat/>
    <w:tblPr/>
  </w:style>
  <w:style w:type="table" w:styleId="911" w:customStyle="1">
    <w:name w:val="清单表 1 浅色1"/>
    <w:basedOn w:val="797"/>
    <w:uiPriority w:val="99"/>
    <w:qFormat/>
    <w:tblPr/>
  </w:style>
  <w:style w:type="table" w:styleId="912" w:customStyle="1">
    <w:name w:val="清单表 21"/>
    <w:basedOn w:val="797"/>
    <w:uiPriority w:val="99"/>
    <w:qFormat/>
    <w:tblPr/>
  </w:style>
  <w:style w:type="table" w:styleId="913" w:customStyle="1">
    <w:name w:val="清单表 31"/>
    <w:basedOn w:val="797"/>
    <w:uiPriority w:val="99"/>
    <w:qFormat/>
    <w:tblPr/>
  </w:style>
  <w:style w:type="table" w:styleId="914" w:customStyle="1">
    <w:name w:val="清单表 41"/>
    <w:basedOn w:val="797"/>
    <w:uiPriority w:val="99"/>
    <w:qFormat/>
    <w:tblPr/>
  </w:style>
  <w:style w:type="table" w:styleId="915" w:customStyle="1">
    <w:name w:val="清单表 5 深色1"/>
    <w:basedOn w:val="797"/>
    <w:uiPriority w:val="99"/>
    <w:qFormat/>
    <w:tblPr/>
  </w:style>
  <w:style w:type="table" w:styleId="916" w:customStyle="1">
    <w:name w:val="清单表 6 彩色1"/>
    <w:basedOn w:val="797"/>
    <w:uiPriority w:val="99"/>
    <w:qFormat/>
    <w:tblPr/>
  </w:style>
  <w:style w:type="table" w:styleId="917" w:customStyle="1">
    <w:name w:val="清单表 7 彩色1"/>
    <w:basedOn w:val="797"/>
    <w:uiPriority w:val="99"/>
    <w:qFormat/>
    <w:tbl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Normal_21"/>
    <w:basedOn w:val="920"/>
    <w:next w:val="920"/>
    <w:uiPriority w:val="0"/>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1" w:customStyle="1">
    <w:name w:val="正文_17"/>
    <w:next w:val="9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2" w:customStyle="1">
    <w:name w:val="标题 4_1"/>
    <w:basedOn w:val="921"/>
    <w:next w:val="92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3" w:customStyle="1">
    <w:name w:val="Heading 1 Char"/>
    <w:link w:val="744"/>
    <w:uiPriority w:val="9"/>
    <w:qFormat/>
    <w:rPr>
      <w:rFonts w:ascii="Arial" w:hAnsi="Arial" w:eastAsia="Arial" w:cs="Arial"/>
      <w:sz w:val="40"/>
      <w:szCs w:val="40"/>
    </w:rPr>
  </w:style>
  <w:style w:type="character" w:styleId="924" w:customStyle="1">
    <w:name w:val="Heading 2 Char"/>
    <w:link w:val="744"/>
    <w:uiPriority w:val="9"/>
    <w:qFormat/>
    <w:rPr>
      <w:rFonts w:ascii="Arial" w:hAnsi="Arial" w:eastAsia="Arial" w:cs="Arial"/>
      <w:sz w:val="34"/>
    </w:rPr>
  </w:style>
  <w:style w:type="character" w:styleId="925" w:customStyle="1">
    <w:name w:val="Heading 3 Char"/>
    <w:link w:val="744"/>
    <w:uiPriority w:val="9"/>
    <w:qFormat/>
    <w:rPr>
      <w:rFonts w:ascii="Arial" w:hAnsi="Arial" w:eastAsia="Arial" w:cs="Arial"/>
      <w:sz w:val="30"/>
      <w:szCs w:val="30"/>
    </w:rPr>
  </w:style>
  <w:style w:type="character" w:styleId="926" w:customStyle="1">
    <w:name w:val="Heading 4 Char"/>
    <w:link w:val="744"/>
    <w:uiPriority w:val="9"/>
    <w:qFormat/>
    <w:rPr>
      <w:rFonts w:ascii="Arial" w:hAnsi="Arial" w:eastAsia="Arial" w:cs="Arial"/>
      <w:b/>
      <w:bCs/>
      <w:sz w:val="26"/>
      <w:szCs w:val="26"/>
    </w:rPr>
  </w:style>
  <w:style w:type="character" w:styleId="927" w:customStyle="1">
    <w:name w:val="Heading 5 Char"/>
    <w:link w:val="744"/>
    <w:uiPriority w:val="9"/>
    <w:qFormat/>
    <w:rPr>
      <w:rFonts w:ascii="Arial" w:hAnsi="Arial" w:eastAsia="Arial" w:cs="Arial"/>
      <w:b/>
      <w:bCs/>
      <w:sz w:val="24"/>
      <w:szCs w:val="24"/>
    </w:rPr>
  </w:style>
  <w:style w:type="character" w:styleId="928" w:customStyle="1">
    <w:name w:val="Heading 6 Char"/>
    <w:link w:val="744"/>
    <w:uiPriority w:val="9"/>
    <w:qFormat/>
    <w:rPr>
      <w:rFonts w:ascii="Arial" w:hAnsi="Arial" w:eastAsia="Arial" w:cs="Arial"/>
      <w:b/>
      <w:bCs/>
      <w:sz w:val="22"/>
      <w:szCs w:val="22"/>
    </w:rPr>
  </w:style>
  <w:style w:type="character" w:styleId="929" w:customStyle="1">
    <w:name w:val="Heading 7 Char"/>
    <w:link w:val="744"/>
    <w:uiPriority w:val="9"/>
    <w:qFormat/>
    <w:rPr>
      <w:rFonts w:ascii="Arial" w:hAnsi="Arial" w:eastAsia="Arial" w:cs="Arial"/>
      <w:b/>
      <w:bCs/>
      <w:i/>
      <w:iCs/>
      <w:sz w:val="22"/>
      <w:szCs w:val="22"/>
    </w:rPr>
  </w:style>
  <w:style w:type="character" w:styleId="930" w:customStyle="1">
    <w:name w:val="Heading 8 Char"/>
    <w:link w:val="744"/>
    <w:uiPriority w:val="9"/>
    <w:qFormat/>
    <w:rPr>
      <w:rFonts w:ascii="Arial" w:hAnsi="Arial" w:eastAsia="Arial" w:cs="Arial"/>
      <w:i/>
      <w:iCs/>
      <w:sz w:val="22"/>
      <w:szCs w:val="22"/>
    </w:rPr>
  </w:style>
  <w:style w:type="character" w:styleId="931" w:customStyle="1">
    <w:name w:val="Heading 9 Char"/>
    <w:link w:val="744"/>
    <w:uiPriority w:val="9"/>
    <w:qFormat/>
    <w:rPr>
      <w:rFonts w:ascii="Arial" w:hAnsi="Arial" w:eastAsia="Arial" w:cs="Arial"/>
      <w:i/>
      <w:iCs/>
      <w:sz w:val="21"/>
      <w:szCs w:val="21"/>
    </w:rPr>
  </w:style>
  <w:style w:type="character" w:styleId="932" w:customStyle="1">
    <w:name w:val="Title Char"/>
    <w:link w:val="744"/>
    <w:uiPriority w:val="10"/>
    <w:qFormat/>
    <w:rPr>
      <w:sz w:val="48"/>
      <w:szCs w:val="48"/>
    </w:rPr>
  </w:style>
  <w:style w:type="character" w:styleId="933" w:customStyle="1">
    <w:name w:val="Subtitle Char"/>
    <w:link w:val="744"/>
    <w:uiPriority w:val="11"/>
    <w:qFormat/>
    <w:rPr>
      <w:sz w:val="24"/>
      <w:szCs w:val="24"/>
    </w:rPr>
  </w:style>
  <w:style w:type="character" w:styleId="934" w:customStyle="1">
    <w:name w:val="Quote Char"/>
    <w:link w:val="744"/>
    <w:uiPriority w:val="29"/>
    <w:qFormat/>
    <w:rPr>
      <w:i/>
    </w:rPr>
  </w:style>
  <w:style w:type="character" w:styleId="935" w:customStyle="1">
    <w:name w:val="Intense Quote Char"/>
    <w:link w:val="744"/>
    <w:uiPriority w:val="30"/>
    <w:qFormat/>
    <w:rPr>
      <w:i/>
    </w:rPr>
  </w:style>
  <w:style w:type="character" w:styleId="936" w:customStyle="1">
    <w:name w:val="Caption Char"/>
    <w:link w:val="744"/>
    <w:uiPriority w:val="99"/>
    <w:qFormat/>
  </w:style>
  <w:style w:type="character" w:styleId="937" w:customStyle="1">
    <w:name w:val="Footnote Text Char"/>
    <w:link w:val="744"/>
    <w:uiPriority w:val="99"/>
    <w:qFormat/>
    <w:rPr>
      <w:sz w:val="18"/>
    </w:rPr>
  </w:style>
  <w:style w:type="character" w:styleId="938" w:customStyle="1">
    <w:name w:val="Endnote Text Char"/>
    <w:link w:val="744"/>
    <w:uiPriority w:val="99"/>
    <w:qFormat/>
    <w:rPr>
      <w:sz w:val="20"/>
    </w:rPr>
  </w:style>
  <w:style w:type="paragraph" w:styleId="939" w:customStyle="1">
    <w:name w:val="列表段落"/>
    <w:basedOn w:val="744"/>
    <w:uiPriority w:val="0"/>
    <w:qFormat/>
    <w:pPr>
      <w:contextualSpacing/>
      <w:ind w:left="720"/>
    </w:pPr>
  </w:style>
  <w:style w:type="paragraph" w:styleId="940" w:customStyle="1">
    <w:name w:val="无间隔"/>
    <w:uiPriority w:val="99"/>
    <w:qFormat/>
    <w:rPr>
      <w:rFonts w:hint="default" w:ascii="Times New Roman" w:hAnsi="Times New Roman" w:eastAsia="宋体" w:cs="Times New Roman"/>
      <w:lang w:val="en-US" w:eastAsia="zh-CN" w:bidi="ar-SA"/>
    </w:rPr>
  </w:style>
  <w:style w:type="paragraph" w:styleId="941" w:customStyle="1">
    <w:name w:val="引用"/>
    <w:basedOn w:val="744"/>
    <w:next w:val="744"/>
    <w:link w:val="942"/>
    <w:uiPriority w:val="29"/>
    <w:qFormat/>
    <w:pPr>
      <w:ind w:left="720" w:right="720"/>
    </w:pPr>
    <w:rPr>
      <w:i/>
    </w:rPr>
  </w:style>
  <w:style w:type="character" w:styleId="942" w:customStyle="1">
    <w:name w:val="引用 字符"/>
    <w:link w:val="941"/>
    <w:uiPriority w:val="29"/>
    <w:qFormat/>
    <w:rPr>
      <w:i/>
    </w:rPr>
  </w:style>
  <w:style w:type="paragraph" w:styleId="943" w:customStyle="1">
    <w:name w:val="明显引用"/>
    <w:basedOn w:val="744"/>
    <w:next w:val="744"/>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character" w:styleId="945" w:customStyle="1">
    <w:name w:val="Header Char"/>
    <w:link w:val="744"/>
    <w:uiPriority w:val="99"/>
    <w:qFormat/>
  </w:style>
  <w:style w:type="character" w:styleId="946" w:customStyle="1">
    <w:name w:val="Footer Char"/>
    <w:link w:val="744"/>
    <w:uiPriority w:val="99"/>
    <w:qFormat/>
  </w:style>
  <w:style w:type="table" w:styleId="947" w:customStyle="1">
    <w:name w:val="Table Grid Light"/>
    <w:basedOn w:val="797"/>
    <w:uiPriority w:val="59"/>
    <w:qFormat/>
    <w:tblPr/>
  </w:style>
  <w:style w:type="table" w:styleId="948" w:customStyle="1">
    <w:name w:val="Grid Table 1 Light - Accent 1"/>
    <w:basedOn w:val="797"/>
    <w:uiPriority w:val="99"/>
    <w:qFormat/>
    <w:tblPr/>
  </w:style>
  <w:style w:type="table" w:styleId="949" w:customStyle="1">
    <w:name w:val="Grid Table 1 Light - Accent 2"/>
    <w:basedOn w:val="797"/>
    <w:uiPriority w:val="99"/>
    <w:qFormat/>
    <w:tblPr/>
  </w:style>
  <w:style w:type="table" w:styleId="950" w:customStyle="1">
    <w:name w:val="Grid Table 1 Light - Accent 3"/>
    <w:basedOn w:val="797"/>
    <w:uiPriority w:val="99"/>
    <w:qFormat/>
    <w:tblPr/>
  </w:style>
  <w:style w:type="table" w:styleId="951" w:customStyle="1">
    <w:name w:val="Grid Table 1 Light - Accent 4"/>
    <w:basedOn w:val="797"/>
    <w:uiPriority w:val="99"/>
    <w:qFormat/>
    <w:tblPr/>
  </w:style>
  <w:style w:type="table" w:styleId="952" w:customStyle="1">
    <w:name w:val="Grid Table 1 Light - Accent 5"/>
    <w:basedOn w:val="797"/>
    <w:uiPriority w:val="99"/>
    <w:qFormat/>
    <w:tblPr/>
  </w:style>
  <w:style w:type="table" w:styleId="953" w:customStyle="1">
    <w:name w:val="Grid Table 1 Light - Accent 6"/>
    <w:basedOn w:val="797"/>
    <w:uiPriority w:val="99"/>
    <w:qFormat/>
    <w:tblPr/>
  </w:style>
  <w:style w:type="table" w:styleId="954" w:customStyle="1">
    <w:name w:val="Grid Table 2 - Accent 1"/>
    <w:basedOn w:val="797"/>
    <w:uiPriority w:val="99"/>
    <w:qFormat/>
    <w:tblPr/>
  </w:style>
  <w:style w:type="table" w:styleId="955" w:customStyle="1">
    <w:name w:val="Grid Table 2 - Accent 2"/>
    <w:basedOn w:val="797"/>
    <w:uiPriority w:val="99"/>
    <w:qFormat/>
    <w:tblPr/>
  </w:style>
  <w:style w:type="table" w:styleId="956" w:customStyle="1">
    <w:name w:val="Grid Table 2 - Accent 3"/>
    <w:basedOn w:val="797"/>
    <w:uiPriority w:val="99"/>
    <w:qFormat/>
    <w:tblPr/>
  </w:style>
  <w:style w:type="table" w:styleId="957" w:customStyle="1">
    <w:name w:val="Grid Table 2 - Accent 4"/>
    <w:basedOn w:val="797"/>
    <w:uiPriority w:val="99"/>
    <w:qFormat/>
    <w:tblPr/>
  </w:style>
  <w:style w:type="table" w:styleId="958" w:customStyle="1">
    <w:name w:val="Grid Table 2 - Accent 5"/>
    <w:basedOn w:val="797"/>
    <w:uiPriority w:val="99"/>
    <w:qFormat/>
    <w:tblPr/>
  </w:style>
  <w:style w:type="table" w:styleId="959" w:customStyle="1">
    <w:name w:val="Grid Table 2 - Accent 6"/>
    <w:basedOn w:val="797"/>
    <w:uiPriority w:val="99"/>
    <w:qFormat/>
    <w:tblPr/>
  </w:style>
  <w:style w:type="table" w:styleId="960" w:customStyle="1">
    <w:name w:val="Grid Table 3 - Accent 1"/>
    <w:basedOn w:val="797"/>
    <w:uiPriority w:val="99"/>
    <w:qFormat/>
    <w:tblPr/>
  </w:style>
  <w:style w:type="table" w:styleId="961" w:customStyle="1">
    <w:name w:val="Grid Table 3 - Accent 2"/>
    <w:basedOn w:val="797"/>
    <w:uiPriority w:val="99"/>
    <w:qFormat/>
    <w:tblPr/>
  </w:style>
  <w:style w:type="table" w:styleId="962" w:customStyle="1">
    <w:name w:val="Grid Table 3 - Accent 3"/>
    <w:basedOn w:val="797"/>
    <w:uiPriority w:val="99"/>
    <w:qFormat/>
    <w:tblPr/>
  </w:style>
  <w:style w:type="table" w:styleId="963" w:customStyle="1">
    <w:name w:val="Grid Table 3 - Accent 4"/>
    <w:basedOn w:val="797"/>
    <w:uiPriority w:val="99"/>
    <w:qFormat/>
    <w:tblPr/>
  </w:style>
  <w:style w:type="table" w:styleId="964" w:customStyle="1">
    <w:name w:val="Grid Table 3 - Accent 5"/>
    <w:basedOn w:val="797"/>
    <w:uiPriority w:val="99"/>
    <w:qFormat/>
    <w:tblPr/>
  </w:style>
  <w:style w:type="table" w:styleId="965" w:customStyle="1">
    <w:name w:val="Grid Table 3 - Accent 6"/>
    <w:basedOn w:val="797"/>
    <w:uiPriority w:val="99"/>
    <w:qFormat/>
    <w:tblPr/>
  </w:style>
  <w:style w:type="table" w:styleId="966" w:customStyle="1">
    <w:name w:val="Grid Table 4 - Accent 1"/>
    <w:basedOn w:val="797"/>
    <w:uiPriority w:val="59"/>
    <w:qFormat/>
    <w:tblPr/>
  </w:style>
  <w:style w:type="table" w:styleId="967" w:customStyle="1">
    <w:name w:val="Grid Table 4 - Accent 2"/>
    <w:basedOn w:val="797"/>
    <w:uiPriority w:val="59"/>
    <w:qFormat/>
    <w:tblPr/>
  </w:style>
  <w:style w:type="table" w:styleId="968" w:customStyle="1">
    <w:name w:val="Grid Table 4 - Accent 3"/>
    <w:basedOn w:val="797"/>
    <w:uiPriority w:val="59"/>
    <w:qFormat/>
    <w:tblPr/>
  </w:style>
  <w:style w:type="table" w:styleId="969" w:customStyle="1">
    <w:name w:val="Grid Table 4 - Accent 4"/>
    <w:basedOn w:val="797"/>
    <w:uiPriority w:val="59"/>
    <w:qFormat/>
    <w:tblPr/>
  </w:style>
  <w:style w:type="table" w:styleId="970" w:customStyle="1">
    <w:name w:val="Grid Table 4 - Accent 5"/>
    <w:basedOn w:val="797"/>
    <w:uiPriority w:val="59"/>
    <w:qFormat/>
    <w:tblPr/>
  </w:style>
  <w:style w:type="table" w:styleId="971" w:customStyle="1">
    <w:name w:val="Grid Table 4 - Accent 6"/>
    <w:basedOn w:val="797"/>
    <w:uiPriority w:val="59"/>
    <w:qFormat/>
    <w:tblPr/>
  </w:style>
  <w:style w:type="table" w:styleId="972" w:customStyle="1">
    <w:name w:val="Grid Table 5 Dark- Accent 1"/>
    <w:basedOn w:val="797"/>
    <w:uiPriority w:val="99"/>
    <w:qFormat/>
    <w:tblPr/>
  </w:style>
  <w:style w:type="table" w:styleId="973" w:customStyle="1">
    <w:name w:val="Grid Table 5 Dark - Accent 2"/>
    <w:basedOn w:val="797"/>
    <w:uiPriority w:val="99"/>
    <w:qFormat/>
    <w:tblPr/>
  </w:style>
  <w:style w:type="table" w:styleId="974" w:customStyle="1">
    <w:name w:val="Grid Table 5 Dark - Accent 3"/>
    <w:basedOn w:val="797"/>
    <w:uiPriority w:val="99"/>
    <w:qFormat/>
    <w:tblPr/>
  </w:style>
  <w:style w:type="table" w:styleId="975" w:customStyle="1">
    <w:name w:val="Grid Table 5 Dark- Accent 4"/>
    <w:basedOn w:val="797"/>
    <w:uiPriority w:val="99"/>
    <w:qFormat/>
    <w:tblPr/>
  </w:style>
  <w:style w:type="table" w:styleId="976" w:customStyle="1">
    <w:name w:val="Grid Table 5 Dark - Accent 5"/>
    <w:basedOn w:val="797"/>
    <w:uiPriority w:val="99"/>
    <w:qFormat/>
    <w:tblPr/>
  </w:style>
  <w:style w:type="table" w:styleId="977" w:customStyle="1">
    <w:name w:val="Grid Table 5 Dark - Accent 6"/>
    <w:basedOn w:val="797"/>
    <w:uiPriority w:val="99"/>
    <w:qFormat/>
    <w:tblPr/>
  </w:style>
  <w:style w:type="table" w:styleId="978" w:customStyle="1">
    <w:name w:val="Grid Table 6 Colorful - Accent 1"/>
    <w:basedOn w:val="797"/>
    <w:uiPriority w:val="99"/>
    <w:qFormat/>
    <w:tblPr/>
  </w:style>
  <w:style w:type="table" w:styleId="979" w:customStyle="1">
    <w:name w:val="Grid Table 6 Colorful - Accent 2"/>
    <w:basedOn w:val="797"/>
    <w:uiPriority w:val="99"/>
    <w:qFormat/>
    <w:tblPr/>
  </w:style>
  <w:style w:type="table" w:styleId="980" w:customStyle="1">
    <w:name w:val="Grid Table 6 Colorful - Accent 3"/>
    <w:basedOn w:val="797"/>
    <w:uiPriority w:val="99"/>
    <w:qFormat/>
    <w:tblPr/>
  </w:style>
  <w:style w:type="table" w:styleId="981" w:customStyle="1">
    <w:name w:val="Grid Table 6 Colorful - Accent 4"/>
    <w:basedOn w:val="797"/>
    <w:uiPriority w:val="99"/>
    <w:qFormat/>
    <w:tblPr/>
  </w:style>
  <w:style w:type="table" w:styleId="982" w:customStyle="1">
    <w:name w:val="Grid Table 6 Colorful - Accent 5"/>
    <w:basedOn w:val="797"/>
    <w:uiPriority w:val="99"/>
    <w:qFormat/>
    <w:tblPr/>
  </w:style>
  <w:style w:type="table" w:styleId="983" w:customStyle="1">
    <w:name w:val="Grid Table 6 Colorful - Accent 6"/>
    <w:basedOn w:val="797"/>
    <w:uiPriority w:val="99"/>
    <w:qFormat/>
    <w:tblPr/>
  </w:style>
  <w:style w:type="table" w:styleId="984" w:customStyle="1">
    <w:name w:val="Grid Table 7 Colorful - Accent 1"/>
    <w:basedOn w:val="797"/>
    <w:uiPriority w:val="99"/>
    <w:qFormat/>
    <w:tblPr/>
  </w:style>
  <w:style w:type="table" w:styleId="985" w:customStyle="1">
    <w:name w:val="Grid Table 7 Colorful - Accent 2"/>
    <w:basedOn w:val="797"/>
    <w:uiPriority w:val="99"/>
    <w:qFormat/>
    <w:tblPr/>
  </w:style>
  <w:style w:type="table" w:styleId="986" w:customStyle="1">
    <w:name w:val="Grid Table 7 Colorful - Accent 3"/>
    <w:basedOn w:val="797"/>
    <w:uiPriority w:val="99"/>
    <w:qFormat/>
    <w:tblPr/>
  </w:style>
  <w:style w:type="table" w:styleId="987" w:customStyle="1">
    <w:name w:val="Grid Table 7 Colorful - Accent 4"/>
    <w:basedOn w:val="797"/>
    <w:uiPriority w:val="99"/>
    <w:qFormat/>
    <w:tblPr/>
  </w:style>
  <w:style w:type="table" w:styleId="988" w:customStyle="1">
    <w:name w:val="Grid Table 7 Colorful - Accent 5"/>
    <w:basedOn w:val="797"/>
    <w:uiPriority w:val="99"/>
    <w:qFormat/>
    <w:tblPr/>
  </w:style>
  <w:style w:type="table" w:styleId="989" w:customStyle="1">
    <w:name w:val="Grid Table 7 Colorful - Accent 6"/>
    <w:basedOn w:val="797"/>
    <w:uiPriority w:val="99"/>
    <w:qFormat/>
    <w:tblPr/>
  </w:style>
  <w:style w:type="table" w:styleId="990" w:customStyle="1">
    <w:name w:val="List Table 1 Light - Accent 1"/>
    <w:basedOn w:val="797"/>
    <w:uiPriority w:val="99"/>
    <w:qFormat/>
    <w:tblPr/>
  </w:style>
  <w:style w:type="table" w:styleId="991" w:customStyle="1">
    <w:name w:val="List Table 1 Light - Accent 2"/>
    <w:basedOn w:val="797"/>
    <w:uiPriority w:val="99"/>
    <w:qFormat/>
    <w:tblPr/>
  </w:style>
  <w:style w:type="table" w:styleId="992" w:customStyle="1">
    <w:name w:val="List Table 1 Light - Accent 3"/>
    <w:basedOn w:val="797"/>
    <w:uiPriority w:val="99"/>
    <w:qFormat/>
    <w:tblPr/>
  </w:style>
  <w:style w:type="table" w:styleId="993" w:customStyle="1">
    <w:name w:val="List Table 1 Light - Accent 4"/>
    <w:basedOn w:val="797"/>
    <w:uiPriority w:val="99"/>
    <w:qFormat/>
    <w:tblPr/>
  </w:style>
  <w:style w:type="table" w:styleId="994" w:customStyle="1">
    <w:name w:val="List Table 1 Light - Accent 5"/>
    <w:basedOn w:val="797"/>
    <w:uiPriority w:val="99"/>
    <w:qFormat/>
    <w:tblPr/>
  </w:style>
  <w:style w:type="table" w:styleId="995" w:customStyle="1">
    <w:name w:val="List Table 1 Light - Accent 6"/>
    <w:basedOn w:val="797"/>
    <w:uiPriority w:val="99"/>
    <w:qFormat/>
    <w:tblPr/>
  </w:style>
  <w:style w:type="table" w:styleId="996" w:customStyle="1">
    <w:name w:val="List Table 2 - Accent 1"/>
    <w:basedOn w:val="797"/>
    <w:uiPriority w:val="99"/>
    <w:qFormat/>
    <w:tblPr/>
  </w:style>
  <w:style w:type="table" w:styleId="997" w:customStyle="1">
    <w:name w:val="List Table 2 - Accent 2"/>
    <w:basedOn w:val="797"/>
    <w:uiPriority w:val="99"/>
    <w:qFormat/>
    <w:tblPr/>
  </w:style>
  <w:style w:type="table" w:styleId="998" w:customStyle="1">
    <w:name w:val="List Table 2 - Accent 3"/>
    <w:basedOn w:val="797"/>
    <w:uiPriority w:val="99"/>
    <w:qFormat/>
    <w:tblPr/>
  </w:style>
  <w:style w:type="table" w:styleId="999" w:customStyle="1">
    <w:name w:val="List Table 2 - Accent 4"/>
    <w:basedOn w:val="797"/>
    <w:uiPriority w:val="99"/>
    <w:qFormat/>
    <w:tblPr/>
  </w:style>
  <w:style w:type="table" w:styleId="1000" w:customStyle="1">
    <w:name w:val="List Table 2 - Accent 5"/>
    <w:basedOn w:val="797"/>
    <w:uiPriority w:val="99"/>
    <w:qFormat/>
    <w:tblPr/>
  </w:style>
  <w:style w:type="table" w:styleId="1001" w:customStyle="1">
    <w:name w:val="List Table 2 - Accent 6"/>
    <w:basedOn w:val="797"/>
    <w:uiPriority w:val="99"/>
    <w:qFormat/>
    <w:tblPr/>
  </w:style>
  <w:style w:type="table" w:styleId="1002" w:customStyle="1">
    <w:name w:val="List Table 3 - Accent 1"/>
    <w:basedOn w:val="797"/>
    <w:uiPriority w:val="99"/>
    <w:qFormat/>
    <w:tblPr/>
  </w:style>
  <w:style w:type="table" w:styleId="1003" w:customStyle="1">
    <w:name w:val="List Table 3 - Accent 2"/>
    <w:basedOn w:val="797"/>
    <w:uiPriority w:val="99"/>
    <w:qFormat/>
    <w:tblPr/>
  </w:style>
  <w:style w:type="table" w:styleId="1004" w:customStyle="1">
    <w:name w:val="List Table 3 - Accent 3"/>
    <w:basedOn w:val="797"/>
    <w:uiPriority w:val="99"/>
    <w:qFormat/>
    <w:tblPr/>
  </w:style>
  <w:style w:type="table" w:styleId="1005" w:customStyle="1">
    <w:name w:val="List Table 3 - Accent 4"/>
    <w:basedOn w:val="797"/>
    <w:uiPriority w:val="99"/>
    <w:qFormat/>
    <w:tblPr/>
  </w:style>
  <w:style w:type="table" w:styleId="1006" w:customStyle="1">
    <w:name w:val="List Table 3 - Accent 5"/>
    <w:basedOn w:val="797"/>
    <w:uiPriority w:val="99"/>
    <w:qFormat/>
    <w:tblPr/>
  </w:style>
  <w:style w:type="table" w:styleId="1007" w:customStyle="1">
    <w:name w:val="List Table 3 - Accent 6"/>
    <w:basedOn w:val="797"/>
    <w:uiPriority w:val="99"/>
    <w:qFormat/>
    <w:tblPr/>
  </w:style>
  <w:style w:type="table" w:styleId="1008" w:customStyle="1">
    <w:name w:val="List Table 4 - Accent 1"/>
    <w:basedOn w:val="797"/>
    <w:uiPriority w:val="99"/>
    <w:qFormat/>
    <w:tblPr/>
  </w:style>
  <w:style w:type="table" w:styleId="1009" w:customStyle="1">
    <w:name w:val="List Table 4 - Accent 2"/>
    <w:basedOn w:val="797"/>
    <w:uiPriority w:val="99"/>
    <w:qFormat/>
    <w:tblPr/>
  </w:style>
  <w:style w:type="table" w:styleId="1010" w:customStyle="1">
    <w:name w:val="List Table 4 - Accent 3"/>
    <w:basedOn w:val="797"/>
    <w:uiPriority w:val="99"/>
    <w:qFormat/>
    <w:tblPr/>
  </w:style>
  <w:style w:type="table" w:styleId="1011" w:customStyle="1">
    <w:name w:val="List Table 4 - Accent 4"/>
    <w:basedOn w:val="797"/>
    <w:uiPriority w:val="99"/>
    <w:qFormat/>
    <w:tblPr/>
  </w:style>
  <w:style w:type="table" w:styleId="1012" w:customStyle="1">
    <w:name w:val="List Table 4 - Accent 5"/>
    <w:basedOn w:val="797"/>
    <w:uiPriority w:val="99"/>
    <w:qFormat/>
    <w:tblPr/>
  </w:style>
  <w:style w:type="table" w:styleId="1013" w:customStyle="1">
    <w:name w:val="List Table 4 - Accent 6"/>
    <w:basedOn w:val="797"/>
    <w:uiPriority w:val="99"/>
    <w:qFormat/>
    <w:tblPr/>
  </w:style>
  <w:style w:type="table" w:styleId="1014" w:customStyle="1">
    <w:name w:val="List Table 5 Dark - Accent 1"/>
    <w:basedOn w:val="797"/>
    <w:uiPriority w:val="99"/>
    <w:qFormat/>
    <w:tblPr/>
  </w:style>
  <w:style w:type="table" w:styleId="1015" w:customStyle="1">
    <w:name w:val="List Table 5 Dark - Accent 2"/>
    <w:basedOn w:val="797"/>
    <w:uiPriority w:val="99"/>
    <w:qFormat/>
    <w:tblPr/>
  </w:style>
  <w:style w:type="table" w:styleId="1016" w:customStyle="1">
    <w:name w:val="List Table 5 Dark - Accent 3"/>
    <w:basedOn w:val="797"/>
    <w:uiPriority w:val="99"/>
    <w:qFormat/>
    <w:tblPr/>
  </w:style>
  <w:style w:type="table" w:styleId="1017" w:customStyle="1">
    <w:name w:val="List Table 5 Dark - Accent 4"/>
    <w:basedOn w:val="797"/>
    <w:uiPriority w:val="99"/>
    <w:qFormat/>
    <w:tblPr/>
  </w:style>
  <w:style w:type="table" w:styleId="1018" w:customStyle="1">
    <w:name w:val="List Table 5 Dark - Accent 5"/>
    <w:basedOn w:val="797"/>
    <w:uiPriority w:val="99"/>
    <w:qFormat/>
    <w:tblPr/>
  </w:style>
  <w:style w:type="table" w:styleId="1019" w:customStyle="1">
    <w:name w:val="List Table 5 Dark - Accent 6"/>
    <w:basedOn w:val="797"/>
    <w:uiPriority w:val="99"/>
    <w:qFormat/>
    <w:tblPr/>
  </w:style>
  <w:style w:type="table" w:styleId="1020" w:customStyle="1">
    <w:name w:val="List Table 6 Colorful - Accent 1"/>
    <w:basedOn w:val="797"/>
    <w:uiPriority w:val="99"/>
    <w:qFormat/>
    <w:tblPr/>
  </w:style>
  <w:style w:type="table" w:styleId="1021" w:customStyle="1">
    <w:name w:val="List Table 6 Colorful - Accent 2"/>
    <w:basedOn w:val="797"/>
    <w:uiPriority w:val="99"/>
    <w:qFormat/>
    <w:tblPr/>
  </w:style>
  <w:style w:type="table" w:styleId="1022" w:customStyle="1">
    <w:name w:val="List Table 6 Colorful - Accent 3"/>
    <w:basedOn w:val="797"/>
    <w:uiPriority w:val="99"/>
    <w:qFormat/>
    <w:tblPr/>
  </w:style>
  <w:style w:type="table" w:styleId="1023" w:customStyle="1">
    <w:name w:val="List Table 6 Colorful - Accent 4"/>
    <w:basedOn w:val="797"/>
    <w:uiPriority w:val="99"/>
    <w:qFormat/>
    <w:tblPr/>
  </w:style>
  <w:style w:type="table" w:styleId="1024" w:customStyle="1">
    <w:name w:val="List Table 6 Colorful - Accent 5"/>
    <w:basedOn w:val="797"/>
    <w:uiPriority w:val="99"/>
    <w:qFormat/>
    <w:tblPr/>
  </w:style>
  <w:style w:type="table" w:styleId="1025" w:customStyle="1">
    <w:name w:val="List Table 6 Colorful - Accent 6"/>
    <w:basedOn w:val="797"/>
    <w:uiPriority w:val="99"/>
    <w:qFormat/>
    <w:tblPr/>
  </w:style>
  <w:style w:type="table" w:styleId="1026" w:customStyle="1">
    <w:name w:val="List Table 7 Colorful - Accent 1"/>
    <w:basedOn w:val="797"/>
    <w:uiPriority w:val="99"/>
    <w:qFormat/>
    <w:tblPr/>
  </w:style>
  <w:style w:type="table" w:styleId="1027" w:customStyle="1">
    <w:name w:val="List Table 7 Colorful - Accent 2"/>
    <w:basedOn w:val="797"/>
    <w:uiPriority w:val="99"/>
    <w:qFormat/>
    <w:tblPr/>
  </w:style>
  <w:style w:type="table" w:styleId="1028" w:customStyle="1">
    <w:name w:val="List Table 7 Colorful - Accent 3"/>
    <w:basedOn w:val="797"/>
    <w:uiPriority w:val="99"/>
    <w:qFormat/>
    <w:tblPr/>
  </w:style>
  <w:style w:type="table" w:styleId="1029" w:customStyle="1">
    <w:name w:val="List Table 7 Colorful - Accent 4"/>
    <w:basedOn w:val="797"/>
    <w:uiPriority w:val="99"/>
    <w:qFormat/>
    <w:tblPr/>
  </w:style>
  <w:style w:type="table" w:styleId="1030" w:customStyle="1">
    <w:name w:val="List Table 7 Colorful - Accent 5"/>
    <w:basedOn w:val="797"/>
    <w:uiPriority w:val="99"/>
    <w:qFormat/>
    <w:tblPr/>
  </w:style>
  <w:style w:type="table" w:styleId="1031" w:customStyle="1">
    <w:name w:val="List Table 7 Colorful - Accent 6"/>
    <w:basedOn w:val="797"/>
    <w:uiPriority w:val="99"/>
    <w:qFormat/>
    <w:tblPr/>
  </w:style>
  <w:style w:type="table" w:styleId="1032" w:customStyle="1">
    <w:name w:val="Lined - Accent"/>
    <w:basedOn w:val="797"/>
    <w:uiPriority w:val="99"/>
    <w:qFormat/>
    <w:rPr>
      <w:color w:val="404040"/>
    </w:rPr>
    <w:tblPr/>
  </w:style>
  <w:style w:type="table" w:styleId="1033" w:customStyle="1">
    <w:name w:val="Lined - Accent 1"/>
    <w:basedOn w:val="797"/>
    <w:uiPriority w:val="99"/>
    <w:qFormat/>
    <w:rPr>
      <w:color w:val="404040"/>
    </w:rPr>
    <w:tblPr/>
  </w:style>
  <w:style w:type="table" w:styleId="1034" w:customStyle="1">
    <w:name w:val="Lined - Accent 2"/>
    <w:basedOn w:val="797"/>
    <w:uiPriority w:val="99"/>
    <w:qFormat/>
    <w:rPr>
      <w:color w:val="404040"/>
    </w:rPr>
    <w:tblPr/>
  </w:style>
  <w:style w:type="table" w:styleId="1035" w:customStyle="1">
    <w:name w:val="Lined - Accent 3"/>
    <w:basedOn w:val="797"/>
    <w:uiPriority w:val="99"/>
    <w:qFormat/>
    <w:rPr>
      <w:color w:val="404040"/>
    </w:rPr>
    <w:tblPr/>
  </w:style>
  <w:style w:type="table" w:styleId="1036" w:customStyle="1">
    <w:name w:val="Lined - Accent 4"/>
    <w:basedOn w:val="797"/>
    <w:uiPriority w:val="99"/>
    <w:qFormat/>
    <w:rPr>
      <w:color w:val="404040"/>
    </w:rPr>
    <w:tblPr/>
  </w:style>
  <w:style w:type="table" w:styleId="1037" w:customStyle="1">
    <w:name w:val="Lined - Accent 5"/>
    <w:basedOn w:val="797"/>
    <w:uiPriority w:val="99"/>
    <w:qFormat/>
    <w:rPr>
      <w:color w:val="404040"/>
    </w:rPr>
    <w:tblPr/>
  </w:style>
  <w:style w:type="table" w:styleId="1038" w:customStyle="1">
    <w:name w:val="Lined - Accent 6"/>
    <w:basedOn w:val="797"/>
    <w:uiPriority w:val="99"/>
    <w:qFormat/>
    <w:rPr>
      <w:color w:val="404040"/>
    </w:rPr>
    <w:tblPr/>
  </w:style>
  <w:style w:type="table" w:styleId="1039" w:customStyle="1">
    <w:name w:val="Bordered &amp; Lined - Accent"/>
    <w:basedOn w:val="797"/>
    <w:uiPriority w:val="99"/>
    <w:qFormat/>
    <w:rPr>
      <w:color w:val="404040"/>
    </w:rPr>
    <w:tblPr/>
  </w:style>
  <w:style w:type="table" w:styleId="1040" w:customStyle="1">
    <w:name w:val="Bordered &amp; Lined - Accent 1"/>
    <w:basedOn w:val="797"/>
    <w:uiPriority w:val="99"/>
    <w:qFormat/>
    <w:rPr>
      <w:color w:val="404040"/>
    </w:rPr>
    <w:tblPr/>
  </w:style>
  <w:style w:type="table" w:styleId="1041" w:customStyle="1">
    <w:name w:val="Bordered &amp; Lined - Accent 2"/>
    <w:basedOn w:val="797"/>
    <w:uiPriority w:val="99"/>
    <w:qFormat/>
    <w:rPr>
      <w:color w:val="404040"/>
    </w:rPr>
    <w:tblPr/>
  </w:style>
  <w:style w:type="table" w:styleId="1042" w:customStyle="1">
    <w:name w:val="Bordered &amp; Lined - Accent 3"/>
    <w:basedOn w:val="797"/>
    <w:uiPriority w:val="99"/>
    <w:qFormat/>
    <w:rPr>
      <w:color w:val="404040"/>
    </w:rPr>
    <w:tblPr/>
  </w:style>
  <w:style w:type="table" w:styleId="1043" w:customStyle="1">
    <w:name w:val="Bordered &amp; Lined - Accent 4"/>
    <w:basedOn w:val="797"/>
    <w:uiPriority w:val="99"/>
    <w:qFormat/>
    <w:rPr>
      <w:color w:val="404040"/>
    </w:rPr>
    <w:tblPr/>
  </w:style>
  <w:style w:type="table" w:styleId="1044" w:customStyle="1">
    <w:name w:val="Bordered &amp; Lined - Accent 5"/>
    <w:basedOn w:val="797"/>
    <w:uiPriority w:val="99"/>
    <w:qFormat/>
    <w:rPr>
      <w:color w:val="404040"/>
    </w:rPr>
    <w:tblPr/>
  </w:style>
  <w:style w:type="table" w:styleId="1045" w:customStyle="1">
    <w:name w:val="Bordered &amp; Lined - Accent 6"/>
    <w:basedOn w:val="797"/>
    <w:uiPriority w:val="99"/>
    <w:qFormat/>
    <w:rPr>
      <w:color w:val="404040"/>
    </w:rPr>
    <w:tblPr/>
  </w:style>
  <w:style w:type="table" w:styleId="1046" w:customStyle="1">
    <w:name w:val="Bordered"/>
    <w:basedOn w:val="797"/>
    <w:uiPriority w:val="99"/>
    <w:qFormat/>
    <w:tblPr/>
  </w:style>
  <w:style w:type="table" w:styleId="1047" w:customStyle="1">
    <w:name w:val="Bordered - Accent 1"/>
    <w:basedOn w:val="797"/>
    <w:uiPriority w:val="99"/>
    <w:qFormat/>
    <w:tblPr/>
  </w:style>
  <w:style w:type="table" w:styleId="1048" w:customStyle="1">
    <w:name w:val="Bordered - Accent 2"/>
    <w:basedOn w:val="797"/>
    <w:uiPriority w:val="99"/>
    <w:qFormat/>
    <w:tblPr/>
  </w:style>
  <w:style w:type="table" w:styleId="1049" w:customStyle="1">
    <w:name w:val="Bordered - Accent 3"/>
    <w:basedOn w:val="797"/>
    <w:uiPriority w:val="99"/>
    <w:qFormat/>
    <w:tblPr/>
  </w:style>
  <w:style w:type="table" w:styleId="1050" w:customStyle="1">
    <w:name w:val="Bordered - Accent 4"/>
    <w:basedOn w:val="797"/>
    <w:uiPriority w:val="99"/>
    <w:qFormat/>
    <w:tblPr/>
  </w:style>
  <w:style w:type="table" w:styleId="1051" w:customStyle="1">
    <w:name w:val="Bordered - Accent 5"/>
    <w:basedOn w:val="797"/>
    <w:uiPriority w:val="99"/>
    <w:qFormat/>
    <w:tblPr/>
  </w:style>
  <w:style w:type="table" w:styleId="1052" w:customStyle="1">
    <w:name w:val="Bordered - Accent 6"/>
    <w:basedOn w:val="797"/>
    <w:uiPriority w:val="99"/>
    <w:qFormat/>
    <w:tblPr/>
  </w:style>
  <w:style w:type="paragraph" w:styleId="1053" w:customStyle="1">
    <w:name w:val="TOC 标题11"/>
    <w:uiPriority w:val="39"/>
    <w:unhideWhenUsed/>
    <w:qFormat/>
    <w:rPr>
      <w:rFonts w:hint="default" w:ascii="Times New Roman" w:hAnsi="Times New Roman" w:eastAsia="宋体" w:cs="Times New Roman"/>
      <w:lang w:val="en-US" w:eastAsia="zh-CN" w:bidi="ar-SA"/>
    </w:rPr>
  </w:style>
  <w:style w:type="paragraph" w:styleId="1054" w:customStyle="1">
    <w:name w:val="Normal_0"/>
    <w:uiPriority w:val="0"/>
    <w:qFormat/>
    <w:rPr>
      <w:rFonts w:hint="default" w:ascii="黑体" w:hAnsi="黑体" w:eastAsia="黑体" w:cs="Times New Roman"/>
      <w:b/>
      <w:sz w:val="32"/>
      <w:szCs w:val="24"/>
      <w:lang w:val="en-US" w:eastAsia="zh-CN" w:bidi="ar-SA"/>
    </w:rPr>
  </w:style>
  <w:style w:type="paragraph" w:styleId="1055" w:customStyle="1">
    <w:name w:val="正文1"/>
    <w:next w:val="788"/>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0_3"/>
    <w:uiPriority w:val="0"/>
    <w:qFormat/>
    <w:rPr>
      <w:rFonts w:hint="default" w:ascii="黑体" w:hAnsi="黑体" w:eastAsia="黑体" w:cs="黑体"/>
      <w:b/>
      <w:sz w:val="32"/>
      <w:szCs w:val="24"/>
      <w:lang w:val="en-US" w:eastAsia="zh-CN" w:bidi="ar-SA"/>
    </w:rPr>
  </w:style>
  <w:style w:type="paragraph" w:styleId="1057" w:customStyle="1">
    <w:name w:val="正文首行缩进 2_0"/>
    <w:basedOn w:val="1058"/>
    <w:uiPriority w:val="0"/>
    <w:qFormat/>
    <w:pPr>
      <w:ind w:left="200" w:firstLine="200"/>
      <w:spacing w:after="120"/>
    </w:pPr>
    <w:rPr>
      <w:rFonts w:ascii="Times New Roman" w:hAnsi="Times New Roman"/>
      <w:sz w:val="24"/>
      <w:szCs w:val="24"/>
    </w:rPr>
  </w:style>
  <w:style w:type="paragraph" w:styleId="1058" w:customStyle="1">
    <w:name w:val="正文文本缩进_0"/>
    <w:basedOn w:val="1059"/>
    <w:uiPriority w:val="0"/>
    <w:qFormat/>
    <w:pPr>
      <w:ind w:firstLine="225"/>
    </w:pPr>
    <w:rPr>
      <w:rFonts w:ascii="仿宋_GB2312" w:eastAsia="仿宋_GB2312"/>
      <w:sz w:val="32"/>
    </w:rPr>
  </w:style>
  <w:style w:type="paragraph" w:styleId="1059" w:customStyle="1">
    <w:name w:val="正文_2"/>
    <w:next w:val="1058"/>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Normal_0_2"/>
    <w:next w:val="1061"/>
    <w:uiPriority w:val="0"/>
    <w:qFormat/>
    <w:rPr>
      <w:rFonts w:hint="default" w:ascii="黑体" w:hAnsi="黑体" w:eastAsia="黑体" w:cs="黑体"/>
      <w:b/>
      <w:sz w:val="32"/>
      <w:szCs w:val="24"/>
      <w:lang w:val="en-US" w:eastAsia="zh-CN" w:bidi="ar-SA"/>
    </w:rPr>
  </w:style>
  <w:style w:type="paragraph" w:styleId="1061" w:customStyle="1">
    <w:name w:val="Body Text First Indent_1"/>
    <w:basedOn w:val="787"/>
    <w:uiPriority w:val="99"/>
    <w:unhideWhenUsed/>
    <w:qFormat/>
    <w:pPr>
      <w:ind w:firstLine="420"/>
      <w:spacing w:after="120"/>
    </w:pPr>
    <w:rPr>
      <w:rFonts w:eastAsia="Times New Roman"/>
      <w:sz w:val="20"/>
    </w:rPr>
  </w:style>
  <w:style w:type="paragraph" w:styleId="106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3" w:customStyle="1">
    <w:name w:val="Normal_0_1"/>
    <w:next w:val="1064"/>
    <w:uiPriority w:val="0"/>
    <w:qFormat/>
    <w:rPr>
      <w:rFonts w:hint="default" w:ascii="黑体" w:hAnsi="黑体" w:eastAsia="黑体" w:cs="黑体"/>
      <w:b/>
      <w:sz w:val="32"/>
      <w:szCs w:val="24"/>
      <w:lang w:val="en-US" w:eastAsia="zh-CN" w:bidi="ar-SA"/>
    </w:rPr>
  </w:style>
  <w:style w:type="paragraph" w:styleId="1064" w:customStyle="1">
    <w:name w:val="Body Text First Indent_0"/>
    <w:basedOn w:val="1065"/>
    <w:uiPriority w:val="99"/>
    <w:unhideWhenUsed/>
    <w:qFormat/>
    <w:pPr>
      <w:ind w:firstLine="420"/>
      <w:spacing w:after="120"/>
    </w:pPr>
    <w:rPr>
      <w:rFonts w:eastAsia="Times New Roman"/>
    </w:rPr>
  </w:style>
  <w:style w:type="paragraph" w:styleId="1065" w:customStyle="1">
    <w:name w:val="正文3"/>
    <w:next w:val="1066"/>
    <w:uiPriority w:val="0"/>
    <w:qFormat/>
    <w:rPr>
      <w:rFonts w:hint="default" w:ascii="Times New Roman" w:hAnsi="Times New Roman" w:eastAsia="Times New Roman" w:cs="Times New Roman"/>
      <w:sz w:val="24"/>
      <w:szCs w:val="24"/>
      <w:lang w:val="en-US" w:eastAsia="zh-CN" w:bidi="ar-SA"/>
    </w:rPr>
  </w:style>
  <w:style w:type="paragraph" w:styleId="1066" w:customStyle="1">
    <w:name w:val="正文首行缩进3"/>
    <w:basedOn w:val="1055"/>
    <w:uiPriority w:val="99"/>
    <w:unhideWhenUsed/>
    <w:qFormat/>
    <w:pPr>
      <w:ind w:firstLine="420"/>
      <w:spacing w:after="120"/>
    </w:pPr>
    <w:rPr>
      <w:sz w:val="20"/>
    </w:rPr>
  </w:style>
  <w:style w:type="paragraph" w:styleId="1067" w:customStyle="1">
    <w:name w:val="Normal_1_1"/>
    <w:uiPriority w:val="0"/>
    <w:qFormat/>
    <w:rPr>
      <w:rFonts w:hint="default" w:ascii="黑体" w:hAnsi="黑体" w:eastAsia="黑体" w:cs="黑体"/>
      <w:b/>
      <w:sz w:val="32"/>
      <w:szCs w:val="24"/>
      <w:lang w:val="en-US" w:eastAsia="zh-CN" w:bidi="ar-SA"/>
    </w:rPr>
  </w:style>
  <w:style w:type="paragraph" w:styleId="106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2_0"/>
    <w:uiPriority w:val="0"/>
    <w:qFormat/>
    <w:rPr>
      <w:rFonts w:hint="default" w:ascii="黑体" w:hAnsi="黑体" w:eastAsia="黑体" w:cs="黑体"/>
      <w:b/>
      <w:sz w:val="32"/>
      <w:szCs w:val="24"/>
      <w:lang w:val="en-US" w:eastAsia="zh-CN" w:bidi="ar-SA"/>
    </w:rPr>
  </w:style>
  <w:style w:type="paragraph" w:styleId="1071"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Normal_4_0"/>
    <w:uiPriority w:val="0"/>
    <w:qFormat/>
    <w:rPr>
      <w:rFonts w:hint="default" w:ascii="黑体" w:hAnsi="黑体" w:eastAsia="黑体" w:cs="黑体"/>
      <w:b/>
      <w:sz w:val="32"/>
      <w:szCs w:val="24"/>
      <w:lang w:val="en-US" w:eastAsia="zh-CN" w:bidi="ar-SA"/>
    </w:rPr>
  </w:style>
  <w:style w:type="paragraph" w:styleId="107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Normal_6_0"/>
    <w:uiPriority w:val="0"/>
    <w:qFormat/>
    <w:rPr>
      <w:rFonts w:hint="default" w:ascii="黑体" w:hAnsi="黑体" w:eastAsia="黑体" w:cs="黑体"/>
      <w:b/>
      <w:sz w:val="32"/>
      <w:szCs w:val="24"/>
      <w:lang w:val="en-US" w:eastAsia="zh-CN" w:bidi="ar-SA"/>
    </w:rPr>
  </w:style>
  <w:style w:type="paragraph" w:styleId="107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8" w:customStyle="1">
    <w:name w:val="Normal_7_0"/>
    <w:uiPriority w:val="0"/>
    <w:qFormat/>
    <w:rPr>
      <w:rFonts w:hint="default" w:ascii="黑体" w:hAnsi="黑体" w:eastAsia="黑体" w:cs="黑体"/>
      <w:b/>
      <w:sz w:val="32"/>
      <w:szCs w:val="24"/>
      <w:lang w:val="en-US" w:eastAsia="zh-CN" w:bidi="ar-SA"/>
    </w:rPr>
  </w:style>
  <w:style w:type="paragraph" w:styleId="107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10_0"/>
    <w:uiPriority w:val="0"/>
    <w:qFormat/>
    <w:rPr>
      <w:rFonts w:hint="default" w:ascii="黑体" w:hAnsi="黑体" w:eastAsia="黑体" w:cs="黑体"/>
      <w:b/>
      <w:sz w:val="32"/>
      <w:szCs w:val="24"/>
      <w:lang w:val="en-US" w:eastAsia="zh-CN" w:bidi="ar-SA"/>
    </w:rPr>
  </w:style>
  <w:style w:type="paragraph" w:styleId="1082" w:customStyle="1">
    <w:name w:val="正文_3"/>
    <w:next w:val="1083"/>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正文首行缩进 2_1"/>
    <w:basedOn w:val="1084"/>
    <w:next w:val="1086"/>
    <w:uiPriority w:val="0"/>
    <w:qFormat/>
    <w:pPr>
      <w:ind w:left="200" w:firstLine="200"/>
      <w:spacing w:after="120"/>
    </w:pPr>
    <w:rPr>
      <w:rFonts w:ascii="Times New Roman"/>
      <w:szCs w:val="24"/>
    </w:rPr>
  </w:style>
  <w:style w:type="paragraph" w:styleId="1084" w:customStyle="1">
    <w:name w:val="正文文本缩进_1"/>
    <w:basedOn w:val="1085"/>
    <w:next w:val="1083"/>
    <w:uiPriority w:val="0"/>
    <w:qFormat/>
    <w:pPr>
      <w:ind w:firstLine="225"/>
    </w:pPr>
    <w:rPr>
      <w:rFonts w:ascii="仿宋_GB2312" w:eastAsia="仿宋_GB2312"/>
      <w:sz w:val="32"/>
    </w:rPr>
  </w:style>
  <w:style w:type="paragraph" w:styleId="1085" w:customStyle="1">
    <w:name w:val="正文_18"/>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xl53_0"/>
    <w:next w:val="108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8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1_0"/>
    <w:uiPriority w:val="0"/>
    <w:qFormat/>
    <w:rPr>
      <w:rFonts w:hint="default" w:ascii="黑体" w:hAnsi="黑体" w:eastAsia="黑体" w:cs="黑体"/>
      <w:b/>
      <w:sz w:val="32"/>
      <w:szCs w:val="24"/>
      <w:lang w:val="en-US" w:eastAsia="zh-CN" w:bidi="ar-SA"/>
    </w:rPr>
  </w:style>
  <w:style w:type="paragraph" w:styleId="108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3" w:customStyle="1">
    <w:name w:val="列出段落_2"/>
    <w:basedOn w:val="1091"/>
    <w:uiPriority w:val="34"/>
    <w:qFormat/>
    <w:pPr>
      <w:ind w:firstLine="420"/>
    </w:pPr>
  </w:style>
  <w:style w:type="paragraph" w:styleId="1094" w:customStyle="1">
    <w:name w:val="Normal_13_0"/>
    <w:uiPriority w:val="0"/>
    <w:qFormat/>
    <w:rPr>
      <w:rFonts w:hint="default" w:ascii="黑体" w:hAnsi="黑体" w:eastAsia="黑体" w:cs="黑体"/>
      <w:b/>
      <w:sz w:val="32"/>
      <w:szCs w:val="24"/>
      <w:lang w:val="en-US" w:eastAsia="zh-CN" w:bidi="ar-SA"/>
    </w:rPr>
  </w:style>
  <w:style w:type="paragraph" w:styleId="109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纯文本_0_0"/>
    <w:basedOn w:val="1095"/>
    <w:uiPriority w:val="0"/>
    <w:unhideWhenUsed/>
    <w:qFormat/>
    <w:rPr>
      <w:rFonts w:ascii="宋体" w:hAnsi="Courier New"/>
      <w:szCs w:val="21"/>
    </w:rPr>
  </w:style>
  <w:style w:type="paragraph" w:styleId="1097"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14_0"/>
    <w:uiPriority w:val="0"/>
    <w:qFormat/>
    <w:rPr>
      <w:rFonts w:hint="default" w:ascii="黑体" w:hAnsi="黑体" w:eastAsia="黑体" w:cs="黑体"/>
      <w:b/>
      <w:sz w:val="32"/>
      <w:szCs w:val="24"/>
      <w:lang w:val="en-US" w:eastAsia="zh-CN" w:bidi="ar-SA"/>
    </w:rPr>
  </w:style>
  <w:style w:type="paragraph" w:styleId="109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15_0"/>
    <w:uiPriority w:val="0"/>
    <w:qFormat/>
    <w:rPr>
      <w:rFonts w:hint="default" w:ascii="黑体" w:hAnsi="黑体" w:eastAsia="黑体" w:cs="黑体"/>
      <w:b/>
      <w:sz w:val="32"/>
      <w:szCs w:val="24"/>
      <w:lang w:val="en-US" w:eastAsia="zh-CN" w:bidi="ar-SA"/>
    </w:rPr>
  </w:style>
  <w:style w:type="paragraph" w:styleId="110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Normal_16_0"/>
    <w:uiPriority w:val="0"/>
    <w:qFormat/>
    <w:rPr>
      <w:rFonts w:hint="default" w:ascii="黑体" w:hAnsi="黑体" w:eastAsia="黑体" w:cs="黑体"/>
      <w:b/>
      <w:sz w:val="32"/>
      <w:szCs w:val="24"/>
      <w:lang w:val="en-US" w:eastAsia="zh-CN" w:bidi="ar-SA"/>
    </w:rPr>
  </w:style>
  <w:style w:type="paragraph" w:styleId="110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Normal_17_0"/>
    <w:uiPriority w:val="0"/>
    <w:qFormat/>
    <w:rPr>
      <w:rFonts w:hint="default" w:ascii="黑体" w:hAnsi="黑体" w:eastAsia="黑体" w:cs="黑体"/>
      <w:b/>
      <w:sz w:val="32"/>
      <w:szCs w:val="24"/>
      <w:lang w:val="en-US" w:eastAsia="zh-CN" w:bidi="ar-SA"/>
    </w:rPr>
  </w:style>
  <w:style w:type="paragraph" w:styleId="110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Normal_18_0"/>
    <w:uiPriority w:val="0"/>
    <w:qFormat/>
    <w:rPr>
      <w:rFonts w:hint="default" w:ascii="黑体" w:hAnsi="黑体" w:eastAsia="黑体" w:cs="黑体"/>
      <w:b/>
      <w:sz w:val="32"/>
      <w:szCs w:val="24"/>
      <w:lang w:val="en-US" w:eastAsia="zh-CN" w:bidi="ar-SA"/>
    </w:rPr>
  </w:style>
  <w:style w:type="paragraph" w:styleId="110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14_0_0"/>
    <w:uiPriority w:val="0"/>
    <w:qFormat/>
    <w:rPr>
      <w:rFonts w:hint="default" w:ascii="黑体" w:hAnsi="黑体" w:eastAsia="黑体" w:cs="Times New Roman"/>
      <w:b/>
      <w:sz w:val="32"/>
      <w:szCs w:val="24"/>
      <w:lang w:val="en-US" w:eastAsia="zh-CN" w:bidi="ar-SA"/>
    </w:rPr>
  </w:style>
  <w:style w:type="paragraph" w:styleId="111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 Indent_0"/>
    <w:basedOn w:val="876"/>
    <w:uiPriority w:val="0"/>
    <w:qFormat/>
    <w:pPr>
      <w:ind w:firstLine="420"/>
    </w:pPr>
    <w:rPr>
      <w:rFonts w:ascii="宋体" w:eastAsia="Times New Roman"/>
      <w:color w:val="000000"/>
      <w:sz w:val="24"/>
      <w:szCs w:val="20"/>
    </w:rPr>
  </w:style>
  <w:style w:type="paragraph" w:styleId="1118" w:customStyle="1">
    <w:name w:val="Heading 3_0"/>
    <w:basedOn w:val="876"/>
    <w:next w:val="876"/>
    <w:uiPriority w:val="0"/>
    <w:qFormat/>
    <w:pPr>
      <w:keepLines/>
      <w:keepNext/>
      <w:spacing w:before="260" w:after="260" w:line="413" w:lineRule="auto"/>
      <w:outlineLvl w:val="2"/>
    </w:pPr>
    <w:rPr>
      <w:rFonts w:ascii="Times New Roman" w:hAnsi="Times New Roman" w:eastAsia="Times New Roman"/>
      <w:szCs w:val="20"/>
    </w:rPr>
  </w:style>
  <w:style w:type="paragraph" w:styleId="111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2"/>
    <w:basedOn w:val="744"/>
    <w:uiPriority w:val="0"/>
    <w:qFormat/>
    <w:pPr>
      <w:ind w:firstLine="510"/>
      <w:spacing w:before="156" w:line="360" w:lineRule="auto"/>
    </w:pPr>
    <w:rPr>
      <w:sz w:val="24"/>
      <w:szCs w:val="20"/>
    </w:rPr>
  </w:style>
  <w:style w:type="paragraph" w:styleId="11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23" w:customStyle="1">
    <w:name w:val="Normal_19_1_0"/>
    <w:next w:val="1124"/>
    <w:uiPriority w:val="0"/>
    <w:qFormat/>
    <w:pPr>
      <w:jc w:val="both"/>
      <w:widowControl w:val="off"/>
    </w:pPr>
    <w:rPr>
      <w:rFonts w:hint="default" w:ascii="Calibri" w:hAnsi="Calibri" w:eastAsia="宋体" w:cs="Times New Roman"/>
      <w:szCs w:val="24"/>
      <w:lang w:val="en-US" w:eastAsia="zh-CN" w:bidi="ar-SA"/>
    </w:rPr>
  </w:style>
  <w:style w:type="paragraph" w:styleId="1124" w:customStyle="1">
    <w:name w:val="正文_16_0"/>
    <w:basedOn w:val="1085"/>
    <w:next w:val="1083"/>
    <w:uiPriority w:val="0"/>
    <w:qFormat/>
    <w:rPr>
      <w:rFonts w:ascii="Times New Roman" w:hAnsi="Times New Roman"/>
    </w:rPr>
  </w:style>
  <w:style w:type="paragraph" w:styleId="1125" w:customStyle="1">
    <w:name w:val="Normal_19_0"/>
    <w:basedOn w:val="785"/>
    <w:next w:val="1126"/>
    <w:uiPriority w:val="0"/>
    <w:qFormat/>
    <w:rPr>
      <w:szCs w:val="24"/>
    </w:rPr>
  </w:style>
  <w:style w:type="paragraph" w:styleId="1126" w:customStyle="1">
    <w:name w:val="Body Text First Indent_1_0"/>
    <w:basedOn w:val="1125"/>
    <w:uiPriority w:val="0"/>
    <w:qFormat/>
    <w:pPr>
      <w:ind w:firstLine="100"/>
      <w:spacing w:after="120"/>
    </w:pPr>
  </w:style>
  <w:style w:type="paragraph" w:styleId="1127" w:customStyle="1">
    <w:name w:val="Body Text_0"/>
    <w:basedOn w:val="1125"/>
    <w:uiPriority w:val="0"/>
    <w:qFormat/>
    <w:pPr>
      <w:spacing w:line="60" w:lineRule="auto"/>
    </w:pPr>
    <w:rPr>
      <w:rFonts w:ascii="仿宋_GB2312" w:eastAsia="仿宋_GB2312"/>
      <w:sz w:val="32"/>
    </w:rPr>
  </w:style>
  <w:style w:type="paragraph" w:styleId="1128" w:customStyle="1">
    <w:name w:val="Normal_19_1"/>
    <w:next w:val="876"/>
    <w:uiPriority w:val="0"/>
    <w:qFormat/>
    <w:pPr>
      <w:jc w:val="both"/>
      <w:widowControl w:val="off"/>
    </w:pPr>
    <w:rPr>
      <w:rFonts w:hint="default" w:ascii="Calibri" w:hAnsi="Calibri" w:eastAsia="宋体" w:cs="Times New Roman"/>
      <w:szCs w:val="24"/>
      <w:lang w:val="en-US" w:eastAsia="zh-CN" w:bidi="ar-SA"/>
    </w:rPr>
  </w:style>
  <w:style w:type="paragraph" w:styleId="112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1" w:customStyle="1">
    <w:name w:val="正文1_1"/>
    <w:basedOn w:val="1079"/>
    <w:uiPriority w:val="0"/>
    <w:qFormat/>
    <w:pPr>
      <w:jc w:val="both"/>
      <w:widowControl w:val="off"/>
    </w:pPr>
    <w:rPr>
      <w:sz w:val="20"/>
      <w:szCs w:val="20"/>
    </w:rPr>
  </w:style>
  <w:style w:type="paragraph" w:styleId="113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4" w:customStyle="1">
    <w:name w:val="Normal_16_1"/>
    <w:uiPriority w:val="0"/>
    <w:qFormat/>
    <w:rPr>
      <w:rFonts w:hint="default" w:ascii="黑体" w:hAnsi="黑体" w:eastAsia="黑体" w:cs="Times New Roman"/>
      <w:b/>
      <w:sz w:val="32"/>
      <w:szCs w:val="24"/>
      <w:lang w:val="en-US" w:eastAsia="zh-CN" w:bidi="ar-SA"/>
    </w:rPr>
  </w:style>
  <w:style w:type="paragraph" w:styleId="1135" w:customStyle="1">
    <w:name w:val="Normal_19_0_1"/>
    <w:uiPriority w:val="0"/>
    <w:qFormat/>
    <w:rPr>
      <w:rFonts w:hint="default" w:ascii="Tahoma" w:hAnsi="Tahoma" w:eastAsia="微软雅黑" w:cs="Times New Roman"/>
      <w:lang w:val="en-US" w:eastAsia="zh-CN" w:bidi="ar-SA"/>
    </w:rPr>
  </w:style>
  <w:style w:type="paragraph" w:styleId="113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3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38" w:customStyle="1">
    <w:name w:val="Normal_17_0_0"/>
    <w:uiPriority w:val="0"/>
    <w:qFormat/>
    <w:rPr>
      <w:rFonts w:hint="default" w:ascii="黑体" w:hAnsi="黑体" w:eastAsia="黑体" w:cs="Times New Roman"/>
      <w:b/>
      <w:sz w:val="32"/>
      <w:szCs w:val="24"/>
      <w:lang w:val="en-US" w:eastAsia="zh-CN" w:bidi="ar-SA"/>
    </w:rPr>
  </w:style>
  <w:style w:type="paragraph" w:styleId="1139" w:customStyle="1">
    <w:name w:val="Normal_19_0_1_0"/>
    <w:uiPriority w:val="0"/>
    <w:qFormat/>
    <w:rPr>
      <w:rFonts w:hint="default" w:ascii="Tahoma" w:hAnsi="Tahoma" w:eastAsia="微软雅黑" w:cs="Times New Roman"/>
      <w:lang w:val="en-US" w:eastAsia="zh-CN" w:bidi="ar-SA"/>
    </w:rPr>
  </w:style>
  <w:style w:type="paragraph" w:styleId="1140" w:customStyle="1">
    <w:name w:val="Normal_19_3"/>
    <w:next w:val="1141"/>
    <w:uiPriority w:val="0"/>
    <w:qFormat/>
    <w:pPr>
      <w:jc w:val="both"/>
      <w:widowControl w:val="off"/>
    </w:pPr>
    <w:rPr>
      <w:rFonts w:hint="default" w:ascii="Calibri" w:hAnsi="Calibri" w:eastAsia="Times New Roman" w:cs="Times New Roman"/>
      <w:szCs w:val="24"/>
      <w:lang w:val="en-US" w:eastAsia="zh-CN" w:bidi="ar-SA"/>
    </w:rPr>
  </w:style>
  <w:style w:type="paragraph" w:styleId="114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3" w:customStyle="1">
    <w:name w:val="custom-tag-placeholder-class"/>
    <w:link w:val="744"/>
    <w:uiPriority w:val="0"/>
    <w:qFormat/>
  </w:style>
  <w:style w:type="paragraph" w:styleId="1144" w:customStyle="1">
    <w:name w:val="Normal_19_0_0"/>
    <w:basedOn w:val="876"/>
    <w:next w:val="1145"/>
    <w:uiPriority w:val="0"/>
    <w:qFormat/>
    <w:rPr>
      <w:rFonts w:ascii="Calibri" w:hAnsi="Calibri" w:eastAsia="Times New Roman"/>
      <w:sz w:val="24"/>
    </w:rPr>
  </w:style>
  <w:style w:type="paragraph" w:styleId="1145" w:customStyle="1">
    <w:name w:val="Body Text First Indent_1_0_0"/>
    <w:basedOn w:val="1144"/>
    <w:uiPriority w:val="0"/>
    <w:pPr>
      <w:ind w:firstLine="100"/>
      <w:spacing w:after="120"/>
    </w:pPr>
    <w:rPr>
      <w:rFonts w:eastAsia="Times New Roman"/>
    </w:rPr>
  </w:style>
  <w:style w:type="paragraph" w:styleId="1146" w:customStyle="1">
    <w:name w:val="正文首行缩进1"/>
    <w:basedOn w:val="1147"/>
    <w:uiPriority w:val="0"/>
    <w:qFormat/>
    <w:pPr>
      <w:ind w:firstLine="100"/>
      <w:spacing w:after="120" w:line="240" w:lineRule="auto"/>
    </w:pPr>
    <w:rPr>
      <w:rFonts w:ascii="Times New Roman" w:hAnsi="Times New Roman" w:eastAsia="宋体"/>
      <w:sz w:val="21"/>
    </w:rPr>
  </w:style>
  <w:style w:type="paragraph" w:styleId="1147" w:customStyle="1">
    <w:name w:val="正文文本1"/>
    <w:basedOn w:val="744"/>
    <w:uiPriority w:val="0"/>
    <w:qFormat/>
    <w:pPr>
      <w:spacing w:line="60" w:lineRule="auto"/>
    </w:pPr>
    <w:rPr>
      <w:rFonts w:ascii="仿宋_GB2312" w:eastAsia="仿宋_GB2312"/>
      <w:sz w:val="32"/>
    </w:rPr>
  </w:style>
  <w:style w:type="paragraph" w:styleId="114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List Paragraph_0"/>
    <w:basedOn w:val="1059"/>
    <w:uiPriority w:val="0"/>
    <w:qFormat/>
    <w:pPr>
      <w:ind w:firstLine="420"/>
    </w:pPr>
  </w:style>
  <w:style w:type="paragraph" w:styleId="1150" w:customStyle="1">
    <w:name w:val="纯文本_1"/>
    <w:basedOn w:val="1148"/>
    <w:uiPriority w:val="0"/>
    <w:qFormat/>
    <w:rPr>
      <w:rFonts w:ascii="宋体" w:hAnsi="Times New Roman"/>
      <w:sz w:val="20"/>
      <w:szCs w:val="21"/>
    </w:rPr>
  </w:style>
  <w:style w:type="paragraph" w:styleId="1151" w:customStyle="1">
    <w:name w:val="正文_16_0_0"/>
    <w:next w:val="921"/>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1_0"/>
    <w:basedOn w:val="921"/>
    <w:uiPriority w:val="0"/>
    <w:qFormat/>
    <w:rPr>
      <w:rFonts w:ascii="Calibri" w:hAnsi="Calibri"/>
      <w:szCs w:val="20"/>
    </w:rPr>
  </w:style>
  <w:style w:type="paragraph" w:styleId="1153" w:customStyle="1">
    <w:name w:val="Normal_19_0_0_0"/>
    <w:basedOn w:val="785"/>
    <w:uiPriority w:val="0"/>
    <w:qFormat/>
    <w:rPr>
      <w:rFonts w:cs="黑体"/>
      <w:szCs w:val="24"/>
    </w:rPr>
  </w:style>
  <w:style w:type="paragraph" w:styleId="1154" w:customStyle="1">
    <w:name w:val="无间隔1"/>
    <w:basedOn w:val="1065"/>
    <w:uiPriority w:val="0"/>
    <w:qFormat/>
    <w:rPr>
      <w:rFonts w:ascii="Calibri" w:hAnsi="Calibri" w:cs="Calibri"/>
    </w:rPr>
  </w:style>
  <w:style w:type="paragraph" w:styleId="1155" w:customStyle="1">
    <w:name w:val="标题 31"/>
    <w:basedOn w:val="1065"/>
    <w:next w:val="1065"/>
    <w:uiPriority w:val="0"/>
    <w:qFormat/>
    <w:pPr>
      <w:keepLines/>
      <w:keepNext/>
      <w:spacing w:before="260" w:after="260" w:line="413" w:lineRule="auto"/>
      <w:outlineLvl w:val="2"/>
    </w:pPr>
    <w:rPr>
      <w:b/>
      <w:sz w:val="32"/>
      <w:szCs w:val="20"/>
    </w:rPr>
  </w:style>
  <w:style w:type="character" w:styleId="1156" w:customStyle="1">
    <w:name w:val="标题 2 Char_0"/>
    <w:link w:val="1157"/>
    <w:uiPriority w:val="0"/>
    <w:qFormat/>
    <w:rPr>
      <w:rFonts w:ascii="Arial" w:hAnsi="Arial" w:eastAsia="黑体"/>
      <w:b/>
      <w:sz w:val="32"/>
      <w:szCs w:val="22"/>
    </w:rPr>
  </w:style>
  <w:style w:type="paragraph" w:styleId="1157" w:customStyle="1">
    <w:name w:val="标题 21"/>
    <w:basedOn w:val="786"/>
    <w:next w:val="786"/>
    <w:link w:val="1156"/>
    <w:uiPriority w:val="0"/>
    <w:unhideWhenUsed/>
    <w:qFormat/>
    <w:pPr>
      <w:keepLines/>
      <w:keepNext/>
      <w:spacing w:before="260" w:after="260" w:line="413" w:lineRule="auto"/>
      <w:outlineLvl w:val="1"/>
    </w:pPr>
    <w:rPr>
      <w:rFonts w:ascii="Arial" w:hAnsi="Arial"/>
      <w:szCs w:val="22"/>
    </w:rPr>
  </w:style>
  <w:style w:type="paragraph" w:styleId="1158" w:customStyle="1">
    <w:name w:val="Normal_19_1_0_0"/>
    <w:next w:val="1159"/>
    <w:uiPriority w:val="0"/>
    <w:qFormat/>
    <w:pPr>
      <w:jc w:val="both"/>
      <w:widowControl w:val="off"/>
    </w:pPr>
    <w:rPr>
      <w:rFonts w:hint="default" w:ascii="Calibri" w:hAnsi="Calibri" w:eastAsia="宋体" w:cs="Times New Roman"/>
      <w:sz w:val="21"/>
      <w:szCs w:val="24"/>
      <w:lang w:val="en-US" w:eastAsia="zh-CN" w:bidi="ar-SA"/>
    </w:rPr>
  </w:style>
  <w:style w:type="paragraph" w:styleId="115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0" w:customStyle="1">
    <w:name w:val="正文1_0_0"/>
    <w:basedOn w:val="786"/>
    <w:uiPriority w:val="0"/>
    <w:qFormat/>
    <w:pPr>
      <w:ind w:left="357" w:firstLine="420"/>
      <w:spacing w:line="360" w:lineRule="auto"/>
    </w:pPr>
    <w:rPr>
      <w:rFonts w:eastAsia="Times New Roman" w:cs="Arial"/>
    </w:rPr>
  </w:style>
  <w:style w:type="paragraph" w:styleId="1161"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162" w:customStyle="1">
    <w:name w:val="正文空2字"/>
    <w:basedOn w:val="1163"/>
    <w:uiPriority w:val="99"/>
    <w:qFormat/>
    <w:pPr>
      <w:ind w:firstLine="640"/>
      <w:spacing w:line="560" w:lineRule="exact"/>
      <w:widowControl w:val="off"/>
    </w:pPr>
    <w:rPr>
      <w:rFonts w:ascii="仿宋_GB2312" w:hAnsi="仿宋_GB2312" w:cs="仿宋_GB2312"/>
      <w:lang w:val="zh-TW"/>
    </w:rPr>
  </w:style>
  <w:style w:type="paragraph" w:styleId="1163" w:customStyle="1">
    <w:name w:val="左对齐正文"/>
    <w:uiPriority w:val="99"/>
    <w:qFormat/>
    <w:rPr>
      <w:rFonts w:hint="default" w:ascii="Calibri" w:hAnsi="Calibri" w:eastAsia="仿宋_GB2312" w:cs="Calibri"/>
      <w:sz w:val="32"/>
      <w:szCs w:val="32"/>
      <w:lang w:val="en-US" w:eastAsia="zh-CN" w:bidi="ar-SA"/>
    </w:rPr>
  </w:style>
  <w:style w:type="paragraph" w:styleId="1164" w:customStyle="1">
    <w:name w:val="普通(网站)1"/>
    <w:basedOn w:val="744"/>
    <w:uiPriority w:val="0"/>
    <w:qFormat/>
    <w:rPr>
      <w:sz w:val="24"/>
    </w:rPr>
  </w:style>
  <w:style w:type="character" w:styleId="1165" w:customStyle="1">
    <w:name w:val="16"/>
    <w:link w:val="744"/>
    <w:uiPriority w:val="0"/>
    <w:qFormat/>
    <w:rPr>
      <w:rFonts w:ascii="Times New Roman" w:hAnsi="Times New Roman"/>
      <w:sz w:val="21"/>
      <w:szCs w:val="21"/>
      <w:lang w:val="en-US" w:eastAsia="zh-CN" w:bidi="ar-SA"/>
    </w:rPr>
  </w:style>
  <w:style w:type="paragraph" w:styleId="1166" w:customStyle="1">
    <w:name w:val="正文文本_0"/>
    <w:basedOn w:val="1059"/>
    <w:next w:val="1167"/>
    <w:uiPriority w:val="0"/>
    <w:qFormat/>
    <w:pPr>
      <w:spacing w:line="60" w:lineRule="auto"/>
    </w:pPr>
    <w:rPr>
      <w:rFonts w:ascii="仿宋_GB2312" w:eastAsia="仿宋_GB2312"/>
      <w:sz w:val="32"/>
    </w:rPr>
  </w:style>
  <w:style w:type="paragraph" w:styleId="1167" w:customStyle="1">
    <w:name w:val="正文缩进_1"/>
    <w:basedOn w:val="1059"/>
    <w:next w:val="1059"/>
    <w:uiPriority w:val="0"/>
    <w:qFormat/>
    <w:pPr>
      <w:ind w:firstLine="420"/>
    </w:pPr>
    <w:rPr>
      <w:rFonts w:ascii="宋体"/>
      <w:color w:val="000000"/>
      <w:sz w:val="24"/>
      <w:szCs w:val="20"/>
    </w:rPr>
  </w:style>
  <w:style w:type="paragraph" w:styleId="1168" w:customStyle="1">
    <w:name w:val="Table Paragraph"/>
    <w:basedOn w:val="876"/>
    <w:uiPriority w:val="1"/>
    <w:qFormat/>
    <w:rPr>
      <w:rFonts w:ascii="宋体" w:hAnsi="宋体" w:cs="宋体"/>
      <w:sz w:val="22"/>
      <w:lang w:val="zh-CN" w:bidi="zh-CN"/>
    </w:rPr>
  </w:style>
  <w:style w:type="paragraph" w:styleId="1169" w:customStyle="1">
    <w:name w:val="Normal_19_2"/>
    <w:basedOn w:val="1170"/>
    <w:uiPriority w:val="0"/>
    <w:qFormat/>
    <w:rPr>
      <w:rFonts w:ascii="Times New Roman" w:hAnsi="Times New Roman"/>
      <w:szCs w:val="21"/>
    </w:rPr>
  </w:style>
  <w:style w:type="paragraph" w:styleId="117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文本2"/>
    <w:basedOn w:val="919"/>
    <w:uiPriority w:val="0"/>
    <w:qFormat/>
    <w:pPr>
      <w:spacing w:line="60" w:lineRule="auto"/>
    </w:pPr>
    <w:rPr>
      <w:rFonts w:ascii="仿宋_GB2312" w:eastAsia="仿宋_GB2312"/>
      <w:sz w:val="32"/>
      <w:szCs w:val="22"/>
    </w:rPr>
  </w:style>
  <w:style w:type="paragraph" w:styleId="1172" w:customStyle="1">
    <w:name w:val="正文1_0"/>
    <w:basedOn w:val="1148"/>
    <w:uiPriority w:val="0"/>
    <w:qFormat/>
    <w:pPr>
      <w:ind w:left="357" w:firstLine="420"/>
      <w:jc w:val="left"/>
      <w:spacing w:line="360" w:lineRule="auto"/>
      <w:widowControl/>
    </w:pPr>
    <w:rPr>
      <w:rFonts w:cs="Arial"/>
      <w:szCs w:val="20"/>
    </w:rPr>
  </w:style>
  <w:style w:type="paragraph" w:styleId="1173" w:customStyle="1">
    <w:name w:val="Normal_19_2_0"/>
    <w:basedOn w:val="1174"/>
    <w:uiPriority w:val="0"/>
    <w:qFormat/>
    <w:rPr>
      <w:rFonts w:ascii="Times New Roman" w:hAnsi="Times New Roman"/>
      <w:szCs w:val="21"/>
    </w:rPr>
  </w:style>
  <w:style w:type="paragraph" w:styleId="1174"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缩进1"/>
    <w:basedOn w:val="744"/>
    <w:uiPriority w:val="0"/>
    <w:qFormat/>
    <w:pPr>
      <w:ind w:firstLine="420"/>
      <w:jc w:val="left"/>
    </w:pPr>
    <w:rPr>
      <w:rFonts w:ascii="宋体" w:hAnsi="Calibri" w:eastAsia="宋体" w:cs="Times New Roman"/>
      <w:sz w:val="24"/>
    </w:rPr>
  </w:style>
  <w:style w:type="paragraph" w:styleId="1176" w:customStyle="1">
    <w:name w:val="纯文本1"/>
    <w:basedOn w:val="920"/>
    <w:uiPriority w:val="0"/>
    <w:qFormat/>
    <w:rPr>
      <w:rFonts w:ascii="宋体" w:hAnsi="Courier New" w:eastAsia="宋体" w:cs="Times New Roman"/>
    </w:rPr>
  </w:style>
  <w:style w:type="paragraph" w:styleId="1177" w:customStyle="1">
    <w:name w:val="Normal_21_0"/>
    <w:next w:val="11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Heading 1_0"/>
    <w:basedOn w:val="1177"/>
    <w:next w:val="1177"/>
    <w:uiPriority w:val="0"/>
    <w:qFormat/>
    <w:pPr>
      <w:jc w:val="center"/>
      <w:keepLines/>
      <w:keepNext/>
      <w:spacing w:before="240" w:after="120" w:line="300" w:lineRule="auto"/>
      <w:outlineLvl w:val="0"/>
    </w:pPr>
    <w:rPr>
      <w:rFonts w:ascii="宋体"/>
      <w:b/>
      <w:sz w:val="32"/>
      <w:szCs w:val="20"/>
    </w:rPr>
  </w:style>
  <w:style w:type="paragraph" w:styleId="1179"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0" w:customStyle="1">
    <w:name w:val="正文文本 字符"/>
    <w:link w:val="744"/>
    <w:uiPriority w:val="0"/>
    <w:qFormat/>
    <w:rPr>
      <w:rFonts w:ascii="楷体_GB2312" w:hAnsi="Arial" w:eastAsia="楷体_GB2312" w:cs="Times New Roman"/>
      <w:sz w:val="28"/>
      <w:szCs w:val="28"/>
    </w:rPr>
  </w:style>
  <w:style w:type="character" w:styleId="1181" w:customStyle="1">
    <w:name w:val="正文文本缩进 字符"/>
    <w:link w:val="744"/>
    <w:uiPriority w:val="0"/>
    <w:qFormat/>
    <w:rPr>
      <w:rFonts w:ascii="楷体_GB2312" w:hAnsi="Times New Roman" w:eastAsia="楷体_GB2312" w:cs="Times New Roman"/>
      <w:sz w:val="32"/>
      <w:szCs w:val="32"/>
    </w:rPr>
  </w:style>
  <w:style w:type="character" w:styleId="1182" w:customStyle="1">
    <w:name w:val="正文文本 字符1"/>
    <w:link w:val="744"/>
    <w:uiPriority w:val="0"/>
    <w:qFormat/>
    <w:rPr>
      <w:rFonts w:ascii="Calibri" w:hAnsi="Calibri"/>
      <w:sz w:val="28"/>
      <w:szCs w:val="24"/>
    </w:rPr>
  </w:style>
  <w:style w:type="character" w:styleId="1183" w:customStyle="1">
    <w:name w:val="正文文本首行缩进 字符"/>
    <w:link w:val="744"/>
    <w:uiPriority w:val="0"/>
    <w:qFormat/>
    <w:rPr>
      <w:rFonts w:ascii="仿宋_GB2312" w:hAnsi="Calibri" w:eastAsia="仿宋_GB2312"/>
      <w:sz w:val="30"/>
      <w:szCs w:val="30"/>
    </w:rPr>
  </w:style>
  <w:style w:type="paragraph" w:styleId="1184" w:customStyle="1">
    <w:name w:val="索引 41"/>
    <w:basedOn w:val="744"/>
    <w:next w:val="744"/>
    <w:uiPriority w:val="0"/>
    <w:semiHidden/>
    <w:qFormat/>
    <w:pPr>
      <w:ind w:left="1260"/>
    </w:pPr>
    <w:rPr>
      <w:rFonts w:eastAsia="Calibri" w:cs="宋体"/>
      <w:sz w:val="20"/>
      <w:szCs w:val="21"/>
      <w:lang w:val="zh-CN"/>
    </w:rPr>
  </w:style>
  <w:style w:type="character" w:styleId="1185" w:customStyle="1">
    <w:name w:val="font5 Char"/>
    <w:link w:val="744"/>
    <w:uiPriority w:val="0"/>
    <w:qFormat/>
    <w:rPr>
      <w:rFonts w:ascii="宋体" w:hAnsi="宋体" w:eastAsia="宋体"/>
      <w:sz w:val="28"/>
      <w:szCs w:val="28"/>
      <w:lang w:val="en-US" w:eastAsia="zh-CN" w:bidi="ar-SA"/>
    </w:rPr>
  </w:style>
  <w:style w:type="character" w:styleId="1186" w:customStyle="1">
    <w:name w:val="二级目录 Char"/>
    <w:link w:val="1187"/>
    <w:uiPriority w:val="0"/>
    <w:qFormat/>
    <w:rPr>
      <w:b/>
      <w:sz w:val="30"/>
      <w:szCs w:val="28"/>
    </w:rPr>
  </w:style>
  <w:style w:type="paragraph" w:styleId="1187" w:customStyle="1">
    <w:name w:val="二级目录"/>
    <w:next w:val="744"/>
    <w:link w:val="1186"/>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88" w:customStyle="1">
    <w:name w:val="列出段落 Char"/>
    <w:link w:val="1189"/>
    <w:uiPriority w:val="0"/>
    <w:qFormat/>
    <w:rPr>
      <w:rFonts w:ascii="Calibri" w:hAnsi="Calibri"/>
      <w:sz w:val="24"/>
      <w:szCs w:val="24"/>
      <w:lang w:eastAsia="en-US" w:bidi="en-US"/>
    </w:rPr>
  </w:style>
  <w:style w:type="paragraph" w:styleId="1189" w:customStyle="1">
    <w:name w:val="列出段落1"/>
    <w:basedOn w:val="744"/>
    <w:link w:val="1188"/>
    <w:uiPriority w:val="0"/>
    <w:qFormat/>
    <w:pPr>
      <w:contextualSpacing/>
      <w:ind w:left="720"/>
      <w:jc w:val="left"/>
      <w:widowControl/>
    </w:pPr>
    <w:rPr>
      <w:sz w:val="24"/>
      <w:szCs w:val="24"/>
      <w:lang w:eastAsia="en-US" w:bidi="en-US"/>
    </w:rPr>
  </w:style>
  <w:style w:type="paragraph" w:styleId="1190" w:customStyle="1">
    <w:name w:val="Body Text(ch)"/>
    <w:basedOn w:val="744"/>
    <w:uiPriority w:val="0"/>
    <w:qFormat/>
    <w:pPr>
      <w:spacing w:after="120"/>
    </w:pPr>
    <w:rPr>
      <w:rFonts w:ascii="宋体" w:hAnsi="Arial"/>
      <w:bCs/>
      <w:iCs/>
      <w:szCs w:val="24"/>
    </w:rPr>
  </w:style>
  <w:style w:type="paragraph" w:styleId="1191"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2"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3" w:customStyle="1">
    <w:name w:val="Char"/>
    <w:basedOn w:val="744"/>
    <w:uiPriority w:val="0"/>
    <w:qFormat/>
    <w:pPr>
      <w:ind w:firstLine="200"/>
      <w:tabs>
        <w:tab w:val="left" w:pos="360" w:leader="none"/>
      </w:tabs>
    </w:pPr>
    <w:rPr>
      <w:rFonts w:ascii="Times New Roman" w:hAnsi="Times New Roman"/>
      <w:sz w:val="28"/>
      <w:szCs w:val="30"/>
    </w:rPr>
  </w:style>
  <w:style w:type="paragraph" w:styleId="1194" w:customStyle="1">
    <w:name w:val="Char1"/>
    <w:basedOn w:val="811"/>
    <w:uiPriority w:val="0"/>
    <w:qFormat/>
    <w:rPr>
      <w:rFonts w:ascii="Tahoma" w:hAnsi="Tahoma"/>
      <w:sz w:val="24"/>
      <w:szCs w:val="24"/>
    </w:rPr>
  </w:style>
  <w:style w:type="paragraph" w:styleId="1195" w:customStyle="1">
    <w:name w:val="table_lines"/>
    <w:basedOn w:val="744"/>
    <w:uiPriority w:val="0"/>
    <w:qFormat/>
    <w:pPr>
      <w:jc w:val="left"/>
      <w:widowControl/>
    </w:pPr>
    <w:rPr>
      <w:rFonts w:ascii="Times New Roman" w:hAnsi="Times New Roman"/>
      <w:sz w:val="20"/>
      <w:szCs w:val="20"/>
      <w:lang w:val="de-DE" w:eastAsia="de-DE"/>
    </w:rPr>
  </w:style>
  <w:style w:type="paragraph" w:styleId="119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7"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Char Char Char Char"/>
    <w:basedOn w:val="811"/>
    <w:uiPriority w:val="0"/>
    <w:qFormat/>
    <w:pPr>
      <w:spacing w:line="360" w:lineRule="auto"/>
    </w:pPr>
    <w:rPr>
      <w:rFonts w:ascii="Tahoma" w:hAnsi="Tahoma"/>
      <w:sz w:val="24"/>
      <w:szCs w:val="24"/>
    </w:rPr>
  </w:style>
  <w:style w:type="paragraph" w:styleId="1199" w:customStyle="1">
    <w:name w:val="4"/>
    <w:basedOn w:val="744"/>
    <w:next w:val="846"/>
    <w:uiPriority w:val="0"/>
    <w:qFormat/>
    <w:pPr>
      <w:ind w:firstLine="420"/>
      <w:spacing w:line="360" w:lineRule="auto"/>
    </w:pPr>
    <w:rPr>
      <w:rFonts w:ascii="Times New Roman" w:hAnsi="Times New Roman"/>
      <w:color w:val="ff0000"/>
      <w:sz w:val="24"/>
      <w:szCs w:val="24"/>
    </w:rPr>
  </w:style>
  <w:style w:type="paragraph" w:styleId="1200"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1201" w:customStyle="1">
    <w:name w:val="Char Char Char Char Char Char Char Char Char Char"/>
    <w:basedOn w:val="744"/>
    <w:uiPriority w:val="0"/>
    <w:qFormat/>
    <w:pPr>
      <w:spacing w:line="360" w:lineRule="auto"/>
    </w:pPr>
    <w:rPr>
      <w:rFonts w:ascii="Times New Roman" w:hAnsi="Times New Roman"/>
      <w:sz w:val="24"/>
      <w:szCs w:val="20"/>
    </w:rPr>
  </w:style>
  <w:style w:type="paragraph" w:styleId="1202" w:customStyle="1">
    <w:name w:val="样式1"/>
    <w:basedOn w:val="744"/>
    <w:uiPriority w:val="0"/>
    <w:qFormat/>
    <w:pPr>
      <w:numPr>
        <w:ilvl w:val="0"/>
        <w:numId w:val="2"/>
      </w:numPr>
      <w:tabs>
        <w:tab w:val="left" w:pos="709" w:leader="none"/>
      </w:tabs>
    </w:pPr>
    <w:rPr>
      <w:rFonts w:ascii="宋体" w:hAnsi="宋体"/>
      <w:szCs w:val="21"/>
    </w:rPr>
  </w:style>
  <w:style w:type="paragraph" w:styleId="1203"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paragraph" w:styleId="1204"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5"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6" w:customStyle="1">
    <w:name w:val="标题3"/>
    <w:basedOn w:val="744"/>
    <w:next w:val="744"/>
    <w:uiPriority w:val="0"/>
    <w:qFormat/>
    <w:pPr>
      <w:ind w:firstLine="624"/>
      <w:spacing w:line="590" w:lineRule="atLeast"/>
    </w:pPr>
    <w:rPr>
      <w:rFonts w:ascii="方正黑体_GBK" w:hAnsi="Times New Roman" w:eastAsia="方正黑体_GBK"/>
      <w:sz w:val="32"/>
      <w:szCs w:val="32"/>
    </w:rPr>
  </w:style>
  <w:style w:type="paragraph" w:styleId="1207"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8"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9"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210"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1"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212"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1213" w:customStyle="1">
    <w:name w:val="Char Char Char Char1"/>
    <w:basedOn w:val="811"/>
    <w:uiPriority w:val="0"/>
    <w:qFormat/>
    <w:pPr>
      <w:spacing w:line="360" w:lineRule="auto"/>
    </w:pPr>
    <w:rPr>
      <w:rFonts w:ascii="Tahoma" w:hAnsi="Tahoma"/>
      <w:sz w:val="24"/>
      <w:szCs w:val="24"/>
    </w:rPr>
  </w:style>
  <w:style w:type="paragraph" w:styleId="1214" w:customStyle="1">
    <w:name w:val="table_1stline"/>
    <w:basedOn w:val="744"/>
    <w:uiPriority w:val="0"/>
    <w:qFormat/>
    <w:pPr>
      <w:jc w:val="left"/>
      <w:spacing w:before="120"/>
      <w:widowControl/>
    </w:pPr>
    <w:rPr>
      <w:rFonts w:ascii="Times New Roman" w:hAnsi="Times New Roman"/>
      <w:bCs/>
      <w:sz w:val="20"/>
      <w:szCs w:val="20"/>
      <w:lang w:val="de-DE" w:eastAsia="de-DE"/>
    </w:rPr>
  </w:style>
  <w:style w:type="paragraph" w:styleId="1215"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1216" w:customStyle="1">
    <w:name w:val="标题1"/>
    <w:basedOn w:val="744"/>
    <w:next w:val="74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7"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18" w:customStyle="1">
    <w:name w:val="Table Normal"/>
    <w:uiPriority w:val="0"/>
    <w:qFormat/>
    <w:rPr>
      <w:lang w:val="en-US" w:eastAsia="zh-CN" w:bidi="ar-SA"/>
    </w:rPr>
    <w:tblPr/>
  </w:style>
  <w:style w:type="paragraph" w:styleId="1219" w:customStyle="1">
    <w:name w:val="正文文本12"/>
    <w:basedOn w:val="744"/>
    <w:uiPriority w:val="1"/>
    <w:qFormat/>
    <w:pPr>
      <w:ind w:left="120"/>
    </w:pPr>
    <w:rPr>
      <w:rFonts w:ascii="宋体" w:hAnsi="宋体" w:cs="宋体"/>
      <w:szCs w:val="21"/>
      <w:lang w:val="zh-CN" w:bidi="zh-CN"/>
    </w:rPr>
  </w:style>
  <w:style w:type="paragraph" w:styleId="1220" w:customStyle="1">
    <w:name w:val="首行缩进"/>
    <w:basedOn w:val="744"/>
    <w:uiPriority w:val="0"/>
    <w:qFormat/>
    <w:pPr>
      <w:ind w:firstLine="480"/>
    </w:pPr>
    <w:rPr>
      <w:rFonts w:ascii="Times New Roman" w:hAnsi="Times New Roman"/>
      <w:szCs w:val="21"/>
      <w:lang w:val="zh-CN"/>
    </w:rPr>
  </w:style>
  <w:style w:type="paragraph" w:styleId="1221" w:customStyle="1">
    <w:name w:val="部分1"/>
    <w:basedOn w:val="74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2" w:customStyle="1">
    <w:name w:val="15"/>
    <w:link w:val="744"/>
    <w:uiPriority w:val="0"/>
    <w:qFormat/>
    <w:rPr>
      <w:rFonts w:ascii="Times New Roman" w:hAnsi="Times New Roman" w:cs="Times New Roman"/>
    </w:rPr>
  </w:style>
  <w:style w:type="paragraph" w:styleId="1223" w:customStyle="1">
    <w:name w:val="正文文本缩进 2_0"/>
    <w:basedOn w:val="1059"/>
    <w:uiPriority w:val="0"/>
    <w:qFormat/>
    <w:pPr>
      <w:ind w:firstLine="720"/>
      <w:jc w:val="left"/>
      <w:spacing w:line="540" w:lineRule="exact"/>
    </w:pPr>
    <w:rPr>
      <w:rFonts w:ascii="仿宋_GB2312" w:hAnsi="仿宋_GB2312" w:cs="宋体"/>
      <w:sz w:val="32"/>
      <w:szCs w:val="32"/>
    </w:rPr>
  </w:style>
  <w:style w:type="character" w:styleId="1224" w:customStyle="1">
    <w:name w:val="10"/>
    <w:link w:val="744"/>
    <w:uiPriority w:val="0"/>
    <w:qFormat/>
    <w:rPr>
      <w:rFonts w:ascii="Times New Roman" w:hAnsi="Times New Roman" w:cs="Times New Roman"/>
    </w:rPr>
  </w:style>
  <w:style w:type="paragraph" w:styleId="1225" w:customStyle="1">
    <w:name w:val="正文_16_1"/>
    <w:basedOn w:val="744"/>
    <w:uiPriority w:val="0"/>
    <w:qFormat/>
    <w:rPr>
      <w:rFonts w:ascii="Times New Roman" w:hAnsi="Times New Roman"/>
      <w:szCs w:val="21"/>
    </w:rPr>
  </w:style>
  <w:style w:type="paragraph" w:styleId="1226" w:customStyle="1">
    <w:name w:val="页脚1"/>
    <w:basedOn w:val="744"/>
    <w:uiPriority w:val="0"/>
    <w:qFormat/>
    <w:pPr>
      <w:jc w:val="left"/>
      <w:tabs>
        <w:tab w:val="center" w:pos="4153" w:leader="none"/>
        <w:tab w:val="right" w:pos="8306" w:leader="none"/>
      </w:tabs>
    </w:pPr>
    <w:rPr>
      <w:sz w:val="18"/>
      <w:szCs w:val="18"/>
    </w:rPr>
  </w:style>
  <w:style w:type="character" w:styleId="1227" w:customStyle="1">
    <w:name w:val="页码1"/>
    <w:link w:val="744"/>
    <w:uiPriority w:val="0"/>
    <w:qFormat/>
  </w:style>
  <w:style w:type="paragraph" w:styleId="1228" w:customStyle="1">
    <w:name w:val="*正文"/>
    <w:basedOn w:val="783"/>
    <w:uiPriority w:val="0"/>
    <w:qFormat/>
    <w:pPr>
      <w:ind w:firstLine="200"/>
    </w:pPr>
    <w:rPr>
      <w:rFonts w:ascii="宋体" w:hAnsi="宋体"/>
      <w:color w:val="000000"/>
      <w:sz w:val="24"/>
      <w:szCs w:val="24"/>
    </w:rPr>
  </w:style>
  <w:style w:type="paragraph" w:styleId="1229" w:customStyle="1">
    <w:name w:val="*正文_0"/>
    <w:basedOn w:val="1230"/>
    <w:uiPriority w:val="0"/>
    <w:qFormat/>
    <w:pPr>
      <w:ind w:firstLine="200"/>
      <w:spacing w:line="360" w:lineRule="auto"/>
    </w:pPr>
    <w:rPr>
      <w:rFonts w:ascii="宋体" w:hAnsi="宋体" w:eastAsia="Arial" w:cs="Arial"/>
      <w:color w:val="000000"/>
      <w:sz w:val="24"/>
    </w:rPr>
  </w:style>
  <w:style w:type="paragraph" w:styleId="1230" w:customStyle="1">
    <w:name w:val="正文缩进_2"/>
    <w:basedOn w:val="1082"/>
    <w:uiPriority w:val="0"/>
    <w:unhideWhenUsed/>
    <w:qFormat/>
    <w:pPr>
      <w:ind w:firstLine="420"/>
      <w:jc w:val="left"/>
      <w:widowControl/>
    </w:pPr>
    <w:rPr>
      <w:rFonts w:ascii="Times New Roman" w:hAnsi="Times New Roman"/>
      <w:sz w:val="20"/>
      <w:szCs w:val="24"/>
    </w:rPr>
  </w:style>
  <w:style w:type="paragraph" w:styleId="1231" w:customStyle="1">
    <w:name w:val="*正文_0_0"/>
    <w:basedOn w:val="1082"/>
    <w:uiPriority w:val="0"/>
    <w:qFormat/>
    <w:pPr>
      <w:ind w:firstLine="200"/>
      <w:jc w:val="left"/>
      <w:spacing w:line="360" w:lineRule="auto"/>
      <w:widowControl/>
    </w:pPr>
    <w:rPr>
      <w:rFonts w:ascii="宋体" w:hAnsi="宋体" w:eastAsia="Arial" w:cs="Arial"/>
      <w:color w:val="000000"/>
      <w:sz w:val="24"/>
      <w:szCs w:val="24"/>
    </w:rPr>
  </w:style>
  <w:style w:type="paragraph" w:styleId="1232" w:customStyle="1">
    <w:name w:val="无间隔1_0_0"/>
    <w:basedOn w:val="1082"/>
    <w:uiPriority w:val="0"/>
    <w:qFormat/>
    <w:rPr>
      <w:rFonts w:ascii="Times New Roman" w:hAnsi="Times New Roman"/>
      <w:szCs w:val="21"/>
    </w:rPr>
  </w:style>
  <w:style w:type="paragraph" w:styleId="1233"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4" w:customStyle="1">
    <w:name w:val="标题 4_0"/>
    <w:basedOn w:val="1235"/>
    <w:next w:val="1235"/>
    <w:uiPriority w:val="9"/>
    <w:unhideWhenUsed/>
    <w:qFormat/>
    <w:pPr>
      <w:keepLines/>
      <w:keepNext/>
      <w:spacing w:before="280" w:after="290" w:line="372" w:lineRule="auto"/>
      <w:outlineLvl w:val="3"/>
    </w:pPr>
    <w:rPr>
      <w:rFonts w:ascii="Arial" w:hAnsi="Arial" w:eastAsia="黑体"/>
      <w:b/>
      <w:sz w:val="28"/>
    </w:rPr>
  </w:style>
  <w:style w:type="paragraph" w:styleId="1235" w:customStyle="1">
    <w:name w:val="正文4"/>
    <w:uiPriority w:val="0"/>
    <w:qFormat/>
    <w:pPr>
      <w:jc w:val="both"/>
      <w:widowControl w:val="off"/>
    </w:pPr>
    <w:rPr>
      <w:rFonts w:hint="default" w:ascii="Calibri" w:hAnsi="Calibri" w:eastAsia="宋体" w:cs="Times New Roman"/>
      <w:lang w:val="en-US" w:eastAsia="zh-CN" w:bidi="ar-SA"/>
    </w:rPr>
  </w:style>
  <w:style w:type="paragraph" w:styleId="1236"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37" w:customStyle="1">
    <w:name w:val="p17_0_0"/>
    <w:basedOn w:val="1125"/>
    <w:uiPriority w:val="0"/>
    <w:qFormat/>
    <w:pPr>
      <w:jc w:val="left"/>
      <w:spacing w:before="100" w:beforeAutospacing="1" w:after="100" w:afterAutospacing="1"/>
      <w:widowControl/>
    </w:pPr>
    <w:rPr>
      <w:rFonts w:ascii="宋体" w:hAnsi="宋体" w:eastAsia="Times New Roman" w:cs="宋体"/>
      <w:sz w:val="24"/>
      <w:szCs w:val="24"/>
    </w:rPr>
  </w:style>
  <w:style w:type="paragraph" w:styleId="1238" w:customStyle="1">
    <w:name w:val="p17_0"/>
    <w:basedOn w:val="786"/>
    <w:uiPriority w:val="0"/>
    <w:qFormat/>
    <w:pPr>
      <w:jc w:val="left"/>
      <w:spacing w:before="100" w:beforeAutospacing="1" w:after="100" w:afterAutospacing="1"/>
      <w:widowControl/>
    </w:pPr>
    <w:rPr>
      <w:rFonts w:ascii="宋体" w:hAnsi="宋体" w:eastAsia="Times New Roman" w:cs="宋体"/>
      <w:sz w:val="24"/>
      <w:szCs w:val="24"/>
    </w:rPr>
  </w:style>
  <w:style w:type="paragraph" w:styleId="1239" w:customStyle="1">
    <w:name w:val="普通(网站)11"/>
    <w:basedOn w:val="744"/>
    <w:uiPriority w:val="99"/>
    <w:qFormat/>
    <w:rPr>
      <w:sz w:val="24"/>
    </w:rPr>
  </w:style>
  <w:style w:type="paragraph" w:styleId="12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41" w:customStyle="1">
    <w:name w:val="二级小标题"/>
    <w:basedOn w:val="744"/>
    <w:uiPriority w:val="0"/>
    <w:qFormat/>
    <w:rPr>
      <w:rFonts w:hint="eastAsia"/>
      <w:b/>
      <w:bCs/>
    </w:rPr>
  </w:style>
  <w:style w:type="paragraph" w:styleId="1242" w:customStyle="1">
    <w:name w:val="正文文本4"/>
    <w:basedOn w:val="919"/>
    <w:uiPriority w:val="0"/>
    <w:qFormat/>
    <w:pPr>
      <w:spacing w:line="60" w:lineRule="auto"/>
    </w:pPr>
    <w:rPr>
      <w:rFonts w:ascii="仿宋_GB2312" w:eastAsia="仿宋_GB2312"/>
      <w:sz w:val="32"/>
      <w:szCs w:val="22"/>
    </w:rPr>
  </w:style>
  <w:style w:type="numbering" w:styleId="9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屠贵敏</cp:lastModifiedBy>
  <cp:revision>10</cp:revision>
  <dcterms:created xsi:type="dcterms:W3CDTF">2023-07-23T13:07:00Z</dcterms:created>
  <dcterms:modified xsi:type="dcterms:W3CDTF">2026-06-01T06:14:53Z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eyJoZGlkIjoiZTIwMTY5ODIxZmUxZDYyNWMxZWQzMTI2ZWViMDlkNjkiLCJ1c2VySWQiOiI0NTY3MjY1ODEifQ==</vt:lpwstr>
  </property>
  <property fmtid="{D5CDD505-2E9C-101B-9397-08002B2CF9AE}" pid="3" name="KSOProductBuildVer">
    <vt:lpwstr>2052-12.1.0.26375</vt:lpwstr>
  </property>
  <property fmtid="{D5CDD505-2E9C-101B-9397-08002B2CF9AE}" pid="4" name="ICV">
    <vt:lpwstr>F95D7143FCD949BD9B4820371D3717EA_12</vt:lpwstr>
  </property>
</Properties>
</file>