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577A2">
      <w:pPr>
        <w:widowControl/>
        <w:adjustRightInd w:val="0"/>
        <w:snapToGrid w:val="0"/>
        <w:spacing w:line="480" w:lineRule="auto"/>
        <w:ind w:firstLine="562" w:firstLineChars="200"/>
        <w:jc w:val="center"/>
        <w:rPr>
          <w:rFonts w:hint="default" w:ascii="宋体" w:hAnsi="宋体"/>
          <w:b/>
          <w:bCs w:val="0"/>
          <w:color w:val="auto"/>
          <w:sz w:val="24"/>
          <w:szCs w:val="24"/>
          <w:lang w:val="en-US" w:eastAsia="zh-CN"/>
        </w:rPr>
      </w:pPr>
      <w:r>
        <w:rPr>
          <w:rFonts w:hint="eastAsia" w:ascii="宋体" w:hAnsi="宋体"/>
          <w:b/>
          <w:bCs w:val="0"/>
          <w:color w:val="auto"/>
          <w:sz w:val="28"/>
          <w:szCs w:val="24"/>
          <w:lang w:eastAsia="zh-CN"/>
        </w:rPr>
        <w:t>礼嘉镇农村公路（沥青）养护服务</w:t>
      </w:r>
      <w:r>
        <w:rPr>
          <w:rFonts w:hint="eastAsia" w:ascii="宋体" w:hAnsi="宋体"/>
          <w:b/>
          <w:bCs w:val="0"/>
          <w:color w:val="auto"/>
          <w:sz w:val="28"/>
          <w:szCs w:val="24"/>
          <w:lang w:val="en-US" w:eastAsia="zh-CN"/>
        </w:rPr>
        <w:t>采购合同</w:t>
      </w:r>
    </w:p>
    <w:p w14:paraId="7351CE88">
      <w:pPr>
        <w:widowControl/>
        <w:adjustRightInd w:val="0"/>
        <w:snapToGrid w:val="0"/>
        <w:spacing w:line="480" w:lineRule="auto"/>
        <w:ind w:firstLine="480" w:firstLineChars="200"/>
        <w:jc w:val="left"/>
        <w:rPr>
          <w:rFonts w:hint="eastAsia" w:ascii="宋体" w:hAnsi="宋体"/>
          <w:color w:val="auto"/>
          <w:sz w:val="24"/>
          <w:szCs w:val="24"/>
          <w:u w:val="single"/>
          <w:lang w:val="en-US" w:eastAsia="zh-CN"/>
        </w:rPr>
      </w:pPr>
      <w:r>
        <w:rPr>
          <w:rFonts w:hint="eastAsia" w:ascii="宋体" w:hAnsi="宋体"/>
          <w:color w:val="auto"/>
          <w:sz w:val="24"/>
          <w:szCs w:val="24"/>
          <w:lang w:val="en-US" w:eastAsia="zh-CN"/>
        </w:rPr>
        <w:t>采购人（以下简称甲方）</w:t>
      </w:r>
      <w:r>
        <w:rPr>
          <w:rFonts w:ascii="宋体" w:hAnsi="宋体"/>
          <w:color w:val="auto"/>
          <w:sz w:val="24"/>
          <w:szCs w:val="24"/>
        </w:rPr>
        <w:t>：</w:t>
      </w:r>
      <w:r>
        <w:rPr>
          <w:rFonts w:hint="eastAsia" w:ascii="宋体" w:hAnsi="宋体"/>
          <w:color w:val="auto"/>
          <w:sz w:val="24"/>
          <w:szCs w:val="24"/>
          <w:u w:val="single"/>
          <w:lang w:val="en-US" w:eastAsia="zh-CN"/>
        </w:rPr>
        <w:t xml:space="preserve">常州市武进区礼嘉镇人民政府 </w:t>
      </w:r>
    </w:p>
    <w:p w14:paraId="0C4335B3">
      <w:pPr>
        <w:spacing w:line="360" w:lineRule="auto"/>
        <w:ind w:firstLine="480" w:firstLineChars="200"/>
        <w:jc w:val="left"/>
        <w:rPr>
          <w:rFonts w:hint="eastAsia" w:ascii="宋体" w:hAnsi="宋体" w:eastAsia="宋体"/>
          <w:color w:val="auto"/>
          <w:sz w:val="24"/>
          <w:szCs w:val="24"/>
          <w:lang w:eastAsia="zh-CN"/>
        </w:rPr>
      </w:pPr>
      <w:r>
        <w:rPr>
          <w:rFonts w:hint="eastAsia" w:ascii="宋体" w:hAnsi="宋体"/>
          <w:color w:val="auto"/>
          <w:sz w:val="24"/>
          <w:szCs w:val="24"/>
          <w:lang w:val="en-US" w:eastAsia="zh-CN"/>
        </w:rPr>
        <w:t>供应商</w:t>
      </w:r>
      <w:r>
        <w:rPr>
          <w:rFonts w:hint="eastAsia" w:ascii="宋体" w:hAnsi="宋体"/>
          <w:color w:val="auto"/>
          <w:sz w:val="24"/>
          <w:szCs w:val="24"/>
        </w:rPr>
        <w:t>（</w:t>
      </w:r>
      <w:r>
        <w:rPr>
          <w:rFonts w:hint="eastAsia" w:ascii="宋体" w:hAnsi="宋体"/>
          <w:color w:val="auto"/>
          <w:sz w:val="24"/>
          <w:szCs w:val="24"/>
          <w:lang w:val="en-US" w:eastAsia="zh-CN"/>
        </w:rPr>
        <w:t>以下简称乙方</w:t>
      </w:r>
      <w:r>
        <w:rPr>
          <w:rFonts w:hint="eastAsia" w:ascii="宋体" w:hAnsi="宋体"/>
          <w:color w:val="auto"/>
          <w:sz w:val="24"/>
          <w:szCs w:val="24"/>
        </w:rPr>
        <w:t>）：</w:t>
      </w:r>
      <w:r>
        <w:rPr>
          <w:rFonts w:hint="eastAsia" w:ascii="宋体" w:hAnsi="宋体"/>
          <w:color w:val="auto"/>
          <w:sz w:val="24"/>
          <w:szCs w:val="24"/>
          <w:u w:val="single"/>
          <w:lang w:val="en-US" w:eastAsia="zh-CN"/>
        </w:rPr>
        <w:t xml:space="preserve">江苏远宏生态科技有限公司 </w:t>
      </w:r>
    </w:p>
    <w:p w14:paraId="1257FECF">
      <w:pPr>
        <w:spacing w:line="440" w:lineRule="exact"/>
        <w:ind w:firstLine="420"/>
        <w:jc w:val="left"/>
        <w:rPr>
          <w:rFonts w:hint="eastAsia" w:ascii="宋体" w:hAnsi="宋体" w:cs="宋体"/>
          <w:color w:val="auto"/>
          <w:sz w:val="24"/>
          <w:highlight w:val="none"/>
        </w:rPr>
      </w:pPr>
      <w:r>
        <w:rPr>
          <w:rFonts w:hint="eastAsia" w:ascii="宋体" w:hAnsi="宋体" w:cs="宋体"/>
          <w:color w:val="auto"/>
          <w:sz w:val="24"/>
          <w:highlight w:val="none"/>
          <w:lang w:val="zh-CN"/>
        </w:rPr>
        <w:t>根据《中华人民共和国政府采购法》、《中华人民共和国民法典》等法律法规的规定，甲、乙</w:t>
      </w:r>
      <w:r>
        <w:rPr>
          <w:rFonts w:hint="eastAsia" w:ascii="宋体" w:hAnsi="宋体" w:cs="宋体"/>
          <w:color w:val="auto"/>
          <w:sz w:val="24"/>
          <w:highlight w:val="none"/>
          <w:lang w:val="en-US" w:eastAsia="zh-CN"/>
        </w:rPr>
        <w:t>双方</w:t>
      </w:r>
      <w:r>
        <w:rPr>
          <w:rFonts w:hint="eastAsia" w:ascii="宋体" w:hAnsi="宋体" w:cs="宋体"/>
          <w:color w:val="auto"/>
          <w:sz w:val="24"/>
          <w:highlight w:val="none"/>
          <w:lang w:val="zh-CN"/>
        </w:rPr>
        <w:t>按照本项目的采购结果签订本合同。</w:t>
      </w:r>
    </w:p>
    <w:p w14:paraId="35A5B19F">
      <w:pPr>
        <w:spacing w:line="440" w:lineRule="exact"/>
        <w:ind w:firstLine="482"/>
        <w:rPr>
          <w:rFonts w:hint="eastAsia" w:ascii="宋体" w:hAnsi="宋体" w:cs="宋体"/>
          <w:b/>
          <w:bCs/>
          <w:color w:val="auto"/>
          <w:sz w:val="24"/>
          <w:highlight w:val="none"/>
        </w:rPr>
      </w:pPr>
      <w:r>
        <w:rPr>
          <w:rFonts w:hint="eastAsia" w:ascii="宋体" w:hAnsi="宋体" w:cs="宋体"/>
          <w:b/>
          <w:bCs/>
          <w:color w:val="auto"/>
          <w:sz w:val="24"/>
          <w:highlight w:val="none"/>
        </w:rPr>
        <w:t>第一条　采购内容</w:t>
      </w:r>
    </w:p>
    <w:p w14:paraId="72713E82">
      <w:pPr>
        <w:spacing w:line="440" w:lineRule="exact"/>
        <w:ind w:firstLine="480"/>
        <w:rPr>
          <w:rFonts w:hint="eastAsia" w:ascii="宋体" w:hAnsi="宋体" w:cs="宋体"/>
          <w:color w:val="auto"/>
          <w:sz w:val="24"/>
          <w:highlight w:val="none"/>
          <w:u w:val="single"/>
        </w:rPr>
      </w:pPr>
      <w:r>
        <w:rPr>
          <w:rFonts w:hint="eastAsia" w:ascii="宋体" w:hAnsi="宋体" w:cs="宋体"/>
          <w:color w:val="auto"/>
          <w:sz w:val="24"/>
          <w:highlight w:val="none"/>
        </w:rPr>
        <w:t>1、项目名称</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w:t>
      </w:r>
    </w:p>
    <w:p w14:paraId="0ED9A139">
      <w:pPr>
        <w:spacing w:line="440" w:lineRule="exact"/>
        <w:ind w:firstLine="480"/>
        <w:rPr>
          <w:rFonts w:hint="eastAsia" w:ascii="宋体" w:hAnsi="宋体" w:cs="宋体"/>
          <w:color w:val="auto"/>
          <w:sz w:val="24"/>
          <w:szCs w:val="28"/>
          <w:highlight w:val="none"/>
        </w:rPr>
      </w:pPr>
      <w:r>
        <w:rPr>
          <w:rFonts w:hint="eastAsia" w:ascii="宋体" w:hAnsi="宋体" w:cs="宋体"/>
          <w:color w:val="auto"/>
          <w:sz w:val="24"/>
          <w:highlight w:val="none"/>
        </w:rPr>
        <w:t>2、服务范围：</w:t>
      </w:r>
      <w:r>
        <w:rPr>
          <w:rFonts w:hint="eastAsia" w:ascii="宋体" w:hAnsi="宋体" w:cs="宋体"/>
          <w:color w:val="auto"/>
          <w:sz w:val="24"/>
          <w:szCs w:val="28"/>
          <w:highlight w:val="none"/>
          <w:lang w:val="en-US" w:eastAsia="zh-CN"/>
        </w:rPr>
        <w:t>礼嘉镇农村公路沥青道路及沥青道路范围内配套设施</w:t>
      </w:r>
      <w:r>
        <w:rPr>
          <w:rFonts w:hint="eastAsia" w:ascii="宋体" w:hAnsi="宋体" w:cs="宋体"/>
          <w:color w:val="auto"/>
          <w:sz w:val="24"/>
          <w:szCs w:val="28"/>
          <w:highlight w:val="none"/>
        </w:rPr>
        <w:t>的巡查、维修、管护等项目内容。</w:t>
      </w:r>
    </w:p>
    <w:p w14:paraId="569D9E7C">
      <w:pPr>
        <w:spacing w:line="440" w:lineRule="exact"/>
        <w:ind w:firstLine="480"/>
        <w:rPr>
          <w:rFonts w:hint="default"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3、服务内容：详见《礼嘉镇农村公路（沥青）养护服务清单》。</w:t>
      </w:r>
    </w:p>
    <w:p w14:paraId="4024E1B1">
      <w:pPr>
        <w:spacing w:line="440" w:lineRule="exact"/>
        <w:ind w:firstLine="480"/>
        <w:rPr>
          <w:rFonts w:hint="eastAsia" w:ascii="宋体" w:hAnsi="宋体" w:eastAsia="宋体" w:cs="宋体"/>
          <w:bCs/>
          <w:color w:val="auto"/>
          <w:sz w:val="24"/>
          <w:szCs w:val="22"/>
          <w:highlight w:val="none"/>
          <w:lang w:val="en-US" w:eastAsia="zh-CN" w:bidi="ar-SA"/>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w:t>
      </w:r>
      <w:r>
        <w:rPr>
          <w:rFonts w:hint="eastAsia" w:ascii="宋体" w:hAnsi="宋体" w:cs="宋体"/>
          <w:bCs/>
          <w:color w:val="auto"/>
          <w:sz w:val="24"/>
          <w:highlight w:val="none"/>
        </w:rPr>
        <w:t>养护期限：</w:t>
      </w:r>
      <w:bookmarkStart w:id="0" w:name="_Hlk110248781"/>
      <w:r>
        <w:rPr>
          <w:rFonts w:hint="eastAsia" w:ascii="Times New Roman" w:hAnsi="Times New Roman" w:eastAsia="宋体" w:cs="Times New Roman"/>
          <w:color w:val="auto"/>
          <w:sz w:val="24"/>
          <w:highlight w:val="none"/>
        </w:rPr>
        <w:t>三年，合同一年一签，考核合格后续签下一年合同。</w:t>
      </w:r>
      <w:bookmarkEnd w:id="0"/>
      <w:r>
        <w:rPr>
          <w:rFonts w:hint="eastAsia" w:ascii="宋体" w:hAnsi="宋体" w:eastAsia="宋体" w:cs="宋体"/>
          <w:bCs/>
          <w:color w:val="auto"/>
          <w:sz w:val="24"/>
          <w:szCs w:val="22"/>
          <w:highlight w:val="none"/>
          <w:lang w:val="en-US" w:eastAsia="zh-CN" w:bidi="ar-SA"/>
        </w:rPr>
        <w:t>自</w:t>
      </w:r>
      <w:r>
        <w:rPr>
          <w:rFonts w:hint="eastAsia" w:ascii="宋体" w:hAnsi="宋体" w:eastAsia="宋体" w:cs="宋体"/>
          <w:bCs/>
          <w:color w:val="auto"/>
          <w:sz w:val="24"/>
          <w:szCs w:val="22"/>
          <w:highlight w:val="none"/>
          <w:u w:val="single"/>
          <w:lang w:val="en-US" w:eastAsia="zh-CN" w:bidi="ar-SA"/>
        </w:rPr>
        <w:t>2026</w:t>
      </w:r>
      <w:r>
        <w:rPr>
          <w:rFonts w:hint="eastAsia" w:ascii="宋体" w:hAnsi="宋体" w:eastAsia="宋体" w:cs="宋体"/>
          <w:bCs/>
          <w:color w:val="auto"/>
          <w:sz w:val="24"/>
          <w:szCs w:val="22"/>
          <w:highlight w:val="none"/>
          <w:lang w:val="en-US" w:eastAsia="zh-CN" w:bidi="ar-SA"/>
        </w:rPr>
        <w:t>年</w:t>
      </w:r>
      <w:r>
        <w:rPr>
          <w:rFonts w:hint="eastAsia" w:ascii="宋体" w:hAnsi="宋体" w:cs="宋体"/>
          <w:bCs/>
          <w:color w:val="auto"/>
          <w:sz w:val="24"/>
          <w:szCs w:val="22"/>
          <w:highlight w:val="none"/>
          <w:u w:val="single"/>
          <w:lang w:val="en-US" w:eastAsia="zh-CN" w:bidi="ar-SA"/>
        </w:rPr>
        <w:t>6</w:t>
      </w:r>
      <w:r>
        <w:rPr>
          <w:rFonts w:hint="eastAsia" w:ascii="宋体" w:hAnsi="宋体" w:eastAsia="宋体" w:cs="宋体"/>
          <w:bCs/>
          <w:color w:val="auto"/>
          <w:sz w:val="24"/>
          <w:szCs w:val="22"/>
          <w:highlight w:val="none"/>
          <w:lang w:val="en-US" w:eastAsia="zh-CN" w:bidi="ar-SA"/>
        </w:rPr>
        <w:t>月</w:t>
      </w:r>
      <w:r>
        <w:rPr>
          <w:rFonts w:hint="eastAsia" w:ascii="宋体" w:hAnsi="宋体" w:cs="宋体"/>
          <w:bCs/>
          <w:color w:val="auto"/>
          <w:sz w:val="24"/>
          <w:szCs w:val="22"/>
          <w:highlight w:val="none"/>
          <w:u w:val="single"/>
          <w:lang w:val="en-US" w:eastAsia="zh-CN" w:bidi="ar-SA"/>
        </w:rPr>
        <w:t>12</w:t>
      </w:r>
      <w:r>
        <w:rPr>
          <w:rFonts w:hint="eastAsia" w:ascii="宋体" w:hAnsi="宋体" w:eastAsia="宋体" w:cs="宋体"/>
          <w:bCs/>
          <w:color w:val="auto"/>
          <w:sz w:val="24"/>
          <w:szCs w:val="22"/>
          <w:highlight w:val="none"/>
          <w:lang w:val="en-US" w:eastAsia="zh-CN" w:bidi="ar-SA"/>
        </w:rPr>
        <w:t>日起至</w:t>
      </w:r>
      <w:r>
        <w:rPr>
          <w:rFonts w:hint="eastAsia" w:ascii="宋体" w:hAnsi="宋体" w:eastAsia="宋体" w:cs="宋体"/>
          <w:bCs/>
          <w:color w:val="auto"/>
          <w:sz w:val="24"/>
          <w:szCs w:val="22"/>
          <w:highlight w:val="none"/>
          <w:u w:val="single"/>
          <w:lang w:val="en-US" w:eastAsia="zh-CN" w:bidi="ar-SA"/>
        </w:rPr>
        <w:t>2029</w:t>
      </w:r>
      <w:r>
        <w:rPr>
          <w:rFonts w:hint="eastAsia" w:ascii="宋体" w:hAnsi="宋体" w:eastAsia="宋体" w:cs="宋体"/>
          <w:bCs/>
          <w:color w:val="auto"/>
          <w:sz w:val="24"/>
          <w:szCs w:val="22"/>
          <w:highlight w:val="none"/>
          <w:lang w:val="en-US" w:eastAsia="zh-CN" w:bidi="ar-SA"/>
        </w:rPr>
        <w:t>年</w:t>
      </w:r>
      <w:r>
        <w:rPr>
          <w:rFonts w:hint="eastAsia" w:ascii="宋体" w:hAnsi="宋体" w:cs="宋体"/>
          <w:bCs/>
          <w:color w:val="auto"/>
          <w:sz w:val="24"/>
          <w:szCs w:val="22"/>
          <w:highlight w:val="none"/>
          <w:u w:val="single"/>
          <w:lang w:val="en-US" w:eastAsia="zh-CN" w:bidi="ar-SA"/>
        </w:rPr>
        <w:t>6</w:t>
      </w:r>
      <w:r>
        <w:rPr>
          <w:rFonts w:hint="eastAsia" w:ascii="宋体" w:hAnsi="宋体" w:eastAsia="宋体" w:cs="宋体"/>
          <w:bCs/>
          <w:color w:val="auto"/>
          <w:sz w:val="24"/>
          <w:szCs w:val="22"/>
          <w:highlight w:val="none"/>
          <w:lang w:val="en-US" w:eastAsia="zh-CN" w:bidi="ar-SA"/>
        </w:rPr>
        <w:t>月</w:t>
      </w:r>
      <w:r>
        <w:rPr>
          <w:rFonts w:hint="eastAsia" w:ascii="宋体" w:hAnsi="宋体" w:cs="宋体"/>
          <w:bCs/>
          <w:color w:val="auto"/>
          <w:sz w:val="24"/>
          <w:szCs w:val="22"/>
          <w:highlight w:val="none"/>
          <w:u w:val="single"/>
          <w:lang w:val="en-US" w:eastAsia="zh-CN" w:bidi="ar-SA"/>
        </w:rPr>
        <w:t>11</w:t>
      </w:r>
      <w:r>
        <w:rPr>
          <w:rFonts w:hint="eastAsia" w:ascii="宋体" w:hAnsi="宋体" w:eastAsia="宋体" w:cs="宋体"/>
          <w:bCs/>
          <w:color w:val="auto"/>
          <w:sz w:val="24"/>
          <w:szCs w:val="22"/>
          <w:highlight w:val="none"/>
          <w:lang w:val="en-US" w:eastAsia="zh-CN" w:bidi="ar-SA"/>
        </w:rPr>
        <w:t>日止，考核不合格，终止合同。本合同为第1年合同，自</w:t>
      </w:r>
      <w:r>
        <w:rPr>
          <w:rFonts w:hint="eastAsia" w:ascii="宋体" w:hAnsi="宋体" w:eastAsia="宋体" w:cs="宋体"/>
          <w:bCs/>
          <w:color w:val="auto"/>
          <w:sz w:val="24"/>
          <w:szCs w:val="22"/>
          <w:highlight w:val="none"/>
          <w:u w:val="single"/>
          <w:lang w:val="en-US" w:eastAsia="zh-CN" w:bidi="ar-SA"/>
        </w:rPr>
        <w:t>2026</w:t>
      </w:r>
      <w:r>
        <w:rPr>
          <w:rFonts w:hint="eastAsia" w:ascii="宋体" w:hAnsi="宋体" w:eastAsia="宋体" w:cs="宋体"/>
          <w:bCs/>
          <w:color w:val="auto"/>
          <w:sz w:val="24"/>
          <w:szCs w:val="22"/>
          <w:highlight w:val="none"/>
          <w:lang w:val="en-US" w:eastAsia="zh-CN" w:bidi="ar-SA"/>
        </w:rPr>
        <w:t>年</w:t>
      </w:r>
      <w:r>
        <w:rPr>
          <w:rFonts w:hint="eastAsia" w:ascii="宋体" w:hAnsi="宋体" w:cs="宋体"/>
          <w:bCs/>
          <w:color w:val="auto"/>
          <w:sz w:val="24"/>
          <w:szCs w:val="22"/>
          <w:highlight w:val="none"/>
          <w:u w:val="single"/>
          <w:lang w:val="en-US" w:eastAsia="zh-CN" w:bidi="ar-SA"/>
        </w:rPr>
        <w:t>6</w:t>
      </w:r>
      <w:r>
        <w:rPr>
          <w:rFonts w:hint="eastAsia" w:ascii="宋体" w:hAnsi="宋体" w:eastAsia="宋体" w:cs="宋体"/>
          <w:bCs/>
          <w:color w:val="auto"/>
          <w:sz w:val="24"/>
          <w:szCs w:val="22"/>
          <w:highlight w:val="none"/>
          <w:lang w:val="en-US" w:eastAsia="zh-CN" w:bidi="ar-SA"/>
        </w:rPr>
        <w:t>月</w:t>
      </w:r>
      <w:r>
        <w:rPr>
          <w:rFonts w:hint="eastAsia" w:ascii="宋体" w:hAnsi="宋体" w:cs="宋体"/>
          <w:bCs/>
          <w:color w:val="auto"/>
          <w:sz w:val="24"/>
          <w:szCs w:val="22"/>
          <w:highlight w:val="none"/>
          <w:u w:val="single"/>
          <w:lang w:val="en-US" w:eastAsia="zh-CN" w:bidi="ar-SA"/>
        </w:rPr>
        <w:t>12</w:t>
      </w:r>
      <w:r>
        <w:rPr>
          <w:rFonts w:hint="eastAsia" w:ascii="宋体" w:hAnsi="宋体" w:eastAsia="宋体" w:cs="宋体"/>
          <w:bCs/>
          <w:color w:val="auto"/>
          <w:sz w:val="24"/>
          <w:szCs w:val="22"/>
          <w:highlight w:val="none"/>
          <w:lang w:val="en-US" w:eastAsia="zh-CN" w:bidi="ar-SA"/>
        </w:rPr>
        <w:t>日起至</w:t>
      </w:r>
      <w:r>
        <w:rPr>
          <w:rFonts w:hint="eastAsia" w:ascii="宋体" w:hAnsi="宋体" w:eastAsia="宋体" w:cs="宋体"/>
          <w:bCs/>
          <w:color w:val="auto"/>
          <w:sz w:val="24"/>
          <w:szCs w:val="22"/>
          <w:highlight w:val="none"/>
          <w:u w:val="single"/>
          <w:lang w:val="en-US" w:eastAsia="zh-CN" w:bidi="ar-SA"/>
        </w:rPr>
        <w:t>2027</w:t>
      </w:r>
      <w:r>
        <w:rPr>
          <w:rFonts w:hint="eastAsia" w:ascii="宋体" w:hAnsi="宋体" w:eastAsia="宋体" w:cs="宋体"/>
          <w:bCs/>
          <w:color w:val="auto"/>
          <w:sz w:val="24"/>
          <w:szCs w:val="22"/>
          <w:highlight w:val="none"/>
          <w:lang w:val="en-US" w:eastAsia="zh-CN" w:bidi="ar-SA"/>
        </w:rPr>
        <w:t>年</w:t>
      </w:r>
      <w:r>
        <w:rPr>
          <w:rFonts w:hint="eastAsia" w:ascii="宋体" w:hAnsi="宋体" w:cs="宋体"/>
          <w:bCs/>
          <w:color w:val="auto"/>
          <w:sz w:val="24"/>
          <w:szCs w:val="22"/>
          <w:highlight w:val="none"/>
          <w:u w:val="single"/>
          <w:lang w:val="en-US" w:eastAsia="zh-CN" w:bidi="ar-SA"/>
        </w:rPr>
        <w:t>6</w:t>
      </w:r>
      <w:r>
        <w:rPr>
          <w:rFonts w:hint="eastAsia" w:ascii="宋体" w:hAnsi="宋体" w:eastAsia="宋体" w:cs="宋体"/>
          <w:bCs/>
          <w:color w:val="auto"/>
          <w:sz w:val="24"/>
          <w:szCs w:val="22"/>
          <w:highlight w:val="none"/>
          <w:lang w:val="en-US" w:eastAsia="zh-CN" w:bidi="ar-SA"/>
        </w:rPr>
        <w:t>月</w:t>
      </w:r>
      <w:r>
        <w:rPr>
          <w:rFonts w:hint="eastAsia" w:ascii="宋体" w:hAnsi="宋体" w:cs="宋体"/>
          <w:bCs/>
          <w:color w:val="auto"/>
          <w:sz w:val="24"/>
          <w:szCs w:val="22"/>
          <w:highlight w:val="none"/>
          <w:u w:val="single"/>
          <w:lang w:val="en-US" w:eastAsia="zh-CN" w:bidi="ar-SA"/>
        </w:rPr>
        <w:t>11</w:t>
      </w:r>
      <w:r>
        <w:rPr>
          <w:rFonts w:hint="eastAsia" w:ascii="宋体" w:hAnsi="宋体" w:eastAsia="宋体" w:cs="宋体"/>
          <w:bCs/>
          <w:color w:val="auto"/>
          <w:sz w:val="24"/>
          <w:szCs w:val="22"/>
          <w:highlight w:val="none"/>
          <w:lang w:val="en-US" w:eastAsia="zh-CN" w:bidi="ar-SA"/>
        </w:rPr>
        <w:t>日止。</w:t>
      </w:r>
    </w:p>
    <w:p w14:paraId="606BE528">
      <w:pPr>
        <w:spacing w:line="440" w:lineRule="exact"/>
        <w:ind w:firstLine="482"/>
        <w:jc w:val="left"/>
        <w:rPr>
          <w:rFonts w:hint="eastAsia" w:ascii="宋体" w:hAnsi="宋体" w:cs="宋体"/>
          <w:b/>
          <w:bCs w:val="0"/>
          <w:color w:val="auto"/>
          <w:sz w:val="24"/>
          <w:highlight w:val="none"/>
          <w:lang w:val="zh-CN"/>
        </w:rPr>
      </w:pPr>
      <w:r>
        <w:rPr>
          <w:rFonts w:hint="eastAsia" w:ascii="宋体" w:hAnsi="宋体" w:cs="宋体"/>
          <w:b/>
          <w:bCs w:val="0"/>
          <w:color w:val="auto"/>
          <w:sz w:val="24"/>
          <w:highlight w:val="none"/>
          <w:lang w:val="zh-CN"/>
        </w:rPr>
        <w:t>第二条　合同总价款</w:t>
      </w:r>
    </w:p>
    <w:p w14:paraId="71D396EA">
      <w:pPr>
        <w:spacing w:line="440" w:lineRule="exact"/>
        <w:ind w:firstLine="480"/>
        <w:jc w:val="left"/>
        <w:rPr>
          <w:rFonts w:hint="default" w:ascii="宋体" w:hAnsi="宋体" w:eastAsia="宋体" w:cs="宋体"/>
          <w:color w:val="auto"/>
          <w:sz w:val="24"/>
          <w:szCs w:val="22"/>
          <w:highlight w:val="none"/>
          <w:lang w:val="en-US" w:eastAsia="zh-CN" w:bidi="ar-SA"/>
        </w:rPr>
      </w:pPr>
      <w:r>
        <w:rPr>
          <w:rFonts w:hint="eastAsia" w:ascii="宋体" w:hAnsi="宋体" w:cs="宋体"/>
          <w:color w:val="auto"/>
          <w:sz w:val="24"/>
          <w:szCs w:val="22"/>
          <w:highlight w:val="none"/>
          <w:lang w:val="en-US" w:eastAsia="zh-CN" w:bidi="ar-SA"/>
        </w:rPr>
        <w:t>1、</w:t>
      </w:r>
      <w:r>
        <w:rPr>
          <w:rFonts w:hint="eastAsia" w:ascii="宋体" w:hAnsi="宋体" w:eastAsia="宋体" w:cs="宋体"/>
          <w:color w:val="auto"/>
          <w:sz w:val="24"/>
          <w:szCs w:val="22"/>
          <w:highlight w:val="none"/>
          <w:lang w:val="en-US" w:eastAsia="zh-CN" w:bidi="ar-SA"/>
        </w:rPr>
        <w:t>本项目三年合同总价款为人民币(小写</w:t>
      </w:r>
      <w:r>
        <w:rPr>
          <w:rFonts w:hint="eastAsia" w:ascii="宋体" w:hAnsi="宋体" w:cs="宋体"/>
          <w:color w:val="auto"/>
          <w:sz w:val="24"/>
          <w:szCs w:val="22"/>
          <w:highlight w:val="none"/>
          <w:lang w:val="en-US" w:eastAsia="zh-CN" w:bidi="ar-SA"/>
        </w:rPr>
        <w:t>：</w:t>
      </w:r>
      <w:r>
        <w:rPr>
          <w:rFonts w:hint="eastAsia" w:ascii="宋体" w:hAnsi="宋体" w:cs="宋体"/>
          <w:color w:val="auto"/>
          <w:sz w:val="24"/>
          <w:szCs w:val="22"/>
          <w:highlight w:val="none"/>
          <w:u w:val="single"/>
          <w:lang w:val="en-US" w:eastAsia="zh-CN" w:bidi="ar-SA"/>
        </w:rPr>
        <w:t xml:space="preserve">3000000.00元 </w:t>
      </w:r>
      <w:r>
        <w:rPr>
          <w:rFonts w:hint="eastAsia" w:ascii="宋体" w:hAnsi="宋体" w:eastAsia="宋体" w:cs="宋体"/>
          <w:color w:val="auto"/>
          <w:sz w:val="24"/>
          <w:szCs w:val="22"/>
          <w:highlight w:val="none"/>
          <w:lang w:val="en-US" w:eastAsia="zh-CN" w:bidi="ar-SA"/>
        </w:rPr>
        <w:t>)，(大写</w:t>
      </w:r>
      <w:r>
        <w:rPr>
          <w:rFonts w:hint="eastAsia" w:ascii="宋体" w:hAnsi="宋体" w:cs="宋体"/>
          <w:color w:val="auto"/>
          <w:sz w:val="24"/>
          <w:szCs w:val="22"/>
          <w:highlight w:val="none"/>
          <w:lang w:val="en-US" w:eastAsia="zh-CN" w:bidi="ar-SA"/>
        </w:rPr>
        <w:t>：</w:t>
      </w:r>
      <w:r>
        <w:rPr>
          <w:rFonts w:hint="eastAsia" w:ascii="宋体" w:hAnsi="宋体" w:cs="宋体"/>
          <w:color w:val="auto"/>
          <w:sz w:val="24"/>
          <w:szCs w:val="22"/>
          <w:highlight w:val="none"/>
          <w:u w:val="single"/>
          <w:lang w:val="en-US" w:eastAsia="zh-CN" w:bidi="ar-SA"/>
        </w:rPr>
        <w:t>叁佰万元整</w:t>
      </w:r>
      <w:r>
        <w:rPr>
          <w:rFonts w:hint="eastAsia" w:ascii="宋体" w:hAnsi="宋体" w:eastAsia="宋体" w:cs="宋体"/>
          <w:color w:val="auto"/>
          <w:sz w:val="24"/>
          <w:szCs w:val="22"/>
          <w:highlight w:val="none"/>
          <w:lang w:val="en-US" w:eastAsia="zh-CN" w:bidi="ar-SA"/>
        </w:rPr>
        <w:t>)。即年度合同总价款为人民币(小写</w:t>
      </w:r>
      <w:r>
        <w:rPr>
          <w:rFonts w:hint="eastAsia" w:ascii="宋体" w:hAnsi="宋体" w:cs="宋体"/>
          <w:color w:val="auto"/>
          <w:sz w:val="24"/>
          <w:szCs w:val="22"/>
          <w:highlight w:val="none"/>
          <w:lang w:val="en-US" w:eastAsia="zh-CN" w:bidi="ar-SA"/>
        </w:rPr>
        <w:t>：</w:t>
      </w:r>
      <w:r>
        <w:rPr>
          <w:rFonts w:hint="eastAsia" w:ascii="宋体" w:hAnsi="宋体" w:cs="宋体"/>
          <w:color w:val="auto"/>
          <w:sz w:val="24"/>
          <w:szCs w:val="22"/>
          <w:highlight w:val="none"/>
          <w:u w:val="single"/>
          <w:lang w:val="en-US" w:eastAsia="zh-CN" w:bidi="ar-SA"/>
        </w:rPr>
        <w:t>1000000.00元</w:t>
      </w:r>
      <w:r>
        <w:rPr>
          <w:rFonts w:hint="eastAsia" w:ascii="宋体" w:hAnsi="宋体" w:eastAsia="宋体" w:cs="宋体"/>
          <w:color w:val="auto"/>
          <w:sz w:val="24"/>
          <w:szCs w:val="22"/>
          <w:highlight w:val="none"/>
          <w:lang w:val="en-US" w:eastAsia="zh-CN" w:bidi="ar-SA"/>
        </w:rPr>
        <w:t>)(大写</w:t>
      </w:r>
      <w:r>
        <w:rPr>
          <w:rFonts w:hint="eastAsia" w:ascii="宋体" w:hAnsi="宋体" w:cs="宋体"/>
          <w:color w:val="auto"/>
          <w:sz w:val="24"/>
          <w:szCs w:val="22"/>
          <w:highlight w:val="none"/>
          <w:lang w:val="en-US" w:eastAsia="zh-CN" w:bidi="ar-SA"/>
        </w:rPr>
        <w:t>：</w:t>
      </w:r>
      <w:r>
        <w:rPr>
          <w:rFonts w:hint="eastAsia" w:ascii="宋体" w:hAnsi="宋体" w:cs="宋体"/>
          <w:color w:val="auto"/>
          <w:sz w:val="24"/>
          <w:szCs w:val="22"/>
          <w:highlight w:val="none"/>
          <w:u w:val="single"/>
          <w:lang w:val="en-US" w:eastAsia="zh-CN" w:bidi="ar-SA"/>
        </w:rPr>
        <w:t>壹佰万元整</w:t>
      </w:r>
      <w:r>
        <w:rPr>
          <w:rFonts w:hint="eastAsia" w:ascii="宋体" w:hAnsi="宋体" w:eastAsia="宋体" w:cs="宋体"/>
          <w:color w:val="auto"/>
          <w:sz w:val="24"/>
          <w:szCs w:val="22"/>
          <w:highlight w:val="none"/>
          <w:lang w:val="en-US" w:eastAsia="zh-CN" w:bidi="ar-SA"/>
        </w:rPr>
        <w:t>)。</w:t>
      </w:r>
      <w:r>
        <w:rPr>
          <w:rFonts w:hint="eastAsia" w:ascii="宋体" w:hAnsi="宋体" w:cs="宋体"/>
          <w:color w:val="auto"/>
          <w:sz w:val="24"/>
          <w:szCs w:val="22"/>
          <w:highlight w:val="none"/>
          <w:lang w:val="en-US" w:eastAsia="zh-CN" w:bidi="ar-SA"/>
        </w:rPr>
        <w:t>税率：</w:t>
      </w:r>
      <w:r>
        <w:rPr>
          <w:rFonts w:hint="eastAsia" w:ascii="宋体" w:hAnsi="宋体" w:cs="宋体"/>
          <w:color w:val="auto"/>
          <w:sz w:val="24"/>
          <w:szCs w:val="22"/>
          <w:highlight w:val="none"/>
          <w:u w:val="single"/>
          <w:lang w:val="en-US" w:eastAsia="zh-CN" w:bidi="ar-SA"/>
        </w:rPr>
        <w:t>9%</w:t>
      </w:r>
      <w:r>
        <w:rPr>
          <w:rFonts w:hint="eastAsia" w:ascii="宋体" w:hAnsi="宋体" w:cs="宋体"/>
          <w:color w:val="auto"/>
          <w:sz w:val="24"/>
          <w:szCs w:val="22"/>
          <w:highlight w:val="none"/>
          <w:lang w:val="en-US" w:eastAsia="zh-CN" w:bidi="ar-SA"/>
        </w:rPr>
        <w:t>。</w:t>
      </w:r>
    </w:p>
    <w:p w14:paraId="333ADBB3">
      <w:pPr>
        <w:spacing w:line="440" w:lineRule="exact"/>
        <w:ind w:firstLine="480"/>
        <w:jc w:val="left"/>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2、</w:t>
      </w:r>
      <w:r>
        <w:rPr>
          <w:rFonts w:hint="eastAsia" w:ascii="宋体" w:hAnsi="宋体" w:cs="宋体"/>
          <w:bCs/>
          <w:color w:val="auto"/>
          <w:sz w:val="24"/>
          <w:highlight w:val="none"/>
          <w:lang w:val="zh-CN"/>
        </w:rPr>
        <w:t>本合同价款采用</w:t>
      </w:r>
      <w:r>
        <w:rPr>
          <w:rFonts w:hint="eastAsia" w:ascii="宋体" w:hAnsi="宋体" w:cs="宋体"/>
          <w:b/>
          <w:bCs w:val="0"/>
          <w:color w:val="auto"/>
          <w:sz w:val="24"/>
          <w:highlight w:val="none"/>
          <w:u w:val="single"/>
          <w:lang w:val="zh-CN"/>
        </w:rPr>
        <w:t>固定</w:t>
      </w:r>
      <w:r>
        <w:rPr>
          <w:rFonts w:hint="eastAsia" w:ascii="宋体" w:hAnsi="宋体" w:cs="宋体"/>
          <w:b/>
          <w:bCs w:val="0"/>
          <w:color w:val="auto"/>
          <w:sz w:val="24"/>
          <w:highlight w:val="none"/>
          <w:u w:val="single"/>
          <w:lang w:val="en-US" w:eastAsia="zh-CN"/>
        </w:rPr>
        <w:t>折扣</w:t>
      </w:r>
      <w:r>
        <w:rPr>
          <w:rFonts w:hint="eastAsia" w:ascii="宋体" w:hAnsi="宋体" w:cs="宋体"/>
          <w:b/>
          <w:bCs w:val="0"/>
          <w:color w:val="auto"/>
          <w:sz w:val="24"/>
          <w:highlight w:val="none"/>
          <w:u w:val="single"/>
          <w:lang w:val="zh-CN"/>
        </w:rPr>
        <w:t>方式</w:t>
      </w:r>
      <w:r>
        <w:rPr>
          <w:rFonts w:hint="eastAsia" w:ascii="宋体" w:hAnsi="宋体" w:cs="宋体"/>
          <w:bCs/>
          <w:color w:val="auto"/>
          <w:sz w:val="24"/>
          <w:highlight w:val="none"/>
          <w:lang w:val="zh-CN"/>
        </w:rPr>
        <w:t>确定；</w:t>
      </w:r>
      <w:r>
        <w:rPr>
          <w:rFonts w:hint="eastAsia" w:ascii="宋体" w:hAnsi="宋体" w:cs="宋体"/>
          <w:bCs/>
          <w:color w:val="auto"/>
          <w:sz w:val="24"/>
          <w:highlight w:val="none"/>
          <w:lang w:val="en-US" w:eastAsia="zh-CN"/>
        </w:rPr>
        <w:t>固定折扣为</w:t>
      </w:r>
      <w:r>
        <w:rPr>
          <w:rFonts w:hint="eastAsia" w:ascii="宋体" w:hAnsi="宋体" w:cs="宋体"/>
          <w:bCs/>
          <w:color w:val="auto"/>
          <w:sz w:val="24"/>
          <w:highlight w:val="none"/>
          <w:u w:val="single"/>
          <w:lang w:val="en-US" w:eastAsia="zh-CN"/>
        </w:rPr>
        <w:t>88</w:t>
      </w:r>
      <w:r>
        <w:rPr>
          <w:rFonts w:hint="eastAsia" w:ascii="宋体" w:hAnsi="宋体" w:cs="宋体"/>
          <w:bCs/>
          <w:color w:val="auto"/>
          <w:sz w:val="24"/>
          <w:highlight w:val="none"/>
          <w:lang w:val="en-US" w:eastAsia="zh-CN"/>
        </w:rPr>
        <w:t>%。</w:t>
      </w:r>
    </w:p>
    <w:p w14:paraId="1C1B2CB9">
      <w:pPr>
        <w:spacing w:line="440" w:lineRule="exact"/>
        <w:ind w:firstLine="480"/>
        <w:jc w:val="left"/>
        <w:rPr>
          <w:rFonts w:hint="eastAsia" w:ascii="宋体" w:hAnsi="宋体" w:eastAsia="宋体" w:cs="宋体"/>
          <w:color w:val="auto"/>
          <w:sz w:val="24"/>
          <w:szCs w:val="22"/>
          <w:highlight w:val="none"/>
          <w:lang w:val="zh-CN" w:eastAsia="zh-CN" w:bidi="ar-SA"/>
        </w:rPr>
      </w:pPr>
      <w:r>
        <w:rPr>
          <w:rFonts w:hint="eastAsia" w:ascii="宋体" w:hAnsi="宋体" w:cs="宋体"/>
          <w:color w:val="auto"/>
          <w:sz w:val="24"/>
          <w:szCs w:val="22"/>
          <w:highlight w:val="none"/>
          <w:lang w:val="en-US" w:eastAsia="zh-CN" w:bidi="ar-SA"/>
        </w:rPr>
        <w:t>3、</w:t>
      </w:r>
      <w:r>
        <w:rPr>
          <w:rFonts w:hint="eastAsia" w:ascii="宋体" w:hAnsi="宋体" w:eastAsia="宋体" w:cs="宋体"/>
          <w:color w:val="auto"/>
          <w:sz w:val="24"/>
          <w:szCs w:val="22"/>
          <w:highlight w:val="none"/>
          <w:lang w:val="en-US" w:eastAsia="zh-CN" w:bidi="ar-SA"/>
        </w:rPr>
        <w:t>本合同</w:t>
      </w:r>
      <w:r>
        <w:rPr>
          <w:rFonts w:hint="eastAsia" w:ascii="宋体" w:hAnsi="宋体" w:cs="宋体"/>
          <w:bCs/>
          <w:color w:val="auto"/>
          <w:sz w:val="24"/>
          <w:highlight w:val="none"/>
          <w:lang w:val="en-US" w:eastAsia="zh-CN"/>
        </w:rPr>
        <w:t>礼嘉镇农村公路（沥青）养护服务清单</w:t>
      </w:r>
      <w:r>
        <w:rPr>
          <w:rFonts w:hint="eastAsia" w:ascii="宋体" w:hAnsi="宋体" w:cs="宋体"/>
          <w:color w:val="auto"/>
          <w:sz w:val="24"/>
          <w:szCs w:val="22"/>
          <w:highlight w:val="none"/>
          <w:lang w:val="en-US" w:eastAsia="zh-CN" w:bidi="ar-SA"/>
        </w:rPr>
        <w:t>全费用单价为</w:t>
      </w:r>
      <w:r>
        <w:rPr>
          <w:rFonts w:hint="eastAsia" w:ascii="宋体" w:hAnsi="宋体" w:eastAsia="宋体" w:cs="宋体"/>
          <w:color w:val="auto"/>
          <w:sz w:val="24"/>
          <w:szCs w:val="22"/>
          <w:highlight w:val="none"/>
          <w:lang w:val="en-US" w:eastAsia="zh-CN" w:bidi="ar-SA"/>
        </w:rPr>
        <w:t>完成一个规定计量单位的清单项目所需的人工费、材料费、机械使用费、企业管理费、利润、措施项目费、活动护栏保管费、辖区内专职巡查费、其它项目费、规费、税金等因素的价格表示</w:t>
      </w:r>
      <w:r>
        <w:rPr>
          <w:rFonts w:hint="eastAsia" w:ascii="宋体" w:hAnsi="宋体" w:cs="宋体"/>
          <w:color w:val="auto"/>
          <w:sz w:val="24"/>
          <w:szCs w:val="22"/>
          <w:highlight w:val="none"/>
          <w:lang w:val="en-US" w:eastAsia="zh-CN" w:bidi="ar-SA"/>
        </w:rPr>
        <w:t>。</w:t>
      </w:r>
    </w:p>
    <w:p w14:paraId="0401E45F">
      <w:pPr>
        <w:spacing w:line="440" w:lineRule="exact"/>
        <w:ind w:firstLine="482"/>
        <w:jc w:val="left"/>
        <w:rPr>
          <w:rFonts w:hint="eastAsia" w:ascii="宋体" w:hAnsi="宋体" w:cs="宋体"/>
          <w:b/>
          <w:bCs w:val="0"/>
          <w:color w:val="auto"/>
          <w:sz w:val="24"/>
          <w:highlight w:val="none"/>
          <w:lang w:val="zh-CN"/>
        </w:rPr>
      </w:pPr>
      <w:r>
        <w:rPr>
          <w:rFonts w:hint="eastAsia" w:ascii="宋体" w:hAnsi="宋体" w:cs="宋体"/>
          <w:b/>
          <w:bCs w:val="0"/>
          <w:color w:val="auto"/>
          <w:sz w:val="24"/>
          <w:highlight w:val="none"/>
          <w:lang w:val="zh-CN"/>
        </w:rPr>
        <w:t>第三条　组成本合同的有关文件</w:t>
      </w:r>
    </w:p>
    <w:p w14:paraId="0CE00A11">
      <w:pPr>
        <w:spacing w:line="440" w:lineRule="exact"/>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rPr>
        <w:t>下列关于本次采购活动方式相适应的文件及有关附件是本合同不可分割的组成部分，与本合同具有同等法律效力，这些文件包括但不限于：</w:t>
      </w:r>
    </w:p>
    <w:p w14:paraId="5A0EC2FB">
      <w:pPr>
        <w:spacing w:line="440" w:lineRule="exact"/>
        <w:ind w:firstLine="480"/>
        <w:jc w:val="left"/>
        <w:rPr>
          <w:rFonts w:hint="eastAsia" w:ascii="宋体" w:hAnsi="宋体" w:cs="宋体"/>
          <w:color w:val="auto"/>
          <w:sz w:val="24"/>
          <w:highlight w:val="none"/>
          <w:lang w:val="zh-CN"/>
        </w:rPr>
      </w:pPr>
      <w:r>
        <w:rPr>
          <w:rFonts w:hint="eastAsia" w:ascii="宋体" w:hAnsi="宋体" w:cs="宋体"/>
          <w:color w:val="auto"/>
          <w:sz w:val="24"/>
          <w:highlight w:val="none"/>
          <w:lang w:val="zh-CN"/>
        </w:rPr>
        <w:t>（1）招标文件；</w:t>
      </w:r>
    </w:p>
    <w:p w14:paraId="4A8DC5FD">
      <w:pPr>
        <w:spacing w:line="440" w:lineRule="exact"/>
        <w:ind w:firstLine="480"/>
        <w:jc w:val="left"/>
        <w:rPr>
          <w:rFonts w:hint="eastAsia" w:ascii="宋体" w:hAnsi="宋体" w:cs="宋体"/>
          <w:color w:val="auto"/>
          <w:sz w:val="24"/>
          <w:highlight w:val="none"/>
          <w:lang w:val="zh-CN"/>
        </w:rPr>
      </w:pPr>
      <w:r>
        <w:rPr>
          <w:rFonts w:hint="eastAsia" w:ascii="宋体" w:hAnsi="宋体" w:cs="宋体"/>
          <w:color w:val="auto"/>
          <w:sz w:val="24"/>
          <w:highlight w:val="none"/>
          <w:lang w:val="zh-CN"/>
        </w:rPr>
        <w:t>（2）投标文件；</w:t>
      </w:r>
    </w:p>
    <w:p w14:paraId="473F67D0">
      <w:pPr>
        <w:spacing w:line="440" w:lineRule="exact"/>
        <w:ind w:firstLine="480"/>
        <w:jc w:val="left"/>
        <w:rPr>
          <w:rFonts w:hint="eastAsia" w:ascii="宋体" w:hAnsi="宋体" w:cs="宋体"/>
          <w:color w:val="auto"/>
          <w:sz w:val="24"/>
          <w:highlight w:val="none"/>
          <w:lang w:val="zh-CN"/>
        </w:rPr>
      </w:pPr>
      <w:r>
        <w:rPr>
          <w:rFonts w:hint="eastAsia" w:ascii="宋体" w:hAnsi="宋体" w:cs="宋体"/>
          <w:color w:val="auto"/>
          <w:sz w:val="24"/>
          <w:highlight w:val="none"/>
          <w:lang w:val="zh-CN"/>
        </w:rPr>
        <w:t>（3）中标通知书；</w:t>
      </w:r>
    </w:p>
    <w:p w14:paraId="53562E1B">
      <w:pPr>
        <w:spacing w:line="440" w:lineRule="exact"/>
        <w:ind w:firstLine="480"/>
        <w:jc w:val="left"/>
        <w:rPr>
          <w:rFonts w:hint="eastAsia" w:ascii="宋体" w:hAnsi="宋体" w:cs="宋体"/>
          <w:color w:val="auto"/>
          <w:sz w:val="24"/>
          <w:highlight w:val="none"/>
          <w:lang w:val="zh-CN"/>
        </w:rPr>
      </w:pPr>
      <w:r>
        <w:rPr>
          <w:rFonts w:hint="eastAsia" w:ascii="宋体" w:hAnsi="宋体" w:cs="宋体"/>
          <w:color w:val="auto"/>
          <w:sz w:val="24"/>
          <w:highlight w:val="none"/>
          <w:lang w:val="zh-CN"/>
        </w:rPr>
        <w:t>（4）中标人在投标、评标过程中所作其它有关承诺、声明、书面澄清；</w:t>
      </w:r>
    </w:p>
    <w:p w14:paraId="437CB356">
      <w:pPr>
        <w:spacing w:line="440" w:lineRule="exact"/>
        <w:ind w:firstLine="480"/>
        <w:jc w:val="left"/>
        <w:rPr>
          <w:rFonts w:hint="eastAsia" w:ascii="宋体" w:hAnsi="宋体" w:cs="宋体"/>
          <w:color w:val="auto"/>
          <w:sz w:val="24"/>
          <w:highlight w:val="none"/>
          <w:lang w:val="zh-CN"/>
        </w:rPr>
      </w:pPr>
      <w:r>
        <w:rPr>
          <w:rFonts w:hint="eastAsia" w:ascii="宋体" w:hAnsi="宋体" w:cs="宋体"/>
          <w:color w:val="auto"/>
          <w:sz w:val="24"/>
          <w:highlight w:val="none"/>
          <w:lang w:val="zh-CN"/>
        </w:rPr>
        <w:t>（5）甲乙双方商定的其他文件等。</w:t>
      </w:r>
    </w:p>
    <w:p w14:paraId="327BEFAE">
      <w:pPr>
        <w:spacing w:line="440" w:lineRule="exact"/>
        <w:ind w:firstLine="482"/>
        <w:jc w:val="left"/>
        <w:rPr>
          <w:rFonts w:hint="eastAsia" w:ascii="宋体" w:hAnsi="宋体" w:cs="宋体"/>
          <w:b/>
          <w:bCs/>
          <w:color w:val="auto"/>
          <w:sz w:val="24"/>
          <w:highlight w:val="none"/>
        </w:rPr>
      </w:pPr>
      <w:r>
        <w:rPr>
          <w:rFonts w:hint="eastAsia" w:ascii="宋体" w:hAnsi="宋体" w:cs="宋体"/>
          <w:b/>
          <w:bCs/>
          <w:color w:val="auto"/>
          <w:sz w:val="24"/>
          <w:highlight w:val="none"/>
        </w:rPr>
        <w:t>第四条 甲方工作</w:t>
      </w:r>
    </w:p>
    <w:p w14:paraId="1131BB84">
      <w:pPr>
        <w:spacing w:line="440" w:lineRule="exact"/>
        <w:ind w:firstLine="42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场地具备开工时间和完成时间的要求：以不影响项目</w:t>
      </w:r>
      <w:r>
        <w:rPr>
          <w:rFonts w:hint="eastAsia" w:ascii="宋体" w:hAnsi="宋体" w:cs="宋体"/>
          <w:color w:val="auto"/>
          <w:sz w:val="24"/>
          <w:highlight w:val="none"/>
          <w:lang w:val="en-US" w:eastAsia="zh-CN"/>
        </w:rPr>
        <w:t>养护</w:t>
      </w:r>
      <w:r>
        <w:rPr>
          <w:rFonts w:hint="eastAsia" w:ascii="宋体" w:hAnsi="宋体" w:cs="宋体"/>
          <w:color w:val="auto"/>
          <w:sz w:val="24"/>
          <w:highlight w:val="none"/>
        </w:rPr>
        <w:t>为原则。</w:t>
      </w:r>
    </w:p>
    <w:p w14:paraId="5B4C1CED">
      <w:pPr>
        <w:spacing w:line="440" w:lineRule="exact"/>
        <w:ind w:firstLine="42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甲方配合乙方协调</w:t>
      </w:r>
      <w:r>
        <w:rPr>
          <w:rFonts w:hint="eastAsia" w:ascii="宋体" w:hAnsi="宋体" w:cs="宋体"/>
          <w:color w:val="auto"/>
          <w:sz w:val="24"/>
          <w:highlight w:val="none"/>
          <w:lang w:val="en-US" w:eastAsia="zh-CN"/>
        </w:rPr>
        <w:t>服务</w:t>
      </w:r>
      <w:r>
        <w:rPr>
          <w:rFonts w:hint="eastAsia" w:ascii="宋体" w:hAnsi="宋体" w:cs="宋体"/>
          <w:color w:val="auto"/>
          <w:sz w:val="24"/>
          <w:highlight w:val="none"/>
        </w:rPr>
        <w:t>有关的生活用水、电和临时用地等事项。</w:t>
      </w:r>
    </w:p>
    <w:p w14:paraId="2CC9F247">
      <w:pPr>
        <w:spacing w:line="440" w:lineRule="exact"/>
        <w:ind w:firstLine="42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按照</w:t>
      </w:r>
      <w:r>
        <w:rPr>
          <w:rFonts w:hint="eastAsia" w:ascii="宋体" w:hAnsi="宋体" w:cs="宋体"/>
          <w:color w:val="auto"/>
          <w:sz w:val="24"/>
          <w:highlight w:val="none"/>
          <w:lang w:val="en-US" w:eastAsia="zh-CN"/>
        </w:rPr>
        <w:t>常州市</w:t>
      </w:r>
      <w:r>
        <w:rPr>
          <w:rFonts w:hint="eastAsia" w:ascii="宋体" w:hAnsi="宋体" w:cs="宋体"/>
          <w:color w:val="auto"/>
          <w:sz w:val="24"/>
          <w:highlight w:val="none"/>
        </w:rPr>
        <w:t>有关规定对乙方的</w:t>
      </w:r>
      <w:r>
        <w:rPr>
          <w:rFonts w:hint="eastAsia" w:ascii="宋体" w:hAnsi="宋体" w:cs="宋体"/>
          <w:color w:val="auto"/>
          <w:sz w:val="24"/>
          <w:highlight w:val="none"/>
          <w:lang w:val="en-US" w:eastAsia="zh-CN"/>
        </w:rPr>
        <w:t>养护</w:t>
      </w:r>
      <w:r>
        <w:rPr>
          <w:rFonts w:hint="eastAsia" w:ascii="宋体" w:hAnsi="宋体" w:cs="宋体"/>
          <w:color w:val="auto"/>
          <w:sz w:val="24"/>
          <w:highlight w:val="none"/>
        </w:rPr>
        <w:t>管理工作进行全面检查和监督。</w:t>
      </w:r>
    </w:p>
    <w:p w14:paraId="21043A9F">
      <w:pPr>
        <w:spacing w:line="440" w:lineRule="exact"/>
        <w:ind w:firstLine="42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lang w:val="en-US" w:eastAsia="zh-CN"/>
        </w:rPr>
        <w:t>按照《</w:t>
      </w:r>
      <w:r>
        <w:rPr>
          <w:rFonts w:hint="eastAsia" w:ascii="宋体" w:hAnsi="宋体" w:cs="宋体"/>
          <w:color w:val="auto"/>
          <w:sz w:val="24"/>
          <w:highlight w:val="none"/>
          <w:lang w:val="en-US" w:eastAsia="zh-CN"/>
        </w:rPr>
        <w:t>礼嘉镇农村公路（沥青）养护服务考核评分表</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lang w:eastAsia="zh-CN"/>
        </w:rPr>
        <w:t>对乙方的工作及履行合同情况进行指导和考核。</w:t>
      </w:r>
    </w:p>
    <w:p w14:paraId="0ABFA542">
      <w:pPr>
        <w:spacing w:line="440" w:lineRule="exact"/>
        <w:ind w:firstLine="482"/>
        <w:jc w:val="left"/>
        <w:rPr>
          <w:rFonts w:hint="eastAsia" w:ascii="宋体" w:hAnsi="宋体" w:cs="宋体"/>
          <w:b/>
          <w:bCs/>
          <w:color w:val="auto"/>
          <w:sz w:val="24"/>
          <w:highlight w:val="none"/>
        </w:rPr>
      </w:pPr>
      <w:r>
        <w:rPr>
          <w:rFonts w:hint="eastAsia" w:ascii="宋体" w:hAnsi="宋体" w:cs="宋体"/>
          <w:b/>
          <w:bCs/>
          <w:color w:val="auto"/>
          <w:sz w:val="24"/>
          <w:highlight w:val="none"/>
        </w:rPr>
        <w:t>第五条 乙方工作</w:t>
      </w:r>
    </w:p>
    <w:p w14:paraId="1B2D94FA">
      <w:pPr>
        <w:spacing w:line="440" w:lineRule="exact"/>
        <w:ind w:firstLine="42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1、养护</w:t>
      </w:r>
      <w:r>
        <w:rPr>
          <w:rFonts w:hint="eastAsia" w:ascii="宋体" w:hAnsi="宋体" w:cs="宋体"/>
          <w:color w:val="auto"/>
          <w:sz w:val="24"/>
          <w:highlight w:val="none"/>
        </w:rPr>
        <w:t>安全防护工作要求：执行相关规定，注重安全保障，加强</w:t>
      </w:r>
      <w:r>
        <w:rPr>
          <w:rFonts w:hint="eastAsia" w:ascii="宋体" w:hAnsi="宋体" w:cs="宋体"/>
          <w:color w:val="auto"/>
          <w:sz w:val="24"/>
          <w:highlight w:val="none"/>
          <w:lang w:val="en-US" w:eastAsia="zh-CN"/>
        </w:rPr>
        <w:t>养护</w:t>
      </w:r>
      <w:r>
        <w:rPr>
          <w:rFonts w:hint="eastAsia" w:ascii="宋体" w:hAnsi="宋体" w:cs="宋体"/>
          <w:color w:val="auto"/>
          <w:sz w:val="24"/>
          <w:highlight w:val="none"/>
        </w:rPr>
        <w:t>区域安全防护措施，做好日常、季节性及夜间</w:t>
      </w:r>
      <w:r>
        <w:rPr>
          <w:rFonts w:hint="eastAsia" w:ascii="宋体" w:hAnsi="宋体" w:cs="宋体"/>
          <w:color w:val="auto"/>
          <w:sz w:val="24"/>
          <w:highlight w:val="none"/>
          <w:lang w:val="en-US" w:eastAsia="zh-CN"/>
        </w:rPr>
        <w:t>养护</w:t>
      </w:r>
      <w:r>
        <w:rPr>
          <w:rFonts w:hint="eastAsia" w:ascii="宋体" w:hAnsi="宋体" w:cs="宋体"/>
          <w:color w:val="auto"/>
          <w:sz w:val="24"/>
          <w:highlight w:val="none"/>
        </w:rPr>
        <w:t>的影像记录，确保</w:t>
      </w:r>
      <w:r>
        <w:rPr>
          <w:rFonts w:hint="eastAsia" w:ascii="宋体" w:hAnsi="宋体" w:cs="宋体"/>
          <w:color w:val="auto"/>
          <w:sz w:val="24"/>
          <w:highlight w:val="none"/>
          <w:lang w:val="en-US" w:eastAsia="zh-CN"/>
        </w:rPr>
        <w:t>养护</w:t>
      </w:r>
      <w:r>
        <w:rPr>
          <w:rFonts w:hint="eastAsia" w:ascii="宋体" w:hAnsi="宋体" w:cs="宋体"/>
          <w:color w:val="auto"/>
          <w:sz w:val="24"/>
          <w:highlight w:val="none"/>
        </w:rPr>
        <w:t>人员和其他人员的安全并承担相应费用，一切安全隐患、安全事故以及因此产生的费用均由</w:t>
      </w:r>
      <w:r>
        <w:rPr>
          <w:rFonts w:hint="eastAsia" w:ascii="宋体" w:hAnsi="宋体" w:cs="宋体"/>
          <w:color w:val="auto"/>
          <w:sz w:val="24"/>
          <w:highlight w:val="none"/>
          <w:lang w:val="en-US" w:eastAsia="zh-CN"/>
        </w:rPr>
        <w:t>乙</w:t>
      </w:r>
      <w:r>
        <w:rPr>
          <w:rFonts w:hint="eastAsia" w:ascii="宋体" w:hAnsi="宋体" w:cs="宋体"/>
          <w:color w:val="auto"/>
          <w:sz w:val="24"/>
          <w:highlight w:val="none"/>
        </w:rPr>
        <w:t>方负责</w:t>
      </w:r>
      <w:r>
        <w:rPr>
          <w:rFonts w:hint="eastAsia" w:ascii="宋体" w:hAnsi="宋体" w:cs="宋体"/>
          <w:color w:val="auto"/>
          <w:sz w:val="24"/>
          <w:highlight w:val="none"/>
          <w:lang w:eastAsia="zh-CN"/>
        </w:rPr>
        <w:t>。</w:t>
      </w:r>
    </w:p>
    <w:p w14:paraId="6A420954">
      <w:pPr>
        <w:spacing w:line="440" w:lineRule="exact"/>
        <w:ind w:firstLine="42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乙方在</w:t>
      </w:r>
      <w:r>
        <w:rPr>
          <w:rFonts w:hint="eastAsia" w:ascii="宋体" w:hAnsi="宋体" w:cs="宋体"/>
          <w:color w:val="auto"/>
          <w:sz w:val="24"/>
          <w:highlight w:val="none"/>
          <w:lang w:val="en-US" w:eastAsia="zh-CN"/>
        </w:rPr>
        <w:t>礼嘉镇</w:t>
      </w:r>
      <w:r>
        <w:rPr>
          <w:rFonts w:hint="eastAsia" w:ascii="宋体" w:hAnsi="宋体" w:cs="宋体"/>
          <w:color w:val="auto"/>
          <w:sz w:val="24"/>
          <w:highlight w:val="none"/>
        </w:rPr>
        <w:t>设立办事机构，向甲方递交养护人员名单，</w:t>
      </w:r>
      <w:r>
        <w:rPr>
          <w:rFonts w:hint="eastAsia" w:ascii="宋体" w:hAnsi="宋体" w:cs="宋体"/>
          <w:color w:val="auto"/>
          <w:sz w:val="24"/>
          <w:highlight w:val="none"/>
          <w:lang w:val="en-US" w:eastAsia="zh-CN"/>
        </w:rPr>
        <w:t>乙方</w:t>
      </w:r>
      <w:r>
        <w:rPr>
          <w:rFonts w:hint="eastAsia" w:ascii="宋体" w:hAnsi="宋体" w:cs="宋体"/>
          <w:color w:val="auto"/>
          <w:sz w:val="24"/>
          <w:highlight w:val="none"/>
        </w:rPr>
        <w:t>必须成立独立的专职市政巡查班子，全年365天值班巡查，保持24小时畅通，并应建立完善的养护质量体系，为实施和完成巡查、检查、维修、材料供应、运行安全、内业整理等项目内容，除项目负责人外，还应配备技术熟练、经验丰富的各类专业技术人员和有能力进行养护维修管理、指导作业的工长以及适应合同内容需要的各类技术人员、各类熟练技工、半熟练技工和普工。甲方有权要求乙方撤换由其安排的那些工作不能胜任或玩忽职守、工作不负责的人员。</w:t>
      </w:r>
    </w:p>
    <w:p w14:paraId="084C483B">
      <w:pPr>
        <w:spacing w:line="440" w:lineRule="exact"/>
        <w:ind w:firstLine="42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 xml:space="preserve"> 乙方必须在</w:t>
      </w:r>
      <w:r>
        <w:rPr>
          <w:rFonts w:hint="eastAsia" w:ascii="宋体" w:hAnsi="宋体" w:cs="宋体"/>
          <w:color w:val="auto"/>
          <w:sz w:val="24"/>
          <w:highlight w:val="none"/>
          <w:lang w:val="en-US" w:eastAsia="zh-CN"/>
        </w:rPr>
        <w:t>礼嘉镇</w:t>
      </w:r>
      <w:r>
        <w:rPr>
          <w:rFonts w:hint="eastAsia" w:ascii="宋体" w:hAnsi="宋体" w:cs="宋体"/>
          <w:color w:val="auto"/>
          <w:sz w:val="24"/>
          <w:highlight w:val="none"/>
        </w:rPr>
        <w:t>内有固定的办公室并配备必须的维修工具：包括固定的办公场地、</w:t>
      </w:r>
      <w:r>
        <w:rPr>
          <w:rFonts w:hint="eastAsia" w:ascii="宋体" w:hAnsi="宋体" w:cs="宋体"/>
          <w:color w:val="auto"/>
          <w:sz w:val="24"/>
          <w:highlight w:val="none"/>
          <w:lang w:val="en-US" w:eastAsia="zh-CN"/>
        </w:rPr>
        <w:t>养护</w:t>
      </w:r>
      <w:r>
        <w:rPr>
          <w:rFonts w:hint="eastAsia" w:ascii="宋体" w:hAnsi="宋体" w:cs="宋体"/>
          <w:color w:val="auto"/>
          <w:sz w:val="24"/>
          <w:highlight w:val="none"/>
        </w:rPr>
        <w:t>必备的机械设备。</w:t>
      </w:r>
      <w:r>
        <w:rPr>
          <w:rFonts w:hint="eastAsia" w:ascii="宋体" w:hAnsi="宋体" w:cs="宋体"/>
          <w:color w:val="auto"/>
          <w:sz w:val="24"/>
          <w:highlight w:val="none"/>
          <w:lang w:val="en-US" w:eastAsia="zh-CN"/>
        </w:rPr>
        <w:t>乙方</w:t>
      </w:r>
      <w:r>
        <w:rPr>
          <w:rFonts w:hint="eastAsia" w:ascii="宋体" w:hAnsi="宋体" w:cs="宋体"/>
          <w:color w:val="auto"/>
          <w:sz w:val="24"/>
          <w:highlight w:val="none"/>
        </w:rPr>
        <w:t>应在合同签</w:t>
      </w:r>
      <w:r>
        <w:rPr>
          <w:rFonts w:hint="eastAsia" w:ascii="宋体" w:hAnsi="宋体" w:cs="宋体"/>
          <w:color w:val="auto"/>
          <w:sz w:val="24"/>
          <w:highlight w:val="none"/>
          <w:lang w:val="en-US" w:eastAsia="zh-CN"/>
        </w:rPr>
        <w:t>订</w:t>
      </w:r>
      <w:r>
        <w:rPr>
          <w:rFonts w:hint="eastAsia" w:ascii="宋体" w:hAnsi="宋体" w:cs="宋体"/>
          <w:color w:val="auto"/>
          <w:sz w:val="24"/>
          <w:highlight w:val="none"/>
        </w:rPr>
        <w:t>一个月内准备齐全；若乙方一个月内准备不齐全的，</w:t>
      </w:r>
      <w:r>
        <w:rPr>
          <w:rFonts w:hint="eastAsia" w:ascii="宋体" w:hAnsi="宋体" w:cs="宋体"/>
          <w:color w:val="auto"/>
          <w:sz w:val="24"/>
          <w:highlight w:val="none"/>
          <w:lang w:val="en-US" w:eastAsia="zh-CN"/>
        </w:rPr>
        <w:t>无条件</w:t>
      </w:r>
      <w:r>
        <w:rPr>
          <w:rFonts w:hint="eastAsia" w:ascii="宋体" w:hAnsi="宋体" w:cs="宋体"/>
          <w:color w:val="auto"/>
          <w:sz w:val="24"/>
          <w:highlight w:val="none"/>
        </w:rPr>
        <w:t>承担由此给甲方造成的损失。</w:t>
      </w:r>
    </w:p>
    <w:p w14:paraId="76D24F72">
      <w:pPr>
        <w:spacing w:line="440" w:lineRule="exact"/>
        <w:ind w:firstLine="42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乙方做好平时巡查工作，巡查养护区域，如发生情况（如路面破损等），应及时进行养护，如乙方接到通知、举报后，必须在</w:t>
      </w:r>
      <w:r>
        <w:rPr>
          <w:rFonts w:hint="eastAsia" w:ascii="宋体" w:hAnsi="宋体" w:cs="宋体"/>
          <w:color w:val="auto"/>
          <w:sz w:val="24"/>
          <w:highlight w:val="none"/>
          <w:lang w:val="en-US" w:eastAsia="zh-CN"/>
        </w:rPr>
        <w:t>60</w:t>
      </w:r>
      <w:r>
        <w:rPr>
          <w:rFonts w:hint="eastAsia" w:ascii="宋体" w:hAnsi="宋体" w:cs="宋体"/>
          <w:color w:val="auto"/>
          <w:sz w:val="24"/>
          <w:highlight w:val="none"/>
        </w:rPr>
        <w:t>分钟内到达现场做好警示标记，并按甲方要求在规定时间完成养护，养护情况做好记录进行反馈。</w:t>
      </w:r>
      <w:r>
        <w:rPr>
          <w:rFonts w:hint="eastAsia" w:ascii="宋体" w:hAnsi="宋体" w:cs="宋体"/>
          <w:color w:val="auto"/>
          <w:sz w:val="24"/>
          <w:highlight w:val="none"/>
          <w:lang w:val="en-US" w:eastAsia="zh-CN"/>
        </w:rPr>
        <w:t>未在规定时间内完成养护的按考核细则进行扣分</w:t>
      </w:r>
      <w:r>
        <w:rPr>
          <w:rFonts w:hint="eastAsia" w:ascii="宋体" w:hAnsi="宋体" w:cs="宋体"/>
          <w:color w:val="auto"/>
          <w:sz w:val="24"/>
          <w:highlight w:val="none"/>
        </w:rPr>
        <w:t>。</w:t>
      </w:r>
    </w:p>
    <w:p w14:paraId="6ACA543B">
      <w:pPr>
        <w:spacing w:line="440" w:lineRule="exact"/>
        <w:ind w:firstLine="42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为确保安全、文明</w:t>
      </w:r>
      <w:r>
        <w:rPr>
          <w:rFonts w:hint="eastAsia" w:ascii="宋体" w:hAnsi="宋体" w:cs="宋体"/>
          <w:color w:val="auto"/>
          <w:sz w:val="24"/>
          <w:highlight w:val="none"/>
          <w:lang w:val="en-US" w:eastAsia="zh-CN"/>
        </w:rPr>
        <w:t>养护</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乙方</w:t>
      </w:r>
      <w:r>
        <w:rPr>
          <w:rFonts w:hint="eastAsia" w:ascii="宋体" w:hAnsi="宋体" w:cs="宋体"/>
          <w:color w:val="auto"/>
          <w:sz w:val="24"/>
          <w:highlight w:val="none"/>
        </w:rPr>
        <w:t>在</w:t>
      </w:r>
      <w:r>
        <w:rPr>
          <w:rFonts w:hint="eastAsia" w:ascii="宋体" w:hAnsi="宋体" w:cs="宋体"/>
          <w:color w:val="auto"/>
          <w:sz w:val="24"/>
          <w:highlight w:val="none"/>
          <w:lang w:val="en-US" w:eastAsia="zh-CN"/>
        </w:rPr>
        <w:t>项目</w:t>
      </w:r>
      <w:r>
        <w:rPr>
          <w:rFonts w:hint="eastAsia" w:ascii="宋体" w:hAnsi="宋体" w:cs="宋体"/>
          <w:color w:val="auto"/>
          <w:sz w:val="24"/>
          <w:highlight w:val="none"/>
        </w:rPr>
        <w:t>实施</w:t>
      </w:r>
      <w:r>
        <w:rPr>
          <w:rFonts w:hint="eastAsia" w:ascii="宋体" w:hAnsi="宋体" w:cs="宋体"/>
          <w:color w:val="auto"/>
          <w:sz w:val="24"/>
          <w:highlight w:val="none"/>
          <w:lang w:val="en-US" w:eastAsia="zh-CN"/>
        </w:rPr>
        <w:t>过程</w:t>
      </w:r>
      <w:r>
        <w:rPr>
          <w:rFonts w:hint="eastAsia" w:ascii="宋体" w:hAnsi="宋体" w:cs="宋体"/>
          <w:color w:val="auto"/>
          <w:sz w:val="24"/>
          <w:highlight w:val="none"/>
        </w:rPr>
        <w:t>中，应该：</w:t>
      </w:r>
    </w:p>
    <w:p w14:paraId="1A2EBB9D">
      <w:pPr>
        <w:spacing w:line="440" w:lineRule="exact"/>
        <w:ind w:firstLine="420"/>
        <w:jc w:val="left"/>
        <w:rPr>
          <w:rFonts w:hint="eastAsia" w:ascii="宋体" w:hAnsi="宋体" w:cs="宋体"/>
          <w:color w:val="auto"/>
          <w:sz w:val="24"/>
          <w:highlight w:val="none"/>
        </w:rPr>
      </w:pPr>
      <w:r>
        <w:rPr>
          <w:rFonts w:hint="eastAsia" w:ascii="宋体" w:hAnsi="宋体" w:cs="宋体"/>
          <w:color w:val="auto"/>
          <w:sz w:val="24"/>
          <w:highlight w:val="none"/>
        </w:rPr>
        <w:t>①充分关注和保障所有现场工作人员和现场附近以及过往车辆、群众的安全，采取有效措施，</w:t>
      </w:r>
      <w:r>
        <w:rPr>
          <w:rFonts w:hint="eastAsia" w:ascii="宋体" w:hAnsi="宋体" w:cs="宋体"/>
          <w:color w:val="auto"/>
          <w:sz w:val="24"/>
          <w:highlight w:val="none"/>
          <w:lang w:val="en-US" w:eastAsia="zh-CN"/>
        </w:rPr>
        <w:t>避免发生安全事故</w:t>
      </w:r>
      <w:r>
        <w:rPr>
          <w:rFonts w:hint="eastAsia" w:ascii="宋体" w:hAnsi="宋体" w:cs="宋体"/>
          <w:color w:val="auto"/>
          <w:sz w:val="24"/>
          <w:highlight w:val="none"/>
        </w:rPr>
        <w:t>。</w:t>
      </w:r>
    </w:p>
    <w:p w14:paraId="0A6937AC">
      <w:pPr>
        <w:spacing w:line="440" w:lineRule="exact"/>
        <w:ind w:firstLine="420"/>
        <w:jc w:val="left"/>
        <w:rPr>
          <w:rFonts w:hint="eastAsia" w:ascii="宋体" w:hAnsi="宋体" w:cs="宋体"/>
          <w:color w:val="auto"/>
          <w:sz w:val="24"/>
          <w:highlight w:val="none"/>
        </w:rPr>
      </w:pPr>
      <w:r>
        <w:rPr>
          <w:rFonts w:hint="eastAsia" w:ascii="宋体" w:hAnsi="宋体" w:cs="宋体"/>
          <w:color w:val="auto"/>
          <w:sz w:val="24"/>
          <w:highlight w:val="none"/>
        </w:rPr>
        <w:t>②采取一切合理措施保护现场内外的环境，避免由于</w:t>
      </w:r>
      <w:r>
        <w:rPr>
          <w:rFonts w:hint="eastAsia" w:ascii="宋体" w:hAnsi="宋体" w:cs="宋体"/>
          <w:color w:val="auto"/>
          <w:sz w:val="24"/>
          <w:highlight w:val="none"/>
          <w:lang w:val="en-US" w:eastAsia="zh-CN"/>
        </w:rPr>
        <w:t>养护</w:t>
      </w:r>
      <w:r>
        <w:rPr>
          <w:rFonts w:hint="eastAsia" w:ascii="宋体" w:hAnsi="宋体" w:cs="宋体"/>
          <w:color w:val="auto"/>
          <w:sz w:val="24"/>
          <w:highlight w:val="none"/>
        </w:rPr>
        <w:t>操作引起的灰尘、有害气体、噪音对</w:t>
      </w:r>
      <w:r>
        <w:rPr>
          <w:rFonts w:hint="eastAsia" w:ascii="宋体" w:hAnsi="宋体" w:cs="宋体"/>
          <w:color w:val="auto"/>
          <w:sz w:val="24"/>
          <w:highlight w:val="none"/>
          <w:lang w:val="en-US" w:eastAsia="zh-CN"/>
        </w:rPr>
        <w:t>周边</w:t>
      </w:r>
      <w:r>
        <w:rPr>
          <w:rFonts w:hint="eastAsia" w:ascii="宋体" w:hAnsi="宋体" w:cs="宋体"/>
          <w:color w:val="auto"/>
          <w:sz w:val="24"/>
          <w:highlight w:val="none"/>
        </w:rPr>
        <w:t>环境的污染，或其他原因造成人身伤害或财产损失。</w:t>
      </w:r>
    </w:p>
    <w:p w14:paraId="20580292">
      <w:pPr>
        <w:spacing w:line="440" w:lineRule="exact"/>
        <w:ind w:firstLine="420"/>
        <w:jc w:val="left"/>
        <w:rPr>
          <w:rFonts w:hint="eastAsia" w:ascii="宋体" w:hAnsi="宋体" w:cs="宋体"/>
          <w:color w:val="auto"/>
          <w:sz w:val="24"/>
          <w:highlight w:val="none"/>
        </w:rPr>
      </w:pPr>
      <w:r>
        <w:rPr>
          <w:rFonts w:hint="eastAsia" w:ascii="宋体" w:hAnsi="宋体" w:cs="宋体"/>
          <w:color w:val="auto"/>
          <w:sz w:val="24"/>
          <w:highlight w:val="none"/>
        </w:rPr>
        <w:t>③采取可靠措施，在确有必要时应办理相关的审批手续，保证原有交通的正常通行和沿路各种管线的正常使用。</w:t>
      </w:r>
    </w:p>
    <w:p w14:paraId="3B5395A8">
      <w:pPr>
        <w:spacing w:line="440" w:lineRule="exact"/>
        <w:ind w:firstLine="420"/>
        <w:jc w:val="left"/>
        <w:rPr>
          <w:rFonts w:hint="eastAsia" w:ascii="宋体" w:hAnsi="宋体" w:eastAsia="宋体" w:cs="宋体"/>
          <w:color w:val="auto"/>
          <w:sz w:val="24"/>
          <w:highlight w:val="none"/>
        </w:rPr>
      </w:pPr>
      <w:r>
        <w:rPr>
          <w:rFonts w:hint="eastAsia" w:ascii="宋体" w:hAnsi="宋体" w:cs="宋体"/>
          <w:color w:val="auto"/>
          <w:sz w:val="24"/>
          <w:highlight w:val="none"/>
        </w:rPr>
        <w:t>④</w:t>
      </w:r>
      <w:r>
        <w:rPr>
          <w:rFonts w:hint="eastAsia" w:ascii="宋体" w:hAnsi="宋体" w:cs="宋体"/>
          <w:color w:val="auto"/>
          <w:sz w:val="24"/>
          <w:highlight w:val="none"/>
          <w:lang w:val="en-US" w:eastAsia="zh-CN"/>
        </w:rPr>
        <w:t>养护</w:t>
      </w:r>
      <w:r>
        <w:rPr>
          <w:rFonts w:hint="eastAsia" w:ascii="宋体" w:hAnsi="宋体" w:cs="宋体"/>
          <w:color w:val="auto"/>
          <w:sz w:val="24"/>
          <w:highlight w:val="none"/>
        </w:rPr>
        <w:t>作业时必须落实照明、护栅、警示标志等安全防护设施</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在养护期内，如发生有关人身伤亡、罚款、索赔、损坏补偿、指控及其他一切责任均由乙方负责。</w:t>
      </w:r>
    </w:p>
    <w:p w14:paraId="124BA751">
      <w:pPr>
        <w:spacing w:line="440" w:lineRule="exact"/>
        <w:ind w:firstLine="42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如果现场发生事故或突发事件时，一切责任均由乙方负责，</w:t>
      </w:r>
      <w:r>
        <w:rPr>
          <w:rFonts w:hint="eastAsia" w:ascii="宋体" w:hAnsi="宋体" w:cs="宋体"/>
          <w:color w:val="auto"/>
          <w:sz w:val="24"/>
          <w:highlight w:val="none"/>
          <w:lang w:val="en-US" w:eastAsia="zh-CN"/>
        </w:rPr>
        <w:t>乙方</w:t>
      </w:r>
      <w:r>
        <w:rPr>
          <w:rFonts w:hint="eastAsia" w:ascii="宋体" w:hAnsi="宋体" w:cs="宋体"/>
          <w:color w:val="auto"/>
          <w:sz w:val="24"/>
          <w:highlight w:val="none"/>
        </w:rPr>
        <w:t>应</w:t>
      </w:r>
      <w:r>
        <w:rPr>
          <w:rFonts w:hint="eastAsia" w:ascii="宋体" w:hAnsi="宋体" w:cs="宋体"/>
          <w:color w:val="auto"/>
          <w:sz w:val="24"/>
          <w:highlight w:val="none"/>
          <w:lang w:val="en-US" w:eastAsia="zh-CN"/>
        </w:rPr>
        <w:t>第一时间</w:t>
      </w:r>
      <w:r>
        <w:rPr>
          <w:rFonts w:hint="eastAsia" w:ascii="宋体" w:hAnsi="宋体" w:cs="宋体"/>
          <w:color w:val="auto"/>
          <w:sz w:val="24"/>
          <w:highlight w:val="none"/>
        </w:rPr>
        <w:t>报告甲方。</w:t>
      </w:r>
    </w:p>
    <w:p w14:paraId="0A0C0836">
      <w:pPr>
        <w:spacing w:line="440" w:lineRule="exact"/>
        <w:ind w:firstLine="42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乙方在作业过程中，应保持现场整洁。作业完毕后设备、剩余材料、垃圾以及各种临时设施应及时运走，否则，甲方可以委托他人将乙方的设备、剩余材料以及</w:t>
      </w:r>
      <w:r>
        <w:rPr>
          <w:rFonts w:hint="eastAsia" w:ascii="宋体" w:hAnsi="宋体" w:cs="宋体"/>
          <w:color w:val="auto"/>
          <w:sz w:val="24"/>
          <w:highlight w:val="none"/>
          <w:lang w:val="en-US" w:eastAsia="zh-CN"/>
        </w:rPr>
        <w:t>乙方</w:t>
      </w:r>
      <w:r>
        <w:rPr>
          <w:rFonts w:hint="eastAsia" w:ascii="宋体" w:hAnsi="宋体" w:cs="宋体"/>
          <w:color w:val="auto"/>
          <w:sz w:val="24"/>
          <w:highlight w:val="none"/>
        </w:rPr>
        <w:t>的其他财产觅地存放，以及委托他人清运垃圾、废料。因上述工作而发生的费用由乙方承担，从应付乙方的款项内扣除。</w:t>
      </w:r>
    </w:p>
    <w:p w14:paraId="59E7AF3D">
      <w:pPr>
        <w:spacing w:line="440" w:lineRule="exact"/>
        <w:ind w:firstLine="42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乙方有义务配合甲方做好大型活动的服务及安全保障工作，重大活动期间和节假日应加强道路的巡查频率，确保道路完好，交通畅通。</w:t>
      </w:r>
    </w:p>
    <w:p w14:paraId="17D9A1C8">
      <w:pPr>
        <w:spacing w:line="440" w:lineRule="exact"/>
        <w:ind w:firstLine="42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9、</w:t>
      </w:r>
      <w:r>
        <w:rPr>
          <w:rFonts w:hint="eastAsia" w:ascii="宋体" w:hAnsi="宋体" w:cs="宋体"/>
          <w:color w:val="auto"/>
          <w:sz w:val="24"/>
          <w:highlight w:val="none"/>
        </w:rPr>
        <w:t>项目质量要求：根据行业标准《城市道路养护技术规范》（CJJ36-90执行）、国家标准和合同约定的要求执行。</w:t>
      </w:r>
    </w:p>
    <w:p w14:paraId="6622B3C8">
      <w:pPr>
        <w:spacing w:line="440" w:lineRule="exact"/>
        <w:ind w:firstLine="360"/>
        <w:jc w:val="left"/>
        <w:rPr>
          <w:rFonts w:ascii="宋体" w:hAnsi="宋体" w:eastAsia="宋体" w:cs="宋体"/>
          <w:color w:val="auto"/>
          <w:sz w:val="24"/>
          <w:highlight w:val="none"/>
          <w:lang w:val="en-US" w:eastAsia="zh-CN"/>
        </w:rPr>
      </w:pPr>
      <w:r>
        <w:rPr>
          <w:rFonts w:hint="eastAsia" w:ascii="宋体" w:hAnsi="宋体" w:cs="宋体"/>
          <w:bCs/>
          <w:color w:val="auto"/>
          <w:sz w:val="24"/>
          <w:highlight w:val="none"/>
          <w:lang w:val="en-US" w:eastAsia="zh-CN"/>
        </w:rPr>
        <w:t>10、</w:t>
      </w:r>
      <w:r>
        <w:rPr>
          <w:rFonts w:hint="eastAsia" w:ascii="宋体" w:hAnsi="宋体" w:cs="宋体"/>
          <w:color w:val="auto"/>
          <w:sz w:val="24"/>
          <w:highlight w:val="none"/>
          <w:lang w:val="zh-CN"/>
        </w:rPr>
        <w:t>乙方应保证甲方在合同履行期限内不受第三方提出侵犯其专利权、版权、商标权或其他权利的起诉。一旦出现侵权，乙方应承担全部责任。</w:t>
      </w:r>
    </w:p>
    <w:p w14:paraId="49B234C1">
      <w:pPr>
        <w:spacing w:line="440" w:lineRule="exact"/>
        <w:ind w:firstLine="482"/>
        <w:jc w:val="left"/>
        <w:rPr>
          <w:rFonts w:hint="eastAsia" w:ascii="宋体" w:hAnsi="宋体" w:cs="宋体"/>
          <w:b/>
          <w:bCs w:val="0"/>
          <w:color w:val="auto"/>
          <w:sz w:val="24"/>
          <w:highlight w:val="none"/>
          <w:lang w:val="zh-CN"/>
        </w:rPr>
      </w:pPr>
      <w:r>
        <w:rPr>
          <w:rFonts w:hint="eastAsia" w:ascii="宋体" w:hAnsi="宋体" w:cs="宋体"/>
          <w:b/>
          <w:bCs w:val="0"/>
          <w:color w:val="auto"/>
          <w:sz w:val="24"/>
          <w:highlight w:val="none"/>
          <w:lang w:val="zh-CN"/>
        </w:rPr>
        <w:t>第</w:t>
      </w:r>
      <w:r>
        <w:rPr>
          <w:rFonts w:hint="eastAsia" w:ascii="宋体" w:hAnsi="宋体" w:cs="宋体"/>
          <w:b/>
          <w:bCs w:val="0"/>
          <w:color w:val="auto"/>
          <w:sz w:val="24"/>
          <w:highlight w:val="none"/>
          <w:lang w:val="en-US" w:eastAsia="zh-CN"/>
        </w:rPr>
        <w:t>六</w:t>
      </w:r>
      <w:r>
        <w:rPr>
          <w:rFonts w:hint="eastAsia" w:ascii="宋体" w:hAnsi="宋体" w:cs="宋体"/>
          <w:b/>
          <w:bCs w:val="0"/>
          <w:color w:val="auto"/>
          <w:sz w:val="24"/>
          <w:highlight w:val="none"/>
          <w:lang w:val="zh-CN"/>
        </w:rPr>
        <w:t>条　质量保证和售后服务</w:t>
      </w:r>
    </w:p>
    <w:p w14:paraId="5BE0A2D6">
      <w:pPr>
        <w:spacing w:line="440" w:lineRule="exact"/>
        <w:ind w:firstLine="480"/>
        <w:jc w:val="left"/>
        <w:rPr>
          <w:rFonts w:hint="eastAsia" w:ascii="宋体" w:hAnsi="宋体" w:cs="宋体"/>
          <w:bCs/>
          <w:color w:val="auto"/>
          <w:sz w:val="24"/>
          <w:highlight w:val="none"/>
        </w:rPr>
      </w:pPr>
      <w:r>
        <w:rPr>
          <w:rFonts w:hint="eastAsia" w:ascii="宋体" w:hAnsi="宋体" w:cs="宋体"/>
          <w:bCs/>
          <w:color w:val="auto"/>
          <w:sz w:val="24"/>
          <w:highlight w:val="none"/>
        </w:rPr>
        <w:t>1、乙方应按招标文件规定的服务要求、技术要求、质量标准向甲方提供服务。</w:t>
      </w:r>
    </w:p>
    <w:p w14:paraId="026F7953">
      <w:pPr>
        <w:spacing w:line="440" w:lineRule="exact"/>
        <w:ind w:firstLine="480"/>
        <w:jc w:val="left"/>
        <w:rPr>
          <w:rFonts w:hint="eastAsia" w:ascii="宋体" w:hAnsi="宋体" w:cs="宋体"/>
          <w:bCs/>
          <w:color w:val="auto"/>
          <w:sz w:val="24"/>
          <w:highlight w:val="none"/>
        </w:rPr>
      </w:pPr>
      <w:r>
        <w:rPr>
          <w:rFonts w:hint="eastAsia" w:ascii="宋体" w:hAnsi="宋体" w:cs="宋体"/>
          <w:bCs/>
          <w:color w:val="auto"/>
          <w:sz w:val="24"/>
          <w:highlight w:val="none"/>
          <w:lang w:val="zh-CN"/>
        </w:rPr>
        <w:t>2、质量保证：</w:t>
      </w:r>
      <w:r>
        <w:rPr>
          <w:rFonts w:hint="eastAsia" w:ascii="宋体" w:hAnsi="宋体" w:cs="宋体"/>
          <w:bCs/>
          <w:color w:val="auto"/>
          <w:sz w:val="24"/>
          <w:highlight w:val="none"/>
        </w:rPr>
        <w:t>合格。</w:t>
      </w:r>
    </w:p>
    <w:p w14:paraId="7D8AC435">
      <w:pPr>
        <w:spacing w:line="440" w:lineRule="exact"/>
        <w:ind w:firstLine="480"/>
        <w:jc w:val="left"/>
        <w:rPr>
          <w:rFonts w:hint="eastAsia" w:ascii="宋体" w:hAnsi="宋体" w:cs="宋体"/>
          <w:bCs/>
          <w:color w:val="auto"/>
          <w:sz w:val="24"/>
          <w:highlight w:val="none"/>
        </w:rPr>
      </w:pPr>
      <w:r>
        <w:rPr>
          <w:rFonts w:hint="eastAsia" w:ascii="宋体" w:hAnsi="宋体" w:cs="宋体"/>
          <w:bCs/>
          <w:color w:val="auto"/>
          <w:sz w:val="24"/>
          <w:highlight w:val="none"/>
          <w:lang w:val="en-US" w:eastAsia="zh-CN"/>
        </w:rPr>
        <w:t>乙方</w:t>
      </w:r>
      <w:r>
        <w:rPr>
          <w:rFonts w:hint="eastAsia" w:ascii="宋体" w:hAnsi="宋体" w:cs="宋体"/>
          <w:bCs/>
          <w:color w:val="auto"/>
          <w:sz w:val="24"/>
          <w:highlight w:val="none"/>
        </w:rPr>
        <w:t>必须严格按照服务量清单、服务技术要求及有关</w:t>
      </w:r>
      <w:r>
        <w:rPr>
          <w:rFonts w:hint="eastAsia" w:ascii="宋体" w:hAnsi="宋体" w:cs="宋体"/>
          <w:bCs/>
          <w:color w:val="auto"/>
          <w:sz w:val="24"/>
          <w:highlight w:val="none"/>
          <w:lang w:val="en-US" w:eastAsia="zh-CN"/>
        </w:rPr>
        <w:t>沥青养护</w:t>
      </w:r>
      <w:r>
        <w:rPr>
          <w:rFonts w:hint="eastAsia" w:ascii="宋体" w:hAnsi="宋体" w:cs="宋体"/>
          <w:bCs/>
          <w:color w:val="auto"/>
          <w:sz w:val="24"/>
          <w:highlight w:val="none"/>
        </w:rPr>
        <w:t>规范、规格和标准</w:t>
      </w:r>
      <w:r>
        <w:rPr>
          <w:rFonts w:hint="eastAsia" w:ascii="宋体" w:hAnsi="宋体" w:cs="宋体"/>
          <w:bCs/>
          <w:color w:val="auto"/>
          <w:sz w:val="24"/>
          <w:highlight w:val="none"/>
          <w:lang w:val="en-US" w:eastAsia="zh-CN"/>
        </w:rPr>
        <w:t>进行养护</w:t>
      </w:r>
      <w:r>
        <w:rPr>
          <w:rFonts w:hint="eastAsia" w:ascii="宋体" w:hAnsi="宋体" w:cs="宋体"/>
          <w:bCs/>
          <w:color w:val="auto"/>
          <w:sz w:val="24"/>
          <w:highlight w:val="none"/>
        </w:rPr>
        <w:t>，并无条件的接受</w:t>
      </w:r>
      <w:r>
        <w:rPr>
          <w:rFonts w:hint="eastAsia" w:ascii="宋体" w:hAnsi="宋体" w:cs="宋体"/>
          <w:bCs/>
          <w:color w:val="auto"/>
          <w:sz w:val="24"/>
          <w:highlight w:val="none"/>
          <w:lang w:val="en-US" w:eastAsia="zh-CN"/>
        </w:rPr>
        <w:t>甲方</w:t>
      </w:r>
      <w:r>
        <w:rPr>
          <w:rFonts w:hint="eastAsia" w:ascii="宋体" w:hAnsi="宋体" w:cs="宋体"/>
          <w:bCs/>
          <w:color w:val="auto"/>
          <w:sz w:val="24"/>
          <w:highlight w:val="none"/>
        </w:rPr>
        <w:t>全方位、全过程的监督管理。</w:t>
      </w:r>
    </w:p>
    <w:p w14:paraId="6BA318E2">
      <w:pPr>
        <w:spacing w:line="440" w:lineRule="exact"/>
        <w:ind w:firstLine="480"/>
        <w:jc w:val="left"/>
        <w:rPr>
          <w:rFonts w:hint="eastAsia" w:ascii="宋体" w:hAnsi="宋体" w:cs="宋体"/>
          <w:bCs/>
          <w:color w:val="auto"/>
          <w:sz w:val="24"/>
          <w:highlight w:val="none"/>
        </w:rPr>
      </w:pPr>
      <w:r>
        <w:rPr>
          <w:rFonts w:hint="eastAsia" w:ascii="宋体" w:hAnsi="宋体" w:cs="宋体"/>
          <w:bCs/>
          <w:color w:val="auto"/>
          <w:sz w:val="24"/>
          <w:highlight w:val="none"/>
        </w:rPr>
        <w:t>本项目过程中的一切安全责任全部由</w:t>
      </w:r>
      <w:r>
        <w:rPr>
          <w:rFonts w:hint="eastAsia" w:ascii="宋体" w:hAnsi="宋体" w:cs="宋体"/>
          <w:bCs/>
          <w:color w:val="auto"/>
          <w:sz w:val="24"/>
          <w:highlight w:val="none"/>
          <w:lang w:val="en-US" w:eastAsia="zh-CN"/>
        </w:rPr>
        <w:t>乙方</w:t>
      </w:r>
      <w:r>
        <w:rPr>
          <w:rFonts w:hint="eastAsia" w:ascii="宋体" w:hAnsi="宋体" w:cs="宋体"/>
          <w:bCs/>
          <w:color w:val="auto"/>
          <w:sz w:val="24"/>
          <w:highlight w:val="none"/>
        </w:rPr>
        <w:t>负责并承担因此发生的全部费用。</w:t>
      </w:r>
    </w:p>
    <w:p w14:paraId="4C03D3E1">
      <w:pPr>
        <w:spacing w:line="440" w:lineRule="exact"/>
        <w:ind w:firstLine="480"/>
        <w:jc w:val="left"/>
        <w:rPr>
          <w:rFonts w:hint="eastAsia" w:ascii="宋体" w:hAnsi="宋体" w:cs="宋体"/>
          <w:bCs/>
          <w:color w:val="auto"/>
          <w:sz w:val="24"/>
          <w:highlight w:val="none"/>
        </w:rPr>
      </w:pPr>
      <w:r>
        <w:rPr>
          <w:rFonts w:hint="eastAsia" w:ascii="宋体" w:hAnsi="宋体" w:cs="宋体"/>
          <w:bCs/>
          <w:color w:val="auto"/>
          <w:sz w:val="24"/>
          <w:highlight w:val="none"/>
        </w:rPr>
        <w:t>材料设备供应：由</w:t>
      </w:r>
      <w:r>
        <w:rPr>
          <w:rFonts w:hint="eastAsia" w:ascii="宋体" w:hAnsi="宋体" w:cs="宋体"/>
          <w:bCs/>
          <w:color w:val="auto"/>
          <w:sz w:val="24"/>
          <w:highlight w:val="none"/>
          <w:lang w:val="en-US" w:eastAsia="zh-CN"/>
        </w:rPr>
        <w:t>乙方</w:t>
      </w:r>
      <w:r>
        <w:rPr>
          <w:rFonts w:hint="eastAsia" w:ascii="宋体" w:hAnsi="宋体" w:cs="宋体"/>
          <w:bCs/>
          <w:color w:val="auto"/>
          <w:sz w:val="24"/>
          <w:highlight w:val="none"/>
        </w:rPr>
        <w:t>负责采购（除甲供材外），但</w:t>
      </w:r>
      <w:r>
        <w:rPr>
          <w:rFonts w:hint="eastAsia" w:ascii="宋体" w:hAnsi="宋体" w:cs="宋体"/>
          <w:bCs/>
          <w:color w:val="auto"/>
          <w:sz w:val="24"/>
          <w:highlight w:val="none"/>
          <w:lang w:val="en-US" w:eastAsia="zh-CN"/>
        </w:rPr>
        <w:t>乙方</w:t>
      </w:r>
      <w:r>
        <w:rPr>
          <w:rFonts w:hint="eastAsia" w:ascii="宋体" w:hAnsi="宋体" w:cs="宋体"/>
          <w:bCs/>
          <w:color w:val="auto"/>
          <w:sz w:val="24"/>
          <w:highlight w:val="none"/>
        </w:rPr>
        <w:t>应服从</w:t>
      </w:r>
      <w:r>
        <w:rPr>
          <w:rFonts w:hint="eastAsia" w:ascii="宋体" w:hAnsi="宋体" w:cs="宋体"/>
          <w:bCs/>
          <w:color w:val="auto"/>
          <w:sz w:val="24"/>
          <w:highlight w:val="none"/>
          <w:lang w:val="en-US" w:eastAsia="zh-CN"/>
        </w:rPr>
        <w:t>甲方</w:t>
      </w:r>
      <w:r>
        <w:rPr>
          <w:rFonts w:hint="eastAsia" w:ascii="宋体" w:hAnsi="宋体" w:cs="宋体"/>
          <w:bCs/>
          <w:color w:val="auto"/>
          <w:sz w:val="24"/>
          <w:highlight w:val="none"/>
        </w:rPr>
        <w:t>的抽检、验收，不合格材料由</w:t>
      </w:r>
      <w:r>
        <w:rPr>
          <w:rFonts w:hint="eastAsia" w:ascii="宋体" w:hAnsi="宋体" w:cs="宋体"/>
          <w:bCs/>
          <w:color w:val="auto"/>
          <w:sz w:val="24"/>
          <w:highlight w:val="none"/>
          <w:lang w:val="en-US" w:eastAsia="zh-CN"/>
        </w:rPr>
        <w:t>甲方</w:t>
      </w:r>
      <w:r>
        <w:rPr>
          <w:rFonts w:hint="eastAsia" w:ascii="宋体" w:hAnsi="宋体" w:cs="宋体"/>
          <w:bCs/>
          <w:color w:val="auto"/>
          <w:sz w:val="24"/>
          <w:highlight w:val="none"/>
        </w:rPr>
        <w:t>标识后，</w:t>
      </w:r>
      <w:r>
        <w:rPr>
          <w:rFonts w:hint="eastAsia" w:ascii="宋体" w:hAnsi="宋体" w:cs="宋体"/>
          <w:bCs/>
          <w:color w:val="auto"/>
          <w:sz w:val="24"/>
          <w:highlight w:val="none"/>
          <w:lang w:val="en-US" w:eastAsia="zh-CN"/>
        </w:rPr>
        <w:t>乙方</w:t>
      </w:r>
      <w:r>
        <w:rPr>
          <w:rFonts w:hint="eastAsia" w:ascii="宋体" w:hAnsi="宋体" w:cs="宋体"/>
          <w:bCs/>
          <w:color w:val="auto"/>
          <w:sz w:val="24"/>
          <w:highlight w:val="none"/>
        </w:rPr>
        <w:t>限时运出场外。</w:t>
      </w:r>
    </w:p>
    <w:p w14:paraId="4CDF2ED8">
      <w:pPr>
        <w:tabs>
          <w:tab w:val="left" w:pos="210"/>
          <w:tab w:val="left" w:pos="420"/>
          <w:tab w:val="left" w:pos="1155"/>
        </w:tabs>
        <w:spacing w:line="440" w:lineRule="exact"/>
        <w:ind w:firstLine="480"/>
        <w:rPr>
          <w:rFonts w:hint="eastAsia" w:ascii="宋体" w:hAnsi="宋体" w:cs="宋体"/>
          <w:bCs/>
          <w:color w:val="auto"/>
          <w:sz w:val="24"/>
          <w:highlight w:val="none"/>
          <w:lang w:val="zh-CN"/>
        </w:rPr>
      </w:pPr>
      <w:r>
        <w:rPr>
          <w:rFonts w:hint="eastAsia" w:ascii="宋体" w:hAnsi="宋体" w:cs="宋体"/>
          <w:bCs/>
          <w:color w:val="auto"/>
          <w:sz w:val="24"/>
          <w:highlight w:val="none"/>
          <w:lang w:val="en-US" w:eastAsia="zh-CN"/>
        </w:rPr>
        <w:t>3</w:t>
      </w:r>
      <w:r>
        <w:rPr>
          <w:rFonts w:hint="eastAsia" w:ascii="宋体" w:hAnsi="宋体" w:cs="宋体"/>
          <w:bCs/>
          <w:color w:val="auto"/>
          <w:sz w:val="24"/>
          <w:highlight w:val="none"/>
          <w:lang w:val="zh-CN"/>
        </w:rPr>
        <w:t>、其他：</w:t>
      </w:r>
    </w:p>
    <w:p w14:paraId="43F94BC6">
      <w:pPr>
        <w:tabs>
          <w:tab w:val="left" w:pos="210"/>
          <w:tab w:val="left" w:pos="420"/>
          <w:tab w:val="left" w:pos="1155"/>
        </w:tabs>
        <w:spacing w:line="440" w:lineRule="exact"/>
        <w:ind w:firstLine="480"/>
        <w:rPr>
          <w:rFonts w:hint="eastAsia" w:ascii="宋体" w:hAnsi="宋体" w:cs="宋体"/>
          <w:bCs/>
          <w:color w:val="auto"/>
          <w:sz w:val="24"/>
          <w:highlight w:val="none"/>
          <w:lang w:val="zh-CN"/>
        </w:rPr>
      </w:pPr>
      <w:r>
        <w:rPr>
          <w:rFonts w:hint="eastAsia" w:ascii="宋体" w:hAnsi="宋体" w:cs="宋体"/>
          <w:bCs/>
          <w:color w:val="auto"/>
          <w:sz w:val="24"/>
          <w:highlight w:val="none"/>
          <w:lang w:val="en-US" w:eastAsia="zh-CN"/>
        </w:rPr>
        <w:t>（1）乙方在</w:t>
      </w:r>
      <w:r>
        <w:rPr>
          <w:rFonts w:hint="eastAsia" w:ascii="宋体" w:hAnsi="宋体" w:cs="宋体"/>
          <w:bCs/>
          <w:color w:val="auto"/>
          <w:sz w:val="24"/>
          <w:highlight w:val="none"/>
          <w:lang w:val="zh-CN"/>
        </w:rPr>
        <w:t>养护期间的每月底</w:t>
      </w:r>
      <w:r>
        <w:rPr>
          <w:rFonts w:hint="eastAsia" w:ascii="宋体" w:hAnsi="宋体" w:cs="宋体"/>
          <w:bCs/>
          <w:color w:val="auto"/>
          <w:sz w:val="24"/>
          <w:highlight w:val="none"/>
          <w:lang w:val="en-US" w:eastAsia="zh-CN"/>
        </w:rPr>
        <w:t>向甲方</w:t>
      </w:r>
      <w:r>
        <w:rPr>
          <w:rFonts w:hint="eastAsia" w:ascii="宋体" w:hAnsi="宋体" w:cs="宋体"/>
          <w:bCs/>
          <w:color w:val="auto"/>
          <w:sz w:val="24"/>
          <w:highlight w:val="none"/>
          <w:lang w:val="zh-CN"/>
        </w:rPr>
        <w:t>提供当月完成的工作量及相关签证资料。</w:t>
      </w:r>
    </w:p>
    <w:p w14:paraId="5CFF9BE3">
      <w:pPr>
        <w:tabs>
          <w:tab w:val="left" w:pos="210"/>
          <w:tab w:val="left" w:pos="420"/>
          <w:tab w:val="left" w:pos="1155"/>
        </w:tabs>
        <w:spacing w:line="440" w:lineRule="exact"/>
        <w:ind w:firstLine="480"/>
        <w:rPr>
          <w:rFonts w:hint="eastAsia" w:ascii="宋体" w:hAnsi="宋体" w:cs="宋体"/>
          <w:bCs/>
          <w:color w:val="auto"/>
          <w:sz w:val="24"/>
          <w:highlight w:val="none"/>
          <w:lang w:val="zh-CN"/>
        </w:rPr>
      </w:pPr>
      <w:r>
        <w:rPr>
          <w:rFonts w:hint="eastAsia" w:ascii="宋体" w:hAnsi="宋体" w:cs="宋体"/>
          <w:bCs/>
          <w:color w:val="auto"/>
          <w:sz w:val="24"/>
          <w:highlight w:val="none"/>
          <w:lang w:val="en-US" w:eastAsia="zh-CN"/>
        </w:rPr>
        <w:t>（2）乙方</w:t>
      </w:r>
      <w:r>
        <w:rPr>
          <w:rFonts w:hint="eastAsia" w:ascii="宋体" w:hAnsi="宋体" w:cs="宋体"/>
          <w:bCs/>
          <w:color w:val="auto"/>
          <w:sz w:val="24"/>
          <w:highlight w:val="none"/>
          <w:lang w:val="zh-CN"/>
        </w:rPr>
        <w:t>有义务配合</w:t>
      </w:r>
      <w:r>
        <w:rPr>
          <w:rFonts w:hint="eastAsia" w:ascii="宋体" w:hAnsi="宋体" w:cs="宋体"/>
          <w:bCs/>
          <w:color w:val="auto"/>
          <w:sz w:val="24"/>
          <w:highlight w:val="none"/>
          <w:lang w:val="en-US" w:eastAsia="zh-CN"/>
        </w:rPr>
        <w:t>甲方</w:t>
      </w:r>
      <w:r>
        <w:rPr>
          <w:rFonts w:hint="eastAsia" w:ascii="宋体" w:hAnsi="宋体" w:cs="宋体"/>
          <w:bCs/>
          <w:color w:val="auto"/>
          <w:sz w:val="24"/>
          <w:highlight w:val="none"/>
          <w:lang w:val="zh-CN"/>
        </w:rPr>
        <w:t>解决各项地方外部矛盾。</w:t>
      </w:r>
    </w:p>
    <w:p w14:paraId="5F5B4E46">
      <w:pPr>
        <w:spacing w:line="440" w:lineRule="exact"/>
        <w:ind w:firstLine="482"/>
        <w:jc w:val="left"/>
        <w:rPr>
          <w:rFonts w:hint="eastAsia" w:ascii="宋体" w:hAnsi="宋体" w:cs="宋体"/>
          <w:b/>
          <w:bCs w:val="0"/>
          <w:color w:val="auto"/>
          <w:sz w:val="24"/>
          <w:highlight w:val="none"/>
          <w:lang w:val="zh-CN"/>
        </w:rPr>
      </w:pPr>
      <w:r>
        <w:rPr>
          <w:rFonts w:hint="eastAsia" w:ascii="宋体" w:hAnsi="宋体" w:cs="宋体"/>
          <w:b/>
          <w:bCs w:val="0"/>
          <w:color w:val="auto"/>
          <w:sz w:val="24"/>
          <w:highlight w:val="none"/>
          <w:lang w:val="zh-CN"/>
        </w:rPr>
        <w:t>第</w:t>
      </w:r>
      <w:r>
        <w:rPr>
          <w:rFonts w:hint="eastAsia" w:ascii="宋体" w:hAnsi="宋体" w:cs="宋体"/>
          <w:b/>
          <w:bCs w:val="0"/>
          <w:color w:val="auto"/>
          <w:sz w:val="24"/>
          <w:highlight w:val="none"/>
          <w:lang w:val="en-US" w:eastAsia="zh-CN"/>
        </w:rPr>
        <w:t>七</w:t>
      </w:r>
      <w:r>
        <w:rPr>
          <w:rFonts w:hint="eastAsia" w:ascii="宋体" w:hAnsi="宋体" w:cs="宋体"/>
          <w:b/>
          <w:bCs w:val="0"/>
          <w:color w:val="auto"/>
          <w:sz w:val="24"/>
          <w:highlight w:val="none"/>
          <w:lang w:val="zh-CN"/>
        </w:rPr>
        <w:t>条　验收</w:t>
      </w:r>
    </w:p>
    <w:p w14:paraId="074A0421">
      <w:pPr>
        <w:spacing w:line="440" w:lineRule="exact"/>
        <w:ind w:firstLine="482"/>
        <w:jc w:val="left"/>
        <w:rPr>
          <w:rFonts w:hint="eastAsia" w:ascii="宋体" w:hAnsi="宋体" w:cs="宋体"/>
          <w:bCs/>
          <w:color w:val="auto"/>
          <w:sz w:val="24"/>
          <w:highlight w:val="none"/>
          <w:lang w:val="zh-CN"/>
        </w:rPr>
      </w:pPr>
      <w:r>
        <w:rPr>
          <w:rFonts w:hint="eastAsia" w:ascii="宋体" w:hAnsi="宋体" w:cs="宋体"/>
          <w:bCs/>
          <w:color w:val="auto"/>
          <w:sz w:val="24"/>
          <w:highlight w:val="none"/>
          <w:lang w:val="en-US" w:eastAsia="zh-CN"/>
        </w:rPr>
        <w:t>1、</w:t>
      </w:r>
      <w:r>
        <w:rPr>
          <w:rFonts w:hint="eastAsia" w:ascii="宋体" w:hAnsi="宋体" w:cs="宋体"/>
          <w:bCs/>
          <w:color w:val="auto"/>
          <w:sz w:val="24"/>
          <w:highlight w:val="none"/>
          <w:lang w:val="zh-CN"/>
        </w:rPr>
        <w:t>验收主体：采购人</w:t>
      </w:r>
    </w:p>
    <w:p w14:paraId="11A01FC9">
      <w:pPr>
        <w:spacing w:line="440" w:lineRule="exact"/>
        <w:ind w:firstLine="482"/>
        <w:jc w:val="left"/>
        <w:rPr>
          <w:rFonts w:hint="eastAsia" w:ascii="宋体" w:hAnsi="宋体" w:cs="宋体"/>
          <w:bCs/>
          <w:color w:val="auto"/>
          <w:sz w:val="24"/>
          <w:highlight w:val="none"/>
          <w:lang w:val="zh-CN"/>
        </w:rPr>
      </w:pPr>
      <w:r>
        <w:rPr>
          <w:rFonts w:hint="eastAsia" w:ascii="宋体" w:hAnsi="宋体" w:cs="宋体"/>
          <w:bCs/>
          <w:color w:val="auto"/>
          <w:sz w:val="24"/>
          <w:highlight w:val="none"/>
          <w:lang w:val="en-US" w:eastAsia="zh-CN"/>
        </w:rPr>
        <w:t>2、</w:t>
      </w:r>
      <w:r>
        <w:rPr>
          <w:rFonts w:hint="eastAsia" w:ascii="宋体" w:hAnsi="宋体" w:cs="宋体"/>
          <w:bCs/>
          <w:color w:val="auto"/>
          <w:sz w:val="24"/>
          <w:highlight w:val="none"/>
          <w:lang w:val="zh-CN"/>
        </w:rPr>
        <w:t>验收时间：履约验收条件达到时，采购人应当在5个工作日内启动履约验收工作，并向投标人发出《政府采购履约验收通知单》。</w:t>
      </w:r>
    </w:p>
    <w:p w14:paraId="34AA07B8">
      <w:pPr>
        <w:spacing w:line="440" w:lineRule="exact"/>
        <w:ind w:firstLine="482"/>
        <w:jc w:val="left"/>
        <w:rPr>
          <w:rFonts w:hint="eastAsia" w:ascii="宋体" w:hAnsi="宋体" w:cs="宋体"/>
          <w:bCs/>
          <w:color w:val="auto"/>
          <w:sz w:val="24"/>
          <w:highlight w:val="none"/>
          <w:lang w:val="zh-CN"/>
        </w:rPr>
      </w:pPr>
      <w:r>
        <w:rPr>
          <w:rFonts w:hint="eastAsia" w:ascii="宋体" w:hAnsi="宋体" w:cs="宋体"/>
          <w:bCs/>
          <w:color w:val="auto"/>
          <w:sz w:val="24"/>
          <w:highlight w:val="none"/>
          <w:lang w:val="en-US" w:eastAsia="zh-CN"/>
        </w:rPr>
        <w:t>3、</w:t>
      </w:r>
      <w:r>
        <w:rPr>
          <w:rFonts w:hint="eastAsia" w:ascii="宋体" w:hAnsi="宋体" w:cs="宋体"/>
          <w:bCs/>
          <w:color w:val="auto"/>
          <w:sz w:val="24"/>
          <w:highlight w:val="none"/>
          <w:lang w:val="zh-CN"/>
        </w:rPr>
        <w:t>验收方式：采购人应当成立验收小组，负责采购项目履约验收具体工作。（技术复杂或专业性强的政府采购项目，可以邀请有资质的第三方专业机构参加验收并出具专业意见。对于采购人和使用人分离的采购项目，采购人或其委托的采购代理机构应当邀请实际使用人参与验收。 政府向社会公众提供的公共服务项目，验收时应当邀请服务对象进行公共服务项目满意度评价，评价结果作为履约验收的参考依据。）</w:t>
      </w:r>
    </w:p>
    <w:p w14:paraId="38CE6C3F">
      <w:pPr>
        <w:spacing w:line="440" w:lineRule="exact"/>
        <w:ind w:firstLine="482"/>
        <w:jc w:val="left"/>
        <w:rPr>
          <w:rFonts w:hint="eastAsia" w:ascii="宋体" w:hAnsi="宋体" w:cs="宋体"/>
          <w:bCs/>
          <w:color w:val="auto"/>
          <w:sz w:val="24"/>
          <w:highlight w:val="none"/>
          <w:lang w:val="zh-CN"/>
        </w:rPr>
      </w:pPr>
      <w:r>
        <w:rPr>
          <w:rFonts w:hint="eastAsia" w:ascii="宋体" w:hAnsi="宋体" w:cs="宋体"/>
          <w:bCs/>
          <w:color w:val="auto"/>
          <w:sz w:val="24"/>
          <w:highlight w:val="none"/>
          <w:lang w:val="en-US" w:eastAsia="zh-CN"/>
        </w:rPr>
        <w:t>4、</w:t>
      </w:r>
      <w:r>
        <w:rPr>
          <w:rFonts w:hint="eastAsia" w:ascii="宋体" w:hAnsi="宋体" w:cs="宋体"/>
          <w:bCs/>
          <w:color w:val="auto"/>
          <w:sz w:val="24"/>
          <w:highlight w:val="none"/>
          <w:lang w:val="zh-CN"/>
        </w:rPr>
        <w:t>验收内容：验收小组应当制定验收工作实施方案，按照方案开展验收，出具验收意见。</w:t>
      </w:r>
    </w:p>
    <w:p w14:paraId="1477EE24">
      <w:pPr>
        <w:spacing w:line="440" w:lineRule="exact"/>
        <w:ind w:firstLine="482"/>
        <w:jc w:val="left"/>
        <w:rPr>
          <w:rFonts w:hint="eastAsia" w:ascii="宋体" w:hAnsi="宋体" w:cs="宋体"/>
          <w:bCs/>
          <w:color w:val="auto"/>
          <w:sz w:val="24"/>
          <w:highlight w:val="none"/>
          <w:lang w:val="zh-CN"/>
        </w:rPr>
      </w:pPr>
      <w:r>
        <w:rPr>
          <w:rFonts w:hint="eastAsia" w:ascii="宋体" w:hAnsi="宋体" w:cs="宋体"/>
          <w:bCs/>
          <w:color w:val="auto"/>
          <w:sz w:val="24"/>
          <w:highlight w:val="none"/>
          <w:lang w:val="en-US" w:eastAsia="zh-CN"/>
        </w:rPr>
        <w:t>5、</w:t>
      </w:r>
      <w:r>
        <w:rPr>
          <w:rFonts w:hint="eastAsia" w:ascii="宋体" w:hAnsi="宋体" w:cs="宋体"/>
          <w:bCs/>
          <w:color w:val="auto"/>
          <w:sz w:val="24"/>
          <w:highlight w:val="none"/>
          <w:lang w:val="zh-CN"/>
        </w:rPr>
        <w:t>验收标准：应当符合政府采购合同约定、乙方投标文件的承诺、法律法规以及国家强制性标准等，对服务类采购项目，可以参照行业标准、专业标准等。</w:t>
      </w:r>
    </w:p>
    <w:p w14:paraId="475E951A">
      <w:pPr>
        <w:spacing w:line="440" w:lineRule="exact"/>
        <w:ind w:firstLine="482"/>
        <w:jc w:val="left"/>
        <w:rPr>
          <w:rFonts w:hint="default" w:ascii="宋体" w:hAnsi="宋体" w:eastAsia="宋体" w:cs="宋体"/>
          <w:b/>
          <w:bCs w:val="0"/>
          <w:i/>
          <w:iCs/>
          <w:color w:val="auto"/>
          <w:sz w:val="24"/>
          <w:highlight w:val="none"/>
          <w:lang w:val="en-US" w:eastAsia="zh-CN"/>
        </w:rPr>
      </w:pPr>
      <w:r>
        <w:rPr>
          <w:rFonts w:hint="eastAsia" w:ascii="宋体" w:hAnsi="宋体" w:cs="宋体"/>
          <w:b/>
          <w:bCs w:val="0"/>
          <w:color w:val="auto"/>
          <w:sz w:val="24"/>
          <w:highlight w:val="none"/>
          <w:lang w:val="zh-CN"/>
        </w:rPr>
        <w:t>第</w:t>
      </w:r>
      <w:r>
        <w:rPr>
          <w:rFonts w:hint="eastAsia" w:ascii="宋体" w:hAnsi="宋体" w:cs="宋体"/>
          <w:b/>
          <w:bCs w:val="0"/>
          <w:color w:val="auto"/>
          <w:sz w:val="24"/>
          <w:highlight w:val="none"/>
          <w:lang w:val="en-US" w:eastAsia="zh-CN"/>
        </w:rPr>
        <w:t>八</w:t>
      </w:r>
      <w:r>
        <w:rPr>
          <w:rFonts w:hint="eastAsia" w:ascii="宋体" w:hAnsi="宋体" w:cs="宋体"/>
          <w:b/>
          <w:bCs w:val="0"/>
          <w:color w:val="auto"/>
          <w:sz w:val="24"/>
          <w:highlight w:val="none"/>
          <w:lang w:val="zh-CN"/>
        </w:rPr>
        <w:t>条　</w:t>
      </w:r>
      <w:r>
        <w:rPr>
          <w:rFonts w:hint="eastAsia" w:ascii="宋体" w:hAnsi="宋体" w:cs="宋体"/>
          <w:b/>
          <w:bCs w:val="0"/>
          <w:color w:val="auto"/>
          <w:sz w:val="24"/>
          <w:highlight w:val="none"/>
          <w:lang w:val="en-US" w:eastAsia="zh-CN"/>
        </w:rPr>
        <w:t>支付方式</w:t>
      </w:r>
    </w:p>
    <w:p w14:paraId="2EDFC59E">
      <w:pPr>
        <w:tabs>
          <w:tab w:val="left" w:pos="210"/>
          <w:tab w:val="left" w:pos="420"/>
          <w:tab w:val="left" w:pos="1155"/>
        </w:tabs>
        <w:spacing w:line="440" w:lineRule="exact"/>
        <w:ind w:firstLine="787" w:firstLineChars="328"/>
        <w:rPr>
          <w:rFonts w:hint="eastAsia" w:ascii="宋体" w:hAnsi="宋体" w:cs="宋体"/>
          <w:bCs/>
          <w:color w:val="auto"/>
          <w:sz w:val="24"/>
          <w:highlight w:val="none"/>
          <w:lang w:val="zh-CN" w:eastAsia="zh-CN"/>
        </w:rPr>
      </w:pPr>
      <w:r>
        <w:rPr>
          <w:rFonts w:hint="eastAsia" w:ascii="宋体" w:hAnsi="宋体" w:cs="宋体"/>
          <w:bCs/>
          <w:color w:val="auto"/>
          <w:sz w:val="24"/>
          <w:highlight w:val="none"/>
          <w:lang w:val="en-US" w:eastAsia="zh-CN"/>
        </w:rPr>
        <w:t>年度服务期满，甲方验收合格并经审计后一次性结清，季度考核扣款在最终结算价中扣除</w:t>
      </w:r>
      <w:r>
        <w:rPr>
          <w:rFonts w:hint="eastAsia" w:ascii="宋体" w:hAnsi="宋体" w:cs="宋体"/>
          <w:bCs/>
          <w:color w:val="auto"/>
          <w:sz w:val="24"/>
          <w:highlight w:val="none"/>
          <w:lang w:val="zh-CN" w:eastAsia="zh-CN"/>
        </w:rPr>
        <w:t>。</w:t>
      </w:r>
    </w:p>
    <w:p w14:paraId="531C9863">
      <w:pPr>
        <w:pStyle w:val="4"/>
        <w:spacing w:line="442" w:lineRule="exact"/>
        <w:ind w:firstLine="540"/>
        <w:rPr>
          <w:rFonts w:hint="eastAsia" w:ascii="宋体" w:hAnsi="宋体" w:eastAsia="宋体" w:cs="宋体"/>
          <w:b/>
          <w:bCs w:val="0"/>
          <w:color w:val="auto"/>
          <w:sz w:val="24"/>
          <w:szCs w:val="22"/>
          <w:highlight w:val="none"/>
          <w:lang w:val="en-US" w:eastAsia="zh-CN" w:bidi="ar-SA"/>
        </w:rPr>
      </w:pPr>
      <w:r>
        <w:rPr>
          <w:rFonts w:hint="eastAsia" w:ascii="宋体" w:hAnsi="宋体" w:cs="宋体"/>
          <w:b/>
          <w:bCs w:val="0"/>
          <w:color w:val="auto"/>
          <w:sz w:val="24"/>
          <w:highlight w:val="none"/>
          <w:lang w:val="en-US" w:eastAsia="zh-CN"/>
        </w:rPr>
        <w:t>第九条</w:t>
      </w:r>
      <w:r>
        <w:rPr>
          <w:rFonts w:hint="eastAsia" w:cs="宋体"/>
          <w:bCs/>
          <w:color w:val="auto"/>
          <w:sz w:val="24"/>
          <w:highlight w:val="none"/>
          <w:lang w:val="en-US" w:eastAsia="zh-CN"/>
        </w:rPr>
        <w:t xml:space="preserve">  </w:t>
      </w:r>
      <w:r>
        <w:rPr>
          <w:rFonts w:hint="eastAsia" w:ascii="宋体" w:hAnsi="宋体" w:eastAsia="宋体" w:cs="宋体"/>
          <w:b/>
          <w:bCs w:val="0"/>
          <w:color w:val="auto"/>
          <w:sz w:val="24"/>
          <w:szCs w:val="22"/>
          <w:highlight w:val="none"/>
          <w:lang w:val="en-US" w:eastAsia="zh-CN" w:bidi="ar-SA"/>
        </w:rPr>
        <w:t>考核</w:t>
      </w:r>
      <w:r>
        <w:rPr>
          <w:rFonts w:hint="eastAsia" w:cs="宋体"/>
          <w:b/>
          <w:bCs w:val="0"/>
          <w:color w:val="auto"/>
          <w:sz w:val="24"/>
          <w:szCs w:val="22"/>
          <w:highlight w:val="none"/>
          <w:lang w:val="en-US" w:eastAsia="zh-CN" w:bidi="ar-SA"/>
        </w:rPr>
        <w:t>及结算</w:t>
      </w:r>
      <w:r>
        <w:rPr>
          <w:rFonts w:hint="eastAsia" w:ascii="宋体" w:hAnsi="宋体" w:eastAsia="宋体" w:cs="宋体"/>
          <w:b/>
          <w:bCs w:val="0"/>
          <w:color w:val="auto"/>
          <w:sz w:val="24"/>
          <w:szCs w:val="22"/>
          <w:highlight w:val="none"/>
          <w:lang w:val="en-US" w:eastAsia="zh-CN" w:bidi="ar-SA"/>
        </w:rPr>
        <w:t>方式</w:t>
      </w:r>
    </w:p>
    <w:p w14:paraId="30447AA6">
      <w:pPr>
        <w:pStyle w:val="4"/>
        <w:spacing w:line="442" w:lineRule="exact"/>
        <w:ind w:firstLine="540"/>
        <w:rPr>
          <w:rFonts w:hint="eastAsia" w:ascii="宋体" w:hAnsi="宋体" w:eastAsia="宋体" w:cs="宋体"/>
          <w:bCs/>
          <w:color w:val="auto"/>
          <w:sz w:val="24"/>
          <w:szCs w:val="22"/>
          <w:highlight w:val="none"/>
          <w:lang w:val="en-US" w:eastAsia="zh-CN" w:bidi="ar-SA"/>
        </w:rPr>
      </w:pPr>
      <w:r>
        <w:rPr>
          <w:rFonts w:hint="eastAsia" w:cs="宋体"/>
          <w:bCs/>
          <w:color w:val="auto"/>
          <w:sz w:val="24"/>
          <w:szCs w:val="22"/>
          <w:highlight w:val="none"/>
          <w:lang w:val="en-US" w:eastAsia="zh-CN" w:bidi="ar-SA"/>
        </w:rPr>
        <w:t>1、考核方式：</w:t>
      </w:r>
      <w:r>
        <w:rPr>
          <w:rFonts w:hint="eastAsia" w:ascii="宋体" w:hAnsi="宋体" w:eastAsia="宋体" w:cs="宋体"/>
          <w:bCs/>
          <w:color w:val="auto"/>
          <w:sz w:val="24"/>
          <w:szCs w:val="22"/>
          <w:highlight w:val="none"/>
          <w:lang w:val="en-US" w:eastAsia="zh-CN" w:bidi="ar-SA"/>
        </w:rPr>
        <w:t>考核周期为1个季度:A、考核得分90分及以上的，</w:t>
      </w:r>
      <w:r>
        <w:rPr>
          <w:rFonts w:hint="eastAsia" w:cs="宋体"/>
          <w:bCs/>
          <w:color w:val="auto"/>
          <w:sz w:val="24"/>
          <w:szCs w:val="22"/>
          <w:highlight w:val="none"/>
          <w:lang w:val="en-US" w:eastAsia="zh-CN" w:bidi="ar-SA"/>
        </w:rPr>
        <w:t>不扣除季度服务费</w:t>
      </w:r>
      <w:r>
        <w:rPr>
          <w:rFonts w:hint="eastAsia" w:ascii="宋体" w:hAnsi="宋体" w:eastAsia="宋体" w:cs="宋体"/>
          <w:bCs/>
          <w:color w:val="auto"/>
          <w:sz w:val="24"/>
          <w:szCs w:val="22"/>
          <w:highlight w:val="none"/>
          <w:lang w:val="en-US" w:eastAsia="zh-CN" w:bidi="ar-SA"/>
        </w:rPr>
        <w:t>；B、考核得分81--89分的，扣除季度服务费总额的3%；C、考核得分71分--80分的，扣除季度服务费总额的5%；D、考核得分70分及以下的为不合格，扣除季度服务费总额的10%</w:t>
      </w:r>
      <w:r>
        <w:rPr>
          <w:rFonts w:hint="eastAsia" w:cs="宋体"/>
          <w:bCs/>
          <w:color w:val="auto"/>
          <w:sz w:val="24"/>
          <w:szCs w:val="22"/>
          <w:highlight w:val="none"/>
          <w:lang w:val="en-US" w:eastAsia="zh-CN" w:bidi="ar-SA"/>
        </w:rPr>
        <w:t>；</w:t>
      </w:r>
      <w:r>
        <w:rPr>
          <w:rFonts w:hint="eastAsia" w:ascii="宋体" w:hAnsi="宋体" w:eastAsia="宋体" w:cs="宋体"/>
          <w:bCs/>
          <w:color w:val="auto"/>
          <w:sz w:val="24"/>
          <w:szCs w:val="22"/>
          <w:highlight w:val="none"/>
          <w:lang w:val="en-US" w:eastAsia="zh-CN" w:bidi="ar-SA"/>
        </w:rPr>
        <w:t>E、</w:t>
      </w:r>
      <w:r>
        <w:rPr>
          <w:rFonts w:hint="eastAsia" w:cs="宋体"/>
          <w:bCs/>
          <w:color w:val="auto"/>
          <w:sz w:val="24"/>
          <w:szCs w:val="22"/>
          <w:highlight w:val="none"/>
          <w:lang w:val="en-US" w:eastAsia="zh-CN" w:bidi="ar-SA"/>
        </w:rPr>
        <w:t>一年内累计2次考核不合格，甲方有权终止合同，并不承担违约金和赔偿受托方的任何损失。</w:t>
      </w:r>
    </w:p>
    <w:p w14:paraId="5654AD0E">
      <w:pPr>
        <w:pStyle w:val="4"/>
        <w:spacing w:line="442" w:lineRule="exact"/>
        <w:ind w:firstLine="540"/>
        <w:rPr>
          <w:rFonts w:hint="default" w:ascii="宋体" w:hAnsi="宋体" w:eastAsia="宋体" w:cs="宋体"/>
          <w:bCs/>
          <w:color w:val="auto"/>
          <w:sz w:val="24"/>
          <w:szCs w:val="22"/>
          <w:highlight w:val="none"/>
          <w:lang w:val="en-US" w:eastAsia="zh-CN" w:bidi="ar-SA"/>
        </w:rPr>
      </w:pPr>
      <w:r>
        <w:rPr>
          <w:rFonts w:hint="eastAsia" w:cs="宋体"/>
          <w:bCs/>
          <w:color w:val="auto"/>
          <w:sz w:val="24"/>
          <w:szCs w:val="22"/>
          <w:highlight w:val="none"/>
          <w:lang w:val="en-US" w:eastAsia="zh-CN" w:bidi="ar-SA"/>
        </w:rPr>
        <w:t>2、结算方式：审计审核的服务量*清单价格*固定折扣，计算出的总价作为最终结算总价，最终结算总价不得超过100万元/年。</w:t>
      </w:r>
    </w:p>
    <w:p w14:paraId="1EC6EF9E">
      <w:pPr>
        <w:spacing w:line="440" w:lineRule="exact"/>
        <w:ind w:firstLine="480"/>
        <w:jc w:val="left"/>
        <w:rPr>
          <w:rFonts w:hint="eastAsia" w:ascii="宋体" w:hAnsi="宋体" w:cs="宋体"/>
          <w:b/>
          <w:bCs w:val="0"/>
          <w:color w:val="auto"/>
          <w:sz w:val="24"/>
          <w:highlight w:val="none"/>
          <w:lang w:val="zh-CN"/>
        </w:rPr>
      </w:pPr>
      <w:r>
        <w:rPr>
          <w:rFonts w:hint="eastAsia" w:ascii="宋体" w:hAnsi="宋体" w:cs="宋体"/>
          <w:b/>
          <w:bCs w:val="0"/>
          <w:color w:val="auto"/>
          <w:sz w:val="24"/>
          <w:highlight w:val="none"/>
          <w:lang w:val="zh-CN"/>
        </w:rPr>
        <w:t>第</w:t>
      </w:r>
      <w:r>
        <w:rPr>
          <w:rFonts w:hint="eastAsia" w:ascii="宋体" w:hAnsi="宋体" w:cs="宋体"/>
          <w:b/>
          <w:bCs w:val="0"/>
          <w:color w:val="auto"/>
          <w:sz w:val="24"/>
          <w:highlight w:val="none"/>
          <w:lang w:val="en-US" w:eastAsia="zh-CN"/>
        </w:rPr>
        <w:t>十</w:t>
      </w:r>
      <w:r>
        <w:rPr>
          <w:rFonts w:hint="eastAsia" w:ascii="宋体" w:hAnsi="宋体" w:cs="宋体"/>
          <w:b/>
          <w:bCs w:val="0"/>
          <w:color w:val="auto"/>
          <w:sz w:val="24"/>
          <w:highlight w:val="none"/>
          <w:lang w:val="zh-CN"/>
        </w:rPr>
        <w:t>条　违约责任</w:t>
      </w:r>
    </w:p>
    <w:p w14:paraId="31BFA93E">
      <w:pPr>
        <w:widowControl/>
        <w:spacing w:line="44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、乙方无法完成项目的，应向甲方支付合同总价</w:t>
      </w:r>
      <w:r>
        <w:rPr>
          <w:rFonts w:hint="eastAsia" w:ascii="宋体" w:hAnsi="宋体" w:cs="宋体"/>
          <w:color w:val="auto"/>
          <w:sz w:val="24"/>
          <w:highlight w:val="none"/>
          <w:u w:val="single"/>
        </w:rPr>
        <w:t>10％</w:t>
      </w:r>
      <w:r>
        <w:rPr>
          <w:rFonts w:hint="eastAsia" w:ascii="宋体" w:hAnsi="宋体" w:cs="宋体"/>
          <w:color w:val="auto"/>
          <w:sz w:val="24"/>
          <w:highlight w:val="none"/>
        </w:rPr>
        <w:t>的违约金，同时甲方有权解除合同。</w:t>
      </w:r>
    </w:p>
    <w:p w14:paraId="3719375E">
      <w:pPr>
        <w:widowControl/>
        <w:spacing w:line="440" w:lineRule="exact"/>
        <w:ind w:firstLine="480"/>
        <w:jc w:val="left"/>
        <w:rPr>
          <w:rFonts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、违约方承担违约责任并不影响其合同项下的义务(合同解除的除外)。</w:t>
      </w:r>
    </w:p>
    <w:p w14:paraId="686E4C38">
      <w:pPr>
        <w:widowControl/>
        <w:spacing w:line="440" w:lineRule="exact"/>
        <w:ind w:firstLine="482"/>
        <w:jc w:val="left"/>
        <w:rPr>
          <w:rFonts w:hint="eastAsia" w:ascii="宋体" w:hAnsi="宋体" w:cs="宋体"/>
          <w:b/>
          <w:bCs w:val="0"/>
          <w:color w:val="auto"/>
          <w:sz w:val="24"/>
          <w:highlight w:val="none"/>
        </w:rPr>
      </w:pPr>
      <w:r>
        <w:rPr>
          <w:rFonts w:hint="eastAsia" w:ascii="宋体" w:hAnsi="宋体" w:cs="宋体"/>
          <w:b/>
          <w:bCs w:val="0"/>
          <w:color w:val="auto"/>
          <w:sz w:val="24"/>
          <w:highlight w:val="none"/>
          <w:lang w:val="zh-CN"/>
        </w:rPr>
        <w:t>第十</w:t>
      </w:r>
      <w:r>
        <w:rPr>
          <w:rFonts w:hint="eastAsia" w:ascii="宋体" w:hAnsi="宋体" w:cs="宋体"/>
          <w:b/>
          <w:bCs w:val="0"/>
          <w:color w:val="auto"/>
          <w:sz w:val="24"/>
          <w:highlight w:val="none"/>
          <w:lang w:val="en-US" w:eastAsia="zh-CN"/>
        </w:rPr>
        <w:t>一</w:t>
      </w:r>
      <w:r>
        <w:rPr>
          <w:rFonts w:hint="eastAsia" w:ascii="宋体" w:hAnsi="宋体" w:cs="宋体"/>
          <w:b/>
          <w:bCs w:val="0"/>
          <w:color w:val="auto"/>
          <w:sz w:val="24"/>
          <w:highlight w:val="none"/>
          <w:lang w:val="zh-CN"/>
        </w:rPr>
        <w:t>条　</w:t>
      </w:r>
      <w:r>
        <w:rPr>
          <w:rFonts w:hint="eastAsia" w:ascii="宋体" w:hAnsi="宋体" w:cs="宋体"/>
          <w:b/>
          <w:bCs w:val="0"/>
          <w:color w:val="auto"/>
          <w:sz w:val="24"/>
          <w:highlight w:val="none"/>
        </w:rPr>
        <w:t>不可抗力</w:t>
      </w:r>
    </w:p>
    <w:p w14:paraId="66E6A1EC">
      <w:pPr>
        <w:widowControl/>
        <w:spacing w:line="440" w:lineRule="exact"/>
        <w:ind w:firstLine="480"/>
        <w:jc w:val="left"/>
        <w:rPr>
          <w:rFonts w:hint="eastAsia" w:ascii="宋体" w:hAnsi="宋体" w:cs="宋体"/>
          <w:bCs/>
          <w:color w:val="auto"/>
          <w:sz w:val="24"/>
          <w:highlight w:val="none"/>
        </w:rPr>
      </w:pPr>
      <w:r>
        <w:rPr>
          <w:rFonts w:hint="eastAsia" w:ascii="宋体" w:hAnsi="宋体" w:cs="宋体"/>
          <w:bCs/>
          <w:color w:val="auto"/>
          <w:sz w:val="24"/>
          <w:highlight w:val="none"/>
        </w:rPr>
        <w:t>1、不可抗力，是指不能预见、不能避免并不能克服的客观情况，如战争、动乱、瘟疫、严重火灾、洪水、地震、风暴或其他自然灾害等。</w:t>
      </w:r>
    </w:p>
    <w:p w14:paraId="6F066A19">
      <w:pPr>
        <w:widowControl/>
        <w:spacing w:line="440" w:lineRule="exact"/>
        <w:ind w:firstLine="480"/>
        <w:jc w:val="left"/>
        <w:rPr>
          <w:rFonts w:hint="eastAsia" w:ascii="宋体" w:hAnsi="宋体" w:cs="宋体"/>
          <w:bCs/>
          <w:color w:val="auto"/>
          <w:sz w:val="24"/>
          <w:highlight w:val="none"/>
        </w:rPr>
      </w:pPr>
      <w:r>
        <w:rPr>
          <w:rFonts w:hint="eastAsia" w:ascii="宋体" w:hAnsi="宋体" w:cs="宋体"/>
          <w:bCs/>
          <w:color w:val="auto"/>
          <w:sz w:val="24"/>
          <w:highlight w:val="none"/>
        </w:rPr>
        <w:t>2、任何一方因不可抗力不能履行本合同规定的全部或部分义务，应尽快以书面形式将不可抗力的情况、原因及对履行本合同的影响等及时通知另一方。同时，遭受不可抗力影响的一方有义务尽可能及时采取适当或必要措施减少或消除不可抗力的影响，因未尽本义务而造成的相关损失由其承担。</w:t>
      </w:r>
    </w:p>
    <w:p w14:paraId="32F2B684">
      <w:pPr>
        <w:widowControl/>
        <w:spacing w:line="440" w:lineRule="exact"/>
        <w:ind w:firstLine="480"/>
        <w:jc w:val="left"/>
        <w:rPr>
          <w:rFonts w:hint="eastAsia" w:ascii="宋体" w:hAnsi="宋体" w:cs="宋体"/>
          <w:bCs/>
          <w:color w:val="auto"/>
          <w:sz w:val="24"/>
          <w:highlight w:val="none"/>
        </w:rPr>
      </w:pPr>
      <w:r>
        <w:rPr>
          <w:rFonts w:hint="eastAsia" w:ascii="宋体" w:hAnsi="宋体" w:cs="宋体"/>
          <w:bCs/>
          <w:color w:val="auto"/>
          <w:sz w:val="24"/>
          <w:highlight w:val="none"/>
        </w:rPr>
        <w:t>3、发生不可抗力事件，任何一方均不对因不可抗力无法履行或迟延履行本合同义务而使另一方蒙受的任何损失承担责任，法律另有规定的除外。</w:t>
      </w:r>
    </w:p>
    <w:p w14:paraId="28619C00">
      <w:pPr>
        <w:widowControl/>
        <w:spacing w:line="440" w:lineRule="exact"/>
        <w:ind w:firstLine="480"/>
        <w:jc w:val="left"/>
        <w:rPr>
          <w:rFonts w:hint="eastAsia" w:ascii="宋体" w:hAnsi="宋体" w:cs="宋体"/>
          <w:bCs/>
          <w:color w:val="auto"/>
          <w:sz w:val="24"/>
          <w:highlight w:val="none"/>
        </w:rPr>
      </w:pPr>
      <w:r>
        <w:rPr>
          <w:rFonts w:hint="eastAsia" w:ascii="宋体" w:hAnsi="宋体" w:cs="宋体"/>
          <w:bCs/>
          <w:color w:val="auto"/>
          <w:sz w:val="24"/>
          <w:highlight w:val="none"/>
        </w:rPr>
        <w:t>4、合同各方应根据不可抗力对本合同履行的影响程度，协商确定是否终止本合同或是继续履行本合同。</w:t>
      </w:r>
    </w:p>
    <w:p w14:paraId="3E064D0D">
      <w:pPr>
        <w:widowControl/>
        <w:spacing w:line="440" w:lineRule="exact"/>
        <w:ind w:firstLine="482"/>
        <w:jc w:val="left"/>
        <w:rPr>
          <w:rFonts w:hint="eastAsia" w:ascii="宋体" w:hAnsi="宋体" w:cs="宋体"/>
          <w:b/>
          <w:bCs/>
          <w:color w:val="auto"/>
          <w:sz w:val="24"/>
          <w:highlight w:val="none"/>
          <w:lang w:val="zh-CN"/>
        </w:rPr>
      </w:pPr>
      <w:r>
        <w:rPr>
          <w:rFonts w:hint="eastAsia" w:ascii="宋体" w:hAnsi="宋体" w:cs="宋体"/>
          <w:b/>
          <w:bCs/>
          <w:color w:val="auto"/>
          <w:sz w:val="24"/>
          <w:highlight w:val="none"/>
        </w:rPr>
        <w:t>第十</w:t>
      </w:r>
      <w:r>
        <w:rPr>
          <w:rFonts w:hint="eastAsia" w:ascii="宋体" w:hAnsi="宋体" w:cs="宋体"/>
          <w:b/>
          <w:bCs/>
          <w:color w:val="auto"/>
          <w:sz w:val="24"/>
          <w:highlight w:val="none"/>
          <w:lang w:val="en-US" w:eastAsia="zh-CN"/>
        </w:rPr>
        <w:t>二</w:t>
      </w:r>
      <w:r>
        <w:rPr>
          <w:rFonts w:hint="eastAsia" w:ascii="宋体" w:hAnsi="宋体" w:cs="宋体"/>
          <w:b/>
          <w:bCs/>
          <w:color w:val="auto"/>
          <w:sz w:val="24"/>
          <w:highlight w:val="none"/>
        </w:rPr>
        <w:t>条　</w:t>
      </w:r>
      <w:r>
        <w:rPr>
          <w:rFonts w:hint="eastAsia" w:ascii="宋体" w:hAnsi="宋体" w:cs="宋体"/>
          <w:b/>
          <w:bCs/>
          <w:color w:val="auto"/>
          <w:sz w:val="24"/>
          <w:highlight w:val="none"/>
          <w:lang w:val="zh-CN"/>
        </w:rPr>
        <w:t>合同的变更和终止</w:t>
      </w:r>
    </w:p>
    <w:p w14:paraId="1247439C">
      <w:pPr>
        <w:widowControl/>
        <w:spacing w:line="440" w:lineRule="exact"/>
        <w:ind w:firstLine="480"/>
        <w:jc w:val="left"/>
        <w:rPr>
          <w:rFonts w:hint="eastAsia" w:ascii="宋体" w:hAnsi="宋体" w:cs="宋体"/>
          <w:color w:val="auto"/>
          <w:sz w:val="24"/>
          <w:highlight w:val="none"/>
          <w:lang w:val="zh-CN"/>
        </w:rPr>
      </w:pPr>
      <w:r>
        <w:rPr>
          <w:rFonts w:hint="eastAsia" w:ascii="宋体" w:hAnsi="宋体" w:cs="宋体"/>
          <w:color w:val="auto"/>
          <w:sz w:val="24"/>
          <w:highlight w:val="none"/>
          <w:lang w:val="zh-CN"/>
        </w:rPr>
        <w:t>1、除《政府采购法》第五十条规定的情形外，本合同一经签订，甲乙双方不得擅自变更、中止或终止合同。</w:t>
      </w:r>
    </w:p>
    <w:p w14:paraId="3ED317DF">
      <w:pPr>
        <w:widowControl/>
        <w:spacing w:line="44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lang w:val="zh-CN"/>
        </w:rPr>
        <w:t>2、</w:t>
      </w:r>
      <w:r>
        <w:rPr>
          <w:rFonts w:hint="eastAsia" w:ascii="宋体" w:hAnsi="宋体" w:cs="宋体"/>
          <w:color w:val="auto"/>
          <w:sz w:val="24"/>
          <w:highlight w:val="none"/>
        </w:rPr>
        <w:t>除发生法律规定的不能预见、不能避免并不能克服的客观情况外，甲乙双方不得放弃或拒绝履行合同。</w:t>
      </w:r>
    </w:p>
    <w:p w14:paraId="1416E6C8">
      <w:pPr>
        <w:widowControl/>
        <w:spacing w:line="44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本合同因下列原因而终止：</w:t>
      </w:r>
    </w:p>
    <w:p w14:paraId="491D6FB7">
      <w:pPr>
        <w:widowControl/>
        <w:spacing w:line="440" w:lineRule="exact"/>
        <w:ind w:firstLine="482"/>
        <w:jc w:val="left"/>
        <w:rPr>
          <w:rFonts w:hint="eastAsia" w:ascii="宋体" w:hAnsi="宋体" w:cs="宋体"/>
          <w:b/>
          <w:bCs/>
          <w:color w:val="auto"/>
          <w:sz w:val="24"/>
          <w:highlight w:val="none"/>
          <w:u w:val="single"/>
        </w:rPr>
      </w:pPr>
      <w:r>
        <w:rPr>
          <w:rFonts w:hint="eastAsia" w:ascii="宋体" w:hAnsi="宋体" w:cs="宋体"/>
          <w:b/>
          <w:bCs/>
          <w:color w:val="auto"/>
          <w:sz w:val="24"/>
          <w:highlight w:val="none"/>
          <w:u w:val="single"/>
        </w:rPr>
        <w:t>(1)本合同正常履行完毕；</w:t>
      </w:r>
    </w:p>
    <w:p w14:paraId="0712812F">
      <w:pPr>
        <w:widowControl/>
        <w:spacing w:line="440" w:lineRule="exact"/>
        <w:ind w:firstLine="482"/>
        <w:jc w:val="left"/>
        <w:rPr>
          <w:rFonts w:hint="eastAsia" w:ascii="宋体" w:hAnsi="宋体" w:cs="宋体"/>
          <w:b/>
          <w:bCs/>
          <w:color w:val="auto"/>
          <w:sz w:val="24"/>
          <w:highlight w:val="none"/>
          <w:u w:val="single"/>
        </w:rPr>
      </w:pPr>
      <w:r>
        <w:rPr>
          <w:rFonts w:hint="eastAsia" w:ascii="宋体" w:hAnsi="宋体" w:cs="宋体"/>
          <w:b/>
          <w:bCs/>
          <w:color w:val="auto"/>
          <w:sz w:val="24"/>
          <w:highlight w:val="none"/>
          <w:u w:val="single"/>
        </w:rPr>
        <w:t>(2)因不可抗力导致本合同无法履行或履行不必要；</w:t>
      </w:r>
    </w:p>
    <w:p w14:paraId="5C9A91ED">
      <w:pPr>
        <w:widowControl/>
        <w:spacing w:line="440" w:lineRule="exact"/>
        <w:ind w:firstLine="482"/>
        <w:jc w:val="left"/>
        <w:rPr>
          <w:rFonts w:hint="eastAsia" w:ascii="宋体" w:hAnsi="宋体" w:cs="宋体"/>
          <w:b/>
          <w:bCs/>
          <w:color w:val="auto"/>
          <w:sz w:val="24"/>
          <w:highlight w:val="none"/>
          <w:u w:val="single"/>
        </w:rPr>
      </w:pPr>
      <w:r>
        <w:rPr>
          <w:rFonts w:hint="eastAsia" w:ascii="宋体" w:hAnsi="宋体" w:cs="宋体"/>
          <w:b/>
          <w:bCs/>
          <w:color w:val="auto"/>
          <w:sz w:val="24"/>
          <w:highlight w:val="none"/>
          <w:u w:val="single"/>
        </w:rPr>
        <w:t>(3)任何一方行使解除权解除本合同；</w:t>
      </w:r>
    </w:p>
    <w:p w14:paraId="776095FB">
      <w:pPr>
        <w:widowControl/>
        <w:spacing w:line="440" w:lineRule="exact"/>
        <w:ind w:firstLine="482"/>
        <w:jc w:val="left"/>
        <w:rPr>
          <w:rFonts w:hint="eastAsia" w:ascii="宋体" w:hAnsi="宋体" w:cs="宋体"/>
          <w:b/>
          <w:bCs/>
          <w:color w:val="auto"/>
          <w:sz w:val="24"/>
          <w:highlight w:val="none"/>
          <w:u w:val="single"/>
        </w:rPr>
      </w:pPr>
      <w:r>
        <w:rPr>
          <w:rFonts w:hint="eastAsia" w:ascii="宋体" w:hAnsi="宋体" w:cs="宋体"/>
          <w:b/>
          <w:bCs/>
          <w:color w:val="auto"/>
          <w:sz w:val="24"/>
          <w:highlight w:val="none"/>
          <w:u w:val="single"/>
        </w:rPr>
        <w:t>(4)合同的继续履行将损害国家利益和社会公共利益。</w:t>
      </w:r>
    </w:p>
    <w:p w14:paraId="1B9753BA">
      <w:pPr>
        <w:pStyle w:val="4"/>
        <w:spacing w:line="442" w:lineRule="exact"/>
        <w:rPr>
          <w:rFonts w:hint="eastAsia" w:ascii="宋体" w:hAnsi="宋体" w:eastAsia="宋体" w:cs="宋体"/>
          <w:b/>
          <w:bCs/>
          <w:color w:val="auto"/>
          <w:sz w:val="24"/>
          <w:szCs w:val="22"/>
          <w:highlight w:val="none"/>
          <w:u w:val="single"/>
          <w:lang w:val="en-US" w:eastAsia="zh-CN" w:bidi="ar-SA"/>
        </w:rPr>
      </w:pPr>
      <w:r>
        <w:rPr>
          <w:rFonts w:hint="eastAsia" w:ascii="宋体" w:hAnsi="宋体" w:eastAsia="宋体" w:cs="宋体"/>
          <w:b/>
          <w:bCs/>
          <w:color w:val="auto"/>
          <w:sz w:val="24"/>
          <w:szCs w:val="22"/>
          <w:highlight w:val="none"/>
          <w:u w:val="single"/>
          <w:lang w:val="en-US" w:eastAsia="zh-CN" w:bidi="ar-SA"/>
        </w:rPr>
        <w:t>（5）一年内</w:t>
      </w:r>
      <w:r>
        <w:rPr>
          <w:rFonts w:hint="eastAsia" w:cs="宋体"/>
          <w:b/>
          <w:bCs/>
          <w:color w:val="auto"/>
          <w:sz w:val="24"/>
          <w:szCs w:val="22"/>
          <w:highlight w:val="none"/>
          <w:u w:val="single"/>
          <w:lang w:val="en-US" w:eastAsia="zh-CN" w:bidi="ar-SA"/>
        </w:rPr>
        <w:t>累计</w:t>
      </w:r>
      <w:r>
        <w:rPr>
          <w:rFonts w:hint="eastAsia" w:ascii="宋体" w:hAnsi="宋体" w:eastAsia="宋体" w:cs="宋体"/>
          <w:b/>
          <w:bCs/>
          <w:color w:val="auto"/>
          <w:sz w:val="24"/>
          <w:szCs w:val="22"/>
          <w:highlight w:val="none"/>
          <w:u w:val="single"/>
          <w:lang w:val="en-US" w:eastAsia="zh-CN" w:bidi="ar-SA"/>
        </w:rPr>
        <w:t>2次考核</w:t>
      </w:r>
      <w:r>
        <w:rPr>
          <w:rFonts w:hint="eastAsia" w:cs="宋体"/>
          <w:b/>
          <w:bCs/>
          <w:color w:val="auto"/>
          <w:sz w:val="24"/>
          <w:szCs w:val="22"/>
          <w:highlight w:val="none"/>
          <w:u w:val="single"/>
          <w:lang w:val="en-US" w:eastAsia="zh-CN" w:bidi="ar-SA"/>
        </w:rPr>
        <w:t>不合格</w:t>
      </w:r>
      <w:r>
        <w:rPr>
          <w:rFonts w:hint="eastAsia" w:ascii="宋体" w:hAnsi="宋体" w:eastAsia="宋体" w:cs="宋体"/>
          <w:b/>
          <w:bCs/>
          <w:color w:val="auto"/>
          <w:sz w:val="24"/>
          <w:szCs w:val="22"/>
          <w:highlight w:val="none"/>
          <w:u w:val="single"/>
          <w:lang w:val="en-US" w:eastAsia="zh-CN" w:bidi="ar-SA"/>
        </w:rPr>
        <w:t>，甲方有权终止合同，并不承担违约金和赔偿受托方的任何损失。</w:t>
      </w:r>
    </w:p>
    <w:p w14:paraId="5A84DAAF">
      <w:pPr>
        <w:widowControl/>
        <w:spacing w:line="44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rPr>
        <w:t>除上述情形外，甲</w:t>
      </w:r>
      <w:r>
        <w:rPr>
          <w:rFonts w:hint="eastAsia" w:ascii="宋体" w:hAnsi="宋体" w:cs="宋体"/>
          <w:color w:val="auto"/>
          <w:sz w:val="24"/>
          <w:highlight w:val="none"/>
          <w:lang w:eastAsia="zh-CN"/>
        </w:rPr>
        <w:t>、</w:t>
      </w:r>
      <w:r>
        <w:rPr>
          <w:rFonts w:hint="eastAsia" w:ascii="宋体" w:hAnsi="宋体" w:cs="宋体"/>
          <w:color w:val="auto"/>
          <w:sz w:val="24"/>
          <w:highlight w:val="none"/>
        </w:rPr>
        <w:t>乙</w:t>
      </w:r>
      <w:r>
        <w:rPr>
          <w:rFonts w:hint="eastAsia" w:ascii="宋体" w:hAnsi="宋体" w:cs="宋体"/>
          <w:color w:val="auto"/>
          <w:sz w:val="24"/>
          <w:highlight w:val="none"/>
          <w:lang w:eastAsia="zh-CN"/>
        </w:rPr>
        <w:t>各</w:t>
      </w:r>
      <w:r>
        <w:rPr>
          <w:rFonts w:hint="eastAsia" w:ascii="宋体" w:hAnsi="宋体" w:cs="宋体"/>
          <w:color w:val="auto"/>
          <w:sz w:val="24"/>
          <w:highlight w:val="none"/>
        </w:rPr>
        <w:t>方不得擅自终止合同。</w:t>
      </w:r>
    </w:p>
    <w:p w14:paraId="3AAD72D1">
      <w:pPr>
        <w:widowControl/>
        <w:spacing w:line="440" w:lineRule="exact"/>
        <w:ind w:firstLine="480"/>
        <w:jc w:val="left"/>
        <w:rPr>
          <w:rFonts w:hint="eastAsia" w:ascii="宋体" w:hAnsi="宋体" w:cs="宋体"/>
          <w:b/>
          <w:bCs w:val="0"/>
          <w:color w:val="auto"/>
          <w:sz w:val="24"/>
          <w:highlight w:val="none"/>
          <w:lang w:val="zh-CN"/>
        </w:rPr>
      </w:pPr>
      <w:r>
        <w:rPr>
          <w:rFonts w:hint="eastAsia" w:ascii="宋体" w:hAnsi="宋体" w:cs="宋体"/>
          <w:b/>
          <w:bCs w:val="0"/>
          <w:color w:val="auto"/>
          <w:sz w:val="24"/>
          <w:highlight w:val="none"/>
          <w:lang w:val="zh-CN"/>
        </w:rPr>
        <w:t>第十</w:t>
      </w:r>
      <w:r>
        <w:rPr>
          <w:rFonts w:hint="eastAsia" w:ascii="宋体" w:hAnsi="宋体" w:cs="宋体"/>
          <w:b/>
          <w:bCs w:val="0"/>
          <w:color w:val="auto"/>
          <w:sz w:val="24"/>
          <w:highlight w:val="none"/>
          <w:lang w:val="en-US" w:eastAsia="zh-CN"/>
        </w:rPr>
        <w:t>三</w:t>
      </w:r>
      <w:r>
        <w:rPr>
          <w:rFonts w:hint="eastAsia" w:ascii="宋体" w:hAnsi="宋体" w:cs="宋体"/>
          <w:b/>
          <w:bCs w:val="0"/>
          <w:color w:val="auto"/>
          <w:sz w:val="24"/>
          <w:highlight w:val="none"/>
          <w:lang w:val="zh-CN"/>
        </w:rPr>
        <w:t>条　争议的解决</w:t>
      </w:r>
    </w:p>
    <w:p w14:paraId="788EDCEF">
      <w:pPr>
        <w:widowControl/>
        <w:spacing w:line="440" w:lineRule="exact"/>
        <w:ind w:firstLine="480"/>
        <w:jc w:val="left"/>
        <w:rPr>
          <w:rFonts w:hint="eastAsia" w:ascii="宋体" w:hAnsi="宋体" w:cs="宋体"/>
          <w:color w:val="auto"/>
          <w:sz w:val="24"/>
          <w:highlight w:val="none"/>
          <w:lang w:val="zh-CN"/>
        </w:rPr>
      </w:pPr>
      <w:r>
        <w:rPr>
          <w:rFonts w:hint="eastAsia" w:ascii="宋体" w:hAnsi="宋体" w:cs="宋体"/>
          <w:color w:val="auto"/>
          <w:sz w:val="24"/>
          <w:highlight w:val="none"/>
          <w:lang w:val="zh-CN"/>
        </w:rPr>
        <w:t>1、因履行本合同引起的或与本合同有关的争议，甲、乙</w:t>
      </w:r>
      <w:r>
        <w:rPr>
          <w:rFonts w:hint="eastAsia" w:ascii="宋体" w:hAnsi="宋体" w:cs="宋体"/>
          <w:color w:val="auto"/>
          <w:sz w:val="24"/>
          <w:highlight w:val="none"/>
          <w:lang w:eastAsia="zh-CN"/>
        </w:rPr>
        <w:t>各</w:t>
      </w:r>
      <w:r>
        <w:rPr>
          <w:rFonts w:hint="eastAsia" w:ascii="宋体" w:hAnsi="宋体" w:cs="宋体"/>
          <w:color w:val="auto"/>
          <w:sz w:val="24"/>
          <w:highlight w:val="none"/>
        </w:rPr>
        <w:t>方</w:t>
      </w:r>
      <w:r>
        <w:rPr>
          <w:rFonts w:hint="eastAsia" w:ascii="宋体" w:hAnsi="宋体" w:cs="宋体"/>
          <w:color w:val="auto"/>
          <w:sz w:val="24"/>
          <w:highlight w:val="none"/>
          <w:lang w:val="zh-CN"/>
        </w:rPr>
        <w:t>应首先通过友好协商解决，如果协商不能解决争议，则采取以下第</w:t>
      </w:r>
      <w:r>
        <w:rPr>
          <w:rFonts w:hint="eastAsia" w:ascii="宋体" w:hAnsi="宋体" w:cs="宋体"/>
          <w:color w:val="auto"/>
          <w:sz w:val="24"/>
          <w:highlight w:val="none"/>
          <w:lang w:val="en-US" w:eastAsia="zh-CN"/>
        </w:rPr>
        <w:t>（1）</w:t>
      </w:r>
      <w:r>
        <w:rPr>
          <w:rFonts w:hint="eastAsia" w:ascii="宋体" w:hAnsi="宋体" w:cs="宋体"/>
          <w:color w:val="auto"/>
          <w:sz w:val="24"/>
          <w:highlight w:val="none"/>
          <w:lang w:val="zh-CN"/>
        </w:rPr>
        <w:t>种方式解决争议：</w:t>
      </w:r>
    </w:p>
    <w:p w14:paraId="6E6516FF">
      <w:pPr>
        <w:widowControl/>
        <w:spacing w:line="440" w:lineRule="exact"/>
        <w:ind w:firstLine="480"/>
        <w:jc w:val="left"/>
        <w:rPr>
          <w:rFonts w:hint="eastAsia" w:ascii="宋体" w:hAnsi="宋体" w:cs="宋体"/>
          <w:color w:val="auto"/>
          <w:sz w:val="24"/>
          <w:highlight w:val="none"/>
          <w:lang w:val="zh-CN"/>
        </w:rPr>
      </w:pPr>
      <w:r>
        <w:rPr>
          <w:rFonts w:hint="eastAsia" w:ascii="宋体" w:hAnsi="宋体" w:cs="宋体"/>
          <w:color w:val="auto"/>
          <w:sz w:val="24"/>
          <w:highlight w:val="none"/>
          <w:lang w:val="zh-CN"/>
        </w:rPr>
        <w:t>（1）向甲方所在地有管辖权的人民法院提起诉讼；</w:t>
      </w:r>
    </w:p>
    <w:p w14:paraId="3A484CBC">
      <w:pPr>
        <w:widowControl/>
        <w:spacing w:line="440" w:lineRule="exact"/>
        <w:ind w:firstLine="480"/>
        <w:jc w:val="left"/>
        <w:rPr>
          <w:rFonts w:hint="eastAsia" w:ascii="宋体" w:hAnsi="宋体" w:cs="宋体"/>
          <w:color w:val="auto"/>
          <w:sz w:val="24"/>
          <w:highlight w:val="none"/>
          <w:lang w:val="zh-CN"/>
        </w:rPr>
      </w:pPr>
      <w:r>
        <w:rPr>
          <w:rFonts w:hint="eastAsia" w:ascii="宋体" w:hAnsi="宋体" w:cs="宋体"/>
          <w:color w:val="auto"/>
          <w:sz w:val="24"/>
          <w:highlight w:val="none"/>
          <w:lang w:val="zh-CN"/>
        </w:rPr>
        <w:t>（2）向甲方所在地仲裁委员会按其仲裁规则申请仲裁。</w:t>
      </w:r>
    </w:p>
    <w:p w14:paraId="574154E7">
      <w:pPr>
        <w:widowControl/>
        <w:spacing w:line="440" w:lineRule="exact"/>
        <w:ind w:firstLine="420"/>
        <w:jc w:val="left"/>
        <w:rPr>
          <w:rFonts w:hint="eastAsia" w:ascii="宋体" w:hAnsi="宋体" w:cs="宋体"/>
          <w:color w:val="auto"/>
          <w:sz w:val="24"/>
          <w:highlight w:val="none"/>
          <w:lang w:val="zh-CN"/>
        </w:rPr>
      </w:pPr>
      <w:r>
        <w:rPr>
          <w:rFonts w:hint="eastAsia" w:ascii="宋体" w:hAnsi="宋体" w:cs="宋体"/>
          <w:color w:val="auto"/>
          <w:sz w:val="24"/>
          <w:highlight w:val="none"/>
          <w:lang w:val="zh-CN"/>
        </w:rPr>
        <w:t>2、在仲裁期间，本合同应继续履行。</w:t>
      </w:r>
    </w:p>
    <w:p w14:paraId="79004C37">
      <w:pPr>
        <w:widowControl/>
        <w:spacing w:line="440" w:lineRule="exact"/>
        <w:ind w:firstLine="480"/>
        <w:jc w:val="left"/>
        <w:rPr>
          <w:rFonts w:hint="eastAsia" w:ascii="宋体" w:hAnsi="宋体" w:cs="宋体"/>
          <w:b/>
          <w:bCs w:val="0"/>
          <w:color w:val="auto"/>
          <w:sz w:val="24"/>
          <w:highlight w:val="none"/>
          <w:lang w:val="zh-CN"/>
        </w:rPr>
      </w:pPr>
      <w:r>
        <w:rPr>
          <w:rFonts w:hint="eastAsia" w:ascii="宋体" w:hAnsi="宋体" w:cs="宋体"/>
          <w:b/>
          <w:bCs w:val="0"/>
          <w:color w:val="auto"/>
          <w:sz w:val="24"/>
          <w:highlight w:val="none"/>
          <w:lang w:val="zh-CN"/>
        </w:rPr>
        <w:t>第十</w:t>
      </w:r>
      <w:r>
        <w:rPr>
          <w:rFonts w:hint="eastAsia" w:ascii="宋体" w:hAnsi="宋体" w:cs="宋体"/>
          <w:b/>
          <w:bCs w:val="0"/>
          <w:color w:val="auto"/>
          <w:sz w:val="24"/>
          <w:highlight w:val="none"/>
          <w:lang w:val="en-US" w:eastAsia="zh-CN"/>
        </w:rPr>
        <w:t>四</w:t>
      </w:r>
      <w:r>
        <w:rPr>
          <w:rFonts w:hint="eastAsia" w:ascii="宋体" w:hAnsi="宋体" w:cs="宋体"/>
          <w:b/>
          <w:bCs w:val="0"/>
          <w:color w:val="auto"/>
          <w:sz w:val="24"/>
          <w:highlight w:val="none"/>
          <w:lang w:val="zh-CN"/>
        </w:rPr>
        <w:t>条　合同生效及其他</w:t>
      </w:r>
    </w:p>
    <w:p w14:paraId="2D04EA7C">
      <w:pPr>
        <w:widowControl/>
        <w:spacing w:line="440" w:lineRule="exact"/>
        <w:ind w:firstLine="420"/>
        <w:jc w:val="left"/>
        <w:rPr>
          <w:rFonts w:hint="eastAsia" w:ascii="宋体" w:hAnsi="宋体" w:cs="宋体"/>
          <w:color w:val="auto"/>
          <w:sz w:val="24"/>
          <w:highlight w:val="none"/>
        </w:rPr>
      </w:pPr>
      <w:r>
        <w:rPr>
          <w:rFonts w:hint="eastAsia" w:ascii="宋体" w:hAnsi="宋体" w:cs="宋体"/>
          <w:color w:val="auto"/>
          <w:sz w:val="24"/>
          <w:highlight w:val="none"/>
          <w:lang w:val="zh-CN"/>
        </w:rPr>
        <w:t>1、</w:t>
      </w:r>
      <w:r>
        <w:rPr>
          <w:rFonts w:hint="eastAsia" w:ascii="宋体" w:hAnsi="宋体" w:cs="宋体"/>
          <w:color w:val="auto"/>
          <w:sz w:val="24"/>
          <w:highlight w:val="none"/>
        </w:rPr>
        <w:t>本合同由</w:t>
      </w:r>
      <w:r>
        <w:rPr>
          <w:rFonts w:hint="eastAsia" w:ascii="宋体" w:hAnsi="宋体" w:cs="宋体"/>
          <w:color w:val="auto"/>
          <w:sz w:val="24"/>
          <w:highlight w:val="none"/>
          <w:lang w:val="en-US" w:eastAsia="zh-CN"/>
        </w:rPr>
        <w:t>双方</w:t>
      </w:r>
      <w:r>
        <w:rPr>
          <w:rFonts w:hint="eastAsia" w:ascii="宋体" w:hAnsi="宋体" w:cs="宋体"/>
          <w:color w:val="auto"/>
          <w:sz w:val="24"/>
          <w:highlight w:val="none"/>
        </w:rPr>
        <w:t>签字、盖章后生效。</w:t>
      </w:r>
    </w:p>
    <w:p w14:paraId="397356D4">
      <w:pPr>
        <w:widowControl/>
        <w:spacing w:line="440" w:lineRule="exact"/>
        <w:ind w:firstLine="420"/>
        <w:jc w:val="left"/>
        <w:rPr>
          <w:rFonts w:hint="eastAsia" w:ascii="宋体" w:hAnsi="宋体" w:cs="宋体"/>
          <w:color w:val="auto"/>
          <w:sz w:val="24"/>
          <w:highlight w:val="none"/>
          <w:lang w:val="zh-CN"/>
        </w:rPr>
      </w:pPr>
      <w:r>
        <w:rPr>
          <w:rFonts w:hint="eastAsia" w:ascii="宋体" w:hAnsi="宋体" w:cs="宋体"/>
          <w:color w:val="auto"/>
          <w:sz w:val="24"/>
          <w:highlight w:val="none"/>
          <w:lang w:val="zh-CN"/>
        </w:rPr>
        <w:t>2、本合同一式</w:t>
      </w:r>
      <w:r>
        <w:rPr>
          <w:rFonts w:hint="eastAsia" w:ascii="宋体" w:hAnsi="宋体" w:cs="宋体"/>
          <w:color w:val="auto"/>
          <w:sz w:val="24"/>
          <w:highlight w:val="none"/>
          <w:lang w:val="en-US" w:eastAsia="zh-CN"/>
        </w:rPr>
        <w:t>陆</w:t>
      </w:r>
      <w:r>
        <w:rPr>
          <w:rFonts w:hint="eastAsia" w:ascii="宋体" w:hAnsi="宋体" w:cs="宋体"/>
          <w:color w:val="auto"/>
          <w:sz w:val="24"/>
          <w:highlight w:val="none"/>
          <w:lang w:val="zh-CN"/>
        </w:rPr>
        <w:t>份，甲方、乙方各执</w:t>
      </w:r>
      <w:r>
        <w:rPr>
          <w:rFonts w:hint="eastAsia" w:ascii="宋体" w:hAnsi="宋体" w:cs="宋体"/>
          <w:color w:val="auto"/>
          <w:sz w:val="24"/>
          <w:highlight w:val="none"/>
          <w:lang w:val="en-US" w:eastAsia="zh-CN"/>
        </w:rPr>
        <w:t>叁</w:t>
      </w:r>
      <w:r>
        <w:rPr>
          <w:rFonts w:hint="eastAsia" w:ascii="宋体" w:hAnsi="宋体" w:cs="宋体"/>
          <w:color w:val="auto"/>
          <w:sz w:val="24"/>
          <w:highlight w:val="none"/>
          <w:lang w:val="zh-CN"/>
        </w:rPr>
        <w:t>份。</w:t>
      </w:r>
    </w:p>
    <w:p w14:paraId="4807B355">
      <w:pPr>
        <w:widowControl/>
        <w:spacing w:line="440" w:lineRule="exact"/>
        <w:ind w:firstLine="420"/>
        <w:jc w:val="left"/>
        <w:rPr>
          <w:rFonts w:hint="eastAsia" w:ascii="宋体" w:hAnsi="宋体" w:cs="宋体"/>
          <w:color w:val="auto"/>
          <w:sz w:val="24"/>
          <w:highlight w:val="none"/>
          <w:lang w:val="zh-CN"/>
        </w:rPr>
      </w:pPr>
      <w:r>
        <w:rPr>
          <w:rFonts w:hint="eastAsia" w:ascii="宋体" w:hAnsi="宋体" w:cs="宋体"/>
          <w:color w:val="auto"/>
          <w:sz w:val="24"/>
          <w:highlight w:val="none"/>
          <w:lang w:val="zh-CN"/>
        </w:rPr>
        <w:t>3、本合同应按照中华人民共和国的现行法律进行解释。</w:t>
      </w:r>
    </w:p>
    <w:p w14:paraId="679022BA">
      <w:pPr>
        <w:widowControl/>
        <w:spacing w:line="440" w:lineRule="exact"/>
        <w:ind w:firstLine="480"/>
        <w:jc w:val="left"/>
        <w:rPr>
          <w:rFonts w:hint="eastAsia" w:ascii="宋体" w:hAnsi="宋体" w:cs="宋体"/>
          <w:bCs/>
          <w:color w:val="auto"/>
          <w:sz w:val="24"/>
          <w:highlight w:val="none"/>
          <w:lang w:val="zh-CN"/>
        </w:rPr>
      </w:pPr>
      <w:r>
        <w:rPr>
          <w:rFonts w:hint="eastAsia" w:ascii="宋体" w:hAnsi="宋体" w:cs="宋体"/>
          <w:b/>
          <w:bCs w:val="0"/>
          <w:color w:val="auto"/>
          <w:sz w:val="24"/>
          <w:highlight w:val="none"/>
          <w:lang w:val="zh-CN"/>
        </w:rPr>
        <w:t>第十</w:t>
      </w:r>
      <w:r>
        <w:rPr>
          <w:rFonts w:hint="eastAsia" w:ascii="宋体" w:hAnsi="宋体" w:cs="宋体"/>
          <w:b/>
          <w:bCs w:val="0"/>
          <w:color w:val="auto"/>
          <w:sz w:val="24"/>
          <w:highlight w:val="none"/>
          <w:lang w:val="en-US" w:eastAsia="zh-CN"/>
        </w:rPr>
        <w:t>五</w:t>
      </w:r>
      <w:r>
        <w:rPr>
          <w:rFonts w:hint="eastAsia" w:ascii="宋体" w:hAnsi="宋体" w:cs="宋体"/>
          <w:b/>
          <w:bCs w:val="0"/>
          <w:color w:val="auto"/>
          <w:sz w:val="24"/>
          <w:highlight w:val="none"/>
          <w:lang w:val="zh-CN"/>
        </w:rPr>
        <w:t>条　合同附件</w:t>
      </w:r>
    </w:p>
    <w:p w14:paraId="6A2D043A">
      <w:pPr>
        <w:widowControl/>
        <w:spacing w:line="440" w:lineRule="exact"/>
        <w:ind w:firstLine="420"/>
        <w:jc w:val="left"/>
        <w:rPr>
          <w:rFonts w:hint="eastAsia" w:ascii="宋体" w:hAnsi="宋体" w:cs="宋体"/>
          <w:color w:val="auto"/>
          <w:sz w:val="24"/>
          <w:highlight w:val="none"/>
          <w:lang w:val="zh-CN"/>
        </w:rPr>
      </w:pPr>
      <w:r>
        <w:rPr>
          <w:rFonts w:hint="eastAsia" w:ascii="宋体" w:hAnsi="宋体" w:cs="宋体"/>
          <w:color w:val="auto"/>
          <w:sz w:val="24"/>
          <w:highlight w:val="none"/>
          <w:lang w:val="zh-CN"/>
        </w:rPr>
        <w:t>附件</w:t>
      </w:r>
      <w:r>
        <w:rPr>
          <w:rFonts w:hint="eastAsia" w:ascii="宋体" w:hAnsi="宋体" w:cs="宋体"/>
          <w:color w:val="auto"/>
          <w:sz w:val="24"/>
          <w:highlight w:val="none"/>
          <w:lang w:val="en-US" w:eastAsia="zh-CN"/>
        </w:rPr>
        <w:t>1</w:t>
      </w:r>
    </w:p>
    <w:p w14:paraId="51150BCB">
      <w:pPr>
        <w:spacing w:line="360" w:lineRule="auto"/>
        <w:ind w:firstLine="420"/>
        <w:jc w:val="left"/>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附件2：礼嘉镇农村公路（沥青）养护服务清单</w:t>
      </w:r>
    </w:p>
    <w:p w14:paraId="1B56D3F7">
      <w:pPr>
        <w:widowControl/>
        <w:spacing w:line="440" w:lineRule="exact"/>
        <w:ind w:firstLine="420"/>
        <w:jc w:val="left"/>
        <w:rPr>
          <w:rFonts w:hint="default" w:ascii="宋体" w:hAnsi="宋体" w:cs="宋体"/>
          <w:color w:val="auto"/>
          <w:sz w:val="24"/>
          <w:highlight w:val="none"/>
          <w:lang w:val="en-US" w:eastAsia="zh-CN"/>
        </w:rPr>
      </w:pPr>
    </w:p>
    <w:tbl>
      <w:tblPr>
        <w:tblStyle w:val="2"/>
        <w:tblW w:w="9356" w:type="dxa"/>
        <w:jc w:val="center"/>
        <w:tblLayout w:type="fixed"/>
        <w:tblCellMar>
          <w:top w:w="0" w:type="dxa"/>
          <w:left w:w="108" w:type="dxa"/>
          <w:bottom w:w="0" w:type="dxa"/>
          <w:right w:w="108" w:type="dxa"/>
        </w:tblCellMar>
      </w:tblPr>
      <w:tblGrid>
        <w:gridCol w:w="4536"/>
        <w:gridCol w:w="284"/>
        <w:gridCol w:w="4536"/>
      </w:tblGrid>
      <w:tr w14:paraId="1F5F60FB">
        <w:trPr>
          <w:jc w:val="center"/>
        </w:trPr>
        <w:tc>
          <w:tcPr>
            <w:tcW w:w="4536" w:type="dxa"/>
            <w:tcBorders>
              <w:top w:val="nil"/>
              <w:left w:val="nil"/>
              <w:bottom w:val="nil"/>
              <w:right w:val="nil"/>
            </w:tcBorders>
            <w:noWrap w:val="0"/>
            <w:vAlign w:val="top"/>
          </w:tcPr>
          <w:p w14:paraId="2C242D6D">
            <w:pPr>
              <w:spacing w:line="440" w:lineRule="exact"/>
              <w:ind w:firstLine="480"/>
              <w:rPr>
                <w:rFonts w:hint="eastAsia" w:ascii="宋体" w:hAnsi="宋体" w:cs="宋体"/>
                <w:bCs/>
                <w:color w:val="auto"/>
                <w:sz w:val="24"/>
                <w:highlight w:val="none"/>
                <w:u w:val="single"/>
              </w:rPr>
            </w:pPr>
            <w:r>
              <w:rPr>
                <w:rFonts w:hint="eastAsia" w:ascii="宋体" w:hAnsi="宋体" w:cs="宋体"/>
                <w:bCs/>
                <w:color w:val="auto"/>
                <w:sz w:val="24"/>
                <w:highlight w:val="none"/>
              </w:rPr>
              <w:t>甲方（采购人）：（盖章）</w:t>
            </w:r>
          </w:p>
        </w:tc>
        <w:tc>
          <w:tcPr>
            <w:tcW w:w="284" w:type="dxa"/>
            <w:tcBorders>
              <w:top w:val="nil"/>
              <w:left w:val="nil"/>
              <w:bottom w:val="nil"/>
              <w:right w:val="nil"/>
            </w:tcBorders>
            <w:noWrap w:val="0"/>
            <w:vAlign w:val="top"/>
          </w:tcPr>
          <w:p w14:paraId="68CBEA18">
            <w:pPr>
              <w:spacing w:line="440" w:lineRule="exact"/>
              <w:rPr>
                <w:rFonts w:hint="eastAsia" w:ascii="宋体" w:hAnsi="宋体" w:cs="宋体"/>
                <w:color w:val="auto"/>
                <w:sz w:val="24"/>
                <w:highlight w:val="none"/>
              </w:rPr>
            </w:pPr>
          </w:p>
        </w:tc>
        <w:tc>
          <w:tcPr>
            <w:tcW w:w="4536" w:type="dxa"/>
            <w:tcBorders>
              <w:top w:val="nil"/>
              <w:left w:val="nil"/>
              <w:bottom w:val="nil"/>
              <w:right w:val="nil"/>
            </w:tcBorders>
            <w:noWrap w:val="0"/>
            <w:vAlign w:val="top"/>
          </w:tcPr>
          <w:p w14:paraId="6C1BEC82">
            <w:pPr>
              <w:spacing w:line="440" w:lineRule="exact"/>
              <w:rPr>
                <w:rFonts w:hint="eastAsia" w:ascii="宋体" w:hAnsi="宋体" w:cs="宋体"/>
                <w:color w:val="auto"/>
                <w:sz w:val="24"/>
                <w:highlight w:val="none"/>
              </w:rPr>
            </w:pPr>
          </w:p>
        </w:tc>
      </w:tr>
      <w:tr w14:paraId="650E921E">
        <w:tblPrEx>
          <w:tblCellMar>
            <w:top w:w="0" w:type="dxa"/>
            <w:left w:w="108" w:type="dxa"/>
            <w:bottom w:w="0" w:type="dxa"/>
            <w:right w:w="108" w:type="dxa"/>
          </w:tblCellMar>
        </w:tblPrEx>
        <w:trPr>
          <w:jc w:val="center"/>
        </w:trPr>
        <w:tc>
          <w:tcPr>
            <w:tcW w:w="4536" w:type="dxa"/>
            <w:tcBorders>
              <w:top w:val="nil"/>
              <w:left w:val="nil"/>
              <w:bottom w:val="nil"/>
              <w:right w:val="nil"/>
            </w:tcBorders>
            <w:noWrap w:val="0"/>
            <w:vAlign w:val="top"/>
          </w:tcPr>
          <w:p w14:paraId="409AA3C1">
            <w:pPr>
              <w:spacing w:line="440" w:lineRule="exact"/>
              <w:ind w:firstLine="480"/>
              <w:rPr>
                <w:rFonts w:hint="eastAsia" w:ascii="宋体" w:hAnsi="宋体" w:cs="宋体"/>
                <w:color w:val="auto"/>
                <w:sz w:val="24"/>
                <w:highlight w:val="none"/>
              </w:rPr>
            </w:pPr>
            <w:r>
              <w:rPr>
                <w:rFonts w:hint="eastAsia" w:ascii="宋体" w:hAnsi="宋体" w:cs="宋体"/>
                <w:bCs/>
                <w:color w:val="auto"/>
                <w:sz w:val="24"/>
                <w:highlight w:val="none"/>
              </w:rPr>
              <w:t>地址：</w:t>
            </w:r>
            <w:r>
              <w:rPr>
                <w:rFonts w:hint="eastAsia" w:ascii="宋体" w:hAnsi="宋体" w:cs="宋体"/>
                <w:bCs/>
                <w:color w:val="auto"/>
                <w:sz w:val="24"/>
                <w:highlight w:val="none"/>
                <w:lang w:val="en-US" w:eastAsia="zh-CN"/>
              </w:rPr>
              <w:t>礼嘉镇</w:t>
            </w:r>
          </w:p>
        </w:tc>
        <w:tc>
          <w:tcPr>
            <w:tcW w:w="284" w:type="dxa"/>
            <w:tcBorders>
              <w:top w:val="nil"/>
              <w:left w:val="nil"/>
              <w:bottom w:val="nil"/>
              <w:right w:val="nil"/>
            </w:tcBorders>
            <w:noWrap w:val="0"/>
            <w:vAlign w:val="top"/>
          </w:tcPr>
          <w:p w14:paraId="5B8BD6F0">
            <w:pPr>
              <w:spacing w:line="440" w:lineRule="exact"/>
              <w:rPr>
                <w:rFonts w:hint="eastAsia" w:ascii="宋体" w:hAnsi="宋体" w:cs="宋体"/>
                <w:color w:val="auto"/>
                <w:sz w:val="24"/>
                <w:highlight w:val="none"/>
              </w:rPr>
            </w:pPr>
          </w:p>
        </w:tc>
        <w:tc>
          <w:tcPr>
            <w:tcW w:w="4536" w:type="dxa"/>
            <w:tcBorders>
              <w:top w:val="nil"/>
              <w:left w:val="nil"/>
              <w:bottom w:val="nil"/>
              <w:right w:val="nil"/>
            </w:tcBorders>
            <w:noWrap w:val="0"/>
            <w:vAlign w:val="top"/>
          </w:tcPr>
          <w:p w14:paraId="4D2C31AD">
            <w:pPr>
              <w:spacing w:line="440" w:lineRule="exact"/>
              <w:rPr>
                <w:rFonts w:hint="eastAsia" w:ascii="宋体" w:hAnsi="宋体" w:cs="宋体"/>
                <w:color w:val="auto"/>
                <w:sz w:val="24"/>
                <w:highlight w:val="none"/>
              </w:rPr>
            </w:pPr>
          </w:p>
        </w:tc>
      </w:tr>
      <w:tr w14:paraId="2BAE78B6">
        <w:tblPrEx>
          <w:tblCellMar>
            <w:top w:w="0" w:type="dxa"/>
            <w:left w:w="108" w:type="dxa"/>
            <w:bottom w:w="0" w:type="dxa"/>
            <w:right w:w="108" w:type="dxa"/>
          </w:tblCellMar>
        </w:tblPrEx>
        <w:trPr>
          <w:jc w:val="center"/>
        </w:trPr>
        <w:tc>
          <w:tcPr>
            <w:tcW w:w="4536" w:type="dxa"/>
            <w:tcBorders>
              <w:top w:val="nil"/>
              <w:left w:val="nil"/>
              <w:bottom w:val="nil"/>
              <w:right w:val="nil"/>
            </w:tcBorders>
            <w:noWrap w:val="0"/>
            <w:vAlign w:val="top"/>
          </w:tcPr>
          <w:p w14:paraId="00AF982F">
            <w:pPr>
              <w:spacing w:line="440" w:lineRule="exact"/>
              <w:ind w:firstLine="480"/>
              <w:rPr>
                <w:rFonts w:hint="eastAsia" w:ascii="宋体" w:hAnsi="宋体" w:cs="宋体"/>
                <w:color w:val="auto"/>
                <w:sz w:val="24"/>
                <w:highlight w:val="none"/>
              </w:rPr>
            </w:pPr>
            <w:r>
              <w:rPr>
                <w:rFonts w:hint="eastAsia" w:ascii="宋体" w:hAnsi="宋体" w:cs="宋体"/>
                <w:bCs/>
                <w:color w:val="auto"/>
                <w:sz w:val="24"/>
                <w:highlight w:val="none"/>
              </w:rPr>
              <w:t>法定（授权）代表人：</w:t>
            </w:r>
          </w:p>
        </w:tc>
        <w:tc>
          <w:tcPr>
            <w:tcW w:w="284" w:type="dxa"/>
            <w:tcBorders>
              <w:top w:val="nil"/>
              <w:left w:val="nil"/>
              <w:bottom w:val="nil"/>
              <w:right w:val="nil"/>
            </w:tcBorders>
            <w:noWrap w:val="0"/>
            <w:vAlign w:val="top"/>
          </w:tcPr>
          <w:p w14:paraId="1EDB9822">
            <w:pPr>
              <w:spacing w:line="440" w:lineRule="exact"/>
              <w:rPr>
                <w:rFonts w:hint="eastAsia" w:ascii="宋体" w:hAnsi="宋体" w:cs="宋体"/>
                <w:color w:val="auto"/>
                <w:sz w:val="24"/>
                <w:highlight w:val="none"/>
              </w:rPr>
            </w:pPr>
          </w:p>
        </w:tc>
        <w:tc>
          <w:tcPr>
            <w:tcW w:w="4536" w:type="dxa"/>
            <w:tcBorders>
              <w:top w:val="nil"/>
              <w:left w:val="nil"/>
              <w:bottom w:val="nil"/>
              <w:right w:val="nil"/>
            </w:tcBorders>
            <w:noWrap w:val="0"/>
            <w:vAlign w:val="top"/>
          </w:tcPr>
          <w:p w14:paraId="25FC7EE6">
            <w:pPr>
              <w:spacing w:line="440" w:lineRule="exact"/>
              <w:rPr>
                <w:rFonts w:hint="eastAsia" w:ascii="宋体" w:hAnsi="宋体" w:cs="宋体"/>
                <w:color w:val="auto"/>
                <w:sz w:val="24"/>
                <w:highlight w:val="none"/>
              </w:rPr>
            </w:pPr>
          </w:p>
        </w:tc>
      </w:tr>
      <w:tr w14:paraId="09844E01">
        <w:tblPrEx>
          <w:tblCellMar>
            <w:top w:w="0" w:type="dxa"/>
            <w:left w:w="108" w:type="dxa"/>
            <w:bottom w:w="0" w:type="dxa"/>
            <w:right w:w="108" w:type="dxa"/>
          </w:tblCellMar>
        </w:tblPrEx>
        <w:trPr>
          <w:jc w:val="center"/>
        </w:trPr>
        <w:tc>
          <w:tcPr>
            <w:tcW w:w="4536" w:type="dxa"/>
            <w:tcBorders>
              <w:top w:val="nil"/>
              <w:left w:val="nil"/>
              <w:bottom w:val="nil"/>
              <w:right w:val="nil"/>
            </w:tcBorders>
            <w:noWrap w:val="0"/>
            <w:vAlign w:val="top"/>
          </w:tcPr>
          <w:p w14:paraId="3B46166E">
            <w:pPr>
              <w:spacing w:line="440" w:lineRule="exact"/>
              <w:ind w:right="480" w:firstLine="600"/>
              <w:rPr>
                <w:rFonts w:hint="eastAsia" w:ascii="宋体" w:hAnsi="宋体" w:cs="宋体"/>
                <w:color w:val="auto"/>
                <w:sz w:val="24"/>
                <w:highlight w:val="none"/>
              </w:rPr>
            </w:pPr>
            <w:r>
              <w:rPr>
                <w:rFonts w:hint="eastAsia" w:ascii="宋体" w:hAnsi="宋体" w:cs="宋体"/>
                <w:bCs/>
                <w:color w:val="auto"/>
                <w:sz w:val="24"/>
                <w:highlight w:val="none"/>
                <w:lang w:val="en-US" w:eastAsia="zh-CN"/>
              </w:rPr>
              <w:t>2026</w:t>
            </w:r>
            <w:r>
              <w:rPr>
                <w:rFonts w:hint="eastAsia" w:ascii="宋体" w:hAnsi="宋体" w:cs="宋体"/>
                <w:bCs/>
                <w:color w:val="auto"/>
                <w:sz w:val="24"/>
                <w:highlight w:val="none"/>
              </w:rPr>
              <w:t>年  月  日</w:t>
            </w:r>
          </w:p>
        </w:tc>
        <w:tc>
          <w:tcPr>
            <w:tcW w:w="284" w:type="dxa"/>
            <w:tcBorders>
              <w:top w:val="nil"/>
              <w:left w:val="nil"/>
              <w:bottom w:val="nil"/>
              <w:right w:val="nil"/>
            </w:tcBorders>
            <w:noWrap w:val="0"/>
            <w:vAlign w:val="top"/>
          </w:tcPr>
          <w:p w14:paraId="6ACAD374">
            <w:pPr>
              <w:spacing w:line="440" w:lineRule="exact"/>
              <w:rPr>
                <w:rFonts w:hint="eastAsia" w:ascii="宋体" w:hAnsi="宋体" w:cs="宋体"/>
                <w:color w:val="auto"/>
                <w:sz w:val="24"/>
                <w:highlight w:val="none"/>
              </w:rPr>
            </w:pPr>
          </w:p>
        </w:tc>
        <w:tc>
          <w:tcPr>
            <w:tcW w:w="4536" w:type="dxa"/>
            <w:tcBorders>
              <w:top w:val="nil"/>
              <w:left w:val="nil"/>
              <w:bottom w:val="nil"/>
              <w:right w:val="nil"/>
            </w:tcBorders>
            <w:noWrap w:val="0"/>
            <w:vAlign w:val="top"/>
          </w:tcPr>
          <w:p w14:paraId="1152A330">
            <w:pPr>
              <w:spacing w:line="440" w:lineRule="exact"/>
              <w:ind w:right="480"/>
              <w:rPr>
                <w:rFonts w:hint="eastAsia" w:ascii="宋体" w:hAnsi="宋体" w:cs="宋体"/>
                <w:color w:val="auto"/>
                <w:sz w:val="24"/>
                <w:highlight w:val="none"/>
              </w:rPr>
            </w:pPr>
          </w:p>
        </w:tc>
      </w:tr>
      <w:tr w14:paraId="6AC82E6E">
        <w:tblPrEx>
          <w:tblCellMar>
            <w:top w:w="0" w:type="dxa"/>
            <w:left w:w="108" w:type="dxa"/>
            <w:bottom w:w="0" w:type="dxa"/>
            <w:right w:w="108" w:type="dxa"/>
          </w:tblCellMar>
        </w:tblPrEx>
        <w:trPr>
          <w:jc w:val="center"/>
        </w:trPr>
        <w:tc>
          <w:tcPr>
            <w:tcW w:w="4536" w:type="dxa"/>
            <w:tcBorders>
              <w:top w:val="nil"/>
              <w:left w:val="nil"/>
              <w:bottom w:val="nil"/>
              <w:right w:val="nil"/>
            </w:tcBorders>
            <w:noWrap w:val="0"/>
            <w:vAlign w:val="top"/>
          </w:tcPr>
          <w:p w14:paraId="3CF7EF00">
            <w:pPr>
              <w:spacing w:line="440" w:lineRule="exact"/>
              <w:rPr>
                <w:rFonts w:hint="eastAsia" w:ascii="宋体" w:hAnsi="宋体" w:cs="宋体"/>
                <w:color w:val="auto"/>
                <w:sz w:val="24"/>
                <w:highlight w:val="none"/>
              </w:rPr>
            </w:pPr>
          </w:p>
        </w:tc>
        <w:tc>
          <w:tcPr>
            <w:tcW w:w="284" w:type="dxa"/>
            <w:tcBorders>
              <w:top w:val="nil"/>
              <w:left w:val="nil"/>
              <w:bottom w:val="nil"/>
              <w:right w:val="nil"/>
            </w:tcBorders>
            <w:noWrap w:val="0"/>
            <w:vAlign w:val="top"/>
          </w:tcPr>
          <w:p w14:paraId="5F0DCFDD">
            <w:pPr>
              <w:spacing w:line="440" w:lineRule="exact"/>
              <w:rPr>
                <w:rFonts w:hint="eastAsia" w:ascii="宋体" w:hAnsi="宋体" w:cs="宋体"/>
                <w:color w:val="auto"/>
                <w:sz w:val="24"/>
                <w:highlight w:val="none"/>
              </w:rPr>
            </w:pPr>
          </w:p>
        </w:tc>
        <w:tc>
          <w:tcPr>
            <w:tcW w:w="4536" w:type="dxa"/>
            <w:tcBorders>
              <w:top w:val="nil"/>
              <w:left w:val="nil"/>
              <w:bottom w:val="nil"/>
              <w:right w:val="nil"/>
            </w:tcBorders>
            <w:noWrap w:val="0"/>
            <w:vAlign w:val="top"/>
          </w:tcPr>
          <w:p w14:paraId="09654CEF">
            <w:pPr>
              <w:spacing w:line="440" w:lineRule="exact"/>
              <w:rPr>
                <w:rFonts w:hint="eastAsia" w:ascii="宋体" w:hAnsi="宋体" w:cs="宋体"/>
                <w:color w:val="auto"/>
                <w:sz w:val="24"/>
                <w:highlight w:val="none"/>
              </w:rPr>
            </w:pPr>
          </w:p>
        </w:tc>
      </w:tr>
      <w:tr w14:paraId="1BEEDC33">
        <w:tblPrEx>
          <w:tblCellMar>
            <w:top w:w="0" w:type="dxa"/>
            <w:left w:w="108" w:type="dxa"/>
            <w:bottom w:w="0" w:type="dxa"/>
            <w:right w:w="108" w:type="dxa"/>
          </w:tblCellMar>
        </w:tblPrEx>
        <w:trPr>
          <w:jc w:val="center"/>
        </w:trPr>
        <w:tc>
          <w:tcPr>
            <w:tcW w:w="4536" w:type="dxa"/>
            <w:tcBorders>
              <w:top w:val="nil"/>
              <w:left w:val="nil"/>
              <w:bottom w:val="nil"/>
              <w:right w:val="nil"/>
            </w:tcBorders>
            <w:noWrap w:val="0"/>
            <w:vAlign w:val="top"/>
          </w:tcPr>
          <w:p w14:paraId="33DE2D5B">
            <w:pPr>
              <w:spacing w:line="440" w:lineRule="exact"/>
              <w:rPr>
                <w:rFonts w:hint="eastAsia" w:ascii="宋体" w:hAnsi="宋体" w:cs="宋体"/>
                <w:color w:val="auto"/>
                <w:sz w:val="24"/>
                <w:highlight w:val="none"/>
              </w:rPr>
            </w:pPr>
          </w:p>
        </w:tc>
        <w:tc>
          <w:tcPr>
            <w:tcW w:w="284" w:type="dxa"/>
            <w:tcBorders>
              <w:top w:val="nil"/>
              <w:left w:val="nil"/>
              <w:bottom w:val="nil"/>
              <w:right w:val="nil"/>
            </w:tcBorders>
            <w:noWrap w:val="0"/>
            <w:vAlign w:val="top"/>
          </w:tcPr>
          <w:p w14:paraId="11CE91AD">
            <w:pPr>
              <w:spacing w:line="440" w:lineRule="exact"/>
              <w:rPr>
                <w:rFonts w:hint="eastAsia" w:ascii="宋体" w:hAnsi="宋体" w:cs="宋体"/>
                <w:color w:val="auto"/>
                <w:sz w:val="24"/>
                <w:highlight w:val="none"/>
              </w:rPr>
            </w:pPr>
          </w:p>
        </w:tc>
        <w:tc>
          <w:tcPr>
            <w:tcW w:w="4536" w:type="dxa"/>
            <w:tcBorders>
              <w:top w:val="nil"/>
              <w:left w:val="nil"/>
              <w:bottom w:val="nil"/>
              <w:right w:val="nil"/>
            </w:tcBorders>
            <w:noWrap w:val="0"/>
            <w:vAlign w:val="top"/>
          </w:tcPr>
          <w:p w14:paraId="35254D48">
            <w:pPr>
              <w:spacing w:line="440" w:lineRule="exact"/>
              <w:rPr>
                <w:rFonts w:hint="eastAsia" w:ascii="宋体" w:hAnsi="宋体" w:cs="宋体"/>
                <w:color w:val="auto"/>
                <w:sz w:val="24"/>
                <w:highlight w:val="none"/>
              </w:rPr>
            </w:pPr>
          </w:p>
        </w:tc>
      </w:tr>
    </w:tbl>
    <w:p w14:paraId="1A752006">
      <w:pPr>
        <w:spacing w:line="440" w:lineRule="exact"/>
        <w:ind w:firstLine="420"/>
        <w:jc w:val="left"/>
        <w:rPr>
          <w:rFonts w:hint="eastAsia" w:ascii="宋体" w:hAnsi="宋体" w:cs="宋体"/>
          <w:bCs/>
          <w:color w:val="auto"/>
          <w:sz w:val="24"/>
          <w:highlight w:val="none"/>
        </w:rPr>
      </w:pPr>
    </w:p>
    <w:p w14:paraId="685D9BEC">
      <w:pPr>
        <w:spacing w:line="440" w:lineRule="exact"/>
        <w:ind w:firstLine="420"/>
        <w:jc w:val="left"/>
        <w:rPr>
          <w:rFonts w:hint="eastAsia" w:ascii="宋体" w:hAnsi="宋体" w:cs="宋体"/>
          <w:bCs/>
          <w:color w:val="auto"/>
          <w:sz w:val="24"/>
          <w:highlight w:val="none"/>
        </w:rPr>
      </w:pPr>
    </w:p>
    <w:tbl>
      <w:tblPr>
        <w:tblStyle w:val="2"/>
        <w:tblW w:w="9356" w:type="dxa"/>
        <w:jc w:val="center"/>
        <w:tblLayout w:type="fixed"/>
        <w:tblCellMar>
          <w:top w:w="0" w:type="dxa"/>
          <w:left w:w="108" w:type="dxa"/>
          <w:bottom w:w="0" w:type="dxa"/>
          <w:right w:w="108" w:type="dxa"/>
        </w:tblCellMar>
      </w:tblPr>
      <w:tblGrid>
        <w:gridCol w:w="4536"/>
        <w:gridCol w:w="284"/>
        <w:gridCol w:w="4536"/>
      </w:tblGrid>
      <w:tr w14:paraId="3D3735EE">
        <w:tblPrEx>
          <w:tblCellMar>
            <w:top w:w="0" w:type="dxa"/>
            <w:left w:w="108" w:type="dxa"/>
            <w:bottom w:w="0" w:type="dxa"/>
            <w:right w:w="108" w:type="dxa"/>
          </w:tblCellMar>
        </w:tblPrEx>
        <w:trPr>
          <w:jc w:val="center"/>
        </w:trPr>
        <w:tc>
          <w:tcPr>
            <w:tcW w:w="4536" w:type="dxa"/>
            <w:tcBorders>
              <w:top w:val="nil"/>
              <w:left w:val="nil"/>
              <w:bottom w:val="nil"/>
              <w:right w:val="nil"/>
            </w:tcBorders>
            <w:noWrap w:val="0"/>
            <w:vAlign w:val="top"/>
          </w:tcPr>
          <w:p w14:paraId="090361A7">
            <w:pPr>
              <w:spacing w:line="440" w:lineRule="exact"/>
              <w:rPr>
                <w:rFonts w:hint="eastAsia" w:ascii="宋体" w:hAnsi="宋体" w:cs="宋体"/>
                <w:bCs/>
                <w:color w:val="auto"/>
                <w:sz w:val="24"/>
                <w:highlight w:val="none"/>
                <w:u w:val="single"/>
              </w:rPr>
            </w:pPr>
            <w:r>
              <w:rPr>
                <w:rFonts w:hint="eastAsia" w:ascii="宋体" w:hAnsi="宋体" w:cs="宋体"/>
                <w:bCs/>
                <w:color w:val="auto"/>
                <w:sz w:val="24"/>
                <w:highlight w:val="none"/>
              </w:rPr>
              <w:t>乙方（供应商）：（盖章）</w:t>
            </w:r>
          </w:p>
        </w:tc>
        <w:tc>
          <w:tcPr>
            <w:tcW w:w="284" w:type="dxa"/>
            <w:tcBorders>
              <w:top w:val="nil"/>
              <w:left w:val="nil"/>
              <w:bottom w:val="nil"/>
              <w:right w:val="nil"/>
            </w:tcBorders>
            <w:noWrap w:val="0"/>
            <w:vAlign w:val="top"/>
          </w:tcPr>
          <w:p w14:paraId="3B64C06A">
            <w:pPr>
              <w:spacing w:line="440" w:lineRule="exact"/>
              <w:rPr>
                <w:rFonts w:hint="eastAsia" w:ascii="宋体" w:hAnsi="宋体" w:cs="宋体"/>
                <w:color w:val="auto"/>
                <w:sz w:val="24"/>
                <w:highlight w:val="none"/>
              </w:rPr>
            </w:pPr>
          </w:p>
        </w:tc>
        <w:tc>
          <w:tcPr>
            <w:tcW w:w="4536" w:type="dxa"/>
            <w:tcBorders>
              <w:top w:val="nil"/>
              <w:left w:val="nil"/>
              <w:bottom w:val="nil"/>
              <w:right w:val="nil"/>
            </w:tcBorders>
            <w:noWrap w:val="0"/>
            <w:vAlign w:val="top"/>
          </w:tcPr>
          <w:p w14:paraId="6372DA28">
            <w:pPr>
              <w:spacing w:line="440" w:lineRule="exact"/>
              <w:rPr>
                <w:rFonts w:hint="eastAsia" w:ascii="宋体" w:hAnsi="宋体" w:cs="宋体"/>
                <w:color w:val="auto"/>
                <w:sz w:val="24"/>
                <w:highlight w:val="none"/>
              </w:rPr>
            </w:pPr>
          </w:p>
        </w:tc>
      </w:tr>
      <w:tr w14:paraId="5BF7D832">
        <w:tblPrEx>
          <w:tblCellMar>
            <w:top w:w="0" w:type="dxa"/>
            <w:left w:w="108" w:type="dxa"/>
            <w:bottom w:w="0" w:type="dxa"/>
            <w:right w:w="108" w:type="dxa"/>
          </w:tblCellMar>
        </w:tblPrEx>
        <w:trPr>
          <w:jc w:val="center"/>
        </w:trPr>
        <w:tc>
          <w:tcPr>
            <w:tcW w:w="4536" w:type="dxa"/>
            <w:tcBorders>
              <w:top w:val="nil"/>
              <w:left w:val="nil"/>
              <w:bottom w:val="nil"/>
              <w:right w:val="nil"/>
            </w:tcBorders>
            <w:noWrap w:val="0"/>
            <w:vAlign w:val="top"/>
          </w:tcPr>
          <w:p w14:paraId="14F447F6">
            <w:pPr>
              <w:spacing w:line="440" w:lineRule="exact"/>
              <w:rPr>
                <w:rFonts w:hint="eastAsia" w:ascii="宋体" w:hAnsi="宋体" w:cs="宋体"/>
                <w:color w:val="auto"/>
                <w:sz w:val="24"/>
                <w:highlight w:val="none"/>
              </w:rPr>
            </w:pPr>
            <w:r>
              <w:rPr>
                <w:rFonts w:hint="eastAsia" w:ascii="宋体" w:hAnsi="宋体" w:cs="宋体"/>
                <w:bCs/>
                <w:color w:val="auto"/>
                <w:sz w:val="24"/>
                <w:highlight w:val="none"/>
              </w:rPr>
              <w:t>地址：常州市经济开发区潞城街道五一路164号2层西侧</w:t>
            </w:r>
            <w:bookmarkStart w:id="1" w:name="_GoBack"/>
            <w:bookmarkEnd w:id="1"/>
          </w:p>
        </w:tc>
        <w:tc>
          <w:tcPr>
            <w:tcW w:w="284" w:type="dxa"/>
            <w:tcBorders>
              <w:top w:val="nil"/>
              <w:left w:val="nil"/>
              <w:bottom w:val="nil"/>
              <w:right w:val="nil"/>
            </w:tcBorders>
            <w:noWrap w:val="0"/>
            <w:vAlign w:val="top"/>
          </w:tcPr>
          <w:p w14:paraId="45047186">
            <w:pPr>
              <w:spacing w:line="440" w:lineRule="exact"/>
              <w:rPr>
                <w:rFonts w:hint="eastAsia" w:ascii="宋体" w:hAnsi="宋体" w:cs="宋体"/>
                <w:color w:val="auto"/>
                <w:sz w:val="24"/>
                <w:highlight w:val="none"/>
              </w:rPr>
            </w:pPr>
          </w:p>
        </w:tc>
        <w:tc>
          <w:tcPr>
            <w:tcW w:w="4536" w:type="dxa"/>
            <w:tcBorders>
              <w:top w:val="nil"/>
              <w:left w:val="nil"/>
              <w:bottom w:val="nil"/>
              <w:right w:val="nil"/>
            </w:tcBorders>
            <w:noWrap w:val="0"/>
            <w:vAlign w:val="top"/>
          </w:tcPr>
          <w:p w14:paraId="164F30A5">
            <w:pPr>
              <w:spacing w:line="440" w:lineRule="exact"/>
              <w:rPr>
                <w:rFonts w:hint="eastAsia" w:ascii="宋体" w:hAnsi="宋体" w:cs="宋体"/>
                <w:color w:val="auto"/>
                <w:sz w:val="24"/>
                <w:highlight w:val="none"/>
              </w:rPr>
            </w:pPr>
          </w:p>
        </w:tc>
      </w:tr>
      <w:tr w14:paraId="07C157D4">
        <w:tblPrEx>
          <w:tblCellMar>
            <w:top w:w="0" w:type="dxa"/>
            <w:left w:w="108" w:type="dxa"/>
            <w:bottom w:w="0" w:type="dxa"/>
            <w:right w:w="108" w:type="dxa"/>
          </w:tblCellMar>
        </w:tblPrEx>
        <w:trPr>
          <w:jc w:val="center"/>
        </w:trPr>
        <w:tc>
          <w:tcPr>
            <w:tcW w:w="4536" w:type="dxa"/>
            <w:tcBorders>
              <w:top w:val="nil"/>
              <w:left w:val="nil"/>
              <w:bottom w:val="nil"/>
              <w:right w:val="nil"/>
            </w:tcBorders>
            <w:noWrap w:val="0"/>
            <w:vAlign w:val="top"/>
          </w:tcPr>
          <w:p w14:paraId="2E76BEC1">
            <w:pPr>
              <w:spacing w:line="440" w:lineRule="exact"/>
              <w:rPr>
                <w:rFonts w:hint="eastAsia" w:ascii="宋体" w:hAnsi="宋体" w:cs="宋体"/>
                <w:color w:val="auto"/>
                <w:sz w:val="24"/>
                <w:highlight w:val="none"/>
              </w:rPr>
            </w:pPr>
            <w:r>
              <w:rPr>
                <w:rFonts w:hint="eastAsia" w:ascii="宋体" w:hAnsi="宋体" w:cs="宋体"/>
                <w:bCs/>
                <w:color w:val="auto"/>
                <w:sz w:val="24"/>
                <w:highlight w:val="none"/>
              </w:rPr>
              <w:t>法定（授权）代表人：</w:t>
            </w:r>
          </w:p>
        </w:tc>
        <w:tc>
          <w:tcPr>
            <w:tcW w:w="284" w:type="dxa"/>
            <w:tcBorders>
              <w:top w:val="nil"/>
              <w:left w:val="nil"/>
              <w:bottom w:val="nil"/>
              <w:right w:val="nil"/>
            </w:tcBorders>
            <w:noWrap w:val="0"/>
            <w:vAlign w:val="top"/>
          </w:tcPr>
          <w:p w14:paraId="5F5A8616">
            <w:pPr>
              <w:spacing w:line="440" w:lineRule="exact"/>
              <w:rPr>
                <w:rFonts w:hint="eastAsia" w:ascii="宋体" w:hAnsi="宋体" w:cs="宋体"/>
                <w:color w:val="auto"/>
                <w:sz w:val="24"/>
                <w:highlight w:val="none"/>
              </w:rPr>
            </w:pPr>
          </w:p>
        </w:tc>
        <w:tc>
          <w:tcPr>
            <w:tcW w:w="4536" w:type="dxa"/>
            <w:tcBorders>
              <w:top w:val="nil"/>
              <w:left w:val="nil"/>
              <w:bottom w:val="nil"/>
              <w:right w:val="nil"/>
            </w:tcBorders>
            <w:noWrap w:val="0"/>
            <w:vAlign w:val="top"/>
          </w:tcPr>
          <w:p w14:paraId="656725DD">
            <w:pPr>
              <w:spacing w:line="440" w:lineRule="exact"/>
              <w:rPr>
                <w:rFonts w:hint="eastAsia" w:ascii="宋体" w:hAnsi="宋体" w:cs="宋体"/>
                <w:color w:val="auto"/>
                <w:sz w:val="24"/>
                <w:highlight w:val="none"/>
              </w:rPr>
            </w:pPr>
          </w:p>
        </w:tc>
      </w:tr>
      <w:tr w14:paraId="744D148B">
        <w:tblPrEx>
          <w:tblCellMar>
            <w:top w:w="0" w:type="dxa"/>
            <w:left w:w="108" w:type="dxa"/>
            <w:bottom w:w="0" w:type="dxa"/>
            <w:right w:w="108" w:type="dxa"/>
          </w:tblCellMar>
        </w:tblPrEx>
        <w:trPr>
          <w:jc w:val="center"/>
        </w:trPr>
        <w:tc>
          <w:tcPr>
            <w:tcW w:w="4536" w:type="dxa"/>
            <w:tcBorders>
              <w:top w:val="nil"/>
              <w:left w:val="nil"/>
              <w:bottom w:val="nil"/>
              <w:right w:val="nil"/>
            </w:tcBorders>
            <w:noWrap w:val="0"/>
            <w:vAlign w:val="top"/>
          </w:tcPr>
          <w:p w14:paraId="4E38779B">
            <w:pPr>
              <w:spacing w:line="440" w:lineRule="exact"/>
              <w:ind w:right="480"/>
              <w:rPr>
                <w:rFonts w:hint="eastAsia" w:ascii="宋体" w:hAnsi="宋体" w:cs="宋体"/>
                <w:color w:val="auto"/>
                <w:sz w:val="24"/>
                <w:highlight w:val="none"/>
              </w:rPr>
            </w:pPr>
            <w:r>
              <w:rPr>
                <w:rFonts w:hint="eastAsia" w:ascii="宋体" w:hAnsi="宋体" w:cs="宋体"/>
                <w:bCs/>
                <w:color w:val="auto"/>
                <w:sz w:val="24"/>
                <w:highlight w:val="none"/>
                <w:lang w:val="en-US" w:eastAsia="zh-CN"/>
              </w:rPr>
              <w:t>2026</w:t>
            </w:r>
            <w:r>
              <w:rPr>
                <w:rFonts w:hint="eastAsia" w:ascii="宋体" w:hAnsi="宋体" w:cs="宋体"/>
                <w:bCs/>
                <w:color w:val="auto"/>
                <w:sz w:val="24"/>
                <w:highlight w:val="none"/>
              </w:rPr>
              <w:t>年  月  日</w:t>
            </w:r>
          </w:p>
        </w:tc>
        <w:tc>
          <w:tcPr>
            <w:tcW w:w="284" w:type="dxa"/>
            <w:tcBorders>
              <w:top w:val="nil"/>
              <w:left w:val="nil"/>
              <w:bottom w:val="nil"/>
              <w:right w:val="nil"/>
            </w:tcBorders>
            <w:noWrap w:val="0"/>
            <w:vAlign w:val="top"/>
          </w:tcPr>
          <w:p w14:paraId="36F9D4F8">
            <w:pPr>
              <w:spacing w:line="440" w:lineRule="exact"/>
              <w:rPr>
                <w:rFonts w:hint="eastAsia" w:ascii="宋体" w:hAnsi="宋体" w:cs="宋体"/>
                <w:color w:val="auto"/>
                <w:sz w:val="24"/>
                <w:highlight w:val="none"/>
              </w:rPr>
            </w:pPr>
          </w:p>
        </w:tc>
        <w:tc>
          <w:tcPr>
            <w:tcW w:w="4536" w:type="dxa"/>
            <w:tcBorders>
              <w:top w:val="nil"/>
              <w:left w:val="nil"/>
              <w:bottom w:val="nil"/>
              <w:right w:val="nil"/>
            </w:tcBorders>
            <w:noWrap w:val="0"/>
            <w:vAlign w:val="top"/>
          </w:tcPr>
          <w:p w14:paraId="6AAA9D10">
            <w:pPr>
              <w:spacing w:line="440" w:lineRule="exact"/>
              <w:ind w:right="480"/>
              <w:rPr>
                <w:rFonts w:hint="eastAsia" w:ascii="宋体" w:hAnsi="宋体" w:cs="宋体"/>
                <w:color w:val="auto"/>
                <w:sz w:val="24"/>
                <w:highlight w:val="none"/>
              </w:rPr>
            </w:pPr>
          </w:p>
        </w:tc>
      </w:tr>
      <w:tr w14:paraId="4EA84549">
        <w:tblPrEx>
          <w:tblCellMar>
            <w:top w:w="0" w:type="dxa"/>
            <w:left w:w="108" w:type="dxa"/>
            <w:bottom w:w="0" w:type="dxa"/>
            <w:right w:w="108" w:type="dxa"/>
          </w:tblCellMar>
        </w:tblPrEx>
        <w:trPr>
          <w:jc w:val="center"/>
        </w:trPr>
        <w:tc>
          <w:tcPr>
            <w:tcW w:w="4536" w:type="dxa"/>
            <w:tcBorders>
              <w:top w:val="nil"/>
              <w:left w:val="nil"/>
              <w:bottom w:val="nil"/>
              <w:right w:val="nil"/>
            </w:tcBorders>
            <w:noWrap w:val="0"/>
            <w:vAlign w:val="top"/>
          </w:tcPr>
          <w:p w14:paraId="3A4D8B75">
            <w:pPr>
              <w:spacing w:line="440" w:lineRule="exact"/>
              <w:rPr>
                <w:rFonts w:hint="eastAsia" w:ascii="宋体" w:hAnsi="宋体" w:cs="宋体"/>
                <w:color w:val="auto"/>
                <w:sz w:val="24"/>
                <w:highlight w:val="none"/>
              </w:rPr>
            </w:pPr>
          </w:p>
        </w:tc>
        <w:tc>
          <w:tcPr>
            <w:tcW w:w="284" w:type="dxa"/>
            <w:tcBorders>
              <w:top w:val="nil"/>
              <w:left w:val="nil"/>
              <w:bottom w:val="nil"/>
              <w:right w:val="nil"/>
            </w:tcBorders>
            <w:noWrap w:val="0"/>
            <w:vAlign w:val="top"/>
          </w:tcPr>
          <w:p w14:paraId="06F7BDFE">
            <w:pPr>
              <w:spacing w:line="440" w:lineRule="exact"/>
              <w:rPr>
                <w:rFonts w:hint="eastAsia" w:ascii="宋体" w:hAnsi="宋体" w:cs="宋体"/>
                <w:color w:val="auto"/>
                <w:sz w:val="24"/>
                <w:highlight w:val="none"/>
              </w:rPr>
            </w:pPr>
          </w:p>
        </w:tc>
        <w:tc>
          <w:tcPr>
            <w:tcW w:w="4536" w:type="dxa"/>
            <w:tcBorders>
              <w:top w:val="nil"/>
              <w:left w:val="nil"/>
              <w:bottom w:val="nil"/>
              <w:right w:val="nil"/>
            </w:tcBorders>
            <w:noWrap w:val="0"/>
            <w:vAlign w:val="top"/>
          </w:tcPr>
          <w:p w14:paraId="3CDFD349">
            <w:pPr>
              <w:spacing w:line="440" w:lineRule="exact"/>
              <w:rPr>
                <w:rFonts w:hint="eastAsia" w:ascii="宋体" w:hAnsi="宋体" w:cs="宋体"/>
                <w:color w:val="auto"/>
                <w:sz w:val="24"/>
                <w:highlight w:val="none"/>
              </w:rPr>
            </w:pPr>
          </w:p>
        </w:tc>
      </w:tr>
      <w:tr w14:paraId="35A4C31A">
        <w:tblPrEx>
          <w:tblCellMar>
            <w:top w:w="0" w:type="dxa"/>
            <w:left w:w="108" w:type="dxa"/>
            <w:bottom w:w="0" w:type="dxa"/>
            <w:right w:w="108" w:type="dxa"/>
          </w:tblCellMar>
        </w:tblPrEx>
        <w:trPr>
          <w:jc w:val="center"/>
        </w:trPr>
        <w:tc>
          <w:tcPr>
            <w:tcW w:w="4536" w:type="dxa"/>
            <w:tcBorders>
              <w:top w:val="nil"/>
              <w:left w:val="nil"/>
              <w:bottom w:val="nil"/>
              <w:right w:val="nil"/>
            </w:tcBorders>
            <w:noWrap w:val="0"/>
            <w:vAlign w:val="top"/>
          </w:tcPr>
          <w:p w14:paraId="3753755C">
            <w:pPr>
              <w:spacing w:line="440" w:lineRule="exact"/>
              <w:rPr>
                <w:rFonts w:hint="eastAsia" w:ascii="宋体" w:hAnsi="宋体" w:cs="宋体"/>
                <w:color w:val="auto"/>
                <w:sz w:val="24"/>
                <w:highlight w:val="none"/>
              </w:rPr>
            </w:pPr>
          </w:p>
        </w:tc>
        <w:tc>
          <w:tcPr>
            <w:tcW w:w="284" w:type="dxa"/>
            <w:tcBorders>
              <w:top w:val="nil"/>
              <w:left w:val="nil"/>
              <w:bottom w:val="nil"/>
              <w:right w:val="nil"/>
            </w:tcBorders>
            <w:noWrap w:val="0"/>
            <w:vAlign w:val="top"/>
          </w:tcPr>
          <w:p w14:paraId="449605D0">
            <w:pPr>
              <w:spacing w:line="440" w:lineRule="exact"/>
              <w:rPr>
                <w:rFonts w:hint="eastAsia" w:ascii="宋体" w:hAnsi="宋体" w:cs="宋体"/>
                <w:color w:val="auto"/>
                <w:sz w:val="24"/>
                <w:highlight w:val="none"/>
              </w:rPr>
            </w:pPr>
          </w:p>
        </w:tc>
        <w:tc>
          <w:tcPr>
            <w:tcW w:w="4536" w:type="dxa"/>
            <w:tcBorders>
              <w:top w:val="nil"/>
              <w:left w:val="nil"/>
              <w:bottom w:val="nil"/>
              <w:right w:val="nil"/>
            </w:tcBorders>
            <w:noWrap w:val="0"/>
            <w:vAlign w:val="top"/>
          </w:tcPr>
          <w:p w14:paraId="099F95D7">
            <w:pPr>
              <w:spacing w:line="440" w:lineRule="exact"/>
              <w:rPr>
                <w:rFonts w:hint="eastAsia" w:ascii="宋体" w:hAnsi="宋体" w:cs="宋体"/>
                <w:color w:val="auto"/>
                <w:sz w:val="24"/>
                <w:highlight w:val="none"/>
              </w:rPr>
            </w:pPr>
          </w:p>
        </w:tc>
      </w:tr>
    </w:tbl>
    <w:p w14:paraId="3539C4B2">
      <w:pPr>
        <w:spacing w:line="440" w:lineRule="exact"/>
        <w:ind w:firstLine="420"/>
        <w:jc w:val="left"/>
        <w:rPr>
          <w:rFonts w:ascii="宋体" w:hAnsi="宋体" w:cs="宋体"/>
          <w:bCs/>
          <w:color w:val="auto"/>
          <w:sz w:val="24"/>
          <w:highlight w:val="none"/>
        </w:rPr>
      </w:pPr>
      <w:r>
        <w:rPr>
          <w:rFonts w:hint="eastAsia" w:ascii="宋体" w:hAnsi="宋体" w:eastAsia="宋体" w:cs="宋体"/>
          <w:b/>
          <w:bCs/>
          <w:color w:val="auto"/>
          <w:sz w:val="24"/>
          <w:highlight w:val="none"/>
          <w:lang w:val="en-US" w:eastAsia="zh-CN"/>
        </w:rPr>
        <w:t>★.备注：甲、乙各</w:t>
      </w:r>
      <w:r>
        <w:rPr>
          <w:rFonts w:hint="eastAsia" w:ascii="宋体" w:hAnsi="宋体" w:eastAsia="宋体" w:cs="宋体"/>
          <w:b/>
          <w:bCs/>
          <w:color w:val="auto"/>
          <w:sz w:val="24"/>
          <w:highlight w:val="none"/>
          <w:lang w:val="zh-CN" w:eastAsia="zh-CN"/>
        </w:rPr>
        <w:t>方</w:t>
      </w:r>
      <w:r>
        <w:rPr>
          <w:rFonts w:hint="eastAsia" w:ascii="宋体" w:hAnsi="宋体" w:eastAsia="宋体" w:cs="宋体"/>
          <w:b/>
          <w:bCs/>
          <w:color w:val="auto"/>
          <w:sz w:val="24"/>
          <w:highlight w:val="none"/>
          <w:lang w:val="en-US" w:eastAsia="zh-CN"/>
        </w:rPr>
        <w:t>必须以本格式文本拟订合同。</w:t>
      </w:r>
      <w:r>
        <w:rPr>
          <w:rFonts w:hint="eastAsia" w:ascii="宋体" w:hAnsi="宋体" w:cs="宋体"/>
          <w:bCs/>
          <w:color w:val="auto"/>
          <w:sz w:val="24"/>
          <w:highlight w:val="none"/>
        </w:rPr>
        <w:t xml:space="preserve"> </w:t>
      </w:r>
    </w:p>
    <w:p w14:paraId="1BA6C193">
      <w:pPr>
        <w:pStyle w:val="5"/>
        <w:rPr>
          <w:color w:val="auto"/>
          <w:highlight w:val="none"/>
        </w:rPr>
      </w:pPr>
    </w:p>
    <w:p w14:paraId="1EABA1B6">
      <w:pPr>
        <w:widowControl/>
        <w:spacing w:before="120" w:line="300" w:lineRule="auto"/>
        <w:jc w:val="left"/>
        <w:rPr>
          <w:rFonts w:hint="eastAsia" w:ascii="宋体" w:hAnsi="宋体" w:cs="宋体"/>
          <w:color w:val="auto"/>
          <w:sz w:val="24"/>
          <w:highlight w:val="none"/>
        </w:rPr>
      </w:pPr>
      <w:r>
        <w:rPr>
          <w:rFonts w:hint="eastAsia" w:ascii="宋体" w:hAnsi="宋体" w:cs="宋体"/>
          <w:color w:val="auto"/>
          <w:sz w:val="24"/>
          <w:highlight w:val="none"/>
        </w:rPr>
        <w:br w:type="page" w:clear="all"/>
      </w:r>
      <w:r>
        <w:rPr>
          <w:rFonts w:hint="eastAsia" w:ascii="宋体" w:hAnsi="宋体" w:cs="宋体"/>
          <w:color w:val="auto"/>
          <w:sz w:val="24"/>
          <w:highlight w:val="none"/>
        </w:rPr>
        <w:t>附件1：</w:t>
      </w:r>
    </w:p>
    <w:p w14:paraId="487C4B53">
      <w:pPr>
        <w:rPr>
          <w:rFonts w:hint="eastAsia" w:ascii="宋体" w:hAnsi="宋体" w:eastAsia="宋体" w:cs="Times New Roman"/>
          <w:b w:val="0"/>
          <w:bCs w:val="0"/>
          <w:color w:val="auto"/>
          <w:sz w:val="21"/>
          <w:szCs w:val="21"/>
          <w:highlight w:val="none"/>
          <w:lang w:val="en-US" w:eastAsia="zh-CN"/>
        </w:rPr>
      </w:pPr>
      <w:r>
        <w:rPr>
          <w:rFonts w:hint="eastAsia" w:ascii="宋体" w:hAnsi="宋体" w:eastAsia="宋体" w:cs="Times New Roman"/>
          <w:b w:val="0"/>
          <w:bCs w:val="0"/>
          <w:color w:val="auto"/>
          <w:sz w:val="21"/>
          <w:szCs w:val="21"/>
          <w:highlight w:val="none"/>
          <w:lang w:val="en-US" w:eastAsia="zh-CN"/>
        </w:rPr>
        <w:t xml:space="preserve">《 </w:t>
      </w:r>
      <w:r>
        <w:rPr>
          <w:rFonts w:hint="eastAsia" w:ascii="宋体" w:hAnsi="宋体" w:cs="Times New Roman"/>
          <w:b w:val="0"/>
          <w:bCs w:val="0"/>
          <w:color w:val="auto"/>
          <w:sz w:val="21"/>
          <w:szCs w:val="21"/>
          <w:highlight w:val="none"/>
          <w:lang w:val="en-US" w:eastAsia="zh-CN"/>
        </w:rPr>
        <w:t>礼嘉镇农村公路（沥青）养护服务考核评分表</w:t>
      </w:r>
      <w:r>
        <w:rPr>
          <w:rFonts w:hint="eastAsia" w:ascii="宋体" w:hAnsi="宋体" w:eastAsia="宋体" w:cs="Times New Roman"/>
          <w:b w:val="0"/>
          <w:bCs w:val="0"/>
          <w:color w:val="auto"/>
          <w:sz w:val="21"/>
          <w:szCs w:val="21"/>
          <w:highlight w:val="none"/>
          <w:lang w:val="en-US" w:eastAsia="zh-CN"/>
        </w:rPr>
        <w:t>》</w:t>
      </w:r>
    </w:p>
    <w:p w14:paraId="30710064">
      <w:pPr>
        <w:widowControl/>
        <w:spacing w:before="120" w:line="300" w:lineRule="auto"/>
        <w:jc w:val="left"/>
        <w:rPr>
          <w:rFonts w:hint="eastAsia" w:ascii="宋体" w:hAnsi="宋体" w:cs="宋体"/>
          <w:color w:val="auto"/>
          <w:sz w:val="24"/>
          <w:highlight w:val="none"/>
        </w:rPr>
      </w:pPr>
    </w:p>
    <w:tbl>
      <w:tblPr>
        <w:tblStyle w:val="2"/>
        <w:tblW w:w="4996" w:type="pct"/>
        <w:jc w:val="center"/>
        <w:tblLayout w:type="autofit"/>
        <w:tblCellMar>
          <w:top w:w="0" w:type="dxa"/>
          <w:left w:w="108" w:type="dxa"/>
          <w:bottom w:w="0" w:type="dxa"/>
          <w:right w:w="108" w:type="dxa"/>
        </w:tblCellMar>
      </w:tblPr>
      <w:tblGrid>
        <w:gridCol w:w="636"/>
        <w:gridCol w:w="426"/>
        <w:gridCol w:w="2662"/>
        <w:gridCol w:w="2477"/>
        <w:gridCol w:w="745"/>
        <w:gridCol w:w="830"/>
        <w:gridCol w:w="739"/>
      </w:tblGrid>
      <w:tr w14:paraId="01E5B352">
        <w:tblPrEx>
          <w:tblCellMar>
            <w:top w:w="0" w:type="dxa"/>
            <w:left w:w="108" w:type="dxa"/>
            <w:bottom w:w="0" w:type="dxa"/>
            <w:right w:w="108" w:type="dxa"/>
          </w:tblCellMar>
        </w:tblPrEx>
        <w:trPr>
          <w:trHeight w:val="675" w:hRule="atLeast"/>
          <w:jc w:val="center"/>
        </w:trPr>
        <w:tc>
          <w:tcPr>
            <w:tcW w:w="4532" w:type="pct"/>
            <w:gridSpan w:val="6"/>
            <w:tcBorders>
              <w:top w:val="nil"/>
              <w:left w:val="nil"/>
              <w:bottom w:val="nil"/>
              <w:right w:val="nil"/>
            </w:tcBorders>
            <w:noWrap w:val="0"/>
            <w:vAlign w:val="center"/>
          </w:tcPr>
          <w:p w14:paraId="5C57973D">
            <w:pPr>
              <w:widowControl/>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lang w:eastAsia="zh-CN"/>
              </w:rPr>
              <w:t>礼嘉镇农村公路（沥青）养护服务考核评分表</w:t>
            </w:r>
          </w:p>
        </w:tc>
        <w:tc>
          <w:tcPr>
            <w:tcW w:w="467" w:type="pct"/>
            <w:tcBorders>
              <w:top w:val="nil"/>
              <w:left w:val="nil"/>
              <w:bottom w:val="nil"/>
              <w:right w:val="nil"/>
            </w:tcBorders>
            <w:noWrap w:val="0"/>
            <w:vAlign w:val="center"/>
          </w:tcPr>
          <w:p w14:paraId="74642162">
            <w:pPr>
              <w:widowControl/>
              <w:jc w:val="left"/>
              <w:rPr>
                <w:rFonts w:hint="eastAsia" w:ascii="宋体" w:hAnsi="宋体" w:cs="宋体"/>
                <w:color w:val="auto"/>
                <w:szCs w:val="21"/>
                <w:highlight w:val="none"/>
              </w:rPr>
            </w:pPr>
          </w:p>
        </w:tc>
      </w:tr>
      <w:tr w14:paraId="233F6A35">
        <w:tblPrEx>
          <w:tblCellMar>
            <w:top w:w="0" w:type="dxa"/>
            <w:left w:w="108" w:type="dxa"/>
            <w:bottom w:w="0" w:type="dxa"/>
            <w:right w:w="108" w:type="dxa"/>
          </w:tblCellMar>
        </w:tblPrEx>
        <w:trPr>
          <w:trHeight w:val="552" w:hRule="atLeast"/>
          <w:jc w:val="center"/>
        </w:trPr>
        <w:tc>
          <w:tcPr>
            <w:tcW w:w="459" w:type="pct"/>
            <w:gridSpan w:val="2"/>
            <w:tcBorders>
              <w:top w:val="nil"/>
              <w:left w:val="nil"/>
              <w:bottom w:val="nil"/>
              <w:right w:val="nil"/>
            </w:tcBorders>
            <w:noWrap w:val="0"/>
            <w:vAlign w:val="center"/>
          </w:tcPr>
          <w:p w14:paraId="2308E62A">
            <w:pPr>
              <w:widowControl/>
              <w:jc w:val="center"/>
              <w:rPr>
                <w:rFonts w:hint="eastAsia" w:ascii="宋体" w:hAnsi="宋体" w:cs="宋体"/>
                <w:color w:val="auto"/>
                <w:szCs w:val="21"/>
                <w:highlight w:val="none"/>
              </w:rPr>
            </w:pPr>
          </w:p>
        </w:tc>
        <w:tc>
          <w:tcPr>
            <w:tcW w:w="1596" w:type="pct"/>
            <w:tcBorders>
              <w:top w:val="nil"/>
              <w:left w:val="nil"/>
              <w:bottom w:val="nil"/>
              <w:right w:val="nil"/>
            </w:tcBorders>
            <w:noWrap w:val="0"/>
            <w:vAlign w:val="center"/>
          </w:tcPr>
          <w:p w14:paraId="54397E04">
            <w:pPr>
              <w:widowControl/>
              <w:jc w:val="left"/>
              <w:rPr>
                <w:rFonts w:hint="eastAsia" w:ascii="宋体" w:hAnsi="宋体" w:cs="宋体"/>
                <w:color w:val="auto"/>
                <w:szCs w:val="21"/>
                <w:highlight w:val="none"/>
              </w:rPr>
            </w:pPr>
          </w:p>
        </w:tc>
        <w:tc>
          <w:tcPr>
            <w:tcW w:w="1487" w:type="pct"/>
            <w:tcBorders>
              <w:top w:val="nil"/>
              <w:left w:val="nil"/>
              <w:bottom w:val="nil"/>
              <w:right w:val="nil"/>
            </w:tcBorders>
            <w:noWrap w:val="0"/>
            <w:vAlign w:val="center"/>
          </w:tcPr>
          <w:p w14:paraId="2B7A1B70">
            <w:pPr>
              <w:widowControl/>
              <w:jc w:val="left"/>
              <w:rPr>
                <w:rFonts w:hint="eastAsia" w:ascii="宋体" w:hAnsi="宋体" w:cs="宋体"/>
                <w:color w:val="auto"/>
                <w:szCs w:val="21"/>
                <w:highlight w:val="none"/>
              </w:rPr>
            </w:pPr>
          </w:p>
        </w:tc>
        <w:tc>
          <w:tcPr>
            <w:tcW w:w="470" w:type="pct"/>
            <w:tcBorders>
              <w:top w:val="nil"/>
              <w:left w:val="nil"/>
              <w:bottom w:val="nil"/>
              <w:right w:val="nil"/>
            </w:tcBorders>
            <w:noWrap w:val="0"/>
            <w:vAlign w:val="center"/>
          </w:tcPr>
          <w:p w14:paraId="29F879DA">
            <w:pPr>
              <w:widowControl/>
              <w:jc w:val="center"/>
              <w:rPr>
                <w:rFonts w:hint="eastAsia" w:ascii="宋体" w:hAnsi="宋体" w:cs="宋体"/>
                <w:color w:val="auto"/>
                <w:szCs w:val="21"/>
                <w:highlight w:val="none"/>
              </w:rPr>
            </w:pPr>
          </w:p>
        </w:tc>
        <w:tc>
          <w:tcPr>
            <w:tcW w:w="519" w:type="pct"/>
            <w:tcBorders>
              <w:top w:val="nil"/>
              <w:left w:val="nil"/>
              <w:bottom w:val="nil"/>
              <w:right w:val="nil"/>
            </w:tcBorders>
            <w:noWrap w:val="0"/>
            <w:vAlign w:val="center"/>
          </w:tcPr>
          <w:p w14:paraId="1A00D04E">
            <w:pPr>
              <w:widowControl/>
              <w:jc w:val="left"/>
              <w:rPr>
                <w:rFonts w:hint="eastAsia" w:ascii="宋体" w:hAnsi="宋体" w:cs="宋体"/>
                <w:color w:val="auto"/>
                <w:szCs w:val="21"/>
                <w:highlight w:val="none"/>
              </w:rPr>
            </w:pPr>
          </w:p>
        </w:tc>
        <w:tc>
          <w:tcPr>
            <w:tcW w:w="467" w:type="pct"/>
            <w:tcBorders>
              <w:top w:val="nil"/>
              <w:left w:val="nil"/>
              <w:bottom w:val="nil"/>
              <w:right w:val="nil"/>
            </w:tcBorders>
            <w:noWrap w:val="0"/>
            <w:vAlign w:val="center"/>
          </w:tcPr>
          <w:p w14:paraId="7C379F04">
            <w:pPr>
              <w:widowControl/>
              <w:jc w:val="left"/>
              <w:rPr>
                <w:rFonts w:hint="eastAsia" w:ascii="宋体" w:hAnsi="宋体" w:cs="宋体"/>
                <w:color w:val="auto"/>
                <w:szCs w:val="21"/>
                <w:highlight w:val="none"/>
              </w:rPr>
            </w:pPr>
          </w:p>
        </w:tc>
      </w:tr>
      <w:tr w14:paraId="17BD2FF1">
        <w:tblPrEx>
          <w:tblCellMar>
            <w:top w:w="0" w:type="dxa"/>
            <w:left w:w="108" w:type="dxa"/>
            <w:bottom w:w="0" w:type="dxa"/>
            <w:right w:w="108" w:type="dxa"/>
          </w:tblCellMar>
        </w:tblPrEx>
        <w:trPr>
          <w:trHeight w:val="1115" w:hRule="atLeast"/>
          <w:jc w:val="center"/>
        </w:trPr>
        <w:tc>
          <w:tcPr>
            <w:tcW w:w="229" w:type="pct"/>
            <w:tcBorders>
              <w:top w:val="single" w:color="000000" w:sz="4" w:space="0"/>
              <w:left w:val="single" w:color="000000" w:sz="4" w:space="0"/>
              <w:bottom w:val="single" w:color="000000" w:sz="4" w:space="0"/>
              <w:right w:val="single" w:color="000000" w:sz="4" w:space="0"/>
            </w:tcBorders>
            <w:noWrap w:val="0"/>
            <w:vAlign w:val="center"/>
          </w:tcPr>
          <w:p w14:paraId="319B30AF">
            <w:pPr>
              <w:widowControl/>
              <w:jc w:val="center"/>
              <w:rPr>
                <w:rFonts w:hint="eastAsia" w:ascii="宋体" w:hAnsi="宋体" w:cs="宋体"/>
                <w:color w:val="auto"/>
                <w:szCs w:val="21"/>
                <w:highlight w:val="none"/>
              </w:rPr>
            </w:pPr>
            <w:r>
              <w:rPr>
                <w:rFonts w:hint="eastAsia" w:ascii="宋体" w:hAnsi="宋体" w:cs="宋体"/>
                <w:color w:val="auto"/>
                <w:szCs w:val="21"/>
                <w:highlight w:val="none"/>
              </w:rPr>
              <w:t>考核项目</w:t>
            </w:r>
          </w:p>
        </w:tc>
        <w:tc>
          <w:tcPr>
            <w:tcW w:w="229" w:type="pct"/>
            <w:tcBorders>
              <w:top w:val="single" w:color="000000" w:sz="4" w:space="0"/>
              <w:left w:val="nil"/>
              <w:bottom w:val="single" w:color="000000" w:sz="4" w:space="0"/>
              <w:right w:val="single" w:color="000000" w:sz="4" w:space="0"/>
            </w:tcBorders>
            <w:noWrap w:val="0"/>
            <w:vAlign w:val="center"/>
          </w:tcPr>
          <w:p w14:paraId="112890B2">
            <w:pPr>
              <w:widowControl/>
              <w:jc w:val="center"/>
              <w:rPr>
                <w:rFonts w:hint="eastAsia" w:ascii="宋体" w:hAnsi="宋体" w:cs="宋体"/>
                <w:color w:val="auto"/>
                <w:szCs w:val="21"/>
                <w:highlight w:val="none"/>
              </w:rPr>
            </w:pPr>
            <w:r>
              <w:rPr>
                <w:rFonts w:hint="eastAsia" w:ascii="宋体" w:hAnsi="宋体" w:cs="宋体"/>
                <w:color w:val="auto"/>
                <w:szCs w:val="21"/>
                <w:highlight w:val="none"/>
              </w:rPr>
              <w:t>考核内容</w:t>
            </w:r>
          </w:p>
        </w:tc>
        <w:tc>
          <w:tcPr>
            <w:tcW w:w="1596" w:type="pct"/>
            <w:tcBorders>
              <w:top w:val="single" w:color="000000" w:sz="4" w:space="0"/>
              <w:left w:val="nil"/>
              <w:bottom w:val="single" w:color="000000" w:sz="4" w:space="0"/>
              <w:right w:val="single" w:color="000000" w:sz="4" w:space="0"/>
            </w:tcBorders>
            <w:noWrap w:val="0"/>
            <w:vAlign w:val="center"/>
          </w:tcPr>
          <w:p w14:paraId="3A1099B0">
            <w:pPr>
              <w:widowControl/>
              <w:jc w:val="center"/>
              <w:rPr>
                <w:rFonts w:hint="eastAsia" w:ascii="宋体" w:hAnsi="宋体" w:cs="宋体"/>
                <w:color w:val="auto"/>
                <w:szCs w:val="21"/>
                <w:highlight w:val="none"/>
              </w:rPr>
            </w:pPr>
            <w:r>
              <w:rPr>
                <w:rFonts w:hint="eastAsia" w:ascii="宋体" w:hAnsi="宋体" w:cs="宋体"/>
                <w:color w:val="auto"/>
                <w:szCs w:val="21"/>
                <w:highlight w:val="none"/>
              </w:rPr>
              <w:t>考核要求</w:t>
            </w:r>
          </w:p>
        </w:tc>
        <w:tc>
          <w:tcPr>
            <w:tcW w:w="1487" w:type="pct"/>
            <w:tcBorders>
              <w:top w:val="single" w:color="000000" w:sz="4" w:space="0"/>
              <w:left w:val="nil"/>
              <w:bottom w:val="single" w:color="000000" w:sz="4" w:space="0"/>
              <w:right w:val="single" w:color="000000" w:sz="4" w:space="0"/>
            </w:tcBorders>
            <w:noWrap w:val="0"/>
            <w:vAlign w:val="center"/>
          </w:tcPr>
          <w:p w14:paraId="01277500">
            <w:pPr>
              <w:widowControl/>
              <w:jc w:val="center"/>
              <w:rPr>
                <w:rFonts w:hint="eastAsia" w:ascii="宋体" w:hAnsi="宋体" w:cs="宋体"/>
                <w:color w:val="auto"/>
                <w:szCs w:val="21"/>
                <w:highlight w:val="none"/>
              </w:rPr>
            </w:pPr>
            <w:r>
              <w:rPr>
                <w:rFonts w:hint="eastAsia" w:ascii="宋体" w:hAnsi="宋体" w:cs="宋体"/>
                <w:color w:val="auto"/>
                <w:szCs w:val="21"/>
                <w:highlight w:val="none"/>
              </w:rPr>
              <w:t>评分标准</w:t>
            </w:r>
          </w:p>
        </w:tc>
        <w:tc>
          <w:tcPr>
            <w:tcW w:w="470" w:type="pct"/>
            <w:tcBorders>
              <w:top w:val="single" w:color="000000" w:sz="4" w:space="0"/>
              <w:left w:val="nil"/>
              <w:bottom w:val="single" w:color="000000" w:sz="4" w:space="0"/>
              <w:right w:val="single" w:color="000000" w:sz="4" w:space="0"/>
            </w:tcBorders>
            <w:noWrap w:val="0"/>
            <w:vAlign w:val="center"/>
          </w:tcPr>
          <w:p w14:paraId="37B1699A">
            <w:pPr>
              <w:widowControl/>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标准分</w:t>
            </w:r>
          </w:p>
        </w:tc>
        <w:tc>
          <w:tcPr>
            <w:tcW w:w="519" w:type="pct"/>
            <w:tcBorders>
              <w:top w:val="single" w:color="000000" w:sz="4" w:space="0"/>
              <w:left w:val="nil"/>
              <w:bottom w:val="single" w:color="000000" w:sz="4" w:space="0"/>
              <w:right w:val="single" w:color="000000" w:sz="4" w:space="0"/>
            </w:tcBorders>
            <w:noWrap w:val="0"/>
            <w:vAlign w:val="center"/>
          </w:tcPr>
          <w:p w14:paraId="09DD4529">
            <w:pPr>
              <w:widowControl/>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扣分值</w:t>
            </w:r>
          </w:p>
        </w:tc>
        <w:tc>
          <w:tcPr>
            <w:tcW w:w="467" w:type="pct"/>
            <w:tcBorders>
              <w:top w:val="single" w:color="000000" w:sz="4" w:space="0"/>
              <w:left w:val="nil"/>
              <w:bottom w:val="single" w:color="000000" w:sz="4" w:space="0"/>
              <w:right w:val="single" w:color="000000" w:sz="4" w:space="0"/>
            </w:tcBorders>
            <w:noWrap w:val="0"/>
            <w:vAlign w:val="center"/>
          </w:tcPr>
          <w:p w14:paraId="70124590">
            <w:pPr>
              <w:widowControl/>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实得分</w:t>
            </w:r>
          </w:p>
        </w:tc>
      </w:tr>
      <w:tr w14:paraId="146ABEB1">
        <w:tblPrEx>
          <w:tblCellMar>
            <w:top w:w="0" w:type="dxa"/>
            <w:left w:w="108" w:type="dxa"/>
            <w:bottom w:w="0" w:type="dxa"/>
            <w:right w:w="108" w:type="dxa"/>
          </w:tblCellMar>
        </w:tblPrEx>
        <w:trPr>
          <w:trHeight w:val="1668" w:hRule="atLeast"/>
          <w:jc w:val="center"/>
        </w:trPr>
        <w:tc>
          <w:tcPr>
            <w:tcW w:w="229" w:type="pct"/>
            <w:vMerge w:val="restart"/>
            <w:tcBorders>
              <w:top w:val="nil"/>
              <w:left w:val="single" w:color="000000" w:sz="4" w:space="0"/>
              <w:bottom w:val="single" w:color="000000" w:sz="4" w:space="0"/>
              <w:right w:val="single" w:color="000000" w:sz="4" w:space="0"/>
            </w:tcBorders>
            <w:noWrap w:val="0"/>
            <w:vAlign w:val="center"/>
          </w:tcPr>
          <w:p w14:paraId="32A26232">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静态资料</w:t>
            </w:r>
          </w:p>
          <w:p w14:paraId="31EE6D5A">
            <w:pPr>
              <w:widowControl/>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5分</w:t>
            </w:r>
            <w:r>
              <w:rPr>
                <w:rFonts w:hint="eastAsia" w:ascii="宋体" w:hAnsi="宋体" w:cs="宋体"/>
                <w:color w:val="auto"/>
                <w:szCs w:val="21"/>
                <w:highlight w:val="none"/>
                <w:lang w:eastAsia="zh-CN"/>
              </w:rPr>
              <w:t>）</w:t>
            </w:r>
          </w:p>
        </w:tc>
        <w:tc>
          <w:tcPr>
            <w:tcW w:w="229" w:type="pct"/>
            <w:tcBorders>
              <w:top w:val="nil"/>
              <w:left w:val="nil"/>
              <w:bottom w:val="single" w:color="000000" w:sz="4" w:space="0"/>
              <w:right w:val="single" w:color="000000" w:sz="4" w:space="0"/>
            </w:tcBorders>
            <w:noWrap w:val="0"/>
            <w:vAlign w:val="center"/>
          </w:tcPr>
          <w:p w14:paraId="40498F67">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养护方案</w:t>
            </w:r>
          </w:p>
        </w:tc>
        <w:tc>
          <w:tcPr>
            <w:tcW w:w="1596" w:type="pct"/>
            <w:tcBorders>
              <w:top w:val="nil"/>
              <w:left w:val="nil"/>
              <w:bottom w:val="single" w:color="000000" w:sz="4" w:space="0"/>
              <w:right w:val="single" w:color="000000" w:sz="4" w:space="0"/>
            </w:tcBorders>
            <w:noWrap w:val="0"/>
            <w:vAlign w:val="center"/>
          </w:tcPr>
          <w:p w14:paraId="0BD5EB7A">
            <w:pPr>
              <w:widowControl/>
              <w:jc w:val="left"/>
              <w:rPr>
                <w:rFonts w:hint="eastAsia" w:ascii="宋体" w:hAnsi="宋体" w:cs="宋体"/>
                <w:color w:val="auto"/>
                <w:szCs w:val="21"/>
                <w:highlight w:val="none"/>
              </w:rPr>
            </w:pPr>
            <w:r>
              <w:rPr>
                <w:rFonts w:hint="eastAsia" w:ascii="宋体" w:hAnsi="宋体" w:cs="宋体"/>
                <w:color w:val="auto"/>
                <w:szCs w:val="21"/>
                <w:highlight w:val="none"/>
              </w:rPr>
              <w:t>有完整的年度养护计划，包括：养护人员组织机构、设备机械配置、各类人员资格证书、养护方案、巡查方案、安全文明养护方案等</w:t>
            </w:r>
          </w:p>
        </w:tc>
        <w:tc>
          <w:tcPr>
            <w:tcW w:w="1487" w:type="pct"/>
            <w:tcBorders>
              <w:top w:val="nil"/>
              <w:left w:val="nil"/>
              <w:bottom w:val="single" w:color="000000" w:sz="4" w:space="0"/>
              <w:right w:val="single" w:color="000000" w:sz="4" w:space="0"/>
            </w:tcBorders>
            <w:noWrap w:val="0"/>
            <w:vAlign w:val="center"/>
          </w:tcPr>
          <w:p w14:paraId="2E17B1DD">
            <w:pPr>
              <w:widowControl/>
              <w:jc w:val="left"/>
              <w:rPr>
                <w:rFonts w:hint="eastAsia" w:ascii="宋体" w:hAnsi="宋体" w:eastAsia="宋体" w:cs="宋体"/>
                <w:color w:val="auto"/>
                <w:szCs w:val="21"/>
                <w:highlight w:val="none"/>
              </w:rPr>
            </w:pPr>
            <w:r>
              <w:rPr>
                <w:rFonts w:hint="eastAsia" w:ascii="宋体" w:hAnsi="宋体" w:cs="宋体"/>
                <w:color w:val="auto"/>
                <w:szCs w:val="21"/>
                <w:highlight w:val="none"/>
              </w:rPr>
              <w:t>年度养护计划编制内容齐全，方案合理可行，各类人员（管理、技术、安全、质量、</w:t>
            </w:r>
            <w:r>
              <w:rPr>
                <w:rFonts w:hint="eastAsia" w:ascii="宋体" w:hAnsi="宋体" w:cs="宋体"/>
                <w:color w:val="auto"/>
                <w:szCs w:val="21"/>
                <w:highlight w:val="none"/>
                <w:lang w:val="en-US" w:eastAsia="zh-CN"/>
              </w:rPr>
              <w:t>养护</w:t>
            </w:r>
            <w:r>
              <w:rPr>
                <w:rFonts w:hint="eastAsia" w:ascii="宋体" w:hAnsi="宋体" w:cs="宋体"/>
                <w:color w:val="auto"/>
                <w:szCs w:val="21"/>
                <w:highlight w:val="none"/>
              </w:rPr>
              <w:t>等）组织到位，持证上岗，机械配置满足养护需求，安全</w:t>
            </w:r>
            <w:r>
              <w:rPr>
                <w:rFonts w:hint="eastAsia" w:ascii="宋体" w:hAnsi="宋体" w:eastAsia="宋体" w:cs="宋体"/>
                <w:color w:val="auto"/>
                <w:szCs w:val="21"/>
                <w:highlight w:val="none"/>
              </w:rPr>
              <w:t>文明</w:t>
            </w:r>
            <w:r>
              <w:rPr>
                <w:rFonts w:hint="eastAsia" w:ascii="宋体" w:hAnsi="宋体" w:cs="宋体"/>
                <w:color w:val="auto"/>
                <w:szCs w:val="21"/>
                <w:highlight w:val="none"/>
                <w:lang w:val="en-US" w:eastAsia="zh-CN"/>
              </w:rPr>
              <w:t>养护</w:t>
            </w:r>
            <w:r>
              <w:rPr>
                <w:rFonts w:hint="eastAsia" w:ascii="宋体" w:hAnsi="宋体" w:eastAsia="宋体" w:cs="宋体"/>
                <w:color w:val="auto"/>
                <w:szCs w:val="21"/>
                <w:highlight w:val="none"/>
              </w:rPr>
              <w:t>有具体措施。养护过程中发生人员、设备变动应上报备案，征得同意。</w:t>
            </w:r>
          </w:p>
          <w:p w14:paraId="30B12C64">
            <w:pPr>
              <w:widowControl/>
              <w:jc w:val="left"/>
              <w:rPr>
                <w:rFonts w:hint="default" w:eastAsia="宋体"/>
                <w:color w:val="auto"/>
                <w:lang w:val="en-US" w:eastAsia="zh-CN"/>
              </w:rPr>
            </w:pPr>
            <w:r>
              <w:rPr>
                <w:rFonts w:hint="eastAsia" w:ascii="宋体" w:hAnsi="宋体" w:eastAsia="宋体" w:cs="宋体"/>
                <w:color w:val="auto"/>
                <w:szCs w:val="21"/>
                <w:highlight w:val="none"/>
                <w:lang w:val="en-US" w:eastAsia="zh-CN"/>
              </w:rPr>
              <w:t>未按要求执行扣</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分。</w:t>
            </w:r>
          </w:p>
        </w:tc>
        <w:tc>
          <w:tcPr>
            <w:tcW w:w="470" w:type="pct"/>
            <w:tcBorders>
              <w:top w:val="nil"/>
              <w:left w:val="single" w:color="000000" w:sz="4" w:space="0"/>
              <w:bottom w:val="single" w:color="000000" w:sz="4" w:space="0"/>
              <w:right w:val="single" w:color="000000" w:sz="4" w:space="0"/>
            </w:tcBorders>
            <w:noWrap w:val="0"/>
            <w:vAlign w:val="center"/>
          </w:tcPr>
          <w:p w14:paraId="157867A8">
            <w:pPr>
              <w:widowControl/>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519" w:type="pct"/>
            <w:tcBorders>
              <w:top w:val="nil"/>
              <w:left w:val="single" w:color="000000" w:sz="4" w:space="0"/>
              <w:bottom w:val="single" w:color="000000" w:sz="4" w:space="0"/>
              <w:right w:val="single" w:color="000000" w:sz="4" w:space="0"/>
            </w:tcBorders>
            <w:noWrap w:val="0"/>
            <w:vAlign w:val="center"/>
          </w:tcPr>
          <w:p w14:paraId="79467097">
            <w:pPr>
              <w:widowControl/>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w:t>
            </w:r>
          </w:p>
        </w:tc>
        <w:tc>
          <w:tcPr>
            <w:tcW w:w="467" w:type="pct"/>
            <w:tcBorders>
              <w:top w:val="nil"/>
              <w:left w:val="single" w:color="000000" w:sz="4" w:space="0"/>
              <w:bottom w:val="single" w:color="000000" w:sz="4" w:space="0"/>
              <w:right w:val="single" w:color="000000" w:sz="4" w:space="0"/>
            </w:tcBorders>
            <w:noWrap w:val="0"/>
            <w:vAlign w:val="center"/>
          </w:tcPr>
          <w:p w14:paraId="14B7B143">
            <w:pPr>
              <w:widowControl/>
              <w:jc w:val="left"/>
              <w:rPr>
                <w:rFonts w:hint="eastAsia" w:ascii="宋体" w:hAnsi="宋体" w:eastAsia="宋体" w:cs="宋体"/>
                <w:color w:val="auto"/>
                <w:szCs w:val="21"/>
                <w:highlight w:val="none"/>
              </w:rPr>
            </w:pPr>
          </w:p>
        </w:tc>
      </w:tr>
      <w:tr w14:paraId="092F0AC0">
        <w:tblPrEx>
          <w:tblCellMar>
            <w:top w:w="0" w:type="dxa"/>
            <w:left w:w="108" w:type="dxa"/>
            <w:bottom w:w="0" w:type="dxa"/>
            <w:right w:w="108" w:type="dxa"/>
          </w:tblCellMar>
        </w:tblPrEx>
        <w:trPr>
          <w:trHeight w:val="2487"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18ABEC07">
            <w:pPr>
              <w:widowControl/>
              <w:jc w:val="left"/>
              <w:rPr>
                <w:rFonts w:hint="eastAsia" w:ascii="宋体" w:hAnsi="宋体" w:cs="宋体"/>
                <w:color w:val="auto"/>
                <w:szCs w:val="21"/>
                <w:highlight w:val="none"/>
              </w:rPr>
            </w:pPr>
          </w:p>
        </w:tc>
        <w:tc>
          <w:tcPr>
            <w:tcW w:w="229" w:type="pct"/>
            <w:tcBorders>
              <w:top w:val="nil"/>
              <w:left w:val="nil"/>
              <w:bottom w:val="single" w:color="000000" w:sz="4" w:space="0"/>
              <w:right w:val="single" w:color="000000" w:sz="4" w:space="0"/>
            </w:tcBorders>
            <w:noWrap w:val="0"/>
            <w:vAlign w:val="center"/>
          </w:tcPr>
          <w:p w14:paraId="267FCF51">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应急预案</w:t>
            </w:r>
          </w:p>
        </w:tc>
        <w:tc>
          <w:tcPr>
            <w:tcW w:w="1596" w:type="pct"/>
            <w:tcBorders>
              <w:top w:val="nil"/>
              <w:left w:val="nil"/>
              <w:bottom w:val="single" w:color="000000" w:sz="4" w:space="0"/>
              <w:right w:val="single" w:color="000000" w:sz="4" w:space="0"/>
            </w:tcBorders>
            <w:noWrap w:val="0"/>
            <w:vAlign w:val="center"/>
          </w:tcPr>
          <w:p w14:paraId="12E1A002">
            <w:pPr>
              <w:widowControl/>
              <w:jc w:val="left"/>
              <w:rPr>
                <w:rFonts w:hint="eastAsia" w:ascii="宋体" w:hAnsi="宋体" w:cs="宋体"/>
                <w:color w:val="auto"/>
                <w:szCs w:val="21"/>
                <w:highlight w:val="none"/>
              </w:rPr>
            </w:pPr>
            <w:r>
              <w:rPr>
                <w:rFonts w:hint="eastAsia" w:ascii="宋体" w:hAnsi="宋体" w:cs="宋体"/>
                <w:color w:val="auto"/>
                <w:szCs w:val="21"/>
                <w:highlight w:val="none"/>
              </w:rPr>
              <w:t>建立各类应急预案，加强重点区域安全保障措施，及时处理各类突发事件，包括：冬季扫雪除冰应急预案、突发台风暴雨等灾害天气应急预案、节假日应急预案</w:t>
            </w:r>
          </w:p>
        </w:tc>
        <w:tc>
          <w:tcPr>
            <w:tcW w:w="1487" w:type="pct"/>
            <w:tcBorders>
              <w:top w:val="nil"/>
              <w:left w:val="nil"/>
              <w:bottom w:val="single" w:color="000000" w:sz="4" w:space="0"/>
              <w:right w:val="single" w:color="000000" w:sz="4" w:space="0"/>
            </w:tcBorders>
            <w:noWrap w:val="0"/>
            <w:vAlign w:val="center"/>
          </w:tcPr>
          <w:p w14:paraId="6FEEF399">
            <w:pPr>
              <w:widowControl/>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各类应急预案编制认真，人员机械落实到位，措施切实可行</w:t>
            </w:r>
            <w:r>
              <w:rPr>
                <w:rFonts w:hint="eastAsia" w:ascii="宋体" w:hAnsi="宋体" w:eastAsia="宋体" w:cs="宋体"/>
                <w:color w:val="auto"/>
                <w:szCs w:val="21"/>
                <w:highlight w:val="none"/>
                <w:lang w:eastAsia="zh-CN"/>
              </w:rPr>
              <w:t>。</w:t>
            </w:r>
          </w:p>
          <w:p w14:paraId="037A4E05">
            <w:pPr>
              <w:widowControl/>
              <w:jc w:val="left"/>
              <w:rPr>
                <w:rFonts w:hint="default"/>
                <w:color w:val="auto"/>
                <w:lang w:val="en-US" w:eastAsia="zh-CN"/>
              </w:rPr>
            </w:pPr>
            <w:r>
              <w:rPr>
                <w:rFonts w:hint="eastAsia" w:ascii="宋体" w:hAnsi="宋体" w:eastAsia="宋体" w:cs="宋体"/>
                <w:color w:val="auto"/>
                <w:szCs w:val="21"/>
                <w:highlight w:val="none"/>
                <w:lang w:val="en-US" w:eastAsia="zh-CN"/>
              </w:rPr>
              <w:t>未按要求执行扣</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分。</w:t>
            </w:r>
          </w:p>
        </w:tc>
        <w:tc>
          <w:tcPr>
            <w:tcW w:w="470" w:type="pct"/>
            <w:tcBorders>
              <w:top w:val="nil"/>
              <w:left w:val="single" w:color="000000" w:sz="4" w:space="0"/>
              <w:bottom w:val="single" w:color="000000" w:sz="4" w:space="0"/>
              <w:right w:val="single" w:color="000000" w:sz="4" w:space="0"/>
            </w:tcBorders>
            <w:noWrap w:val="0"/>
            <w:vAlign w:val="center"/>
          </w:tcPr>
          <w:p w14:paraId="23D85377">
            <w:pPr>
              <w:widowControl/>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519" w:type="pct"/>
            <w:tcBorders>
              <w:top w:val="nil"/>
              <w:left w:val="single" w:color="000000" w:sz="4" w:space="0"/>
              <w:bottom w:val="single" w:color="000000" w:sz="4" w:space="0"/>
              <w:right w:val="single" w:color="000000" w:sz="4" w:space="0"/>
            </w:tcBorders>
            <w:noWrap w:val="0"/>
            <w:vAlign w:val="center"/>
          </w:tcPr>
          <w:p w14:paraId="7A0606DC">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4B944FD3">
            <w:pPr>
              <w:widowControl/>
              <w:jc w:val="left"/>
              <w:rPr>
                <w:rFonts w:hint="eastAsia" w:ascii="宋体" w:hAnsi="宋体" w:cs="宋体"/>
                <w:color w:val="auto"/>
                <w:szCs w:val="21"/>
                <w:highlight w:val="none"/>
              </w:rPr>
            </w:pPr>
          </w:p>
        </w:tc>
      </w:tr>
      <w:tr w14:paraId="5D3F6F15">
        <w:tblPrEx>
          <w:tblCellMar>
            <w:top w:w="0" w:type="dxa"/>
            <w:left w:w="108" w:type="dxa"/>
            <w:bottom w:w="0" w:type="dxa"/>
            <w:right w:w="108" w:type="dxa"/>
          </w:tblCellMar>
        </w:tblPrEx>
        <w:trPr>
          <w:trHeight w:val="1115" w:hRule="atLeast"/>
          <w:jc w:val="center"/>
        </w:trPr>
        <w:tc>
          <w:tcPr>
            <w:tcW w:w="229" w:type="pct"/>
            <w:vMerge w:val="restart"/>
            <w:tcBorders>
              <w:top w:val="nil"/>
              <w:left w:val="single" w:color="000000" w:sz="4" w:space="0"/>
              <w:bottom w:val="single" w:color="000000" w:sz="4" w:space="0"/>
              <w:right w:val="single" w:color="000000" w:sz="4" w:space="0"/>
            </w:tcBorders>
            <w:noWrap w:val="0"/>
            <w:vAlign w:val="center"/>
          </w:tcPr>
          <w:p w14:paraId="46B7D0AD">
            <w:pPr>
              <w:widowControl/>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动态资料</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80分</w:t>
            </w:r>
            <w:r>
              <w:rPr>
                <w:rFonts w:hint="eastAsia" w:ascii="宋体" w:hAnsi="宋体" w:cs="宋体"/>
                <w:color w:val="auto"/>
                <w:szCs w:val="21"/>
                <w:highlight w:val="none"/>
                <w:lang w:eastAsia="zh-CN"/>
              </w:rPr>
              <w:t>）</w:t>
            </w:r>
          </w:p>
        </w:tc>
        <w:tc>
          <w:tcPr>
            <w:tcW w:w="229" w:type="pct"/>
            <w:vMerge w:val="restart"/>
            <w:tcBorders>
              <w:top w:val="nil"/>
              <w:left w:val="single" w:color="000000" w:sz="4" w:space="0"/>
              <w:bottom w:val="single" w:color="000000" w:sz="4" w:space="0"/>
              <w:right w:val="single" w:color="000000" w:sz="4" w:space="0"/>
            </w:tcBorders>
            <w:noWrap w:val="0"/>
            <w:vAlign w:val="center"/>
          </w:tcPr>
          <w:p w14:paraId="5665098F">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养护</w:t>
            </w:r>
            <w:r>
              <w:rPr>
                <w:rFonts w:hint="eastAsia" w:ascii="宋体" w:hAnsi="宋体" w:cs="宋体"/>
                <w:color w:val="auto"/>
                <w:szCs w:val="21"/>
                <w:highlight w:val="none"/>
              </w:rPr>
              <w:t>质量</w:t>
            </w:r>
          </w:p>
        </w:tc>
        <w:tc>
          <w:tcPr>
            <w:tcW w:w="1596" w:type="pct"/>
            <w:tcBorders>
              <w:top w:val="nil"/>
              <w:left w:val="nil"/>
              <w:bottom w:val="single" w:color="000000" w:sz="4" w:space="0"/>
              <w:right w:val="single" w:color="000000" w:sz="4" w:space="0"/>
            </w:tcBorders>
            <w:noWrap w:val="0"/>
            <w:vAlign w:val="center"/>
          </w:tcPr>
          <w:p w14:paraId="18B52FE1">
            <w:pPr>
              <w:widowControl/>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养护</w:t>
            </w:r>
            <w:r>
              <w:rPr>
                <w:rFonts w:hint="eastAsia" w:ascii="宋体" w:hAnsi="宋体" w:cs="宋体"/>
                <w:color w:val="auto"/>
                <w:szCs w:val="21"/>
                <w:highlight w:val="none"/>
              </w:rPr>
              <w:t>资料齐全：维修前照片、方案、申报，维修后照片、签证、验收记录等</w:t>
            </w:r>
          </w:p>
        </w:tc>
        <w:tc>
          <w:tcPr>
            <w:tcW w:w="1487" w:type="pct"/>
            <w:tcBorders>
              <w:top w:val="nil"/>
              <w:left w:val="nil"/>
              <w:bottom w:val="single" w:color="000000" w:sz="4" w:space="0"/>
              <w:right w:val="single" w:color="000000" w:sz="4" w:space="0"/>
            </w:tcBorders>
            <w:noWrap w:val="0"/>
            <w:vAlign w:val="center"/>
          </w:tcPr>
          <w:p w14:paraId="65963762">
            <w:pPr>
              <w:widowControl/>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每缺失一项资料</w:t>
            </w:r>
            <w:r>
              <w:rPr>
                <w:rFonts w:hint="eastAsia" w:ascii="宋体" w:hAnsi="宋体" w:cs="宋体"/>
                <w:color w:val="auto"/>
                <w:szCs w:val="21"/>
                <w:highlight w:val="none"/>
                <w:lang w:val="en-US" w:eastAsia="zh-CN"/>
              </w:rPr>
              <w:t>扣1分</w:t>
            </w:r>
            <w:r>
              <w:rPr>
                <w:rFonts w:hint="eastAsia" w:ascii="宋体" w:hAnsi="宋体" w:cs="宋体"/>
                <w:color w:val="auto"/>
                <w:szCs w:val="21"/>
                <w:highlight w:val="none"/>
              </w:rPr>
              <w:t>。</w:t>
            </w:r>
          </w:p>
        </w:tc>
        <w:tc>
          <w:tcPr>
            <w:tcW w:w="470" w:type="pct"/>
            <w:tcBorders>
              <w:top w:val="nil"/>
              <w:left w:val="nil"/>
              <w:bottom w:val="single" w:color="000000" w:sz="4" w:space="0"/>
              <w:right w:val="single" w:color="000000" w:sz="4" w:space="0"/>
            </w:tcBorders>
            <w:noWrap w:val="0"/>
            <w:vAlign w:val="center"/>
          </w:tcPr>
          <w:p w14:paraId="13A253A9">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w:t>
            </w:r>
          </w:p>
        </w:tc>
        <w:tc>
          <w:tcPr>
            <w:tcW w:w="519" w:type="pct"/>
            <w:tcBorders>
              <w:top w:val="nil"/>
              <w:left w:val="single" w:color="000000" w:sz="4" w:space="0"/>
              <w:bottom w:val="single" w:color="000000" w:sz="4" w:space="0"/>
              <w:right w:val="single" w:color="000000" w:sz="4" w:space="0"/>
            </w:tcBorders>
            <w:noWrap w:val="0"/>
            <w:vAlign w:val="center"/>
          </w:tcPr>
          <w:p w14:paraId="1DB3EF76">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79D661F7">
            <w:pPr>
              <w:widowControl/>
              <w:jc w:val="left"/>
              <w:rPr>
                <w:rFonts w:hint="eastAsia" w:ascii="宋体" w:hAnsi="宋体" w:cs="宋体"/>
                <w:color w:val="auto"/>
                <w:szCs w:val="21"/>
                <w:highlight w:val="none"/>
              </w:rPr>
            </w:pPr>
          </w:p>
        </w:tc>
      </w:tr>
      <w:tr w14:paraId="518672F1">
        <w:tblPrEx>
          <w:tblCellMar>
            <w:top w:w="0" w:type="dxa"/>
            <w:left w:w="108" w:type="dxa"/>
            <w:bottom w:w="0" w:type="dxa"/>
            <w:right w:w="108" w:type="dxa"/>
          </w:tblCellMar>
        </w:tblPrEx>
        <w:trPr>
          <w:trHeight w:val="875"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5E365585">
            <w:pPr>
              <w:widowControl/>
              <w:jc w:val="left"/>
              <w:rPr>
                <w:rFonts w:hint="eastAsia" w:ascii="宋体" w:hAnsi="宋体" w:cs="宋体"/>
                <w:color w:val="auto"/>
                <w:szCs w:val="21"/>
                <w:highlight w:val="none"/>
              </w:rPr>
            </w:pPr>
          </w:p>
        </w:tc>
        <w:tc>
          <w:tcPr>
            <w:tcW w:w="229" w:type="pct"/>
            <w:vMerge w:val="continue"/>
            <w:tcBorders>
              <w:top w:val="nil"/>
              <w:left w:val="single" w:color="000000" w:sz="4" w:space="0"/>
              <w:bottom w:val="single" w:color="000000" w:sz="4" w:space="0"/>
              <w:right w:val="single" w:color="000000" w:sz="4" w:space="0"/>
            </w:tcBorders>
            <w:noWrap w:val="0"/>
            <w:vAlign w:val="center"/>
          </w:tcPr>
          <w:p w14:paraId="1836D85A">
            <w:pPr>
              <w:widowControl/>
              <w:jc w:val="left"/>
              <w:rPr>
                <w:rFonts w:hint="eastAsia" w:ascii="宋体" w:hAnsi="宋体" w:cs="宋体"/>
                <w:color w:val="auto"/>
                <w:szCs w:val="21"/>
                <w:highlight w:val="none"/>
              </w:rPr>
            </w:pPr>
          </w:p>
        </w:tc>
        <w:tc>
          <w:tcPr>
            <w:tcW w:w="1596" w:type="pct"/>
            <w:tcBorders>
              <w:top w:val="nil"/>
              <w:left w:val="nil"/>
              <w:bottom w:val="single" w:color="000000" w:sz="4" w:space="0"/>
              <w:right w:val="single" w:color="000000" w:sz="4" w:space="0"/>
            </w:tcBorders>
            <w:noWrap w:val="0"/>
            <w:vAlign w:val="center"/>
          </w:tcPr>
          <w:p w14:paraId="1E2949D4">
            <w:pPr>
              <w:widowControl/>
              <w:jc w:val="left"/>
              <w:rPr>
                <w:rFonts w:hint="eastAsia" w:ascii="宋体" w:hAnsi="宋体" w:cs="宋体"/>
                <w:color w:val="auto"/>
                <w:szCs w:val="21"/>
                <w:highlight w:val="none"/>
              </w:rPr>
            </w:pPr>
            <w:r>
              <w:rPr>
                <w:rFonts w:hint="eastAsia" w:ascii="宋体" w:hAnsi="宋体" w:cs="宋体"/>
                <w:color w:val="auto"/>
                <w:szCs w:val="21"/>
                <w:highlight w:val="none"/>
              </w:rPr>
              <w:t>关键部位、关键工序及隐蔽项目验收情况</w:t>
            </w:r>
          </w:p>
        </w:tc>
        <w:tc>
          <w:tcPr>
            <w:tcW w:w="1487" w:type="pct"/>
            <w:tcBorders>
              <w:top w:val="nil"/>
              <w:left w:val="nil"/>
              <w:bottom w:val="single" w:color="000000" w:sz="4" w:space="0"/>
              <w:right w:val="single" w:color="000000" w:sz="4" w:space="0"/>
            </w:tcBorders>
            <w:noWrap w:val="0"/>
            <w:vAlign w:val="center"/>
          </w:tcPr>
          <w:p w14:paraId="6042C888">
            <w:pPr>
              <w:widowControl/>
              <w:jc w:val="left"/>
              <w:rPr>
                <w:rFonts w:hint="eastAsia" w:ascii="宋体" w:hAnsi="宋体" w:eastAsia="宋体" w:cs="宋体"/>
                <w:b/>
                <w:bCs/>
                <w:color w:val="auto"/>
                <w:szCs w:val="21"/>
                <w:highlight w:val="none"/>
                <w:lang w:eastAsia="zh-CN"/>
              </w:rPr>
            </w:pPr>
            <w:r>
              <w:rPr>
                <w:rFonts w:hint="eastAsia" w:ascii="宋体" w:hAnsi="宋体" w:cs="宋体"/>
                <w:b w:val="0"/>
                <w:bCs w:val="0"/>
                <w:color w:val="auto"/>
                <w:szCs w:val="21"/>
                <w:highlight w:val="none"/>
              </w:rPr>
              <w:t>有以下情况的，</w:t>
            </w:r>
            <w:r>
              <w:rPr>
                <w:rFonts w:hint="eastAsia" w:ascii="宋体" w:hAnsi="宋体" w:cs="宋体"/>
                <w:b w:val="0"/>
                <w:bCs w:val="0"/>
                <w:color w:val="auto"/>
                <w:szCs w:val="21"/>
                <w:highlight w:val="none"/>
                <w:lang w:val="en-US" w:eastAsia="zh-CN"/>
              </w:rPr>
              <w:t>每次扣1分</w:t>
            </w:r>
            <w:r>
              <w:rPr>
                <w:rFonts w:hint="eastAsia" w:ascii="宋体" w:hAnsi="宋体" w:cs="宋体"/>
                <w:b w:val="0"/>
                <w:bCs w:val="0"/>
                <w:color w:val="auto"/>
                <w:szCs w:val="21"/>
                <w:highlight w:val="none"/>
              </w:rPr>
              <w:t>：关键部位、关键工序</w:t>
            </w:r>
            <w:r>
              <w:rPr>
                <w:rFonts w:hint="eastAsia" w:ascii="宋体" w:hAnsi="宋体" w:cs="宋体"/>
                <w:b w:val="0"/>
                <w:bCs w:val="0"/>
                <w:color w:val="auto"/>
                <w:szCs w:val="21"/>
                <w:highlight w:val="none"/>
                <w:lang w:val="en-US" w:eastAsia="zh-CN"/>
              </w:rPr>
              <w:t>养护</w:t>
            </w:r>
            <w:r>
              <w:rPr>
                <w:rFonts w:hint="eastAsia" w:ascii="宋体" w:hAnsi="宋体" w:cs="宋体"/>
                <w:b w:val="0"/>
                <w:bCs w:val="0"/>
                <w:color w:val="auto"/>
                <w:szCs w:val="21"/>
                <w:highlight w:val="none"/>
              </w:rPr>
              <w:t>未有</w:t>
            </w:r>
            <w:r>
              <w:rPr>
                <w:rFonts w:hint="eastAsia" w:ascii="宋体" w:hAnsi="宋体" w:cs="宋体"/>
                <w:b w:val="0"/>
                <w:bCs w:val="0"/>
                <w:color w:val="auto"/>
                <w:szCs w:val="21"/>
                <w:highlight w:val="none"/>
                <w:lang w:val="en-US" w:eastAsia="zh-CN"/>
              </w:rPr>
              <w:t>甲</w:t>
            </w:r>
            <w:r>
              <w:rPr>
                <w:rFonts w:hint="eastAsia" w:ascii="宋体" w:hAnsi="宋体" w:cs="宋体"/>
                <w:b w:val="0"/>
                <w:bCs w:val="0"/>
                <w:color w:val="auto"/>
                <w:szCs w:val="21"/>
                <w:highlight w:val="none"/>
              </w:rPr>
              <w:t>方旁站或到场的；隐蔽项目未有建设方到场隐蔽验收的</w:t>
            </w:r>
            <w:r>
              <w:rPr>
                <w:rFonts w:hint="eastAsia" w:ascii="宋体" w:hAnsi="宋体" w:cs="宋体"/>
                <w:b w:val="0"/>
                <w:bCs w:val="0"/>
                <w:color w:val="auto"/>
                <w:szCs w:val="21"/>
                <w:highlight w:val="none"/>
                <w:lang w:eastAsia="zh-CN"/>
              </w:rPr>
              <w:t>。</w:t>
            </w:r>
          </w:p>
        </w:tc>
        <w:tc>
          <w:tcPr>
            <w:tcW w:w="470" w:type="pct"/>
            <w:tcBorders>
              <w:top w:val="nil"/>
              <w:left w:val="nil"/>
              <w:bottom w:val="single" w:color="000000" w:sz="4" w:space="0"/>
              <w:right w:val="single" w:color="000000" w:sz="4" w:space="0"/>
            </w:tcBorders>
            <w:noWrap w:val="0"/>
            <w:vAlign w:val="center"/>
          </w:tcPr>
          <w:p w14:paraId="47E983CB">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w:t>
            </w:r>
          </w:p>
        </w:tc>
        <w:tc>
          <w:tcPr>
            <w:tcW w:w="519" w:type="pct"/>
            <w:tcBorders>
              <w:top w:val="nil"/>
              <w:left w:val="single" w:color="000000" w:sz="4" w:space="0"/>
              <w:bottom w:val="single" w:color="000000" w:sz="4" w:space="0"/>
              <w:right w:val="single" w:color="000000" w:sz="4" w:space="0"/>
            </w:tcBorders>
            <w:noWrap w:val="0"/>
            <w:vAlign w:val="center"/>
          </w:tcPr>
          <w:p w14:paraId="26268DEA">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031E8646">
            <w:pPr>
              <w:widowControl/>
              <w:jc w:val="left"/>
              <w:rPr>
                <w:rFonts w:hint="eastAsia" w:ascii="宋体" w:hAnsi="宋体" w:cs="宋体"/>
                <w:color w:val="auto"/>
                <w:szCs w:val="21"/>
                <w:highlight w:val="none"/>
              </w:rPr>
            </w:pPr>
          </w:p>
        </w:tc>
      </w:tr>
      <w:tr w14:paraId="65EBAF62">
        <w:tblPrEx>
          <w:tblCellMar>
            <w:top w:w="0" w:type="dxa"/>
            <w:left w:w="108" w:type="dxa"/>
            <w:bottom w:w="0" w:type="dxa"/>
            <w:right w:w="108" w:type="dxa"/>
          </w:tblCellMar>
        </w:tblPrEx>
        <w:trPr>
          <w:trHeight w:val="552"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1B656E8D">
            <w:pPr>
              <w:widowControl/>
              <w:jc w:val="left"/>
              <w:rPr>
                <w:rFonts w:hint="eastAsia" w:ascii="宋体" w:hAnsi="宋体" w:cs="宋体"/>
                <w:color w:val="auto"/>
                <w:szCs w:val="21"/>
                <w:highlight w:val="none"/>
              </w:rPr>
            </w:pPr>
          </w:p>
        </w:tc>
        <w:tc>
          <w:tcPr>
            <w:tcW w:w="229" w:type="pct"/>
            <w:vMerge w:val="continue"/>
            <w:tcBorders>
              <w:top w:val="nil"/>
              <w:left w:val="single" w:color="000000" w:sz="4" w:space="0"/>
              <w:bottom w:val="single" w:color="000000" w:sz="4" w:space="0"/>
              <w:right w:val="single" w:color="000000" w:sz="4" w:space="0"/>
            </w:tcBorders>
            <w:noWrap w:val="0"/>
            <w:vAlign w:val="center"/>
          </w:tcPr>
          <w:p w14:paraId="6C8ED91C">
            <w:pPr>
              <w:widowControl/>
              <w:jc w:val="left"/>
              <w:rPr>
                <w:rFonts w:hint="eastAsia" w:ascii="宋体" w:hAnsi="宋体" w:cs="宋体"/>
                <w:color w:val="auto"/>
                <w:szCs w:val="21"/>
                <w:highlight w:val="none"/>
              </w:rPr>
            </w:pPr>
          </w:p>
        </w:tc>
        <w:tc>
          <w:tcPr>
            <w:tcW w:w="1596" w:type="pct"/>
            <w:tcBorders>
              <w:top w:val="nil"/>
              <w:left w:val="nil"/>
              <w:bottom w:val="single" w:color="000000" w:sz="4" w:space="0"/>
              <w:right w:val="single" w:color="000000" w:sz="4" w:space="0"/>
            </w:tcBorders>
            <w:noWrap w:val="0"/>
            <w:vAlign w:val="center"/>
          </w:tcPr>
          <w:p w14:paraId="2E14DD45">
            <w:pPr>
              <w:widowControl/>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养护</w:t>
            </w:r>
            <w:r>
              <w:rPr>
                <w:rFonts w:hint="eastAsia" w:ascii="宋体" w:hAnsi="宋体" w:cs="宋体"/>
                <w:color w:val="auto"/>
                <w:szCs w:val="21"/>
                <w:highlight w:val="none"/>
              </w:rPr>
              <w:t>情况</w:t>
            </w:r>
          </w:p>
        </w:tc>
        <w:tc>
          <w:tcPr>
            <w:tcW w:w="1487" w:type="pct"/>
            <w:tcBorders>
              <w:top w:val="nil"/>
              <w:left w:val="nil"/>
              <w:bottom w:val="single" w:color="000000" w:sz="4" w:space="0"/>
              <w:right w:val="single" w:color="000000" w:sz="4" w:space="0"/>
            </w:tcBorders>
            <w:noWrap w:val="0"/>
            <w:vAlign w:val="center"/>
          </w:tcPr>
          <w:p w14:paraId="6359CFD1">
            <w:pPr>
              <w:widowControl/>
              <w:jc w:val="left"/>
              <w:rPr>
                <w:rFonts w:hint="default"/>
                <w:color w:val="auto"/>
                <w:lang w:val="en-US"/>
              </w:rPr>
            </w:pPr>
            <w:r>
              <w:rPr>
                <w:rFonts w:hint="eastAsia" w:ascii="宋体" w:hAnsi="宋体" w:cs="宋体"/>
                <w:b w:val="0"/>
                <w:bCs w:val="0"/>
                <w:color w:val="auto"/>
                <w:szCs w:val="21"/>
                <w:highlight w:val="none"/>
              </w:rPr>
              <w:t>做好平时巡查工作，巡查养护区域，如发生情况（如路面破损等），应及时进行养护，如乙方接到通知、举报后，必须在</w:t>
            </w:r>
            <w:r>
              <w:rPr>
                <w:rFonts w:hint="eastAsia" w:ascii="宋体" w:hAnsi="宋体" w:cs="宋体"/>
                <w:b w:val="0"/>
                <w:bCs w:val="0"/>
                <w:color w:val="auto"/>
                <w:szCs w:val="21"/>
                <w:highlight w:val="none"/>
                <w:lang w:val="en-US" w:eastAsia="zh-CN"/>
              </w:rPr>
              <w:t>60</w:t>
            </w:r>
            <w:r>
              <w:rPr>
                <w:rFonts w:hint="eastAsia" w:ascii="宋体" w:hAnsi="宋体" w:cs="宋体"/>
                <w:b w:val="0"/>
                <w:bCs w:val="0"/>
                <w:color w:val="auto"/>
                <w:szCs w:val="21"/>
                <w:highlight w:val="none"/>
              </w:rPr>
              <w:t>分钟内到达现场做好警示标记，并按甲方要求在规定时间完成养护，养护情况做好记录进行反馈。</w:t>
            </w:r>
            <w:r>
              <w:rPr>
                <w:rFonts w:hint="eastAsia" w:ascii="宋体" w:hAnsi="宋体" w:cs="宋体"/>
                <w:b w:val="0"/>
                <w:bCs w:val="0"/>
                <w:color w:val="auto"/>
                <w:szCs w:val="21"/>
                <w:highlight w:val="none"/>
                <w:lang w:val="en-US" w:eastAsia="zh-CN"/>
              </w:rPr>
              <w:t>未在规定时间内完成养护或养护不到位每次扣1分</w:t>
            </w:r>
            <w:r>
              <w:rPr>
                <w:rFonts w:hint="eastAsia" w:ascii="宋体" w:hAnsi="宋体" w:cs="宋体"/>
                <w:b w:val="0"/>
                <w:bCs w:val="0"/>
                <w:color w:val="auto"/>
                <w:szCs w:val="21"/>
                <w:highlight w:val="none"/>
              </w:rPr>
              <w:t>。</w:t>
            </w:r>
          </w:p>
        </w:tc>
        <w:tc>
          <w:tcPr>
            <w:tcW w:w="470" w:type="pct"/>
            <w:tcBorders>
              <w:top w:val="nil"/>
              <w:left w:val="nil"/>
              <w:bottom w:val="single" w:color="000000" w:sz="4" w:space="0"/>
              <w:right w:val="single" w:color="000000" w:sz="4" w:space="0"/>
            </w:tcBorders>
            <w:noWrap w:val="0"/>
            <w:vAlign w:val="center"/>
          </w:tcPr>
          <w:p w14:paraId="7C0BECE2">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w:t>
            </w:r>
          </w:p>
        </w:tc>
        <w:tc>
          <w:tcPr>
            <w:tcW w:w="519" w:type="pct"/>
            <w:tcBorders>
              <w:top w:val="nil"/>
              <w:left w:val="single" w:color="000000" w:sz="4" w:space="0"/>
              <w:bottom w:val="single" w:color="000000" w:sz="4" w:space="0"/>
              <w:right w:val="single" w:color="000000" w:sz="4" w:space="0"/>
            </w:tcBorders>
            <w:noWrap w:val="0"/>
            <w:vAlign w:val="center"/>
          </w:tcPr>
          <w:p w14:paraId="40E01651">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6DCE90AD">
            <w:pPr>
              <w:widowControl/>
              <w:jc w:val="left"/>
              <w:rPr>
                <w:rFonts w:hint="eastAsia" w:ascii="宋体" w:hAnsi="宋体" w:cs="宋体"/>
                <w:color w:val="auto"/>
                <w:szCs w:val="21"/>
                <w:highlight w:val="none"/>
              </w:rPr>
            </w:pPr>
          </w:p>
        </w:tc>
      </w:tr>
      <w:tr w14:paraId="79D14F3B">
        <w:tblPrEx>
          <w:tblCellMar>
            <w:top w:w="0" w:type="dxa"/>
            <w:left w:w="108" w:type="dxa"/>
            <w:bottom w:w="0" w:type="dxa"/>
            <w:right w:w="108" w:type="dxa"/>
          </w:tblCellMar>
        </w:tblPrEx>
        <w:trPr>
          <w:trHeight w:val="562"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0E9B4FE5">
            <w:pPr>
              <w:widowControl/>
              <w:jc w:val="left"/>
              <w:rPr>
                <w:rFonts w:hint="eastAsia" w:ascii="宋体" w:hAnsi="宋体" w:cs="宋体"/>
                <w:color w:val="auto"/>
                <w:szCs w:val="21"/>
                <w:highlight w:val="none"/>
              </w:rPr>
            </w:pPr>
          </w:p>
        </w:tc>
        <w:tc>
          <w:tcPr>
            <w:tcW w:w="229" w:type="pct"/>
            <w:vMerge w:val="continue"/>
            <w:tcBorders>
              <w:top w:val="nil"/>
              <w:left w:val="single" w:color="000000" w:sz="4" w:space="0"/>
              <w:bottom w:val="single" w:color="000000" w:sz="4" w:space="0"/>
              <w:right w:val="single" w:color="000000" w:sz="4" w:space="0"/>
            </w:tcBorders>
            <w:noWrap w:val="0"/>
            <w:vAlign w:val="center"/>
          </w:tcPr>
          <w:p w14:paraId="28AB51A9">
            <w:pPr>
              <w:widowControl/>
              <w:jc w:val="left"/>
              <w:rPr>
                <w:rFonts w:hint="eastAsia" w:ascii="宋体" w:hAnsi="宋体" w:cs="宋体"/>
                <w:color w:val="auto"/>
                <w:szCs w:val="21"/>
                <w:highlight w:val="none"/>
              </w:rPr>
            </w:pPr>
          </w:p>
        </w:tc>
        <w:tc>
          <w:tcPr>
            <w:tcW w:w="1596" w:type="pct"/>
            <w:tcBorders>
              <w:top w:val="nil"/>
              <w:left w:val="nil"/>
              <w:bottom w:val="single" w:color="000000" w:sz="4" w:space="0"/>
              <w:right w:val="single" w:color="000000" w:sz="4" w:space="0"/>
            </w:tcBorders>
            <w:noWrap w:val="0"/>
            <w:vAlign w:val="center"/>
          </w:tcPr>
          <w:p w14:paraId="39BFE07A">
            <w:pPr>
              <w:widowControl/>
              <w:jc w:val="left"/>
              <w:rPr>
                <w:rFonts w:hint="eastAsia" w:ascii="宋体" w:hAnsi="宋体" w:cs="宋体"/>
                <w:color w:val="auto"/>
                <w:szCs w:val="21"/>
                <w:highlight w:val="none"/>
              </w:rPr>
            </w:pPr>
            <w:r>
              <w:rPr>
                <w:rFonts w:hint="eastAsia" w:ascii="宋体" w:hAnsi="宋体" w:cs="宋体"/>
                <w:color w:val="auto"/>
                <w:szCs w:val="21"/>
                <w:highlight w:val="none"/>
              </w:rPr>
              <w:t>发生重大事件或变动</w:t>
            </w:r>
          </w:p>
        </w:tc>
        <w:tc>
          <w:tcPr>
            <w:tcW w:w="1487" w:type="pct"/>
            <w:tcBorders>
              <w:top w:val="nil"/>
              <w:left w:val="nil"/>
              <w:bottom w:val="single" w:color="000000" w:sz="4" w:space="0"/>
              <w:right w:val="single" w:color="000000" w:sz="4" w:space="0"/>
            </w:tcBorders>
            <w:noWrap w:val="0"/>
            <w:vAlign w:val="center"/>
          </w:tcPr>
          <w:p w14:paraId="654ABDAD">
            <w:pPr>
              <w:widowControl/>
              <w:jc w:val="left"/>
              <w:rPr>
                <w:rFonts w:hint="eastAsia" w:ascii="宋体" w:hAnsi="宋体" w:cs="宋体"/>
                <w:color w:val="auto"/>
                <w:szCs w:val="21"/>
                <w:highlight w:val="none"/>
              </w:rPr>
            </w:pPr>
            <w:r>
              <w:rPr>
                <w:rFonts w:hint="eastAsia" w:ascii="宋体" w:hAnsi="宋体" w:cs="宋体"/>
                <w:color w:val="auto"/>
                <w:szCs w:val="21"/>
                <w:highlight w:val="none"/>
              </w:rPr>
              <w:t>发生重大事件或变动未及时上报造成负面影响，</w:t>
            </w:r>
            <w:r>
              <w:rPr>
                <w:rFonts w:hint="eastAsia" w:ascii="宋体" w:hAnsi="宋体" w:cs="宋体"/>
                <w:color w:val="auto"/>
                <w:szCs w:val="21"/>
                <w:highlight w:val="none"/>
                <w:lang w:val="en-US" w:eastAsia="zh-CN"/>
              </w:rPr>
              <w:t>每发生一次扣1分</w:t>
            </w:r>
            <w:r>
              <w:rPr>
                <w:rFonts w:hint="eastAsia" w:ascii="宋体" w:hAnsi="宋体" w:cs="宋体"/>
                <w:color w:val="auto"/>
                <w:szCs w:val="21"/>
                <w:highlight w:val="none"/>
              </w:rPr>
              <w:t>。</w:t>
            </w:r>
          </w:p>
        </w:tc>
        <w:tc>
          <w:tcPr>
            <w:tcW w:w="470" w:type="pct"/>
            <w:tcBorders>
              <w:top w:val="nil"/>
              <w:left w:val="nil"/>
              <w:bottom w:val="single" w:color="000000" w:sz="4" w:space="0"/>
              <w:right w:val="single" w:color="000000" w:sz="4" w:space="0"/>
            </w:tcBorders>
            <w:noWrap w:val="0"/>
            <w:vAlign w:val="center"/>
          </w:tcPr>
          <w:p w14:paraId="33FD85CF">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w:t>
            </w:r>
          </w:p>
        </w:tc>
        <w:tc>
          <w:tcPr>
            <w:tcW w:w="519" w:type="pct"/>
            <w:tcBorders>
              <w:top w:val="nil"/>
              <w:left w:val="single" w:color="000000" w:sz="4" w:space="0"/>
              <w:bottom w:val="single" w:color="000000" w:sz="4" w:space="0"/>
              <w:right w:val="single" w:color="000000" w:sz="4" w:space="0"/>
            </w:tcBorders>
            <w:noWrap w:val="0"/>
            <w:vAlign w:val="center"/>
          </w:tcPr>
          <w:p w14:paraId="7E90DFA3">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238AC198">
            <w:pPr>
              <w:widowControl/>
              <w:jc w:val="left"/>
              <w:rPr>
                <w:rFonts w:hint="eastAsia" w:ascii="宋体" w:hAnsi="宋体" w:cs="宋体"/>
                <w:color w:val="auto"/>
                <w:szCs w:val="21"/>
                <w:highlight w:val="none"/>
              </w:rPr>
            </w:pPr>
          </w:p>
        </w:tc>
      </w:tr>
      <w:tr w14:paraId="788AB17E">
        <w:tblPrEx>
          <w:tblCellMar>
            <w:top w:w="0" w:type="dxa"/>
            <w:left w:w="108" w:type="dxa"/>
            <w:bottom w:w="0" w:type="dxa"/>
            <w:right w:w="108" w:type="dxa"/>
          </w:tblCellMar>
        </w:tblPrEx>
        <w:trPr>
          <w:trHeight w:val="839"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7A9EC3BE">
            <w:pPr>
              <w:widowControl/>
              <w:jc w:val="left"/>
              <w:rPr>
                <w:rFonts w:hint="eastAsia" w:ascii="宋体" w:hAnsi="宋体" w:cs="宋体"/>
                <w:color w:val="auto"/>
                <w:szCs w:val="21"/>
                <w:highlight w:val="none"/>
              </w:rPr>
            </w:pPr>
          </w:p>
        </w:tc>
        <w:tc>
          <w:tcPr>
            <w:tcW w:w="229" w:type="pct"/>
            <w:vMerge w:val="restart"/>
            <w:tcBorders>
              <w:top w:val="nil"/>
              <w:left w:val="single" w:color="000000" w:sz="4" w:space="0"/>
              <w:bottom w:val="single" w:color="000000" w:sz="4" w:space="0"/>
              <w:right w:val="single" w:color="000000" w:sz="4" w:space="0"/>
            </w:tcBorders>
            <w:noWrap w:val="0"/>
            <w:vAlign w:val="center"/>
          </w:tcPr>
          <w:p w14:paraId="5CE43F12">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养护台账</w:t>
            </w:r>
          </w:p>
        </w:tc>
        <w:tc>
          <w:tcPr>
            <w:tcW w:w="1596" w:type="pct"/>
            <w:tcBorders>
              <w:top w:val="nil"/>
              <w:left w:val="nil"/>
              <w:bottom w:val="single" w:color="000000" w:sz="4" w:space="0"/>
              <w:right w:val="single" w:color="000000" w:sz="4" w:space="0"/>
            </w:tcBorders>
            <w:noWrap w:val="0"/>
            <w:vAlign w:val="center"/>
          </w:tcPr>
          <w:p w14:paraId="21F26E59">
            <w:pPr>
              <w:widowControl/>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养护</w:t>
            </w:r>
            <w:r>
              <w:rPr>
                <w:rFonts w:hint="eastAsia" w:ascii="宋体" w:hAnsi="宋体" w:cs="宋体"/>
                <w:color w:val="auto"/>
                <w:szCs w:val="21"/>
                <w:highlight w:val="none"/>
              </w:rPr>
              <w:t>日志、养护日志、</w:t>
            </w:r>
          </w:p>
        </w:tc>
        <w:tc>
          <w:tcPr>
            <w:tcW w:w="1487" w:type="pct"/>
            <w:tcBorders>
              <w:top w:val="nil"/>
              <w:left w:val="nil"/>
              <w:bottom w:val="single" w:color="000000" w:sz="4" w:space="0"/>
              <w:right w:val="single" w:color="000000" w:sz="4" w:space="0"/>
            </w:tcBorders>
            <w:noWrap w:val="0"/>
            <w:vAlign w:val="center"/>
          </w:tcPr>
          <w:p w14:paraId="4B340348">
            <w:pPr>
              <w:widowControl/>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应按要求记录，有以下情况的，每处</w:t>
            </w:r>
            <w:r>
              <w:rPr>
                <w:rFonts w:hint="eastAsia" w:ascii="宋体" w:hAnsi="宋体" w:cs="宋体"/>
                <w:color w:val="auto"/>
                <w:szCs w:val="21"/>
                <w:highlight w:val="none"/>
                <w:lang w:val="en-US" w:eastAsia="zh-CN"/>
              </w:rPr>
              <w:t>扣1分</w:t>
            </w:r>
            <w:r>
              <w:rPr>
                <w:rFonts w:hint="eastAsia" w:ascii="宋体" w:hAnsi="宋体" w:cs="宋体"/>
                <w:color w:val="auto"/>
                <w:szCs w:val="21"/>
                <w:highlight w:val="none"/>
              </w:rPr>
              <w:t>：有漏记天、记录内容不完整、记录内容弄虚作假</w:t>
            </w:r>
            <w:r>
              <w:rPr>
                <w:rFonts w:hint="eastAsia" w:ascii="宋体" w:hAnsi="宋体" w:cs="宋体"/>
                <w:color w:val="auto"/>
                <w:szCs w:val="21"/>
                <w:highlight w:val="none"/>
                <w:lang w:eastAsia="zh-CN"/>
              </w:rPr>
              <w:t>。</w:t>
            </w:r>
          </w:p>
        </w:tc>
        <w:tc>
          <w:tcPr>
            <w:tcW w:w="470" w:type="pct"/>
            <w:tcBorders>
              <w:top w:val="nil"/>
              <w:left w:val="nil"/>
              <w:bottom w:val="single" w:color="000000" w:sz="4" w:space="0"/>
              <w:right w:val="single" w:color="000000" w:sz="4" w:space="0"/>
            </w:tcBorders>
            <w:noWrap w:val="0"/>
            <w:vAlign w:val="center"/>
          </w:tcPr>
          <w:p w14:paraId="676A2E47">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w:t>
            </w:r>
          </w:p>
        </w:tc>
        <w:tc>
          <w:tcPr>
            <w:tcW w:w="519" w:type="pct"/>
            <w:tcBorders>
              <w:top w:val="nil"/>
              <w:left w:val="single" w:color="000000" w:sz="4" w:space="0"/>
              <w:bottom w:val="single" w:color="000000" w:sz="4" w:space="0"/>
              <w:right w:val="single" w:color="000000" w:sz="4" w:space="0"/>
            </w:tcBorders>
            <w:noWrap w:val="0"/>
            <w:vAlign w:val="center"/>
          </w:tcPr>
          <w:p w14:paraId="207431EE">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1CF40446">
            <w:pPr>
              <w:widowControl/>
              <w:jc w:val="left"/>
              <w:rPr>
                <w:rFonts w:hint="eastAsia" w:ascii="宋体" w:hAnsi="宋体" w:cs="宋体"/>
                <w:color w:val="auto"/>
                <w:szCs w:val="21"/>
                <w:highlight w:val="none"/>
              </w:rPr>
            </w:pPr>
          </w:p>
        </w:tc>
      </w:tr>
      <w:tr w14:paraId="6710DF6C">
        <w:tblPrEx>
          <w:tblCellMar>
            <w:top w:w="0" w:type="dxa"/>
            <w:left w:w="108" w:type="dxa"/>
            <w:bottom w:w="0" w:type="dxa"/>
            <w:right w:w="108" w:type="dxa"/>
          </w:tblCellMar>
        </w:tblPrEx>
        <w:trPr>
          <w:trHeight w:val="1391"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5C9DFEDE">
            <w:pPr>
              <w:widowControl/>
              <w:jc w:val="left"/>
              <w:rPr>
                <w:rFonts w:hint="eastAsia" w:ascii="宋体" w:hAnsi="宋体" w:cs="宋体"/>
                <w:color w:val="auto"/>
                <w:szCs w:val="21"/>
                <w:highlight w:val="none"/>
              </w:rPr>
            </w:pPr>
          </w:p>
        </w:tc>
        <w:tc>
          <w:tcPr>
            <w:tcW w:w="229" w:type="pct"/>
            <w:vMerge w:val="continue"/>
            <w:tcBorders>
              <w:top w:val="nil"/>
              <w:left w:val="single" w:color="000000" w:sz="4" w:space="0"/>
              <w:bottom w:val="single" w:color="000000" w:sz="4" w:space="0"/>
              <w:right w:val="single" w:color="000000" w:sz="4" w:space="0"/>
            </w:tcBorders>
            <w:noWrap w:val="0"/>
            <w:vAlign w:val="center"/>
          </w:tcPr>
          <w:p w14:paraId="63836481">
            <w:pPr>
              <w:widowControl/>
              <w:jc w:val="left"/>
              <w:rPr>
                <w:rFonts w:hint="eastAsia" w:ascii="宋体" w:hAnsi="宋体" w:cs="宋体"/>
                <w:color w:val="auto"/>
                <w:szCs w:val="21"/>
                <w:highlight w:val="none"/>
              </w:rPr>
            </w:pPr>
          </w:p>
        </w:tc>
        <w:tc>
          <w:tcPr>
            <w:tcW w:w="1596" w:type="pct"/>
            <w:tcBorders>
              <w:top w:val="nil"/>
              <w:left w:val="nil"/>
              <w:bottom w:val="single" w:color="000000" w:sz="4" w:space="0"/>
              <w:right w:val="single" w:color="000000" w:sz="4" w:space="0"/>
            </w:tcBorders>
            <w:noWrap w:val="0"/>
            <w:vAlign w:val="center"/>
          </w:tcPr>
          <w:p w14:paraId="3CD3A628">
            <w:pPr>
              <w:widowControl/>
              <w:jc w:val="left"/>
              <w:rPr>
                <w:rFonts w:hint="eastAsia" w:ascii="宋体" w:hAnsi="宋体" w:cs="宋体"/>
                <w:color w:val="auto"/>
                <w:szCs w:val="21"/>
                <w:highlight w:val="none"/>
              </w:rPr>
            </w:pPr>
            <w:r>
              <w:rPr>
                <w:rFonts w:hint="eastAsia" w:ascii="宋体" w:hAnsi="宋体" w:cs="宋体"/>
                <w:color w:val="auto"/>
                <w:szCs w:val="21"/>
                <w:highlight w:val="none"/>
              </w:rPr>
              <w:t>月报</w:t>
            </w:r>
          </w:p>
        </w:tc>
        <w:tc>
          <w:tcPr>
            <w:tcW w:w="1487" w:type="pct"/>
            <w:tcBorders>
              <w:top w:val="nil"/>
              <w:left w:val="nil"/>
              <w:bottom w:val="single" w:color="000000" w:sz="4" w:space="0"/>
              <w:right w:val="single" w:color="000000" w:sz="4" w:space="0"/>
            </w:tcBorders>
            <w:noWrap w:val="0"/>
            <w:vAlign w:val="center"/>
          </w:tcPr>
          <w:p w14:paraId="59B9B266">
            <w:pPr>
              <w:widowControl/>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不按下述要求执行的，每发生一次</w:t>
            </w:r>
            <w:r>
              <w:rPr>
                <w:rFonts w:hint="eastAsia" w:ascii="宋体" w:hAnsi="宋体" w:cs="宋体"/>
                <w:color w:val="auto"/>
                <w:szCs w:val="21"/>
                <w:highlight w:val="none"/>
                <w:lang w:val="en-US" w:eastAsia="zh-CN"/>
              </w:rPr>
              <w:t>扣1分</w:t>
            </w:r>
            <w:r>
              <w:rPr>
                <w:rFonts w:hint="eastAsia" w:ascii="宋体" w:hAnsi="宋体" w:cs="宋体"/>
                <w:color w:val="auto"/>
                <w:szCs w:val="21"/>
                <w:highlight w:val="none"/>
              </w:rPr>
              <w:t>：</w:t>
            </w:r>
            <w:r>
              <w:rPr>
                <w:rFonts w:hint="eastAsia" w:ascii="宋体" w:hAnsi="宋体" w:cs="宋体"/>
                <w:color w:val="auto"/>
                <w:szCs w:val="21"/>
                <w:highlight w:val="none"/>
                <w:lang w:val="zh-CN"/>
              </w:rPr>
              <w:t>每月底</w:t>
            </w:r>
            <w:r>
              <w:rPr>
                <w:rFonts w:hint="eastAsia" w:ascii="宋体" w:hAnsi="宋体" w:cs="宋体"/>
                <w:color w:val="auto"/>
                <w:szCs w:val="21"/>
                <w:highlight w:val="none"/>
                <w:lang w:val="en-US" w:eastAsia="zh-CN"/>
              </w:rPr>
              <w:t>向甲方</w:t>
            </w:r>
            <w:r>
              <w:rPr>
                <w:rFonts w:hint="eastAsia" w:ascii="宋体" w:hAnsi="宋体" w:cs="宋体"/>
                <w:color w:val="auto"/>
                <w:szCs w:val="21"/>
                <w:highlight w:val="none"/>
                <w:lang w:val="zh-CN"/>
              </w:rPr>
              <w:t>提供当月完成的工作量及相关签证资料</w:t>
            </w:r>
            <w:r>
              <w:rPr>
                <w:rFonts w:hint="eastAsia" w:ascii="宋体" w:hAnsi="宋体" w:cs="宋体"/>
                <w:color w:val="auto"/>
                <w:szCs w:val="21"/>
                <w:highlight w:val="none"/>
                <w:lang w:eastAsia="zh-CN"/>
              </w:rPr>
              <w:t>。</w:t>
            </w:r>
          </w:p>
        </w:tc>
        <w:tc>
          <w:tcPr>
            <w:tcW w:w="470" w:type="pct"/>
            <w:tcBorders>
              <w:top w:val="nil"/>
              <w:left w:val="nil"/>
              <w:bottom w:val="single" w:color="000000" w:sz="4" w:space="0"/>
              <w:right w:val="single" w:color="000000" w:sz="4" w:space="0"/>
            </w:tcBorders>
            <w:noWrap w:val="0"/>
            <w:vAlign w:val="center"/>
          </w:tcPr>
          <w:p w14:paraId="20CE437F">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w:t>
            </w:r>
          </w:p>
        </w:tc>
        <w:tc>
          <w:tcPr>
            <w:tcW w:w="519" w:type="pct"/>
            <w:tcBorders>
              <w:top w:val="nil"/>
              <w:left w:val="single" w:color="000000" w:sz="4" w:space="0"/>
              <w:bottom w:val="single" w:color="000000" w:sz="4" w:space="0"/>
              <w:right w:val="single" w:color="000000" w:sz="4" w:space="0"/>
            </w:tcBorders>
            <w:noWrap w:val="0"/>
            <w:vAlign w:val="center"/>
          </w:tcPr>
          <w:p w14:paraId="13DB07CB">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717D576A">
            <w:pPr>
              <w:widowControl/>
              <w:jc w:val="left"/>
              <w:rPr>
                <w:rFonts w:hint="eastAsia" w:ascii="宋体" w:hAnsi="宋体" w:cs="宋体"/>
                <w:color w:val="auto"/>
                <w:szCs w:val="21"/>
                <w:highlight w:val="none"/>
              </w:rPr>
            </w:pPr>
          </w:p>
        </w:tc>
      </w:tr>
      <w:tr w14:paraId="524327CF">
        <w:tblPrEx>
          <w:tblCellMar>
            <w:top w:w="0" w:type="dxa"/>
            <w:left w:w="108" w:type="dxa"/>
            <w:bottom w:w="0" w:type="dxa"/>
            <w:right w:w="108" w:type="dxa"/>
          </w:tblCellMar>
        </w:tblPrEx>
        <w:trPr>
          <w:trHeight w:val="562"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7B1A5B09">
            <w:pPr>
              <w:widowControl/>
              <w:jc w:val="left"/>
              <w:rPr>
                <w:rFonts w:hint="eastAsia" w:ascii="宋体" w:hAnsi="宋体" w:cs="宋体"/>
                <w:color w:val="auto"/>
                <w:szCs w:val="21"/>
                <w:highlight w:val="none"/>
              </w:rPr>
            </w:pPr>
          </w:p>
        </w:tc>
        <w:tc>
          <w:tcPr>
            <w:tcW w:w="229" w:type="pct"/>
            <w:vMerge w:val="restart"/>
            <w:tcBorders>
              <w:top w:val="nil"/>
              <w:left w:val="single" w:color="000000" w:sz="4" w:space="0"/>
              <w:right w:val="single" w:color="000000" w:sz="4" w:space="0"/>
            </w:tcBorders>
            <w:noWrap w:val="0"/>
            <w:vAlign w:val="center"/>
          </w:tcPr>
          <w:p w14:paraId="2742EF0D">
            <w:pPr>
              <w:widowControl/>
              <w:jc w:val="center"/>
              <w:rPr>
                <w:rFonts w:hint="eastAsia" w:ascii="宋体" w:hAnsi="宋体" w:cs="宋体"/>
                <w:color w:val="auto"/>
                <w:szCs w:val="21"/>
                <w:highlight w:val="none"/>
              </w:rPr>
            </w:pPr>
            <w:r>
              <w:rPr>
                <w:rFonts w:hint="eastAsia" w:ascii="宋体" w:hAnsi="宋体" w:cs="宋体"/>
                <w:color w:val="auto"/>
                <w:szCs w:val="21"/>
                <w:highlight w:val="none"/>
              </w:rPr>
              <w:t>服务响应</w:t>
            </w:r>
          </w:p>
        </w:tc>
        <w:tc>
          <w:tcPr>
            <w:tcW w:w="1596" w:type="pct"/>
            <w:tcBorders>
              <w:top w:val="nil"/>
              <w:left w:val="nil"/>
              <w:bottom w:val="single" w:color="000000" w:sz="4" w:space="0"/>
              <w:right w:val="single" w:color="000000" w:sz="4" w:space="0"/>
            </w:tcBorders>
            <w:noWrap w:val="0"/>
            <w:vAlign w:val="center"/>
          </w:tcPr>
          <w:p w14:paraId="27F35CFB">
            <w:pPr>
              <w:widowControl/>
              <w:jc w:val="left"/>
              <w:rPr>
                <w:rFonts w:hint="eastAsia" w:ascii="宋体" w:hAnsi="宋体" w:cs="宋体"/>
                <w:color w:val="auto"/>
                <w:szCs w:val="21"/>
                <w:highlight w:val="none"/>
              </w:rPr>
            </w:pPr>
            <w:r>
              <w:rPr>
                <w:rFonts w:hint="eastAsia" w:ascii="宋体" w:hAnsi="宋体" w:cs="宋体"/>
                <w:color w:val="auto"/>
                <w:szCs w:val="21"/>
                <w:highlight w:val="none"/>
              </w:rPr>
              <w:t>接单进场时限</w:t>
            </w:r>
          </w:p>
        </w:tc>
        <w:tc>
          <w:tcPr>
            <w:tcW w:w="1487" w:type="pct"/>
            <w:tcBorders>
              <w:top w:val="nil"/>
              <w:left w:val="nil"/>
              <w:bottom w:val="single" w:color="000000" w:sz="4" w:space="0"/>
              <w:right w:val="single" w:color="000000" w:sz="4" w:space="0"/>
            </w:tcBorders>
            <w:noWrap w:val="0"/>
            <w:vAlign w:val="center"/>
          </w:tcPr>
          <w:p w14:paraId="0B3EA6A6">
            <w:pPr>
              <w:widowControl/>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接到派单，在要求时限内未进场</w:t>
            </w:r>
            <w:r>
              <w:rPr>
                <w:rFonts w:hint="eastAsia" w:ascii="宋体" w:hAnsi="宋体" w:cs="宋体"/>
                <w:color w:val="auto"/>
                <w:szCs w:val="21"/>
                <w:highlight w:val="none"/>
                <w:lang w:val="en-US" w:eastAsia="zh-CN"/>
              </w:rPr>
              <w:t>养护</w:t>
            </w:r>
            <w:r>
              <w:rPr>
                <w:rFonts w:hint="eastAsia" w:ascii="宋体" w:hAnsi="宋体" w:cs="宋体"/>
                <w:color w:val="auto"/>
                <w:szCs w:val="21"/>
                <w:highlight w:val="none"/>
              </w:rPr>
              <w:t>的，每推迟一天</w:t>
            </w:r>
            <w:r>
              <w:rPr>
                <w:rFonts w:hint="eastAsia" w:ascii="宋体" w:hAnsi="宋体" w:cs="宋体"/>
                <w:color w:val="auto"/>
                <w:szCs w:val="21"/>
                <w:highlight w:val="none"/>
                <w:lang w:val="en-US" w:eastAsia="zh-CN"/>
              </w:rPr>
              <w:t>扣1分。</w:t>
            </w:r>
          </w:p>
        </w:tc>
        <w:tc>
          <w:tcPr>
            <w:tcW w:w="470" w:type="pct"/>
            <w:tcBorders>
              <w:top w:val="nil"/>
              <w:left w:val="nil"/>
              <w:bottom w:val="single" w:color="000000" w:sz="4" w:space="0"/>
              <w:right w:val="single" w:color="000000" w:sz="4" w:space="0"/>
            </w:tcBorders>
            <w:noWrap w:val="0"/>
            <w:vAlign w:val="center"/>
          </w:tcPr>
          <w:p w14:paraId="6AE6216C">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w:t>
            </w:r>
          </w:p>
        </w:tc>
        <w:tc>
          <w:tcPr>
            <w:tcW w:w="519" w:type="pct"/>
            <w:tcBorders>
              <w:top w:val="nil"/>
              <w:left w:val="single" w:color="000000" w:sz="4" w:space="0"/>
              <w:bottom w:val="single" w:color="000000" w:sz="4" w:space="0"/>
              <w:right w:val="single" w:color="000000" w:sz="4" w:space="0"/>
            </w:tcBorders>
            <w:noWrap w:val="0"/>
            <w:vAlign w:val="center"/>
          </w:tcPr>
          <w:p w14:paraId="65237AA5">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6E1C07F7">
            <w:pPr>
              <w:widowControl/>
              <w:jc w:val="left"/>
              <w:rPr>
                <w:rFonts w:hint="eastAsia" w:ascii="宋体" w:hAnsi="宋体" w:cs="宋体"/>
                <w:color w:val="auto"/>
                <w:szCs w:val="21"/>
                <w:highlight w:val="none"/>
              </w:rPr>
            </w:pPr>
          </w:p>
        </w:tc>
      </w:tr>
      <w:tr w14:paraId="4DC99610">
        <w:tblPrEx>
          <w:tblCellMar>
            <w:top w:w="0" w:type="dxa"/>
            <w:left w:w="108" w:type="dxa"/>
            <w:bottom w:w="0" w:type="dxa"/>
            <w:right w:w="108" w:type="dxa"/>
          </w:tblCellMar>
        </w:tblPrEx>
        <w:trPr>
          <w:trHeight w:val="562"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777B7175">
            <w:pPr>
              <w:widowControl/>
              <w:jc w:val="left"/>
              <w:rPr>
                <w:rFonts w:hint="eastAsia" w:ascii="宋体" w:hAnsi="宋体" w:cs="宋体"/>
                <w:color w:val="auto"/>
                <w:szCs w:val="21"/>
                <w:highlight w:val="none"/>
              </w:rPr>
            </w:pPr>
          </w:p>
        </w:tc>
        <w:tc>
          <w:tcPr>
            <w:tcW w:w="229" w:type="pct"/>
            <w:vMerge w:val="continue"/>
            <w:tcBorders>
              <w:left w:val="single" w:color="000000" w:sz="4" w:space="0"/>
              <w:right w:val="single" w:color="000000" w:sz="4" w:space="0"/>
            </w:tcBorders>
            <w:noWrap w:val="0"/>
            <w:vAlign w:val="center"/>
          </w:tcPr>
          <w:p w14:paraId="6E8AAD33">
            <w:pPr>
              <w:widowControl/>
              <w:jc w:val="left"/>
              <w:rPr>
                <w:rFonts w:hint="eastAsia" w:ascii="宋体" w:hAnsi="宋体" w:cs="宋体"/>
                <w:color w:val="auto"/>
                <w:szCs w:val="21"/>
                <w:highlight w:val="none"/>
              </w:rPr>
            </w:pPr>
          </w:p>
        </w:tc>
        <w:tc>
          <w:tcPr>
            <w:tcW w:w="1596" w:type="pct"/>
            <w:tcBorders>
              <w:top w:val="nil"/>
              <w:left w:val="nil"/>
              <w:bottom w:val="single" w:color="000000" w:sz="4" w:space="0"/>
              <w:right w:val="single" w:color="000000" w:sz="4" w:space="0"/>
            </w:tcBorders>
            <w:noWrap w:val="0"/>
            <w:vAlign w:val="center"/>
          </w:tcPr>
          <w:p w14:paraId="7B7C74ED">
            <w:pPr>
              <w:widowControl/>
              <w:jc w:val="left"/>
              <w:rPr>
                <w:rFonts w:hint="eastAsia" w:ascii="宋体" w:hAnsi="宋体" w:cs="宋体"/>
                <w:color w:val="auto"/>
                <w:szCs w:val="21"/>
                <w:highlight w:val="none"/>
              </w:rPr>
            </w:pPr>
            <w:r>
              <w:rPr>
                <w:rFonts w:hint="eastAsia" w:ascii="宋体" w:hAnsi="宋体" w:cs="宋体"/>
                <w:color w:val="auto"/>
                <w:szCs w:val="21"/>
                <w:highlight w:val="none"/>
              </w:rPr>
              <w:t>按计划完工情况</w:t>
            </w:r>
          </w:p>
        </w:tc>
        <w:tc>
          <w:tcPr>
            <w:tcW w:w="1487" w:type="pct"/>
            <w:tcBorders>
              <w:top w:val="nil"/>
              <w:left w:val="nil"/>
              <w:bottom w:val="single" w:color="000000" w:sz="4" w:space="0"/>
              <w:right w:val="single" w:color="000000" w:sz="4" w:space="0"/>
            </w:tcBorders>
            <w:noWrap w:val="0"/>
            <w:vAlign w:val="center"/>
          </w:tcPr>
          <w:p w14:paraId="0EE696FB">
            <w:pPr>
              <w:widowControl/>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未按计划工期完工的，每推迟一天</w:t>
            </w:r>
            <w:r>
              <w:rPr>
                <w:rFonts w:hint="eastAsia" w:ascii="宋体" w:hAnsi="宋体" w:cs="宋体"/>
                <w:color w:val="auto"/>
                <w:szCs w:val="21"/>
                <w:highlight w:val="none"/>
                <w:lang w:val="en-US" w:eastAsia="zh-CN"/>
              </w:rPr>
              <w:t>扣1分。</w:t>
            </w:r>
          </w:p>
        </w:tc>
        <w:tc>
          <w:tcPr>
            <w:tcW w:w="470" w:type="pct"/>
            <w:tcBorders>
              <w:top w:val="nil"/>
              <w:left w:val="nil"/>
              <w:bottom w:val="single" w:color="000000" w:sz="4" w:space="0"/>
              <w:right w:val="single" w:color="000000" w:sz="4" w:space="0"/>
            </w:tcBorders>
            <w:noWrap w:val="0"/>
            <w:vAlign w:val="center"/>
          </w:tcPr>
          <w:p w14:paraId="5DBAF3C0">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w:t>
            </w:r>
          </w:p>
        </w:tc>
        <w:tc>
          <w:tcPr>
            <w:tcW w:w="519" w:type="pct"/>
            <w:tcBorders>
              <w:top w:val="nil"/>
              <w:left w:val="single" w:color="000000" w:sz="4" w:space="0"/>
              <w:bottom w:val="single" w:color="000000" w:sz="4" w:space="0"/>
              <w:right w:val="single" w:color="000000" w:sz="4" w:space="0"/>
            </w:tcBorders>
            <w:noWrap w:val="0"/>
            <w:vAlign w:val="center"/>
          </w:tcPr>
          <w:p w14:paraId="04C28F53">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3DCE40BB">
            <w:pPr>
              <w:widowControl/>
              <w:jc w:val="left"/>
              <w:rPr>
                <w:rFonts w:hint="eastAsia" w:ascii="宋体" w:hAnsi="宋体" w:cs="宋体"/>
                <w:color w:val="auto"/>
                <w:szCs w:val="21"/>
                <w:highlight w:val="none"/>
              </w:rPr>
            </w:pPr>
          </w:p>
        </w:tc>
      </w:tr>
      <w:tr w14:paraId="7250F99F">
        <w:tblPrEx>
          <w:tblCellMar>
            <w:top w:w="0" w:type="dxa"/>
            <w:left w:w="108" w:type="dxa"/>
            <w:bottom w:w="0" w:type="dxa"/>
            <w:right w:w="108" w:type="dxa"/>
          </w:tblCellMar>
        </w:tblPrEx>
        <w:trPr>
          <w:trHeight w:val="565"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3309A31A">
            <w:pPr>
              <w:widowControl/>
              <w:jc w:val="left"/>
              <w:rPr>
                <w:rFonts w:hint="eastAsia" w:ascii="宋体" w:hAnsi="宋体" w:cs="宋体"/>
                <w:color w:val="auto"/>
                <w:szCs w:val="21"/>
                <w:highlight w:val="none"/>
              </w:rPr>
            </w:pPr>
          </w:p>
        </w:tc>
        <w:tc>
          <w:tcPr>
            <w:tcW w:w="229" w:type="pct"/>
            <w:vMerge w:val="continue"/>
            <w:tcBorders>
              <w:left w:val="single" w:color="000000" w:sz="4" w:space="0"/>
              <w:right w:val="single" w:color="000000" w:sz="4" w:space="0"/>
            </w:tcBorders>
            <w:noWrap w:val="0"/>
            <w:vAlign w:val="center"/>
          </w:tcPr>
          <w:p w14:paraId="6AF1045E">
            <w:pPr>
              <w:widowControl/>
              <w:jc w:val="left"/>
              <w:rPr>
                <w:rFonts w:hint="eastAsia" w:ascii="宋体" w:hAnsi="宋体" w:cs="宋体"/>
                <w:color w:val="auto"/>
                <w:szCs w:val="21"/>
                <w:highlight w:val="none"/>
              </w:rPr>
            </w:pPr>
          </w:p>
        </w:tc>
        <w:tc>
          <w:tcPr>
            <w:tcW w:w="1596" w:type="pct"/>
            <w:tcBorders>
              <w:top w:val="nil"/>
              <w:left w:val="nil"/>
              <w:bottom w:val="single" w:color="000000" w:sz="4" w:space="0"/>
              <w:right w:val="single" w:color="000000" w:sz="4" w:space="0"/>
            </w:tcBorders>
            <w:noWrap w:val="0"/>
            <w:vAlign w:val="center"/>
          </w:tcPr>
          <w:p w14:paraId="64C6ED67">
            <w:pPr>
              <w:widowControl/>
              <w:jc w:val="left"/>
              <w:rPr>
                <w:rFonts w:hint="eastAsia" w:ascii="宋体" w:hAnsi="宋体" w:cs="宋体"/>
                <w:color w:val="auto"/>
                <w:szCs w:val="21"/>
                <w:highlight w:val="none"/>
              </w:rPr>
            </w:pPr>
            <w:r>
              <w:rPr>
                <w:rFonts w:hint="eastAsia" w:ascii="宋体" w:hAnsi="宋体" w:cs="宋体"/>
                <w:color w:val="auto"/>
                <w:szCs w:val="21"/>
                <w:highlight w:val="none"/>
              </w:rPr>
              <w:t>突发或紧急任务</w:t>
            </w:r>
          </w:p>
        </w:tc>
        <w:tc>
          <w:tcPr>
            <w:tcW w:w="1487" w:type="pct"/>
            <w:tcBorders>
              <w:top w:val="nil"/>
              <w:left w:val="nil"/>
              <w:bottom w:val="single" w:color="000000" w:sz="4" w:space="0"/>
              <w:right w:val="single" w:color="000000" w:sz="4" w:space="0"/>
            </w:tcBorders>
            <w:noWrap w:val="0"/>
            <w:vAlign w:val="center"/>
          </w:tcPr>
          <w:p w14:paraId="2577D114">
            <w:pPr>
              <w:widowControl/>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未按要求至现场查看情况，并反馈、上报现场信息的，每发生一起</w:t>
            </w:r>
            <w:r>
              <w:rPr>
                <w:rFonts w:hint="eastAsia" w:ascii="宋体" w:hAnsi="宋体" w:cs="宋体"/>
                <w:color w:val="auto"/>
                <w:szCs w:val="21"/>
                <w:highlight w:val="none"/>
                <w:lang w:val="en-US" w:eastAsia="zh-CN"/>
              </w:rPr>
              <w:t>扣5分。</w:t>
            </w:r>
          </w:p>
        </w:tc>
        <w:tc>
          <w:tcPr>
            <w:tcW w:w="470" w:type="pct"/>
            <w:tcBorders>
              <w:top w:val="nil"/>
              <w:left w:val="nil"/>
              <w:bottom w:val="single" w:color="000000" w:sz="4" w:space="0"/>
              <w:right w:val="single" w:color="000000" w:sz="4" w:space="0"/>
            </w:tcBorders>
            <w:noWrap w:val="0"/>
            <w:vAlign w:val="center"/>
          </w:tcPr>
          <w:p w14:paraId="6399AF06">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w:t>
            </w:r>
          </w:p>
        </w:tc>
        <w:tc>
          <w:tcPr>
            <w:tcW w:w="519" w:type="pct"/>
            <w:tcBorders>
              <w:top w:val="nil"/>
              <w:left w:val="single" w:color="000000" w:sz="4" w:space="0"/>
              <w:bottom w:val="single" w:color="000000" w:sz="4" w:space="0"/>
              <w:right w:val="single" w:color="000000" w:sz="4" w:space="0"/>
            </w:tcBorders>
            <w:noWrap w:val="0"/>
            <w:vAlign w:val="center"/>
          </w:tcPr>
          <w:p w14:paraId="2EE938E6">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35164456">
            <w:pPr>
              <w:widowControl/>
              <w:jc w:val="left"/>
              <w:rPr>
                <w:rFonts w:hint="eastAsia" w:ascii="宋体" w:hAnsi="宋体" w:cs="宋体"/>
                <w:color w:val="auto"/>
                <w:szCs w:val="21"/>
                <w:highlight w:val="none"/>
              </w:rPr>
            </w:pPr>
          </w:p>
        </w:tc>
      </w:tr>
      <w:tr w14:paraId="63512B06">
        <w:tblPrEx>
          <w:tblCellMar>
            <w:top w:w="0" w:type="dxa"/>
            <w:left w:w="108" w:type="dxa"/>
            <w:bottom w:w="0" w:type="dxa"/>
            <w:right w:w="108" w:type="dxa"/>
          </w:tblCellMar>
        </w:tblPrEx>
        <w:trPr>
          <w:trHeight w:val="562"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499BD7FF">
            <w:pPr>
              <w:widowControl/>
              <w:jc w:val="left"/>
              <w:rPr>
                <w:rFonts w:hint="eastAsia" w:ascii="宋体" w:hAnsi="宋体" w:cs="宋体"/>
                <w:color w:val="auto"/>
                <w:szCs w:val="21"/>
                <w:highlight w:val="none"/>
              </w:rPr>
            </w:pPr>
          </w:p>
        </w:tc>
        <w:tc>
          <w:tcPr>
            <w:tcW w:w="229" w:type="pct"/>
            <w:vMerge w:val="continue"/>
            <w:tcBorders>
              <w:left w:val="single" w:color="000000" w:sz="4" w:space="0"/>
              <w:right w:val="single" w:color="000000" w:sz="4" w:space="0"/>
            </w:tcBorders>
            <w:noWrap w:val="0"/>
            <w:vAlign w:val="center"/>
          </w:tcPr>
          <w:p w14:paraId="439A0D36">
            <w:pPr>
              <w:widowControl/>
              <w:jc w:val="left"/>
              <w:rPr>
                <w:rFonts w:hint="eastAsia" w:ascii="宋体" w:hAnsi="宋体" w:cs="宋体"/>
                <w:color w:val="auto"/>
                <w:szCs w:val="21"/>
                <w:highlight w:val="none"/>
              </w:rPr>
            </w:pPr>
          </w:p>
        </w:tc>
        <w:tc>
          <w:tcPr>
            <w:tcW w:w="1596" w:type="pct"/>
            <w:tcBorders>
              <w:top w:val="nil"/>
              <w:left w:val="nil"/>
              <w:bottom w:val="single" w:color="000000" w:sz="4" w:space="0"/>
              <w:right w:val="single" w:color="000000" w:sz="4" w:space="0"/>
            </w:tcBorders>
            <w:noWrap w:val="0"/>
            <w:vAlign w:val="center"/>
          </w:tcPr>
          <w:p w14:paraId="4769A12C">
            <w:pPr>
              <w:widowControl/>
              <w:jc w:val="left"/>
              <w:rPr>
                <w:rFonts w:hint="eastAsia" w:ascii="宋体" w:hAnsi="宋体" w:cs="宋体"/>
                <w:color w:val="auto"/>
                <w:szCs w:val="21"/>
                <w:highlight w:val="none"/>
              </w:rPr>
            </w:pPr>
            <w:r>
              <w:rPr>
                <w:rFonts w:hint="eastAsia" w:ascii="宋体" w:hAnsi="宋体" w:cs="宋体"/>
                <w:color w:val="auto"/>
                <w:szCs w:val="21"/>
                <w:highlight w:val="none"/>
              </w:rPr>
              <w:t>紧急抢修（含长效管理）完成情况</w:t>
            </w:r>
          </w:p>
        </w:tc>
        <w:tc>
          <w:tcPr>
            <w:tcW w:w="1487" w:type="pct"/>
            <w:tcBorders>
              <w:top w:val="nil"/>
              <w:left w:val="nil"/>
              <w:bottom w:val="single" w:color="000000" w:sz="4" w:space="0"/>
              <w:right w:val="single" w:color="000000" w:sz="4" w:space="0"/>
            </w:tcBorders>
            <w:noWrap w:val="0"/>
            <w:vAlign w:val="center"/>
          </w:tcPr>
          <w:p w14:paraId="6A3633C0">
            <w:pPr>
              <w:widowControl/>
              <w:jc w:val="left"/>
              <w:rPr>
                <w:rFonts w:hint="default" w:ascii="宋体" w:hAnsi="宋体" w:eastAsia="宋体" w:cs="宋体"/>
                <w:b/>
                <w:bCs/>
                <w:color w:val="auto"/>
                <w:szCs w:val="21"/>
                <w:highlight w:val="none"/>
                <w:lang w:val="en-US" w:eastAsia="zh-CN"/>
              </w:rPr>
            </w:pPr>
            <w:r>
              <w:rPr>
                <w:rFonts w:hint="eastAsia" w:ascii="宋体" w:hAnsi="宋体" w:cs="宋体"/>
                <w:b w:val="0"/>
                <w:bCs w:val="0"/>
                <w:color w:val="auto"/>
                <w:szCs w:val="21"/>
                <w:highlight w:val="none"/>
              </w:rPr>
              <w:t>未按要求完成的，</w:t>
            </w:r>
            <w:r>
              <w:rPr>
                <w:rFonts w:hint="eastAsia" w:ascii="宋体" w:hAnsi="宋体" w:cs="宋体"/>
                <w:b w:val="0"/>
                <w:bCs w:val="0"/>
                <w:color w:val="auto"/>
                <w:szCs w:val="21"/>
                <w:highlight w:val="none"/>
                <w:lang w:val="en-US" w:eastAsia="zh-CN"/>
              </w:rPr>
              <w:t>扣5分。</w:t>
            </w:r>
          </w:p>
        </w:tc>
        <w:tc>
          <w:tcPr>
            <w:tcW w:w="470" w:type="pct"/>
            <w:tcBorders>
              <w:top w:val="nil"/>
              <w:left w:val="nil"/>
              <w:bottom w:val="single" w:color="000000" w:sz="4" w:space="0"/>
              <w:right w:val="single" w:color="000000" w:sz="4" w:space="0"/>
            </w:tcBorders>
            <w:noWrap w:val="0"/>
            <w:vAlign w:val="center"/>
          </w:tcPr>
          <w:p w14:paraId="5E12143F">
            <w:pPr>
              <w:widowControl/>
              <w:jc w:val="center"/>
              <w:rPr>
                <w:rFonts w:hint="default" w:ascii="宋体" w:hAnsi="宋体" w:cs="宋体"/>
                <w:color w:val="auto"/>
                <w:szCs w:val="21"/>
                <w:highlight w:val="none"/>
                <w:lang w:val="en-US"/>
              </w:rPr>
            </w:pPr>
            <w:r>
              <w:rPr>
                <w:rFonts w:hint="eastAsia" w:ascii="宋体" w:hAnsi="宋体" w:cs="宋体"/>
                <w:color w:val="auto"/>
                <w:szCs w:val="21"/>
                <w:highlight w:val="none"/>
                <w:lang w:val="en-US" w:eastAsia="zh-CN"/>
              </w:rPr>
              <w:t>5</w:t>
            </w:r>
          </w:p>
        </w:tc>
        <w:tc>
          <w:tcPr>
            <w:tcW w:w="519" w:type="pct"/>
            <w:tcBorders>
              <w:top w:val="nil"/>
              <w:left w:val="single" w:color="000000" w:sz="4" w:space="0"/>
              <w:bottom w:val="single" w:color="000000" w:sz="4" w:space="0"/>
              <w:right w:val="single" w:color="000000" w:sz="4" w:space="0"/>
            </w:tcBorders>
            <w:noWrap w:val="0"/>
            <w:vAlign w:val="center"/>
          </w:tcPr>
          <w:p w14:paraId="53C84D7D">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597C1D06">
            <w:pPr>
              <w:widowControl/>
              <w:jc w:val="left"/>
              <w:rPr>
                <w:rFonts w:hint="eastAsia" w:ascii="宋体" w:hAnsi="宋体" w:cs="宋体"/>
                <w:color w:val="auto"/>
                <w:szCs w:val="21"/>
                <w:highlight w:val="none"/>
              </w:rPr>
            </w:pPr>
          </w:p>
        </w:tc>
      </w:tr>
      <w:tr w14:paraId="119CF48B">
        <w:tblPrEx>
          <w:tblCellMar>
            <w:top w:w="0" w:type="dxa"/>
            <w:left w:w="108" w:type="dxa"/>
            <w:bottom w:w="0" w:type="dxa"/>
            <w:right w:w="108" w:type="dxa"/>
          </w:tblCellMar>
        </w:tblPrEx>
        <w:trPr>
          <w:trHeight w:val="562"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0DD4C302">
            <w:pPr>
              <w:widowControl/>
              <w:jc w:val="left"/>
              <w:rPr>
                <w:rFonts w:hint="eastAsia" w:ascii="宋体" w:hAnsi="宋体" w:cs="宋体"/>
                <w:color w:val="auto"/>
                <w:szCs w:val="21"/>
                <w:highlight w:val="none"/>
              </w:rPr>
            </w:pPr>
          </w:p>
        </w:tc>
        <w:tc>
          <w:tcPr>
            <w:tcW w:w="229" w:type="pct"/>
            <w:vMerge w:val="continue"/>
            <w:tcBorders>
              <w:left w:val="single" w:color="000000" w:sz="4" w:space="0"/>
              <w:right w:val="single" w:color="000000" w:sz="4" w:space="0"/>
            </w:tcBorders>
            <w:noWrap w:val="0"/>
            <w:vAlign w:val="center"/>
          </w:tcPr>
          <w:p w14:paraId="0C14B053">
            <w:pPr>
              <w:widowControl/>
              <w:jc w:val="left"/>
              <w:rPr>
                <w:rFonts w:hint="eastAsia" w:ascii="宋体" w:hAnsi="宋体" w:cs="宋体"/>
                <w:color w:val="auto"/>
                <w:szCs w:val="21"/>
                <w:highlight w:val="none"/>
              </w:rPr>
            </w:pPr>
          </w:p>
        </w:tc>
        <w:tc>
          <w:tcPr>
            <w:tcW w:w="1596" w:type="pct"/>
            <w:tcBorders>
              <w:top w:val="nil"/>
              <w:left w:val="nil"/>
              <w:bottom w:val="single" w:color="000000" w:sz="4" w:space="0"/>
              <w:right w:val="single" w:color="000000" w:sz="4" w:space="0"/>
            </w:tcBorders>
            <w:noWrap w:val="0"/>
            <w:vAlign w:val="center"/>
          </w:tcPr>
          <w:p w14:paraId="113AFC16">
            <w:pPr>
              <w:widowControl/>
              <w:jc w:val="left"/>
              <w:rPr>
                <w:rFonts w:hint="eastAsia" w:ascii="宋体" w:hAnsi="宋体" w:cs="宋体"/>
                <w:color w:val="auto"/>
                <w:szCs w:val="21"/>
                <w:highlight w:val="none"/>
              </w:rPr>
            </w:pPr>
            <w:r>
              <w:rPr>
                <w:rFonts w:hint="eastAsia" w:ascii="宋体" w:hAnsi="宋体" w:cs="宋体"/>
                <w:color w:val="auto"/>
                <w:szCs w:val="21"/>
                <w:highlight w:val="none"/>
              </w:rPr>
              <w:t>响应建设方指令情况</w:t>
            </w:r>
          </w:p>
        </w:tc>
        <w:tc>
          <w:tcPr>
            <w:tcW w:w="1487" w:type="pct"/>
            <w:tcBorders>
              <w:top w:val="nil"/>
              <w:left w:val="nil"/>
              <w:bottom w:val="single" w:color="000000" w:sz="4" w:space="0"/>
              <w:right w:val="single" w:color="000000" w:sz="4" w:space="0"/>
            </w:tcBorders>
            <w:noWrap w:val="0"/>
            <w:vAlign w:val="center"/>
          </w:tcPr>
          <w:p w14:paraId="03324B0B">
            <w:pPr>
              <w:widowControl/>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养护</w:t>
            </w:r>
            <w:r>
              <w:rPr>
                <w:rFonts w:hint="eastAsia" w:ascii="宋体" w:hAnsi="宋体" w:cs="宋体"/>
                <w:color w:val="auto"/>
                <w:szCs w:val="21"/>
                <w:highlight w:val="none"/>
              </w:rPr>
              <w:t>现场未按</w:t>
            </w:r>
            <w:r>
              <w:rPr>
                <w:rFonts w:hint="eastAsia" w:ascii="宋体" w:hAnsi="宋体" w:cs="宋体"/>
                <w:color w:val="auto"/>
                <w:szCs w:val="21"/>
                <w:highlight w:val="none"/>
                <w:lang w:val="en-US" w:eastAsia="zh-CN"/>
              </w:rPr>
              <w:t>甲方</w:t>
            </w:r>
            <w:r>
              <w:rPr>
                <w:rFonts w:hint="eastAsia" w:ascii="宋体" w:hAnsi="宋体" w:cs="宋体"/>
                <w:color w:val="auto"/>
                <w:szCs w:val="21"/>
                <w:highlight w:val="none"/>
              </w:rPr>
              <w:t>指令</w:t>
            </w:r>
            <w:r>
              <w:rPr>
                <w:rFonts w:hint="eastAsia" w:ascii="宋体" w:hAnsi="宋体" w:cs="宋体"/>
                <w:color w:val="auto"/>
                <w:szCs w:val="21"/>
                <w:highlight w:val="none"/>
                <w:lang w:val="en-US" w:eastAsia="zh-CN"/>
              </w:rPr>
              <w:t>养护</w:t>
            </w:r>
            <w:r>
              <w:rPr>
                <w:rFonts w:hint="eastAsia" w:ascii="宋体" w:hAnsi="宋体" w:cs="宋体"/>
                <w:color w:val="auto"/>
                <w:szCs w:val="21"/>
                <w:highlight w:val="none"/>
              </w:rPr>
              <w:t>或整改的，每发生一次</w:t>
            </w:r>
            <w:r>
              <w:rPr>
                <w:rFonts w:hint="eastAsia" w:ascii="宋体" w:hAnsi="宋体" w:cs="宋体"/>
                <w:color w:val="auto"/>
                <w:szCs w:val="21"/>
                <w:highlight w:val="none"/>
                <w:lang w:val="en-US" w:eastAsia="zh-CN"/>
              </w:rPr>
              <w:t>扣1分。</w:t>
            </w:r>
          </w:p>
        </w:tc>
        <w:tc>
          <w:tcPr>
            <w:tcW w:w="470" w:type="pct"/>
            <w:tcBorders>
              <w:top w:val="nil"/>
              <w:left w:val="nil"/>
              <w:bottom w:val="single" w:color="000000" w:sz="4" w:space="0"/>
              <w:right w:val="single" w:color="000000" w:sz="4" w:space="0"/>
            </w:tcBorders>
            <w:noWrap w:val="0"/>
            <w:vAlign w:val="center"/>
          </w:tcPr>
          <w:p w14:paraId="57E29191">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w:t>
            </w:r>
          </w:p>
        </w:tc>
        <w:tc>
          <w:tcPr>
            <w:tcW w:w="519" w:type="pct"/>
            <w:tcBorders>
              <w:top w:val="nil"/>
              <w:left w:val="single" w:color="000000" w:sz="4" w:space="0"/>
              <w:bottom w:val="single" w:color="000000" w:sz="4" w:space="0"/>
              <w:right w:val="single" w:color="000000" w:sz="4" w:space="0"/>
            </w:tcBorders>
            <w:noWrap w:val="0"/>
            <w:vAlign w:val="center"/>
          </w:tcPr>
          <w:p w14:paraId="67FA5FA9">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6AFE3027">
            <w:pPr>
              <w:widowControl/>
              <w:jc w:val="left"/>
              <w:rPr>
                <w:rFonts w:hint="eastAsia" w:ascii="宋体" w:hAnsi="宋体" w:cs="宋体"/>
                <w:color w:val="auto"/>
                <w:szCs w:val="21"/>
                <w:highlight w:val="none"/>
              </w:rPr>
            </w:pPr>
          </w:p>
        </w:tc>
      </w:tr>
      <w:tr w14:paraId="026EC65C">
        <w:tblPrEx>
          <w:tblCellMar>
            <w:top w:w="0" w:type="dxa"/>
            <w:left w:w="108" w:type="dxa"/>
            <w:bottom w:w="0" w:type="dxa"/>
            <w:right w:w="108" w:type="dxa"/>
          </w:tblCellMar>
        </w:tblPrEx>
        <w:trPr>
          <w:trHeight w:val="1391"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1B3F31B6">
            <w:pPr>
              <w:widowControl/>
              <w:jc w:val="left"/>
              <w:rPr>
                <w:rFonts w:hint="eastAsia" w:ascii="宋体" w:hAnsi="宋体" w:cs="宋体"/>
                <w:color w:val="auto"/>
                <w:szCs w:val="21"/>
                <w:highlight w:val="none"/>
              </w:rPr>
            </w:pPr>
          </w:p>
        </w:tc>
        <w:tc>
          <w:tcPr>
            <w:tcW w:w="229" w:type="pct"/>
            <w:vMerge w:val="continue"/>
            <w:tcBorders>
              <w:left w:val="single" w:color="000000" w:sz="4" w:space="0"/>
              <w:bottom w:val="single" w:color="000000" w:sz="4" w:space="0"/>
              <w:right w:val="single" w:color="000000" w:sz="4" w:space="0"/>
            </w:tcBorders>
            <w:noWrap w:val="0"/>
            <w:vAlign w:val="center"/>
          </w:tcPr>
          <w:p w14:paraId="7FBC0F98">
            <w:pPr>
              <w:widowControl/>
              <w:jc w:val="left"/>
              <w:rPr>
                <w:rFonts w:hint="eastAsia" w:ascii="宋体" w:hAnsi="宋体" w:cs="宋体"/>
                <w:color w:val="auto"/>
                <w:szCs w:val="21"/>
                <w:highlight w:val="none"/>
              </w:rPr>
            </w:pPr>
          </w:p>
        </w:tc>
        <w:tc>
          <w:tcPr>
            <w:tcW w:w="1596" w:type="pct"/>
            <w:tcBorders>
              <w:top w:val="nil"/>
              <w:left w:val="nil"/>
              <w:bottom w:val="single" w:color="000000" w:sz="4" w:space="0"/>
              <w:right w:val="single" w:color="000000" w:sz="4" w:space="0"/>
            </w:tcBorders>
            <w:noWrap w:val="0"/>
            <w:vAlign w:val="center"/>
          </w:tcPr>
          <w:p w14:paraId="247B603C">
            <w:pPr>
              <w:widowControl/>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处理各类平台投诉</w:t>
            </w:r>
          </w:p>
        </w:tc>
        <w:tc>
          <w:tcPr>
            <w:tcW w:w="1487" w:type="pct"/>
            <w:tcBorders>
              <w:top w:val="nil"/>
              <w:left w:val="nil"/>
              <w:bottom w:val="single" w:color="000000" w:sz="4" w:space="0"/>
              <w:right w:val="single" w:color="000000" w:sz="4" w:space="0"/>
            </w:tcBorders>
            <w:noWrap w:val="0"/>
            <w:vAlign w:val="center"/>
          </w:tcPr>
          <w:p w14:paraId="7FB33898">
            <w:pPr>
              <w:widowControl/>
              <w:jc w:val="left"/>
              <w:rPr>
                <w:rFonts w:hint="default" w:ascii="宋体" w:hAnsi="宋体" w:eastAsia="宋体" w:cs="宋体"/>
                <w:color w:val="auto"/>
                <w:szCs w:val="21"/>
                <w:highlight w:val="none"/>
                <w:lang w:val="en-US" w:eastAsia="zh-CN"/>
              </w:rPr>
            </w:pPr>
            <w:r>
              <w:rPr>
                <w:rFonts w:hint="eastAsia" w:ascii="宋体" w:hAnsi="宋体" w:cs="宋体"/>
                <w:color w:val="auto"/>
                <w:sz w:val="21"/>
                <w:szCs w:val="21"/>
                <w:highlight w:val="none"/>
                <w:lang w:val="en-US" w:eastAsia="zh-CN"/>
              </w:rPr>
              <w:t>配合采购人</w:t>
            </w:r>
            <w:r>
              <w:rPr>
                <w:rFonts w:hint="eastAsia" w:ascii="宋体" w:hAnsi="宋体" w:cs="宋体"/>
                <w:color w:val="auto"/>
                <w:sz w:val="21"/>
                <w:szCs w:val="21"/>
                <w:highlight w:val="none"/>
              </w:rPr>
              <w:t>处理城管热线、市长信箱及来电来访等各类平台投诉。处理过程中做好安全文明</w:t>
            </w:r>
            <w:r>
              <w:rPr>
                <w:rFonts w:hint="eastAsia" w:ascii="宋体" w:hAnsi="宋体" w:cs="宋体"/>
                <w:color w:val="auto"/>
                <w:sz w:val="21"/>
                <w:szCs w:val="21"/>
                <w:highlight w:val="none"/>
                <w:lang w:val="en-US" w:eastAsia="zh-CN"/>
              </w:rPr>
              <w:t>养护</w:t>
            </w:r>
            <w:r>
              <w:rPr>
                <w:rFonts w:hint="eastAsia" w:ascii="宋体" w:hAnsi="宋体" w:cs="宋体"/>
                <w:color w:val="auto"/>
                <w:sz w:val="21"/>
                <w:szCs w:val="21"/>
                <w:highlight w:val="none"/>
              </w:rPr>
              <w:t>，同时做好与反映者的沟通解释工作</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未按要求执行，每发生一次扣1分。</w:t>
            </w:r>
          </w:p>
        </w:tc>
        <w:tc>
          <w:tcPr>
            <w:tcW w:w="470" w:type="pct"/>
            <w:tcBorders>
              <w:top w:val="nil"/>
              <w:left w:val="nil"/>
              <w:bottom w:val="single" w:color="000000" w:sz="4" w:space="0"/>
              <w:right w:val="single" w:color="000000" w:sz="4" w:space="0"/>
            </w:tcBorders>
            <w:noWrap w:val="0"/>
            <w:vAlign w:val="center"/>
          </w:tcPr>
          <w:p w14:paraId="052BEAE7">
            <w:pPr>
              <w:widowControl/>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519" w:type="pct"/>
            <w:tcBorders>
              <w:top w:val="nil"/>
              <w:left w:val="single" w:color="000000" w:sz="4" w:space="0"/>
              <w:bottom w:val="single" w:color="000000" w:sz="4" w:space="0"/>
              <w:right w:val="single" w:color="000000" w:sz="4" w:space="0"/>
            </w:tcBorders>
            <w:noWrap w:val="0"/>
            <w:vAlign w:val="center"/>
          </w:tcPr>
          <w:p w14:paraId="40463910">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4848C3BE">
            <w:pPr>
              <w:widowControl/>
              <w:jc w:val="left"/>
              <w:rPr>
                <w:rFonts w:hint="eastAsia" w:ascii="宋体" w:hAnsi="宋体" w:cs="宋体"/>
                <w:color w:val="auto"/>
                <w:szCs w:val="21"/>
                <w:highlight w:val="none"/>
              </w:rPr>
            </w:pPr>
          </w:p>
        </w:tc>
      </w:tr>
      <w:tr w14:paraId="6C999792">
        <w:tblPrEx>
          <w:tblCellMar>
            <w:top w:w="0" w:type="dxa"/>
            <w:left w:w="108" w:type="dxa"/>
            <w:bottom w:w="0" w:type="dxa"/>
            <w:right w:w="108" w:type="dxa"/>
          </w:tblCellMar>
        </w:tblPrEx>
        <w:trPr>
          <w:trHeight w:val="636"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2A7637E0">
            <w:pPr>
              <w:widowControl/>
              <w:jc w:val="left"/>
              <w:rPr>
                <w:rFonts w:hint="eastAsia" w:ascii="宋体" w:hAnsi="宋体" w:cs="宋体"/>
                <w:color w:val="auto"/>
                <w:szCs w:val="21"/>
                <w:highlight w:val="none"/>
              </w:rPr>
            </w:pPr>
          </w:p>
        </w:tc>
        <w:tc>
          <w:tcPr>
            <w:tcW w:w="229" w:type="pct"/>
            <w:vMerge w:val="restart"/>
            <w:tcBorders>
              <w:top w:val="nil"/>
              <w:left w:val="single" w:color="000000" w:sz="4" w:space="0"/>
              <w:bottom w:val="single" w:color="000000" w:sz="4" w:space="0"/>
              <w:right w:val="single" w:color="000000" w:sz="4" w:space="0"/>
            </w:tcBorders>
            <w:noWrap w:val="0"/>
            <w:vAlign w:val="center"/>
          </w:tcPr>
          <w:p w14:paraId="75D46E1D">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安全文明</w:t>
            </w:r>
          </w:p>
        </w:tc>
        <w:tc>
          <w:tcPr>
            <w:tcW w:w="1596" w:type="pct"/>
            <w:tcBorders>
              <w:top w:val="nil"/>
              <w:left w:val="nil"/>
              <w:bottom w:val="single" w:color="000000" w:sz="4" w:space="0"/>
              <w:right w:val="single" w:color="000000" w:sz="4" w:space="0"/>
            </w:tcBorders>
            <w:noWrap w:val="0"/>
            <w:vAlign w:val="center"/>
          </w:tcPr>
          <w:p w14:paraId="1322D93D">
            <w:pPr>
              <w:widowControl/>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人员安全防护（安全帽、反光背心等）</w:t>
            </w:r>
          </w:p>
        </w:tc>
        <w:tc>
          <w:tcPr>
            <w:tcW w:w="1487" w:type="pct"/>
            <w:tcBorders>
              <w:top w:val="nil"/>
              <w:left w:val="nil"/>
              <w:bottom w:val="single" w:color="000000" w:sz="4" w:space="0"/>
              <w:right w:val="single" w:color="000000" w:sz="4" w:space="0"/>
            </w:tcBorders>
            <w:noWrap w:val="0"/>
            <w:vAlign w:val="center"/>
          </w:tcPr>
          <w:p w14:paraId="368F1DDD">
            <w:pPr>
              <w:widowControl/>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随机抽查，有</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人员未戴安全帽、未着反光背心的，每发现一人次</w:t>
            </w:r>
            <w:r>
              <w:rPr>
                <w:rFonts w:hint="eastAsia" w:ascii="宋体" w:hAnsi="宋体" w:cs="宋体"/>
                <w:color w:val="auto"/>
                <w:szCs w:val="21"/>
                <w:highlight w:val="none"/>
                <w:lang w:val="en-US" w:eastAsia="zh-CN"/>
              </w:rPr>
              <w:t>扣1分。</w:t>
            </w:r>
          </w:p>
        </w:tc>
        <w:tc>
          <w:tcPr>
            <w:tcW w:w="470" w:type="pct"/>
            <w:tcBorders>
              <w:top w:val="nil"/>
              <w:left w:val="nil"/>
              <w:bottom w:val="single" w:color="000000" w:sz="4" w:space="0"/>
              <w:right w:val="single" w:color="000000" w:sz="4" w:space="0"/>
            </w:tcBorders>
            <w:noWrap w:val="0"/>
            <w:vAlign w:val="center"/>
          </w:tcPr>
          <w:p w14:paraId="3B8AF7A0">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w:t>
            </w:r>
          </w:p>
        </w:tc>
        <w:tc>
          <w:tcPr>
            <w:tcW w:w="519" w:type="pct"/>
            <w:tcBorders>
              <w:top w:val="nil"/>
              <w:left w:val="single" w:color="000000" w:sz="4" w:space="0"/>
              <w:bottom w:val="single" w:color="000000" w:sz="4" w:space="0"/>
              <w:right w:val="single" w:color="000000" w:sz="4" w:space="0"/>
            </w:tcBorders>
            <w:noWrap w:val="0"/>
            <w:vAlign w:val="center"/>
          </w:tcPr>
          <w:p w14:paraId="022B04D3">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18C94A8A">
            <w:pPr>
              <w:widowControl/>
              <w:jc w:val="left"/>
              <w:rPr>
                <w:rFonts w:hint="eastAsia" w:ascii="宋体" w:hAnsi="宋体" w:cs="宋体"/>
                <w:color w:val="auto"/>
                <w:szCs w:val="21"/>
                <w:highlight w:val="none"/>
              </w:rPr>
            </w:pPr>
          </w:p>
        </w:tc>
      </w:tr>
      <w:tr w14:paraId="2E32D99F">
        <w:tblPrEx>
          <w:tblCellMar>
            <w:top w:w="0" w:type="dxa"/>
            <w:left w:w="108" w:type="dxa"/>
            <w:bottom w:w="0" w:type="dxa"/>
            <w:right w:w="108" w:type="dxa"/>
          </w:tblCellMar>
        </w:tblPrEx>
        <w:trPr>
          <w:trHeight w:val="1391"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01646C83">
            <w:pPr>
              <w:widowControl/>
              <w:jc w:val="left"/>
              <w:rPr>
                <w:rFonts w:hint="eastAsia" w:ascii="宋体" w:hAnsi="宋体" w:cs="宋体"/>
                <w:color w:val="auto"/>
                <w:szCs w:val="21"/>
                <w:highlight w:val="none"/>
              </w:rPr>
            </w:pPr>
          </w:p>
        </w:tc>
        <w:tc>
          <w:tcPr>
            <w:tcW w:w="229" w:type="pct"/>
            <w:vMerge w:val="continue"/>
            <w:tcBorders>
              <w:top w:val="nil"/>
              <w:left w:val="single" w:color="000000" w:sz="4" w:space="0"/>
              <w:bottom w:val="single" w:color="000000" w:sz="4" w:space="0"/>
              <w:right w:val="single" w:color="000000" w:sz="4" w:space="0"/>
            </w:tcBorders>
            <w:noWrap w:val="0"/>
            <w:vAlign w:val="center"/>
          </w:tcPr>
          <w:p w14:paraId="5C310FF8">
            <w:pPr>
              <w:widowControl/>
              <w:jc w:val="left"/>
              <w:rPr>
                <w:rFonts w:hint="eastAsia" w:ascii="宋体" w:hAnsi="宋体" w:cs="宋体"/>
                <w:color w:val="auto"/>
                <w:szCs w:val="21"/>
                <w:highlight w:val="none"/>
              </w:rPr>
            </w:pPr>
          </w:p>
        </w:tc>
        <w:tc>
          <w:tcPr>
            <w:tcW w:w="1596" w:type="pct"/>
            <w:tcBorders>
              <w:top w:val="nil"/>
              <w:left w:val="nil"/>
              <w:bottom w:val="single" w:color="000000" w:sz="4" w:space="0"/>
              <w:right w:val="single" w:color="000000" w:sz="4" w:space="0"/>
            </w:tcBorders>
            <w:noWrap w:val="0"/>
            <w:vAlign w:val="center"/>
          </w:tcPr>
          <w:p w14:paraId="0AE027A8">
            <w:pPr>
              <w:widowControl/>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养护</w:t>
            </w:r>
            <w:r>
              <w:rPr>
                <w:rFonts w:hint="eastAsia" w:ascii="宋体" w:hAnsi="宋体" w:cs="宋体"/>
                <w:color w:val="auto"/>
                <w:szCs w:val="21"/>
                <w:highlight w:val="none"/>
              </w:rPr>
              <w:t>现场围护情况</w:t>
            </w:r>
          </w:p>
        </w:tc>
        <w:tc>
          <w:tcPr>
            <w:tcW w:w="1487" w:type="pct"/>
            <w:tcBorders>
              <w:top w:val="nil"/>
              <w:left w:val="nil"/>
              <w:bottom w:val="single" w:color="000000" w:sz="4" w:space="0"/>
              <w:right w:val="single" w:color="000000" w:sz="4" w:space="0"/>
            </w:tcBorders>
            <w:noWrap w:val="0"/>
            <w:vAlign w:val="center"/>
          </w:tcPr>
          <w:p w14:paraId="589195D2">
            <w:pPr>
              <w:widowControl/>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有以下情况的，每发生一起</w:t>
            </w:r>
            <w:r>
              <w:rPr>
                <w:rFonts w:hint="eastAsia" w:ascii="宋体" w:hAnsi="宋体" w:cs="宋体"/>
                <w:color w:val="auto"/>
                <w:szCs w:val="21"/>
                <w:highlight w:val="none"/>
                <w:lang w:val="en-US" w:eastAsia="zh-CN"/>
              </w:rPr>
              <w:t>扣1分</w:t>
            </w:r>
            <w:r>
              <w:rPr>
                <w:rFonts w:hint="eastAsia" w:ascii="宋体" w:hAnsi="宋体" w:cs="宋体"/>
                <w:color w:val="auto"/>
                <w:szCs w:val="21"/>
                <w:highlight w:val="none"/>
              </w:rPr>
              <w:t>：未按要求设置醒目围护的；未按要求设置醒目警示牌的；未按要求（灌水、联接、整齐等）设置活动围护的；活动护栏倾倒的；活动护栏倾倒后未在规定时限内整改的</w:t>
            </w:r>
            <w:r>
              <w:rPr>
                <w:rFonts w:hint="eastAsia" w:ascii="宋体" w:hAnsi="宋体" w:cs="宋体"/>
                <w:color w:val="auto"/>
                <w:szCs w:val="21"/>
                <w:highlight w:val="none"/>
                <w:lang w:eastAsia="zh-CN"/>
              </w:rPr>
              <w:t>。</w:t>
            </w:r>
          </w:p>
        </w:tc>
        <w:tc>
          <w:tcPr>
            <w:tcW w:w="470" w:type="pct"/>
            <w:tcBorders>
              <w:top w:val="nil"/>
              <w:left w:val="nil"/>
              <w:bottom w:val="single" w:color="000000" w:sz="4" w:space="0"/>
              <w:right w:val="single" w:color="000000" w:sz="4" w:space="0"/>
            </w:tcBorders>
            <w:noWrap w:val="0"/>
            <w:vAlign w:val="center"/>
          </w:tcPr>
          <w:p w14:paraId="23EB7304">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w:t>
            </w:r>
          </w:p>
        </w:tc>
        <w:tc>
          <w:tcPr>
            <w:tcW w:w="519" w:type="pct"/>
            <w:tcBorders>
              <w:top w:val="nil"/>
              <w:left w:val="single" w:color="000000" w:sz="4" w:space="0"/>
              <w:bottom w:val="single" w:color="000000" w:sz="4" w:space="0"/>
              <w:right w:val="single" w:color="000000" w:sz="4" w:space="0"/>
            </w:tcBorders>
            <w:noWrap w:val="0"/>
            <w:vAlign w:val="center"/>
          </w:tcPr>
          <w:p w14:paraId="5F8B44C7">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3AC4E7C7">
            <w:pPr>
              <w:widowControl/>
              <w:jc w:val="left"/>
              <w:rPr>
                <w:rFonts w:hint="eastAsia" w:ascii="宋体" w:hAnsi="宋体" w:cs="宋体"/>
                <w:color w:val="auto"/>
                <w:szCs w:val="21"/>
                <w:highlight w:val="none"/>
              </w:rPr>
            </w:pPr>
          </w:p>
        </w:tc>
      </w:tr>
      <w:tr w14:paraId="55DF61CE">
        <w:tblPrEx>
          <w:tblCellMar>
            <w:top w:w="0" w:type="dxa"/>
            <w:left w:w="108" w:type="dxa"/>
            <w:bottom w:w="0" w:type="dxa"/>
            <w:right w:w="108" w:type="dxa"/>
          </w:tblCellMar>
        </w:tblPrEx>
        <w:trPr>
          <w:trHeight w:val="366"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5905CD9A">
            <w:pPr>
              <w:widowControl/>
              <w:jc w:val="left"/>
              <w:rPr>
                <w:rFonts w:hint="eastAsia" w:ascii="宋体" w:hAnsi="宋体" w:cs="宋体"/>
                <w:color w:val="auto"/>
                <w:szCs w:val="21"/>
                <w:highlight w:val="none"/>
              </w:rPr>
            </w:pPr>
          </w:p>
        </w:tc>
        <w:tc>
          <w:tcPr>
            <w:tcW w:w="229" w:type="pct"/>
            <w:vMerge w:val="continue"/>
            <w:tcBorders>
              <w:top w:val="nil"/>
              <w:left w:val="single" w:color="000000" w:sz="4" w:space="0"/>
              <w:bottom w:val="single" w:color="000000" w:sz="4" w:space="0"/>
              <w:right w:val="single" w:color="000000" w:sz="4" w:space="0"/>
            </w:tcBorders>
            <w:noWrap w:val="0"/>
            <w:vAlign w:val="center"/>
          </w:tcPr>
          <w:p w14:paraId="58138B71">
            <w:pPr>
              <w:widowControl/>
              <w:jc w:val="left"/>
              <w:rPr>
                <w:rFonts w:hint="eastAsia" w:ascii="宋体" w:hAnsi="宋体" w:cs="宋体"/>
                <w:color w:val="auto"/>
                <w:szCs w:val="21"/>
                <w:highlight w:val="none"/>
              </w:rPr>
            </w:pPr>
          </w:p>
        </w:tc>
        <w:tc>
          <w:tcPr>
            <w:tcW w:w="1596" w:type="pct"/>
            <w:tcBorders>
              <w:top w:val="nil"/>
              <w:left w:val="nil"/>
              <w:bottom w:val="single" w:color="000000" w:sz="4" w:space="0"/>
              <w:right w:val="single" w:color="000000" w:sz="4" w:space="0"/>
            </w:tcBorders>
            <w:noWrap w:val="0"/>
            <w:vAlign w:val="center"/>
          </w:tcPr>
          <w:p w14:paraId="77DEC72B">
            <w:pPr>
              <w:widowControl/>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养护</w:t>
            </w:r>
            <w:r>
              <w:rPr>
                <w:rFonts w:hint="eastAsia" w:ascii="宋体" w:hAnsi="宋体" w:cs="宋体"/>
                <w:color w:val="auto"/>
                <w:szCs w:val="21"/>
                <w:highlight w:val="none"/>
              </w:rPr>
              <w:t>现场材料机具清理、垃圾清理外运情况</w:t>
            </w:r>
          </w:p>
        </w:tc>
        <w:tc>
          <w:tcPr>
            <w:tcW w:w="1487" w:type="pct"/>
            <w:tcBorders>
              <w:top w:val="nil"/>
              <w:left w:val="nil"/>
              <w:bottom w:val="single" w:color="000000" w:sz="4" w:space="0"/>
              <w:right w:val="single" w:color="000000" w:sz="4" w:space="0"/>
            </w:tcBorders>
            <w:noWrap w:val="0"/>
            <w:vAlign w:val="center"/>
          </w:tcPr>
          <w:p w14:paraId="127B8EC4">
            <w:pPr>
              <w:widowControl/>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有以下情况的，每发生一起</w:t>
            </w:r>
            <w:r>
              <w:rPr>
                <w:rFonts w:hint="eastAsia" w:ascii="宋体" w:hAnsi="宋体" w:cs="宋体"/>
                <w:color w:val="auto"/>
                <w:szCs w:val="21"/>
                <w:highlight w:val="none"/>
                <w:lang w:val="en-US" w:eastAsia="zh-CN"/>
              </w:rPr>
              <w:t>扣1分</w:t>
            </w:r>
            <w:r>
              <w:rPr>
                <w:rFonts w:hint="eastAsia" w:ascii="宋体" w:hAnsi="宋体" w:cs="宋体"/>
                <w:color w:val="auto"/>
                <w:szCs w:val="21"/>
                <w:highlight w:val="none"/>
              </w:rPr>
              <w:t>：材料机具乱堆乱放、影响通行的；建筑垃圾未清理归堆、乱堆乱放、影响通行的；建筑垃圾在规定时限内未清运的</w:t>
            </w:r>
            <w:r>
              <w:rPr>
                <w:rFonts w:hint="eastAsia" w:ascii="宋体" w:hAnsi="宋体" w:cs="宋体"/>
                <w:color w:val="auto"/>
                <w:szCs w:val="21"/>
                <w:highlight w:val="none"/>
                <w:lang w:eastAsia="zh-CN"/>
              </w:rPr>
              <w:t>。</w:t>
            </w:r>
          </w:p>
        </w:tc>
        <w:tc>
          <w:tcPr>
            <w:tcW w:w="470" w:type="pct"/>
            <w:tcBorders>
              <w:top w:val="nil"/>
              <w:left w:val="nil"/>
              <w:bottom w:val="single" w:color="000000" w:sz="4" w:space="0"/>
              <w:right w:val="single" w:color="000000" w:sz="4" w:space="0"/>
            </w:tcBorders>
            <w:noWrap w:val="0"/>
            <w:vAlign w:val="center"/>
          </w:tcPr>
          <w:p w14:paraId="0FF13DC3">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w:t>
            </w:r>
          </w:p>
        </w:tc>
        <w:tc>
          <w:tcPr>
            <w:tcW w:w="519" w:type="pct"/>
            <w:tcBorders>
              <w:top w:val="nil"/>
              <w:left w:val="single" w:color="000000" w:sz="4" w:space="0"/>
              <w:bottom w:val="single" w:color="000000" w:sz="4" w:space="0"/>
              <w:right w:val="single" w:color="000000" w:sz="4" w:space="0"/>
            </w:tcBorders>
            <w:noWrap w:val="0"/>
            <w:vAlign w:val="center"/>
          </w:tcPr>
          <w:p w14:paraId="69947CFA">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0A7C9719">
            <w:pPr>
              <w:widowControl/>
              <w:jc w:val="left"/>
              <w:rPr>
                <w:rFonts w:hint="eastAsia" w:ascii="宋体" w:hAnsi="宋体" w:cs="宋体"/>
                <w:color w:val="auto"/>
                <w:szCs w:val="21"/>
                <w:highlight w:val="none"/>
              </w:rPr>
            </w:pPr>
          </w:p>
        </w:tc>
      </w:tr>
      <w:tr w14:paraId="5EDEBEAE">
        <w:tblPrEx>
          <w:tblCellMar>
            <w:top w:w="0" w:type="dxa"/>
            <w:left w:w="108" w:type="dxa"/>
            <w:bottom w:w="0" w:type="dxa"/>
            <w:right w:w="108" w:type="dxa"/>
          </w:tblCellMar>
        </w:tblPrEx>
        <w:trPr>
          <w:trHeight w:val="1115"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4C6842D5">
            <w:pPr>
              <w:widowControl/>
              <w:jc w:val="left"/>
              <w:rPr>
                <w:rFonts w:hint="eastAsia" w:ascii="宋体" w:hAnsi="宋体" w:cs="宋体"/>
                <w:color w:val="auto"/>
                <w:szCs w:val="21"/>
                <w:highlight w:val="none"/>
              </w:rPr>
            </w:pPr>
          </w:p>
        </w:tc>
        <w:tc>
          <w:tcPr>
            <w:tcW w:w="229" w:type="pct"/>
            <w:vMerge w:val="continue"/>
            <w:tcBorders>
              <w:top w:val="nil"/>
              <w:left w:val="single" w:color="000000" w:sz="4" w:space="0"/>
              <w:bottom w:val="single" w:color="000000" w:sz="4" w:space="0"/>
              <w:right w:val="single" w:color="000000" w:sz="4" w:space="0"/>
            </w:tcBorders>
            <w:noWrap w:val="0"/>
            <w:vAlign w:val="center"/>
          </w:tcPr>
          <w:p w14:paraId="185C19C2">
            <w:pPr>
              <w:widowControl/>
              <w:jc w:val="left"/>
              <w:rPr>
                <w:rFonts w:hint="eastAsia" w:ascii="宋体" w:hAnsi="宋体" w:cs="宋体"/>
                <w:color w:val="auto"/>
                <w:szCs w:val="21"/>
                <w:highlight w:val="none"/>
              </w:rPr>
            </w:pPr>
          </w:p>
        </w:tc>
        <w:tc>
          <w:tcPr>
            <w:tcW w:w="1596" w:type="pct"/>
            <w:tcBorders>
              <w:top w:val="nil"/>
              <w:left w:val="nil"/>
              <w:bottom w:val="single" w:color="000000" w:sz="4" w:space="0"/>
              <w:right w:val="single" w:color="000000" w:sz="4" w:space="0"/>
            </w:tcBorders>
            <w:noWrap w:val="0"/>
            <w:vAlign w:val="center"/>
          </w:tcPr>
          <w:p w14:paraId="6165F09F">
            <w:pPr>
              <w:widowControl/>
              <w:jc w:val="left"/>
              <w:rPr>
                <w:rFonts w:hint="eastAsia" w:ascii="宋体" w:hAnsi="宋体" w:cs="宋体"/>
                <w:color w:val="auto"/>
                <w:szCs w:val="21"/>
                <w:highlight w:val="none"/>
              </w:rPr>
            </w:pPr>
            <w:r>
              <w:rPr>
                <w:rFonts w:hint="eastAsia" w:ascii="宋体" w:hAnsi="宋体" w:cs="宋体"/>
                <w:color w:val="auto"/>
                <w:szCs w:val="21"/>
                <w:highlight w:val="none"/>
              </w:rPr>
              <w:t>因</w:t>
            </w:r>
            <w:r>
              <w:rPr>
                <w:rFonts w:hint="eastAsia" w:ascii="宋体" w:hAnsi="宋体" w:cs="宋体"/>
                <w:color w:val="auto"/>
                <w:szCs w:val="21"/>
                <w:highlight w:val="none"/>
                <w:lang w:val="en-US" w:eastAsia="zh-CN"/>
              </w:rPr>
              <w:t>养护</w:t>
            </w:r>
            <w:r>
              <w:rPr>
                <w:rFonts w:hint="eastAsia" w:ascii="宋体" w:hAnsi="宋体" w:cs="宋体"/>
                <w:color w:val="auto"/>
                <w:szCs w:val="21"/>
                <w:highlight w:val="none"/>
              </w:rPr>
              <w:t>造成</w:t>
            </w:r>
            <w:r>
              <w:rPr>
                <w:rFonts w:hint="eastAsia" w:ascii="宋体" w:hAnsi="宋体" w:cs="宋体"/>
                <w:color w:val="auto"/>
                <w:szCs w:val="21"/>
                <w:highlight w:val="none"/>
                <w:lang w:val="en-US" w:eastAsia="zh-CN"/>
              </w:rPr>
              <w:t>养护</w:t>
            </w:r>
            <w:r>
              <w:rPr>
                <w:rFonts w:hint="eastAsia" w:ascii="宋体" w:hAnsi="宋体" w:cs="宋体"/>
                <w:color w:val="auto"/>
                <w:szCs w:val="21"/>
                <w:highlight w:val="none"/>
              </w:rPr>
              <w:t>人员安全事故，或行人交通事故</w:t>
            </w:r>
          </w:p>
        </w:tc>
        <w:tc>
          <w:tcPr>
            <w:tcW w:w="1487" w:type="pct"/>
            <w:tcBorders>
              <w:top w:val="nil"/>
              <w:left w:val="nil"/>
              <w:bottom w:val="single" w:color="000000" w:sz="4" w:space="0"/>
              <w:right w:val="single" w:color="000000" w:sz="4" w:space="0"/>
            </w:tcBorders>
            <w:noWrap w:val="0"/>
            <w:vAlign w:val="center"/>
          </w:tcPr>
          <w:p w14:paraId="3B172333">
            <w:pPr>
              <w:widowControl/>
              <w:jc w:val="left"/>
              <w:rPr>
                <w:rFonts w:hint="eastAsia" w:ascii="宋体" w:hAnsi="宋体" w:cs="宋体"/>
                <w:color w:val="auto"/>
                <w:szCs w:val="21"/>
                <w:highlight w:val="none"/>
              </w:rPr>
            </w:pPr>
            <w:r>
              <w:rPr>
                <w:rFonts w:hint="eastAsia" w:ascii="宋体" w:hAnsi="宋体" w:cs="宋体"/>
                <w:color w:val="auto"/>
                <w:szCs w:val="21"/>
                <w:highlight w:val="none"/>
              </w:rPr>
              <w:t>因</w:t>
            </w:r>
            <w:r>
              <w:rPr>
                <w:rFonts w:hint="eastAsia" w:ascii="宋体" w:hAnsi="宋体" w:cs="宋体"/>
                <w:color w:val="auto"/>
                <w:szCs w:val="21"/>
                <w:highlight w:val="none"/>
                <w:lang w:val="en-US" w:eastAsia="zh-CN"/>
              </w:rPr>
              <w:t>养护</w:t>
            </w:r>
            <w:r>
              <w:rPr>
                <w:rFonts w:hint="eastAsia" w:ascii="宋体" w:hAnsi="宋体" w:cs="宋体"/>
                <w:color w:val="auto"/>
                <w:szCs w:val="21"/>
                <w:highlight w:val="none"/>
              </w:rPr>
              <w:t>造成</w:t>
            </w:r>
            <w:r>
              <w:rPr>
                <w:rFonts w:hint="eastAsia" w:ascii="宋体" w:hAnsi="宋体" w:cs="宋体"/>
                <w:color w:val="auto"/>
                <w:szCs w:val="21"/>
                <w:highlight w:val="none"/>
                <w:lang w:val="en-US" w:eastAsia="zh-CN"/>
              </w:rPr>
              <w:t>养护</w:t>
            </w:r>
            <w:r>
              <w:rPr>
                <w:rFonts w:hint="eastAsia" w:ascii="宋体" w:hAnsi="宋体" w:cs="宋体"/>
                <w:color w:val="auto"/>
                <w:szCs w:val="21"/>
                <w:highlight w:val="none"/>
              </w:rPr>
              <w:t>人员安全事故或行人交通事故，造成轻微事故的，每发生一起</w:t>
            </w:r>
            <w:r>
              <w:rPr>
                <w:rFonts w:hint="eastAsia" w:ascii="宋体" w:hAnsi="宋体" w:cs="宋体"/>
                <w:color w:val="auto"/>
                <w:szCs w:val="21"/>
                <w:highlight w:val="none"/>
                <w:lang w:val="en-US" w:eastAsia="zh-CN"/>
              </w:rPr>
              <w:t>扣1分。</w:t>
            </w:r>
          </w:p>
        </w:tc>
        <w:tc>
          <w:tcPr>
            <w:tcW w:w="470" w:type="pct"/>
            <w:tcBorders>
              <w:top w:val="nil"/>
              <w:left w:val="nil"/>
              <w:bottom w:val="single" w:color="000000" w:sz="4" w:space="0"/>
              <w:right w:val="single" w:color="000000" w:sz="4" w:space="0"/>
            </w:tcBorders>
            <w:noWrap w:val="0"/>
            <w:vAlign w:val="center"/>
          </w:tcPr>
          <w:p w14:paraId="5C0DB991">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w:t>
            </w:r>
          </w:p>
        </w:tc>
        <w:tc>
          <w:tcPr>
            <w:tcW w:w="519" w:type="pct"/>
            <w:tcBorders>
              <w:top w:val="nil"/>
              <w:left w:val="single" w:color="000000" w:sz="4" w:space="0"/>
              <w:bottom w:val="single" w:color="000000" w:sz="4" w:space="0"/>
              <w:right w:val="single" w:color="000000" w:sz="4" w:space="0"/>
            </w:tcBorders>
            <w:noWrap w:val="0"/>
            <w:vAlign w:val="center"/>
          </w:tcPr>
          <w:p w14:paraId="6D68D66A">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5BCD8BA6">
            <w:pPr>
              <w:widowControl/>
              <w:jc w:val="left"/>
              <w:rPr>
                <w:rFonts w:hint="eastAsia" w:ascii="宋体" w:hAnsi="宋体" w:cs="宋体"/>
                <w:color w:val="auto"/>
                <w:szCs w:val="21"/>
                <w:highlight w:val="none"/>
              </w:rPr>
            </w:pPr>
          </w:p>
        </w:tc>
      </w:tr>
      <w:tr w14:paraId="63F67A07">
        <w:tblPrEx>
          <w:tblCellMar>
            <w:top w:w="0" w:type="dxa"/>
            <w:left w:w="108" w:type="dxa"/>
            <w:bottom w:w="0" w:type="dxa"/>
            <w:right w:w="108" w:type="dxa"/>
          </w:tblCellMar>
        </w:tblPrEx>
        <w:trPr>
          <w:trHeight w:val="1115" w:hRule="atLeast"/>
          <w:jc w:val="center"/>
        </w:trPr>
        <w:tc>
          <w:tcPr>
            <w:tcW w:w="229" w:type="pct"/>
            <w:vMerge w:val="restart"/>
            <w:tcBorders>
              <w:top w:val="nil"/>
              <w:left w:val="single" w:color="000000" w:sz="4" w:space="0"/>
              <w:bottom w:val="single" w:color="000000" w:sz="4" w:space="0"/>
              <w:right w:val="single" w:color="000000" w:sz="4" w:space="0"/>
            </w:tcBorders>
            <w:noWrap w:val="0"/>
            <w:vAlign w:val="center"/>
          </w:tcPr>
          <w:p w14:paraId="362EDDB5">
            <w:pPr>
              <w:widowControl/>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巡查考核</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15分</w:t>
            </w:r>
            <w:r>
              <w:rPr>
                <w:rFonts w:hint="eastAsia" w:ascii="宋体" w:hAnsi="宋体" w:cs="宋体"/>
                <w:color w:val="auto"/>
                <w:szCs w:val="21"/>
                <w:highlight w:val="none"/>
                <w:lang w:eastAsia="zh-CN"/>
              </w:rPr>
              <w:t>）</w:t>
            </w:r>
          </w:p>
        </w:tc>
        <w:tc>
          <w:tcPr>
            <w:tcW w:w="229" w:type="pct"/>
            <w:tcBorders>
              <w:top w:val="nil"/>
              <w:left w:val="nil"/>
              <w:bottom w:val="single" w:color="000000" w:sz="4" w:space="0"/>
              <w:right w:val="single" w:color="000000" w:sz="4" w:space="0"/>
            </w:tcBorders>
            <w:noWrap w:val="0"/>
            <w:vAlign w:val="center"/>
          </w:tcPr>
          <w:p w14:paraId="083B5E2D">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巡查资料</w:t>
            </w:r>
          </w:p>
        </w:tc>
        <w:tc>
          <w:tcPr>
            <w:tcW w:w="1596" w:type="pct"/>
            <w:tcBorders>
              <w:top w:val="nil"/>
              <w:left w:val="nil"/>
              <w:bottom w:val="single" w:color="000000" w:sz="4" w:space="0"/>
              <w:right w:val="single" w:color="000000" w:sz="4" w:space="0"/>
            </w:tcBorders>
            <w:noWrap w:val="0"/>
            <w:vAlign w:val="center"/>
          </w:tcPr>
          <w:p w14:paraId="24C02CEF">
            <w:pPr>
              <w:widowControl/>
              <w:jc w:val="left"/>
              <w:rPr>
                <w:rFonts w:hint="eastAsia" w:ascii="宋体" w:hAnsi="宋体" w:cs="宋体"/>
                <w:color w:val="auto"/>
                <w:szCs w:val="21"/>
                <w:highlight w:val="none"/>
              </w:rPr>
            </w:pPr>
            <w:r>
              <w:rPr>
                <w:rFonts w:hint="eastAsia" w:ascii="宋体" w:hAnsi="宋体" w:cs="宋体"/>
                <w:color w:val="auto"/>
                <w:szCs w:val="21"/>
                <w:highlight w:val="none"/>
              </w:rPr>
              <w:t>有完整的月度巡查计划、巡查情况台帐、巡查结果日报</w:t>
            </w:r>
          </w:p>
        </w:tc>
        <w:tc>
          <w:tcPr>
            <w:tcW w:w="1487" w:type="pct"/>
            <w:tcBorders>
              <w:top w:val="nil"/>
              <w:left w:val="nil"/>
              <w:bottom w:val="single" w:color="000000" w:sz="4" w:space="0"/>
              <w:right w:val="single" w:color="000000" w:sz="4" w:space="0"/>
            </w:tcBorders>
            <w:noWrap w:val="0"/>
            <w:vAlign w:val="center"/>
          </w:tcPr>
          <w:p w14:paraId="3A288C29">
            <w:pPr>
              <w:widowControl/>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资料未及时整理归档的，</w:t>
            </w:r>
            <w:r>
              <w:rPr>
                <w:rFonts w:hint="eastAsia" w:ascii="宋体" w:hAnsi="宋体" w:cs="宋体"/>
                <w:color w:val="auto"/>
                <w:szCs w:val="21"/>
                <w:highlight w:val="none"/>
                <w:lang w:val="en-US" w:eastAsia="zh-CN"/>
              </w:rPr>
              <w:t>每发生一次扣1分</w:t>
            </w:r>
            <w:r>
              <w:rPr>
                <w:rFonts w:hint="eastAsia" w:ascii="宋体" w:hAnsi="宋体" w:cs="宋体"/>
                <w:color w:val="auto"/>
                <w:szCs w:val="21"/>
                <w:highlight w:val="none"/>
              </w:rPr>
              <w:t>；巡查计划和巡查结果日报未按要求及时上报的</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每发生一次扣1分。</w:t>
            </w:r>
          </w:p>
        </w:tc>
        <w:tc>
          <w:tcPr>
            <w:tcW w:w="470" w:type="pct"/>
            <w:tcBorders>
              <w:top w:val="nil"/>
              <w:left w:val="nil"/>
              <w:bottom w:val="single" w:color="000000" w:sz="4" w:space="0"/>
              <w:right w:val="single" w:color="000000" w:sz="4" w:space="0"/>
            </w:tcBorders>
            <w:noWrap w:val="0"/>
            <w:vAlign w:val="center"/>
          </w:tcPr>
          <w:p w14:paraId="011760EF">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w:t>
            </w:r>
          </w:p>
        </w:tc>
        <w:tc>
          <w:tcPr>
            <w:tcW w:w="519" w:type="pct"/>
            <w:tcBorders>
              <w:top w:val="nil"/>
              <w:left w:val="single" w:color="000000" w:sz="4" w:space="0"/>
              <w:bottom w:val="single" w:color="000000" w:sz="4" w:space="0"/>
              <w:right w:val="single" w:color="000000" w:sz="4" w:space="0"/>
            </w:tcBorders>
            <w:noWrap w:val="0"/>
            <w:vAlign w:val="center"/>
          </w:tcPr>
          <w:p w14:paraId="48CEBB15">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7BA26E5B">
            <w:pPr>
              <w:widowControl/>
              <w:jc w:val="left"/>
              <w:rPr>
                <w:rFonts w:hint="eastAsia" w:ascii="宋体" w:hAnsi="宋体" w:cs="宋体"/>
                <w:color w:val="auto"/>
                <w:szCs w:val="21"/>
                <w:highlight w:val="none"/>
              </w:rPr>
            </w:pPr>
          </w:p>
        </w:tc>
      </w:tr>
      <w:tr w14:paraId="2B2D94AF">
        <w:tblPrEx>
          <w:tblCellMar>
            <w:top w:w="0" w:type="dxa"/>
            <w:left w:w="108" w:type="dxa"/>
            <w:bottom w:w="0" w:type="dxa"/>
            <w:right w:w="108" w:type="dxa"/>
          </w:tblCellMar>
        </w:tblPrEx>
        <w:trPr>
          <w:trHeight w:val="839"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1626DB14">
            <w:pPr>
              <w:widowControl/>
              <w:jc w:val="left"/>
              <w:rPr>
                <w:rFonts w:hint="eastAsia" w:ascii="宋体" w:hAnsi="宋体" w:cs="宋体"/>
                <w:color w:val="auto"/>
                <w:szCs w:val="21"/>
                <w:highlight w:val="none"/>
              </w:rPr>
            </w:pPr>
          </w:p>
        </w:tc>
        <w:tc>
          <w:tcPr>
            <w:tcW w:w="229" w:type="pct"/>
            <w:vMerge w:val="restart"/>
            <w:tcBorders>
              <w:top w:val="nil"/>
              <w:left w:val="single" w:color="000000" w:sz="4" w:space="0"/>
              <w:bottom w:val="single" w:color="000000" w:sz="4" w:space="0"/>
              <w:right w:val="single" w:color="000000" w:sz="4" w:space="0"/>
            </w:tcBorders>
            <w:noWrap w:val="0"/>
            <w:vAlign w:val="center"/>
          </w:tcPr>
          <w:p w14:paraId="5D2833DB">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巡查过程</w:t>
            </w:r>
          </w:p>
        </w:tc>
        <w:tc>
          <w:tcPr>
            <w:tcW w:w="1596" w:type="pct"/>
            <w:tcBorders>
              <w:top w:val="nil"/>
              <w:left w:val="nil"/>
              <w:bottom w:val="single" w:color="000000" w:sz="4" w:space="0"/>
              <w:right w:val="single" w:color="000000" w:sz="4" w:space="0"/>
            </w:tcBorders>
            <w:noWrap w:val="0"/>
            <w:vAlign w:val="center"/>
          </w:tcPr>
          <w:p w14:paraId="1068C7BC">
            <w:pPr>
              <w:widowControl/>
              <w:jc w:val="left"/>
              <w:rPr>
                <w:rFonts w:hint="eastAsia" w:ascii="宋体" w:hAnsi="宋体" w:cs="宋体"/>
                <w:color w:val="auto"/>
                <w:szCs w:val="21"/>
                <w:highlight w:val="none"/>
              </w:rPr>
            </w:pPr>
            <w:r>
              <w:rPr>
                <w:rFonts w:hint="eastAsia" w:ascii="宋体" w:hAnsi="宋体" w:cs="宋体"/>
                <w:color w:val="auto"/>
                <w:szCs w:val="21"/>
                <w:highlight w:val="none"/>
              </w:rPr>
              <w:t>巡查结果</w:t>
            </w:r>
          </w:p>
        </w:tc>
        <w:tc>
          <w:tcPr>
            <w:tcW w:w="1487" w:type="pct"/>
            <w:tcBorders>
              <w:top w:val="nil"/>
              <w:left w:val="nil"/>
              <w:bottom w:val="single" w:color="000000" w:sz="4" w:space="0"/>
              <w:right w:val="single" w:color="000000" w:sz="4" w:space="0"/>
            </w:tcBorders>
            <w:noWrap w:val="0"/>
            <w:vAlign w:val="center"/>
          </w:tcPr>
          <w:p w14:paraId="3ADC13F5">
            <w:pPr>
              <w:widowControl/>
              <w:jc w:val="left"/>
              <w:rPr>
                <w:rFonts w:hint="eastAsia" w:ascii="宋体" w:hAnsi="宋体" w:cs="宋体"/>
                <w:color w:val="auto"/>
                <w:szCs w:val="21"/>
                <w:highlight w:val="none"/>
              </w:rPr>
            </w:pPr>
            <w:r>
              <w:rPr>
                <w:rFonts w:hint="eastAsia" w:ascii="宋体" w:hAnsi="宋体" w:cs="宋体"/>
                <w:color w:val="auto"/>
                <w:szCs w:val="21"/>
                <w:highlight w:val="none"/>
              </w:rPr>
              <w:t>长效管理平台、信访单、来电来访等信息来源有关于市政设施损坏而巡查队未上报，每月超过3个以上的，</w:t>
            </w:r>
            <w:r>
              <w:rPr>
                <w:rFonts w:hint="eastAsia" w:ascii="宋体" w:hAnsi="宋体" w:cs="宋体"/>
                <w:color w:val="auto"/>
                <w:szCs w:val="21"/>
                <w:highlight w:val="none"/>
                <w:lang w:val="en-US" w:eastAsia="zh-CN"/>
              </w:rPr>
              <w:t>扣1分</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次</w:t>
            </w:r>
            <w:r>
              <w:rPr>
                <w:rFonts w:hint="eastAsia" w:ascii="宋体" w:hAnsi="宋体" w:cs="宋体"/>
                <w:color w:val="auto"/>
                <w:szCs w:val="21"/>
                <w:highlight w:val="none"/>
              </w:rPr>
              <w:t>。</w:t>
            </w:r>
          </w:p>
        </w:tc>
        <w:tc>
          <w:tcPr>
            <w:tcW w:w="470" w:type="pct"/>
            <w:tcBorders>
              <w:top w:val="nil"/>
              <w:left w:val="nil"/>
              <w:bottom w:val="single" w:color="000000" w:sz="4" w:space="0"/>
              <w:right w:val="single" w:color="000000" w:sz="4" w:space="0"/>
            </w:tcBorders>
            <w:noWrap w:val="0"/>
            <w:vAlign w:val="center"/>
          </w:tcPr>
          <w:p w14:paraId="6CE121E6">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w:t>
            </w:r>
          </w:p>
        </w:tc>
        <w:tc>
          <w:tcPr>
            <w:tcW w:w="519" w:type="pct"/>
            <w:tcBorders>
              <w:top w:val="nil"/>
              <w:left w:val="single" w:color="000000" w:sz="4" w:space="0"/>
              <w:bottom w:val="single" w:color="000000" w:sz="4" w:space="0"/>
              <w:right w:val="single" w:color="000000" w:sz="4" w:space="0"/>
            </w:tcBorders>
            <w:noWrap w:val="0"/>
            <w:vAlign w:val="center"/>
          </w:tcPr>
          <w:p w14:paraId="576404AA">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2D0C4D59">
            <w:pPr>
              <w:widowControl/>
              <w:jc w:val="left"/>
              <w:rPr>
                <w:rFonts w:hint="eastAsia" w:ascii="宋体" w:hAnsi="宋体" w:cs="宋体"/>
                <w:color w:val="auto"/>
                <w:szCs w:val="21"/>
                <w:highlight w:val="none"/>
              </w:rPr>
            </w:pPr>
          </w:p>
        </w:tc>
      </w:tr>
      <w:tr w14:paraId="398C2644">
        <w:tblPrEx>
          <w:tblCellMar>
            <w:top w:w="0" w:type="dxa"/>
            <w:left w:w="108" w:type="dxa"/>
            <w:bottom w:w="0" w:type="dxa"/>
            <w:right w:w="108" w:type="dxa"/>
          </w:tblCellMar>
        </w:tblPrEx>
        <w:trPr>
          <w:trHeight w:val="839" w:hRule="atLeast"/>
          <w:jc w:val="center"/>
        </w:trPr>
        <w:tc>
          <w:tcPr>
            <w:tcW w:w="229" w:type="pct"/>
            <w:vMerge w:val="continue"/>
            <w:tcBorders>
              <w:top w:val="nil"/>
              <w:left w:val="single" w:color="000000" w:sz="4" w:space="0"/>
              <w:bottom w:val="single" w:color="000000" w:sz="4" w:space="0"/>
              <w:right w:val="single" w:color="000000" w:sz="4" w:space="0"/>
            </w:tcBorders>
            <w:noWrap w:val="0"/>
            <w:vAlign w:val="center"/>
          </w:tcPr>
          <w:p w14:paraId="4340384D">
            <w:pPr>
              <w:widowControl/>
              <w:jc w:val="left"/>
              <w:rPr>
                <w:rFonts w:hint="eastAsia" w:ascii="宋体" w:hAnsi="宋体" w:cs="宋体"/>
                <w:color w:val="auto"/>
                <w:szCs w:val="21"/>
                <w:highlight w:val="none"/>
              </w:rPr>
            </w:pPr>
          </w:p>
        </w:tc>
        <w:tc>
          <w:tcPr>
            <w:tcW w:w="229" w:type="pct"/>
            <w:vMerge w:val="continue"/>
            <w:tcBorders>
              <w:top w:val="nil"/>
              <w:left w:val="single" w:color="000000" w:sz="4" w:space="0"/>
              <w:bottom w:val="single" w:color="000000" w:sz="4" w:space="0"/>
              <w:right w:val="single" w:color="000000" w:sz="4" w:space="0"/>
            </w:tcBorders>
            <w:noWrap w:val="0"/>
            <w:vAlign w:val="center"/>
          </w:tcPr>
          <w:p w14:paraId="250625CE">
            <w:pPr>
              <w:widowControl/>
              <w:jc w:val="left"/>
              <w:rPr>
                <w:rFonts w:hint="eastAsia" w:ascii="宋体" w:hAnsi="宋体" w:cs="宋体"/>
                <w:color w:val="auto"/>
                <w:szCs w:val="21"/>
                <w:highlight w:val="none"/>
              </w:rPr>
            </w:pPr>
          </w:p>
        </w:tc>
        <w:tc>
          <w:tcPr>
            <w:tcW w:w="1596" w:type="pct"/>
            <w:tcBorders>
              <w:top w:val="nil"/>
              <w:left w:val="nil"/>
              <w:bottom w:val="single" w:color="000000" w:sz="4" w:space="0"/>
              <w:right w:val="single" w:color="000000" w:sz="4" w:space="0"/>
            </w:tcBorders>
            <w:noWrap w:val="0"/>
            <w:vAlign w:val="center"/>
          </w:tcPr>
          <w:p w14:paraId="75485517">
            <w:pPr>
              <w:widowControl/>
              <w:jc w:val="left"/>
              <w:rPr>
                <w:rFonts w:hint="eastAsia" w:ascii="宋体" w:hAnsi="宋体" w:cs="宋体"/>
                <w:color w:val="auto"/>
                <w:szCs w:val="21"/>
                <w:highlight w:val="none"/>
              </w:rPr>
            </w:pPr>
            <w:r>
              <w:rPr>
                <w:rFonts w:hint="eastAsia" w:ascii="宋体" w:hAnsi="宋体" w:cs="宋体"/>
                <w:color w:val="auto"/>
                <w:szCs w:val="21"/>
                <w:highlight w:val="none"/>
              </w:rPr>
              <w:t>巡查情况</w:t>
            </w:r>
          </w:p>
        </w:tc>
        <w:tc>
          <w:tcPr>
            <w:tcW w:w="1487" w:type="pct"/>
            <w:tcBorders>
              <w:top w:val="nil"/>
              <w:left w:val="nil"/>
              <w:bottom w:val="single" w:color="000000" w:sz="4" w:space="0"/>
              <w:right w:val="single" w:color="000000" w:sz="4" w:space="0"/>
            </w:tcBorders>
            <w:noWrap w:val="0"/>
            <w:vAlign w:val="center"/>
          </w:tcPr>
          <w:p w14:paraId="3E859443">
            <w:pPr>
              <w:widowControl/>
              <w:jc w:val="left"/>
              <w:rPr>
                <w:rFonts w:hint="eastAsia" w:ascii="宋体" w:hAnsi="宋体" w:cs="宋体"/>
                <w:color w:val="auto"/>
                <w:szCs w:val="21"/>
                <w:highlight w:val="none"/>
              </w:rPr>
            </w:pPr>
            <w:r>
              <w:rPr>
                <w:rFonts w:hint="eastAsia" w:ascii="宋体" w:hAnsi="宋体" w:cs="宋体"/>
                <w:color w:val="auto"/>
                <w:szCs w:val="21"/>
                <w:highlight w:val="none"/>
              </w:rPr>
              <w:t>未按巡查计划巡查或巡查未到位，问题未及时上报，紧急情况处理未及时或不当一次，</w:t>
            </w:r>
            <w:r>
              <w:rPr>
                <w:rFonts w:hint="eastAsia" w:ascii="宋体" w:hAnsi="宋体" w:cs="宋体"/>
                <w:color w:val="auto"/>
                <w:szCs w:val="21"/>
                <w:highlight w:val="none"/>
                <w:lang w:val="en-US" w:eastAsia="zh-CN"/>
              </w:rPr>
              <w:t>扣1分/次</w:t>
            </w:r>
            <w:r>
              <w:rPr>
                <w:rFonts w:hint="eastAsia" w:ascii="宋体" w:hAnsi="宋体" w:cs="宋体"/>
                <w:color w:val="auto"/>
                <w:szCs w:val="21"/>
                <w:highlight w:val="none"/>
              </w:rPr>
              <w:t>。</w:t>
            </w:r>
          </w:p>
        </w:tc>
        <w:tc>
          <w:tcPr>
            <w:tcW w:w="470" w:type="pct"/>
            <w:tcBorders>
              <w:top w:val="nil"/>
              <w:left w:val="nil"/>
              <w:bottom w:val="single" w:color="000000" w:sz="4" w:space="0"/>
              <w:right w:val="single" w:color="000000" w:sz="4" w:space="0"/>
            </w:tcBorders>
            <w:noWrap w:val="0"/>
            <w:vAlign w:val="center"/>
          </w:tcPr>
          <w:p w14:paraId="1DC6A683">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w:t>
            </w:r>
          </w:p>
        </w:tc>
        <w:tc>
          <w:tcPr>
            <w:tcW w:w="519" w:type="pct"/>
            <w:tcBorders>
              <w:top w:val="nil"/>
              <w:left w:val="single" w:color="000000" w:sz="4" w:space="0"/>
              <w:bottom w:val="single" w:color="000000" w:sz="4" w:space="0"/>
              <w:right w:val="single" w:color="000000" w:sz="4" w:space="0"/>
            </w:tcBorders>
            <w:noWrap w:val="0"/>
            <w:vAlign w:val="center"/>
          </w:tcPr>
          <w:p w14:paraId="337AE065">
            <w:pPr>
              <w:widowControl/>
              <w:jc w:val="left"/>
              <w:rPr>
                <w:rFonts w:hint="eastAsia" w:ascii="宋体" w:hAnsi="宋体" w:cs="宋体"/>
                <w:color w:val="auto"/>
                <w:szCs w:val="21"/>
                <w:highlight w:val="none"/>
              </w:rPr>
            </w:pPr>
          </w:p>
        </w:tc>
        <w:tc>
          <w:tcPr>
            <w:tcW w:w="467" w:type="pct"/>
            <w:tcBorders>
              <w:top w:val="nil"/>
              <w:left w:val="single" w:color="000000" w:sz="4" w:space="0"/>
              <w:bottom w:val="single" w:color="000000" w:sz="4" w:space="0"/>
              <w:right w:val="single" w:color="000000" w:sz="4" w:space="0"/>
            </w:tcBorders>
            <w:noWrap w:val="0"/>
            <w:vAlign w:val="center"/>
          </w:tcPr>
          <w:p w14:paraId="14A3FE81">
            <w:pPr>
              <w:widowControl/>
              <w:jc w:val="left"/>
              <w:rPr>
                <w:rFonts w:hint="eastAsia" w:ascii="宋体" w:hAnsi="宋体" w:cs="宋体"/>
                <w:color w:val="auto"/>
                <w:szCs w:val="21"/>
                <w:highlight w:val="none"/>
              </w:rPr>
            </w:pPr>
          </w:p>
        </w:tc>
      </w:tr>
      <w:tr w14:paraId="1792A22D">
        <w:tblPrEx>
          <w:tblCellMar>
            <w:top w:w="0" w:type="dxa"/>
            <w:left w:w="108" w:type="dxa"/>
            <w:bottom w:w="0" w:type="dxa"/>
            <w:right w:w="108" w:type="dxa"/>
          </w:tblCellMar>
        </w:tblPrEx>
        <w:trPr>
          <w:trHeight w:val="839" w:hRule="atLeast"/>
          <w:jc w:val="center"/>
        </w:trPr>
        <w:tc>
          <w:tcPr>
            <w:tcW w:w="459" w:type="pct"/>
            <w:gridSpan w:val="2"/>
            <w:tcBorders>
              <w:top w:val="nil"/>
              <w:left w:val="single" w:color="000000" w:sz="4" w:space="0"/>
              <w:bottom w:val="single" w:color="000000" w:sz="4" w:space="0"/>
              <w:right w:val="single" w:color="000000" w:sz="4" w:space="0"/>
            </w:tcBorders>
            <w:noWrap w:val="0"/>
            <w:vAlign w:val="center"/>
          </w:tcPr>
          <w:p w14:paraId="44545AFF">
            <w:pPr>
              <w:widowControl/>
              <w:jc w:val="lef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总得分</w:t>
            </w:r>
          </w:p>
        </w:tc>
        <w:tc>
          <w:tcPr>
            <w:tcW w:w="4073" w:type="pct"/>
            <w:gridSpan w:val="4"/>
            <w:tcBorders>
              <w:top w:val="nil"/>
              <w:left w:val="nil"/>
              <w:bottom w:val="single" w:color="000000" w:sz="4" w:space="0"/>
              <w:right w:val="single" w:color="000000" w:sz="4" w:space="0"/>
            </w:tcBorders>
            <w:noWrap w:val="0"/>
            <w:vAlign w:val="center"/>
          </w:tcPr>
          <w:p w14:paraId="3EF68FE4">
            <w:pPr>
              <w:widowControl/>
              <w:jc w:val="left"/>
              <w:rPr>
                <w:rFonts w:hint="eastAsia" w:ascii="宋体" w:hAnsi="宋体" w:cs="宋体"/>
                <w:color w:val="auto"/>
                <w:szCs w:val="21"/>
                <w:highlight w:val="none"/>
              </w:rPr>
            </w:pPr>
          </w:p>
        </w:tc>
        <w:tc>
          <w:tcPr>
            <w:tcW w:w="467" w:type="pct"/>
            <w:tcBorders>
              <w:top w:val="nil"/>
              <w:left w:val="nil"/>
              <w:bottom w:val="single" w:color="000000" w:sz="4" w:space="0"/>
              <w:right w:val="single" w:color="000000" w:sz="4" w:space="0"/>
            </w:tcBorders>
            <w:noWrap w:val="0"/>
            <w:vAlign w:val="center"/>
          </w:tcPr>
          <w:p w14:paraId="0EB49D54">
            <w:pPr>
              <w:widowControl/>
              <w:jc w:val="left"/>
              <w:rPr>
                <w:rFonts w:hint="eastAsia" w:ascii="宋体" w:hAnsi="宋体" w:cs="宋体"/>
                <w:color w:val="auto"/>
                <w:szCs w:val="21"/>
                <w:highlight w:val="none"/>
              </w:rPr>
            </w:pPr>
          </w:p>
        </w:tc>
      </w:tr>
      <w:tr w14:paraId="3263F25B">
        <w:tblPrEx>
          <w:tblCellMar>
            <w:top w:w="0" w:type="dxa"/>
            <w:left w:w="108" w:type="dxa"/>
            <w:bottom w:w="0" w:type="dxa"/>
            <w:right w:w="108" w:type="dxa"/>
          </w:tblCellMar>
        </w:tblPrEx>
        <w:trPr>
          <w:trHeight w:val="605" w:hRule="atLeast"/>
          <w:jc w:val="center"/>
        </w:trPr>
        <w:tc>
          <w:tcPr>
            <w:tcW w:w="4532" w:type="pct"/>
            <w:gridSpan w:val="6"/>
            <w:tcBorders>
              <w:top w:val="nil"/>
              <w:left w:val="nil"/>
              <w:bottom w:val="nil"/>
              <w:right w:val="nil"/>
            </w:tcBorders>
            <w:noWrap w:val="0"/>
            <w:vAlign w:val="center"/>
          </w:tcPr>
          <w:p w14:paraId="215118EF">
            <w:pPr>
              <w:widowControl/>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说明：满分为100分，考核累计扣分扣完为止。</w:t>
            </w:r>
          </w:p>
        </w:tc>
        <w:tc>
          <w:tcPr>
            <w:tcW w:w="467" w:type="pct"/>
            <w:tcBorders>
              <w:top w:val="nil"/>
              <w:left w:val="nil"/>
              <w:bottom w:val="nil"/>
              <w:right w:val="nil"/>
            </w:tcBorders>
            <w:noWrap w:val="0"/>
            <w:vAlign w:val="center"/>
          </w:tcPr>
          <w:p w14:paraId="7E7DB486">
            <w:pPr>
              <w:widowControl/>
              <w:jc w:val="left"/>
              <w:rPr>
                <w:rFonts w:hint="eastAsia" w:ascii="宋体" w:hAnsi="宋体" w:cs="宋体"/>
                <w:color w:val="auto"/>
                <w:szCs w:val="21"/>
                <w:highlight w:val="none"/>
              </w:rPr>
            </w:pPr>
          </w:p>
        </w:tc>
      </w:tr>
      <w:tr w14:paraId="062CBA5B">
        <w:tblPrEx>
          <w:tblCellMar>
            <w:top w:w="0" w:type="dxa"/>
            <w:left w:w="108" w:type="dxa"/>
            <w:bottom w:w="0" w:type="dxa"/>
            <w:right w:w="108" w:type="dxa"/>
          </w:tblCellMar>
        </w:tblPrEx>
        <w:trPr>
          <w:trHeight w:val="560" w:hRule="atLeast"/>
          <w:jc w:val="center"/>
        </w:trPr>
        <w:tc>
          <w:tcPr>
            <w:tcW w:w="4532" w:type="pct"/>
            <w:gridSpan w:val="6"/>
            <w:tcBorders>
              <w:top w:val="nil"/>
              <w:left w:val="nil"/>
              <w:bottom w:val="nil"/>
              <w:right w:val="nil"/>
            </w:tcBorders>
            <w:noWrap w:val="0"/>
            <w:vAlign w:val="center"/>
          </w:tcPr>
          <w:p w14:paraId="3F7A16B7">
            <w:pPr>
              <w:widowControl/>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考核单位签字：</w:t>
            </w:r>
          </w:p>
        </w:tc>
        <w:tc>
          <w:tcPr>
            <w:tcW w:w="467" w:type="pct"/>
            <w:tcBorders>
              <w:top w:val="nil"/>
              <w:left w:val="nil"/>
              <w:bottom w:val="nil"/>
              <w:right w:val="nil"/>
            </w:tcBorders>
            <w:noWrap w:val="0"/>
            <w:vAlign w:val="center"/>
          </w:tcPr>
          <w:p w14:paraId="01AF2E86">
            <w:pPr>
              <w:widowControl/>
              <w:jc w:val="left"/>
              <w:rPr>
                <w:rFonts w:hint="eastAsia" w:ascii="宋体" w:hAnsi="宋体" w:cs="宋体"/>
                <w:color w:val="auto"/>
                <w:szCs w:val="21"/>
                <w:highlight w:val="none"/>
                <w:lang w:val="en-US" w:eastAsia="zh-CN"/>
              </w:rPr>
            </w:pPr>
          </w:p>
        </w:tc>
      </w:tr>
      <w:tr w14:paraId="6C3A6B9E">
        <w:tblPrEx>
          <w:tblCellMar>
            <w:top w:w="0" w:type="dxa"/>
            <w:left w:w="108" w:type="dxa"/>
            <w:bottom w:w="0" w:type="dxa"/>
            <w:right w:w="108" w:type="dxa"/>
          </w:tblCellMar>
        </w:tblPrEx>
        <w:trPr>
          <w:trHeight w:val="560" w:hRule="atLeast"/>
          <w:jc w:val="center"/>
        </w:trPr>
        <w:tc>
          <w:tcPr>
            <w:tcW w:w="4532" w:type="pct"/>
            <w:gridSpan w:val="6"/>
            <w:tcBorders>
              <w:top w:val="nil"/>
              <w:left w:val="nil"/>
              <w:bottom w:val="nil"/>
              <w:right w:val="nil"/>
            </w:tcBorders>
            <w:noWrap w:val="0"/>
            <w:vAlign w:val="center"/>
          </w:tcPr>
          <w:p w14:paraId="0CE690AE">
            <w:pPr>
              <w:widowControl/>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被考核单位签字</w:t>
            </w:r>
            <w:r>
              <w:rPr>
                <w:rFonts w:hint="eastAsia" w:ascii="宋体" w:hAnsi="宋体" w:cs="宋体"/>
                <w:color w:val="auto"/>
                <w:szCs w:val="21"/>
                <w:highlight w:val="none"/>
              </w:rPr>
              <w:t>：</w:t>
            </w:r>
          </w:p>
        </w:tc>
        <w:tc>
          <w:tcPr>
            <w:tcW w:w="467" w:type="pct"/>
            <w:tcBorders>
              <w:top w:val="nil"/>
              <w:left w:val="nil"/>
              <w:bottom w:val="nil"/>
              <w:right w:val="nil"/>
            </w:tcBorders>
            <w:noWrap w:val="0"/>
            <w:vAlign w:val="center"/>
          </w:tcPr>
          <w:p w14:paraId="17647968">
            <w:pPr>
              <w:widowControl/>
              <w:jc w:val="left"/>
              <w:rPr>
                <w:rFonts w:hint="eastAsia" w:ascii="宋体" w:hAnsi="宋体" w:cs="宋体"/>
                <w:color w:val="auto"/>
                <w:szCs w:val="21"/>
                <w:highlight w:val="none"/>
                <w:lang w:val="en-US" w:eastAsia="zh-CN"/>
              </w:rPr>
            </w:pPr>
          </w:p>
        </w:tc>
      </w:tr>
    </w:tbl>
    <w:p w14:paraId="1329E889">
      <w:pPr>
        <w:widowControl/>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日期：</w:t>
      </w:r>
    </w:p>
    <w:p w14:paraId="6163CF9F">
      <w:pPr>
        <w:rPr>
          <w:rFonts w:hint="eastAsia" w:ascii="宋体" w:hAnsi="宋体" w:eastAsia="宋体"/>
          <w:b/>
          <w:color w:val="auto"/>
          <w:sz w:val="32"/>
          <w:szCs w:val="32"/>
        </w:rPr>
      </w:pPr>
      <w:r>
        <w:rPr>
          <w:rFonts w:hint="eastAsia" w:ascii="宋体" w:hAnsi="宋体" w:eastAsia="宋体"/>
          <w:b/>
          <w:color w:val="auto"/>
          <w:sz w:val="32"/>
          <w:szCs w:val="32"/>
        </w:rPr>
        <w:br w:type="page"/>
      </w:r>
    </w:p>
    <w:p w14:paraId="66E6A573">
      <w:pPr>
        <w:spacing w:line="360" w:lineRule="auto"/>
        <w:ind w:firstLine="420"/>
        <w:jc w:val="left"/>
        <w:rPr>
          <w:rFonts w:hint="default" w:ascii="宋体" w:hAnsi="宋体" w:eastAsia="宋体" w:cs="Times New Roman"/>
          <w:b/>
          <w:bCs/>
          <w:color w:val="auto"/>
          <w:sz w:val="21"/>
          <w:szCs w:val="21"/>
          <w:highlight w:val="none"/>
          <w:lang w:val="en-US" w:eastAsia="zh-CN"/>
        </w:rPr>
      </w:pPr>
      <w:r>
        <w:rPr>
          <w:rFonts w:hint="eastAsia" w:ascii="宋体" w:hAnsi="宋体" w:eastAsia="宋体" w:cs="Times New Roman"/>
          <w:b/>
          <w:bCs/>
          <w:color w:val="auto"/>
          <w:sz w:val="21"/>
          <w:szCs w:val="21"/>
          <w:highlight w:val="none"/>
          <w:lang w:val="en-US" w:eastAsia="zh-CN"/>
        </w:rPr>
        <w:t>附件2、礼嘉镇农村公路（沥青）养护服务清单</w:t>
      </w:r>
    </w:p>
    <w:tbl>
      <w:tblPr>
        <w:tblStyle w:val="2"/>
        <w:tblW w:w="918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6"/>
        <w:gridCol w:w="4629"/>
        <w:gridCol w:w="956"/>
        <w:gridCol w:w="2368"/>
        <w:gridCol w:w="819"/>
      </w:tblGrid>
      <w:tr w14:paraId="52F36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3"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9F4EC">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序号</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7433">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项目名称</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FABD">
            <w:pPr>
              <w:keepNext w:val="0"/>
              <w:keepLines w:val="0"/>
              <w:widowControl/>
              <w:suppressLineNumbers w:val="0"/>
              <w:jc w:val="center"/>
              <w:textAlignment w:val="center"/>
              <w:rPr>
                <w:rFonts w:hint="default" w:ascii="宋体" w:hAnsi="宋体" w:eastAsia="宋体" w:cs="宋体"/>
                <w:b/>
                <w:bCs/>
                <w:i w:val="0"/>
                <w:iCs w:val="0"/>
                <w:color w:val="auto"/>
                <w:kern w:val="0"/>
                <w:sz w:val="18"/>
                <w:szCs w:val="18"/>
                <w:u w:val="none"/>
                <w:lang w:val="en-US" w:eastAsia="zh-CN" w:bidi="ar"/>
              </w:rPr>
            </w:pPr>
            <w:r>
              <w:rPr>
                <w:rFonts w:hint="eastAsia" w:ascii="宋体" w:hAnsi="宋体" w:cs="宋体"/>
                <w:b/>
                <w:bCs/>
                <w:i w:val="0"/>
                <w:iCs w:val="0"/>
                <w:color w:val="auto"/>
                <w:kern w:val="0"/>
                <w:sz w:val="18"/>
                <w:szCs w:val="18"/>
                <w:u w:val="none"/>
                <w:lang w:val="en-US" w:eastAsia="zh-CN" w:bidi="ar"/>
              </w:rPr>
              <w:t>单位</w:t>
            </w:r>
          </w:p>
        </w:tc>
        <w:tc>
          <w:tcPr>
            <w:tcW w:w="2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4E8C3">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全费用综合单价</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333DAAA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备注</w:t>
            </w:r>
          </w:p>
        </w:tc>
      </w:tr>
      <w:tr w14:paraId="48B3B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3860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8C90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拆除路面【拆除各种面层、基层,锯缝、破碎或铣刨自行考虑,废料弃置(弃场自理);】</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5B1A9">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m3</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ABF7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80.32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16876C29">
            <w:pPr>
              <w:jc w:val="left"/>
              <w:rPr>
                <w:rFonts w:hint="eastAsia" w:ascii="宋体" w:hAnsi="宋体" w:eastAsia="宋体" w:cs="宋体"/>
                <w:i w:val="0"/>
                <w:iCs w:val="0"/>
                <w:color w:val="auto"/>
                <w:sz w:val="18"/>
                <w:szCs w:val="18"/>
                <w:u w:val="none"/>
              </w:rPr>
            </w:pPr>
          </w:p>
        </w:tc>
      </w:tr>
      <w:tr w14:paraId="59698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FAE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932C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挖一般土方【原</w:t>
            </w:r>
            <w:r>
              <w:rPr>
                <w:rFonts w:hint="eastAsia" w:ascii="宋体" w:hAnsi="宋体" w:cs="宋体"/>
                <w:i w:val="0"/>
                <w:iCs w:val="0"/>
                <w:color w:val="auto"/>
                <w:kern w:val="0"/>
                <w:sz w:val="18"/>
                <w:szCs w:val="18"/>
                <w:u w:val="none"/>
                <w:lang w:val="en-US" w:eastAsia="zh-CN" w:bidi="ar"/>
              </w:rPr>
              <w:t>硬质</w:t>
            </w:r>
            <w:r>
              <w:rPr>
                <w:rFonts w:hint="eastAsia" w:ascii="宋体" w:hAnsi="宋体" w:eastAsia="宋体" w:cs="宋体"/>
                <w:i w:val="0"/>
                <w:iCs w:val="0"/>
                <w:color w:val="auto"/>
                <w:kern w:val="0"/>
                <w:sz w:val="18"/>
                <w:szCs w:val="18"/>
                <w:u w:val="none"/>
                <w:lang w:val="en-US" w:eastAsia="zh-CN" w:bidi="ar"/>
              </w:rPr>
              <w:t>路基开挖,运距及堆场投标单位自行考虑;】</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2E228">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m3</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04D9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51.04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593AE5AB">
            <w:pPr>
              <w:jc w:val="left"/>
              <w:rPr>
                <w:rFonts w:hint="eastAsia" w:ascii="宋体" w:hAnsi="宋体" w:eastAsia="宋体" w:cs="宋体"/>
                <w:i w:val="0"/>
                <w:iCs w:val="0"/>
                <w:color w:val="auto"/>
                <w:sz w:val="18"/>
                <w:szCs w:val="18"/>
                <w:u w:val="none"/>
              </w:rPr>
            </w:pPr>
          </w:p>
        </w:tc>
      </w:tr>
      <w:tr w14:paraId="28228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C031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30E4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挖一般土方【土方开挖,运距及堆场投标单位自行考虑;】</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01E52">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m3</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B2ED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30.06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116B3D87">
            <w:pPr>
              <w:jc w:val="left"/>
              <w:rPr>
                <w:rFonts w:hint="eastAsia" w:ascii="宋体" w:hAnsi="宋体" w:eastAsia="宋体" w:cs="宋体"/>
                <w:i w:val="0"/>
                <w:iCs w:val="0"/>
                <w:color w:val="auto"/>
                <w:sz w:val="18"/>
                <w:szCs w:val="18"/>
                <w:u w:val="none"/>
              </w:rPr>
            </w:pPr>
          </w:p>
        </w:tc>
      </w:tr>
      <w:tr w14:paraId="409A9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8138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63E2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路面裂缝填沥青砂【清除缝隙垃圾杂物,开槽,灌缝,清理;】</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24EF8">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m</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ABD72">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 xml:space="preserve">12.16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61CD73D6">
            <w:pPr>
              <w:jc w:val="left"/>
              <w:rPr>
                <w:rFonts w:hint="eastAsia" w:ascii="宋体" w:hAnsi="宋体" w:eastAsia="宋体" w:cs="宋体"/>
                <w:i w:val="0"/>
                <w:iCs w:val="0"/>
                <w:color w:val="auto"/>
                <w:sz w:val="18"/>
                <w:szCs w:val="18"/>
                <w:u w:val="none"/>
              </w:rPr>
            </w:pPr>
          </w:p>
        </w:tc>
      </w:tr>
      <w:tr w14:paraId="43672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87B0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4237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碎石【毛片垫层填筑;】</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C855B">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m3</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355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248.01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6A50F84F">
            <w:pPr>
              <w:jc w:val="left"/>
              <w:rPr>
                <w:rFonts w:hint="eastAsia" w:ascii="宋体" w:hAnsi="宋体" w:eastAsia="宋体" w:cs="宋体"/>
                <w:i w:val="0"/>
                <w:iCs w:val="0"/>
                <w:color w:val="auto"/>
                <w:sz w:val="18"/>
                <w:szCs w:val="18"/>
                <w:u w:val="none"/>
              </w:rPr>
            </w:pPr>
          </w:p>
        </w:tc>
      </w:tr>
      <w:tr w14:paraId="6CE10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3EF3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5E72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土工合成材料【铺玻纤格栅,抗拉强度不小于80kN/m】</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73643">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m2</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C978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16.64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5B2AAC08">
            <w:pPr>
              <w:jc w:val="left"/>
              <w:rPr>
                <w:rFonts w:hint="eastAsia" w:ascii="宋体" w:hAnsi="宋体" w:eastAsia="宋体" w:cs="宋体"/>
                <w:i w:val="0"/>
                <w:iCs w:val="0"/>
                <w:color w:val="auto"/>
                <w:sz w:val="18"/>
                <w:szCs w:val="18"/>
                <w:u w:val="none"/>
              </w:rPr>
            </w:pPr>
          </w:p>
        </w:tc>
      </w:tr>
      <w:tr w14:paraId="212CE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506A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F94B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水泥稳定碎（砾） 石【水泥稳定碎石，摊铺，含养生;】</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FF37C">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m3</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0C31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433.89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7706C864">
            <w:pPr>
              <w:jc w:val="left"/>
              <w:rPr>
                <w:rFonts w:hint="eastAsia" w:ascii="宋体" w:hAnsi="宋体" w:eastAsia="宋体" w:cs="宋体"/>
                <w:i w:val="0"/>
                <w:iCs w:val="0"/>
                <w:color w:val="auto"/>
                <w:sz w:val="18"/>
                <w:szCs w:val="18"/>
                <w:u w:val="none"/>
              </w:rPr>
            </w:pPr>
          </w:p>
        </w:tc>
      </w:tr>
      <w:tr w14:paraId="70668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C86B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D15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沥青混凝土【机械摊铺,3cm厚AC13细粒式沥青;】</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23946">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m2</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1FCE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50.57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30E21408">
            <w:pPr>
              <w:jc w:val="left"/>
              <w:rPr>
                <w:rFonts w:hint="eastAsia" w:ascii="宋体" w:hAnsi="宋体" w:eastAsia="宋体" w:cs="宋体"/>
                <w:i w:val="0"/>
                <w:iCs w:val="0"/>
                <w:color w:val="auto"/>
                <w:sz w:val="18"/>
                <w:szCs w:val="18"/>
                <w:u w:val="none"/>
              </w:rPr>
            </w:pPr>
          </w:p>
        </w:tc>
      </w:tr>
      <w:tr w14:paraId="63CAF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BEA6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9E8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沥青混凝土【人工摊铺,3cm厚AC13细粒式沥青;】</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4C434">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m2</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0F38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51.47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283F6CE1">
            <w:pPr>
              <w:jc w:val="left"/>
              <w:rPr>
                <w:rFonts w:hint="eastAsia" w:ascii="宋体" w:hAnsi="宋体" w:eastAsia="宋体" w:cs="宋体"/>
                <w:i w:val="0"/>
                <w:iCs w:val="0"/>
                <w:color w:val="auto"/>
                <w:sz w:val="18"/>
                <w:szCs w:val="18"/>
                <w:u w:val="none"/>
              </w:rPr>
            </w:pPr>
          </w:p>
        </w:tc>
      </w:tr>
      <w:tr w14:paraId="35A7D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9CFE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BFD6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沥青混凝土【机械摊铺,每增减1cm厚AC13细粒式沥青;】</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268FB">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m2</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66A2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17.34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58A20291">
            <w:pPr>
              <w:jc w:val="left"/>
              <w:rPr>
                <w:rFonts w:hint="eastAsia" w:ascii="宋体" w:hAnsi="宋体" w:eastAsia="宋体" w:cs="宋体"/>
                <w:i w:val="0"/>
                <w:iCs w:val="0"/>
                <w:color w:val="auto"/>
                <w:sz w:val="18"/>
                <w:szCs w:val="18"/>
                <w:u w:val="none"/>
              </w:rPr>
            </w:pPr>
          </w:p>
        </w:tc>
      </w:tr>
      <w:tr w14:paraId="36C61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1F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EFFA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沥青混凝土【人工摊铺,每增减1CM厚AC13细粒式沥青;】</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93AD8">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m2</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30A9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18.11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64701A82">
            <w:pPr>
              <w:jc w:val="left"/>
              <w:rPr>
                <w:rFonts w:hint="eastAsia" w:ascii="宋体" w:hAnsi="宋体" w:eastAsia="宋体" w:cs="宋体"/>
                <w:i w:val="0"/>
                <w:iCs w:val="0"/>
                <w:color w:val="auto"/>
                <w:sz w:val="18"/>
                <w:szCs w:val="18"/>
                <w:u w:val="none"/>
              </w:rPr>
            </w:pPr>
          </w:p>
        </w:tc>
      </w:tr>
      <w:tr w14:paraId="62FED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8147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E744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砂砾石【路面泛油撒砂;】</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DCC8B">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m3</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AA75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195.86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3FD82EAB">
            <w:pPr>
              <w:jc w:val="left"/>
              <w:rPr>
                <w:rFonts w:hint="eastAsia" w:ascii="宋体" w:hAnsi="宋体" w:eastAsia="宋体" w:cs="宋体"/>
                <w:i w:val="0"/>
                <w:iCs w:val="0"/>
                <w:color w:val="auto"/>
                <w:sz w:val="18"/>
                <w:szCs w:val="18"/>
                <w:u w:val="none"/>
              </w:rPr>
            </w:pPr>
          </w:p>
        </w:tc>
      </w:tr>
      <w:tr w14:paraId="23D16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BE7E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286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封层【乳化沥青下封层;】</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A1385">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m2</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7D9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8.43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6CCCDD9D">
            <w:pPr>
              <w:jc w:val="left"/>
              <w:rPr>
                <w:rFonts w:hint="eastAsia" w:ascii="宋体" w:hAnsi="宋体" w:eastAsia="宋体" w:cs="宋体"/>
                <w:i w:val="0"/>
                <w:iCs w:val="0"/>
                <w:color w:val="auto"/>
                <w:sz w:val="18"/>
                <w:szCs w:val="18"/>
                <w:u w:val="none"/>
              </w:rPr>
            </w:pPr>
          </w:p>
        </w:tc>
      </w:tr>
      <w:tr w14:paraId="084AC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939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915F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沥青表面处治【补塘用沥青、石子、米砂,t位计量按石油沥青重量计量;】</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5779A">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t</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802F6">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 xml:space="preserve">11196.90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6C76E5FB">
            <w:pPr>
              <w:jc w:val="left"/>
              <w:rPr>
                <w:rFonts w:hint="eastAsia" w:ascii="宋体" w:hAnsi="宋体" w:eastAsia="宋体" w:cs="宋体"/>
                <w:i w:val="0"/>
                <w:iCs w:val="0"/>
                <w:color w:val="auto"/>
                <w:sz w:val="18"/>
                <w:szCs w:val="18"/>
                <w:u w:val="none"/>
              </w:rPr>
            </w:pPr>
          </w:p>
        </w:tc>
      </w:tr>
      <w:tr w14:paraId="4CE47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E592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7B9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沥青表面处治【冷铺沥青补坑洞;】</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AEAF9">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m3</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3E2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3722.42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7272E74A">
            <w:pPr>
              <w:jc w:val="left"/>
              <w:rPr>
                <w:rFonts w:hint="eastAsia" w:ascii="宋体" w:hAnsi="宋体" w:eastAsia="宋体" w:cs="宋体"/>
                <w:i w:val="0"/>
                <w:iCs w:val="0"/>
                <w:color w:val="auto"/>
                <w:sz w:val="18"/>
                <w:szCs w:val="18"/>
                <w:u w:val="none"/>
              </w:rPr>
            </w:pPr>
          </w:p>
        </w:tc>
      </w:tr>
      <w:tr w14:paraId="273DA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E99B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C76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警示柱【道口标注,镀锌钢管制作φ120*1200mm,厚4.5mm,反光材料采用Ⅵ类反光膜,含基础、挖土等;】</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5B148">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根</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F240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155.33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42F4405E">
            <w:pPr>
              <w:jc w:val="left"/>
              <w:rPr>
                <w:rFonts w:hint="eastAsia" w:ascii="宋体" w:hAnsi="宋体" w:eastAsia="宋体" w:cs="宋体"/>
                <w:i w:val="0"/>
                <w:iCs w:val="0"/>
                <w:color w:val="auto"/>
                <w:sz w:val="18"/>
                <w:szCs w:val="18"/>
                <w:u w:val="none"/>
              </w:rPr>
            </w:pPr>
          </w:p>
        </w:tc>
      </w:tr>
      <w:tr w14:paraId="640D0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C1E7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108B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公里碑【玻璃钢里程碑900*400*150mm,含开挖、基础、回填等】</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70586">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个</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C158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142.78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39B75FA0">
            <w:pPr>
              <w:jc w:val="left"/>
              <w:rPr>
                <w:rFonts w:hint="eastAsia" w:ascii="宋体" w:hAnsi="宋体" w:eastAsia="宋体" w:cs="宋体"/>
                <w:i w:val="0"/>
                <w:iCs w:val="0"/>
                <w:color w:val="auto"/>
                <w:sz w:val="18"/>
                <w:szCs w:val="18"/>
                <w:u w:val="none"/>
              </w:rPr>
            </w:pPr>
          </w:p>
        </w:tc>
      </w:tr>
      <w:tr w14:paraId="6722E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4B42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51D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百米桩【百米桩550*120*120mm,含开挖、基础、回填等】</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144E6">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个</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32D1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89.24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2FC3E015">
            <w:pPr>
              <w:jc w:val="left"/>
              <w:rPr>
                <w:rFonts w:hint="eastAsia" w:ascii="宋体" w:hAnsi="宋体" w:eastAsia="宋体" w:cs="宋体"/>
                <w:i w:val="0"/>
                <w:iCs w:val="0"/>
                <w:color w:val="auto"/>
                <w:sz w:val="18"/>
                <w:szCs w:val="18"/>
                <w:u w:val="none"/>
              </w:rPr>
            </w:pPr>
          </w:p>
        </w:tc>
      </w:tr>
      <w:tr w14:paraId="61F95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E126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B57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隔离护栏【路侧波形梁钢护栏（Gr-A-2E防撞波形梁护栏、立柱、护栏板、连接螺栓、拼接螺栓、柱帽、轮廓标、护栏端头反光膜III类等;】</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B5CA7">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m</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0A54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339.11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34714327">
            <w:pPr>
              <w:jc w:val="left"/>
              <w:rPr>
                <w:rFonts w:hint="eastAsia" w:ascii="宋体" w:hAnsi="宋体" w:eastAsia="宋体" w:cs="宋体"/>
                <w:i w:val="0"/>
                <w:iCs w:val="0"/>
                <w:color w:val="auto"/>
                <w:sz w:val="18"/>
                <w:szCs w:val="18"/>
                <w:u w:val="none"/>
              </w:rPr>
            </w:pPr>
          </w:p>
        </w:tc>
      </w:tr>
      <w:tr w14:paraId="40D5B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83D7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8760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标杆【标志牌钢质杆件，柱式：Φ114*4.5*2700、钢材全部采用Q235钢:钢管、钢板采用热浸镀锌防腐处理后，再作喷塑防腐处理，喷塑处理的钢构件镀锌量不小于275g/m’、包括基础、钢筋、挖土等，D=800mm，圆形;铝板;厚2mm;Ⅳ类反光膜;】</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5656D">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个</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804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1483.49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28A0698B">
            <w:pPr>
              <w:jc w:val="left"/>
              <w:rPr>
                <w:rFonts w:hint="eastAsia" w:ascii="宋体" w:hAnsi="宋体" w:eastAsia="宋体" w:cs="宋体"/>
                <w:i w:val="0"/>
                <w:iCs w:val="0"/>
                <w:color w:val="auto"/>
                <w:sz w:val="18"/>
                <w:szCs w:val="18"/>
                <w:u w:val="none"/>
              </w:rPr>
            </w:pPr>
          </w:p>
        </w:tc>
      </w:tr>
      <w:tr w14:paraId="1534E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6E66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D135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安砌侧（平、缘） 石【C30混凝土预制侧石（高*宽=24*12cm），C25砼基础及背撑（立模），含弧形部分;】</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A8139">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m</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8828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73.22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1D30B14D">
            <w:pPr>
              <w:jc w:val="left"/>
              <w:rPr>
                <w:rFonts w:hint="eastAsia" w:ascii="宋体" w:hAnsi="宋体" w:eastAsia="宋体" w:cs="宋体"/>
                <w:i w:val="0"/>
                <w:iCs w:val="0"/>
                <w:color w:val="auto"/>
                <w:sz w:val="18"/>
                <w:szCs w:val="18"/>
                <w:u w:val="none"/>
              </w:rPr>
            </w:pPr>
          </w:p>
        </w:tc>
      </w:tr>
      <w:tr w14:paraId="4C1D9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198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667C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零星人工</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223B6">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工日</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C8C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204.42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05388048">
            <w:pPr>
              <w:jc w:val="left"/>
              <w:rPr>
                <w:rFonts w:hint="eastAsia" w:ascii="宋体" w:hAnsi="宋体" w:eastAsia="宋体" w:cs="宋体"/>
                <w:i w:val="0"/>
                <w:iCs w:val="0"/>
                <w:color w:val="auto"/>
                <w:sz w:val="18"/>
                <w:szCs w:val="18"/>
                <w:u w:val="none"/>
              </w:rPr>
            </w:pPr>
          </w:p>
        </w:tc>
      </w:tr>
      <w:tr w14:paraId="0D8C5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A03D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w:t>
            </w:r>
          </w:p>
        </w:tc>
        <w:tc>
          <w:tcPr>
            <w:tcW w:w="4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263A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大型机械设备进出场及安拆【挖掘机、推土机等履带式大型机械进出场费】</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EA5B">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次</w:t>
            </w:r>
          </w:p>
        </w:tc>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D76D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 xml:space="preserve">803.17 </w:t>
            </w:r>
          </w:p>
        </w:tc>
        <w:tc>
          <w:tcPr>
            <w:tcW w:w="819" w:type="dxa"/>
            <w:tcBorders>
              <w:top w:val="single" w:color="000000" w:sz="4" w:space="0"/>
              <w:left w:val="nil"/>
              <w:bottom w:val="single" w:color="000000" w:sz="4" w:space="0"/>
              <w:right w:val="single" w:color="000000" w:sz="4" w:space="0"/>
            </w:tcBorders>
            <w:shd w:val="clear" w:color="auto" w:fill="auto"/>
            <w:noWrap/>
            <w:vAlign w:val="center"/>
          </w:tcPr>
          <w:p w14:paraId="3E5D16CD">
            <w:pPr>
              <w:jc w:val="left"/>
              <w:rPr>
                <w:rFonts w:hint="eastAsia" w:ascii="宋体" w:hAnsi="宋体" w:eastAsia="宋体" w:cs="宋体"/>
                <w:i w:val="0"/>
                <w:iCs w:val="0"/>
                <w:color w:val="auto"/>
                <w:sz w:val="18"/>
                <w:szCs w:val="18"/>
                <w:u w:val="none"/>
              </w:rPr>
            </w:pPr>
          </w:p>
        </w:tc>
      </w:tr>
    </w:tbl>
    <w:p w14:paraId="266E8D99">
      <w:pPr>
        <w:rPr>
          <w:rFonts w:hint="default" w:ascii="宋体" w:hAnsi="宋体" w:eastAsia="宋体"/>
          <w:b/>
          <w:color w:val="auto"/>
          <w:sz w:val="32"/>
          <w:szCs w:val="32"/>
          <w:lang w:val="en-US" w:eastAsia="zh-CN"/>
        </w:rPr>
      </w:pPr>
    </w:p>
    <w:p w14:paraId="0385E3C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1308CB"/>
    <w:rsid w:val="257E5BF7"/>
    <w:rsid w:val="44B12B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2"/>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 w:type="paragraph" w:customStyle="1" w:styleId="4">
    <w:name w:val="正文文本1"/>
    <w:basedOn w:val="1"/>
    <w:qFormat/>
    <w:uiPriority w:val="0"/>
    <w:pPr>
      <w:spacing w:line="398" w:lineRule="auto"/>
      <w:ind w:firstLine="400"/>
    </w:pPr>
    <w:rPr>
      <w:rFonts w:ascii="宋体" w:hAnsi="宋体" w:cs="宋体"/>
      <w:sz w:val="22"/>
      <w:szCs w:val="22"/>
      <w:lang w:val="zh-CN" w:bidi="zh-CN"/>
    </w:rPr>
  </w:style>
  <w:style w:type="paragraph" w:customStyle="1" w:styleId="5">
    <w:name w:val="Default"/>
    <w:qFormat/>
    <w:uiPriority w:val="0"/>
    <w:pPr>
      <w:widowControl w:val="0"/>
    </w:pPr>
    <w:rPr>
      <w:rFonts w:hint="default"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2024-05-05T13:52:00Z</dcterms:created>
  <dc:creator>admin</dc:creator>
  <cp:lastModifiedBy>admin</cp:lastModifiedBy>
  <dcterms:modified xsi:type="dcterms:W3CDTF">2026-06-10T09:16:26Z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751E37867E044737805233B3964DE72F_12</vt:lpwstr>
  </property>
  <property fmtid="{D5CDD505-2E9C-101B-9397-08002B2CF9AE}" pid="4" name="KSOTemplateDocerSaveRecord">
    <vt:lpwstr>eyJoZGlkIjoiYTU3MjAzOGI1ZWM1NjI3YTE0MjIzZDIwNTMwM2NhZjEiLCJ1c2VySWQiOiI2MjE5MjA5MDUifQ==</vt:lpwstr>
  </property>
</Properties>
</file>